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color w:val="auto"/>
          <w:sz w:val="48"/>
          <w:szCs w:val="48"/>
          <w:highlight w:val="none"/>
        </w:rPr>
      </w:pPr>
    </w:p>
    <w:p>
      <w:pPr>
        <w:tabs>
          <w:tab w:val="left" w:pos="426"/>
        </w:tabs>
        <w:spacing w:line="360" w:lineRule="auto"/>
        <w:jc w:val="center"/>
        <w:rPr>
          <w:rFonts w:hint="eastAsia" w:ascii="宋体" w:hAnsi="宋体" w:eastAsia="宋体"/>
          <w:color w:val="auto"/>
          <w:spacing w:val="-4"/>
          <w:sz w:val="36"/>
          <w:szCs w:val="36"/>
          <w:highlight w:val="none"/>
          <w:lang w:eastAsia="zh-CN"/>
        </w:rPr>
      </w:pPr>
      <w:r>
        <w:rPr>
          <w:rFonts w:hint="eastAsia" w:ascii="宋体" w:hAnsi="宋体"/>
          <w:color w:val="auto"/>
          <w:spacing w:val="-4"/>
          <w:sz w:val="36"/>
          <w:szCs w:val="36"/>
          <w:highlight w:val="none"/>
          <w:lang w:eastAsia="zh-CN"/>
        </w:rPr>
        <w:t>宁波市实验学校2024年度职工疗休养项目</w:t>
      </w:r>
    </w:p>
    <w:p>
      <w:pPr>
        <w:spacing w:after="120"/>
        <w:jc w:val="center"/>
        <w:rPr>
          <w:rFonts w:ascii="宋体" w:hAnsi="宋体" w:cs="宋体"/>
          <w:color w:val="auto"/>
          <w:sz w:val="36"/>
          <w:szCs w:val="32"/>
          <w:highlight w:val="none"/>
        </w:rPr>
      </w:pPr>
      <w:r>
        <w:rPr>
          <w:rFonts w:hint="eastAsia" w:ascii="宋体" w:hAnsi="宋体" w:cs="宋体"/>
          <w:color w:val="auto"/>
          <w:sz w:val="36"/>
          <w:szCs w:val="32"/>
          <w:highlight w:val="none"/>
        </w:rPr>
        <w:t>项目编号：</w:t>
      </w:r>
      <w:r>
        <w:rPr>
          <w:rFonts w:hint="eastAsia" w:ascii="宋体" w:hAnsi="宋体" w:cs="宋体"/>
          <w:color w:val="auto"/>
          <w:sz w:val="36"/>
          <w:szCs w:val="32"/>
          <w:highlight w:val="none"/>
          <w:lang w:eastAsia="zh-CN"/>
        </w:rPr>
        <w:t xml:space="preserve">2024NBHSWCS204    </w:t>
      </w:r>
      <w:r>
        <w:rPr>
          <w:rFonts w:hint="eastAsia" w:ascii="宋体" w:hAnsi="宋体" w:cs="宋体"/>
          <w:color w:val="auto"/>
          <w:sz w:val="36"/>
          <w:szCs w:val="32"/>
          <w:highlight w:val="none"/>
        </w:rPr>
        <w:t xml:space="preserve">   </w:t>
      </w:r>
    </w:p>
    <w:p>
      <w:pPr>
        <w:spacing w:after="120"/>
        <w:jc w:val="center"/>
        <w:rPr>
          <w:rFonts w:ascii="宋体" w:hAnsi="宋体" w:cs="宋体"/>
          <w:b/>
          <w:bCs/>
          <w:color w:val="auto"/>
          <w:sz w:val="32"/>
          <w:szCs w:val="32"/>
          <w:highlight w:val="none"/>
        </w:rPr>
      </w:pPr>
    </w:p>
    <w:p>
      <w:pPr>
        <w:spacing w:after="120"/>
        <w:jc w:val="center"/>
        <w:rPr>
          <w:rFonts w:ascii="宋体" w:hAnsi="宋体" w:cs="宋体"/>
          <w:b/>
          <w:bCs/>
          <w:color w:val="auto"/>
          <w:sz w:val="32"/>
          <w:szCs w:val="32"/>
          <w:highlight w:val="none"/>
        </w:rPr>
      </w:pPr>
    </w:p>
    <w:p>
      <w:pPr>
        <w:spacing w:after="120"/>
        <w:jc w:val="center"/>
        <w:rPr>
          <w:rFonts w:ascii="宋体" w:hAnsi="宋体" w:cs="宋体"/>
          <w:b/>
          <w:bCs/>
          <w:color w:val="auto"/>
          <w:sz w:val="32"/>
          <w:szCs w:val="32"/>
          <w:highlight w:val="none"/>
        </w:rPr>
      </w:pPr>
    </w:p>
    <w:p>
      <w:pPr>
        <w:spacing w:after="240"/>
        <w:jc w:val="center"/>
        <w:rPr>
          <w:rFonts w:ascii="宋体" w:hAnsi="宋体"/>
          <w:b/>
          <w:bCs/>
          <w:color w:val="auto"/>
          <w:sz w:val="72"/>
          <w:szCs w:val="72"/>
          <w:highlight w:val="none"/>
        </w:rPr>
      </w:pPr>
      <w:r>
        <w:rPr>
          <w:rFonts w:hint="eastAsia" w:ascii="宋体" w:hAnsi="宋体" w:cs="宋体"/>
          <w:b/>
          <w:bCs/>
          <w:color w:val="auto"/>
          <w:sz w:val="72"/>
          <w:szCs w:val="72"/>
          <w:highlight w:val="none"/>
        </w:rPr>
        <w:t>竞争性磋商文件</w:t>
      </w:r>
    </w:p>
    <w:p>
      <w:pPr>
        <w:spacing w:after="240"/>
        <w:jc w:val="center"/>
        <w:rPr>
          <w:rFonts w:ascii="宋体" w:hAnsi="宋体"/>
          <w:color w:val="auto"/>
          <w:sz w:val="32"/>
          <w:szCs w:val="32"/>
          <w:highlight w:val="none"/>
        </w:rPr>
      </w:pPr>
      <w:r>
        <w:rPr>
          <w:rFonts w:hint="eastAsia" w:ascii="宋体" w:hAnsi="宋体"/>
          <w:color w:val="auto"/>
          <w:sz w:val="32"/>
          <w:szCs w:val="32"/>
          <w:highlight w:val="none"/>
        </w:rPr>
        <w:t>（政府采购电子交易项目）</w:t>
      </w: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50" w:line="480" w:lineRule="exact"/>
        <w:jc w:val="center"/>
        <w:outlineLvl w:val="0"/>
        <w:rPr>
          <w:rFonts w:ascii="宋体" w:hAnsi="宋体"/>
          <w:b/>
          <w:bCs/>
          <w:color w:val="auto"/>
          <w:sz w:val="44"/>
          <w:szCs w:val="44"/>
          <w:highlight w:val="none"/>
        </w:rPr>
      </w:pPr>
    </w:p>
    <w:p>
      <w:pPr>
        <w:spacing w:afterLines="100"/>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 购 人：</w:t>
      </w:r>
      <w:r>
        <w:rPr>
          <w:rFonts w:hint="eastAsia" w:ascii="宋体" w:hAnsi="宋体"/>
          <w:color w:val="auto"/>
          <w:sz w:val="32"/>
          <w:szCs w:val="32"/>
          <w:highlight w:val="none"/>
          <w:lang w:eastAsia="zh-CN"/>
        </w:rPr>
        <w:t>宁波市实验学校</w:t>
      </w:r>
    </w:p>
    <w:p>
      <w:pPr>
        <w:spacing w:afterLines="100"/>
        <w:jc w:val="center"/>
        <w:rPr>
          <w:rFonts w:ascii="宋体" w:hAnsi="宋体"/>
          <w:color w:val="auto"/>
          <w:sz w:val="32"/>
          <w:szCs w:val="32"/>
          <w:highlight w:val="none"/>
        </w:rPr>
      </w:pPr>
      <w:r>
        <w:rPr>
          <w:rFonts w:hint="eastAsia" w:ascii="宋体" w:hAnsi="宋体"/>
          <w:color w:val="auto"/>
          <w:sz w:val="32"/>
          <w:szCs w:val="32"/>
          <w:highlight w:val="none"/>
        </w:rPr>
        <w:t>代理机构：宁波名诚招标代理有限公司</w:t>
      </w:r>
    </w:p>
    <w:p>
      <w:pPr>
        <w:spacing w:afterLines="100"/>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编制日期：</w:t>
      </w:r>
      <w:r>
        <w:rPr>
          <w:rFonts w:hint="eastAsia" w:ascii="宋体" w:hAnsi="宋体"/>
          <w:color w:val="auto"/>
          <w:sz w:val="32"/>
          <w:szCs w:val="32"/>
          <w:highlight w:val="none"/>
          <w:lang w:eastAsia="zh-CN"/>
        </w:rPr>
        <w:t>2024年6月</w:t>
      </w:r>
    </w:p>
    <w:p>
      <w:pPr>
        <w:spacing w:afterLines="50" w:line="480" w:lineRule="exact"/>
        <w:jc w:val="center"/>
        <w:outlineLvl w:val="0"/>
        <w:rPr>
          <w:rFonts w:ascii="宋体" w:hAnsi="宋体"/>
          <w:b/>
          <w:color w:val="auto"/>
          <w:sz w:val="28"/>
          <w:highlight w:val="none"/>
        </w:rPr>
      </w:pPr>
      <w:r>
        <w:rPr>
          <w:rFonts w:ascii="宋体" w:hAnsi="宋体"/>
          <w:b/>
          <w:bCs/>
          <w:color w:val="auto"/>
          <w:sz w:val="44"/>
          <w:szCs w:val="44"/>
          <w:highlight w:val="none"/>
        </w:rPr>
        <w:br w:type="page"/>
      </w:r>
      <w:r>
        <w:rPr>
          <w:rFonts w:ascii="宋体" w:hAnsi="宋体"/>
          <w:b/>
          <w:color w:val="auto"/>
          <w:sz w:val="28"/>
          <w:highlight w:val="none"/>
          <w:lang w:val="zh-CN"/>
        </w:rPr>
        <w:t>目</w:t>
      </w:r>
      <w:r>
        <w:rPr>
          <w:rFonts w:hint="eastAsia" w:ascii="宋体" w:hAnsi="宋体"/>
          <w:b/>
          <w:color w:val="auto"/>
          <w:sz w:val="28"/>
          <w:highlight w:val="none"/>
          <w:lang w:val="zh-CN"/>
        </w:rPr>
        <w:t xml:space="preserve">  </w:t>
      </w:r>
      <w:r>
        <w:rPr>
          <w:rFonts w:ascii="宋体" w:hAnsi="宋体"/>
          <w:b/>
          <w:color w:val="auto"/>
          <w:sz w:val="28"/>
          <w:highlight w:val="none"/>
          <w:lang w:val="zh-CN"/>
        </w:rPr>
        <w:t>录</w:t>
      </w:r>
    </w:p>
    <w:p>
      <w:pPr>
        <w:pStyle w:val="31"/>
        <w:tabs>
          <w:tab w:val="right" w:leader="dot" w:pos="8864"/>
        </w:tabs>
        <w:spacing w:line="360" w:lineRule="auto"/>
        <w:rPr>
          <w:rFonts w:ascii="宋体" w:hAnsi="宋体"/>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"_Toc35945391" </w:instrText>
      </w:r>
      <w:r>
        <w:rPr>
          <w:color w:val="auto"/>
          <w:highlight w:val="none"/>
        </w:rPr>
        <w:fldChar w:fldCharType="separate"/>
      </w:r>
      <w:r>
        <w:rPr>
          <w:rFonts w:hint="eastAsia" w:ascii="宋体" w:hAnsi="宋体" w:cs="宋体"/>
          <w:bCs/>
          <w:color w:val="auto"/>
          <w:sz w:val="24"/>
          <w:szCs w:val="24"/>
          <w:highlight w:val="none"/>
        </w:rPr>
        <w:t>第一章  采购邀请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_Toc35945391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31"/>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"_Toc35945392" </w:instrText>
      </w:r>
      <w:r>
        <w:rPr>
          <w:color w:val="auto"/>
          <w:highlight w:val="none"/>
        </w:rPr>
        <w:fldChar w:fldCharType="separate"/>
      </w:r>
      <w:r>
        <w:rPr>
          <w:rFonts w:hint="eastAsia" w:ascii="宋体" w:hAnsi="宋体" w:cs="宋体"/>
          <w:bCs/>
          <w:color w:val="auto"/>
          <w:sz w:val="24"/>
          <w:szCs w:val="24"/>
          <w:highlight w:val="none"/>
        </w:rPr>
        <w:t>第二章  采购需求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_Toc35945392 \h </w:instrText>
      </w:r>
      <w:r>
        <w:rPr>
          <w:rFonts w:ascii="宋体" w:hAnsi="宋体"/>
          <w:color w:val="auto"/>
          <w:sz w:val="24"/>
          <w:szCs w:val="24"/>
          <w:highlight w:val="none"/>
        </w:rPr>
        <w:fldChar w:fldCharType="separate"/>
      </w:r>
      <w:r>
        <w:rPr>
          <w:rFonts w:ascii="宋体" w:hAnsi="宋体"/>
          <w:color w:val="auto"/>
          <w:sz w:val="24"/>
          <w:szCs w:val="24"/>
          <w:highlight w:val="none"/>
        </w:rPr>
        <w:t>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31"/>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"_Toc35945393" </w:instrText>
      </w:r>
      <w:r>
        <w:rPr>
          <w:color w:val="auto"/>
          <w:highlight w:val="none"/>
        </w:rPr>
        <w:fldChar w:fldCharType="separate"/>
      </w:r>
      <w:r>
        <w:rPr>
          <w:rFonts w:hint="eastAsia" w:ascii="宋体" w:hAnsi="宋体" w:cs="宋体"/>
          <w:bCs/>
          <w:color w:val="auto"/>
          <w:sz w:val="24"/>
          <w:szCs w:val="24"/>
          <w:highlight w:val="none"/>
        </w:rPr>
        <w:t>第三章  供应商须知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_Toc35945393 \h </w:instrText>
      </w:r>
      <w:r>
        <w:rPr>
          <w:rFonts w:ascii="宋体" w:hAnsi="宋体"/>
          <w:color w:val="auto"/>
          <w:sz w:val="24"/>
          <w:szCs w:val="24"/>
          <w:highlight w:val="none"/>
        </w:rPr>
        <w:fldChar w:fldCharType="separate"/>
      </w:r>
      <w:r>
        <w:rPr>
          <w:rFonts w:ascii="宋体" w:hAnsi="宋体"/>
          <w:color w:val="auto"/>
          <w:sz w:val="24"/>
          <w:szCs w:val="24"/>
          <w:highlight w:val="none"/>
        </w:rPr>
        <w:t>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31"/>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"_Toc35945394" </w:instrText>
      </w:r>
      <w:r>
        <w:rPr>
          <w:color w:val="auto"/>
          <w:highlight w:val="none"/>
        </w:rPr>
        <w:fldChar w:fldCharType="separate"/>
      </w:r>
      <w:r>
        <w:rPr>
          <w:rFonts w:hint="eastAsia" w:ascii="宋体" w:hAnsi="宋体" w:cs="宋体"/>
          <w:bCs/>
          <w:color w:val="auto"/>
          <w:sz w:val="24"/>
          <w:szCs w:val="24"/>
          <w:highlight w:val="none"/>
        </w:rPr>
        <w:t>第四章  评审方法、评审标准</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_Toc35945394 \h </w:instrText>
      </w:r>
      <w:r>
        <w:rPr>
          <w:rFonts w:ascii="宋体" w:hAnsi="宋体"/>
          <w:color w:val="auto"/>
          <w:sz w:val="24"/>
          <w:szCs w:val="24"/>
          <w:highlight w:val="none"/>
        </w:rPr>
        <w:fldChar w:fldCharType="separate"/>
      </w:r>
      <w:r>
        <w:rPr>
          <w:rFonts w:ascii="宋体" w:hAnsi="宋体"/>
          <w:color w:val="auto"/>
          <w:sz w:val="24"/>
          <w:szCs w:val="24"/>
          <w:highlight w:val="none"/>
        </w:rPr>
        <w:t>18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31"/>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"_Toc35945395" </w:instrText>
      </w:r>
      <w:r>
        <w:rPr>
          <w:color w:val="auto"/>
          <w:highlight w:val="none"/>
        </w:rPr>
        <w:fldChar w:fldCharType="separate"/>
      </w:r>
      <w:r>
        <w:rPr>
          <w:rFonts w:hint="eastAsia" w:ascii="宋体" w:hAnsi="宋体" w:cs="宋体"/>
          <w:bCs/>
          <w:color w:val="auto"/>
          <w:sz w:val="24"/>
          <w:szCs w:val="24"/>
          <w:highlight w:val="none"/>
        </w:rPr>
        <w:t>第五章  采购合同样本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_Toc35945395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31"/>
        <w:tabs>
          <w:tab w:val="right" w:leader="dot" w:pos="8864"/>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"_Toc35945396" </w:instrText>
      </w:r>
      <w:r>
        <w:rPr>
          <w:color w:val="auto"/>
          <w:highlight w:val="none"/>
        </w:rPr>
        <w:fldChar w:fldCharType="separate"/>
      </w:r>
      <w:r>
        <w:rPr>
          <w:rFonts w:hint="eastAsia" w:ascii="宋体" w:hAnsi="宋体" w:cs="宋体"/>
          <w:bCs/>
          <w:color w:val="auto"/>
          <w:sz w:val="24"/>
          <w:szCs w:val="24"/>
          <w:highlight w:val="none"/>
        </w:rPr>
        <w:t>第六章  响应文件格式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_Toc35945396 \h </w:instrText>
      </w:r>
      <w:r>
        <w:rPr>
          <w:rFonts w:ascii="宋体" w:hAnsi="宋体"/>
          <w:color w:val="auto"/>
          <w:sz w:val="24"/>
          <w:szCs w:val="24"/>
          <w:highlight w:val="none"/>
        </w:rPr>
        <w:fldChar w:fldCharType="separate"/>
      </w:r>
      <w:r>
        <w:rPr>
          <w:rFonts w:ascii="宋体" w:hAnsi="宋体"/>
          <w:color w:val="auto"/>
          <w:sz w:val="24"/>
          <w:szCs w:val="24"/>
          <w:highlight w:val="none"/>
        </w:rPr>
        <w:t>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spacing w:line="360" w:lineRule="auto"/>
        <w:rPr>
          <w:rFonts w:ascii="宋体" w:hAnsi="宋体"/>
          <w:color w:val="auto"/>
          <w:highlight w:val="none"/>
        </w:rPr>
      </w:pPr>
      <w:r>
        <w:rPr>
          <w:rFonts w:ascii="宋体" w:hAnsi="宋体"/>
          <w:bCs/>
          <w:color w:val="auto"/>
          <w:sz w:val="24"/>
          <w:szCs w:val="24"/>
          <w:highlight w:val="none"/>
          <w:lang w:val="zh-CN"/>
        </w:rPr>
        <w:fldChar w:fldCharType="end"/>
      </w:r>
    </w:p>
    <w:p>
      <w:pPr>
        <w:spacing w:line="360" w:lineRule="auto"/>
        <w:rPr>
          <w:rFonts w:ascii="宋体" w:hAnsi="宋体"/>
          <w:b/>
          <w:bCs/>
          <w:color w:val="auto"/>
          <w:sz w:val="32"/>
          <w:szCs w:val="32"/>
          <w:highlight w:val="none"/>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p>
    <w:p>
      <w:pPr>
        <w:spacing w:afterLines="50" w:line="480" w:lineRule="exact"/>
        <w:jc w:val="center"/>
        <w:outlineLvl w:val="0"/>
        <w:rPr>
          <w:rFonts w:ascii="宋体" w:hAnsi="宋体" w:cs="宋体"/>
          <w:b/>
          <w:bCs/>
          <w:color w:val="auto"/>
          <w:sz w:val="24"/>
          <w:szCs w:val="30"/>
          <w:highlight w:val="none"/>
        </w:rPr>
      </w:pPr>
      <w:bookmarkStart w:id="0" w:name="_Toc35945297"/>
      <w:bookmarkStart w:id="1" w:name="_Toc35945324"/>
      <w:bookmarkStart w:id="2" w:name="_Toc35945391"/>
      <w:r>
        <w:rPr>
          <w:rFonts w:hint="eastAsia" w:ascii="宋体" w:hAnsi="宋体" w:cs="宋体"/>
          <w:b/>
          <w:bCs/>
          <w:color w:val="auto"/>
          <w:sz w:val="24"/>
          <w:szCs w:val="30"/>
          <w:highlight w:val="none"/>
        </w:rPr>
        <w:t>第一章  采购邀请</w:t>
      </w:r>
      <w:bookmarkEnd w:id="0"/>
      <w:bookmarkEnd w:id="1"/>
      <w:bookmarkEnd w:id="2"/>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bCs/>
          <w:color w:val="auto"/>
          <w:highlight w:val="none"/>
          <w:u w:val="single"/>
        </w:rPr>
      </w:pPr>
      <w:r>
        <w:rPr>
          <w:rFonts w:hint="eastAsia" w:ascii="宋体" w:hAnsi="宋体"/>
          <w:color w:val="auto"/>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bCs/>
          <w:color w:val="auto"/>
          <w:highlight w:val="none"/>
          <w:u w:val="single"/>
          <w:lang w:eastAsia="zh-CN"/>
        </w:rPr>
        <w:t>宁波市实验学校2024年度职工疗休养项目</w:t>
      </w:r>
      <w:r>
        <w:rPr>
          <w:rFonts w:hint="eastAsia" w:ascii="宋体" w:hAnsi="宋体"/>
          <w:bCs/>
          <w:color w:val="auto"/>
          <w:highlight w:val="none"/>
          <w:u w:val="single"/>
        </w:rPr>
        <w:t>的潜在供应商应在政采云平台（</w:t>
      </w:r>
      <w:r>
        <w:rPr>
          <w:color w:val="auto"/>
          <w:highlight w:val="none"/>
        </w:rPr>
        <w:fldChar w:fldCharType="begin"/>
      </w:r>
      <w:r>
        <w:rPr>
          <w:color w:val="auto"/>
          <w:highlight w:val="none"/>
        </w:rPr>
        <w:instrText xml:space="preserve"> HYPERLINK "http://zfcg.czt.zj.gov.cn）获取采购文件，并于2023年4月" </w:instrText>
      </w:r>
      <w:r>
        <w:rPr>
          <w:color w:val="auto"/>
          <w:highlight w:val="none"/>
        </w:rPr>
        <w:fldChar w:fldCharType="separate"/>
      </w:r>
      <w:r>
        <w:rPr>
          <w:rStyle w:val="52"/>
          <w:rFonts w:hint="eastAsia" w:ascii="宋体" w:hAnsi="宋体"/>
          <w:color w:val="auto"/>
          <w:highlight w:val="none"/>
        </w:rPr>
        <w:t>http://zfcg.czt.zj.gov.cn）获取采购文件，并于</w:t>
      </w:r>
      <w:r>
        <w:rPr>
          <w:rStyle w:val="52"/>
          <w:rFonts w:hint="eastAsia" w:ascii="宋体" w:hAnsi="宋体"/>
          <w:color w:val="auto"/>
          <w:highlight w:val="none"/>
          <w:lang w:eastAsia="zh-CN"/>
        </w:rPr>
        <w:t>2024年6月</w:t>
      </w:r>
      <w:r>
        <w:rPr>
          <w:rStyle w:val="52"/>
          <w:rFonts w:hint="eastAsia"/>
          <w:bCs/>
          <w:color w:val="auto"/>
          <w:highlight w:val="none"/>
        </w:rPr>
        <w:fldChar w:fldCharType="end"/>
      </w:r>
      <w:r>
        <w:rPr>
          <w:rFonts w:hint="eastAsia" w:ascii="宋体" w:hAnsi="宋体"/>
          <w:color w:val="auto"/>
          <w:highlight w:val="none"/>
          <w:u w:val="single"/>
          <w:lang w:val="en-US" w:eastAsia="zh-CN"/>
        </w:rPr>
        <w:t>17</w:t>
      </w:r>
      <w:r>
        <w:rPr>
          <w:rFonts w:hint="eastAsia" w:ascii="宋体" w:hAnsi="宋体"/>
          <w:bCs/>
          <w:color w:val="auto"/>
          <w:highlight w:val="none"/>
          <w:u w:val="single"/>
        </w:rPr>
        <w:t>日14点00分</w:t>
      </w:r>
      <w:r>
        <w:rPr>
          <w:rFonts w:hint="eastAsia" w:ascii="宋体" w:hAnsi="宋体"/>
          <w:bCs/>
          <w:color w:val="auto"/>
          <w:highlight w:val="none"/>
        </w:rPr>
        <w:t>（北京时间）前提交响应</w:t>
      </w:r>
      <w:r>
        <w:rPr>
          <w:rFonts w:ascii="宋体" w:hAnsi="宋体"/>
          <w:bCs/>
          <w:color w:val="auto"/>
          <w:highlight w:val="none"/>
        </w:rPr>
        <w:t>文件</w:t>
      </w:r>
      <w:r>
        <w:rPr>
          <w:rFonts w:hint="eastAsia" w:ascii="宋体" w:hAnsi="宋体"/>
          <w:color w:val="auto"/>
          <w:highlight w:val="none"/>
        </w:rPr>
        <w:t>。</w:t>
      </w:r>
    </w:p>
    <w:p>
      <w:pPr>
        <w:rPr>
          <w:rFonts w:ascii="宋体" w:hAnsi="宋体"/>
          <w:color w:val="auto"/>
          <w:highlight w:val="none"/>
        </w:rPr>
      </w:pPr>
    </w:p>
    <w:p>
      <w:pPr>
        <w:pStyle w:val="4"/>
        <w:spacing w:beforeLines="0" w:afterLines="0" w:line="360" w:lineRule="auto"/>
        <w:rPr>
          <w:b w:val="0"/>
          <w:color w:val="auto"/>
          <w:highlight w:val="none"/>
        </w:rPr>
      </w:pPr>
      <w:bookmarkStart w:id="3" w:name="_Toc28359012"/>
      <w:bookmarkStart w:id="4" w:name="_Toc35393798"/>
      <w:bookmarkStart w:id="5" w:name="_Toc28359089"/>
      <w:bookmarkStart w:id="6" w:name="_Toc35393629"/>
      <w:r>
        <w:rPr>
          <w:rFonts w:hint="eastAsia"/>
          <w:b w:val="0"/>
          <w:color w:val="auto"/>
          <w:highlight w:val="none"/>
        </w:rPr>
        <w:t>一、项目基本情况</w:t>
      </w:r>
      <w:bookmarkEnd w:id="3"/>
      <w:bookmarkEnd w:id="4"/>
      <w:bookmarkEnd w:id="5"/>
      <w:bookmarkEnd w:id="6"/>
    </w:p>
    <w:p>
      <w:pPr>
        <w:spacing w:line="360" w:lineRule="auto"/>
        <w:ind w:firstLine="420" w:firstLineChars="200"/>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lang w:eastAsia="zh-CN"/>
        </w:rPr>
        <w:t xml:space="preserve">2024NBHSWCS204    </w:t>
      </w:r>
      <w:r>
        <w:rPr>
          <w:rFonts w:hint="eastAsia" w:ascii="宋体" w:hAnsi="宋体"/>
          <w:color w:val="auto"/>
          <w:highlight w:val="none"/>
        </w:rPr>
        <w:t xml:space="preserve">    </w:t>
      </w:r>
    </w:p>
    <w:p>
      <w:pPr>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rPr>
        <w:t>项目名称：</w:t>
      </w:r>
      <w:r>
        <w:rPr>
          <w:rFonts w:hint="eastAsia" w:ascii="宋体" w:hAnsi="宋体"/>
          <w:color w:val="auto"/>
          <w:highlight w:val="none"/>
          <w:lang w:eastAsia="zh-CN"/>
        </w:rPr>
        <w:t>宁波市实验学校2024年度职工疗休养项目</w:t>
      </w:r>
    </w:p>
    <w:p>
      <w:pPr>
        <w:spacing w:line="360" w:lineRule="auto"/>
        <w:ind w:firstLine="420" w:firstLineChars="200"/>
        <w:rPr>
          <w:rFonts w:ascii="宋体" w:hAnsi="宋体"/>
          <w:color w:val="auto"/>
          <w:highlight w:val="none"/>
        </w:rPr>
      </w:pPr>
      <w:r>
        <w:rPr>
          <w:rFonts w:hint="eastAsia" w:ascii="宋体" w:hAnsi="宋体"/>
          <w:color w:val="auto"/>
          <w:highlight w:val="none"/>
        </w:rPr>
        <w:t>采购方式：竞争性磋商</w:t>
      </w:r>
    </w:p>
    <w:p>
      <w:pPr>
        <w:spacing w:line="360" w:lineRule="auto"/>
        <w:ind w:firstLine="420" w:firstLineChars="200"/>
        <w:rPr>
          <w:rFonts w:ascii="宋体" w:hAnsi="宋体"/>
          <w:color w:val="auto"/>
          <w:highlight w:val="none"/>
        </w:rPr>
      </w:pPr>
      <w:r>
        <w:rPr>
          <w:rFonts w:hint="eastAsia" w:ascii="宋体" w:hAnsi="宋体"/>
          <w:color w:val="auto"/>
          <w:highlight w:val="none"/>
        </w:rPr>
        <w:t>预算金额：</w:t>
      </w:r>
      <w:r>
        <w:rPr>
          <w:rFonts w:hint="eastAsia" w:ascii="宋体" w:hAnsi="宋体"/>
          <w:color w:val="auto"/>
          <w:highlight w:val="none"/>
          <w:u w:val="single"/>
          <w:lang w:val="en-US" w:eastAsia="zh-CN"/>
        </w:rPr>
        <w:t>610500</w:t>
      </w:r>
      <w:r>
        <w:rPr>
          <w:rFonts w:hint="eastAsia" w:ascii="宋体" w:hAnsi="宋体"/>
          <w:color w:val="auto"/>
          <w:highlight w:val="none"/>
          <w:u w:val="single"/>
        </w:rPr>
        <w:t>元</w:t>
      </w:r>
    </w:p>
    <w:p>
      <w:pPr>
        <w:spacing w:line="360" w:lineRule="auto"/>
        <w:ind w:firstLine="420" w:firstLineChars="200"/>
        <w:rPr>
          <w:rFonts w:ascii="宋体" w:hAnsi="宋体"/>
          <w:color w:val="auto"/>
          <w:highlight w:val="none"/>
        </w:rPr>
      </w:pPr>
      <w:r>
        <w:rPr>
          <w:rFonts w:hint="eastAsia" w:ascii="宋体" w:hAnsi="宋体"/>
          <w:color w:val="auto"/>
          <w:highlight w:val="none"/>
        </w:rPr>
        <w:t>最高限价：</w:t>
      </w:r>
      <w:r>
        <w:rPr>
          <w:rFonts w:hint="eastAsia" w:ascii="宋体" w:hAnsi="宋体"/>
          <w:color w:val="auto"/>
          <w:highlight w:val="none"/>
          <w:u w:val="single"/>
        </w:rPr>
        <w:t>/</w:t>
      </w:r>
      <w:r>
        <w:rPr>
          <w:rFonts w:ascii="宋体" w:hAnsi="宋体"/>
          <w:color w:val="auto"/>
          <w:highlight w:val="none"/>
          <w:u w:val="single"/>
        </w:rPr>
        <w:t xml:space="preserve"> </w:t>
      </w:r>
      <w:r>
        <w:rPr>
          <w:rFonts w:hint="eastAsia" w:ascii="宋体" w:hAnsi="宋体"/>
          <w:color w:val="auto"/>
          <w:highlight w:val="none"/>
        </w:rPr>
        <w:t>元</w:t>
      </w:r>
    </w:p>
    <w:p>
      <w:pPr>
        <w:pStyle w:val="15"/>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采购需求：</w:t>
      </w:r>
    </w:p>
    <w:p>
      <w:pPr>
        <w:spacing w:line="400" w:lineRule="exact"/>
        <w:ind w:firstLine="420" w:firstLineChars="200"/>
        <w:rPr>
          <w:rFonts w:ascii="宋体" w:hAnsi="宋体"/>
          <w:highlight w:val="none"/>
        </w:rPr>
      </w:pPr>
      <w:r>
        <w:rPr>
          <w:rFonts w:hint="eastAsia" w:ascii="宋体" w:hAnsi="宋体"/>
          <w:highlight w:val="none"/>
        </w:rPr>
        <w:t>标项一</w:t>
      </w:r>
    </w:p>
    <w:p>
      <w:pPr>
        <w:spacing w:line="400" w:lineRule="exact"/>
        <w:ind w:firstLine="420" w:firstLineChars="200"/>
        <w:rPr>
          <w:rFonts w:hint="default" w:ascii="宋体" w:hAnsi="宋体" w:eastAsia="宋体"/>
          <w:highlight w:val="none"/>
          <w:lang w:val="en-US" w:eastAsia="zh-CN"/>
        </w:rPr>
      </w:pPr>
      <w:r>
        <w:rPr>
          <w:rFonts w:hint="eastAsia" w:ascii="宋体" w:hAnsi="宋体"/>
          <w:highlight w:val="none"/>
        </w:rPr>
        <w:t>标的名称：</w:t>
      </w:r>
      <w:r>
        <w:rPr>
          <w:rFonts w:hint="eastAsia" w:ascii="宋体" w:hAnsi="宋体"/>
          <w:highlight w:val="none"/>
          <w:lang w:val="en-US" w:eastAsia="zh-CN"/>
        </w:rPr>
        <w:t>江西、宁波周边疗休养服务</w:t>
      </w:r>
    </w:p>
    <w:p>
      <w:pPr>
        <w:spacing w:line="400" w:lineRule="exact"/>
        <w:ind w:firstLine="420" w:firstLineChars="200"/>
        <w:rPr>
          <w:rFonts w:ascii="宋体" w:hAnsi="宋体"/>
          <w:highlight w:val="none"/>
        </w:rPr>
      </w:pPr>
      <w:r>
        <w:rPr>
          <w:rFonts w:hint="eastAsia" w:ascii="宋体" w:hAnsi="宋体"/>
          <w:highlight w:val="none"/>
        </w:rPr>
        <w:t>数量:1</w:t>
      </w:r>
    </w:p>
    <w:p>
      <w:pPr>
        <w:spacing w:line="400" w:lineRule="exact"/>
        <w:ind w:firstLine="420" w:firstLineChars="200"/>
        <w:rPr>
          <w:rFonts w:hint="eastAsia" w:ascii="宋体" w:hAnsi="宋体"/>
          <w:highlight w:val="none"/>
          <w:lang w:val="en-US" w:eastAsia="zh-CN"/>
        </w:rPr>
      </w:pPr>
      <w:r>
        <w:rPr>
          <w:rFonts w:hint="eastAsia" w:ascii="宋体" w:hAnsi="宋体"/>
          <w:highlight w:val="none"/>
        </w:rPr>
        <w:t>预算金额（元）：</w:t>
      </w:r>
      <w:r>
        <w:rPr>
          <w:rFonts w:hint="eastAsia" w:ascii="宋体" w:hAnsi="宋体"/>
          <w:highlight w:val="none"/>
          <w:lang w:val="en-US" w:eastAsia="zh-CN"/>
        </w:rPr>
        <w:t>165000</w:t>
      </w:r>
    </w:p>
    <w:p>
      <w:pPr>
        <w:spacing w:line="400" w:lineRule="exact"/>
        <w:ind w:firstLine="420" w:firstLineChars="200"/>
        <w:rPr>
          <w:rFonts w:ascii="宋体" w:hAnsi="宋体"/>
          <w:highlight w:val="none"/>
        </w:rPr>
      </w:pPr>
      <w:r>
        <w:rPr>
          <w:rFonts w:hint="eastAsia" w:ascii="宋体" w:hAnsi="宋体"/>
          <w:highlight w:val="none"/>
        </w:rPr>
        <w:t>单位：项</w:t>
      </w:r>
    </w:p>
    <w:p>
      <w:pPr>
        <w:spacing w:line="400" w:lineRule="exact"/>
        <w:ind w:firstLine="420" w:firstLineChars="200"/>
        <w:rPr>
          <w:rFonts w:ascii="宋体" w:hAnsi="宋体"/>
          <w:highlight w:val="none"/>
        </w:rPr>
      </w:pPr>
      <w:r>
        <w:rPr>
          <w:rFonts w:hint="eastAsia" w:ascii="宋体" w:hAnsi="宋体"/>
          <w:highlight w:val="none"/>
        </w:rPr>
        <w:t xml:space="preserve">简要技术需求或服务要求: </w:t>
      </w:r>
      <w:r>
        <w:rPr>
          <w:rFonts w:hint="eastAsia" w:ascii="宋体" w:hAnsi="宋体" w:cs="宋体"/>
          <w:sz w:val="21"/>
          <w:szCs w:val="21"/>
          <w:highlight w:val="none"/>
          <w:lang w:val="zh-CN"/>
        </w:rPr>
        <w:t>制定具体疗休养线路并提供全程服务。</w:t>
      </w:r>
    </w:p>
    <w:p>
      <w:pPr>
        <w:spacing w:line="400" w:lineRule="exact"/>
        <w:ind w:firstLine="420" w:firstLineChars="200"/>
        <w:rPr>
          <w:rFonts w:ascii="宋体" w:hAnsi="宋体"/>
          <w:highlight w:val="none"/>
        </w:rPr>
      </w:pPr>
      <w:r>
        <w:rPr>
          <w:rFonts w:ascii="宋体" w:hAnsi="宋体"/>
          <w:highlight w:val="none"/>
        </w:rPr>
        <w:t>备注：无</w:t>
      </w:r>
    </w:p>
    <w:p>
      <w:pPr>
        <w:spacing w:line="400" w:lineRule="exact"/>
        <w:ind w:firstLine="420" w:firstLineChars="200"/>
        <w:rPr>
          <w:rFonts w:ascii="宋体" w:hAnsi="宋体"/>
          <w:highlight w:val="none"/>
        </w:rPr>
      </w:pPr>
      <w:r>
        <w:rPr>
          <w:rFonts w:hint="eastAsia" w:ascii="宋体" w:hAnsi="宋体"/>
          <w:highlight w:val="none"/>
        </w:rPr>
        <w:t>标项二</w:t>
      </w:r>
    </w:p>
    <w:p>
      <w:pPr>
        <w:spacing w:line="400" w:lineRule="exact"/>
        <w:ind w:firstLine="420" w:firstLineChars="200"/>
        <w:rPr>
          <w:rFonts w:hint="default" w:ascii="宋体" w:hAnsi="宋体" w:eastAsia="宋体"/>
          <w:highlight w:val="none"/>
          <w:lang w:val="en-US" w:eastAsia="zh-CN"/>
        </w:rPr>
      </w:pPr>
      <w:r>
        <w:rPr>
          <w:rFonts w:hint="eastAsia" w:ascii="宋体" w:hAnsi="宋体"/>
          <w:highlight w:val="none"/>
        </w:rPr>
        <w:t>标的名称：</w:t>
      </w:r>
      <w:r>
        <w:rPr>
          <w:rFonts w:hint="eastAsia" w:ascii="宋体" w:hAnsi="宋体"/>
          <w:highlight w:val="none"/>
          <w:lang w:val="en-US" w:eastAsia="zh-CN"/>
        </w:rPr>
        <w:t>安徽、宁波周边疗休养服务</w:t>
      </w:r>
    </w:p>
    <w:p>
      <w:pPr>
        <w:spacing w:line="400" w:lineRule="exact"/>
        <w:ind w:firstLine="420" w:firstLineChars="200"/>
        <w:rPr>
          <w:rFonts w:ascii="宋体" w:hAnsi="宋体"/>
          <w:highlight w:val="none"/>
        </w:rPr>
      </w:pPr>
      <w:r>
        <w:rPr>
          <w:rFonts w:hint="eastAsia" w:ascii="宋体" w:hAnsi="宋体"/>
          <w:highlight w:val="none"/>
        </w:rPr>
        <w:t>数量:1</w:t>
      </w:r>
    </w:p>
    <w:p>
      <w:pPr>
        <w:spacing w:line="400" w:lineRule="exact"/>
        <w:ind w:firstLine="420" w:firstLineChars="200"/>
        <w:rPr>
          <w:rFonts w:ascii="宋体" w:hAnsi="宋体"/>
          <w:highlight w:val="none"/>
        </w:rPr>
      </w:pPr>
      <w:r>
        <w:rPr>
          <w:rFonts w:hint="eastAsia" w:ascii="宋体" w:hAnsi="宋体"/>
          <w:highlight w:val="none"/>
        </w:rPr>
        <w:t>预算金额（元）：</w:t>
      </w:r>
      <w:r>
        <w:rPr>
          <w:rFonts w:hint="eastAsia" w:ascii="宋体" w:hAnsi="宋体"/>
          <w:highlight w:val="none"/>
          <w:lang w:val="en-US" w:eastAsia="zh-CN"/>
        </w:rPr>
        <w:t>2325</w:t>
      </w:r>
      <w:r>
        <w:rPr>
          <w:rFonts w:hint="eastAsia" w:ascii="宋体" w:hAnsi="宋体"/>
          <w:highlight w:val="none"/>
        </w:rPr>
        <w:t>00</w:t>
      </w:r>
    </w:p>
    <w:p>
      <w:pPr>
        <w:spacing w:line="400" w:lineRule="exact"/>
        <w:ind w:firstLine="420" w:firstLineChars="200"/>
        <w:rPr>
          <w:rFonts w:ascii="宋体" w:hAnsi="宋体"/>
          <w:highlight w:val="none"/>
        </w:rPr>
      </w:pPr>
      <w:r>
        <w:rPr>
          <w:rFonts w:hint="eastAsia" w:ascii="宋体" w:hAnsi="宋体"/>
          <w:highlight w:val="none"/>
        </w:rPr>
        <w:t>单位：项</w:t>
      </w:r>
    </w:p>
    <w:p>
      <w:pPr>
        <w:spacing w:line="400" w:lineRule="exact"/>
        <w:ind w:firstLine="420" w:firstLineChars="200"/>
        <w:rPr>
          <w:rFonts w:ascii="宋体" w:hAnsi="宋体"/>
          <w:highlight w:val="none"/>
        </w:rPr>
      </w:pPr>
      <w:r>
        <w:rPr>
          <w:rFonts w:hint="eastAsia" w:ascii="宋体" w:hAnsi="宋体"/>
          <w:highlight w:val="none"/>
        </w:rPr>
        <w:t xml:space="preserve">简要技术需求或服务要求: </w:t>
      </w:r>
      <w:r>
        <w:rPr>
          <w:rFonts w:hint="eastAsia" w:ascii="宋体" w:hAnsi="宋体" w:cs="宋体"/>
          <w:sz w:val="21"/>
          <w:szCs w:val="21"/>
          <w:highlight w:val="none"/>
          <w:lang w:val="zh-CN"/>
        </w:rPr>
        <w:t>制定具体疗休养线路并提供全程服务。</w:t>
      </w:r>
    </w:p>
    <w:p>
      <w:pPr>
        <w:spacing w:line="400" w:lineRule="exact"/>
        <w:ind w:firstLine="420" w:firstLineChars="200"/>
        <w:rPr>
          <w:rFonts w:ascii="宋体" w:hAnsi="宋体"/>
          <w:highlight w:val="none"/>
        </w:rPr>
      </w:pPr>
      <w:r>
        <w:rPr>
          <w:rFonts w:ascii="宋体" w:hAnsi="宋体"/>
          <w:highlight w:val="none"/>
        </w:rPr>
        <w:t>备注：无</w:t>
      </w:r>
    </w:p>
    <w:p>
      <w:pPr>
        <w:spacing w:line="400" w:lineRule="exact"/>
        <w:ind w:firstLine="420" w:firstLineChars="200"/>
        <w:rPr>
          <w:rFonts w:hint="eastAsia" w:ascii="宋体" w:hAnsi="宋体" w:eastAsia="宋体"/>
          <w:highlight w:val="none"/>
          <w:lang w:eastAsia="zh-CN"/>
        </w:rPr>
      </w:pPr>
      <w:r>
        <w:rPr>
          <w:rFonts w:hint="eastAsia" w:ascii="宋体" w:hAnsi="宋体"/>
          <w:highlight w:val="none"/>
        </w:rPr>
        <w:t>标项</w:t>
      </w:r>
      <w:r>
        <w:rPr>
          <w:rFonts w:hint="eastAsia" w:ascii="宋体" w:hAnsi="宋体"/>
          <w:highlight w:val="none"/>
          <w:lang w:val="en-US" w:eastAsia="zh-CN"/>
        </w:rPr>
        <w:t>三</w:t>
      </w:r>
    </w:p>
    <w:p>
      <w:pPr>
        <w:spacing w:line="400" w:lineRule="exact"/>
        <w:ind w:firstLine="420" w:firstLineChars="200"/>
        <w:rPr>
          <w:rFonts w:hint="default" w:ascii="宋体" w:hAnsi="宋体" w:eastAsia="宋体"/>
          <w:highlight w:val="none"/>
          <w:lang w:val="en-US" w:eastAsia="zh-CN"/>
        </w:rPr>
      </w:pPr>
      <w:r>
        <w:rPr>
          <w:rFonts w:hint="eastAsia" w:ascii="宋体" w:hAnsi="宋体"/>
          <w:highlight w:val="none"/>
        </w:rPr>
        <w:t>标的名称：</w:t>
      </w:r>
      <w:r>
        <w:rPr>
          <w:rFonts w:hint="eastAsia" w:ascii="宋体" w:hAnsi="宋体"/>
          <w:highlight w:val="none"/>
          <w:lang w:val="en-US" w:eastAsia="zh-CN"/>
        </w:rPr>
        <w:t>吉林、湖州疗休养服务</w:t>
      </w:r>
    </w:p>
    <w:p>
      <w:pPr>
        <w:spacing w:line="400" w:lineRule="exact"/>
        <w:ind w:firstLine="420" w:firstLineChars="200"/>
        <w:rPr>
          <w:rFonts w:ascii="宋体" w:hAnsi="宋体"/>
          <w:highlight w:val="none"/>
        </w:rPr>
      </w:pPr>
      <w:r>
        <w:rPr>
          <w:rFonts w:hint="eastAsia" w:ascii="宋体" w:hAnsi="宋体"/>
          <w:highlight w:val="none"/>
        </w:rPr>
        <w:t>数量:1</w:t>
      </w:r>
    </w:p>
    <w:p>
      <w:pPr>
        <w:spacing w:line="400" w:lineRule="exact"/>
        <w:ind w:firstLine="420" w:firstLineChars="200"/>
        <w:rPr>
          <w:rFonts w:ascii="宋体" w:hAnsi="宋体"/>
          <w:highlight w:val="none"/>
        </w:rPr>
      </w:pPr>
      <w:r>
        <w:rPr>
          <w:rFonts w:hint="eastAsia" w:ascii="宋体" w:hAnsi="宋体"/>
          <w:highlight w:val="none"/>
        </w:rPr>
        <w:t>预算金额（元）：</w:t>
      </w:r>
      <w:r>
        <w:rPr>
          <w:rFonts w:hint="eastAsia" w:ascii="宋体" w:hAnsi="宋体"/>
          <w:highlight w:val="none"/>
          <w:lang w:val="en-US" w:eastAsia="zh-CN"/>
        </w:rPr>
        <w:t>213</w:t>
      </w:r>
      <w:r>
        <w:rPr>
          <w:rFonts w:hint="eastAsia" w:ascii="宋体" w:hAnsi="宋体"/>
          <w:highlight w:val="none"/>
        </w:rPr>
        <w:t>000</w:t>
      </w:r>
    </w:p>
    <w:p>
      <w:pPr>
        <w:spacing w:line="400" w:lineRule="exact"/>
        <w:ind w:firstLine="420" w:firstLineChars="200"/>
        <w:rPr>
          <w:rFonts w:ascii="宋体" w:hAnsi="宋体"/>
          <w:highlight w:val="none"/>
        </w:rPr>
      </w:pPr>
      <w:r>
        <w:rPr>
          <w:rFonts w:hint="eastAsia" w:ascii="宋体" w:hAnsi="宋体"/>
          <w:highlight w:val="none"/>
        </w:rPr>
        <w:t>单位：项</w:t>
      </w:r>
    </w:p>
    <w:p>
      <w:pPr>
        <w:spacing w:line="400" w:lineRule="exact"/>
        <w:ind w:firstLine="420" w:firstLineChars="200"/>
        <w:rPr>
          <w:rFonts w:ascii="宋体" w:hAnsi="宋体"/>
          <w:highlight w:val="none"/>
        </w:rPr>
      </w:pPr>
      <w:r>
        <w:rPr>
          <w:rFonts w:hint="eastAsia" w:ascii="宋体" w:hAnsi="宋体"/>
          <w:highlight w:val="none"/>
        </w:rPr>
        <w:t xml:space="preserve">简要技术需求或服务要求: </w:t>
      </w:r>
      <w:r>
        <w:rPr>
          <w:rFonts w:hint="eastAsia" w:ascii="宋体" w:hAnsi="宋体" w:cs="宋体"/>
          <w:sz w:val="21"/>
          <w:szCs w:val="21"/>
          <w:highlight w:val="none"/>
          <w:lang w:val="zh-CN"/>
        </w:rPr>
        <w:t>制定具体疗休养线路并提供全程服务。</w:t>
      </w:r>
    </w:p>
    <w:p>
      <w:pPr>
        <w:spacing w:line="400" w:lineRule="exact"/>
        <w:ind w:firstLine="420" w:firstLineChars="200"/>
        <w:rPr>
          <w:rFonts w:ascii="宋体" w:hAnsi="宋体"/>
          <w:highlight w:val="none"/>
        </w:rPr>
      </w:pPr>
      <w:r>
        <w:rPr>
          <w:rFonts w:ascii="宋体" w:hAnsi="宋体"/>
          <w:highlight w:val="none"/>
        </w:rPr>
        <w:t>备注：无</w:t>
      </w:r>
    </w:p>
    <w:p>
      <w:pPr>
        <w:spacing w:line="400" w:lineRule="exact"/>
        <w:ind w:firstLine="420" w:firstLineChars="200"/>
        <w:rPr>
          <w:rFonts w:hint="default" w:ascii="宋体" w:hAnsi="宋体"/>
          <w:highlight w:val="none"/>
          <w:lang w:val="en-US" w:eastAsia="zh-CN"/>
        </w:rPr>
      </w:pPr>
      <w:r>
        <w:rPr>
          <w:rFonts w:hint="eastAsia" w:ascii="宋体" w:hAnsi="宋体"/>
          <w:highlight w:val="none"/>
        </w:rPr>
        <w:t>合同履约期限：标项</w:t>
      </w:r>
      <w:r>
        <w:rPr>
          <w:rFonts w:hint="eastAsia" w:ascii="宋体" w:hAnsi="宋体"/>
          <w:highlight w:val="none"/>
          <w:lang w:val="en-US" w:eastAsia="zh-CN"/>
        </w:rPr>
        <w:t>一</w:t>
      </w:r>
      <w:r>
        <w:rPr>
          <w:rFonts w:hint="eastAsia" w:ascii="宋体" w:hAnsi="宋体"/>
          <w:highlight w:val="none"/>
        </w:rPr>
        <w:t>，标项</w:t>
      </w:r>
      <w:r>
        <w:rPr>
          <w:rFonts w:hint="eastAsia" w:ascii="宋体" w:hAnsi="宋体"/>
          <w:highlight w:val="none"/>
          <w:lang w:val="en-US" w:eastAsia="zh-CN"/>
        </w:rPr>
        <w:t>二</w:t>
      </w:r>
      <w:r>
        <w:rPr>
          <w:rFonts w:hint="eastAsia" w:ascii="宋体" w:hAnsi="宋体"/>
          <w:highlight w:val="none"/>
        </w:rPr>
        <w:t>，标项</w:t>
      </w:r>
      <w:r>
        <w:rPr>
          <w:rFonts w:hint="eastAsia" w:ascii="宋体" w:hAnsi="宋体"/>
          <w:highlight w:val="none"/>
          <w:lang w:val="en-US" w:eastAsia="zh-CN"/>
        </w:rPr>
        <w:t>三</w:t>
      </w:r>
      <w:r>
        <w:rPr>
          <w:rFonts w:hint="eastAsia" w:ascii="宋体" w:hAnsi="宋体"/>
          <w:highlight w:val="none"/>
        </w:rPr>
        <w:t>，合同签订之日起至</w:t>
      </w:r>
      <w:r>
        <w:rPr>
          <w:rFonts w:hint="eastAsia" w:ascii="宋体" w:hAnsi="宋体"/>
          <w:highlight w:val="none"/>
          <w:lang w:val="en-US" w:eastAsia="zh-CN"/>
        </w:rPr>
        <w:t>2024年12月31日。</w:t>
      </w:r>
    </w:p>
    <w:p>
      <w:pPr>
        <w:keepNext w:val="0"/>
        <w:keepLines w:val="0"/>
        <w:pageBreakBefore w:val="0"/>
        <w:widowControl w:val="0"/>
        <w:kinsoku/>
        <w:wordWrap/>
        <w:overflowPunct/>
        <w:topLinePunct w:val="0"/>
        <w:autoSpaceDE/>
        <w:autoSpaceDN/>
        <w:bidi w:val="0"/>
        <w:adjustRightInd/>
        <w:snapToGrid/>
        <w:spacing w:after="144" w:afterLines="50" w:line="400" w:lineRule="exact"/>
        <w:ind w:firstLine="420" w:firstLineChars="200"/>
        <w:textAlignment w:val="auto"/>
        <w:rPr>
          <w:rFonts w:hint="eastAsia" w:ascii="宋体" w:hAnsi="宋体"/>
          <w:highlight w:val="none"/>
        </w:rPr>
      </w:pPr>
      <w:r>
        <w:rPr>
          <w:rFonts w:hint="eastAsia" w:ascii="宋体" w:hAnsi="宋体"/>
          <w:highlight w:val="none"/>
        </w:rPr>
        <w:t>本项目不接受联合体参加磋商。</w:t>
      </w:r>
    </w:p>
    <w:p>
      <w:pPr>
        <w:pStyle w:val="4"/>
        <w:spacing w:beforeLines="0" w:afterLines="0" w:line="360" w:lineRule="auto"/>
        <w:rPr>
          <w:b w:val="0"/>
          <w:color w:val="auto"/>
          <w:highlight w:val="none"/>
        </w:rPr>
      </w:pPr>
      <w:bookmarkStart w:id="7" w:name="_Toc35393799"/>
      <w:bookmarkStart w:id="8" w:name="_Toc35393630"/>
      <w:bookmarkStart w:id="9" w:name="_Toc28359090"/>
      <w:bookmarkStart w:id="10" w:name="_Toc28359013"/>
      <w:r>
        <w:rPr>
          <w:rFonts w:hint="eastAsia"/>
          <w:b w:val="0"/>
          <w:color w:val="auto"/>
          <w:highlight w:val="none"/>
        </w:rPr>
        <w:t>二、申请人的资格要求：</w:t>
      </w:r>
      <w:bookmarkEnd w:id="7"/>
      <w:bookmarkEnd w:id="8"/>
      <w:bookmarkEnd w:id="9"/>
      <w:bookmarkEnd w:id="10"/>
    </w:p>
    <w:p>
      <w:pPr>
        <w:spacing w:line="360" w:lineRule="auto"/>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第一款规定；未被“信用中国”（www.creditchina.gov.cn）、中国政府采购网（www.ccgp.gov.cn）列入失信被执行人、重大税收违法案件当事人名单、政府采购严重违法失信行为记录名单；单位负责人为同一人或者存在直接控股、管理关系的不同供应商，不得同时参加本项目的政府采购活动；为本项目提供整体设计、规范编制或者项目管理、监理、检测等服务的供应商，不得再参加本项目的磋商。</w:t>
      </w:r>
    </w:p>
    <w:p>
      <w:pPr>
        <w:spacing w:line="360" w:lineRule="auto"/>
        <w:ind w:firstLine="420" w:firstLineChars="200"/>
        <w:rPr>
          <w:rFonts w:ascii="宋体" w:hAnsi="宋体"/>
          <w:color w:val="auto"/>
          <w:highlight w:val="none"/>
        </w:rPr>
      </w:pPr>
      <w:bookmarkStart w:id="11" w:name="_Toc28359014"/>
      <w:bookmarkStart w:id="12" w:name="_Toc28359091"/>
      <w:r>
        <w:rPr>
          <w:rFonts w:ascii="宋体" w:hAnsi="宋体"/>
          <w:color w:val="auto"/>
          <w:highlight w:val="none"/>
        </w:rPr>
        <w:t>2</w:t>
      </w:r>
      <w:r>
        <w:rPr>
          <w:rFonts w:hint="eastAsia" w:ascii="宋体" w:hAnsi="宋体"/>
          <w:color w:val="auto"/>
          <w:highlight w:val="none"/>
        </w:rPr>
        <w:t>.落实政府采购政策需满足的资格要求：</w:t>
      </w:r>
      <w:r>
        <w:rPr>
          <w:rFonts w:hint="eastAsia" w:ascii="宋体" w:hAnsi="宋体"/>
          <w:color w:val="auto"/>
          <w:highlight w:val="none"/>
          <w:u w:val="single"/>
        </w:rPr>
        <w:t>本项目属于</w:t>
      </w:r>
      <w:r>
        <w:rPr>
          <w:rFonts w:hint="eastAsia" w:ascii="宋体" w:hAnsi="宋体"/>
          <w:b/>
          <w:color w:val="auto"/>
          <w:highlight w:val="none"/>
          <w:u w:val="single"/>
        </w:rPr>
        <w:t>租赁和商务服务业</w:t>
      </w:r>
      <w:r>
        <w:rPr>
          <w:rFonts w:hint="eastAsia" w:ascii="宋体" w:hAnsi="宋体"/>
          <w:color w:val="auto"/>
          <w:highlight w:val="none"/>
          <w:u w:val="single"/>
        </w:rPr>
        <w:t>，专门面向中小企业采购的项目，供应商应为符合《政府采购促进中小企业发展管理办法》（财库﹝2020﹞46 号）规定的中小企业（其中，小微企业包括视同为小型、微型企业的监狱企业、残疾人福利性单位）。</w:t>
      </w:r>
    </w:p>
    <w:p>
      <w:pPr>
        <w:spacing w:line="360" w:lineRule="auto"/>
        <w:ind w:firstLine="420" w:firstLineChars="200"/>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olor w:val="auto"/>
          <w:highlight w:val="none"/>
          <w:u w:val="single"/>
        </w:rPr>
        <w:t>供应商具备有效的《旅行社业务经营许可证》。</w:t>
      </w:r>
    </w:p>
    <w:p>
      <w:pPr>
        <w:pStyle w:val="4"/>
        <w:spacing w:beforeLines="0" w:afterLines="0" w:line="360" w:lineRule="auto"/>
        <w:rPr>
          <w:b w:val="0"/>
          <w:color w:val="auto"/>
          <w:highlight w:val="none"/>
        </w:rPr>
      </w:pPr>
      <w:bookmarkStart w:id="13" w:name="_Toc35393800"/>
      <w:bookmarkStart w:id="14" w:name="_Toc35393631"/>
      <w:r>
        <w:rPr>
          <w:rFonts w:hint="eastAsia"/>
          <w:b w:val="0"/>
          <w:color w:val="auto"/>
          <w:highlight w:val="none"/>
        </w:rPr>
        <w:t>三、获取采购文件</w:t>
      </w:r>
      <w:bookmarkEnd w:id="11"/>
      <w:bookmarkEnd w:id="12"/>
      <w:bookmarkEnd w:id="13"/>
      <w:bookmarkEnd w:id="14"/>
    </w:p>
    <w:p>
      <w:pPr>
        <w:snapToGrid w:val="0"/>
        <w:spacing w:line="360" w:lineRule="auto"/>
        <w:ind w:firstLine="411" w:firstLineChars="196"/>
        <w:rPr>
          <w:rFonts w:ascii="宋体" w:hAnsi="宋体" w:cs="宋体"/>
          <w:b/>
          <w:color w:val="auto"/>
          <w:highlight w:val="none"/>
        </w:rPr>
      </w:pPr>
      <w:r>
        <w:rPr>
          <w:rFonts w:hint="eastAsia" w:ascii="宋体" w:hAnsi="宋体" w:cs="宋体"/>
          <w:color w:val="auto"/>
          <w:highlight w:val="none"/>
        </w:rPr>
        <w:t>时间：</w:t>
      </w:r>
      <w:r>
        <w:rPr>
          <w:rFonts w:hint="eastAsia" w:ascii="宋体" w:hAnsi="宋体" w:cs="宋体"/>
          <w:color w:val="auto"/>
          <w:highlight w:val="none"/>
          <w:lang w:eastAsia="zh-CN"/>
        </w:rPr>
        <w:t>2024年6月</w:t>
      </w:r>
      <w:r>
        <w:rPr>
          <w:rFonts w:hint="eastAsia" w:ascii="宋体" w:hAnsi="宋体" w:cs="宋体"/>
          <w:color w:val="auto"/>
          <w:highlight w:val="none"/>
          <w:lang w:val="en-US" w:eastAsia="zh-CN"/>
        </w:rPr>
        <w:t>6</w:t>
      </w:r>
      <w:r>
        <w:rPr>
          <w:rFonts w:hint="eastAsia" w:ascii="宋体" w:hAnsi="宋体" w:cs="宋体"/>
          <w:color w:val="auto"/>
          <w:highlight w:val="none"/>
        </w:rPr>
        <w:t>日至</w:t>
      </w:r>
      <w:r>
        <w:rPr>
          <w:rFonts w:hint="eastAsia" w:ascii="宋体" w:hAnsi="宋体" w:cs="宋体"/>
          <w:color w:val="auto"/>
          <w:highlight w:val="none"/>
          <w:lang w:eastAsia="zh-CN"/>
        </w:rPr>
        <w:t>2024年6月</w:t>
      </w:r>
      <w:r>
        <w:rPr>
          <w:rFonts w:hint="eastAsia" w:ascii="宋体" w:hAnsi="宋体" w:cs="宋体"/>
          <w:color w:val="auto"/>
          <w:highlight w:val="none"/>
          <w:lang w:val="en-US" w:eastAsia="zh-CN"/>
        </w:rPr>
        <w:t>14</w:t>
      </w:r>
      <w:r>
        <w:rPr>
          <w:rFonts w:hint="eastAsia" w:ascii="宋体" w:hAnsi="宋体" w:cs="宋体"/>
          <w:color w:val="auto"/>
          <w:highlight w:val="none"/>
        </w:rPr>
        <w:t>日，每天上午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地点：政采云平台（http://zfcg.czt.zj.gov.cn）。</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方式：依法</w:t>
      </w:r>
      <w:r>
        <w:rPr>
          <w:rFonts w:ascii="宋体" w:hAnsi="宋体" w:cs="宋体"/>
          <w:color w:val="auto"/>
          <w:highlight w:val="none"/>
        </w:rPr>
        <w:t>获取</w:t>
      </w:r>
      <w:r>
        <w:rPr>
          <w:rFonts w:hint="eastAsia" w:ascii="宋体" w:hAnsi="宋体" w:cs="宋体"/>
          <w:color w:val="auto"/>
          <w:highlight w:val="none"/>
        </w:rPr>
        <w:t>磋商文件</w:t>
      </w:r>
      <w:r>
        <w:rPr>
          <w:rFonts w:ascii="宋体" w:hAnsi="宋体" w:cs="宋体"/>
          <w:color w:val="auto"/>
          <w:highlight w:val="none"/>
        </w:rPr>
        <w:t>方式</w:t>
      </w:r>
      <w:r>
        <w:rPr>
          <w:rFonts w:hint="eastAsia" w:ascii="宋体" w:hAnsi="宋体" w:cs="宋体"/>
          <w:color w:val="auto"/>
          <w:highlight w:val="none"/>
        </w:rPr>
        <w:t>为潜在供应商登陆政采云平台，</w:t>
      </w:r>
      <w:r>
        <w:rPr>
          <w:rFonts w:hint="eastAsia" w:ascii="宋体" w:hAnsi="宋体" w:cs="Arial"/>
          <w:color w:val="auto"/>
          <w:highlight w:val="none"/>
        </w:rPr>
        <w:t>根据政采云平台的规定步骤进行操作并在线申请获取</w:t>
      </w:r>
      <w:r>
        <w:rPr>
          <w:rFonts w:hint="eastAsia" w:ascii="宋体" w:hAnsi="宋体" w:cs="宋体"/>
          <w:color w:val="auto"/>
          <w:highlight w:val="none"/>
        </w:rPr>
        <w:t>磋商</w:t>
      </w:r>
      <w:r>
        <w:rPr>
          <w:rFonts w:hint="eastAsia" w:ascii="宋体" w:hAnsi="宋体" w:cs="Arial"/>
          <w:color w:val="auto"/>
          <w:highlight w:val="none"/>
        </w:rPr>
        <w:t>文件。仅需浏览</w:t>
      </w:r>
      <w:r>
        <w:rPr>
          <w:rFonts w:hint="eastAsia" w:ascii="宋体" w:hAnsi="宋体" w:cs="宋体"/>
          <w:color w:val="auto"/>
          <w:highlight w:val="none"/>
        </w:rPr>
        <w:t>磋商</w:t>
      </w:r>
      <w:r>
        <w:rPr>
          <w:rFonts w:hint="eastAsia" w:ascii="宋体" w:hAnsi="宋体" w:cs="Arial"/>
          <w:color w:val="auto"/>
          <w:highlight w:val="none"/>
        </w:rPr>
        <w:t>文件的只需点击“游客，浏览采购文件”直接下载</w:t>
      </w:r>
      <w:r>
        <w:rPr>
          <w:rFonts w:hint="eastAsia" w:ascii="宋体" w:hAnsi="宋体" w:cs="宋体"/>
          <w:color w:val="auto"/>
          <w:highlight w:val="none"/>
        </w:rPr>
        <w:t>磋商</w:t>
      </w:r>
      <w:r>
        <w:rPr>
          <w:rFonts w:hint="eastAsia" w:ascii="宋体" w:hAnsi="宋体" w:cs="Arial"/>
          <w:color w:val="auto"/>
          <w:highlight w:val="none"/>
        </w:rPr>
        <w:t>文件进行浏览。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采购公告附件中提供的磋商文件仅供阅览使用，未按上述规定依法获取磋商文件的潜在供应商，对磋商文件提起质疑的，按照无效质疑处理。拒收未依法获取磋商</w:t>
      </w:r>
      <w:r>
        <w:rPr>
          <w:rFonts w:ascii="宋体" w:hAnsi="宋体" w:cs="宋体"/>
          <w:color w:val="auto"/>
          <w:highlight w:val="none"/>
        </w:rPr>
        <w:t>文件</w:t>
      </w:r>
      <w:r>
        <w:rPr>
          <w:rFonts w:hint="eastAsia" w:ascii="宋体" w:hAnsi="宋体" w:cs="宋体"/>
          <w:color w:val="auto"/>
          <w:highlight w:val="none"/>
        </w:rPr>
        <w:t>的供应商提交的响应文件或按照无效响应处理。</w:t>
      </w:r>
    </w:p>
    <w:p>
      <w:pPr>
        <w:spacing w:line="360" w:lineRule="auto"/>
        <w:ind w:firstLine="540"/>
        <w:rPr>
          <w:rFonts w:ascii="宋体" w:hAnsi="宋体" w:cs="宋体"/>
          <w:color w:val="auto"/>
          <w:highlight w:val="none"/>
        </w:rPr>
      </w:pPr>
      <w:r>
        <w:rPr>
          <w:rFonts w:hint="eastAsia" w:ascii="宋体" w:hAnsi="宋体" w:cs="宋体"/>
          <w:color w:val="auto"/>
          <w:highlight w:val="none"/>
        </w:rPr>
        <w:t>售价：0元</w:t>
      </w:r>
    </w:p>
    <w:p>
      <w:pPr>
        <w:pStyle w:val="4"/>
        <w:spacing w:beforeLines="0" w:afterLines="0" w:line="360" w:lineRule="auto"/>
        <w:rPr>
          <w:b w:val="0"/>
          <w:color w:val="auto"/>
          <w:highlight w:val="none"/>
        </w:rPr>
      </w:pPr>
      <w:bookmarkStart w:id="15" w:name="_Toc28359092"/>
      <w:bookmarkStart w:id="16" w:name="_Toc35393632"/>
      <w:bookmarkStart w:id="17" w:name="_Toc28359015"/>
      <w:bookmarkStart w:id="18" w:name="_Toc35393801"/>
      <w:r>
        <w:rPr>
          <w:rFonts w:hint="eastAsia"/>
          <w:b w:val="0"/>
          <w:color w:val="auto"/>
          <w:highlight w:val="none"/>
        </w:rPr>
        <w:t>四、响应文件提交</w:t>
      </w:r>
      <w:bookmarkEnd w:id="15"/>
      <w:bookmarkEnd w:id="16"/>
      <w:bookmarkEnd w:id="17"/>
      <w:bookmarkEnd w:id="18"/>
    </w:p>
    <w:p>
      <w:pPr>
        <w:spacing w:line="360" w:lineRule="auto"/>
        <w:ind w:firstLine="420" w:firstLineChars="200"/>
        <w:rPr>
          <w:rFonts w:ascii="宋体" w:hAnsi="宋体"/>
          <w:bCs/>
          <w:color w:val="auto"/>
          <w:highlight w:val="none"/>
        </w:rPr>
      </w:pPr>
      <w:r>
        <w:rPr>
          <w:rFonts w:hint="eastAsia" w:ascii="宋体" w:hAnsi="宋体"/>
          <w:color w:val="auto"/>
          <w:highlight w:val="none"/>
        </w:rPr>
        <w:t>截止时间：</w:t>
      </w:r>
      <w:r>
        <w:rPr>
          <w:rFonts w:hint="eastAsia" w:ascii="宋体" w:hAnsi="宋体"/>
          <w:color w:val="auto"/>
          <w:highlight w:val="none"/>
          <w:u w:val="none"/>
          <w:lang w:eastAsia="zh-CN"/>
        </w:rPr>
        <w:t>2024年6月</w:t>
      </w:r>
      <w:r>
        <w:rPr>
          <w:rFonts w:hint="eastAsia" w:ascii="宋体" w:hAnsi="宋体"/>
          <w:color w:val="auto"/>
          <w:highlight w:val="none"/>
          <w:u w:val="none"/>
          <w:lang w:val="en-US" w:eastAsia="zh-CN"/>
        </w:rPr>
        <w:t>17</w:t>
      </w:r>
      <w:r>
        <w:rPr>
          <w:rFonts w:hint="eastAsia" w:ascii="宋体" w:hAnsi="宋体"/>
          <w:bCs/>
          <w:color w:val="auto"/>
          <w:highlight w:val="none"/>
          <w:u w:val="none"/>
        </w:rPr>
        <w:t>日14点00分</w:t>
      </w:r>
      <w:r>
        <w:rPr>
          <w:rFonts w:hint="eastAsia" w:ascii="宋体" w:hAnsi="宋体"/>
          <w:bCs/>
          <w:color w:val="auto"/>
          <w:highlight w:val="none"/>
        </w:rPr>
        <w:t>（北京时间）</w:t>
      </w:r>
    </w:p>
    <w:p>
      <w:pPr>
        <w:spacing w:line="360" w:lineRule="auto"/>
        <w:ind w:firstLine="420" w:firstLineChars="200"/>
        <w:rPr>
          <w:rFonts w:ascii="宋体" w:hAnsi="宋体" w:cs="宋体"/>
          <w:color w:val="auto"/>
          <w:highlight w:val="none"/>
          <w:lang w:val="zh-CN"/>
        </w:rPr>
      </w:pPr>
      <w:r>
        <w:rPr>
          <w:rFonts w:hint="eastAsia" w:ascii="宋体" w:hAnsi="宋体" w:cs="宋体"/>
          <w:color w:val="auto"/>
          <w:highlight w:val="none"/>
          <w:lang w:val="zh-CN"/>
        </w:rPr>
        <w:t>地点（网址）：供应商应于磋商截止时间前将电子响应文件上传到政府采购云平台http://zfcg.czt.zj.gov.cn/，未上传电子响应文件，视为供应商放弃。</w:t>
      </w:r>
    </w:p>
    <w:p>
      <w:pPr>
        <w:pStyle w:val="4"/>
        <w:spacing w:beforeLines="0" w:afterLines="0" w:line="360" w:lineRule="auto"/>
        <w:rPr>
          <w:rFonts w:cs="Times New Roman"/>
          <w:b w:val="0"/>
          <w:bCs w:val="0"/>
          <w:color w:val="auto"/>
          <w:highlight w:val="none"/>
        </w:rPr>
      </w:pPr>
      <w:bookmarkStart w:id="19" w:name="_Toc35393802"/>
      <w:bookmarkStart w:id="20" w:name="_Toc35393633"/>
      <w:bookmarkStart w:id="21" w:name="_Toc28359016"/>
      <w:bookmarkStart w:id="22" w:name="_Toc28359093"/>
      <w:r>
        <w:rPr>
          <w:rFonts w:hint="eastAsia"/>
          <w:b w:val="0"/>
          <w:color w:val="auto"/>
          <w:highlight w:val="none"/>
        </w:rPr>
        <w:t>五、开启</w:t>
      </w:r>
      <w:bookmarkEnd w:id="19"/>
      <w:bookmarkEnd w:id="20"/>
      <w:bookmarkEnd w:id="21"/>
      <w:bookmarkEnd w:id="22"/>
    </w:p>
    <w:p>
      <w:pPr>
        <w:spacing w:line="360" w:lineRule="auto"/>
        <w:ind w:firstLine="420" w:firstLineChars="200"/>
        <w:rPr>
          <w:rFonts w:ascii="宋体" w:hAnsi="宋体"/>
          <w:color w:val="auto"/>
          <w:highlight w:val="none"/>
        </w:rPr>
      </w:pPr>
      <w:r>
        <w:rPr>
          <w:rFonts w:hint="eastAsia" w:ascii="宋体" w:hAnsi="宋体"/>
          <w:color w:val="auto"/>
          <w:highlight w:val="none"/>
        </w:rPr>
        <w:t>时间：</w:t>
      </w:r>
      <w:r>
        <w:rPr>
          <w:rFonts w:hint="eastAsia" w:ascii="宋体" w:hAnsi="宋体"/>
          <w:color w:val="auto"/>
          <w:highlight w:val="none"/>
          <w:lang w:eastAsia="zh-CN"/>
        </w:rPr>
        <w:t>2024年6月</w:t>
      </w:r>
      <w:r>
        <w:rPr>
          <w:rFonts w:hint="eastAsia" w:ascii="宋体" w:hAnsi="宋体"/>
          <w:color w:val="auto"/>
          <w:highlight w:val="none"/>
          <w:u w:val="none"/>
          <w:lang w:val="en-US" w:eastAsia="zh-CN"/>
        </w:rPr>
        <w:t>17</w:t>
      </w:r>
      <w:r>
        <w:rPr>
          <w:rFonts w:hint="eastAsia" w:ascii="宋体" w:hAnsi="宋体"/>
          <w:color w:val="auto"/>
          <w:highlight w:val="none"/>
        </w:rPr>
        <w:t>日14点00分（北京时间）</w:t>
      </w:r>
    </w:p>
    <w:p>
      <w:pPr>
        <w:spacing w:line="360" w:lineRule="auto"/>
        <w:ind w:firstLine="420" w:firstLineChars="200"/>
        <w:rPr>
          <w:rFonts w:ascii="宋体" w:hAnsi="宋体"/>
          <w:color w:val="auto"/>
          <w:highlight w:val="none"/>
        </w:rPr>
      </w:pPr>
      <w:bookmarkStart w:id="23" w:name="_Toc35393803"/>
      <w:bookmarkStart w:id="24" w:name="_Toc28359017"/>
      <w:bookmarkStart w:id="25" w:name="_Toc28359094"/>
      <w:bookmarkStart w:id="26" w:name="_Toc35393634"/>
      <w:r>
        <w:rPr>
          <w:rFonts w:hint="eastAsia" w:ascii="宋体" w:hAnsi="宋体"/>
          <w:color w:val="auto"/>
          <w:highlight w:val="none"/>
        </w:rPr>
        <w:t>地点（网址）：宁波市海曙区公共资源交易中心开标室（</w:t>
      </w:r>
      <w:r>
        <w:rPr>
          <w:rFonts w:hint="eastAsia" w:ascii="宋体" w:hAnsi="宋体"/>
          <w:color w:val="auto"/>
          <w:highlight w:val="none"/>
          <w:lang w:val="en-US" w:eastAsia="zh-CN"/>
        </w:rPr>
        <w:t>1</w:t>
      </w:r>
      <w:r>
        <w:rPr>
          <w:rFonts w:hint="eastAsia" w:ascii="宋体" w:hAnsi="宋体"/>
          <w:color w:val="auto"/>
          <w:highlight w:val="none"/>
        </w:rPr>
        <w:t>）[宁波市海曙区气象路58号（南门上）]</w:t>
      </w:r>
      <w:r>
        <w:rPr>
          <w:rFonts w:ascii="宋体" w:hAnsi="宋体" w:cs="Arial"/>
          <w:color w:val="auto"/>
          <w:szCs w:val="21"/>
          <w:highlight w:val="none"/>
        </w:rPr>
        <w:t>，本项目通过“政府采购云平台（www.zcygov.cn）”实行在线</w:t>
      </w:r>
      <w:r>
        <w:rPr>
          <w:rFonts w:hint="eastAsia" w:ascii="宋体" w:hAnsi="宋体" w:cs="Arial"/>
          <w:color w:val="auto"/>
          <w:szCs w:val="21"/>
          <w:highlight w:val="none"/>
        </w:rPr>
        <w:t>开启磋商响应</w:t>
      </w:r>
      <w:r>
        <w:rPr>
          <w:rFonts w:ascii="宋体" w:hAnsi="宋体" w:cs="Arial"/>
          <w:color w:val="auto"/>
          <w:szCs w:val="21"/>
          <w:highlight w:val="none"/>
        </w:rPr>
        <w:t>文件（电子投标）</w:t>
      </w:r>
      <w:r>
        <w:rPr>
          <w:rFonts w:hint="eastAsia" w:ascii="宋体" w:hAnsi="宋体"/>
          <w:color w:val="auto"/>
          <w:highlight w:val="none"/>
        </w:rPr>
        <w:t>。</w:t>
      </w:r>
    </w:p>
    <w:p>
      <w:pPr>
        <w:pStyle w:val="4"/>
        <w:spacing w:beforeLines="0" w:afterLines="0" w:line="360" w:lineRule="auto"/>
        <w:rPr>
          <w:rFonts w:cs="Times New Roman"/>
          <w:b w:val="0"/>
          <w:bCs w:val="0"/>
          <w:color w:val="auto"/>
          <w:highlight w:val="none"/>
        </w:rPr>
      </w:pPr>
      <w:r>
        <w:rPr>
          <w:rFonts w:hint="eastAsia" w:cs="Times New Roman"/>
          <w:b w:val="0"/>
          <w:bCs w:val="0"/>
          <w:color w:val="auto"/>
          <w:highlight w:val="none"/>
        </w:rPr>
        <w:t>六、公告期限</w:t>
      </w:r>
      <w:bookmarkEnd w:id="23"/>
      <w:bookmarkEnd w:id="24"/>
      <w:bookmarkEnd w:id="25"/>
      <w:bookmarkEnd w:id="26"/>
    </w:p>
    <w:p>
      <w:pPr>
        <w:spacing w:line="360" w:lineRule="auto"/>
        <w:ind w:firstLine="420" w:firstLineChars="200"/>
        <w:rPr>
          <w:rFonts w:ascii="宋体" w:hAnsi="宋体"/>
          <w:color w:val="auto"/>
          <w:highlight w:val="none"/>
        </w:rPr>
      </w:pPr>
      <w:r>
        <w:rPr>
          <w:rFonts w:hint="eastAsia" w:ascii="宋体" w:hAnsi="宋体"/>
          <w:color w:val="auto"/>
          <w:highlight w:val="none"/>
        </w:rPr>
        <w:t>自本公告发布之日起3个工作日。</w:t>
      </w:r>
    </w:p>
    <w:p>
      <w:pPr>
        <w:pStyle w:val="4"/>
        <w:spacing w:beforeLines="0" w:afterLines="0" w:line="360" w:lineRule="auto"/>
        <w:rPr>
          <w:rFonts w:cs="Times New Roman"/>
          <w:b w:val="0"/>
          <w:bCs w:val="0"/>
          <w:color w:val="auto"/>
          <w:highlight w:val="none"/>
        </w:rPr>
      </w:pPr>
      <w:bookmarkStart w:id="27" w:name="_Toc35393804"/>
      <w:bookmarkStart w:id="28" w:name="_Toc35393635"/>
      <w:r>
        <w:rPr>
          <w:rFonts w:hint="eastAsia" w:cs="Times New Roman"/>
          <w:b w:val="0"/>
          <w:bCs w:val="0"/>
          <w:color w:val="auto"/>
          <w:highlight w:val="none"/>
        </w:rPr>
        <w:t>七、其他补充事宜</w:t>
      </w:r>
      <w:bookmarkEnd w:id="27"/>
      <w:bookmarkEnd w:id="28"/>
    </w:p>
    <w:p>
      <w:pPr>
        <w:snapToGrid w:val="0"/>
        <w:spacing w:line="360" w:lineRule="auto"/>
        <w:ind w:firstLine="411" w:firstLineChars="196"/>
        <w:rPr>
          <w:rFonts w:ascii="宋体" w:hAnsi="宋体"/>
          <w:color w:val="auto"/>
          <w:highlight w:val="none"/>
        </w:rPr>
      </w:pPr>
      <w:bookmarkStart w:id="29" w:name="_Toc35393636"/>
      <w:bookmarkStart w:id="30" w:name="_Toc28359018"/>
      <w:bookmarkStart w:id="31" w:name="_Toc35393805"/>
      <w:bookmarkStart w:id="32" w:name="_Toc28359095"/>
      <w:r>
        <w:rPr>
          <w:rFonts w:hint="eastAsia" w:ascii="宋体" w:hAnsi="宋体"/>
          <w:color w:val="auto"/>
          <w:highlight w:val="none"/>
        </w:rPr>
        <w:t>1.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2.其他事项：</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2.1本次政府采购活动有关信息在浙江政府采购网（zfcg.czt.zj.gov.cn）、浙江省公共资源交易服务平台（zjpubservice.zjzwfw.gov.cn/index.html?citycode=3300）、宁波政府采购</w:t>
      </w:r>
      <w:r>
        <w:rPr>
          <w:rFonts w:hint="eastAsia" w:ascii="宋体" w:hAnsi="宋体"/>
          <w:color w:val="auto"/>
          <w:highlight w:val="none"/>
          <w:lang w:val="en-US" w:eastAsia="zh-CN"/>
        </w:rPr>
        <w:t>站点</w:t>
      </w:r>
      <w:r>
        <w:rPr>
          <w:rFonts w:hint="eastAsia" w:ascii="宋体" w:hAnsi="宋体"/>
          <w:color w:val="auto"/>
          <w:highlight w:val="none"/>
        </w:rPr>
        <w:t>(www.nbzfcg.cn)、宁波市公共资源交易电子服务系统（海曙）（http://ggzy.zwb.ningbo.gov.cn/haishu/）公布，视同送达所有潜在供应商。</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（1）本项目实行网上磋商响应，采用电子响应文件。若供应商参与投标，自行承担相关费用。</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（2）准备工作：各供应商应完成CA数字证书办理。</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（3）响应文件制作：</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①应按照本项目采购文件和政府采购云平台的要求编制、加密并递交响应文件。供应商在使用系统进行投标的过程中遇到涉及平台使用的任何问题，可致电政府采购云平台技术支持热线咨询，联系方式：</w:t>
      </w:r>
      <w:r>
        <w:rPr>
          <w:rFonts w:ascii="宋体" w:hAnsi="宋体"/>
          <w:color w:val="auto"/>
          <w:highlight w:val="none"/>
        </w:rPr>
        <w:t>95763</w:t>
      </w:r>
      <w:r>
        <w:rPr>
          <w:rFonts w:hint="eastAsia" w:ascii="宋体" w:hAnsi="宋体"/>
          <w:color w:val="auto"/>
          <w:highlight w:val="none"/>
        </w:rPr>
        <w:t>。</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②供应商通过政府采购云平台电子投标工具制作响应文件，电子投标工具请供应商自行前往浙江政府采购网下载并安装，响应文件制作具体流程详见政府采购云平台。</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③以U盘存储的电子备份响应文件1份，按政府采购云平台要求制作的电子备份文件，以用于异常情况处理。</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④供应商如提供电子备份响应文件的（不强制要求，供应商自行决定是否提供），应于提交响应文件截止时间前，将以U盘存储的电子备份响应文件密封，递交至响应文件开启地点。采用邮寄方式递交电子备份响应文件的，请于</w:t>
      </w:r>
      <w:r>
        <w:rPr>
          <w:rFonts w:hint="eastAsia" w:ascii="宋体" w:hAnsi="宋体"/>
          <w:color w:val="auto"/>
          <w:highlight w:val="none"/>
          <w:lang w:eastAsia="zh-CN"/>
        </w:rPr>
        <w:t>2024年6月</w:t>
      </w:r>
      <w:r>
        <w:rPr>
          <w:rFonts w:hint="eastAsia" w:ascii="宋体" w:hAnsi="宋体"/>
          <w:color w:val="auto"/>
          <w:highlight w:val="none"/>
          <w:lang w:val="en-US" w:eastAsia="zh-CN"/>
        </w:rPr>
        <w:t>17</w:t>
      </w:r>
      <w:r>
        <w:rPr>
          <w:rFonts w:hint="eastAsia" w:ascii="宋体" w:hAnsi="宋体"/>
          <w:color w:val="auto"/>
          <w:highlight w:val="none"/>
        </w:rPr>
        <w:t>日1</w:t>
      </w:r>
      <w:r>
        <w:rPr>
          <w:rFonts w:hint="eastAsia" w:ascii="宋体" w:hAnsi="宋体"/>
          <w:color w:val="auto"/>
          <w:highlight w:val="none"/>
          <w:lang w:val="en-US" w:eastAsia="zh-CN"/>
        </w:rPr>
        <w:t>1</w:t>
      </w:r>
      <w:r>
        <w:rPr>
          <w:rFonts w:hint="eastAsia" w:ascii="宋体" w:hAnsi="宋体"/>
          <w:color w:val="auto"/>
          <w:highlight w:val="none"/>
        </w:rPr>
        <w:t>：00（含）前寄达，邮寄地址为：</w:t>
      </w:r>
      <w:r>
        <w:rPr>
          <w:rFonts w:hint="eastAsia" w:ascii="宋体" w:hAnsi="宋体" w:cs="宋体"/>
          <w:color w:val="auto"/>
          <w:highlight w:val="none"/>
        </w:rPr>
        <w:t>宁波市海曙区江汇城496号姚江时代14幢3楼</w:t>
      </w:r>
      <w:r>
        <w:rPr>
          <w:rFonts w:hint="eastAsia" w:ascii="宋体" w:hAnsi="宋体"/>
          <w:color w:val="auto"/>
          <w:highlight w:val="none"/>
        </w:rPr>
        <w:t>，黄锃潇，联系电话：0574-87101260， 请各供应商确保密封包装在邮寄过程密封包装完好，因邮寄过程中密封破损造成不符合开标要求的，本采购代理及采购人概不负责。</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⑤采用现场方式送达电子备份响应文件，在响应截止时间前</w:t>
      </w:r>
      <w:r>
        <w:rPr>
          <w:rFonts w:hint="eastAsia" w:ascii="宋体" w:hAnsi="宋体"/>
          <w:color w:val="auto"/>
          <w:highlight w:val="none"/>
          <w:lang w:val="en-US" w:eastAsia="zh-CN"/>
        </w:rPr>
        <w:t>半小时内</w:t>
      </w:r>
      <w:r>
        <w:rPr>
          <w:rFonts w:hint="eastAsia" w:ascii="宋体" w:hAnsi="宋体"/>
          <w:color w:val="auto"/>
          <w:highlight w:val="none"/>
        </w:rPr>
        <w:t>将电子备份响应文件送至：宁波市海曙区公共资源交易中心开标室（</w:t>
      </w:r>
      <w:r>
        <w:rPr>
          <w:rFonts w:hint="eastAsia" w:ascii="宋体" w:hAnsi="宋体"/>
          <w:color w:val="auto"/>
          <w:highlight w:val="none"/>
          <w:lang w:val="en-US" w:eastAsia="zh-CN"/>
        </w:rPr>
        <w:t>1</w:t>
      </w:r>
      <w:r>
        <w:rPr>
          <w:rFonts w:hint="eastAsia" w:ascii="宋体" w:hAnsi="宋体"/>
          <w:color w:val="auto"/>
          <w:highlight w:val="none"/>
        </w:rPr>
        <w:t xml:space="preserve">）[宁波市海曙区气象路58号（南门上）]。 </w:t>
      </w:r>
    </w:p>
    <w:p>
      <w:pPr>
        <w:pStyle w:val="450"/>
        <w:widowControl w:val="0"/>
        <w:snapToGrid/>
        <w:spacing w:afterLines="0" w:line="336" w:lineRule="auto"/>
        <w:ind w:firstLine="420"/>
        <w:jc w:val="left"/>
        <w:rPr>
          <w:rFonts w:ascii="宋体" w:hAnsi="宋体" w:cs="宋体"/>
          <w:color w:val="auto"/>
          <w:sz w:val="21"/>
          <w:szCs w:val="21"/>
          <w:highlight w:val="none"/>
        </w:rPr>
      </w:pPr>
      <w:r>
        <w:rPr>
          <w:rFonts w:hint="eastAsia" w:ascii="宋体" w:hAnsi="宋体" w:cs="宋体"/>
          <w:bCs/>
          <w:color w:val="auto"/>
          <w:kern w:val="2"/>
          <w:sz w:val="21"/>
          <w:szCs w:val="21"/>
          <w:highlight w:val="none"/>
        </w:rPr>
        <w:t>2.2海曙区“政采贷”助力中小企业金融服务，有需要的中标（成交）供应商请于网站http://bidding.ningbo.gov.cn/tzgg/360383.jhtml办理具体业务。</w:t>
      </w:r>
    </w:p>
    <w:p>
      <w:pPr>
        <w:snapToGrid w:val="0"/>
        <w:spacing w:line="360" w:lineRule="auto"/>
        <w:ind w:firstLine="413" w:firstLineChars="196"/>
        <w:rPr>
          <w:b/>
          <w:color w:val="auto"/>
          <w:highlight w:val="none"/>
        </w:rPr>
      </w:pPr>
      <w:r>
        <w:rPr>
          <w:rFonts w:hint="eastAsia"/>
          <w:b/>
          <w:color w:val="auto"/>
          <w:highlight w:val="none"/>
        </w:rPr>
        <w:t>八、凡对本次采购提出询问，请按</w:t>
      </w:r>
      <w:r>
        <w:rPr>
          <w:b/>
          <w:color w:val="auto"/>
          <w:highlight w:val="none"/>
        </w:rPr>
        <w:t>以下方式</w:t>
      </w:r>
      <w:r>
        <w:rPr>
          <w:rFonts w:hint="eastAsia"/>
          <w:b/>
          <w:color w:val="auto"/>
          <w:highlight w:val="none"/>
        </w:rPr>
        <w:t>联系。</w:t>
      </w:r>
      <w:bookmarkEnd w:id="29"/>
      <w:bookmarkEnd w:id="30"/>
      <w:bookmarkEnd w:id="31"/>
      <w:bookmarkEnd w:id="32"/>
    </w:p>
    <w:p>
      <w:pPr>
        <w:snapToGrid w:val="0"/>
        <w:spacing w:line="360" w:lineRule="auto"/>
        <w:ind w:firstLine="411" w:firstLineChars="196"/>
        <w:rPr>
          <w:rFonts w:ascii="宋体" w:hAnsi="宋体" w:cs="宋体"/>
          <w:color w:val="auto"/>
          <w:highlight w:val="none"/>
        </w:rPr>
      </w:pPr>
      <w:bookmarkStart w:id="33" w:name="_Toc28359096"/>
      <w:bookmarkStart w:id="34" w:name="_Toc35393637"/>
      <w:bookmarkStart w:id="35" w:name="_Toc35393806"/>
      <w:bookmarkStart w:id="36" w:name="_Toc28359019"/>
      <w:r>
        <w:rPr>
          <w:rFonts w:hint="eastAsia" w:ascii="宋体" w:hAnsi="宋体" w:cs="宋体"/>
          <w:color w:val="auto"/>
          <w:highlight w:val="none"/>
        </w:rPr>
        <w:t>1.采购人信息</w:t>
      </w:r>
      <w:bookmarkEnd w:id="33"/>
      <w:bookmarkEnd w:id="34"/>
      <w:bookmarkEnd w:id="35"/>
      <w:bookmarkEnd w:id="36"/>
    </w:p>
    <w:p>
      <w:pPr>
        <w:snapToGrid w:val="0"/>
        <w:spacing w:line="360" w:lineRule="auto"/>
        <w:ind w:firstLine="411" w:firstLineChars="196"/>
        <w:rPr>
          <w:rFonts w:ascii="宋体" w:hAnsi="宋体" w:cs="宋体"/>
          <w:color w:val="auto"/>
          <w:highlight w:val="none"/>
        </w:rPr>
      </w:pPr>
      <w:bookmarkStart w:id="37" w:name="_Toc28359020"/>
      <w:bookmarkStart w:id="38" w:name="_Toc28359097"/>
      <w:bookmarkStart w:id="39" w:name="_Toc35393638"/>
      <w:bookmarkStart w:id="40" w:name="_Toc35393807"/>
      <w:r>
        <w:rPr>
          <w:rFonts w:hint="eastAsia" w:ascii="宋体" w:hAnsi="宋体" w:cs="宋体"/>
          <w:color w:val="auto"/>
          <w:highlight w:val="none"/>
        </w:rPr>
        <w:t>名称：</w:t>
      </w:r>
      <w:r>
        <w:rPr>
          <w:rFonts w:hint="eastAsia" w:ascii="宋体" w:hAnsi="宋体" w:cs="宋体"/>
          <w:color w:val="auto"/>
          <w:highlight w:val="none"/>
          <w:lang w:eastAsia="zh-CN"/>
        </w:rPr>
        <w:t>宁波市实验学校</w:t>
      </w:r>
      <w:r>
        <w:rPr>
          <w:rFonts w:hint="eastAsia" w:ascii="宋体" w:hAnsi="宋体" w:cs="宋体"/>
          <w:color w:val="auto"/>
          <w:highlight w:val="none"/>
        </w:rPr>
        <w:t xml:space="preserve"> </w:t>
      </w:r>
    </w:p>
    <w:p>
      <w:pPr>
        <w:snapToGrid w:val="0"/>
        <w:spacing w:line="360" w:lineRule="auto"/>
        <w:ind w:firstLine="411" w:firstLineChars="196"/>
        <w:rPr>
          <w:rFonts w:ascii="宋体" w:hAnsi="宋体" w:cs="宋体"/>
          <w:highlight w:val="none"/>
        </w:rPr>
      </w:pPr>
      <w:r>
        <w:rPr>
          <w:rFonts w:hint="eastAsia" w:ascii="宋体" w:hAnsi="宋体" w:cs="宋体"/>
          <w:highlight w:val="none"/>
        </w:rPr>
        <w:t>地址：宁波市海曙区中山西路1182弄86号</w:t>
      </w:r>
    </w:p>
    <w:p>
      <w:pPr>
        <w:snapToGrid w:val="0"/>
        <w:spacing w:line="360" w:lineRule="auto"/>
        <w:ind w:firstLine="411" w:firstLineChars="196"/>
        <w:rPr>
          <w:rFonts w:ascii="宋体" w:hAnsi="宋体" w:cs="宋体"/>
          <w:highlight w:val="none"/>
        </w:rPr>
      </w:pPr>
      <w:r>
        <w:rPr>
          <w:rFonts w:hint="eastAsia" w:ascii="宋体" w:hAnsi="宋体" w:cs="宋体"/>
          <w:highlight w:val="none"/>
        </w:rPr>
        <w:t>联系人：丁老师</w:t>
      </w:r>
    </w:p>
    <w:p>
      <w:pPr>
        <w:snapToGrid w:val="0"/>
        <w:spacing w:line="360" w:lineRule="auto"/>
        <w:ind w:firstLine="411" w:firstLineChars="196"/>
        <w:rPr>
          <w:rFonts w:ascii="宋体" w:hAnsi="宋体" w:cs="宋体"/>
          <w:highlight w:val="none"/>
        </w:rPr>
      </w:pPr>
      <w:r>
        <w:rPr>
          <w:rFonts w:hint="eastAsia" w:ascii="宋体" w:hAnsi="宋体" w:cs="宋体"/>
          <w:highlight w:val="none"/>
        </w:rPr>
        <w:t>联系方式：0574-</w:t>
      </w:r>
      <w:r>
        <w:rPr>
          <w:rFonts w:ascii="宋体" w:hAnsi="宋体" w:cs="宋体"/>
          <w:highlight w:val="none"/>
        </w:rPr>
        <w:t>55013707</w:t>
      </w:r>
    </w:p>
    <w:p>
      <w:pPr>
        <w:snapToGrid w:val="0"/>
        <w:spacing w:line="360" w:lineRule="auto"/>
        <w:ind w:firstLine="411" w:firstLineChars="196"/>
        <w:rPr>
          <w:rFonts w:ascii="宋体" w:hAnsi="宋体" w:cs="宋体"/>
          <w:highlight w:val="none"/>
        </w:rPr>
      </w:pPr>
      <w:r>
        <w:rPr>
          <w:rFonts w:hint="eastAsia" w:ascii="宋体" w:hAnsi="宋体" w:cs="宋体"/>
          <w:highlight w:val="none"/>
        </w:rPr>
        <w:t>质疑联系人：张老师</w:t>
      </w:r>
    </w:p>
    <w:p>
      <w:pPr>
        <w:snapToGrid w:val="0"/>
        <w:spacing w:line="360" w:lineRule="auto"/>
        <w:ind w:firstLine="411" w:firstLineChars="196"/>
        <w:rPr>
          <w:rFonts w:ascii="宋体" w:hAnsi="宋体" w:cs="宋体"/>
          <w:color w:val="auto"/>
          <w:highlight w:val="none"/>
        </w:rPr>
      </w:pPr>
      <w:r>
        <w:rPr>
          <w:rFonts w:hint="eastAsia" w:ascii="宋体" w:hAnsi="宋体" w:cs="宋体"/>
          <w:highlight w:val="none"/>
        </w:rPr>
        <w:t>质疑联系方式：0574-</w:t>
      </w:r>
      <w:r>
        <w:rPr>
          <w:rFonts w:ascii="宋体" w:hAnsi="宋体" w:cs="宋体"/>
          <w:highlight w:val="none"/>
        </w:rPr>
        <w:t>55013707</w:t>
      </w:r>
    </w:p>
    <w:p>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2.采购代理机构信息</w:t>
      </w:r>
      <w:bookmarkEnd w:id="37"/>
      <w:bookmarkEnd w:id="38"/>
      <w:bookmarkEnd w:id="39"/>
      <w:bookmarkEnd w:id="40"/>
    </w:p>
    <w:p>
      <w:pPr>
        <w:snapToGrid w:val="0"/>
        <w:spacing w:line="360" w:lineRule="auto"/>
        <w:ind w:firstLine="411" w:firstLineChars="196"/>
        <w:rPr>
          <w:rFonts w:ascii="宋体" w:hAnsi="宋体" w:cs="宋体"/>
          <w:color w:val="auto"/>
          <w:highlight w:val="none"/>
        </w:rPr>
      </w:pPr>
      <w:bookmarkStart w:id="41" w:name="_Toc28359021"/>
      <w:bookmarkStart w:id="42" w:name="_Toc35393639"/>
      <w:bookmarkStart w:id="43" w:name="_Toc28359098"/>
      <w:bookmarkStart w:id="44" w:name="_Toc35393808"/>
      <w:r>
        <w:rPr>
          <w:rFonts w:hint="eastAsia" w:ascii="宋体" w:hAnsi="宋体" w:cs="宋体"/>
          <w:color w:val="auto"/>
          <w:highlight w:val="none"/>
        </w:rPr>
        <w:t>名称：宁波名诚招标代理有限公司</w:t>
      </w:r>
    </w:p>
    <w:p>
      <w:pPr>
        <w:snapToGrid w:val="0"/>
        <w:spacing w:line="360" w:lineRule="auto"/>
        <w:ind w:firstLine="411" w:firstLineChars="196"/>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宁波市海曙区江汇城496号姚江时代14幢3楼</w:t>
      </w:r>
    </w:p>
    <w:p>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财务联系电话:0574-87101276    单位传真：0574-87103586</w:t>
      </w:r>
    </w:p>
    <w:p>
      <w:pPr>
        <w:snapToGrid w:val="0"/>
        <w:spacing w:line="360" w:lineRule="auto"/>
        <w:ind w:firstLine="411" w:firstLineChars="196"/>
        <w:rPr>
          <w:rFonts w:asciiTheme="minorEastAsia" w:hAnsiTheme="minorEastAsia" w:eastAsiaTheme="minorEastAsia"/>
          <w:color w:val="auto"/>
          <w:highlight w:val="none"/>
        </w:rPr>
      </w:pPr>
      <w:r>
        <w:rPr>
          <w:rFonts w:hint="eastAsia" w:ascii="宋体" w:hAnsi="宋体" w:cs="宋体"/>
          <w:color w:val="auto"/>
          <w:highlight w:val="none"/>
        </w:rPr>
        <w:t>质疑联系人：方芳</w:t>
      </w:r>
      <w:r>
        <w:rPr>
          <w:rFonts w:hint="eastAsia" w:ascii="宋体" w:hAnsi="宋体" w:cs="宋体"/>
          <w:color w:val="auto"/>
          <w:highlight w:val="none"/>
          <w:lang w:val="en-US" w:eastAsia="zh-CN"/>
        </w:rPr>
        <w:t xml:space="preserve">  </w:t>
      </w:r>
      <w:r>
        <w:rPr>
          <w:rFonts w:hint="eastAsia" w:asciiTheme="minorEastAsia" w:hAnsiTheme="minorEastAsia" w:eastAsiaTheme="minorEastAsia"/>
          <w:color w:val="auto"/>
          <w:highlight w:val="none"/>
        </w:rPr>
        <w:t>质疑联系人电话：0574-87101271</w:t>
      </w:r>
    </w:p>
    <w:bookmarkEnd w:id="41"/>
    <w:bookmarkEnd w:id="42"/>
    <w:bookmarkEnd w:id="43"/>
    <w:bookmarkEnd w:id="44"/>
    <w:p>
      <w:pPr>
        <w:snapToGrid w:val="0"/>
        <w:spacing w:line="360" w:lineRule="auto"/>
        <w:ind w:firstLine="411" w:firstLineChars="19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项目联系人：黄锃潇、董初林、王裕挺</w:t>
      </w:r>
    </w:p>
    <w:p>
      <w:pPr>
        <w:snapToGrid w:val="0"/>
        <w:spacing w:line="360" w:lineRule="auto"/>
        <w:ind w:firstLine="411" w:firstLineChars="19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电话：0574-871012</w:t>
      </w:r>
      <w:r>
        <w:rPr>
          <w:rFonts w:asciiTheme="minorEastAsia" w:hAnsiTheme="minorEastAsia" w:eastAsiaTheme="minorEastAsia"/>
          <w:color w:val="auto"/>
          <w:highlight w:val="none"/>
        </w:rPr>
        <w:t>60</w:t>
      </w:r>
    </w:p>
    <w:p>
      <w:pPr>
        <w:snapToGrid w:val="0"/>
        <w:spacing w:line="360" w:lineRule="auto"/>
        <w:ind w:left="489" w:leftChars="200" w:hanging="69" w:hangingChars="33"/>
        <w:rPr>
          <w:color w:val="auto"/>
          <w:highlight w:val="none"/>
        </w:rPr>
      </w:pPr>
      <w:r>
        <w:rPr>
          <w:color w:val="auto"/>
          <w:highlight w:val="none"/>
        </w:rPr>
        <w:t>3.同级政府采购监督管理部门</w:t>
      </w:r>
    </w:p>
    <w:p>
      <w:pPr>
        <w:snapToGrid w:val="0"/>
        <w:spacing w:line="360" w:lineRule="auto"/>
        <w:ind w:left="489" w:leftChars="200" w:hanging="69" w:hangingChars="33"/>
        <w:rPr>
          <w:color w:val="auto"/>
          <w:highlight w:val="none"/>
        </w:rPr>
      </w:pPr>
      <w:r>
        <w:rPr>
          <w:color w:val="auto"/>
          <w:highlight w:val="none"/>
        </w:rPr>
        <w:t>名称：宁波市海曙区采购管理办公室</w:t>
      </w:r>
    </w:p>
    <w:p>
      <w:pPr>
        <w:snapToGrid w:val="0"/>
        <w:spacing w:line="360" w:lineRule="auto"/>
        <w:ind w:left="489" w:leftChars="200" w:hanging="69" w:hangingChars="33"/>
        <w:rPr>
          <w:color w:val="auto"/>
          <w:highlight w:val="none"/>
        </w:rPr>
      </w:pPr>
      <w:r>
        <w:rPr>
          <w:color w:val="auto"/>
          <w:highlight w:val="none"/>
        </w:rPr>
        <w:t>联系人：</w:t>
      </w:r>
      <w:r>
        <w:rPr>
          <w:rFonts w:hint="eastAsia"/>
          <w:color w:val="auto"/>
          <w:highlight w:val="none"/>
        </w:rPr>
        <w:t>王老师</w:t>
      </w:r>
    </w:p>
    <w:p>
      <w:pPr>
        <w:snapToGrid w:val="0"/>
        <w:spacing w:line="360" w:lineRule="auto"/>
        <w:ind w:firstLine="411" w:firstLineChars="196"/>
        <w:rPr>
          <w:rFonts w:ascii="宋体" w:hAnsi="宋体"/>
          <w:color w:val="auto"/>
          <w:highlight w:val="none"/>
        </w:rPr>
      </w:pPr>
      <w:r>
        <w:rPr>
          <w:color w:val="auto"/>
          <w:highlight w:val="none"/>
        </w:rPr>
        <w:t>监督投诉电</w:t>
      </w:r>
      <w:r>
        <w:rPr>
          <w:rFonts w:ascii="宋体" w:hAnsi="宋体"/>
          <w:color w:val="auto"/>
          <w:highlight w:val="none"/>
        </w:rPr>
        <w:t>话：0574-</w:t>
      </w:r>
      <w:r>
        <w:rPr>
          <w:rFonts w:hint="eastAsia" w:ascii="宋体" w:hAnsi="宋体"/>
          <w:color w:val="auto"/>
          <w:highlight w:val="none"/>
        </w:rPr>
        <w:t>87297540</w:t>
      </w:r>
    </w:p>
    <w:p>
      <w:pPr>
        <w:snapToGrid w:val="0"/>
        <w:spacing w:line="360" w:lineRule="auto"/>
        <w:ind w:firstLine="411" w:firstLineChars="196"/>
        <w:rPr>
          <w:rFonts w:ascii="宋体" w:hAnsi="宋体"/>
          <w:color w:val="auto"/>
          <w:highlight w:val="none"/>
        </w:rPr>
      </w:pPr>
      <w:r>
        <w:rPr>
          <w:rFonts w:hint="eastAsia" w:ascii="宋体" w:hAnsi="宋体"/>
          <w:color w:val="auto"/>
          <w:highlight w:val="none"/>
        </w:rPr>
        <w:t>地址：海曙区天之海大厦海曙财政局214办公室</w:t>
      </w:r>
    </w:p>
    <w:p>
      <w:pPr>
        <w:snapToGrid w:val="0"/>
        <w:spacing w:line="360" w:lineRule="auto"/>
        <w:ind w:firstLine="551" w:firstLineChars="196"/>
        <w:jc w:val="center"/>
        <w:rPr>
          <w:rFonts w:asciiTheme="minorEastAsia" w:hAnsiTheme="minorEastAsia" w:eastAsiaTheme="minorEastAsia"/>
          <w:color w:val="auto"/>
          <w:highlight w:val="none"/>
        </w:rPr>
      </w:pPr>
      <w:r>
        <w:rPr>
          <w:rFonts w:ascii="宋体" w:hAnsi="宋体" w:cs="宋体"/>
          <w:b/>
          <w:bCs/>
          <w:color w:val="auto"/>
          <w:sz w:val="28"/>
          <w:szCs w:val="30"/>
          <w:highlight w:val="none"/>
        </w:rPr>
        <w:br w:type="page"/>
      </w:r>
      <w:bookmarkStart w:id="45" w:name="_Toc35945392"/>
      <w:bookmarkStart w:id="46" w:name="_Toc35945325"/>
      <w:bookmarkStart w:id="47" w:name="_Toc35945298"/>
      <w:r>
        <w:rPr>
          <w:rFonts w:hint="eastAsia" w:ascii="宋体" w:hAnsi="宋体" w:cs="宋体"/>
          <w:b/>
          <w:bCs/>
          <w:color w:val="auto"/>
          <w:sz w:val="24"/>
          <w:szCs w:val="30"/>
          <w:highlight w:val="none"/>
        </w:rPr>
        <w:t>第二章  采购需求</w:t>
      </w:r>
      <w:bookmarkEnd w:id="45"/>
      <w:bookmarkEnd w:id="46"/>
      <w:bookmarkEnd w:id="47"/>
    </w:p>
    <w:p>
      <w:pPr>
        <w:snapToGrid w:val="0"/>
        <w:spacing w:line="360" w:lineRule="exact"/>
        <w:rPr>
          <w:rFonts w:ascii="宋体" w:hAnsi="宋体" w:cs="宋体"/>
          <w:b/>
          <w:bCs/>
          <w:color w:val="auto"/>
          <w:spacing w:val="-6"/>
          <w:highlight w:val="none"/>
        </w:rPr>
      </w:pPr>
      <w:r>
        <w:rPr>
          <w:rFonts w:hint="eastAsia" w:cs="宋体"/>
          <w:b/>
          <w:bCs/>
          <w:color w:val="auto"/>
          <w:sz w:val="21"/>
          <w:szCs w:val="21"/>
          <w:highlight w:val="none"/>
        </w:rPr>
        <w:t>一.</w:t>
      </w:r>
      <w:r>
        <w:rPr>
          <w:rFonts w:hint="eastAsia" w:ascii="宋体" w:hAnsi="宋体" w:cs="宋体"/>
          <w:b/>
          <w:bCs/>
          <w:color w:val="auto"/>
          <w:spacing w:val="-6"/>
          <w:highlight w:val="none"/>
          <w:lang w:val="en-US" w:eastAsia="zh-CN"/>
        </w:rPr>
        <w:t>线路</w:t>
      </w:r>
      <w:r>
        <w:rPr>
          <w:rFonts w:hint="eastAsia" w:ascii="宋体" w:hAnsi="宋体" w:cs="宋体"/>
          <w:b/>
          <w:bCs/>
          <w:color w:val="auto"/>
          <w:spacing w:val="-6"/>
          <w:highlight w:val="none"/>
        </w:rPr>
        <w:t>要求</w:t>
      </w:r>
    </w:p>
    <w:p>
      <w:pPr>
        <w:snapToGrid w:val="0"/>
        <w:spacing w:line="360" w:lineRule="exact"/>
        <w:rPr>
          <w:rFonts w:hint="eastAsia"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标项一：</w:t>
      </w:r>
    </w:p>
    <w:p>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textAlignment w:val="auto"/>
        <w:rPr>
          <w:rFonts w:ascii="宋体" w:hAnsi="宋体" w:cs="宋体"/>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1、</w:t>
      </w:r>
      <w:r>
        <w:rPr>
          <w:rFonts w:hint="eastAsia" w:ascii="宋体" w:hAnsi="宋体" w:cs="宋体"/>
          <w:color w:val="auto"/>
          <w:highlight w:val="none"/>
        </w:rPr>
        <w:t>参加</w:t>
      </w:r>
      <w:r>
        <w:rPr>
          <w:rFonts w:hint="eastAsia" w:ascii="宋体" w:hAnsi="宋体" w:cs="宋体"/>
          <w:color w:val="auto"/>
          <w:highlight w:val="none"/>
          <w:lang w:val="en-US" w:eastAsia="zh-CN"/>
        </w:rPr>
        <w:t>疗休养</w:t>
      </w:r>
      <w:r>
        <w:rPr>
          <w:rFonts w:hint="eastAsia" w:ascii="宋体" w:hAnsi="宋体" w:cs="宋体"/>
          <w:color w:val="auto"/>
          <w:highlight w:val="none"/>
        </w:rPr>
        <w:t>人数根据实际人数计算（预计</w:t>
      </w:r>
      <w:r>
        <w:rPr>
          <w:rFonts w:hint="eastAsia" w:ascii="宋体" w:hAnsi="宋体" w:cs="宋体"/>
          <w:color w:val="auto"/>
          <w:highlight w:val="none"/>
          <w:lang w:val="en-US" w:eastAsia="zh-CN"/>
        </w:rPr>
        <w:t>55</w:t>
      </w:r>
      <w:r>
        <w:rPr>
          <w:rFonts w:hint="eastAsia" w:ascii="宋体" w:hAnsi="宋体" w:cs="宋体"/>
          <w:color w:val="auto"/>
          <w:highlight w:val="none"/>
        </w:rPr>
        <w:t>人），供应商须自行承担项目风险。职工疗休养按合同约定的线路、服务标准、其他要求以及根据疗休养职工实际报名的线路组团实施，按照实际组团的人次结算。</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cs="宋体"/>
          <w:color w:val="auto"/>
          <w:highlight w:val="none"/>
        </w:rPr>
      </w:pPr>
      <w:r>
        <w:rPr>
          <w:rFonts w:hint="eastAsia" w:ascii="宋体" w:hAnsi="宋体" w:cs="宋体"/>
          <w:bCs/>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线路：</w:t>
      </w:r>
    </w:p>
    <w:tbl>
      <w:tblPr>
        <w:tblStyle w:val="45"/>
        <w:tblW w:w="9000" w:type="dxa"/>
        <w:tblInd w:w="63" w:type="dxa"/>
        <w:tblLayout w:type="fixed"/>
        <w:tblCellMar>
          <w:top w:w="0" w:type="dxa"/>
          <w:left w:w="108" w:type="dxa"/>
          <w:bottom w:w="0" w:type="dxa"/>
          <w:right w:w="108" w:type="dxa"/>
        </w:tblCellMar>
      </w:tblPr>
      <w:tblGrid>
        <w:gridCol w:w="742"/>
        <w:gridCol w:w="2564"/>
        <w:gridCol w:w="1817"/>
        <w:gridCol w:w="3877"/>
      </w:tblGrid>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序号</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疗休养目的地</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疗休养天数</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各线路每人最高限价</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1</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江西</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5</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3000元</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2</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default" w:ascii="宋体" w:hAnsi="宋体" w:eastAsia="宋体" w:cs="宋体"/>
                <w:bCs/>
                <w:color w:val="auto"/>
                <w:kern w:val="0"/>
                <w:highlight w:val="none"/>
                <w:lang w:val="en-US" w:eastAsia="zh-CN"/>
              </w:rPr>
            </w:pPr>
            <w:r>
              <w:rPr>
                <w:rFonts w:hint="eastAsia" w:ascii="宋体" w:hAnsi="宋体" w:cs="宋体"/>
                <w:bCs/>
                <w:color w:val="auto"/>
                <w:kern w:val="0"/>
                <w:highlight w:val="none"/>
                <w:lang w:val="en-US" w:eastAsia="zh-CN"/>
              </w:rPr>
              <w:t>宁波周边</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3</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3000元</w:t>
            </w:r>
          </w:p>
        </w:tc>
      </w:tr>
      <w:tr>
        <w:tblPrEx>
          <w:tblCellMar>
            <w:top w:w="0" w:type="dxa"/>
            <w:left w:w="108" w:type="dxa"/>
            <w:bottom w:w="0" w:type="dxa"/>
            <w:right w:w="108" w:type="dxa"/>
          </w:tblCellMar>
        </w:tblPrEx>
        <w:trPr>
          <w:trHeight w:val="459" w:hRule="atLeast"/>
        </w:trPr>
        <w:tc>
          <w:tcPr>
            <w:tcW w:w="9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default" w:ascii="宋体" w:hAnsi="宋体" w:eastAsia="宋体" w:cs="宋体"/>
                <w:bCs/>
                <w:color w:val="auto"/>
                <w:kern w:val="0"/>
                <w:highlight w:val="none"/>
                <w:lang w:val="en-US" w:eastAsia="zh-CN"/>
              </w:rPr>
            </w:pPr>
            <w:r>
              <w:rPr>
                <w:rFonts w:hint="eastAsia" w:ascii="宋体" w:hAnsi="宋体" w:cs="宋体"/>
                <w:color w:val="auto"/>
                <w:highlight w:val="none"/>
                <w:lang w:val="en-US" w:eastAsia="zh-CN"/>
              </w:rPr>
              <w:t>注：1）</w:t>
            </w:r>
            <w:r>
              <w:rPr>
                <w:rFonts w:hint="eastAsia" w:ascii="宋体" w:hAnsi="宋体" w:cs="宋体"/>
                <w:color w:val="auto"/>
                <w:highlight w:val="none"/>
              </w:rPr>
              <w:t>实施阶段，职工可在对应栏任选某一线路</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职工疗休养经费以财政补贴为准，超出部分由职工个人承担</w:t>
            </w:r>
            <w:r>
              <w:rPr>
                <w:rFonts w:hint="eastAsia" w:ascii="宋体" w:hAnsi="宋体" w:cs="宋体"/>
                <w:color w:val="auto"/>
                <w:highlight w:val="none"/>
                <w:lang w:val="en-US" w:eastAsia="zh-CN"/>
              </w:rPr>
              <w:t>。在职工会会员为</w:t>
            </w:r>
            <w:r>
              <w:rPr>
                <w:rFonts w:hint="eastAsia" w:ascii="宋体" w:hAnsi="宋体" w:cs="宋体"/>
                <w:bCs/>
                <w:color w:val="auto"/>
                <w:kern w:val="0"/>
                <w:highlight w:val="none"/>
              </w:rPr>
              <w:t>3000元</w:t>
            </w:r>
            <w:r>
              <w:rPr>
                <w:rFonts w:hint="eastAsia" w:ascii="宋体" w:hAnsi="宋体" w:cs="宋体"/>
                <w:bCs/>
                <w:color w:val="auto"/>
                <w:kern w:val="0"/>
                <w:highlight w:val="none"/>
                <w:lang w:val="en-US" w:eastAsia="zh-CN"/>
              </w:rPr>
              <w:t>/人，退休返聘人员</w:t>
            </w:r>
            <w:r>
              <w:rPr>
                <w:rFonts w:hint="eastAsia" w:ascii="宋体" w:hAnsi="宋体" w:cs="宋体"/>
                <w:color w:val="auto"/>
                <w:highlight w:val="none"/>
                <w:lang w:val="en-US" w:eastAsia="zh-CN"/>
              </w:rPr>
              <w:t>为</w:t>
            </w:r>
            <w:r>
              <w:rPr>
                <w:rFonts w:hint="eastAsia" w:ascii="宋体" w:hAnsi="宋体" w:cs="宋体"/>
                <w:bCs/>
                <w:color w:val="auto"/>
                <w:kern w:val="0"/>
                <w:highlight w:val="none"/>
                <w:lang w:val="en-US" w:eastAsia="zh-CN"/>
              </w:rPr>
              <w:t>1500元/人。</w:t>
            </w:r>
          </w:p>
        </w:tc>
      </w:tr>
    </w:tbl>
    <w:p>
      <w:pPr>
        <w:snapToGrid w:val="0"/>
        <w:spacing w:line="360" w:lineRule="exact"/>
        <w:rPr>
          <w:rFonts w:hint="eastAsia"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标项二：</w:t>
      </w:r>
    </w:p>
    <w:p>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textAlignment w:val="auto"/>
        <w:rPr>
          <w:rFonts w:ascii="宋体" w:hAnsi="宋体" w:cs="宋体"/>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1、</w:t>
      </w:r>
      <w:r>
        <w:rPr>
          <w:rFonts w:hint="eastAsia" w:ascii="宋体" w:hAnsi="宋体" w:cs="宋体"/>
          <w:color w:val="auto"/>
          <w:highlight w:val="none"/>
        </w:rPr>
        <w:t>参加</w:t>
      </w:r>
      <w:r>
        <w:rPr>
          <w:rFonts w:hint="eastAsia" w:ascii="宋体" w:hAnsi="宋体" w:cs="宋体"/>
          <w:color w:val="auto"/>
          <w:highlight w:val="none"/>
          <w:lang w:val="en-US" w:eastAsia="zh-CN"/>
        </w:rPr>
        <w:t>疗休养</w:t>
      </w:r>
      <w:r>
        <w:rPr>
          <w:rFonts w:hint="eastAsia" w:ascii="宋体" w:hAnsi="宋体" w:cs="宋体"/>
          <w:color w:val="auto"/>
          <w:highlight w:val="none"/>
        </w:rPr>
        <w:t>人数根据实际人数计算（预计</w:t>
      </w:r>
      <w:r>
        <w:rPr>
          <w:rFonts w:hint="eastAsia" w:ascii="宋体" w:hAnsi="宋体" w:cs="宋体"/>
          <w:color w:val="auto"/>
          <w:highlight w:val="none"/>
          <w:lang w:val="en-US" w:eastAsia="zh-CN"/>
        </w:rPr>
        <w:t>79</w:t>
      </w:r>
      <w:r>
        <w:rPr>
          <w:rFonts w:hint="eastAsia" w:ascii="宋体" w:hAnsi="宋体" w:cs="宋体"/>
          <w:color w:val="auto"/>
          <w:highlight w:val="none"/>
        </w:rPr>
        <w:t>人），供应商须自行承担项目风险。职工疗休养按合同约定的线路、服务标准、其他要求以及根据疗休养职工实际报名的线路组团实施，按照实际组团的人次结算。</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cs="宋体"/>
          <w:color w:val="auto"/>
          <w:highlight w:val="none"/>
        </w:rPr>
      </w:pPr>
      <w:r>
        <w:rPr>
          <w:rFonts w:hint="eastAsia" w:ascii="宋体" w:hAnsi="宋体" w:cs="宋体"/>
          <w:bCs/>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线路：</w:t>
      </w:r>
    </w:p>
    <w:tbl>
      <w:tblPr>
        <w:tblStyle w:val="45"/>
        <w:tblW w:w="9000" w:type="dxa"/>
        <w:tblInd w:w="63" w:type="dxa"/>
        <w:tblLayout w:type="fixed"/>
        <w:tblCellMar>
          <w:top w:w="0" w:type="dxa"/>
          <w:left w:w="108" w:type="dxa"/>
          <w:bottom w:w="0" w:type="dxa"/>
          <w:right w:w="108" w:type="dxa"/>
        </w:tblCellMar>
      </w:tblPr>
      <w:tblGrid>
        <w:gridCol w:w="742"/>
        <w:gridCol w:w="2564"/>
        <w:gridCol w:w="1817"/>
        <w:gridCol w:w="3877"/>
      </w:tblGrid>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序号</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疗休养目的地</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疗休养天数</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各线路每人最高限价</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1</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lang w:val="en-US" w:eastAsia="zh-CN"/>
              </w:rPr>
              <w:t>安徽</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4</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3000元</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2</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lang w:val="en-US" w:eastAsia="zh-CN"/>
              </w:rPr>
              <w:t>宁波周边</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3</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3000元</w:t>
            </w:r>
          </w:p>
        </w:tc>
      </w:tr>
      <w:tr>
        <w:tblPrEx>
          <w:tblCellMar>
            <w:top w:w="0" w:type="dxa"/>
            <w:left w:w="108" w:type="dxa"/>
            <w:bottom w:w="0" w:type="dxa"/>
            <w:right w:w="108" w:type="dxa"/>
          </w:tblCellMar>
        </w:tblPrEx>
        <w:trPr>
          <w:trHeight w:val="459" w:hRule="atLeast"/>
        </w:trPr>
        <w:tc>
          <w:tcPr>
            <w:tcW w:w="9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default" w:ascii="宋体" w:hAnsi="宋体" w:eastAsia="宋体" w:cs="宋体"/>
                <w:bCs/>
                <w:color w:val="auto"/>
                <w:kern w:val="0"/>
                <w:highlight w:val="none"/>
                <w:lang w:val="en-US" w:eastAsia="zh-CN"/>
              </w:rPr>
            </w:pPr>
            <w:r>
              <w:rPr>
                <w:rFonts w:hint="eastAsia" w:ascii="宋体" w:hAnsi="宋体" w:cs="宋体"/>
                <w:color w:val="auto"/>
                <w:highlight w:val="none"/>
                <w:lang w:val="en-US" w:eastAsia="zh-CN"/>
              </w:rPr>
              <w:t>注：1）</w:t>
            </w:r>
            <w:r>
              <w:rPr>
                <w:rFonts w:hint="eastAsia" w:ascii="宋体" w:hAnsi="宋体" w:cs="宋体"/>
                <w:color w:val="auto"/>
                <w:highlight w:val="none"/>
              </w:rPr>
              <w:t>实施阶段，职工可在对应栏任选某一线路</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职工疗休养经费以财政补贴为准，超出部分由职工个人承担</w:t>
            </w:r>
            <w:r>
              <w:rPr>
                <w:rFonts w:hint="eastAsia" w:ascii="宋体" w:hAnsi="宋体" w:cs="宋体"/>
                <w:color w:val="auto"/>
                <w:highlight w:val="none"/>
                <w:lang w:val="en-US" w:eastAsia="zh-CN"/>
              </w:rPr>
              <w:t>。在职工会会员为</w:t>
            </w:r>
            <w:r>
              <w:rPr>
                <w:rFonts w:hint="eastAsia" w:ascii="宋体" w:hAnsi="宋体" w:cs="宋体"/>
                <w:bCs/>
                <w:color w:val="auto"/>
                <w:kern w:val="0"/>
                <w:highlight w:val="none"/>
              </w:rPr>
              <w:t>3000元</w:t>
            </w:r>
            <w:r>
              <w:rPr>
                <w:rFonts w:hint="eastAsia" w:ascii="宋体" w:hAnsi="宋体" w:cs="宋体"/>
                <w:bCs/>
                <w:color w:val="auto"/>
                <w:kern w:val="0"/>
                <w:highlight w:val="none"/>
                <w:lang w:val="en-US" w:eastAsia="zh-CN"/>
              </w:rPr>
              <w:t>/人，退休返聘人员</w:t>
            </w:r>
            <w:r>
              <w:rPr>
                <w:rFonts w:hint="eastAsia" w:ascii="宋体" w:hAnsi="宋体" w:cs="宋体"/>
                <w:color w:val="auto"/>
                <w:highlight w:val="none"/>
                <w:lang w:val="en-US" w:eastAsia="zh-CN"/>
              </w:rPr>
              <w:t>为</w:t>
            </w:r>
            <w:r>
              <w:rPr>
                <w:rFonts w:hint="eastAsia" w:ascii="宋体" w:hAnsi="宋体" w:cs="宋体"/>
                <w:bCs/>
                <w:color w:val="auto"/>
                <w:kern w:val="0"/>
                <w:highlight w:val="none"/>
                <w:lang w:val="en-US" w:eastAsia="zh-CN"/>
              </w:rPr>
              <w:t>1500元/人。</w:t>
            </w:r>
          </w:p>
        </w:tc>
      </w:tr>
    </w:tbl>
    <w:p>
      <w:pPr>
        <w:snapToGrid w:val="0"/>
        <w:spacing w:line="360" w:lineRule="exact"/>
        <w:rPr>
          <w:rFonts w:hint="eastAsia"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标项三：</w:t>
      </w:r>
    </w:p>
    <w:p>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textAlignment w:val="auto"/>
        <w:rPr>
          <w:rFonts w:ascii="宋体" w:hAnsi="宋体" w:cs="宋体"/>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1、</w:t>
      </w:r>
      <w:r>
        <w:rPr>
          <w:rFonts w:hint="eastAsia" w:ascii="宋体" w:hAnsi="宋体" w:cs="宋体"/>
          <w:color w:val="auto"/>
          <w:highlight w:val="none"/>
        </w:rPr>
        <w:t>参加邻省和对口支援的人数根据实际人数计算（预计</w:t>
      </w:r>
      <w:r>
        <w:rPr>
          <w:rFonts w:hint="eastAsia" w:ascii="宋体" w:hAnsi="宋体" w:cs="宋体"/>
          <w:color w:val="auto"/>
          <w:highlight w:val="none"/>
          <w:lang w:val="en-US" w:eastAsia="zh-CN"/>
        </w:rPr>
        <w:t>71</w:t>
      </w:r>
      <w:r>
        <w:rPr>
          <w:rFonts w:hint="eastAsia" w:ascii="宋体" w:hAnsi="宋体" w:cs="宋体"/>
          <w:color w:val="auto"/>
          <w:highlight w:val="none"/>
        </w:rPr>
        <w:t>人），供应商须自行承担项目风险。职工疗休养按合同约定的线路、服务标准、其他要求以及根据疗休养职工实际报名的线路组团实施，按照实际组团的人次结算。</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cs="宋体"/>
          <w:color w:val="auto"/>
          <w:highlight w:val="none"/>
        </w:rPr>
      </w:pPr>
      <w:r>
        <w:rPr>
          <w:rFonts w:hint="eastAsia" w:ascii="宋体" w:hAnsi="宋体" w:cs="宋体"/>
          <w:bCs/>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线路：</w:t>
      </w:r>
    </w:p>
    <w:tbl>
      <w:tblPr>
        <w:tblStyle w:val="45"/>
        <w:tblW w:w="9000" w:type="dxa"/>
        <w:tblInd w:w="63" w:type="dxa"/>
        <w:tblLayout w:type="fixed"/>
        <w:tblCellMar>
          <w:top w:w="0" w:type="dxa"/>
          <w:left w:w="108" w:type="dxa"/>
          <w:bottom w:w="0" w:type="dxa"/>
          <w:right w:w="108" w:type="dxa"/>
        </w:tblCellMar>
      </w:tblPr>
      <w:tblGrid>
        <w:gridCol w:w="742"/>
        <w:gridCol w:w="2564"/>
        <w:gridCol w:w="1817"/>
        <w:gridCol w:w="3877"/>
      </w:tblGrid>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序号</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疗休养目的地</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疗休养天数</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各线路每人最高限价</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1</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吉林</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Cs/>
                <w:color w:val="auto"/>
                <w:kern w:val="0"/>
                <w:highlight w:val="none"/>
              </w:rPr>
            </w:pPr>
            <w:r>
              <w:rPr>
                <w:rFonts w:hint="eastAsia" w:ascii="宋体" w:hAnsi="宋体" w:cs="宋体"/>
                <w:bCs/>
                <w:color w:val="auto"/>
                <w:kern w:val="0"/>
                <w:highlight w:val="none"/>
              </w:rPr>
              <w:t>5</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lang w:val="en-US" w:eastAsia="zh-CN"/>
              </w:rPr>
              <w:t>530</w:t>
            </w:r>
            <w:r>
              <w:rPr>
                <w:rFonts w:hint="eastAsia" w:ascii="宋体" w:hAnsi="宋体" w:cs="宋体"/>
                <w:bCs/>
                <w:color w:val="auto"/>
                <w:kern w:val="0"/>
                <w:highlight w:val="none"/>
              </w:rPr>
              <w:t>0元</w:t>
            </w:r>
          </w:p>
        </w:tc>
      </w:tr>
      <w:tr>
        <w:tblPrEx>
          <w:tblCellMar>
            <w:top w:w="0" w:type="dxa"/>
            <w:left w:w="108" w:type="dxa"/>
            <w:bottom w:w="0" w:type="dxa"/>
            <w:right w:w="108" w:type="dxa"/>
          </w:tblCellMar>
        </w:tblPrEx>
        <w:trPr>
          <w:trHeight w:val="459" w:hRule="atLeast"/>
        </w:trPr>
        <w:tc>
          <w:tcPr>
            <w:tcW w:w="74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2</w:t>
            </w:r>
          </w:p>
        </w:tc>
        <w:tc>
          <w:tcPr>
            <w:tcW w:w="2564"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湖州</w:t>
            </w:r>
          </w:p>
        </w:tc>
        <w:tc>
          <w:tcPr>
            <w:tcW w:w="1817"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3</w:t>
            </w:r>
          </w:p>
        </w:tc>
        <w:tc>
          <w:tcPr>
            <w:tcW w:w="387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3000元</w:t>
            </w:r>
          </w:p>
        </w:tc>
      </w:tr>
      <w:tr>
        <w:tblPrEx>
          <w:tblCellMar>
            <w:top w:w="0" w:type="dxa"/>
            <w:left w:w="108" w:type="dxa"/>
            <w:bottom w:w="0" w:type="dxa"/>
            <w:right w:w="108" w:type="dxa"/>
          </w:tblCellMar>
        </w:tblPrEx>
        <w:trPr>
          <w:trHeight w:val="459" w:hRule="atLeast"/>
        </w:trPr>
        <w:tc>
          <w:tcPr>
            <w:tcW w:w="9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default" w:ascii="宋体" w:hAnsi="宋体" w:eastAsia="宋体" w:cs="宋体"/>
                <w:bCs/>
                <w:color w:val="auto"/>
                <w:kern w:val="0"/>
                <w:highlight w:val="none"/>
                <w:lang w:val="en-US" w:eastAsia="zh-CN"/>
              </w:rPr>
            </w:pPr>
            <w:r>
              <w:rPr>
                <w:rFonts w:hint="eastAsia" w:ascii="宋体" w:hAnsi="宋体" w:cs="宋体"/>
                <w:color w:val="auto"/>
                <w:highlight w:val="none"/>
                <w:lang w:val="en-US" w:eastAsia="zh-CN"/>
              </w:rPr>
              <w:t>注：1）</w:t>
            </w:r>
            <w:r>
              <w:rPr>
                <w:rFonts w:hint="eastAsia" w:ascii="宋体" w:hAnsi="宋体" w:cs="宋体"/>
                <w:color w:val="auto"/>
                <w:highlight w:val="none"/>
              </w:rPr>
              <w:t>实施阶段，职工可在对应栏任选某一线路</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职工疗休养经费以财政补贴为准，超出部分由职工个人承担</w:t>
            </w:r>
            <w:r>
              <w:rPr>
                <w:rFonts w:hint="eastAsia" w:ascii="宋体" w:hAnsi="宋体" w:cs="宋体"/>
                <w:color w:val="auto"/>
                <w:highlight w:val="none"/>
                <w:lang w:val="en-US" w:eastAsia="zh-CN"/>
              </w:rPr>
              <w:t>。在职工会会员为</w:t>
            </w:r>
            <w:r>
              <w:rPr>
                <w:rFonts w:hint="eastAsia" w:ascii="宋体" w:hAnsi="宋体" w:cs="宋体"/>
                <w:bCs/>
                <w:color w:val="auto"/>
                <w:kern w:val="0"/>
                <w:highlight w:val="none"/>
              </w:rPr>
              <w:t>3000元</w:t>
            </w:r>
            <w:r>
              <w:rPr>
                <w:rFonts w:hint="eastAsia" w:ascii="宋体" w:hAnsi="宋体" w:cs="宋体"/>
                <w:bCs/>
                <w:color w:val="auto"/>
                <w:kern w:val="0"/>
                <w:highlight w:val="none"/>
                <w:lang w:val="en-US" w:eastAsia="zh-CN"/>
              </w:rPr>
              <w:t>/人，退休返聘人员</w:t>
            </w:r>
            <w:r>
              <w:rPr>
                <w:rFonts w:hint="eastAsia" w:ascii="宋体" w:hAnsi="宋体" w:cs="宋体"/>
                <w:color w:val="auto"/>
                <w:highlight w:val="none"/>
                <w:lang w:val="en-US" w:eastAsia="zh-CN"/>
              </w:rPr>
              <w:t>为</w:t>
            </w:r>
            <w:r>
              <w:rPr>
                <w:rFonts w:hint="eastAsia" w:ascii="宋体" w:hAnsi="宋体" w:cs="宋体"/>
                <w:bCs/>
                <w:color w:val="auto"/>
                <w:kern w:val="0"/>
                <w:highlight w:val="none"/>
                <w:lang w:val="en-US" w:eastAsia="zh-CN"/>
              </w:rPr>
              <w:t>1500元/人。</w:t>
            </w:r>
          </w:p>
        </w:tc>
      </w:tr>
    </w:tbl>
    <w:p>
      <w:pPr>
        <w:numPr>
          <w:ilvl w:val="0"/>
          <w:numId w:val="1"/>
        </w:numPr>
        <w:snapToGrid w:val="0"/>
        <w:spacing w:line="360" w:lineRule="exact"/>
        <w:rPr>
          <w:rFonts w:hint="eastAsia" w:ascii="宋体" w:hAnsi="宋体" w:eastAsia="宋体" w:cs="宋体"/>
          <w:b/>
          <w:bCs/>
          <w:color w:val="auto"/>
          <w:spacing w:val="-6"/>
          <w:highlight w:val="none"/>
          <w:lang w:val="en-US" w:eastAsia="zh-CN"/>
        </w:rPr>
      </w:pPr>
      <w:r>
        <w:rPr>
          <w:rFonts w:hint="eastAsia" w:ascii="Times New Roman" w:hAnsi="Times New Roman" w:eastAsia="宋体" w:cs="宋体"/>
          <w:b/>
          <w:bCs/>
          <w:color w:val="auto"/>
          <w:sz w:val="21"/>
          <w:szCs w:val="21"/>
          <w:highlight w:val="none"/>
          <w:lang w:val="en-US" w:eastAsia="zh-CN"/>
        </w:rPr>
        <w:t>通用要求</w:t>
      </w:r>
      <w:r>
        <w:rPr>
          <w:rFonts w:hint="eastAsia" w:ascii="宋体" w:hAnsi="宋体" w:eastAsia="宋体" w:cs="宋体"/>
          <w:b/>
          <w:bCs/>
          <w:color w:val="auto"/>
          <w:spacing w:val="-6"/>
          <w:highlight w:val="none"/>
          <w:lang w:val="en-US" w:eastAsia="zh-CN"/>
        </w:rPr>
        <w:t>（适用于所有标项）</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1、时间：职工疗休养时间（含在途时间）每人不超过5个工作日。组团按采购人计划实施，具体出团及返回时间根据供应商编制并获得采购人认可的方案为准。</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交通：邻省和对口支援视情况可选择飞机、汽车或高铁。含当地旅游车指定地点到疗养地点接送、景区交通等全过程交通出行工具。</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服务人员：设本项目服务专员（项目负责人），要求具备一定的资历资格和丰富的从业经验，加强双方沟通，根据采购人要求及时调整方案并获得采购人认可，应急处理相关事务等。具体出团全程（高铁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飞机</w:t>
      </w:r>
      <w:r>
        <w:rPr>
          <w:rFonts w:hint="eastAsia" w:ascii="宋体" w:hAnsi="宋体" w:cs="宋体"/>
          <w:color w:val="auto"/>
          <w:highlight w:val="none"/>
        </w:rPr>
        <w:t>除外）配导游，要求不少于三年导游经验，引导、讲解景点山水、典故等，解决旅途中可能出现的突发事件，并给予游客食、宿、行等方面的帮助。</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cs="宋体"/>
          <w:bCs/>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组团：</w:t>
      </w:r>
      <w:r>
        <w:rPr>
          <w:rFonts w:hint="eastAsia" w:ascii="宋体" w:hAnsi="宋体" w:cs="宋体"/>
          <w:bCs/>
          <w:color w:val="auto"/>
          <w:highlight w:val="none"/>
        </w:rPr>
        <w:t>最低组团人数不低于20人。（已报名成团的，因临时退团不足最低组团人数的，该团继续出行</w:t>
      </w:r>
      <w:r>
        <w:rPr>
          <w:rFonts w:hint="eastAsia" w:ascii="宋体" w:hAnsi="宋体" w:cs="宋体"/>
          <w:color w:val="auto"/>
          <w:highlight w:val="none"/>
        </w:rPr>
        <w:t>。因采购人工作的特殊性，组团后可能出现临时退团的情形，临时退团产生的损失费用由退团职工自负，且保证不得降低未退团职工约定的疗休养标准，以上原因产生的风险由供应商综合考虑进行报价。</w:t>
      </w:r>
      <w:r>
        <w:rPr>
          <w:rFonts w:hint="eastAsia" w:ascii="宋体" w:hAnsi="宋体" w:cs="宋体"/>
          <w:bCs/>
          <w:color w:val="auto"/>
          <w:highlight w:val="none"/>
        </w:rPr>
        <w:t>）</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、确定疗休养行程后，若采购人在出发日7天前告知供应商取消行程的，不支付任何费用。</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、职工参加疗休养必须按照政策规定旅游线路，凭身份证向成交供应商的指定联系人报名，由采购人统一与成交供应商签订国家旅游局最新版旅游合同。</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、保险：为每位参加人员购买保障金额不低于100万元的人身意外保险（其中医疗部分不少于10万元）。</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、参加疗休养人员名单和个人信息不得外泄。</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、项目实施方案在签订合同后一周内报采购人做确认，如遇恶劣天气等特殊情况，无法成团出行至目的地的，需及时调整出行方案，采购人认可后可调整目的地或视情况取消出行。</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、合同履行期间，如采购人</w:t>
      </w:r>
      <w:r>
        <w:rPr>
          <w:rFonts w:hint="eastAsia" w:ascii="宋体" w:hAnsi="宋体" w:cs="宋体"/>
          <w:color w:val="auto"/>
          <w:highlight w:val="none"/>
          <w:lang w:val="en-US" w:eastAsia="zh-CN"/>
        </w:rPr>
        <w:t>另有</w:t>
      </w:r>
      <w:r>
        <w:rPr>
          <w:rFonts w:hint="eastAsia" w:ascii="宋体" w:hAnsi="宋体" w:eastAsia="宋体" w:cs="宋体"/>
          <w:color w:val="auto"/>
          <w:highlight w:val="none"/>
          <w:lang w:val="en-US" w:eastAsia="zh-CN"/>
        </w:rPr>
        <w:t>要求，方案可进行协商制定，但不低于参加</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lang w:val="en-US" w:eastAsia="zh-CN"/>
        </w:rPr>
        <w:t>时的设计方案同等标准。</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旅行社向职工提供的旅游服务信息必须真实可靠，不得作虚假宣传。因旅行社原因不能成行，未经职工同意擅自转团、拼团，一经核实，旅行社支付该批次疗休养费用总额的50%比例违约金，情节严重的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、未经职工同意，旅行社不得在旅游合同约定之外提供其他有偿服务。一经核实，旅行社支付该批次疗休养费用总额的50%比例违约金，情节严重的采购人有权终止合同，取消其承办单位资格。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、疗休养线路不得安排购物点或强制购物。一经核实，旅行社支付该批次疗休养费用总额的50%比例违约金，情节严重的采购人有权终止合同，取消其承办单位资格。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旅行社必须严格兑现标书内承诺的所有服务标准和内容，若发现为职工提供的服务与响应文件不符，一经查实，旅行社承诺按该批次疗休养费用总额的50%支付违约金，情节严重的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、旅行社为职工安排或者介绍的旅游活动不得含有违反有关法律、法规规定的内容。一经核实，旅行社支付该批次疗休养费用总额的50%比例违约金，情节严重的采购人有权终止合同，取消其承办单位资格。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、成交旅行社应当按照合同约定履行义务，完成成交项目，不得将成交项目转让(转包)给其他旅行社，一经查实，旅行社赔偿由此带来的全部损失，采购人有权终止合同，取消其承办单位资格。</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、廉政承诺：成交供应商应诚信经营、规范管理，不得违反廉洁纪律相关规定，否则一经查实，采购人有权终止合同。</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本项目合同履约期间，按最新发布的文件要求执行（投标人须考虑项目不确定因素，并自行承担该风险产生的费用和责任，中标后不能以此作为拒绝履行本项目的理由，否则采购人有权追究其法律及经济责任）。遇上级政策变化，原定方案根据政策要求作及时调整，双方协商后实施。</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19</w:t>
      </w:r>
      <w:r>
        <w:rPr>
          <w:rFonts w:hint="eastAsia" w:ascii="宋体" w:hAnsi="宋体" w:eastAsia="宋体" w:cs="宋体"/>
          <w:color w:val="auto"/>
          <w:highlight w:val="none"/>
          <w:lang w:val="en-US" w:eastAsia="zh-CN"/>
        </w:rPr>
        <w:t>、服务结束后进行满意度测评。</w:t>
      </w:r>
    </w:p>
    <w:p>
      <w:pPr>
        <w:snapToGrid w:val="0"/>
        <w:spacing w:line="360" w:lineRule="exact"/>
        <w:rPr>
          <w:rFonts w:hint="default" w:ascii="宋体" w:hAnsi="宋体" w:eastAsia="宋体" w:cs="宋体"/>
          <w:b/>
          <w:bCs/>
          <w:color w:val="auto"/>
          <w:spacing w:val="-6"/>
          <w:highlight w:val="none"/>
          <w:lang w:val="en-US" w:eastAsia="zh-CN"/>
        </w:rPr>
      </w:pPr>
      <w:r>
        <w:rPr>
          <w:rFonts w:hint="eastAsia" w:ascii="宋体" w:hAnsi="宋体" w:cs="宋体"/>
          <w:b/>
          <w:bCs/>
          <w:color w:val="auto"/>
          <w:spacing w:val="-6"/>
          <w:highlight w:val="none"/>
          <w:lang w:val="en-US" w:eastAsia="zh-CN"/>
        </w:rPr>
        <w:t>三</w:t>
      </w:r>
      <w:r>
        <w:rPr>
          <w:rFonts w:hint="eastAsia" w:ascii="宋体" w:hAnsi="宋体" w:eastAsia="宋体" w:cs="宋体"/>
          <w:b/>
          <w:bCs/>
          <w:color w:val="auto"/>
          <w:spacing w:val="-6"/>
          <w:highlight w:val="none"/>
          <w:lang w:val="en-US" w:eastAsia="zh-CN"/>
        </w:rPr>
        <w:t>、其他要求（适用于所有标项）</w:t>
      </w:r>
    </w:p>
    <w:p>
      <w:pPr>
        <w:keepNext w:val="0"/>
        <w:keepLines w:val="0"/>
        <w:pageBreakBefore w:val="0"/>
        <w:widowControl w:val="0"/>
        <w:kinsoku/>
        <w:wordWrap/>
        <w:overflowPunct/>
        <w:topLinePunct w:val="0"/>
        <w:autoSpaceDE/>
        <w:autoSpaceDN w:val="0"/>
        <w:bidi w:val="0"/>
        <w:adjustRightInd/>
        <w:snapToGrid/>
        <w:spacing w:line="440" w:lineRule="exact"/>
        <w:ind w:firstLine="405" w:firstLineChars="193"/>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第三方旅行社需具备一定的服务经验、服务人员及相应的内部管理制度；能提供合理完整可行的安全保障方案、</w:t>
      </w:r>
      <w:r>
        <w:rPr>
          <w:rFonts w:hint="eastAsia" w:ascii="宋体" w:hAnsi="宋体" w:eastAsia="宋体" w:cs="宋体"/>
          <w:color w:val="auto"/>
          <w:highlight w:val="none"/>
          <w:lang w:val="zh-CN" w:eastAsia="zh-CN"/>
        </w:rPr>
        <w:t>应急预案；</w:t>
      </w:r>
      <w:r>
        <w:rPr>
          <w:rFonts w:hint="eastAsia" w:ascii="宋体" w:hAnsi="宋体" w:eastAsia="宋体" w:cs="宋体"/>
          <w:color w:val="auto"/>
          <w:highlight w:val="none"/>
          <w:lang w:val="en-US" w:eastAsia="zh-CN"/>
        </w:rPr>
        <w:t>并根据每条线路制定详细的行程方案，包括但不限于各条线路的行程设计、就餐安排、就餐标准、住宿安排、住宿标准、通行班次安排、用车标准、驾驶人员安排。</w:t>
      </w:r>
    </w:p>
    <w:p>
      <w:pPr>
        <w:snapToGrid w:val="0"/>
        <w:spacing w:line="360" w:lineRule="exact"/>
        <w:rPr>
          <w:rFonts w:hint="eastAsia"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w:t>
      </w:r>
      <w:r>
        <w:rPr>
          <w:rFonts w:hint="eastAsia" w:ascii="宋体" w:hAnsi="宋体" w:cs="宋体"/>
          <w:b/>
          <w:bCs/>
          <w:color w:val="auto"/>
          <w:spacing w:val="-6"/>
          <w:highlight w:val="none"/>
          <w:lang w:val="en-US" w:eastAsia="zh-CN"/>
        </w:rPr>
        <w:t>四</w:t>
      </w:r>
      <w:r>
        <w:rPr>
          <w:rFonts w:hint="eastAsia" w:ascii="宋体" w:hAnsi="宋体" w:eastAsia="宋体" w:cs="宋体"/>
          <w:b/>
          <w:bCs/>
          <w:color w:val="auto"/>
          <w:spacing w:val="-6"/>
          <w:highlight w:val="none"/>
          <w:lang w:val="en-US" w:eastAsia="zh-CN"/>
        </w:rPr>
        <w:t>、商务要求（适用于所有标项）</w:t>
      </w:r>
    </w:p>
    <w:tbl>
      <w:tblPr>
        <w:tblStyle w:val="45"/>
        <w:tblW w:w="9244" w:type="dxa"/>
        <w:tblInd w:w="0" w:type="dxa"/>
        <w:tblLayout w:type="fixed"/>
        <w:tblCellMar>
          <w:top w:w="0" w:type="dxa"/>
          <w:left w:w="108" w:type="dxa"/>
          <w:bottom w:w="0" w:type="dxa"/>
          <w:right w:w="108" w:type="dxa"/>
        </w:tblCellMar>
      </w:tblPr>
      <w:tblGrid>
        <w:gridCol w:w="764"/>
        <w:gridCol w:w="1485"/>
        <w:gridCol w:w="6995"/>
      </w:tblGrid>
      <w:tr>
        <w:tblPrEx>
          <w:tblCellMar>
            <w:top w:w="0" w:type="dxa"/>
            <w:left w:w="108" w:type="dxa"/>
            <w:bottom w:w="0" w:type="dxa"/>
            <w:right w:w="108" w:type="dxa"/>
          </w:tblCellMar>
        </w:tblPrEx>
        <w:trPr>
          <w:trHeight w:val="411"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rPr>
                <w:rFonts w:hint="default" w:ascii="宋体" w:hAnsi="宋体" w:eastAsia="宋体" w:cs="Times New Roman"/>
                <w:b/>
                <w:bCs/>
                <w:color w:val="auto"/>
                <w:kern w:val="1"/>
                <w:sz w:val="21"/>
                <w:szCs w:val="21"/>
                <w:highlight w:val="none"/>
                <w:lang w:val="en-US" w:eastAsia="zh-CN" w:bidi="ar-SA"/>
              </w:rPr>
            </w:pPr>
            <w:r>
              <w:rPr>
                <w:rFonts w:hint="eastAsia" w:ascii="宋体" w:hAnsi="宋体" w:eastAsia="宋体" w:cs="Times New Roman"/>
                <w:b/>
                <w:bCs/>
                <w:color w:val="auto"/>
                <w:kern w:val="1"/>
                <w:sz w:val="21"/>
                <w:szCs w:val="21"/>
                <w:highlight w:val="none"/>
                <w:lang w:val="en-US" w:eastAsia="zh-CN" w:bidi="ar-SA"/>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b/>
                <w:color w:val="auto"/>
                <w:kern w:val="2"/>
                <w:sz w:val="21"/>
                <w:szCs w:val="21"/>
                <w:highlight w:val="none"/>
                <w:lang w:val="en-US" w:eastAsia="zh-CN" w:bidi="ar-SA"/>
              </w:rPr>
            </w:pPr>
            <w:r>
              <w:rPr>
                <w:rFonts w:ascii="宋体" w:hAnsi="宋体"/>
                <w:b/>
                <w:color w:val="auto"/>
                <w:highlight w:val="none"/>
              </w:rPr>
              <w:t>项目</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rPr>
                <w:rFonts w:ascii="宋体" w:hAnsi="宋体" w:eastAsia="宋体" w:cs="Times New Roman"/>
                <w:b/>
                <w:bCs/>
                <w:color w:val="auto"/>
                <w:kern w:val="1"/>
                <w:sz w:val="21"/>
                <w:szCs w:val="21"/>
                <w:highlight w:val="none"/>
                <w:lang w:val="en-US" w:eastAsia="zh-CN" w:bidi="ar-SA"/>
              </w:rPr>
            </w:pPr>
            <w:r>
              <w:rPr>
                <w:rFonts w:ascii="宋体" w:hAnsi="宋体" w:eastAsia="宋体"/>
                <w:color w:val="auto"/>
                <w:kern w:val="1"/>
                <w:sz w:val="21"/>
                <w:szCs w:val="21"/>
                <w:highlight w:val="none"/>
              </w:rPr>
              <w:t>要求</w:t>
            </w:r>
          </w:p>
        </w:tc>
      </w:tr>
      <w:tr>
        <w:tblPrEx>
          <w:tblCellMar>
            <w:top w:w="0" w:type="dxa"/>
            <w:left w:w="108" w:type="dxa"/>
            <w:bottom w:w="0" w:type="dxa"/>
            <w:right w:w="108" w:type="dxa"/>
          </w:tblCellMar>
        </w:tblPrEx>
        <w:trPr>
          <w:trHeight w:val="36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服务期限</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both"/>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合同签订之日起至202</w:t>
            </w:r>
            <w:r>
              <w:rPr>
                <w:rFonts w:hint="eastAsia" w:ascii="宋体" w:hAnsi="宋体" w:eastAsia="宋体"/>
                <w:b w:val="0"/>
                <w:bCs w:val="0"/>
                <w:color w:val="auto"/>
                <w:kern w:val="2"/>
                <w:sz w:val="21"/>
                <w:szCs w:val="21"/>
                <w:highlight w:val="none"/>
                <w:lang w:val="en-US" w:eastAsia="zh-CN"/>
              </w:rPr>
              <w:t>4</w:t>
            </w:r>
            <w:r>
              <w:rPr>
                <w:rFonts w:hint="eastAsia" w:ascii="宋体" w:hAnsi="宋体" w:eastAsia="宋体"/>
                <w:b w:val="0"/>
                <w:bCs w:val="0"/>
                <w:color w:val="auto"/>
                <w:kern w:val="2"/>
                <w:sz w:val="21"/>
                <w:szCs w:val="21"/>
                <w:highlight w:val="none"/>
              </w:rPr>
              <w:t>年12月31日。</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服务地点</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both"/>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采购人指定地点。</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质量标准</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left"/>
              <w:rPr>
                <w:rFonts w:ascii="宋体" w:hAnsi="宋体" w:eastAsia="宋体"/>
                <w:b w:val="0"/>
                <w:bCs w:val="0"/>
                <w:color w:val="auto"/>
                <w:kern w:val="2"/>
                <w:sz w:val="21"/>
                <w:szCs w:val="21"/>
                <w:highlight w:val="none"/>
              </w:rPr>
            </w:pPr>
            <w:r>
              <w:rPr>
                <w:rFonts w:hint="eastAsia" w:ascii="宋体" w:hAnsi="宋体" w:eastAsia="宋体"/>
                <w:b w:val="0"/>
                <w:bCs w:val="0"/>
                <w:color w:val="auto"/>
                <w:kern w:val="2"/>
                <w:sz w:val="21"/>
                <w:szCs w:val="21"/>
                <w:highlight w:val="none"/>
              </w:rPr>
              <w:t>必须执行国家相关标准、行业标准、地方标准或者其它标准、规范（从严）：</w:t>
            </w:r>
          </w:p>
          <w:p>
            <w:pPr>
              <w:pStyle w:val="41"/>
              <w:spacing w:before="0" w:after="0"/>
              <w:jc w:val="left"/>
              <w:rPr>
                <w:rFonts w:ascii="宋体" w:hAnsi="宋体" w:eastAsia="宋体"/>
                <w:b w:val="0"/>
                <w:bCs w:val="0"/>
                <w:color w:val="auto"/>
                <w:kern w:val="2"/>
                <w:sz w:val="21"/>
                <w:szCs w:val="21"/>
                <w:highlight w:val="none"/>
              </w:rPr>
            </w:pPr>
            <w:r>
              <w:rPr>
                <w:rFonts w:hint="eastAsia" w:ascii="宋体" w:hAnsi="宋体" w:eastAsia="宋体"/>
                <w:b w:val="0"/>
                <w:bCs w:val="0"/>
                <w:color w:val="auto"/>
                <w:kern w:val="2"/>
                <w:sz w:val="21"/>
                <w:szCs w:val="21"/>
                <w:highlight w:val="none"/>
              </w:rPr>
              <w:t>1、具有国家标准及规范的，按最新的标准及规范执行；</w:t>
            </w:r>
          </w:p>
          <w:p>
            <w:pPr>
              <w:pStyle w:val="41"/>
              <w:spacing w:before="0" w:after="0"/>
              <w:jc w:val="left"/>
              <w:rPr>
                <w:rFonts w:ascii="宋体" w:hAnsi="宋体" w:eastAsia="宋体"/>
                <w:b w:val="0"/>
                <w:bCs w:val="0"/>
                <w:color w:val="auto"/>
                <w:kern w:val="2"/>
                <w:sz w:val="21"/>
                <w:szCs w:val="21"/>
                <w:highlight w:val="none"/>
              </w:rPr>
            </w:pPr>
            <w:r>
              <w:rPr>
                <w:rFonts w:hint="eastAsia" w:ascii="宋体" w:hAnsi="宋体" w:eastAsia="宋体"/>
                <w:b w:val="0"/>
                <w:bCs w:val="0"/>
                <w:color w:val="auto"/>
                <w:kern w:val="2"/>
                <w:sz w:val="21"/>
                <w:szCs w:val="21"/>
                <w:highlight w:val="none"/>
              </w:rPr>
              <w:t>2、具有行业标准及规范的，按最新的标准及规范执行；</w:t>
            </w:r>
          </w:p>
          <w:p>
            <w:pPr>
              <w:pStyle w:val="41"/>
              <w:spacing w:before="0" w:after="0"/>
              <w:jc w:val="lef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3、具有其他标准及规范的，按照最新的标准及规范执行。</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验收</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lef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成交供应商应当在项目实施完毕后向采购人提出验收申请，采购人负责进行验收。</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签订合同时间</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lef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成交通知书发出之日起30日内签订合同，具体签约时间以采购人通知为准。</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合同款项支付条件及方式</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left"/>
              <w:rPr>
                <w:rFonts w:ascii="宋体" w:hAnsi="宋体" w:eastAsia="宋体"/>
                <w:b w:val="0"/>
                <w:bCs w:val="0"/>
                <w:color w:val="auto"/>
                <w:kern w:val="2"/>
                <w:sz w:val="21"/>
                <w:szCs w:val="21"/>
                <w:highlight w:val="none"/>
              </w:rPr>
            </w:pPr>
            <w:r>
              <w:rPr>
                <w:rFonts w:hint="eastAsia" w:ascii="宋体" w:hAnsi="宋体" w:eastAsia="宋体"/>
                <w:b w:val="0"/>
                <w:bCs w:val="0"/>
                <w:color w:val="auto"/>
                <w:kern w:val="2"/>
                <w:sz w:val="21"/>
                <w:szCs w:val="21"/>
                <w:highlight w:val="none"/>
              </w:rPr>
              <w:t>1）合同生效且具备实施条件后7个工作日内向各成交供应商支付对应合同总金额的40%作为预付款；</w:t>
            </w:r>
          </w:p>
          <w:p>
            <w:pPr>
              <w:pStyle w:val="41"/>
              <w:spacing w:before="0" w:after="0"/>
              <w:jc w:val="left"/>
              <w:rPr>
                <w:rFonts w:ascii="宋体" w:hAnsi="宋体" w:eastAsia="宋体"/>
                <w:b w:val="0"/>
                <w:bCs w:val="0"/>
                <w:color w:val="auto"/>
                <w:kern w:val="2"/>
                <w:sz w:val="21"/>
                <w:szCs w:val="21"/>
                <w:highlight w:val="none"/>
              </w:rPr>
            </w:pPr>
            <w:r>
              <w:rPr>
                <w:rFonts w:hint="eastAsia" w:ascii="宋体" w:hAnsi="宋体" w:eastAsia="宋体"/>
                <w:b w:val="0"/>
                <w:bCs w:val="0"/>
                <w:color w:val="auto"/>
                <w:kern w:val="2"/>
                <w:sz w:val="21"/>
                <w:szCs w:val="21"/>
                <w:highlight w:val="none"/>
              </w:rPr>
              <w:t>2）待所有批次疗休养结束后7个工作日内按实结算剩余款项；</w:t>
            </w:r>
          </w:p>
          <w:p>
            <w:pPr>
              <w:pStyle w:val="41"/>
              <w:spacing w:before="0" w:after="0"/>
              <w:jc w:val="lef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3）合同款项以银行转账方式支付至合同约定的账户。</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履约保证金</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lef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b w:val="0"/>
                <w:bCs w:val="0"/>
                <w:color w:val="auto"/>
                <w:kern w:val="2"/>
                <w:sz w:val="21"/>
                <w:szCs w:val="21"/>
                <w:highlight w:val="none"/>
              </w:rPr>
              <w:t>/</w:t>
            </w:r>
          </w:p>
        </w:tc>
      </w:tr>
      <w:tr>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发票要求</w:t>
            </w:r>
          </w:p>
        </w:tc>
        <w:tc>
          <w:tcPr>
            <w:tcW w:w="6995"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宋体" w:hAnsi="宋体"/>
                <w:color w:val="auto"/>
                <w:highlight w:val="none"/>
              </w:rPr>
            </w:pPr>
            <w:r>
              <w:rPr>
                <w:rFonts w:hint="eastAsia" w:ascii="宋体" w:hAnsi="宋体"/>
                <w:color w:val="auto"/>
                <w:highlight w:val="none"/>
              </w:rPr>
              <w:t>1）成交供应商应在采购人支付费用前，依据相应的金额，先行向采购人提供足额且符合税法规定的增值税发票（</w:t>
            </w:r>
            <w:r>
              <w:rPr>
                <w:rFonts w:hint="eastAsia" w:ascii="宋体" w:hAnsi="宋体"/>
                <w:b/>
                <w:color w:val="auto"/>
                <w:highlight w:val="none"/>
              </w:rPr>
              <w:t>预付款的除外</w:t>
            </w:r>
            <w:r>
              <w:rPr>
                <w:rFonts w:hint="eastAsia" w:ascii="宋体" w:hAnsi="宋体"/>
                <w:color w:val="auto"/>
                <w:highlight w:val="none"/>
              </w:rPr>
              <w:t>）。采购人在收到成交供应商提供的增值税发票后在合同约定的时间支付相应款项，否则采购人有权延迟支付相应费用而不被视为违约，亦无须承担任何违约责任。</w:t>
            </w:r>
          </w:p>
          <w:p>
            <w:pPr>
              <w:ind w:right="34" w:rightChars="16"/>
              <w:jc w:val="left"/>
              <w:rPr>
                <w:rFonts w:ascii="宋体" w:hAnsi="宋体"/>
                <w:color w:val="auto"/>
                <w:highlight w:val="none"/>
              </w:rPr>
            </w:pPr>
            <w:r>
              <w:rPr>
                <w:rFonts w:hint="eastAsia" w:ascii="宋体" w:hAnsi="宋体"/>
                <w:color w:val="auto"/>
                <w:highlight w:val="none"/>
              </w:rPr>
              <w:t>2）如因成交供应商未按期提供发票或发票不合规等原因，自行承担由此对采购人造成的一切损失。</w:t>
            </w:r>
          </w:p>
          <w:p>
            <w:pPr>
              <w:ind w:right="34" w:rightChars="16"/>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1005" w:hRule="atLeast"/>
        </w:trPr>
        <w:tc>
          <w:tcPr>
            <w:tcW w:w="764"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9</w:t>
            </w:r>
          </w:p>
        </w:tc>
        <w:tc>
          <w:tcPr>
            <w:tcW w:w="148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其他</w:t>
            </w:r>
          </w:p>
        </w:tc>
        <w:tc>
          <w:tcPr>
            <w:tcW w:w="6995" w:type="dxa"/>
            <w:tcBorders>
              <w:top w:val="single" w:color="000000" w:sz="4" w:space="0"/>
              <w:left w:val="single" w:color="000000" w:sz="4" w:space="0"/>
              <w:bottom w:val="single" w:color="auto" w:sz="4" w:space="0"/>
              <w:right w:val="single" w:color="000000" w:sz="4" w:space="0"/>
            </w:tcBorders>
            <w:vAlign w:val="center"/>
          </w:tcPr>
          <w:p>
            <w:pPr>
              <w:ind w:right="34" w:rightChars="16"/>
              <w:jc w:val="left"/>
              <w:rPr>
                <w:rFonts w:hint="eastAsia" w:ascii="宋体" w:hAnsi="宋体" w:eastAsia="宋体" w:cs="Times New Roman"/>
                <w:b/>
                <w:color w:val="auto"/>
                <w:kern w:val="1"/>
                <w:sz w:val="21"/>
                <w:szCs w:val="21"/>
                <w:highlight w:val="none"/>
                <w:lang w:val="en-US" w:eastAsia="zh-CN" w:bidi="ar-SA"/>
              </w:rPr>
            </w:pPr>
            <w:r>
              <w:rPr>
                <w:rFonts w:hint="eastAsia" w:ascii="宋体" w:hAnsi="宋体"/>
                <w:color w:val="auto"/>
                <w:highlight w:val="none"/>
              </w:rPr>
              <w:t>在采购及合同执行过程中，供应商应承担由于其行为所造成的人身伤害、财产损失或损坏的责任，无论何种原因所造成，采购人均不负责。</w:t>
            </w:r>
          </w:p>
        </w:tc>
      </w:tr>
    </w:tbl>
    <w:p>
      <w:pPr>
        <w:spacing w:afterLines="50" w:line="480" w:lineRule="exact"/>
        <w:jc w:val="center"/>
        <w:outlineLvl w:val="0"/>
        <w:rPr>
          <w:rFonts w:ascii="宋体" w:hAnsi="宋体" w:cs="宋体"/>
          <w:b/>
          <w:bCs/>
          <w:color w:val="auto"/>
          <w:sz w:val="24"/>
          <w:szCs w:val="30"/>
          <w:highlight w:val="none"/>
        </w:rPr>
      </w:pPr>
      <w:r>
        <w:rPr>
          <w:rFonts w:ascii="宋体" w:hAnsi="宋体"/>
          <w:color w:val="auto"/>
          <w:highlight w:val="none"/>
        </w:rPr>
        <w:br w:type="page"/>
      </w:r>
      <w:bookmarkStart w:id="48" w:name="_Toc35945393"/>
      <w:bookmarkStart w:id="49" w:name="_Toc35945326"/>
      <w:bookmarkStart w:id="50" w:name="_Toc35945299"/>
      <w:r>
        <w:rPr>
          <w:rFonts w:hint="eastAsia" w:ascii="宋体" w:hAnsi="宋体" w:cs="宋体"/>
          <w:b/>
          <w:bCs/>
          <w:color w:val="auto"/>
          <w:sz w:val="24"/>
          <w:szCs w:val="30"/>
          <w:highlight w:val="none"/>
        </w:rPr>
        <w:t>第三章  供应商须知</w:t>
      </w:r>
      <w:bookmarkEnd w:id="48"/>
      <w:bookmarkEnd w:id="49"/>
      <w:bookmarkEnd w:id="50"/>
    </w:p>
    <w:p>
      <w:pPr>
        <w:spacing w:line="360" w:lineRule="auto"/>
        <w:jc w:val="center"/>
        <w:rPr>
          <w:rFonts w:ascii="宋体" w:hAnsi="宋体"/>
          <w:b/>
          <w:color w:val="auto"/>
          <w:highlight w:val="none"/>
        </w:rPr>
      </w:pPr>
      <w:r>
        <w:rPr>
          <w:rFonts w:hint="eastAsia" w:ascii="宋体" w:hAnsi="宋体"/>
          <w:b/>
          <w:color w:val="auto"/>
          <w:highlight w:val="none"/>
        </w:rPr>
        <w:t>《供应商须知前附表》</w:t>
      </w:r>
    </w:p>
    <w:p>
      <w:pPr>
        <w:spacing w:line="360" w:lineRule="auto"/>
        <w:ind w:firstLine="424" w:firstLineChars="202"/>
        <w:jc w:val="left"/>
        <w:rPr>
          <w:rFonts w:ascii="宋体" w:hAnsi="宋体"/>
          <w:color w:val="auto"/>
          <w:sz w:val="15"/>
          <w:szCs w:val="22"/>
          <w:highlight w:val="none"/>
        </w:rPr>
      </w:pPr>
      <w:r>
        <w:rPr>
          <w:rStyle w:val="102"/>
          <w:rFonts w:hint="default"/>
          <w:color w:val="auto"/>
          <w:sz w:val="21"/>
          <w:highlight w:val="none"/>
        </w:rPr>
        <w:t>说明：供应商应仔细阅读磋商文件《第三章 供应商须知》，下面所列资料是对“供应商须知”的具体补充和说明。如有矛盾，以本表为准。</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条款号</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6</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转包与分包</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hint="eastAsia" w:ascii="宋体" w:hAnsi="宋体"/>
                <w:bCs/>
                <w:color w:val="auto"/>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7</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联合体磋商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hint="eastAsia" w:ascii="宋体" w:hAnsi="宋体"/>
                <w:bCs/>
                <w:color w:val="auto"/>
                <w:highlight w:val="none"/>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8.3</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hint="eastAsia" w:ascii="宋体" w:hAnsi="宋体"/>
                <w:bCs/>
                <w:color w:val="auto"/>
                <w:highlight w:val="none"/>
              </w:rPr>
              <w:t>联系人:方芳</w:t>
            </w:r>
          </w:p>
          <w:p>
            <w:pPr>
              <w:ind w:firstLine="29" w:firstLineChars="14"/>
              <w:jc w:val="left"/>
              <w:rPr>
                <w:rFonts w:ascii="宋体" w:hAnsi="宋体"/>
                <w:bCs/>
                <w:color w:val="auto"/>
                <w:highlight w:val="none"/>
              </w:rPr>
            </w:pPr>
            <w:r>
              <w:rPr>
                <w:rFonts w:hint="eastAsia" w:ascii="宋体" w:hAnsi="宋体"/>
                <w:bCs/>
                <w:color w:val="auto"/>
                <w:highlight w:val="none"/>
              </w:rPr>
              <w:t>联系电话：0574-87101271</w:t>
            </w:r>
          </w:p>
          <w:p>
            <w:pPr>
              <w:ind w:firstLine="29" w:firstLineChars="14"/>
              <w:jc w:val="left"/>
              <w:rPr>
                <w:rFonts w:ascii="宋体" w:hAnsi="宋体"/>
                <w:bCs/>
                <w:color w:val="auto"/>
                <w:highlight w:val="none"/>
              </w:rPr>
            </w:pPr>
            <w:r>
              <w:rPr>
                <w:rFonts w:hint="eastAsia" w:ascii="宋体" w:hAnsi="宋体"/>
                <w:bCs/>
                <w:color w:val="auto"/>
                <w:highlight w:val="none"/>
              </w:rPr>
              <w:t>电子邮箱：</w:t>
            </w:r>
            <w:r>
              <w:rPr>
                <w:rFonts w:ascii="宋体" w:hAnsi="宋体"/>
                <w:bCs/>
                <w:color w:val="auto"/>
                <w:highlight w:val="none"/>
              </w:rPr>
              <w:t>791986246@qq.com</w:t>
            </w:r>
          </w:p>
          <w:p>
            <w:pPr>
              <w:ind w:firstLine="29" w:firstLineChars="14"/>
              <w:jc w:val="left"/>
              <w:rPr>
                <w:rFonts w:ascii="宋体" w:hAnsi="宋体"/>
                <w:bCs/>
                <w:color w:val="auto"/>
                <w:highlight w:val="none"/>
              </w:rPr>
            </w:pPr>
            <w:r>
              <w:rPr>
                <w:rFonts w:hint="eastAsia" w:ascii="宋体" w:hAnsi="宋体"/>
                <w:bCs/>
                <w:color w:val="auto"/>
                <w:highlight w:val="none"/>
              </w:rPr>
              <w:t>通讯（邮寄）地址：</w:t>
            </w:r>
            <w:r>
              <w:rPr>
                <w:rFonts w:hint="eastAsia" w:ascii="宋体" w:hAnsi="宋体"/>
                <w:bCs/>
                <w:color w:val="auto"/>
                <w:highlight w:val="none"/>
                <w:lang w:eastAsia="zh-CN"/>
              </w:rPr>
              <w:t>宁波市海曙区江汇城496号姚江时代14幢3楼</w:t>
            </w:r>
            <w:r>
              <w:rPr>
                <w:rFonts w:hint="eastAsia" w:ascii="宋体" w:hAnsi="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10</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hint="eastAsia" w:ascii="宋体" w:hAnsi="宋体"/>
                <w:bCs/>
                <w:color w:val="auto"/>
                <w:highlight w:val="none"/>
                <w:lang w:val="en-US" w:eastAsia="zh-CN"/>
              </w:rPr>
              <w:t>详见“第一章  采购邀请”</w:t>
            </w:r>
            <w:r>
              <w:rPr>
                <w:rFonts w:hint="eastAsia" w:ascii="宋体" w:hAnsi="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11.1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highlight w:val="none"/>
              </w:rPr>
            </w:pPr>
            <w:r>
              <w:rPr>
                <w:rFonts w:hint="eastAsia" w:ascii="宋体" w:hAnsi="宋体"/>
                <w:bCs/>
                <w:highlight w:val="none"/>
              </w:rPr>
              <w:t>1）根据国家发改委发改办价格[2003]857号通知和原国家计委计价格[2002]1980号文件规定的收费费率为取费标准。</w:t>
            </w:r>
          </w:p>
          <w:p>
            <w:pPr>
              <w:ind w:firstLine="29" w:firstLineChars="14"/>
              <w:jc w:val="left"/>
              <w:rPr>
                <w:rFonts w:ascii="宋体" w:hAnsi="宋体"/>
                <w:bCs/>
                <w:color w:val="auto"/>
                <w:highlight w:val="none"/>
              </w:rPr>
            </w:pPr>
            <w:r>
              <w:rPr>
                <w:rFonts w:hint="eastAsia" w:ascii="宋体" w:hAnsi="宋体"/>
                <w:bCs/>
                <w:highlight w:val="none"/>
              </w:rPr>
              <w:t>2）以</w:t>
            </w:r>
            <w:r>
              <w:rPr>
                <w:rFonts w:hint="eastAsia" w:ascii="宋体" w:hAnsi="宋体"/>
                <w:bCs/>
                <w:highlight w:val="none"/>
                <w:lang w:val="en-US" w:eastAsia="zh-CN"/>
              </w:rPr>
              <w:t>毎标项预算</w:t>
            </w:r>
            <w:r>
              <w:rPr>
                <w:rFonts w:hint="eastAsia" w:ascii="宋体" w:hAnsi="宋体"/>
                <w:bCs/>
                <w:highlight w:val="none"/>
              </w:rPr>
              <w:t>为计算基数，结合上述费率标准计算本项目的</w:t>
            </w:r>
            <w:r>
              <w:rPr>
                <w:rFonts w:ascii="宋体" w:hAnsi="宋体"/>
                <w:bCs/>
                <w:highlight w:val="none"/>
              </w:rPr>
              <w:t>代理</w:t>
            </w:r>
            <w:r>
              <w:rPr>
                <w:rFonts w:hint="eastAsia" w:ascii="宋体" w:hAnsi="宋体"/>
                <w:bCs/>
                <w:highlight w:val="none"/>
              </w:rPr>
              <w:t>服务</w:t>
            </w:r>
            <w:r>
              <w:rPr>
                <w:rFonts w:ascii="宋体" w:hAnsi="宋体"/>
                <w:bCs/>
                <w:highlight w:val="none"/>
              </w:rPr>
              <w:t>费用</w:t>
            </w:r>
            <w:r>
              <w:rPr>
                <w:rFonts w:hint="eastAsia" w:ascii="宋体" w:hAnsi="宋体"/>
                <w:bCs/>
                <w:highlight w:val="none"/>
                <w:lang w:eastAsia="zh-CN"/>
              </w:rPr>
              <w:t>，</w:t>
            </w:r>
            <w:r>
              <w:rPr>
                <w:rFonts w:hint="eastAsia" w:ascii="宋体" w:hAnsi="宋体"/>
                <w:bCs/>
                <w:highlight w:val="none"/>
                <w:lang w:val="en-US" w:eastAsia="zh-CN"/>
              </w:rPr>
              <w:t>不足3500元的按3500元收取</w:t>
            </w:r>
            <w:r>
              <w:rPr>
                <w:rFonts w:hint="eastAsia" w:ascii="宋体" w:hAnsi="宋体"/>
                <w:bCs/>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11.2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hint="eastAsia" w:ascii="宋体" w:hAnsi="宋体"/>
                <w:bCs/>
                <w:highlight w:val="none"/>
              </w:rPr>
              <w:t>本项目代理服务费由成交供应商支付，成交供应商必须在领取成交通知书时一次性全额支付，代理服务费金额为固定金额，不随合同金额的增减而浮动。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7</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18.2</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资格要求响应文件的组成</w:t>
            </w:r>
          </w:p>
        </w:tc>
        <w:tc>
          <w:tcPr>
            <w:tcW w:w="5757"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1）供应商资格声明函；</w:t>
            </w:r>
          </w:p>
          <w:p>
            <w:pPr>
              <w:rPr>
                <w:rFonts w:ascii="宋体" w:hAnsi="宋体"/>
                <w:color w:val="auto"/>
                <w:highlight w:val="none"/>
              </w:rPr>
            </w:pPr>
            <w:r>
              <w:rPr>
                <w:rFonts w:hint="eastAsia" w:ascii="宋体" w:hAnsi="宋体"/>
                <w:color w:val="auto"/>
                <w:highlight w:val="none"/>
              </w:rPr>
              <w:t>2）法人或者其他组织的营业执照等登记证明文件复印件；</w:t>
            </w:r>
          </w:p>
          <w:p>
            <w:pPr>
              <w:rPr>
                <w:rFonts w:ascii="宋体" w:hAnsi="宋体"/>
                <w:color w:val="auto"/>
                <w:highlight w:val="none"/>
              </w:rPr>
            </w:pPr>
            <w:r>
              <w:rPr>
                <w:rFonts w:hint="eastAsia" w:ascii="宋体" w:hAnsi="宋体"/>
                <w:color w:val="auto"/>
                <w:highlight w:val="none"/>
              </w:rPr>
              <w:t>3) 中小企业声明函或者残疾人福利性单位声明函或者监狱企业证明文件；</w:t>
            </w:r>
          </w:p>
          <w:p>
            <w:pPr>
              <w:rPr>
                <w:rFonts w:ascii="宋体" w:hAnsi="宋体"/>
                <w:color w:val="auto"/>
                <w:highlight w:val="none"/>
              </w:rPr>
            </w:pPr>
            <w:r>
              <w:rPr>
                <w:rFonts w:hint="eastAsia" w:ascii="宋体" w:hAnsi="宋体"/>
                <w:color w:val="auto"/>
                <w:highlight w:val="none"/>
              </w:rPr>
              <w:t>4) 有效的《旅行社业务经营许可证》。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8</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18.3</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商务技术文件的组成</w:t>
            </w:r>
          </w:p>
        </w:tc>
        <w:tc>
          <w:tcPr>
            <w:tcW w:w="5757"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1）磋商响应函；</w:t>
            </w:r>
          </w:p>
          <w:p>
            <w:pPr>
              <w:rPr>
                <w:rFonts w:ascii="宋体" w:hAnsi="宋体"/>
                <w:color w:val="auto"/>
                <w:highlight w:val="none"/>
              </w:rPr>
            </w:pPr>
            <w:r>
              <w:rPr>
                <w:rFonts w:hint="eastAsia" w:ascii="宋体" w:hAnsi="宋体"/>
                <w:color w:val="auto"/>
                <w:highlight w:val="none"/>
              </w:rPr>
              <w:t>2）法定代表人身份证复印件（双面）或法定代表人授权委托书及其附件；</w:t>
            </w:r>
          </w:p>
          <w:p>
            <w:pPr>
              <w:rPr>
                <w:rFonts w:ascii="宋体" w:hAnsi="宋体"/>
                <w:color w:val="auto"/>
                <w:highlight w:val="none"/>
              </w:rPr>
            </w:pPr>
            <w:r>
              <w:rPr>
                <w:rFonts w:hint="eastAsia" w:ascii="宋体" w:hAnsi="宋体"/>
                <w:color w:val="auto"/>
                <w:highlight w:val="none"/>
              </w:rPr>
              <w:t>3）评委打分索引表；</w:t>
            </w:r>
          </w:p>
          <w:p>
            <w:pPr>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线路要求、通用要求</w:t>
            </w:r>
            <w:r>
              <w:rPr>
                <w:rFonts w:hint="eastAsia" w:ascii="宋体" w:hAnsi="宋体"/>
                <w:color w:val="auto"/>
                <w:highlight w:val="none"/>
              </w:rPr>
              <w:t>响应表；</w:t>
            </w:r>
          </w:p>
          <w:p>
            <w:pPr>
              <w:rPr>
                <w:rFonts w:hint="default" w:ascii="宋体" w:hAnsi="宋体" w:eastAsia="宋体"/>
                <w:color w:val="auto"/>
                <w:highlight w:val="none"/>
                <w:lang w:val="en-US" w:eastAsia="zh-CN"/>
              </w:rPr>
            </w:pPr>
            <w:r>
              <w:rPr>
                <w:rFonts w:hint="eastAsia" w:ascii="宋体" w:hAnsi="宋体"/>
                <w:color w:val="auto"/>
                <w:highlight w:val="none"/>
              </w:rPr>
              <w:t>5）</w:t>
            </w:r>
            <w:r>
              <w:rPr>
                <w:rFonts w:hint="eastAsia" w:ascii="宋体" w:hAnsi="宋体"/>
                <w:color w:val="auto"/>
                <w:highlight w:val="none"/>
                <w:lang w:val="en-US" w:eastAsia="zh-CN"/>
              </w:rPr>
              <w:t>商务要求响应表</w:t>
            </w:r>
          </w:p>
          <w:p>
            <w:pPr>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）项目实施人员情况表；</w:t>
            </w:r>
          </w:p>
          <w:p>
            <w:pPr>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）类似项目业绩一览表；</w:t>
            </w:r>
          </w:p>
          <w:p>
            <w:pPr>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）与项目评审或履行合同有关的其他资料。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9</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18.4</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报价要求响应文件的组成</w:t>
            </w:r>
          </w:p>
        </w:tc>
        <w:tc>
          <w:tcPr>
            <w:tcW w:w="5757" w:type="dxa"/>
            <w:tcBorders>
              <w:top w:val="single" w:color="auto" w:sz="4" w:space="0"/>
              <w:left w:val="single" w:color="auto" w:sz="4" w:space="0"/>
              <w:right w:val="single" w:color="auto" w:sz="4" w:space="0"/>
            </w:tcBorders>
            <w:vAlign w:val="center"/>
          </w:tcPr>
          <w:p>
            <w:pPr>
              <w:tabs>
                <w:tab w:val="left" w:pos="3870"/>
                <w:tab w:val="left" w:pos="4085"/>
              </w:tabs>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对应标项</w:t>
            </w:r>
            <w:r>
              <w:rPr>
                <w:rFonts w:hint="eastAsia" w:ascii="宋体" w:hAnsi="宋体"/>
                <w:color w:val="auto"/>
                <w:highlight w:val="none"/>
              </w:rPr>
              <w:t>初次报价表</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10</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20.1</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响应文件的份数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宋体" w:hAnsi="宋体"/>
                <w:color w:val="auto"/>
                <w:highlight w:val="none"/>
              </w:rPr>
            </w:pPr>
            <w:r>
              <w:rPr>
                <w:rFonts w:hint="eastAsia" w:ascii="宋体" w:hAnsi="宋体"/>
                <w:color w:val="auto"/>
                <w:highlight w:val="none"/>
              </w:rPr>
              <w:t>1）电子加密响应文件</w:t>
            </w:r>
            <w:r>
              <w:rPr>
                <w:rFonts w:hint="eastAsia" w:ascii="Arial" w:hAnsi="Arial" w:cs="宋体"/>
                <w:color w:val="auto"/>
                <w:highlight w:val="none"/>
              </w:rPr>
              <w:t>（含</w:t>
            </w:r>
            <w:r>
              <w:rPr>
                <w:rFonts w:hint="eastAsia" w:ascii="宋体" w:hAnsi="宋体"/>
                <w:color w:val="auto"/>
                <w:highlight w:val="none"/>
              </w:rPr>
              <w:t>资格要求响应文件</w:t>
            </w:r>
            <w:r>
              <w:rPr>
                <w:rFonts w:hint="eastAsia" w:ascii="Arial" w:hAnsi="Arial" w:cs="宋体"/>
                <w:color w:val="auto"/>
                <w:highlight w:val="none"/>
              </w:rPr>
              <w:t>、商务技术文件、</w:t>
            </w:r>
            <w:r>
              <w:rPr>
                <w:rFonts w:hint="eastAsia" w:ascii="宋体" w:hAnsi="宋体"/>
                <w:color w:val="auto"/>
                <w:highlight w:val="none"/>
              </w:rPr>
              <w:t>报价要求响应文件</w:t>
            </w:r>
            <w:r>
              <w:rPr>
                <w:rFonts w:hint="eastAsia" w:ascii="Arial" w:hAnsi="Arial" w:cs="宋体"/>
                <w:color w:val="auto"/>
                <w:highlight w:val="none"/>
              </w:rPr>
              <w:t>）</w:t>
            </w:r>
            <w:r>
              <w:rPr>
                <w:rFonts w:hint="eastAsia" w:ascii="宋体" w:hAnsi="宋体"/>
                <w:color w:val="auto"/>
                <w:highlight w:val="none"/>
              </w:rPr>
              <w:t>1份；</w:t>
            </w:r>
          </w:p>
          <w:p>
            <w:pPr>
              <w:spacing w:line="300" w:lineRule="exact"/>
              <w:jc w:val="left"/>
              <w:rPr>
                <w:rFonts w:ascii="宋体" w:hAnsi="宋体"/>
                <w:color w:val="auto"/>
                <w:highlight w:val="none"/>
              </w:rPr>
            </w:pPr>
            <w:r>
              <w:rPr>
                <w:rFonts w:hint="eastAsia" w:ascii="宋体" w:hAnsi="宋体"/>
                <w:color w:val="auto"/>
                <w:highlight w:val="none"/>
              </w:rPr>
              <w:t>2）</w:t>
            </w:r>
            <w:r>
              <w:rPr>
                <w:rFonts w:hint="eastAsia" w:ascii="Arial" w:hAnsi="Arial" w:cs="宋体"/>
                <w:color w:val="auto"/>
                <w:highlight w:val="none"/>
              </w:rPr>
              <w:t>以U盘存储的电子备份响应文件（含</w:t>
            </w:r>
            <w:r>
              <w:rPr>
                <w:rFonts w:hint="eastAsia" w:ascii="宋体" w:hAnsi="宋体"/>
                <w:color w:val="auto"/>
                <w:highlight w:val="none"/>
              </w:rPr>
              <w:t>资格要求响应文件</w:t>
            </w:r>
            <w:r>
              <w:rPr>
                <w:rFonts w:hint="eastAsia" w:ascii="Arial" w:hAnsi="Arial" w:cs="宋体"/>
                <w:color w:val="auto"/>
                <w:highlight w:val="none"/>
              </w:rPr>
              <w:t>、商务技术文件、</w:t>
            </w:r>
            <w:r>
              <w:rPr>
                <w:rFonts w:hint="eastAsia" w:ascii="宋体" w:hAnsi="宋体"/>
                <w:color w:val="auto"/>
                <w:highlight w:val="none"/>
              </w:rPr>
              <w:t>报价要求响应文件</w:t>
            </w:r>
            <w:r>
              <w:rPr>
                <w:rFonts w:hint="eastAsia" w:ascii="Arial" w:hAnsi="Arial" w:cs="宋体"/>
                <w:color w:val="auto"/>
                <w:highlight w:val="none"/>
              </w:rPr>
              <w:t>）1份</w:t>
            </w:r>
            <w:r>
              <w:rPr>
                <w:rFonts w:hint="eastAsia" w:ascii="宋体" w:hAnsi="宋体"/>
                <w:color w:val="auto"/>
                <w:highlight w:val="none"/>
              </w:rPr>
              <w:t>。</w:t>
            </w:r>
            <w:r>
              <w:rPr>
                <w:rFonts w:hint="eastAsia" w:ascii="宋体" w:hAnsi="宋体" w:cs="Arial"/>
                <w:color w:val="auto"/>
                <w:highlight w:val="none"/>
              </w:rPr>
              <w:t>（不强制要求，供应商自行决定是否提供）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11</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21.1</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报价的组成</w:t>
            </w:r>
          </w:p>
        </w:tc>
        <w:tc>
          <w:tcPr>
            <w:tcW w:w="5757" w:type="dxa"/>
            <w:tcBorders>
              <w:top w:val="single" w:color="auto" w:sz="4" w:space="0"/>
              <w:left w:val="single" w:color="auto" w:sz="4" w:space="0"/>
              <w:right w:val="single" w:color="auto" w:sz="4" w:space="0"/>
            </w:tcBorders>
            <w:vAlign w:val="center"/>
          </w:tcPr>
          <w:p>
            <w:pPr>
              <w:jc w:val="left"/>
              <w:rPr>
                <w:rFonts w:ascii="宋体" w:hAnsi="宋体"/>
                <w:color w:val="auto"/>
                <w:highlight w:val="none"/>
              </w:rPr>
            </w:pPr>
            <w:r>
              <w:rPr>
                <w:rFonts w:hint="eastAsia" w:ascii="宋体" w:hAnsi="宋体"/>
                <w:color w:val="auto"/>
                <w:highlight w:val="none"/>
              </w:rPr>
              <w:t>供应商的报价应当是完成采购需求所包含的全部内容并达到合同目的的一切费用，包含但不仅限于参团职工吃、住、行及景点门票费、导游费、保险费（旅游全程保险费）、服务人员（导游、司机等）吃、住、行费用、预计的其他费用和风险费用、税费、利润、合同实施过程中应预见和不可预见费用等完成合同规定责任和义务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12</w:t>
            </w:r>
          </w:p>
        </w:tc>
        <w:tc>
          <w:tcPr>
            <w:tcW w:w="892" w:type="dxa"/>
            <w:tcBorders>
              <w:top w:val="single" w:color="auto" w:sz="4" w:space="0"/>
              <w:left w:val="single" w:color="auto" w:sz="4" w:space="0"/>
              <w:right w:val="single" w:color="auto" w:sz="4" w:space="0"/>
            </w:tcBorders>
            <w:vAlign w:val="center"/>
          </w:tcPr>
          <w:p>
            <w:pPr>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23.1</w:t>
            </w:r>
          </w:p>
        </w:tc>
        <w:tc>
          <w:tcPr>
            <w:tcW w:w="1546" w:type="dxa"/>
            <w:tcBorders>
              <w:top w:val="single" w:color="auto" w:sz="4" w:space="0"/>
              <w:left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响应</w:t>
            </w:r>
            <w:r>
              <w:rPr>
                <w:rFonts w:ascii="宋体" w:hAnsi="宋体"/>
                <w:color w:val="auto"/>
                <w:highlight w:val="none"/>
              </w:rPr>
              <w:t>有效期</w:t>
            </w:r>
          </w:p>
        </w:tc>
        <w:tc>
          <w:tcPr>
            <w:tcW w:w="5757" w:type="dxa"/>
            <w:tcBorders>
              <w:top w:val="single" w:color="auto" w:sz="4" w:space="0"/>
              <w:left w:val="single" w:color="auto" w:sz="4" w:space="0"/>
              <w:right w:val="single" w:color="auto" w:sz="4" w:space="0"/>
            </w:tcBorders>
            <w:vAlign w:val="center"/>
          </w:tcPr>
          <w:p>
            <w:pPr>
              <w:jc w:val="left"/>
              <w:rPr>
                <w:rFonts w:ascii="宋体" w:hAnsi="宋体"/>
                <w:color w:val="auto"/>
                <w:highlight w:val="none"/>
              </w:rPr>
            </w:pPr>
            <w:r>
              <w:rPr>
                <w:rFonts w:hint="eastAsia" w:ascii="宋体" w:hAnsi="宋体" w:cs="Arial"/>
                <w:color w:val="auto"/>
                <w:highlight w:val="none"/>
              </w:rPr>
              <w:t>90日历天，</w:t>
            </w:r>
            <w:r>
              <w:rPr>
                <w:rFonts w:hint="eastAsia" w:ascii="宋体" w:hAnsi="宋体"/>
                <w:color w:val="auto"/>
                <w:highlight w:val="none"/>
              </w:rPr>
              <w:t>自</w:t>
            </w:r>
            <w:r>
              <w:rPr>
                <w:rFonts w:ascii="宋体" w:hAnsi="宋体"/>
                <w:color w:val="auto"/>
                <w:highlight w:val="none"/>
              </w:rPr>
              <w:t>提交响应文件的截止之日起算</w:t>
            </w:r>
            <w:r>
              <w:rPr>
                <w:rFonts w:hint="eastAsia" w:ascii="宋体" w:hAnsi="宋体" w:cs="Arial"/>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27</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备份响应文件密封包装的标注和盖章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r>
              <w:rPr>
                <w:rFonts w:hint="eastAsia" w:ascii="宋体" w:hAnsi="宋体"/>
                <w:color w:val="auto"/>
                <w:highlight w:val="none"/>
              </w:rPr>
              <w:t>1）备份响应文件密封包装封面应当标明项目名称、项目编号、供应商的名称。</w:t>
            </w:r>
          </w:p>
          <w:p>
            <w:pPr>
              <w:jc w:val="left"/>
              <w:rPr>
                <w:rFonts w:ascii="宋体" w:hAnsi="宋体"/>
                <w:color w:val="auto"/>
                <w:highlight w:val="none"/>
              </w:rPr>
            </w:pPr>
            <w:r>
              <w:rPr>
                <w:rFonts w:hint="eastAsia" w:ascii="宋体" w:hAnsi="宋体"/>
                <w:color w:val="auto"/>
                <w:highlight w:val="none"/>
              </w:rPr>
              <w:t>2）备份响应文件的密封包装封面必须加盖供应商公章。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97"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注;本项目标项一、二、三供应商可兼投兼中。</w:t>
            </w:r>
          </w:p>
        </w:tc>
      </w:tr>
    </w:tbl>
    <w:p>
      <w:pPr>
        <w:spacing w:line="360" w:lineRule="auto"/>
        <w:rPr>
          <w:rFonts w:ascii="宋体" w:hAnsi="宋体"/>
          <w:b/>
          <w:color w:val="auto"/>
          <w:highlight w:val="none"/>
        </w:rPr>
      </w:pPr>
    </w:p>
    <w:p>
      <w:pPr>
        <w:spacing w:afterLines="50" w:line="480" w:lineRule="exact"/>
        <w:jc w:val="center"/>
        <w:outlineLvl w:val="0"/>
        <w:rPr>
          <w:rFonts w:ascii="宋体" w:hAnsi="宋体" w:cs="宋体"/>
          <w:b/>
          <w:bCs/>
          <w:color w:val="auto"/>
          <w:sz w:val="28"/>
          <w:szCs w:val="30"/>
          <w:highlight w:val="none"/>
        </w:rPr>
      </w:pPr>
    </w:p>
    <w:p>
      <w:pPr>
        <w:pStyle w:val="26"/>
        <w:tabs>
          <w:tab w:val="left" w:pos="426"/>
        </w:tabs>
        <w:snapToGrid w:val="0"/>
        <w:spacing w:before="0" w:beforeAutospacing="0" w:after="0" w:afterAutospacing="0" w:line="360" w:lineRule="auto"/>
        <w:jc w:val="center"/>
        <w:rPr>
          <w:b/>
          <w:color w:val="auto"/>
          <w:sz w:val="21"/>
          <w:szCs w:val="21"/>
          <w:highlight w:val="none"/>
        </w:rPr>
      </w:pPr>
      <w:r>
        <w:rPr>
          <w:rFonts w:cs="宋体"/>
          <w:b/>
          <w:color w:val="auto"/>
          <w:highlight w:val="none"/>
        </w:rPr>
        <w:br w:type="page"/>
      </w:r>
      <w:r>
        <w:rPr>
          <w:rFonts w:hint="eastAsia"/>
          <w:b/>
          <w:color w:val="auto"/>
          <w:sz w:val="21"/>
          <w:szCs w:val="21"/>
          <w:highlight w:val="none"/>
        </w:rPr>
        <w:t>一、总  则</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w:t>
      </w:r>
      <w:r>
        <w:rPr>
          <w:rFonts w:ascii="宋体" w:hAnsi="宋体"/>
          <w:b/>
          <w:color w:val="auto"/>
          <w:highlight w:val="none"/>
        </w:rPr>
        <w:t>适用范围</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本磋商文件适用于</w:t>
      </w:r>
      <w:r>
        <w:rPr>
          <w:rFonts w:hint="eastAsia" w:ascii="宋体" w:hAnsi="宋体"/>
          <w:color w:val="auto"/>
          <w:highlight w:val="none"/>
          <w:u w:val="single"/>
          <w:lang w:eastAsia="zh-CN"/>
        </w:rPr>
        <w:t>宁波市实验学校2024年度职工疗休养项目</w:t>
      </w:r>
      <w:r>
        <w:rPr>
          <w:rFonts w:hint="eastAsia" w:ascii="宋体" w:hAnsi="宋体"/>
          <w:color w:val="auto"/>
          <w:highlight w:val="none"/>
        </w:rPr>
        <w:t>的政府采购。</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2.定义</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2.1采购人：是指依法进行政府采购的国家机关、事业单位、团体组织；</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2.2</w:t>
      </w:r>
      <w:r>
        <w:rPr>
          <w:rFonts w:ascii="宋体" w:hAnsi="宋体" w:cs="Arial"/>
          <w:color w:val="auto"/>
          <w:highlight w:val="none"/>
        </w:rPr>
        <w:t>采购代理机构：受采购</w:t>
      </w:r>
      <w:r>
        <w:rPr>
          <w:rFonts w:hint="eastAsia" w:ascii="宋体" w:hAnsi="宋体" w:cs="Arial"/>
          <w:color w:val="auto"/>
          <w:highlight w:val="none"/>
        </w:rPr>
        <w:t>人</w:t>
      </w:r>
      <w:r>
        <w:rPr>
          <w:rFonts w:ascii="宋体" w:hAnsi="宋体" w:cs="Arial"/>
          <w:color w:val="auto"/>
          <w:highlight w:val="none"/>
        </w:rPr>
        <w:t>委托，在委托的范围内办理政府采购事宜的机构；</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2.3</w:t>
      </w:r>
      <w:r>
        <w:rPr>
          <w:rFonts w:hint="eastAsia" w:ascii="宋体" w:hAnsi="宋体" w:cs="Arial"/>
          <w:color w:val="auto"/>
          <w:highlight w:val="none"/>
        </w:rPr>
        <w:t>供应商：是</w:t>
      </w:r>
      <w:r>
        <w:rPr>
          <w:rFonts w:ascii="宋体" w:hAnsi="宋体" w:cs="Arial"/>
          <w:color w:val="auto"/>
          <w:highlight w:val="none"/>
        </w:rPr>
        <w:t>指</w:t>
      </w:r>
      <w:r>
        <w:rPr>
          <w:rFonts w:hint="eastAsia" w:ascii="宋体" w:hAnsi="宋体" w:cs="Arial"/>
          <w:color w:val="auto"/>
          <w:highlight w:val="none"/>
        </w:rPr>
        <w:t>响应磋商、参加竞争的法人、其他组织；</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2.4</w:t>
      </w:r>
      <w:r>
        <w:rPr>
          <w:rFonts w:hint="eastAsia" w:ascii="宋体" w:hAnsi="宋体" w:cs="Arial"/>
          <w:color w:val="auto"/>
          <w:highlight w:val="none"/>
        </w:rPr>
        <w:t>供应商代表：是指参加磋商活动的供应商法定代表人或其授权代表；</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2.5</w:t>
      </w:r>
      <w:r>
        <w:rPr>
          <w:rFonts w:hint="eastAsia" w:ascii="宋体" w:hAnsi="宋体" w:cs="Arial"/>
          <w:color w:val="auto"/>
          <w:highlight w:val="none"/>
        </w:rPr>
        <w:t>成交供应商：是指经法定程序确定并授予合同的供应商；</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2.6</w:t>
      </w:r>
      <w:r>
        <w:rPr>
          <w:rFonts w:ascii="宋体" w:hAnsi="宋体" w:cs="Arial"/>
          <w:color w:val="auto"/>
          <w:highlight w:val="none"/>
        </w:rPr>
        <w:t>书面形式</w:t>
      </w:r>
      <w:r>
        <w:rPr>
          <w:rFonts w:hint="eastAsia" w:ascii="宋体" w:hAnsi="宋体" w:cs="Arial"/>
          <w:color w:val="auto"/>
          <w:highlight w:val="none"/>
        </w:rPr>
        <w:t>：</w:t>
      </w:r>
      <w:r>
        <w:rPr>
          <w:rFonts w:ascii="宋体" w:hAnsi="宋体" w:cs="Arial"/>
          <w:color w:val="auto"/>
          <w:highlight w:val="none"/>
        </w:rPr>
        <w:t>包括</w:t>
      </w:r>
      <w:r>
        <w:rPr>
          <w:rFonts w:hint="eastAsia" w:ascii="宋体" w:hAnsi="宋体" w:cs="Arial"/>
          <w:color w:val="auto"/>
          <w:highlight w:val="none"/>
        </w:rPr>
        <w:t>信件、</w:t>
      </w:r>
      <w:r>
        <w:rPr>
          <w:rFonts w:ascii="宋体" w:hAnsi="宋体" w:cs="Arial"/>
          <w:color w:val="auto"/>
          <w:highlight w:val="none"/>
        </w:rPr>
        <w:t>电报、电传、传真等可以有形地表现所载内容的形式</w:t>
      </w:r>
      <w:r>
        <w:rPr>
          <w:rFonts w:hint="eastAsia" w:ascii="宋体" w:hAnsi="宋体" w:cs="Arial"/>
          <w:color w:val="auto"/>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2.7</w:t>
      </w:r>
      <w:r>
        <w:rPr>
          <w:rFonts w:hint="eastAsia" w:ascii="宋体" w:hAnsi="宋体" w:cs="Arial"/>
          <w:color w:val="auto"/>
          <w:highlight w:val="none"/>
        </w:rPr>
        <w:t>实质性条款：标注</w:t>
      </w:r>
      <w:r>
        <w:rPr>
          <w:rFonts w:ascii="宋体" w:hAnsi="宋体" w:cs="Arial"/>
          <w:color w:val="auto"/>
          <w:highlight w:val="none"/>
        </w:rPr>
        <w:t>“▲”</w:t>
      </w:r>
      <w:r>
        <w:rPr>
          <w:rFonts w:hint="eastAsia" w:ascii="宋体" w:hAnsi="宋体" w:cs="Arial"/>
          <w:color w:val="auto"/>
          <w:highlight w:val="none"/>
        </w:rPr>
        <w:t>的属于磋商文件的</w:t>
      </w:r>
      <w:r>
        <w:rPr>
          <w:rFonts w:ascii="宋体" w:hAnsi="宋体" w:cs="Arial"/>
          <w:color w:val="auto"/>
          <w:highlight w:val="none"/>
        </w:rPr>
        <w:t>实质性要求条款。</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2.8</w:t>
      </w:r>
      <w:r>
        <w:rPr>
          <w:rFonts w:hint="eastAsia" w:ascii="宋体" w:hAnsi="宋体" w:cs="Arial"/>
          <w:color w:val="auto"/>
          <w:highlight w:val="none"/>
        </w:rPr>
        <w:t>公章:供应商</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文件及通知等事项的书面文件中的单位盖章、公章等处，均仅指与当事人名称全称相一致的标准公章</w:t>
      </w:r>
      <w:r>
        <w:rPr>
          <w:rFonts w:hint="eastAsia" w:ascii="宋体" w:hAnsi="宋体" w:cs="Arial"/>
          <w:color w:val="auto"/>
          <w:highlight w:val="none"/>
        </w:rPr>
        <w:t>（行政章）</w:t>
      </w:r>
      <w:r>
        <w:rPr>
          <w:rFonts w:ascii="宋体" w:hAnsi="宋体" w:cs="Arial"/>
          <w:color w:val="auto"/>
          <w:highlight w:val="none"/>
        </w:rPr>
        <w:t>，不得使用其它形式，如带有“专用章”等字样的印章。</w:t>
      </w:r>
    </w:p>
    <w:p>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2.9</w:t>
      </w:r>
      <w:r>
        <w:rPr>
          <w:rFonts w:hint="eastAsia" w:ascii="宋体" w:hAnsi="宋体" w:cs="Arial"/>
          <w:color w:val="auto"/>
          <w:highlight w:val="none"/>
        </w:rPr>
        <w:t>电子签章：为供应商单位法定名称电子公章。</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3.磋商委托</w:t>
      </w:r>
    </w:p>
    <w:p>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3.1响应文件的签署人应当为供应商的法定代表人或其授权代表。响应文件的签署人为供应商的</w:t>
      </w:r>
      <w:r>
        <w:rPr>
          <w:rFonts w:ascii="宋体" w:hAnsi="宋体"/>
          <w:color w:val="auto"/>
          <w:sz w:val="21"/>
          <w:szCs w:val="21"/>
          <w:highlight w:val="none"/>
        </w:rPr>
        <w:t>法定代表人</w:t>
      </w:r>
      <w:r>
        <w:rPr>
          <w:rFonts w:hint="eastAsia" w:ascii="宋体" w:hAnsi="宋体"/>
          <w:color w:val="auto"/>
          <w:sz w:val="21"/>
          <w:szCs w:val="21"/>
          <w:highlight w:val="none"/>
        </w:rPr>
        <w:t>时，响应文件中必须提供法定代表人身份证正反面复印件；响应文件的签署人非供应商的</w:t>
      </w:r>
      <w:r>
        <w:rPr>
          <w:rFonts w:ascii="宋体" w:hAnsi="宋体"/>
          <w:color w:val="auto"/>
          <w:sz w:val="21"/>
          <w:szCs w:val="21"/>
          <w:highlight w:val="none"/>
        </w:rPr>
        <w:t>法定代表人</w:t>
      </w:r>
      <w:r>
        <w:rPr>
          <w:rFonts w:hint="eastAsia" w:ascii="宋体" w:hAnsi="宋体"/>
          <w:color w:val="auto"/>
          <w:sz w:val="21"/>
          <w:szCs w:val="21"/>
          <w:highlight w:val="none"/>
        </w:rPr>
        <w:t>时</w:t>
      </w:r>
      <w:r>
        <w:rPr>
          <w:rFonts w:ascii="宋体" w:hAnsi="宋体"/>
          <w:color w:val="auto"/>
          <w:sz w:val="21"/>
          <w:szCs w:val="21"/>
          <w:highlight w:val="none"/>
        </w:rPr>
        <w:t>，</w:t>
      </w:r>
      <w:r>
        <w:rPr>
          <w:rFonts w:hint="eastAsia" w:ascii="宋体" w:hAnsi="宋体"/>
          <w:color w:val="auto"/>
          <w:sz w:val="21"/>
          <w:szCs w:val="21"/>
          <w:highlight w:val="none"/>
        </w:rPr>
        <w:t>响应文件中必须提供供应商的</w:t>
      </w:r>
      <w:r>
        <w:rPr>
          <w:rFonts w:ascii="宋体" w:hAnsi="宋体"/>
          <w:color w:val="auto"/>
          <w:sz w:val="21"/>
          <w:szCs w:val="21"/>
          <w:highlight w:val="none"/>
        </w:rPr>
        <w:t>法定代表人出具的授权委托书</w:t>
      </w:r>
      <w:r>
        <w:rPr>
          <w:rFonts w:hint="eastAsia" w:ascii="宋体" w:hAnsi="宋体"/>
          <w:color w:val="auto"/>
          <w:sz w:val="21"/>
          <w:szCs w:val="21"/>
          <w:highlight w:val="none"/>
        </w:rPr>
        <w:t>及法定代表人授权代表的身份证正反面复印件</w:t>
      </w:r>
      <w:r>
        <w:rPr>
          <w:rFonts w:ascii="宋体" w:hAnsi="宋体"/>
          <w:color w:val="auto"/>
          <w:sz w:val="21"/>
          <w:szCs w:val="21"/>
          <w:highlight w:val="none"/>
        </w:rPr>
        <w:t>。</w:t>
      </w:r>
    </w:p>
    <w:p>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3.2区域性分支机构、个体工商户、个人独资企业、合伙企业等非法人单位由单位注册登记证明上的单位负责人签署的响应文件与磋商文件规定由供应商法定代表人签署的响应文件具有同等效力。</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4.磋商响应费用</w:t>
      </w:r>
    </w:p>
    <w:p>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供应商自行承担准备和参加磋商的所有费用，不论磋商的结果如何，采购人或采购代理机构均无义务和责任承担这些费用。</w:t>
      </w:r>
    </w:p>
    <w:p>
      <w:pPr>
        <w:spacing w:line="360" w:lineRule="auto"/>
        <w:ind w:firstLine="422" w:firstLineChars="200"/>
        <w:rPr>
          <w:rFonts w:ascii="宋体" w:hAnsi="宋体"/>
          <w:b/>
          <w:color w:val="auto"/>
          <w:highlight w:val="none"/>
        </w:rPr>
      </w:pPr>
      <w:r>
        <w:rPr>
          <w:rFonts w:hint="eastAsia" w:ascii="宋体" w:hAnsi="宋体"/>
          <w:b/>
          <w:color w:val="auto"/>
          <w:highlight w:val="none"/>
        </w:rPr>
        <w:t>5.知识产权</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5.1供应商</w:t>
      </w:r>
      <w:r>
        <w:rPr>
          <w:color w:val="auto"/>
          <w:sz w:val="21"/>
          <w:szCs w:val="21"/>
          <w:highlight w:val="none"/>
        </w:rPr>
        <w:t>应保证在本项目使用的任何产品（包括部分使用），不会产生因第三方提出侵犯其专利权、商标权或其它知识产权而引起</w:t>
      </w:r>
      <w:r>
        <w:rPr>
          <w:rFonts w:hint="eastAsia"/>
          <w:color w:val="auto"/>
          <w:sz w:val="21"/>
          <w:szCs w:val="21"/>
          <w:highlight w:val="none"/>
        </w:rPr>
        <w:t>法律或经济纠纷。如因专利权、商标权或其它知识产权原因引起法律或经济纠纷的，所有相关责任由供应商承担。</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5.2供应商如采用非自身所拥有的知识产权，则在磋商报价中必须包括合法获得该项知识产权的相关费用，无论供应商是否在报价表中列明，采购人均视为供应商的磋商报价已包含该部分费用。</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5.3</w:t>
      </w:r>
      <w:r>
        <w:rPr>
          <w:color w:val="auto"/>
          <w:sz w:val="21"/>
          <w:szCs w:val="21"/>
          <w:highlight w:val="none"/>
        </w:rPr>
        <w:t>采购人享有本项目实施过程中产生的知识成果及知识产权。</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6.转包与分包</w:t>
      </w:r>
    </w:p>
    <w:p>
      <w:pPr>
        <w:snapToGrid w:val="0"/>
        <w:spacing w:line="360" w:lineRule="auto"/>
        <w:ind w:firstLine="420" w:firstLineChars="200"/>
        <w:jc w:val="left"/>
        <w:rPr>
          <w:rFonts w:ascii="宋体" w:hAnsi="宋体" w:cs="Arial"/>
          <w:color w:val="auto"/>
          <w:highlight w:val="none"/>
        </w:rPr>
      </w:pPr>
      <w:r>
        <w:rPr>
          <w:rFonts w:ascii="宋体" w:hAnsi="宋体" w:cs="Arial"/>
          <w:color w:val="auto"/>
          <w:highlight w:val="none"/>
        </w:rPr>
        <w:t>本项目不允许转包</w:t>
      </w:r>
      <w:r>
        <w:rPr>
          <w:rFonts w:hint="eastAsia" w:ascii="宋体" w:hAnsi="宋体" w:cs="Arial"/>
          <w:color w:val="auto"/>
          <w:highlight w:val="none"/>
        </w:rPr>
        <w:t>和分包。</w:t>
      </w:r>
    </w:p>
    <w:p>
      <w:pPr>
        <w:spacing w:line="360" w:lineRule="auto"/>
        <w:ind w:firstLine="422" w:firstLineChars="200"/>
        <w:rPr>
          <w:rFonts w:ascii="宋体" w:hAnsi="宋体"/>
          <w:b/>
          <w:color w:val="auto"/>
          <w:highlight w:val="none"/>
        </w:rPr>
      </w:pPr>
      <w:r>
        <w:rPr>
          <w:rFonts w:hint="eastAsia" w:ascii="宋体" w:hAnsi="宋体"/>
          <w:b/>
          <w:color w:val="auto"/>
          <w:highlight w:val="none"/>
        </w:rPr>
        <w:t>7.联合体磋商</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本项目不接受联合体磋商。</w:t>
      </w:r>
    </w:p>
    <w:p>
      <w:pPr>
        <w:tabs>
          <w:tab w:val="left" w:pos="426"/>
        </w:tabs>
        <w:snapToGrid w:val="0"/>
        <w:spacing w:line="360"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8.</w:t>
      </w:r>
      <w:r>
        <w:rPr>
          <w:rFonts w:ascii="宋体" w:hAnsi="宋体" w:cs="宋体"/>
          <w:b/>
          <w:color w:val="auto"/>
          <w:kern w:val="0"/>
          <w:highlight w:val="none"/>
        </w:rPr>
        <w:t>质疑和投诉</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8.1供应商认为采购文件、采购过程和成交结果使自己的权益受到损害的，可以在知道或者应知其权益受到损害之日起七个工作日内，以书面形式向采购人或采购代理机构提出质疑。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8.2供应商应在法定质疑期内一次性提出针对同一采购程序环节的质疑。</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8.3质疑函的接收和发送：联系人及联系方式等信息详见《供应商须知前附表》。</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8.5</w:t>
      </w:r>
      <w:r>
        <w:rPr>
          <w:rFonts w:ascii="宋体" w:hAnsi="宋体" w:cs="Arial"/>
          <w:color w:val="auto"/>
          <w:highlight w:val="none"/>
        </w:rPr>
        <w:t>质疑、投诉</w:t>
      </w:r>
      <w:r>
        <w:rPr>
          <w:rFonts w:hint="eastAsia" w:ascii="宋体" w:hAnsi="宋体" w:cs="Arial"/>
          <w:color w:val="auto"/>
          <w:highlight w:val="none"/>
        </w:rPr>
        <w:t>均须</w:t>
      </w:r>
      <w:r>
        <w:rPr>
          <w:rFonts w:ascii="宋体" w:hAnsi="宋体" w:cs="Arial"/>
          <w:color w:val="auto"/>
          <w:highlight w:val="none"/>
        </w:rPr>
        <w:t>采用书面形式，质疑、投诉</w:t>
      </w:r>
      <w:r>
        <w:rPr>
          <w:rFonts w:hint="eastAsia" w:ascii="宋体" w:hAnsi="宋体" w:cs="Arial"/>
          <w:color w:val="auto"/>
          <w:highlight w:val="none"/>
        </w:rPr>
        <w:t>资料</w:t>
      </w:r>
      <w:r>
        <w:rPr>
          <w:rFonts w:ascii="宋体" w:hAnsi="宋体" w:cs="Arial"/>
          <w:color w:val="auto"/>
          <w:highlight w:val="none"/>
        </w:rPr>
        <w:t>均应明确阐述</w:t>
      </w:r>
      <w:r>
        <w:rPr>
          <w:rFonts w:hint="eastAsia" w:ascii="宋体" w:hAnsi="宋体" w:cs="Arial"/>
          <w:color w:val="auto"/>
          <w:highlight w:val="none"/>
        </w:rPr>
        <w:t>自身</w:t>
      </w:r>
      <w:r>
        <w:rPr>
          <w:rFonts w:ascii="宋体" w:hAnsi="宋体" w:cs="Arial"/>
          <w:color w:val="auto"/>
          <w:highlight w:val="none"/>
        </w:rPr>
        <w:t>合法权益受到损害的实质性内容，提供相关事实、依据和证据及其来源或线索，便于调查、答复和处理</w:t>
      </w:r>
      <w:r>
        <w:rPr>
          <w:rFonts w:hint="eastAsia" w:ascii="宋体" w:hAnsi="宋体" w:cs="Arial"/>
          <w:color w:val="auto"/>
          <w:highlight w:val="none"/>
        </w:rPr>
        <w:t>，</w:t>
      </w:r>
      <w:r>
        <w:rPr>
          <w:rFonts w:ascii="宋体" w:hAnsi="宋体" w:cs="Arial"/>
          <w:color w:val="auto"/>
          <w:highlight w:val="none"/>
        </w:rPr>
        <w:t>质疑、投诉</w:t>
      </w:r>
      <w:r>
        <w:rPr>
          <w:rFonts w:hint="eastAsia" w:ascii="宋体" w:hAnsi="宋体" w:cs="Arial"/>
          <w:color w:val="auto"/>
          <w:highlight w:val="none"/>
        </w:rPr>
        <w:t>文件具体要求详见财政部令第94号。</w:t>
      </w:r>
    </w:p>
    <w:p>
      <w:pPr>
        <w:spacing w:line="360" w:lineRule="auto"/>
        <w:ind w:firstLine="422" w:firstLineChars="200"/>
        <w:rPr>
          <w:rFonts w:ascii="宋体" w:hAnsi="宋体"/>
          <w:b/>
          <w:color w:val="auto"/>
          <w:highlight w:val="none"/>
        </w:rPr>
      </w:pPr>
      <w:r>
        <w:rPr>
          <w:rFonts w:hint="eastAsia" w:ascii="宋体" w:hAnsi="宋体"/>
          <w:b/>
          <w:color w:val="auto"/>
          <w:highlight w:val="none"/>
        </w:rPr>
        <w:t>9.信用记录查询及使用</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9.1供应商</w:t>
      </w:r>
      <w:r>
        <w:rPr>
          <w:rFonts w:ascii="宋体" w:hAnsi="宋体" w:eastAsia="宋体"/>
          <w:color w:val="auto"/>
          <w:sz w:val="21"/>
          <w:szCs w:val="21"/>
          <w:highlight w:val="none"/>
        </w:rPr>
        <w:t>信用信息查询渠道</w:t>
      </w:r>
      <w:r>
        <w:rPr>
          <w:rFonts w:hint="eastAsia" w:ascii="宋体" w:hAnsi="宋体" w:eastAsia="宋体"/>
          <w:color w:val="auto"/>
          <w:sz w:val="21"/>
          <w:szCs w:val="21"/>
          <w:highlight w:val="none"/>
        </w:rPr>
        <w:t>：通过“信用中国”网站（www.creditchina.gov.cn）、中国政府采购网（www.ccgp.gov.cn）查询本项目响应供应商的信用记录。</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9.2</w:t>
      </w:r>
      <w:r>
        <w:rPr>
          <w:rFonts w:ascii="宋体" w:hAnsi="宋体" w:eastAsia="宋体"/>
          <w:color w:val="auto"/>
          <w:sz w:val="21"/>
          <w:szCs w:val="21"/>
          <w:highlight w:val="none"/>
        </w:rPr>
        <w:t>信息查询截止时点</w:t>
      </w:r>
      <w:r>
        <w:rPr>
          <w:rFonts w:hint="eastAsia" w:ascii="宋体" w:hAnsi="宋体" w:eastAsia="宋体"/>
          <w:color w:val="auto"/>
          <w:sz w:val="21"/>
          <w:szCs w:val="21"/>
          <w:highlight w:val="none"/>
        </w:rPr>
        <w:t>：响应文件提交的截止时间后。</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9.3</w:t>
      </w:r>
      <w:r>
        <w:rPr>
          <w:rFonts w:ascii="宋体" w:hAnsi="宋体" w:eastAsia="宋体"/>
          <w:color w:val="auto"/>
          <w:sz w:val="21"/>
          <w:szCs w:val="21"/>
          <w:highlight w:val="none"/>
        </w:rPr>
        <w:t>信用信息查询记录和证据留存的具体方式</w:t>
      </w:r>
      <w:r>
        <w:rPr>
          <w:rFonts w:hint="eastAsia" w:ascii="宋体" w:hAnsi="宋体" w:eastAsia="宋体"/>
          <w:color w:val="auto"/>
          <w:sz w:val="21"/>
          <w:szCs w:val="21"/>
          <w:highlight w:val="none"/>
        </w:rPr>
        <w:t>：信用查询结果以网页打印件的方式与其他采购文件一并保存。</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9.4</w:t>
      </w:r>
      <w:r>
        <w:rPr>
          <w:rFonts w:ascii="宋体" w:hAnsi="宋体" w:eastAsia="宋体"/>
          <w:color w:val="auto"/>
          <w:sz w:val="21"/>
          <w:szCs w:val="21"/>
          <w:highlight w:val="none"/>
        </w:rPr>
        <w:t>信用信息的使用规则</w:t>
      </w:r>
      <w:r>
        <w:rPr>
          <w:rFonts w:hint="eastAsia" w:ascii="宋体" w:hAnsi="宋体" w:eastAsia="宋体"/>
          <w:color w:val="auto"/>
          <w:sz w:val="21"/>
          <w:szCs w:val="21"/>
          <w:highlight w:val="none"/>
        </w:rPr>
        <w:t>：</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政府采购活动；</w:t>
      </w:r>
    </w:p>
    <w:p>
      <w:pPr>
        <w:pStyle w:val="21"/>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2）联合体成员存在不良</w:t>
      </w:r>
      <w:r>
        <w:rPr>
          <w:rFonts w:ascii="宋体" w:hAnsi="宋体" w:eastAsia="宋体"/>
          <w:color w:val="auto"/>
          <w:sz w:val="21"/>
          <w:szCs w:val="21"/>
          <w:highlight w:val="none"/>
        </w:rPr>
        <w:t>信用</w:t>
      </w:r>
      <w:r>
        <w:rPr>
          <w:rFonts w:hint="eastAsia" w:ascii="宋体" w:hAnsi="宋体" w:eastAsia="宋体"/>
          <w:color w:val="auto"/>
          <w:sz w:val="21"/>
          <w:szCs w:val="21"/>
          <w:highlight w:val="none"/>
        </w:rPr>
        <w:t>信息记录的，视同联合体存在不良信用记录。</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10.政府采购信息发布媒体</w:t>
      </w:r>
    </w:p>
    <w:p>
      <w:pPr>
        <w:pStyle w:val="21"/>
        <w:snapToGrid w:val="0"/>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本项目政府采购信息发布媒体详见《供应商须知前附表》。</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11.</w:t>
      </w:r>
      <w:r>
        <w:rPr>
          <w:rFonts w:ascii="宋体" w:hAnsi="宋体"/>
          <w:b/>
          <w:color w:val="auto"/>
          <w:highlight w:val="none"/>
        </w:rPr>
        <w:t>采购代理机构代理</w:t>
      </w:r>
      <w:r>
        <w:rPr>
          <w:rFonts w:hint="eastAsia" w:ascii="宋体" w:hAnsi="宋体"/>
          <w:b/>
          <w:color w:val="auto"/>
          <w:highlight w:val="none"/>
        </w:rPr>
        <w:t>服务</w:t>
      </w:r>
      <w:r>
        <w:rPr>
          <w:rFonts w:ascii="宋体" w:hAnsi="宋体"/>
          <w:b/>
          <w:color w:val="auto"/>
          <w:highlight w:val="none"/>
        </w:rPr>
        <w:t>费用的收取标准和方式</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11.1</w:t>
      </w:r>
      <w:r>
        <w:rPr>
          <w:rFonts w:ascii="宋体" w:hAnsi="宋体"/>
          <w:color w:val="auto"/>
          <w:sz w:val="21"/>
          <w:szCs w:val="21"/>
          <w:highlight w:val="none"/>
        </w:rPr>
        <w:t>采购</w:t>
      </w:r>
      <w:r>
        <w:rPr>
          <w:rFonts w:hint="eastAsia" w:ascii="宋体" w:hAnsi="宋体"/>
          <w:color w:val="auto"/>
          <w:sz w:val="21"/>
          <w:szCs w:val="21"/>
          <w:highlight w:val="none"/>
        </w:rPr>
        <w:t>代理服务费用的收取标准：详见《供应商须知前附表》。</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11.2</w:t>
      </w:r>
      <w:r>
        <w:rPr>
          <w:rFonts w:ascii="宋体" w:hAnsi="宋体"/>
          <w:color w:val="auto"/>
          <w:sz w:val="21"/>
          <w:szCs w:val="21"/>
          <w:highlight w:val="none"/>
        </w:rPr>
        <w:t>采购</w:t>
      </w:r>
      <w:r>
        <w:rPr>
          <w:rFonts w:hint="eastAsia" w:ascii="宋体" w:hAnsi="宋体"/>
          <w:color w:val="auto"/>
          <w:sz w:val="21"/>
          <w:szCs w:val="21"/>
          <w:highlight w:val="none"/>
        </w:rPr>
        <w:t>代理服务费的支付：详见《供应商须知前附表》。</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11.3</w:t>
      </w:r>
      <w:r>
        <w:rPr>
          <w:rFonts w:ascii="宋体" w:hAnsi="宋体"/>
          <w:color w:val="auto"/>
          <w:sz w:val="21"/>
          <w:szCs w:val="21"/>
          <w:highlight w:val="none"/>
        </w:rPr>
        <w:t>采购</w:t>
      </w:r>
      <w:r>
        <w:rPr>
          <w:rFonts w:hint="eastAsia" w:ascii="宋体" w:hAnsi="宋体"/>
          <w:color w:val="auto"/>
          <w:sz w:val="21"/>
          <w:szCs w:val="21"/>
          <w:highlight w:val="none"/>
        </w:rPr>
        <w:t>代理服务费收款账户信息：</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开户银行：宁波银行海曙支行</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户名：宁波名诚招标代理有限公司</w:t>
      </w:r>
    </w:p>
    <w:p>
      <w:pPr>
        <w:pStyle w:val="21"/>
        <w:snapToGri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账号：20010122000443166</w:t>
      </w:r>
    </w:p>
    <w:p>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12.其他</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12.1磋商文件的标题和序号只是为了查阅方便，不影响对磋商文件的理解。</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12.2磋商文件的采购需求内容如出现某品牌、型号的内容是为了更好的描述产品的性能、规格及要求，并无任何指定产品品牌、型号的意思表达，供应商可选择其他品牌、型号的产品参加磋商。</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12.3</w:t>
      </w:r>
      <w:r>
        <w:rPr>
          <w:rFonts w:ascii="宋体" w:hAnsi="宋体" w:cs="Arial"/>
          <w:color w:val="auto"/>
          <w:highlight w:val="none"/>
        </w:rPr>
        <w:t>单位负责人为同一人或者存在直接控股、管理关系的不同供应商，</w:t>
      </w:r>
      <w:r>
        <w:rPr>
          <w:rFonts w:hint="eastAsia" w:ascii="宋体" w:hAnsi="宋体" w:cs="Arial"/>
          <w:color w:val="auto"/>
          <w:highlight w:val="none"/>
        </w:rPr>
        <w:t>同时</w:t>
      </w:r>
      <w:r>
        <w:rPr>
          <w:rFonts w:ascii="宋体" w:hAnsi="宋体" w:cs="Arial"/>
          <w:color w:val="auto"/>
          <w:highlight w:val="none"/>
        </w:rPr>
        <w:t>参加同一合同项下的政府采购活动</w:t>
      </w:r>
      <w:r>
        <w:rPr>
          <w:rFonts w:hint="eastAsia" w:ascii="宋体" w:hAnsi="宋体" w:cs="Arial"/>
          <w:color w:val="auto"/>
          <w:highlight w:val="none"/>
        </w:rPr>
        <w:t>，相关单位均按无效响应处理</w:t>
      </w:r>
      <w:r>
        <w:rPr>
          <w:rFonts w:ascii="宋体" w:hAnsi="宋体" w:cs="Arial"/>
          <w:color w:val="auto"/>
          <w:highlight w:val="none"/>
        </w:rPr>
        <w:t>。</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12.4磋商文件要求携带原件备查的资料，如果该项资料可以通过互联网或者相关信息系统查询的，响应供应商能够当场提供相关账号、网址等进行查询、核实资料真伪及数据的，视同提供了原件。</w:t>
      </w:r>
    </w:p>
    <w:p>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12.5依据《政府采购促进中小企业发展管理办法》规定享受扶持政策获得政府采购合同的，小微企业不得将合同分包给大中型企业，中型企业不得将合同分包给大型企业。</w:t>
      </w:r>
    </w:p>
    <w:p>
      <w:pPr>
        <w:pStyle w:val="26"/>
        <w:tabs>
          <w:tab w:val="left" w:pos="426"/>
        </w:tabs>
        <w:snapToGrid w:val="0"/>
        <w:spacing w:before="0" w:beforeAutospacing="0" w:after="0" w:afterAutospacing="0" w:line="360" w:lineRule="auto"/>
        <w:jc w:val="center"/>
        <w:rPr>
          <w:b/>
          <w:color w:val="auto"/>
          <w:sz w:val="21"/>
          <w:szCs w:val="21"/>
          <w:highlight w:val="none"/>
        </w:rPr>
      </w:pPr>
      <w:r>
        <w:rPr>
          <w:b/>
          <w:color w:val="auto"/>
          <w:sz w:val="21"/>
          <w:szCs w:val="21"/>
          <w:highlight w:val="none"/>
        </w:rPr>
        <w:t>二</w:t>
      </w:r>
      <w:r>
        <w:rPr>
          <w:rFonts w:hint="eastAsia"/>
          <w:b/>
          <w:color w:val="auto"/>
          <w:sz w:val="21"/>
          <w:szCs w:val="21"/>
          <w:highlight w:val="none"/>
        </w:rPr>
        <w:t>、磋商</w:t>
      </w:r>
      <w:r>
        <w:rPr>
          <w:b/>
          <w:color w:val="auto"/>
          <w:sz w:val="21"/>
          <w:szCs w:val="21"/>
          <w:highlight w:val="none"/>
        </w:rPr>
        <w:t>文件</w:t>
      </w:r>
    </w:p>
    <w:p>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13.磋商文件的编制依据与构成</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13.1磋商文件根据《中华人民共和国政府采购法》《中华人民共和国政府采购法实施条例》《政府采购竞争性磋商采购方式管理暂行办法》等政府采购法律法规的规定编制。</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13.2要求提供的产品、采购过程和合同条件在磋商文件中均有说明。</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13.3磋商文件以中文文字编写，共六章。由下列文件以及在采购过程中发出的澄清或修改文件组成，内容如下：</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第一章  采购邀请</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 xml:space="preserve">第二章  </w:t>
      </w:r>
      <w:r>
        <w:rPr>
          <w:color w:val="auto"/>
          <w:sz w:val="21"/>
          <w:szCs w:val="21"/>
          <w:highlight w:val="none"/>
        </w:rPr>
        <w:t>采购需求</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第三章  供应商</w:t>
      </w:r>
      <w:r>
        <w:rPr>
          <w:rFonts w:ascii="宋体" w:hAnsi="宋体"/>
          <w:color w:val="auto"/>
          <w:highlight w:val="none"/>
        </w:rPr>
        <w:t>须知</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第四章  评审方法、评审标准</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第五章  采购合同样本</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第六章  响应文件格式</w:t>
      </w:r>
    </w:p>
    <w:p>
      <w:pPr>
        <w:pStyle w:val="12"/>
        <w:widowControl w:val="0"/>
        <w:tabs>
          <w:tab w:val="clear" w:pos="440"/>
        </w:tabs>
        <w:snapToGrid w:val="0"/>
        <w:spacing w:afterLines="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14.磋商文件的询问、澄清和修改</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w:t>
      </w:r>
      <w:r>
        <w:rPr>
          <w:bCs/>
          <w:color w:val="auto"/>
          <w:sz w:val="21"/>
          <w:szCs w:val="21"/>
          <w:highlight w:val="none"/>
        </w:rPr>
        <w:t>1</w:t>
      </w:r>
      <w:r>
        <w:rPr>
          <w:rFonts w:hint="eastAsia"/>
          <w:bCs/>
          <w:color w:val="auto"/>
          <w:sz w:val="21"/>
          <w:szCs w:val="21"/>
          <w:highlight w:val="none"/>
        </w:rPr>
        <w:t>询问</w:t>
      </w:r>
    </w:p>
    <w:p>
      <w:pPr>
        <w:pStyle w:val="26"/>
        <w:snapToGrid w:val="0"/>
        <w:spacing w:before="0" w:beforeAutospacing="0" w:after="0" w:afterAutospacing="0" w:line="360" w:lineRule="auto"/>
        <w:ind w:firstLine="420" w:firstLineChars="200"/>
        <w:rPr>
          <w:color w:val="auto"/>
          <w:sz w:val="21"/>
          <w:szCs w:val="21"/>
          <w:highlight w:val="none"/>
        </w:rPr>
      </w:pPr>
      <w:r>
        <w:rPr>
          <w:bCs/>
          <w:color w:val="auto"/>
          <w:sz w:val="21"/>
          <w:szCs w:val="21"/>
          <w:highlight w:val="none"/>
        </w:rPr>
        <w:t>供应商</w:t>
      </w:r>
      <w:r>
        <w:rPr>
          <w:rFonts w:hint="eastAsia"/>
          <w:bCs/>
          <w:color w:val="auto"/>
          <w:sz w:val="21"/>
          <w:szCs w:val="21"/>
          <w:highlight w:val="none"/>
        </w:rPr>
        <w:t>对磋商文件有疑问之处可向</w:t>
      </w:r>
      <w:r>
        <w:rPr>
          <w:rFonts w:hint="eastAsia"/>
          <w:color w:val="auto"/>
          <w:sz w:val="21"/>
          <w:szCs w:val="21"/>
          <w:highlight w:val="none"/>
        </w:rPr>
        <w:t>采购人或采购代理机构</w:t>
      </w:r>
      <w:r>
        <w:rPr>
          <w:rFonts w:hint="eastAsia"/>
          <w:bCs/>
          <w:color w:val="auto"/>
          <w:sz w:val="21"/>
          <w:szCs w:val="21"/>
          <w:highlight w:val="none"/>
        </w:rPr>
        <w:t>询问，</w:t>
      </w:r>
      <w:r>
        <w:rPr>
          <w:rFonts w:hint="eastAsia"/>
          <w:color w:val="auto"/>
          <w:sz w:val="21"/>
          <w:szCs w:val="21"/>
          <w:highlight w:val="none"/>
        </w:rPr>
        <w:t>采购人或采购代理机构将依法</w:t>
      </w:r>
      <w:r>
        <w:rPr>
          <w:rFonts w:hint="eastAsia"/>
          <w:bCs/>
          <w:color w:val="auto"/>
          <w:sz w:val="21"/>
          <w:szCs w:val="21"/>
          <w:highlight w:val="none"/>
        </w:rPr>
        <w:t>对供应商</w:t>
      </w:r>
      <w:r>
        <w:rPr>
          <w:rFonts w:hint="eastAsia"/>
          <w:color w:val="auto"/>
          <w:sz w:val="21"/>
          <w:szCs w:val="21"/>
          <w:highlight w:val="none"/>
        </w:rPr>
        <w:t>的询问作出答复。</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14.2澄清和修改</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1）提交首次响应文件截止之日前，</w:t>
      </w:r>
      <w:r>
        <w:rPr>
          <w:rFonts w:hint="eastAsia"/>
          <w:color w:val="auto"/>
          <w:sz w:val="21"/>
          <w:szCs w:val="21"/>
          <w:highlight w:val="none"/>
        </w:rPr>
        <w:t>采购人或采购代理机构</w:t>
      </w:r>
      <w:r>
        <w:rPr>
          <w:rFonts w:hint="eastAsia"/>
          <w:bCs/>
          <w:color w:val="auto"/>
          <w:sz w:val="21"/>
          <w:szCs w:val="21"/>
          <w:highlight w:val="none"/>
        </w:rPr>
        <w:t>可以对已发出的磋商文件进行必要的澄清或者修改，澄清或者修改的内容作为磋商文件的组成部分。澄清或者修改的内容可能影响响应文件编制的，</w:t>
      </w:r>
      <w:r>
        <w:rPr>
          <w:rFonts w:hint="eastAsia"/>
          <w:color w:val="auto"/>
          <w:sz w:val="21"/>
          <w:szCs w:val="21"/>
          <w:highlight w:val="none"/>
        </w:rPr>
        <w:t>采购人或采购代理机构</w:t>
      </w:r>
      <w:r>
        <w:rPr>
          <w:rFonts w:hint="eastAsia"/>
          <w:bCs/>
          <w:color w:val="auto"/>
          <w:sz w:val="21"/>
          <w:szCs w:val="21"/>
          <w:highlight w:val="none"/>
        </w:rPr>
        <w:t>在提交首次响应文件截止时间至少5日前，以书面形式通知所有获取磋商文件的供应商；不足5日的，采购人或采购代理机构顺延提交首次响应文件截止时间。</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2）获取磋商文件的供应商</w:t>
      </w:r>
      <w:r>
        <w:rPr>
          <w:bCs/>
          <w:color w:val="auto"/>
          <w:sz w:val="21"/>
          <w:szCs w:val="21"/>
          <w:highlight w:val="none"/>
        </w:rPr>
        <w:t>在收到书面形式通知后，</w:t>
      </w:r>
      <w:r>
        <w:rPr>
          <w:rFonts w:hint="eastAsia"/>
          <w:bCs/>
          <w:color w:val="auto"/>
          <w:sz w:val="21"/>
          <w:szCs w:val="21"/>
          <w:highlight w:val="none"/>
        </w:rPr>
        <w:t>认为</w:t>
      </w:r>
      <w:r>
        <w:rPr>
          <w:bCs/>
          <w:color w:val="auto"/>
          <w:sz w:val="21"/>
          <w:szCs w:val="21"/>
          <w:highlight w:val="none"/>
        </w:rPr>
        <w:t>澄清或者修改的</w:t>
      </w:r>
      <w:r>
        <w:rPr>
          <w:rFonts w:hint="eastAsia"/>
          <w:bCs/>
          <w:color w:val="auto"/>
          <w:sz w:val="21"/>
          <w:szCs w:val="21"/>
          <w:highlight w:val="none"/>
        </w:rPr>
        <w:t>内容</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hint="eastAsia"/>
          <w:bCs/>
          <w:color w:val="auto"/>
          <w:sz w:val="21"/>
          <w:szCs w:val="21"/>
          <w:highlight w:val="none"/>
        </w:rPr>
        <w:t>的</w:t>
      </w:r>
      <w:r>
        <w:rPr>
          <w:bCs/>
          <w:color w:val="auto"/>
          <w:sz w:val="21"/>
          <w:szCs w:val="21"/>
          <w:highlight w:val="none"/>
        </w:rPr>
        <w:t>，</w:t>
      </w:r>
      <w:r>
        <w:rPr>
          <w:rFonts w:hint="eastAsia"/>
          <w:bCs/>
          <w:color w:val="auto"/>
          <w:sz w:val="21"/>
          <w:szCs w:val="21"/>
          <w:highlight w:val="none"/>
        </w:rPr>
        <w:t>应当</w:t>
      </w:r>
      <w:r>
        <w:rPr>
          <w:bCs/>
          <w:color w:val="auto"/>
          <w:sz w:val="21"/>
          <w:szCs w:val="21"/>
          <w:highlight w:val="none"/>
        </w:rPr>
        <w:t>在收到</w:t>
      </w:r>
      <w:r>
        <w:rPr>
          <w:rFonts w:hint="eastAsia"/>
          <w:bCs/>
          <w:color w:val="auto"/>
          <w:sz w:val="21"/>
          <w:szCs w:val="21"/>
          <w:highlight w:val="none"/>
        </w:rPr>
        <w:t>书面通知</w:t>
      </w:r>
      <w:r>
        <w:rPr>
          <w:bCs/>
          <w:color w:val="auto"/>
          <w:sz w:val="21"/>
          <w:szCs w:val="21"/>
          <w:highlight w:val="none"/>
        </w:rPr>
        <w:t>后</w:t>
      </w:r>
      <w:r>
        <w:rPr>
          <w:rFonts w:hint="eastAsia"/>
          <w:bCs/>
          <w:color w:val="auto"/>
          <w:sz w:val="21"/>
          <w:szCs w:val="21"/>
          <w:highlight w:val="none"/>
        </w:rPr>
        <w:t>及时</w:t>
      </w:r>
      <w:r>
        <w:rPr>
          <w:bCs/>
          <w:color w:val="auto"/>
          <w:sz w:val="21"/>
          <w:szCs w:val="21"/>
          <w:highlight w:val="none"/>
        </w:rPr>
        <w:t>将</w:t>
      </w:r>
      <w:r>
        <w:rPr>
          <w:rFonts w:hint="eastAsia"/>
          <w:bCs/>
          <w:color w:val="auto"/>
          <w:sz w:val="21"/>
          <w:szCs w:val="21"/>
          <w:highlight w:val="none"/>
        </w:rPr>
        <w:t>有关</w:t>
      </w:r>
      <w:r>
        <w:rPr>
          <w:bCs/>
          <w:color w:val="auto"/>
          <w:sz w:val="21"/>
          <w:szCs w:val="21"/>
          <w:highlight w:val="none"/>
        </w:rPr>
        <w:t>意见和理由以书面形式向</w:t>
      </w:r>
      <w:r>
        <w:rPr>
          <w:rFonts w:hint="eastAsia"/>
          <w:color w:val="auto"/>
          <w:sz w:val="21"/>
          <w:szCs w:val="21"/>
          <w:highlight w:val="none"/>
        </w:rPr>
        <w:t>采购人或采购代理机构</w:t>
      </w:r>
      <w:r>
        <w:rPr>
          <w:bCs/>
          <w:color w:val="auto"/>
          <w:sz w:val="21"/>
          <w:szCs w:val="21"/>
          <w:highlight w:val="none"/>
        </w:rPr>
        <w:t>提出</w:t>
      </w:r>
      <w:r>
        <w:rPr>
          <w:rFonts w:hint="eastAsia"/>
          <w:bCs/>
          <w:color w:val="auto"/>
          <w:sz w:val="21"/>
          <w:szCs w:val="21"/>
          <w:highlight w:val="none"/>
        </w:rPr>
        <w:t>。</w:t>
      </w:r>
      <w:r>
        <w:rPr>
          <w:bCs/>
          <w:color w:val="auto"/>
          <w:sz w:val="21"/>
          <w:szCs w:val="21"/>
          <w:highlight w:val="none"/>
        </w:rPr>
        <w:t>否则，</w:t>
      </w:r>
      <w:r>
        <w:rPr>
          <w:rFonts w:hint="eastAsia"/>
          <w:color w:val="auto"/>
          <w:sz w:val="21"/>
          <w:szCs w:val="21"/>
          <w:highlight w:val="none"/>
        </w:rPr>
        <w:t>采购人或采购代理机构</w:t>
      </w:r>
      <w:r>
        <w:rPr>
          <w:bCs/>
          <w:color w:val="auto"/>
          <w:sz w:val="21"/>
          <w:szCs w:val="21"/>
          <w:highlight w:val="none"/>
        </w:rPr>
        <w:t>视</w:t>
      </w:r>
      <w:r>
        <w:rPr>
          <w:rFonts w:hint="eastAsia"/>
          <w:bCs/>
          <w:color w:val="auto"/>
          <w:sz w:val="21"/>
          <w:szCs w:val="21"/>
          <w:highlight w:val="none"/>
        </w:rPr>
        <w:t>为供应商</w:t>
      </w:r>
      <w:r>
        <w:rPr>
          <w:bCs/>
          <w:color w:val="auto"/>
          <w:sz w:val="21"/>
          <w:szCs w:val="21"/>
          <w:highlight w:val="none"/>
        </w:rPr>
        <w:t>完全接受澄清或者修改的</w:t>
      </w:r>
      <w:r>
        <w:rPr>
          <w:rFonts w:hint="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asciiTheme="minorEastAsia" w:hAnsiTheme="minorEastAsia" w:eastAsiaTheme="minorEastAsia"/>
          <w:bCs/>
          <w:color w:val="auto"/>
          <w:sz w:val="21"/>
          <w:szCs w:val="21"/>
          <w:highlight w:val="none"/>
        </w:rPr>
        <w:t>。</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3）供应商</w:t>
      </w:r>
      <w:r>
        <w:rPr>
          <w:bCs/>
          <w:color w:val="auto"/>
          <w:sz w:val="21"/>
          <w:szCs w:val="21"/>
          <w:highlight w:val="none"/>
        </w:rPr>
        <w:t>要求澄清</w:t>
      </w:r>
      <w:r>
        <w:rPr>
          <w:rFonts w:hint="eastAsia"/>
          <w:bCs/>
          <w:color w:val="auto"/>
          <w:sz w:val="21"/>
          <w:szCs w:val="21"/>
          <w:highlight w:val="none"/>
        </w:rPr>
        <w:t>和回复的书面材料</w:t>
      </w:r>
      <w:r>
        <w:rPr>
          <w:bCs/>
          <w:color w:val="auto"/>
          <w:sz w:val="21"/>
          <w:szCs w:val="21"/>
          <w:highlight w:val="none"/>
        </w:rPr>
        <w:t>应加盖公章</w:t>
      </w:r>
      <w:r>
        <w:rPr>
          <w:rFonts w:hint="eastAsia"/>
          <w:bCs/>
          <w:color w:val="auto"/>
          <w:sz w:val="21"/>
          <w:szCs w:val="21"/>
          <w:highlight w:val="none"/>
        </w:rPr>
        <w:t>并注明</w:t>
      </w:r>
      <w:r>
        <w:rPr>
          <w:bCs/>
          <w:color w:val="auto"/>
          <w:sz w:val="21"/>
          <w:szCs w:val="21"/>
          <w:highlight w:val="none"/>
        </w:rPr>
        <w:t>日期。</w:t>
      </w:r>
    </w:p>
    <w:p>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4）供应商必须保证获取磋商文件时提供资料的真实性、准确性及联系方式的畅通性，否则，由此导致采购人或采购代理机构无法及时通知有关事项造成的后果由供应商自行负责。</w:t>
      </w:r>
    </w:p>
    <w:p>
      <w:pPr>
        <w:pStyle w:val="26"/>
        <w:snapToGrid w:val="0"/>
        <w:spacing w:before="0" w:beforeAutospacing="0" w:after="0" w:afterAutospacing="0" w:line="360" w:lineRule="auto"/>
        <w:ind w:firstLine="422" w:firstLineChars="200"/>
        <w:rPr>
          <w:b/>
          <w:bCs/>
          <w:color w:val="auto"/>
          <w:sz w:val="21"/>
          <w:szCs w:val="21"/>
          <w:highlight w:val="none"/>
        </w:rPr>
      </w:pPr>
      <w:r>
        <w:rPr>
          <w:rFonts w:hint="eastAsia"/>
          <w:b/>
          <w:bCs/>
          <w:color w:val="auto"/>
          <w:sz w:val="21"/>
          <w:szCs w:val="21"/>
          <w:highlight w:val="none"/>
        </w:rPr>
        <w:t>15.现场考察或召开磋商前答疑会</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15.1采购人或采购代理机构可以视采购项目的具体情况，组织供应商进行现场考察或召开磋商前答疑会。</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15.2供应商应当在通知的时间准时参加现场考察或答疑会，否则自行承担由此产生的后果。</w:t>
      </w:r>
    </w:p>
    <w:p>
      <w:pPr>
        <w:spacing w:line="360" w:lineRule="auto"/>
        <w:ind w:firstLine="420"/>
        <w:rPr>
          <w:rFonts w:ascii="宋体" w:hAnsi="宋体"/>
          <w:color w:val="auto"/>
          <w:highlight w:val="none"/>
        </w:rPr>
      </w:pPr>
      <w:r>
        <w:rPr>
          <w:rFonts w:hint="eastAsia" w:ascii="宋体" w:hAnsi="宋体"/>
          <w:color w:val="auto"/>
          <w:highlight w:val="none"/>
        </w:rPr>
        <w:t>15.3除采购人的原因外，供应商自行负责现场考察或召开磋商前答疑会造成的人员伤亡和财产损失。</w:t>
      </w:r>
    </w:p>
    <w:p>
      <w:pPr>
        <w:spacing w:line="360" w:lineRule="auto"/>
        <w:ind w:firstLine="420"/>
        <w:jc w:val="center"/>
        <w:rPr>
          <w:rFonts w:ascii="宋体" w:hAnsi="宋体" w:cs="宋体"/>
          <w:b/>
          <w:color w:val="auto"/>
          <w:kern w:val="0"/>
          <w:highlight w:val="none"/>
        </w:rPr>
      </w:pPr>
      <w:r>
        <w:rPr>
          <w:rFonts w:ascii="宋体" w:hAnsi="宋体"/>
          <w:b/>
          <w:color w:val="auto"/>
          <w:highlight w:val="none"/>
        </w:rPr>
        <w:t>三、</w:t>
      </w:r>
      <w:r>
        <w:rPr>
          <w:rFonts w:hint="eastAsia" w:ascii="宋体" w:hAnsi="宋体"/>
          <w:b/>
          <w:color w:val="auto"/>
          <w:highlight w:val="none"/>
        </w:rPr>
        <w:t>响应</w:t>
      </w:r>
      <w:r>
        <w:rPr>
          <w:rFonts w:ascii="宋体" w:hAnsi="宋体"/>
          <w:b/>
          <w:color w:val="auto"/>
          <w:highlight w:val="none"/>
        </w:rPr>
        <w:t>文件的编制</w:t>
      </w:r>
    </w:p>
    <w:p>
      <w:pPr>
        <w:spacing w:line="360" w:lineRule="auto"/>
        <w:ind w:firstLine="422" w:firstLineChars="200"/>
        <w:rPr>
          <w:rFonts w:ascii="宋体" w:hAnsi="宋体"/>
          <w:b/>
          <w:color w:val="auto"/>
          <w:highlight w:val="none"/>
        </w:rPr>
      </w:pPr>
      <w:r>
        <w:rPr>
          <w:rFonts w:hint="eastAsia" w:ascii="宋体" w:hAnsi="宋体"/>
          <w:b/>
          <w:color w:val="auto"/>
          <w:highlight w:val="none"/>
        </w:rPr>
        <w:t>16.磋商响应的语言和计量单位</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16.2除非磋商文件另有规定，所使用的计量单位均以《中华人民共和国法定计量单位》为准，时间均为24小时制北京时间，货币单位均为人民币元。</w:t>
      </w:r>
    </w:p>
    <w:p>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17.响应文件的形式</w:t>
      </w:r>
    </w:p>
    <w:p>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本项目磋商响应文件为电子响应文件形式，为在政采云系统上编制生成的电子加密响应文件及其备份响应文件。</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17.1电子加密响应文件是指通过“政采云电子投标客户端”完成响应文件编制后生成并加密的数据电文形式的加密标书，后缀名为【.jmbs】。</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17.2备份响应文件是指与电子加密响应文件同时生成的数据电文形式的备份标书，后缀名为【.bfbs】，以其他方式编制的备份响应文件无效。</w:t>
      </w:r>
    </w:p>
    <w:p>
      <w:pPr>
        <w:spacing w:line="360" w:lineRule="auto"/>
        <w:ind w:firstLine="422" w:firstLineChars="200"/>
        <w:rPr>
          <w:rFonts w:ascii="宋体" w:hAnsi="宋体"/>
          <w:b/>
          <w:color w:val="auto"/>
          <w:highlight w:val="none"/>
        </w:rPr>
      </w:pPr>
      <w:r>
        <w:rPr>
          <w:rFonts w:hint="eastAsia" w:ascii="宋体" w:hAnsi="宋体"/>
          <w:b/>
          <w:color w:val="auto"/>
          <w:highlight w:val="none"/>
        </w:rPr>
        <w:t>18.响应文件内容的组成</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18.1供应商编写的响应文件应包含资格要求响应文件、商务技术文件和报价要求响应文件。</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18.2资格要求响应文件的组成:详见《供应商须知前附表》，未列入的内容，供应商认为需要的可以自行选择提供相关材料。</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18.3商务技术文件的组成:详见《供应商须知前附表》，未列入的内容，供应商认为需要的可以自行选择提供相关材料。</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18.4报价要求响应文件的组成：详见《供应商须知前附表》，未列入的内容，供应商认为需要的可以自行选择提供相关材料。</w:t>
      </w:r>
    </w:p>
    <w:p>
      <w:pPr>
        <w:spacing w:line="360" w:lineRule="auto"/>
        <w:ind w:firstLine="422" w:firstLineChars="200"/>
        <w:rPr>
          <w:rFonts w:ascii="宋体" w:hAnsi="宋体"/>
          <w:b/>
          <w:color w:val="auto"/>
          <w:highlight w:val="none"/>
        </w:rPr>
      </w:pPr>
      <w:r>
        <w:rPr>
          <w:rFonts w:hint="eastAsia" w:ascii="宋体" w:hAnsi="宋体"/>
          <w:b/>
          <w:color w:val="auto"/>
          <w:highlight w:val="none"/>
        </w:rPr>
        <w:t>19.响应文件的编写</w:t>
      </w:r>
    </w:p>
    <w:p>
      <w:pPr>
        <w:spacing w:line="360" w:lineRule="auto"/>
        <w:ind w:firstLine="422" w:firstLineChars="200"/>
        <w:rPr>
          <w:rFonts w:ascii="宋体" w:hAnsi="宋体"/>
          <w:b/>
          <w:color w:val="auto"/>
          <w:highlight w:val="none"/>
        </w:rPr>
      </w:pPr>
      <w:r>
        <w:rPr>
          <w:rFonts w:hint="eastAsia" w:ascii="宋体" w:hAnsi="宋体" w:cs="Arial"/>
          <w:b/>
          <w:color w:val="auto"/>
          <w:kern w:val="0"/>
          <w:highlight w:val="none"/>
        </w:rPr>
        <w:t>本项目通过“政府采购云平台”实行在线磋商响应（电子交易）。供应商应安装“政采云电子投标客户端”，按照磋商文件和“政府采购云平台”的要求编制并加密响应文件。</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19.1</w:t>
      </w:r>
      <w:r>
        <w:rPr>
          <w:rFonts w:hint="eastAsia" w:ascii="宋体" w:hAnsi="宋体"/>
          <w:bCs/>
          <w:color w:val="auto"/>
          <w:highlight w:val="none"/>
        </w:rPr>
        <w:t>供应商应认真阅读磋商文件所有的事项、格式、条款和技术规格等内容，按照磋商文件的要求编制响应文件，</w:t>
      </w:r>
      <w:r>
        <w:rPr>
          <w:rFonts w:hint="eastAsia" w:ascii="宋体" w:hAnsi="宋体"/>
          <w:color w:val="auto"/>
          <w:highlight w:val="none"/>
        </w:rPr>
        <w:t>并根据自身的商务能力、技术水平等对磋商文件提出的要求和条件作出真实的响应。</w:t>
      </w:r>
    </w:p>
    <w:p>
      <w:pPr>
        <w:snapToGrid w:val="0"/>
        <w:spacing w:line="360" w:lineRule="auto"/>
        <w:ind w:firstLine="420" w:firstLineChars="200"/>
        <w:jc w:val="left"/>
        <w:rPr>
          <w:rFonts w:ascii="宋体" w:hAnsi="宋体"/>
          <w:color w:val="auto"/>
          <w:highlight w:val="none"/>
        </w:rPr>
      </w:pPr>
      <w:r>
        <w:rPr>
          <w:rFonts w:ascii="宋体" w:hAnsi="宋体" w:cs="Arial"/>
          <w:color w:val="auto"/>
          <w:highlight w:val="none"/>
        </w:rPr>
        <w:t>供应商应当对提交的响应文件的真实性、合法性承担法律责任。</w:t>
      </w:r>
      <w:r>
        <w:rPr>
          <w:rFonts w:hint="eastAsia" w:ascii="宋体" w:hAnsi="宋体"/>
          <w:color w:val="auto"/>
          <w:highlight w:val="none"/>
        </w:rPr>
        <w:t>供应商必须无条件接受采购人或采购代理机构或者政府采购监督管理部门对其中任何资料进行核实的要求。</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19.2供应商应按照《第六章  响应文件格式》的要求，完整地填写磋商响应函、初次报价表，以及磋商文件规定的其它内容，磋商文件未提供响应文件格式的，由供应商自行拟定。</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19.3因供应商的响应文件只填写和提供了磋商文件要求的部分内容和附件，或没有提供磋商文件所要求的资料及数据，由此造成的后果和责任由供应商承担。</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磋商文件明确要求附（提交）证明材料而供应商未在响应文件中提供的，不被认定为作出响应。</w:t>
      </w:r>
      <w:r>
        <w:rPr>
          <w:rFonts w:hint="eastAsia" w:ascii="宋体" w:hAnsi="宋体"/>
          <w:b/>
          <w:color w:val="auto"/>
          <w:highlight w:val="none"/>
        </w:rPr>
        <w:t>提供的合同等证明材料应当是完整无删减、遮挡（盖）的原始文件的复印件，否则因提供的证明材料缺少评审所需的关键或必要的信息导致不予认可的风险和责任由供应商承担。</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19.4供应商应准确设置评审关联定位，避免未设置或设置错误导致响应文件被误读、漏读或者查找不到相关内容的。</w:t>
      </w:r>
    </w:p>
    <w:p>
      <w:pPr>
        <w:spacing w:line="360" w:lineRule="auto"/>
        <w:ind w:firstLine="422" w:firstLineChars="200"/>
        <w:rPr>
          <w:rFonts w:ascii="宋体" w:hAnsi="宋体"/>
          <w:b/>
          <w:color w:val="auto"/>
          <w:highlight w:val="none"/>
        </w:rPr>
      </w:pPr>
      <w:r>
        <w:rPr>
          <w:rFonts w:hint="eastAsia" w:ascii="宋体" w:hAnsi="宋体"/>
          <w:b/>
          <w:color w:val="auto"/>
          <w:highlight w:val="none"/>
        </w:rPr>
        <w:t>20.响应文件的份数、签署及盖章</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20.1响应文件的份数</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响应文件的具体数量要求详见《供应商须知前附表》。</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20.2响应文件的签署及盖章</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1）磋商文件要求签名的应当由供应商的法定代表人或经其正式授权的代表签字，因系统无法进行法定代表人或其授权代表签字操作的，可以线下签字扫描后上传至电子加密响应文件中。</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2）磋商文件明示或要求盖公章处应盖供应商公章，可使用电子公章在线签章或线下盖单位公章扫描后上传。</w:t>
      </w:r>
    </w:p>
    <w:p>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电子签章操作指南详见《政府采购项目电子交易管理操作指南-供应商》,</w:t>
      </w:r>
      <w:r>
        <w:rPr>
          <w:rFonts w:hint="eastAsia" w:ascii="宋体" w:hAnsi="宋体"/>
          <w:b/>
          <w:color w:val="auto"/>
          <w:highlight w:val="none"/>
        </w:rPr>
        <w:t>系统要求进行电子签章的，按系统要求签章。</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3）响应</w:t>
      </w:r>
      <w:r>
        <w:rPr>
          <w:rFonts w:ascii="宋体" w:hAnsi="宋体"/>
          <w:color w:val="auto"/>
          <w:highlight w:val="none"/>
        </w:rPr>
        <w:t>文件若有错</w:t>
      </w:r>
      <w:r>
        <w:rPr>
          <w:rFonts w:hint="eastAsia" w:ascii="宋体" w:hAnsi="宋体"/>
          <w:color w:val="auto"/>
          <w:highlight w:val="none"/>
        </w:rPr>
        <w:t>、</w:t>
      </w:r>
      <w:r>
        <w:rPr>
          <w:rFonts w:ascii="宋体" w:hAnsi="宋体"/>
          <w:color w:val="auto"/>
          <w:highlight w:val="none"/>
        </w:rPr>
        <w:t>漏处</w:t>
      </w:r>
      <w:r>
        <w:rPr>
          <w:rFonts w:hint="eastAsia" w:ascii="宋体" w:hAnsi="宋体"/>
          <w:color w:val="auto"/>
          <w:highlight w:val="none"/>
        </w:rPr>
        <w:t>等必须修改的，修改处必须</w:t>
      </w:r>
      <w:r>
        <w:rPr>
          <w:rFonts w:ascii="宋体" w:hAnsi="宋体"/>
          <w:color w:val="auto"/>
          <w:highlight w:val="none"/>
        </w:rPr>
        <w:t>加盖</w:t>
      </w:r>
      <w:r>
        <w:rPr>
          <w:rFonts w:hint="eastAsia" w:ascii="宋体" w:hAnsi="宋体"/>
          <w:color w:val="auto"/>
          <w:highlight w:val="none"/>
        </w:rPr>
        <w:t>供应商</w:t>
      </w:r>
      <w:r>
        <w:rPr>
          <w:rFonts w:ascii="宋体" w:hAnsi="宋体"/>
          <w:color w:val="auto"/>
          <w:highlight w:val="none"/>
        </w:rPr>
        <w:t>公章或者</w:t>
      </w:r>
      <w:r>
        <w:rPr>
          <w:rFonts w:hint="eastAsia" w:ascii="宋体" w:hAnsi="宋体"/>
          <w:color w:val="auto"/>
          <w:highlight w:val="none"/>
        </w:rPr>
        <w:t>由供应商的</w:t>
      </w:r>
      <w:r>
        <w:rPr>
          <w:rFonts w:ascii="宋体" w:hAnsi="宋体"/>
          <w:color w:val="auto"/>
          <w:highlight w:val="none"/>
        </w:rPr>
        <w:t>法定代表人</w:t>
      </w:r>
      <w:r>
        <w:rPr>
          <w:rFonts w:hint="eastAsia" w:ascii="宋体" w:hAnsi="宋体"/>
          <w:color w:val="auto"/>
          <w:highlight w:val="none"/>
        </w:rPr>
        <w:t>或其</w:t>
      </w:r>
      <w:r>
        <w:rPr>
          <w:rFonts w:ascii="宋体" w:hAnsi="宋体"/>
          <w:color w:val="auto"/>
          <w:highlight w:val="none"/>
        </w:rPr>
        <w:t>授权</w:t>
      </w:r>
      <w:r>
        <w:rPr>
          <w:rFonts w:hint="eastAsia" w:ascii="宋体" w:hAnsi="宋体"/>
          <w:color w:val="auto"/>
          <w:highlight w:val="none"/>
        </w:rPr>
        <w:t>代表</w:t>
      </w:r>
      <w:r>
        <w:rPr>
          <w:rFonts w:ascii="宋体" w:hAnsi="宋体"/>
          <w:color w:val="auto"/>
          <w:highlight w:val="none"/>
        </w:rPr>
        <w:t>签字</w:t>
      </w:r>
      <w:r>
        <w:rPr>
          <w:rFonts w:hint="eastAsia" w:ascii="宋体" w:hAnsi="宋体"/>
          <w:color w:val="auto"/>
          <w:highlight w:val="none"/>
        </w:rPr>
        <w:t>，</w:t>
      </w:r>
      <w:r>
        <w:rPr>
          <w:rFonts w:hint="eastAsia" w:ascii="宋体" w:hAnsi="宋体" w:cs="宋体"/>
          <w:color w:val="auto"/>
          <w:highlight w:val="none"/>
        </w:rPr>
        <w:t>否则磋商小组将不接受该修改内容</w:t>
      </w:r>
      <w:r>
        <w:rPr>
          <w:rFonts w:ascii="宋体" w:hAnsi="宋体"/>
          <w:color w:val="auto"/>
          <w:highlight w:val="none"/>
        </w:rPr>
        <w:t>。</w:t>
      </w:r>
    </w:p>
    <w:p>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1</w:t>
      </w:r>
      <w:r>
        <w:rPr>
          <w:rFonts w:ascii="宋体" w:hAnsi="宋体"/>
          <w:b/>
          <w:color w:val="auto"/>
          <w:highlight w:val="none"/>
        </w:rPr>
        <w:t>.报价要求</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21.1报价的组成：详见《供应商须知前附表》。</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21.2报价及结算货币为人民币，</w:t>
      </w:r>
      <w:r>
        <w:rPr>
          <w:rFonts w:ascii="宋体" w:hAnsi="宋体"/>
          <w:color w:val="auto"/>
          <w:highlight w:val="none"/>
        </w:rPr>
        <w:t>只允许有一个报价，</w:t>
      </w:r>
      <w:r>
        <w:rPr>
          <w:rFonts w:hint="eastAsia" w:ascii="宋体" w:hAnsi="宋体"/>
          <w:color w:val="auto"/>
          <w:highlight w:val="none"/>
        </w:rPr>
        <w:t>采购人不接受</w:t>
      </w:r>
      <w:r>
        <w:rPr>
          <w:rFonts w:ascii="宋体" w:hAnsi="宋体"/>
          <w:color w:val="auto"/>
          <w:highlight w:val="none"/>
        </w:rPr>
        <w:t>有选择的</w:t>
      </w:r>
      <w:r>
        <w:rPr>
          <w:rFonts w:hint="eastAsia" w:ascii="宋体" w:hAnsi="宋体"/>
          <w:color w:val="auto"/>
          <w:highlight w:val="none"/>
        </w:rPr>
        <w:t>或有附加条件的</w:t>
      </w:r>
      <w:r>
        <w:rPr>
          <w:rFonts w:ascii="宋体" w:hAnsi="宋体"/>
          <w:color w:val="auto"/>
          <w:highlight w:val="none"/>
        </w:rPr>
        <w:t>报价。</w:t>
      </w:r>
    </w:p>
    <w:p>
      <w:pPr>
        <w:snapToGrid w:val="0"/>
        <w:spacing w:line="360" w:lineRule="auto"/>
        <w:ind w:firstLine="422" w:firstLineChars="200"/>
        <w:jc w:val="left"/>
        <w:rPr>
          <w:rFonts w:ascii="宋体" w:hAnsi="宋体"/>
          <w:color w:val="auto"/>
          <w:highlight w:val="none"/>
        </w:rPr>
      </w:pPr>
      <w:r>
        <w:rPr>
          <w:rFonts w:hint="eastAsia" w:ascii="宋体" w:hAnsi="宋体"/>
          <w:b/>
          <w:color w:val="auto"/>
          <w:highlight w:val="none"/>
        </w:rPr>
        <w:t>21.3磋商报价不允许为0元（即赠送），磋商报价明细中不允许出现0元的单项报价，否则视同赠送，采购人不予接受，其磋商响应将被拒绝，按照响应无效处理。</w:t>
      </w:r>
    </w:p>
    <w:p>
      <w:pPr>
        <w:spacing w:line="360" w:lineRule="auto"/>
        <w:ind w:firstLine="422" w:firstLineChars="200"/>
        <w:rPr>
          <w:rFonts w:ascii="宋体" w:hAnsi="宋体"/>
          <w:b/>
          <w:color w:val="auto"/>
          <w:highlight w:val="none"/>
        </w:rPr>
      </w:pPr>
      <w:r>
        <w:rPr>
          <w:rFonts w:hint="eastAsia" w:ascii="宋体" w:hAnsi="宋体"/>
          <w:b/>
          <w:color w:val="auto"/>
          <w:highlight w:val="none"/>
        </w:rPr>
        <w:t>22.磋商保证金</w:t>
      </w:r>
    </w:p>
    <w:p>
      <w:pPr>
        <w:spacing w:line="360" w:lineRule="auto"/>
        <w:ind w:firstLine="420" w:firstLineChars="200"/>
        <w:rPr>
          <w:rFonts w:ascii="宋体" w:hAnsi="宋体"/>
          <w:color w:val="auto"/>
          <w:highlight w:val="none"/>
        </w:rPr>
      </w:pPr>
      <w:r>
        <w:rPr>
          <w:rFonts w:hint="eastAsia" w:ascii="宋体" w:hAnsi="宋体"/>
          <w:color w:val="auto"/>
          <w:highlight w:val="none"/>
        </w:rPr>
        <w:t>本项目不收取磋商保证金。</w:t>
      </w:r>
    </w:p>
    <w:p>
      <w:pPr>
        <w:spacing w:line="360" w:lineRule="auto"/>
        <w:ind w:firstLine="422" w:firstLineChars="200"/>
        <w:rPr>
          <w:rFonts w:ascii="宋体" w:hAnsi="宋体"/>
          <w:b/>
          <w:color w:val="auto"/>
          <w:highlight w:val="none"/>
        </w:rPr>
      </w:pPr>
      <w:r>
        <w:rPr>
          <w:rFonts w:hint="eastAsia" w:ascii="宋体" w:hAnsi="宋体"/>
          <w:b/>
          <w:color w:val="auto"/>
          <w:highlight w:val="none"/>
        </w:rPr>
        <w:t>23.响应有效期</w:t>
      </w:r>
    </w:p>
    <w:p>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1</w:t>
      </w:r>
      <w:r>
        <w:rPr>
          <w:rFonts w:hint="eastAsia"/>
          <w:color w:val="auto"/>
          <w:sz w:val="21"/>
          <w:szCs w:val="21"/>
          <w:highlight w:val="none"/>
        </w:rPr>
        <w:t>响应有效期：详见《供应商须知前附表》。</w:t>
      </w:r>
    </w:p>
    <w:p>
      <w:pPr>
        <w:spacing w:line="360" w:lineRule="auto"/>
        <w:ind w:firstLine="420"/>
        <w:rPr>
          <w:rFonts w:ascii="宋体" w:hAnsi="宋体" w:cs="宋体"/>
          <w:b/>
          <w:color w:val="auto"/>
          <w:kern w:val="0"/>
          <w:highlight w:val="none"/>
        </w:rPr>
      </w:pPr>
      <w:r>
        <w:rPr>
          <w:rFonts w:hint="eastAsia" w:ascii="宋体" w:hAnsi="宋体"/>
          <w:color w:val="auto"/>
          <w:highlight w:val="none"/>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四、响应文件的提交</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24.电子加密响应文件的提交</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供应商应当在响应截止时间前将电子加密响应文件上传至“政府采购云平台”，成功上传递交后，供应商可自行打印响应文件接收回执。</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25.备份响应文件的提交</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供应商在“政府采购云平台”完成电子加密响应文件的上传后，还可以在响应截止时间前提交U盘存储的备份响应文件，但不强制要求供应商提交备份响应文件。</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拒收未按要求密封、盖章及响应截止时间后提交的备份响应文件。</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26.备份响应文件的密封</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26.1备份响应文件的载体必须密封包装。密封包装的封口处应保证严密，不足以造成备份响应文件载体从包装内漏出而导致备份响应文件内容泄密的，不被认定为未密封。</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26.2多个标项的备份响应文件载体必须分别密封包装。</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27.备份响应文件密封包装的标注和盖章</w:t>
      </w:r>
    </w:p>
    <w:p>
      <w:pPr>
        <w:spacing w:line="360" w:lineRule="auto"/>
        <w:ind w:firstLine="420" w:firstLineChars="200"/>
        <w:jc w:val="left"/>
        <w:rPr>
          <w:rFonts w:ascii="宋体" w:hAnsi="宋体"/>
          <w:b/>
          <w:color w:val="auto"/>
          <w:highlight w:val="none"/>
        </w:rPr>
      </w:pPr>
      <w:r>
        <w:rPr>
          <w:rFonts w:hint="eastAsia" w:ascii="宋体" w:hAnsi="宋体"/>
          <w:color w:val="auto"/>
          <w:highlight w:val="none"/>
        </w:rPr>
        <w:t>备份响应文件的密封包装应当进行标注及盖章，具体要求详见《供应商须知前附表》。</w:t>
      </w:r>
    </w:p>
    <w:p>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28.响应文件提交的截止时间及地点</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28.1响应文件提交的截止时间及地点：详见《第一章  采购邀请》。</w:t>
      </w:r>
    </w:p>
    <w:p>
      <w:pPr>
        <w:spacing w:line="360" w:lineRule="auto"/>
        <w:ind w:firstLine="420" w:firstLineChars="200"/>
        <w:rPr>
          <w:rFonts w:ascii="宋体" w:hAnsi="宋体"/>
          <w:b/>
          <w:color w:val="auto"/>
          <w:highlight w:val="none"/>
        </w:rPr>
      </w:pPr>
      <w:r>
        <w:rPr>
          <w:rFonts w:hint="eastAsia" w:ascii="宋体" w:hAnsi="宋体"/>
          <w:color w:val="auto"/>
          <w:highlight w:val="none"/>
        </w:rPr>
        <w:t>28.2</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截止时间后送达的响应文件为无效文件，</w:t>
      </w:r>
      <w:r>
        <w:rPr>
          <w:rFonts w:hint="eastAsia" w:ascii="宋体" w:hAnsi="宋体" w:cs="Arial"/>
          <w:color w:val="auto"/>
          <w:highlight w:val="none"/>
        </w:rPr>
        <w:t>将被</w:t>
      </w:r>
      <w:r>
        <w:rPr>
          <w:rFonts w:ascii="宋体" w:hAnsi="宋体" w:cs="Arial"/>
          <w:color w:val="auto"/>
          <w:highlight w:val="none"/>
        </w:rPr>
        <w:t>拒收。</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28.3采购人或采购代理机构可以推迟响应文件提交的截止时间，在此情况下采购人或采购代理机构和供应商受响应文件提交的截止时间约束的所有权利和义务均应延长至新的截止时间。</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29.响应文件的修改和撤回</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29.1</w:t>
      </w:r>
      <w:r>
        <w:rPr>
          <w:rFonts w:ascii="宋体" w:hAnsi="宋体"/>
          <w:color w:val="auto"/>
          <w:highlight w:val="none"/>
        </w:rPr>
        <w:t>供应商在提交响应文件截止时间前，可以对所提交的响应文件进行补充、修改或者撤回，</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供应商在响应截止时间前递交了需要补充或修改的电子加密响应文件的备份响应文件，可以重新提交补充或修改后的备份响应文件。</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29.2响应</w:t>
      </w:r>
      <w:r>
        <w:rPr>
          <w:rFonts w:ascii="宋体" w:hAnsi="宋体"/>
          <w:color w:val="auto"/>
          <w:highlight w:val="none"/>
        </w:rPr>
        <w:t>截止时间后</w:t>
      </w:r>
      <w:r>
        <w:rPr>
          <w:rFonts w:hint="eastAsia" w:ascii="宋体" w:hAnsi="宋体"/>
          <w:color w:val="auto"/>
          <w:highlight w:val="none"/>
        </w:rPr>
        <w:t>，供应商</w:t>
      </w:r>
      <w:r>
        <w:rPr>
          <w:rFonts w:ascii="宋体" w:hAnsi="宋体"/>
          <w:color w:val="auto"/>
          <w:highlight w:val="none"/>
        </w:rPr>
        <w:t>提交</w:t>
      </w:r>
      <w:r>
        <w:rPr>
          <w:rFonts w:hint="eastAsia" w:ascii="宋体" w:hAnsi="宋体"/>
          <w:color w:val="auto"/>
          <w:highlight w:val="none"/>
        </w:rPr>
        <w:t>的</w:t>
      </w:r>
      <w:r>
        <w:rPr>
          <w:rFonts w:ascii="宋体" w:hAnsi="宋体"/>
          <w:color w:val="auto"/>
          <w:highlight w:val="none"/>
        </w:rPr>
        <w:t>响应文件</w:t>
      </w:r>
      <w:r>
        <w:rPr>
          <w:rFonts w:hint="eastAsia" w:ascii="宋体" w:hAnsi="宋体"/>
          <w:color w:val="auto"/>
          <w:highlight w:val="none"/>
        </w:rPr>
        <w:t>（包含备份响应文件载体）</w:t>
      </w:r>
      <w:r>
        <w:rPr>
          <w:rFonts w:ascii="宋体" w:hAnsi="宋体"/>
          <w:color w:val="auto"/>
          <w:highlight w:val="none"/>
        </w:rPr>
        <w:t>不予退还。</w:t>
      </w:r>
    </w:p>
    <w:p>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五、响应文件的开启和评审程序</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30.响应文件的开启</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30.1采购代理机构在磋商文件规定的开启时间和地点主持磋商会议。</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30.2主持人</w:t>
      </w:r>
      <w:r>
        <w:rPr>
          <w:rFonts w:ascii="宋体" w:hAnsi="宋体"/>
          <w:color w:val="auto"/>
          <w:highlight w:val="none"/>
        </w:rPr>
        <w:t>介绍参加</w:t>
      </w:r>
      <w:r>
        <w:rPr>
          <w:rFonts w:hint="eastAsia" w:ascii="宋体" w:hAnsi="宋体"/>
          <w:color w:val="auto"/>
          <w:highlight w:val="none"/>
        </w:rPr>
        <w:t>磋商</w:t>
      </w:r>
      <w:r>
        <w:rPr>
          <w:rFonts w:ascii="宋体" w:hAnsi="宋体"/>
          <w:color w:val="auto"/>
          <w:highlight w:val="none"/>
        </w:rPr>
        <w:t>的</w:t>
      </w:r>
      <w:r>
        <w:rPr>
          <w:rFonts w:hint="eastAsia" w:ascii="宋体" w:hAnsi="宋体"/>
          <w:color w:val="auto"/>
          <w:highlight w:val="none"/>
        </w:rPr>
        <w:t>采购人或采购代理机构相关工作</w:t>
      </w:r>
      <w:r>
        <w:rPr>
          <w:rFonts w:ascii="宋体" w:hAnsi="宋体"/>
          <w:color w:val="auto"/>
          <w:highlight w:val="none"/>
        </w:rPr>
        <w:t>人员</w:t>
      </w:r>
      <w:r>
        <w:rPr>
          <w:rFonts w:hint="eastAsia" w:ascii="宋体" w:hAnsi="宋体"/>
          <w:color w:val="auto"/>
          <w:highlight w:val="none"/>
        </w:rPr>
        <w:t>及供应商</w:t>
      </w:r>
      <w:r>
        <w:rPr>
          <w:rFonts w:ascii="宋体" w:hAnsi="宋体"/>
          <w:color w:val="auto"/>
          <w:highlight w:val="none"/>
        </w:rPr>
        <w:t>名单；</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30.3电子交易平台按响应文件开启时间自动提取所有电子加密响应文件。采购代理机构依托电子交易平台发起开始解密指令，供应商按照平台提示的时间内完成在线解密。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供应商如未在线参加磋商的，视同认可响应文件开启结果，事后不得提出异议。同时，供应商因未在线参加磋商而导致电子加密响应文件无法按时解密或解密失败等一切后果由供应商自行承担。</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cs="Arial"/>
          <w:color w:val="auto"/>
          <w:kern w:val="0"/>
          <w:highlight w:val="none"/>
        </w:rPr>
        <w:t>未按规定提交备份响应文件的</w:t>
      </w:r>
      <w:r>
        <w:rPr>
          <w:rFonts w:hint="eastAsia" w:ascii="宋体" w:hAnsi="宋体"/>
          <w:color w:val="auto"/>
          <w:highlight w:val="none"/>
        </w:rPr>
        <w:t>，</w:t>
      </w:r>
      <w:r>
        <w:rPr>
          <w:rFonts w:hint="eastAsia" w:ascii="宋体" w:hAnsi="宋体"/>
          <w:b/>
          <w:color w:val="auto"/>
          <w:highlight w:val="none"/>
        </w:rPr>
        <w:t>视为撤回响应文件</w:t>
      </w:r>
      <w:r>
        <w:rPr>
          <w:rFonts w:hint="eastAsia" w:ascii="宋体" w:hAnsi="宋体"/>
          <w:color w:val="auto"/>
          <w:highlight w:val="none"/>
        </w:rPr>
        <w:t>。</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电子加密响应文件已按时解密的，备份响应文件自动失效。</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30.5</w:t>
      </w:r>
      <w:r>
        <w:rPr>
          <w:rFonts w:ascii="宋体" w:hAnsi="宋体"/>
          <w:color w:val="auto"/>
          <w:highlight w:val="none"/>
        </w:rPr>
        <w:t>采购代理机构</w:t>
      </w:r>
      <w:r>
        <w:rPr>
          <w:rFonts w:hint="eastAsia" w:ascii="宋体" w:hAnsi="宋体"/>
          <w:color w:val="auto"/>
          <w:highlight w:val="none"/>
        </w:rPr>
        <w:t>工作人员</w:t>
      </w:r>
      <w:r>
        <w:rPr>
          <w:rFonts w:ascii="宋体" w:hAnsi="宋体"/>
          <w:color w:val="auto"/>
          <w:highlight w:val="none"/>
        </w:rPr>
        <w:t>负责记录</w:t>
      </w:r>
      <w:r>
        <w:rPr>
          <w:rFonts w:hint="eastAsia" w:ascii="宋体" w:hAnsi="宋体"/>
          <w:color w:val="auto"/>
          <w:highlight w:val="none"/>
        </w:rPr>
        <w:t>会议情况</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代表对</w:t>
      </w:r>
      <w:r>
        <w:rPr>
          <w:rFonts w:hint="eastAsia" w:ascii="宋体" w:hAnsi="宋体"/>
          <w:color w:val="auto"/>
          <w:highlight w:val="none"/>
        </w:rPr>
        <w:t>磋商</w:t>
      </w:r>
      <w:r>
        <w:rPr>
          <w:rFonts w:ascii="宋体" w:hAnsi="宋体"/>
          <w:color w:val="auto"/>
          <w:highlight w:val="none"/>
        </w:rPr>
        <w:t>有疑义，以及认为</w:t>
      </w:r>
      <w:r>
        <w:rPr>
          <w:rFonts w:hint="eastAsia" w:ascii="宋体" w:hAnsi="宋体"/>
          <w:color w:val="auto"/>
          <w:highlight w:val="none"/>
        </w:rPr>
        <w:t>采购人或采购代理机构</w:t>
      </w:r>
      <w:r>
        <w:rPr>
          <w:rFonts w:ascii="宋体" w:hAnsi="宋体"/>
          <w:color w:val="auto"/>
          <w:highlight w:val="none"/>
        </w:rPr>
        <w:t>相关工作人员有需要回避的情形的，应当场提出询问或者回避申请。</w:t>
      </w:r>
    </w:p>
    <w:p>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31</w:t>
      </w:r>
      <w:r>
        <w:rPr>
          <w:rFonts w:hint="eastAsia" w:ascii="宋体" w:hAnsi="宋体"/>
          <w:b/>
          <w:color w:val="auto"/>
          <w:highlight w:val="none"/>
        </w:rPr>
        <w:t>.评审程序</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31.1采购代理机构负责组织评审工作,磋商小组负责具体评审事务。</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31.2磋商小组由采购人代表和评审专家共3人以上单数组成。磋商小组应当遵守评审工作纪律，不得泄露评审情况和评审中获悉的商业秘密。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磋商小组成员名单在成交结果公告前应当保密。磋商小组成员与供应商有下列利害关系之一的，应当回避：</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1）参加采购活动前3年内与供应商存在劳动关系；</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2）参加采购活动前3年内担任供应商的董事、监事；</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3）参加采购活动前3年内是供应商的控股股东或者实际控制人；</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5）与供应商有其他可能影响政府采购活动公平、公正进行的关系。</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31.3磋商小组在对响应文件的有效性、完整性和响应程度进行审查。</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给予供应商提交澄清、说明或补正的时间不少于30分钟，供应商已经明确表示澄清说明或补正完毕的除外。</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31.4供应商存在下列情况之一的，按照无效响应处理: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1）响应文件未按磋商文件要求签署、盖章的；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2）不具备磋商文件规定的资格要求或响应文件内未提供符合要求的资格要求证明材料的；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3）未对磋商文件的实质性条款作出响应的；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4）报价超过磋商文件规定的</w:t>
      </w:r>
      <w:r>
        <w:rPr>
          <w:rFonts w:hint="eastAsia" w:ascii="宋体" w:hAnsi="宋体" w:cs="宋体"/>
          <w:bCs/>
          <w:color w:val="auto"/>
          <w:highlight w:val="none"/>
        </w:rPr>
        <w:t>各线路每人</w:t>
      </w:r>
      <w:r>
        <w:rPr>
          <w:rFonts w:hint="eastAsia" w:ascii="宋体" w:hAnsi="宋体" w:cs="宋体"/>
          <w:bCs/>
          <w:color w:val="auto"/>
          <w:kern w:val="0"/>
          <w:highlight w:val="none"/>
        </w:rPr>
        <w:t>最高限价</w:t>
      </w:r>
      <w:r>
        <w:rPr>
          <w:rFonts w:hint="eastAsia" w:ascii="宋体" w:hAnsi="宋体"/>
          <w:color w:val="auto"/>
          <w:highlight w:val="none"/>
        </w:rPr>
        <w:t>；</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5）响应文件含有采购人不能接受的附加条件的；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6）响应文件中含有虚假材料的；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7）符合法律、法规和磋商文件规定的其他无效响应情形的。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31.5磋商小组所有成员集中与单一供应商进行磋商，并给予所有参加磋商的供应商平等的磋商机会。</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31.6在磋商过程中，磋商小组可以根据磋商文件和磋商情况实质性变动采购需求中的技术、服务要求以及合同草案条款。</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对磋商文件作出的实质性变动是磋商文件的有效组成部分，磋商小组应当及时以书面形式（政采云系统询标函）同时通知所有参加磋商的供应商。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31.7磋商文件能够详细列明采购标的的技术、服务要求的，磋商结束后，磋商小组应当要求所有实质性响应的供应商在规定时间内提交最后报价。</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已提交响应文件的供应商，在提交最后报价之前，可以根据磋商情况退出磋商。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31.8经磋商确定最终采购需求和提交最后报价的供应商后，由磋商小组采用综合评分法对提交最后报价的供应商的响应文件和最后报价进行综合评分，评分的设置详见《第四章  评审方法、评审标准》。</w:t>
      </w:r>
    </w:p>
    <w:p>
      <w:pPr>
        <w:snapToGrid w:val="0"/>
        <w:spacing w:line="360" w:lineRule="auto"/>
        <w:ind w:firstLine="420" w:firstLineChars="200"/>
        <w:jc w:val="left"/>
        <w:rPr>
          <w:rFonts w:ascii="宋体" w:hAnsi="宋体"/>
          <w:bCs/>
          <w:color w:val="auto"/>
          <w:highlight w:val="none"/>
        </w:rPr>
      </w:pPr>
      <w:r>
        <w:rPr>
          <w:rFonts w:hint="eastAsia" w:ascii="宋体" w:hAnsi="宋体"/>
          <w:bCs/>
          <w:color w:val="auto"/>
          <w:highlight w:val="none"/>
        </w:rPr>
        <w:t>31.9磋商小组应当根据综合评分情况，按照评审得分由高到低顺序推荐3名以上成交候选供应商，并编写评审报告。评审得分相同的，按照最后报价由低到高的顺序推荐</w:t>
      </w:r>
      <w:r>
        <w:rPr>
          <w:rFonts w:hint="eastAsia" w:ascii="宋体" w:hAnsi="宋体" w:cs="宋体"/>
          <w:bCs/>
          <w:color w:val="auto"/>
          <w:highlight w:val="none"/>
        </w:rPr>
        <w:t>。</w:t>
      </w:r>
      <w:r>
        <w:rPr>
          <w:rFonts w:ascii="宋体" w:hAnsi="宋体" w:cs="Arial"/>
          <w:color w:val="auto"/>
          <w:highlight w:val="none"/>
          <w:shd w:val="clear" w:color="auto" w:fill="FFFFFF"/>
        </w:rPr>
        <w:t>评审得分且最后报价相同的，</w:t>
      </w:r>
      <w:r>
        <w:rPr>
          <w:rFonts w:ascii="宋体" w:hAnsi="宋体" w:cs="Arial"/>
          <w:b/>
          <w:color w:val="auto"/>
          <w:highlight w:val="none"/>
          <w:shd w:val="clear" w:color="auto" w:fill="FFFFFF"/>
        </w:rPr>
        <w:t>按照技术指标优劣顺序推荐。</w:t>
      </w:r>
      <w:r>
        <w:rPr>
          <w:rFonts w:hint="eastAsia" w:ascii="宋体" w:hAnsi="宋体"/>
          <w:bCs/>
          <w:color w:val="auto"/>
          <w:highlight w:val="none"/>
        </w:rPr>
        <w:t>全部一致的按照随机抽取的方式确定排序，抽取顺序按照递交文件先后进行。前述参与评议的最后报价因落实政府采购政策进行价格调整的，以调整后的价格为依据。</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6"/>
        <w:snapToGrid w:val="0"/>
        <w:spacing w:before="0" w:beforeAutospacing="0" w:after="0" w:afterAutospacing="0" w:line="360" w:lineRule="auto"/>
        <w:ind w:firstLine="422" w:firstLineChars="200"/>
        <w:rPr>
          <w:b/>
          <w:color w:val="auto"/>
          <w:sz w:val="21"/>
          <w:szCs w:val="21"/>
          <w:highlight w:val="none"/>
        </w:rPr>
      </w:pPr>
      <w:r>
        <w:rPr>
          <w:b/>
          <w:color w:val="auto"/>
          <w:sz w:val="21"/>
          <w:szCs w:val="21"/>
          <w:highlight w:val="none"/>
        </w:rPr>
        <w:t>3</w:t>
      </w:r>
      <w:r>
        <w:rPr>
          <w:rFonts w:hint="eastAsia"/>
          <w:b/>
          <w:color w:val="auto"/>
          <w:sz w:val="21"/>
          <w:szCs w:val="21"/>
          <w:highlight w:val="none"/>
        </w:rPr>
        <w:t>2.采购终止的情形</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出现下列情形之一的，采购人或者采购代理机构应当终止竞争性磋商采购活动，发布项目终止公告并说明原因，重新开展采购活动：</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33.中止电子交易活动的情形</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采购过程中出现以下情形，导致电子交易平台无法正常运行，或者无法保证电子交易的公平、公正和安全时，可中止电子交易活动：</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1）电子交易平台发生故障而无法登录访问的；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2）电子交易平台应用或数据库出现错误，不能进行正常操作的；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3）电子交易平台发现严重安全漏洞，有潜在泄密危险的；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4）病毒发作导致不能进行正常操作的；</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5）其他无法保证电子交易的公平、公正和安全的情况。</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六、授予合同</w:t>
      </w:r>
    </w:p>
    <w:p>
      <w:pPr>
        <w:spacing w:line="360" w:lineRule="auto"/>
        <w:ind w:firstLine="422" w:firstLineChars="200"/>
        <w:rPr>
          <w:rFonts w:ascii="宋体" w:hAnsi="宋体"/>
          <w:b/>
          <w:color w:val="auto"/>
          <w:highlight w:val="none"/>
        </w:rPr>
      </w:pPr>
      <w:r>
        <w:rPr>
          <w:rFonts w:hint="eastAsia" w:ascii="宋体" w:hAnsi="宋体"/>
          <w:b/>
          <w:color w:val="auto"/>
          <w:highlight w:val="none"/>
        </w:rPr>
        <w:t>34.成交供应商的确定</w:t>
      </w:r>
    </w:p>
    <w:p>
      <w:pPr>
        <w:spacing w:line="360" w:lineRule="auto"/>
        <w:ind w:firstLine="420" w:firstLineChars="200"/>
        <w:rPr>
          <w:rFonts w:ascii="宋体" w:hAnsi="宋体"/>
          <w:color w:val="auto"/>
          <w:highlight w:val="none"/>
        </w:rPr>
      </w:pPr>
      <w:r>
        <w:rPr>
          <w:rFonts w:hint="eastAsia" w:ascii="宋体" w:hAnsi="宋体"/>
          <w:color w:val="auto"/>
          <w:highlight w:val="none"/>
        </w:rPr>
        <w:t>34.1采购人应当从评审报告提出的成交候选供应商中，按照排序由高到低的原则确定成交供应商。采购人逾期未确定成交供应商且不提出异议的，视为确定评审报告提出的排序</w:t>
      </w:r>
      <w:r>
        <w:rPr>
          <w:rFonts w:hint="eastAsia" w:ascii="宋体" w:hAnsi="宋体"/>
          <w:color w:val="auto"/>
          <w:highlight w:val="none"/>
          <w:lang w:val="en-US" w:eastAsia="zh-CN"/>
        </w:rPr>
        <w:t>第一</w:t>
      </w:r>
      <w:r>
        <w:rPr>
          <w:rFonts w:hint="eastAsia" w:ascii="宋体" w:hAnsi="宋体"/>
          <w:color w:val="auto"/>
          <w:highlight w:val="none"/>
        </w:rPr>
        <w:t>的供应商为成交供应商。</w:t>
      </w:r>
    </w:p>
    <w:p>
      <w:pPr>
        <w:spacing w:line="360" w:lineRule="auto"/>
        <w:ind w:firstLine="420" w:firstLineChars="200"/>
        <w:rPr>
          <w:rFonts w:ascii="宋体" w:hAnsi="宋体"/>
          <w:color w:val="auto"/>
          <w:highlight w:val="none"/>
        </w:rPr>
      </w:pPr>
      <w:r>
        <w:rPr>
          <w:rFonts w:hint="eastAsia" w:ascii="宋体" w:hAnsi="宋体"/>
          <w:color w:val="auto"/>
          <w:highlight w:val="none"/>
        </w:rPr>
        <w:t>34.2成交供应商确定后2个工作日内，采购代理机构在省级以上财政部门指定的政府采购信息发布媒体上公告成交结果，同时向成交供应商发出成交通知书。</w:t>
      </w:r>
    </w:p>
    <w:p>
      <w:pPr>
        <w:spacing w:line="360" w:lineRule="auto"/>
        <w:ind w:firstLine="422" w:firstLineChars="200"/>
        <w:rPr>
          <w:rFonts w:ascii="宋体" w:hAnsi="宋体"/>
          <w:b/>
          <w:color w:val="auto"/>
          <w:highlight w:val="none"/>
        </w:rPr>
      </w:pPr>
      <w:r>
        <w:rPr>
          <w:rFonts w:hint="eastAsia" w:ascii="宋体" w:hAnsi="宋体"/>
          <w:b/>
          <w:color w:val="auto"/>
          <w:highlight w:val="none"/>
        </w:rPr>
        <w:t>35.签订合同</w:t>
      </w:r>
    </w:p>
    <w:p>
      <w:pPr>
        <w:spacing w:line="360" w:lineRule="auto"/>
        <w:ind w:firstLine="420" w:firstLineChars="200"/>
        <w:rPr>
          <w:rFonts w:ascii="宋体" w:hAnsi="宋体"/>
          <w:color w:val="auto"/>
          <w:highlight w:val="none"/>
        </w:rPr>
      </w:pPr>
      <w:r>
        <w:rPr>
          <w:rFonts w:hint="eastAsia" w:ascii="宋体" w:hAnsi="宋体"/>
          <w:color w:val="auto"/>
          <w:highlight w:val="none"/>
        </w:rPr>
        <w:t>35.1采购人与成交供应商应当按照磋商文件确定的合同文本以及采购标的、规格型号、采购金额、采购数量、技术和服务要求等事项签订政府采购合同。</w:t>
      </w:r>
    </w:p>
    <w:p>
      <w:pPr>
        <w:spacing w:line="360" w:lineRule="auto"/>
        <w:ind w:firstLine="420" w:firstLineChars="200"/>
        <w:rPr>
          <w:rFonts w:ascii="宋体" w:hAnsi="宋体"/>
          <w:color w:val="auto"/>
          <w:highlight w:val="none"/>
        </w:rPr>
      </w:pPr>
      <w:r>
        <w:rPr>
          <w:rFonts w:hint="eastAsia" w:ascii="宋体" w:hAnsi="宋体"/>
          <w:color w:val="auto"/>
          <w:highlight w:val="none"/>
        </w:rPr>
        <w:t>35.2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afterLines="50" w:line="480" w:lineRule="exact"/>
        <w:jc w:val="center"/>
        <w:outlineLvl w:val="0"/>
        <w:rPr>
          <w:rFonts w:ascii="宋体" w:hAnsi="宋体" w:cs="宋体"/>
          <w:b/>
          <w:bCs/>
          <w:color w:val="auto"/>
          <w:sz w:val="24"/>
          <w:szCs w:val="30"/>
          <w:highlight w:val="none"/>
        </w:rPr>
      </w:pPr>
      <w:r>
        <w:rPr>
          <w:rFonts w:ascii="宋体" w:hAnsi="宋体" w:cs="宋体"/>
          <w:b/>
          <w:bCs/>
          <w:color w:val="auto"/>
          <w:sz w:val="30"/>
          <w:szCs w:val="30"/>
          <w:highlight w:val="none"/>
        </w:rPr>
        <w:br w:type="page"/>
      </w:r>
      <w:bookmarkStart w:id="51" w:name="_Toc35945300"/>
      <w:bookmarkStart w:id="52" w:name="_Toc35945327"/>
      <w:bookmarkStart w:id="53" w:name="_Toc35945394"/>
      <w:r>
        <w:rPr>
          <w:rFonts w:hint="eastAsia" w:ascii="宋体" w:hAnsi="宋体" w:cs="宋体"/>
          <w:b/>
          <w:bCs/>
          <w:color w:val="auto"/>
          <w:sz w:val="24"/>
          <w:szCs w:val="30"/>
          <w:highlight w:val="none"/>
        </w:rPr>
        <w:t>第四章  评审方法、评审标准</w:t>
      </w:r>
      <w:bookmarkEnd w:id="51"/>
      <w:bookmarkEnd w:id="52"/>
      <w:bookmarkEnd w:id="53"/>
    </w:p>
    <w:p>
      <w:pPr>
        <w:spacing w:line="360" w:lineRule="auto"/>
        <w:ind w:firstLine="422" w:firstLineChars="200"/>
        <w:rPr>
          <w:rFonts w:ascii="宋体" w:hAnsi="宋体"/>
          <w:b/>
          <w:color w:val="auto"/>
          <w:highlight w:val="none"/>
        </w:rPr>
      </w:pPr>
      <w:r>
        <w:rPr>
          <w:rFonts w:hint="eastAsia" w:ascii="宋体" w:hAnsi="宋体"/>
          <w:b/>
          <w:color w:val="auto"/>
          <w:highlight w:val="none"/>
        </w:rPr>
        <w:t>一、总则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磋商小组成员按照客观、公正、审慎的原则，根据磋商文件规定的评审程序、评审方法和评审标准进行独立评审。未实质性响应磋商文件的响应文件按无效响应处理，磋商小组应当告知提交响应文件的供应商。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b/>
          <w:color w:val="auto"/>
          <w:highlight w:val="none"/>
        </w:rPr>
      </w:pPr>
      <w:r>
        <w:rPr>
          <w:rFonts w:hint="eastAsia" w:ascii="宋体" w:hAnsi="宋体"/>
          <w:b/>
          <w:color w:val="auto"/>
          <w:highlight w:val="none"/>
        </w:rPr>
        <w:t>二、评审方法</w:t>
      </w:r>
    </w:p>
    <w:p>
      <w:pPr>
        <w:spacing w:line="360" w:lineRule="auto"/>
        <w:ind w:firstLine="422" w:firstLineChars="200"/>
        <w:rPr>
          <w:rFonts w:ascii="宋体" w:hAnsi="宋体"/>
          <w:b/>
          <w:color w:val="auto"/>
          <w:highlight w:val="none"/>
        </w:rPr>
      </w:pPr>
      <w:r>
        <w:rPr>
          <w:rFonts w:hint="eastAsia" w:ascii="宋体" w:hAnsi="宋体"/>
          <w:b/>
          <w:color w:val="auto"/>
          <w:highlight w:val="none"/>
        </w:rPr>
        <w:t>1.本项目采用综合评分法。</w:t>
      </w:r>
    </w:p>
    <w:p>
      <w:pPr>
        <w:spacing w:line="360" w:lineRule="auto"/>
        <w:ind w:firstLine="420" w:firstLineChars="200"/>
        <w:rPr>
          <w:rFonts w:ascii="宋体" w:hAnsi="宋体"/>
          <w:color w:val="auto"/>
          <w:highlight w:val="none"/>
        </w:rPr>
      </w:pPr>
      <w:r>
        <w:rPr>
          <w:rFonts w:hint="eastAsia" w:ascii="宋体" w:hAnsi="宋体"/>
          <w:color w:val="auto"/>
          <w:highlight w:val="none"/>
        </w:rPr>
        <w:t>1.1评审时，磋商小组各成员应当独立对每个有效响应的文件进行评价、打分，然后汇总每个供应商每项评分因素的得分。</w:t>
      </w:r>
    </w:p>
    <w:p>
      <w:pPr>
        <w:spacing w:line="360" w:lineRule="auto"/>
        <w:ind w:firstLine="420" w:firstLineChars="200"/>
        <w:rPr>
          <w:rFonts w:ascii="宋体" w:hAnsi="宋体"/>
          <w:color w:val="auto"/>
          <w:highlight w:val="none"/>
        </w:rPr>
      </w:pPr>
      <w:r>
        <w:rPr>
          <w:rFonts w:hint="eastAsia" w:ascii="宋体" w:hAnsi="宋体"/>
          <w:color w:val="auto"/>
          <w:highlight w:val="none"/>
        </w:rPr>
        <w:t>1.2评分均为小数点后四舍五入保留二位小数。</w:t>
      </w:r>
    </w:p>
    <w:p>
      <w:pPr>
        <w:spacing w:line="360" w:lineRule="auto"/>
        <w:ind w:firstLine="420" w:firstLineChars="200"/>
        <w:rPr>
          <w:rFonts w:ascii="宋体" w:hAnsi="宋体"/>
          <w:color w:val="auto"/>
          <w:highlight w:val="none"/>
        </w:rPr>
      </w:pPr>
      <w:r>
        <w:rPr>
          <w:rFonts w:hint="eastAsia" w:ascii="宋体" w:hAnsi="宋体"/>
          <w:color w:val="auto"/>
          <w:highlight w:val="none"/>
        </w:rPr>
        <w:t>1.3评委打分表中分值重复的上限不含本数,下限含本数。</w:t>
      </w:r>
    </w:p>
    <w:p>
      <w:pPr>
        <w:spacing w:line="360" w:lineRule="auto"/>
        <w:ind w:firstLine="420" w:firstLineChars="200"/>
        <w:rPr>
          <w:rFonts w:ascii="宋体" w:hAnsi="宋体"/>
          <w:color w:val="auto"/>
          <w:highlight w:val="none"/>
        </w:rPr>
      </w:pPr>
      <w:r>
        <w:rPr>
          <w:rFonts w:hint="eastAsia" w:ascii="宋体" w:hAnsi="宋体"/>
          <w:color w:val="auto"/>
          <w:highlight w:val="none"/>
        </w:rPr>
        <w:t>1.4供应商</w:t>
      </w:r>
      <w:r>
        <w:rPr>
          <w:rFonts w:ascii="宋体" w:hAnsi="宋体"/>
          <w:color w:val="auto"/>
          <w:highlight w:val="none"/>
        </w:rPr>
        <w:t>的</w:t>
      </w:r>
      <w:r>
        <w:rPr>
          <w:rFonts w:hint="eastAsia" w:ascii="宋体" w:hAnsi="宋体"/>
          <w:color w:val="auto"/>
          <w:highlight w:val="none"/>
        </w:rPr>
        <w:t>评审</w:t>
      </w:r>
      <w:r>
        <w:rPr>
          <w:rFonts w:ascii="宋体" w:hAnsi="宋体"/>
          <w:color w:val="auto"/>
          <w:highlight w:val="none"/>
        </w:rPr>
        <w:t>得分为</w:t>
      </w:r>
      <w:r>
        <w:rPr>
          <w:rFonts w:hint="eastAsia" w:ascii="宋体" w:hAnsi="宋体"/>
          <w:color w:val="auto"/>
          <w:highlight w:val="none"/>
        </w:rPr>
        <w:t>磋商小组成员评</w:t>
      </w:r>
      <w:r>
        <w:rPr>
          <w:rFonts w:ascii="宋体" w:hAnsi="宋体"/>
          <w:color w:val="auto"/>
          <w:highlight w:val="none"/>
        </w:rPr>
        <w:t>分的算术平均数</w:t>
      </w:r>
      <w:r>
        <w:rPr>
          <w:rFonts w:hint="eastAsia" w:ascii="宋体" w:hAnsi="宋体"/>
          <w:color w:val="auto"/>
          <w:highlight w:val="none"/>
        </w:rPr>
        <w:t>，小数点后四舍五入保留二位小数。</w:t>
      </w:r>
    </w:p>
    <w:p>
      <w:pPr>
        <w:spacing w:line="360" w:lineRule="auto"/>
        <w:ind w:firstLine="422" w:firstLineChars="200"/>
        <w:rPr>
          <w:rFonts w:ascii="宋体" w:hAnsi="宋体"/>
          <w:b/>
          <w:color w:val="auto"/>
          <w:highlight w:val="none"/>
        </w:rPr>
      </w:pPr>
      <w:r>
        <w:rPr>
          <w:rFonts w:hint="eastAsia" w:ascii="宋体" w:hAnsi="宋体"/>
          <w:b/>
          <w:color w:val="auto"/>
          <w:highlight w:val="none"/>
        </w:rPr>
        <w:t>2.报价修正</w:t>
      </w:r>
    </w:p>
    <w:p>
      <w:pPr>
        <w:spacing w:line="360" w:lineRule="auto"/>
        <w:ind w:firstLine="420" w:firstLineChars="200"/>
        <w:rPr>
          <w:rFonts w:ascii="宋体" w:hAnsi="宋体"/>
          <w:color w:val="auto"/>
          <w:highlight w:val="none"/>
        </w:rPr>
      </w:pPr>
      <w:r>
        <w:rPr>
          <w:rFonts w:hint="eastAsia" w:ascii="宋体" w:hAnsi="宋体"/>
          <w:color w:val="auto"/>
          <w:highlight w:val="none"/>
        </w:rPr>
        <w:t>响应文件报价出现前后不一致的，按照下列规定修正：</w:t>
      </w:r>
    </w:p>
    <w:p>
      <w:pPr>
        <w:spacing w:line="360" w:lineRule="auto"/>
        <w:ind w:firstLine="420" w:firstLineChars="200"/>
        <w:rPr>
          <w:rFonts w:ascii="宋体" w:hAnsi="宋体"/>
          <w:color w:val="auto"/>
          <w:highlight w:val="none"/>
        </w:rPr>
      </w:pPr>
      <w:r>
        <w:rPr>
          <w:rFonts w:hint="eastAsia" w:ascii="宋体" w:hAnsi="宋体"/>
          <w:color w:val="auto"/>
          <w:highlight w:val="none"/>
        </w:rPr>
        <w:t>2.1响应文件中报价表内容与响应文件中相应内容不一致的，以报价表为准；</w:t>
      </w:r>
    </w:p>
    <w:p>
      <w:pPr>
        <w:spacing w:line="360" w:lineRule="auto"/>
        <w:ind w:firstLine="420" w:firstLineChars="200"/>
        <w:rPr>
          <w:rFonts w:ascii="宋体" w:hAnsi="宋体"/>
          <w:color w:val="auto"/>
          <w:highlight w:val="none"/>
        </w:rPr>
      </w:pPr>
      <w:r>
        <w:rPr>
          <w:rFonts w:hint="eastAsia" w:ascii="宋体" w:hAnsi="宋体"/>
          <w:color w:val="auto"/>
          <w:highlight w:val="none"/>
        </w:rPr>
        <w:t>2.2大写金额和小写金额不一致的，以大写金额为准；</w:t>
      </w:r>
    </w:p>
    <w:p>
      <w:pPr>
        <w:spacing w:line="360" w:lineRule="auto"/>
        <w:ind w:firstLine="420" w:firstLineChars="200"/>
        <w:rPr>
          <w:rFonts w:ascii="宋体" w:hAnsi="宋体"/>
          <w:color w:val="auto"/>
          <w:highlight w:val="none"/>
        </w:rPr>
      </w:pPr>
      <w:r>
        <w:rPr>
          <w:rFonts w:hint="eastAsia" w:ascii="宋体" w:hAnsi="宋体"/>
          <w:color w:val="auto"/>
          <w:highlight w:val="none"/>
        </w:rPr>
        <w:t>2.3单价金额小数点或者百分比有明显错位的，以报价表的总价为准，并修改单价；</w:t>
      </w:r>
    </w:p>
    <w:p>
      <w:pPr>
        <w:spacing w:line="360" w:lineRule="auto"/>
        <w:ind w:firstLine="420" w:firstLineChars="200"/>
        <w:rPr>
          <w:rFonts w:ascii="宋体" w:hAnsi="宋体"/>
          <w:color w:val="auto"/>
          <w:highlight w:val="none"/>
        </w:rPr>
      </w:pPr>
      <w:r>
        <w:rPr>
          <w:rFonts w:hint="eastAsia" w:ascii="宋体" w:hAnsi="宋体"/>
          <w:color w:val="auto"/>
          <w:highlight w:val="none"/>
        </w:rPr>
        <w:t>2.4总价金额与按单价汇总金额不一致的，以单价金额计算结果为准。</w:t>
      </w:r>
    </w:p>
    <w:p>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前款规定的顺序修正。修正后的报价由供应商确认，采用书面形式，并加盖公章，或者由法定代表人或其授权代表签字。经供应商确认后产生约束力，供应商不确认的，其响应无效。</w:t>
      </w:r>
    </w:p>
    <w:p>
      <w:pPr>
        <w:spacing w:line="360" w:lineRule="auto"/>
        <w:ind w:firstLine="420" w:firstLineChars="200"/>
        <w:rPr>
          <w:rFonts w:ascii="宋体" w:hAnsi="宋体"/>
          <w:color w:val="auto"/>
          <w:highlight w:val="none"/>
        </w:rPr>
      </w:pPr>
      <w:r>
        <w:rPr>
          <w:rFonts w:hint="eastAsia" w:ascii="宋体" w:hAnsi="宋体"/>
          <w:color w:val="auto"/>
          <w:highlight w:val="none"/>
        </w:rPr>
        <w:t>磋商小组</w:t>
      </w:r>
      <w:r>
        <w:rPr>
          <w:rFonts w:ascii="宋体" w:hAnsi="宋体"/>
          <w:color w:val="auto"/>
          <w:highlight w:val="none"/>
        </w:rPr>
        <w:t>认为</w:t>
      </w:r>
      <w:r>
        <w:rPr>
          <w:rFonts w:hint="eastAsia" w:ascii="宋体" w:hAnsi="宋体"/>
          <w:color w:val="auto"/>
          <w:highlight w:val="none"/>
        </w:rPr>
        <w:t>供应商</w:t>
      </w:r>
      <w:r>
        <w:rPr>
          <w:rFonts w:ascii="宋体" w:hAnsi="宋体"/>
          <w:color w:val="auto"/>
          <w:highlight w:val="none"/>
        </w:rPr>
        <w:t>的报价明显低于其他通过符合性审查</w:t>
      </w:r>
      <w:r>
        <w:rPr>
          <w:rFonts w:hint="eastAsia" w:ascii="宋体" w:hAnsi="宋体"/>
          <w:color w:val="auto"/>
          <w:highlight w:val="none"/>
        </w:rPr>
        <w:t>供应商</w:t>
      </w:r>
      <w:r>
        <w:rPr>
          <w:rFonts w:ascii="宋体" w:hAnsi="宋体"/>
          <w:color w:val="auto"/>
          <w:highlight w:val="none"/>
        </w:rPr>
        <w:t>的报价，有可能影响产品</w:t>
      </w:r>
      <w:r>
        <w:rPr>
          <w:rFonts w:hint="eastAsia" w:ascii="宋体" w:hAnsi="宋体"/>
          <w:color w:val="auto"/>
          <w:highlight w:val="none"/>
        </w:rPr>
        <w:t>（服务）</w:t>
      </w:r>
      <w:r>
        <w:rPr>
          <w:rFonts w:ascii="宋体" w:hAnsi="宋体"/>
          <w:color w:val="auto"/>
          <w:highlight w:val="none"/>
        </w:rPr>
        <w:t>质量或者不能诚信履约的，应当要求其在评</w:t>
      </w:r>
      <w:r>
        <w:rPr>
          <w:rFonts w:hint="eastAsia" w:ascii="宋体" w:hAnsi="宋体"/>
          <w:color w:val="auto"/>
          <w:highlight w:val="none"/>
        </w:rPr>
        <w:t>审</w:t>
      </w:r>
      <w:r>
        <w:rPr>
          <w:rFonts w:ascii="宋体" w:hAnsi="宋体"/>
          <w:color w:val="auto"/>
          <w:highlight w:val="none"/>
        </w:rPr>
        <w:t>现场合理的时间内提供书面说明，必要时提交相关证明材料；</w:t>
      </w:r>
      <w:r>
        <w:rPr>
          <w:rFonts w:hint="eastAsia" w:ascii="宋体" w:hAnsi="宋体"/>
          <w:color w:val="auto"/>
          <w:highlight w:val="none"/>
        </w:rPr>
        <w:t>供应商</w:t>
      </w:r>
      <w:r>
        <w:rPr>
          <w:rFonts w:ascii="宋体" w:hAnsi="宋体"/>
          <w:color w:val="auto"/>
          <w:highlight w:val="none"/>
        </w:rPr>
        <w:t>不能证明其报价合理性的，</w:t>
      </w:r>
      <w:r>
        <w:rPr>
          <w:rFonts w:hint="eastAsia" w:ascii="宋体" w:hAnsi="宋体"/>
          <w:color w:val="auto"/>
          <w:highlight w:val="none"/>
        </w:rPr>
        <w:t>磋商小组</w:t>
      </w:r>
      <w:r>
        <w:rPr>
          <w:rFonts w:ascii="宋体" w:hAnsi="宋体"/>
          <w:color w:val="auto"/>
          <w:highlight w:val="none"/>
        </w:rPr>
        <w:t>应当将其作为无效</w:t>
      </w:r>
      <w:r>
        <w:rPr>
          <w:rFonts w:hint="eastAsia" w:ascii="宋体" w:hAnsi="宋体"/>
          <w:color w:val="auto"/>
          <w:highlight w:val="none"/>
        </w:rPr>
        <w:t>响应</w:t>
      </w:r>
      <w:r>
        <w:rPr>
          <w:rFonts w:ascii="宋体" w:hAnsi="宋体"/>
          <w:color w:val="auto"/>
          <w:highlight w:val="none"/>
        </w:rPr>
        <w:t>处理。</w:t>
      </w:r>
    </w:p>
    <w:p>
      <w:pPr>
        <w:pStyle w:val="21"/>
        <w:snapToGrid w:val="0"/>
        <w:spacing w:line="360" w:lineRule="auto"/>
        <w:ind w:firstLine="413" w:firstLineChars="196"/>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三、评审标准（</w:t>
      </w:r>
      <w:r>
        <w:rPr>
          <w:rFonts w:hint="eastAsia" w:ascii="宋体" w:hAnsi="宋体" w:eastAsia="宋体"/>
          <w:b/>
          <w:color w:val="auto"/>
          <w:sz w:val="21"/>
          <w:szCs w:val="21"/>
          <w:highlight w:val="none"/>
          <w:lang w:val="en-US" w:eastAsia="zh-CN"/>
        </w:rPr>
        <w:t>标项一</w:t>
      </w:r>
      <w:r>
        <w:rPr>
          <w:rFonts w:hint="eastAsia" w:ascii="宋体" w:hAnsi="宋体" w:eastAsia="宋体"/>
          <w:b/>
          <w:color w:val="auto"/>
          <w:sz w:val="21"/>
          <w:szCs w:val="21"/>
          <w:highlight w:val="none"/>
        </w:rPr>
        <w:t>）</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0"/>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1" w:type="dxa"/>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评审项目</w:t>
            </w:r>
          </w:p>
        </w:tc>
        <w:tc>
          <w:tcPr>
            <w:tcW w:w="8080" w:type="dxa"/>
            <w:gridSpan w:val="2"/>
            <w:noWrap w:val="0"/>
            <w:vAlign w:val="center"/>
          </w:tcPr>
          <w:p>
            <w:pPr>
              <w:adjustRightInd w:val="0"/>
              <w:snapToGrid w:val="0"/>
              <w:spacing w:line="340" w:lineRule="exact"/>
              <w:jc w:val="center"/>
              <w:rPr>
                <w:rFonts w:ascii="宋体" w:hAnsi="宋体" w:cs="宋体"/>
                <w:kern w:val="0"/>
                <w:highlight w:val="none"/>
              </w:rPr>
            </w:pPr>
            <w:r>
              <w:rPr>
                <w:rFonts w:hint="eastAsia" w:ascii="宋体" w:hAnsi="宋体" w:cs="宋体"/>
                <w:kern w:val="0"/>
                <w:highlight w:val="none"/>
              </w:rPr>
              <w:t>评审因素及分值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51" w:type="dxa"/>
            <w:vMerge w:val="restart"/>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商务技术</w:t>
            </w:r>
            <w:r>
              <w:rPr>
                <w:rFonts w:hint="eastAsia" w:ascii="宋体" w:hAnsi="宋体" w:cs="宋体"/>
                <w:kern w:val="0"/>
                <w:highlight w:val="none"/>
                <w:lang w:val="en-US" w:eastAsia="zh-CN"/>
              </w:rPr>
              <w:t>90</w:t>
            </w:r>
            <w:r>
              <w:rPr>
                <w:rFonts w:hint="eastAsia" w:ascii="宋体" w:hAnsi="宋体" w:cs="宋体"/>
                <w:kern w:val="0"/>
                <w:highlight w:val="none"/>
              </w:rPr>
              <w:t>分</w:t>
            </w:r>
          </w:p>
        </w:tc>
        <w:tc>
          <w:tcPr>
            <w:tcW w:w="8080" w:type="dxa"/>
            <w:gridSpan w:val="2"/>
            <w:noWrap w:val="0"/>
            <w:vAlign w:val="center"/>
          </w:tcPr>
          <w:p>
            <w:pPr>
              <w:adjustRightInd w:val="0"/>
              <w:snapToGrid w:val="0"/>
              <w:spacing w:line="340" w:lineRule="exact"/>
              <w:rPr>
                <w:rFonts w:ascii="宋体" w:hAnsi="宋体"/>
                <w:color w:val="auto"/>
                <w:highlight w:val="none"/>
              </w:rPr>
            </w:pPr>
            <w:r>
              <w:rPr>
                <w:rFonts w:hint="eastAsia" w:ascii="宋体" w:hAnsi="宋体"/>
                <w:highlight w:val="none"/>
              </w:rPr>
              <w:t>1.</w:t>
            </w:r>
            <w:r>
              <w:rPr>
                <w:rFonts w:hint="eastAsia" w:ascii="宋体" w:hAnsi="宋体" w:cs="宋体"/>
                <w:color w:val="auto"/>
                <w:kern w:val="0"/>
                <w:highlight w:val="none"/>
              </w:rPr>
              <w:t>磋商响应情况（</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分）：</w:t>
            </w:r>
          </w:p>
          <w:p>
            <w:pPr>
              <w:adjustRightInd w:val="0"/>
              <w:snapToGrid w:val="0"/>
              <w:spacing w:line="340" w:lineRule="exact"/>
              <w:rPr>
                <w:rFonts w:ascii="宋体" w:hAnsi="宋体"/>
                <w:color w:val="auto"/>
                <w:highlight w:val="none"/>
              </w:rPr>
            </w:pPr>
            <w:r>
              <w:rPr>
                <w:rFonts w:hint="eastAsia" w:ascii="宋体" w:hAnsi="宋体"/>
                <w:color w:val="auto"/>
                <w:highlight w:val="none"/>
              </w:rPr>
              <w:t>根据供应商对磋商文件《第二章  采购需求》</w:t>
            </w:r>
            <w:r>
              <w:rPr>
                <w:rFonts w:hint="eastAsia" w:ascii="宋体" w:hAnsi="宋体"/>
                <w:color w:val="auto"/>
                <w:highlight w:val="none"/>
                <w:lang w:val="en-US" w:eastAsia="zh-CN"/>
              </w:rPr>
              <w:t>中“线路要求、通用要求”</w:t>
            </w:r>
            <w:r>
              <w:rPr>
                <w:rFonts w:hint="eastAsia" w:ascii="宋体" w:hAnsi="宋体"/>
                <w:color w:val="auto"/>
                <w:highlight w:val="none"/>
              </w:rPr>
              <w:t>的响应情况进行评议（</w:t>
            </w:r>
            <w:r>
              <w:rPr>
                <w:rFonts w:hint="eastAsia" w:ascii="宋体" w:hAnsi="宋体"/>
                <w:color w:val="auto"/>
                <w:highlight w:val="none"/>
                <w:lang w:val="en-US" w:eastAsia="zh-CN"/>
              </w:rPr>
              <w:t>20</w:t>
            </w:r>
            <w:r>
              <w:rPr>
                <w:rFonts w:hint="eastAsia" w:ascii="宋体" w:hAnsi="宋体"/>
                <w:color w:val="auto"/>
                <w:highlight w:val="none"/>
              </w:rPr>
              <w:t>分），每负偏离或未响应1条非实质性要求的</w:t>
            </w:r>
            <w:r>
              <w:rPr>
                <w:rFonts w:hint="eastAsia" w:ascii="宋体" w:hAnsi="宋体"/>
                <w:color w:val="auto"/>
                <w:highlight w:val="none"/>
                <w:u w:val="single"/>
              </w:rPr>
              <w:t>扣</w:t>
            </w:r>
            <w:r>
              <w:rPr>
                <w:rFonts w:hint="eastAsia" w:ascii="宋体" w:hAnsi="宋体"/>
                <w:color w:val="auto"/>
                <w:highlight w:val="none"/>
                <w:u w:val="single"/>
                <w:lang w:val="en-US" w:eastAsia="zh-CN"/>
              </w:rPr>
              <w:t>1.5</w:t>
            </w:r>
            <w:r>
              <w:rPr>
                <w:rFonts w:hint="eastAsia" w:ascii="宋体" w:hAnsi="宋体"/>
                <w:color w:val="auto"/>
                <w:highlight w:val="none"/>
                <w:u w:val="single"/>
              </w:rPr>
              <w:t>分</w:t>
            </w:r>
            <w:r>
              <w:rPr>
                <w:rFonts w:hint="eastAsia" w:ascii="宋体" w:hAnsi="宋体"/>
                <w:color w:val="auto"/>
                <w:highlight w:val="none"/>
              </w:rPr>
              <w:t>，</w:t>
            </w:r>
            <w:r>
              <w:rPr>
                <w:rFonts w:ascii="宋体" w:hAnsi="宋体"/>
                <w:color w:val="auto"/>
                <w:highlight w:val="none"/>
              </w:rPr>
              <w:t>本项评议最终得分</w:t>
            </w:r>
            <w:r>
              <w:rPr>
                <w:rFonts w:hint="eastAsia" w:ascii="宋体" w:hAnsi="宋体"/>
                <w:color w:val="auto"/>
                <w:highlight w:val="none"/>
                <w:lang w:val="en-US" w:eastAsia="zh-CN"/>
              </w:rPr>
              <w:t>≤</w:t>
            </w:r>
            <w:r>
              <w:rPr>
                <w:rFonts w:hint="eastAsia" w:ascii="宋体" w:hAnsi="宋体"/>
                <w:color w:val="auto"/>
                <w:highlight w:val="none"/>
              </w:rPr>
              <w:t>0</w:t>
            </w:r>
            <w:r>
              <w:rPr>
                <w:rFonts w:ascii="宋体" w:hAnsi="宋体"/>
                <w:color w:val="auto"/>
                <w:highlight w:val="none"/>
              </w:rPr>
              <w:t>分</w:t>
            </w:r>
            <w:r>
              <w:rPr>
                <w:rFonts w:hint="eastAsia" w:ascii="宋体" w:hAnsi="宋体"/>
                <w:color w:val="auto"/>
                <w:highlight w:val="none"/>
              </w:rPr>
              <w:t>的</w:t>
            </w:r>
            <w:r>
              <w:rPr>
                <w:rFonts w:ascii="宋体" w:hAnsi="宋体"/>
                <w:color w:val="auto"/>
                <w:highlight w:val="none"/>
              </w:rPr>
              <w:t>视为</w:t>
            </w:r>
            <w:r>
              <w:rPr>
                <w:rFonts w:hint="eastAsia" w:ascii="宋体" w:hAnsi="宋体"/>
                <w:color w:val="auto"/>
                <w:highlight w:val="none"/>
              </w:rPr>
              <w:t>供应商无能力履约，作无效响应处理。</w:t>
            </w:r>
          </w:p>
          <w:p>
            <w:pPr>
              <w:adjustRightInd w:val="0"/>
              <w:snapToGrid w:val="0"/>
              <w:spacing w:line="340" w:lineRule="exact"/>
              <w:rPr>
                <w:rFonts w:ascii="宋体" w:hAnsi="宋体"/>
                <w:highlight w:val="none"/>
              </w:rPr>
            </w:pPr>
            <w:r>
              <w:rPr>
                <w:rFonts w:hint="eastAsia" w:ascii="宋体" w:hAnsi="宋体"/>
                <w:color w:val="auto"/>
                <w:highlight w:val="none"/>
              </w:rPr>
              <w:t>注：根据</w:t>
            </w:r>
            <w:r>
              <w:rPr>
                <w:rFonts w:hint="eastAsia" w:ascii="宋体" w:hAnsi="宋体"/>
                <w:color w:val="auto"/>
                <w:highlight w:val="none"/>
                <w:lang w:val="en-US" w:eastAsia="zh-CN"/>
              </w:rPr>
              <w:t>线路要求、通用要求</w:t>
            </w:r>
            <w:r>
              <w:rPr>
                <w:rFonts w:hint="eastAsia" w:ascii="宋体" w:hAnsi="宋体"/>
                <w:color w:val="auto"/>
                <w:highlight w:val="none"/>
              </w:rPr>
              <w:t>响应表响应情况评议。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restart"/>
            <w:noWrap w:val="0"/>
            <w:vAlign w:val="center"/>
          </w:tcPr>
          <w:p>
            <w:pPr>
              <w:adjustRightInd w:val="0"/>
              <w:snapToGrid w:val="0"/>
              <w:rPr>
                <w:rFonts w:hint="default" w:ascii="宋体" w:hAnsi="宋体" w:eastAsia="宋体"/>
                <w:highlight w:val="none"/>
                <w:lang w:val="en-US" w:eastAsia="zh-CN"/>
              </w:rPr>
            </w:pPr>
            <w:r>
              <w:rPr>
                <w:rFonts w:hint="eastAsia" w:ascii="宋体" w:hAnsi="宋体"/>
                <w:highlight w:val="none"/>
                <w:lang w:val="en-US" w:eastAsia="zh-CN"/>
              </w:rPr>
              <w:t>2.行程安排方案（45分）</w:t>
            </w: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bookmarkStart w:id="89" w:name="_GoBack"/>
            <w:r>
              <w:rPr>
                <w:rFonts w:hint="eastAsia" w:ascii="宋体" w:hAnsi="宋体" w:eastAsia="宋体" w:cs="Times New Roman"/>
                <w:highlight w:val="none"/>
                <w:lang w:val="en-US" w:eastAsia="zh-CN"/>
              </w:rPr>
              <w:t>2.1根据供应商针对本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提供的各条线路行程设计进行评议（包</w:t>
            </w:r>
            <w:r>
              <w:rPr>
                <w:rFonts w:hint="eastAsia" w:ascii="宋体" w:hAnsi="宋体" w:cs="Times New Roman"/>
                <w:highlight w:val="none"/>
                <w:lang w:val="en-US" w:eastAsia="zh-CN"/>
              </w:rPr>
              <w:t>括</w:t>
            </w:r>
            <w:r>
              <w:rPr>
                <w:rFonts w:hint="eastAsia" w:ascii="宋体" w:hAnsi="宋体" w:eastAsia="宋体" w:cs="Times New Roman"/>
                <w:highlight w:val="none"/>
                <w:lang w:val="en-US" w:eastAsia="zh-CN"/>
              </w:rPr>
              <w:t>主题策划、景点介绍、游玩内容、时间安排）</w:t>
            </w:r>
            <w:r>
              <w:rPr>
                <w:rFonts w:hint="eastAsia" w:ascii="宋体" w:hAnsi="宋体" w:cs="Times New Roman"/>
                <w:highlight w:val="none"/>
                <w:lang w:eastAsia="zh-CN"/>
              </w:rPr>
              <w:t>（</w:t>
            </w:r>
            <w:r>
              <w:rPr>
                <w:rFonts w:hint="eastAsia" w:ascii="宋体" w:hAnsi="宋体" w:cs="Times New Roman"/>
                <w:highlight w:val="none"/>
                <w:lang w:val="en-US" w:eastAsia="zh-CN"/>
              </w:rPr>
              <w:t>8分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bookmarkEnd w:id="89"/>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2.1.1供应商提供的各条线路行程设计每包含上述一个点的得基本分0.5分，共2分。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2.1.2主题策划明晰且与线路相适宜的得1.5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分；体现的主题与线路欠适宜的得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2.1.3景点介绍详细且具有吸引力的得1.5分</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；详细介绍了景点但吸引力不足的得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2.1.4游玩内容多样且适宜职工各年龄层的得1.5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分；游玩内容单调、不适合职工各年龄层的得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2.1.5景点游玩时间及景点与景点之间时间安排合理的得1.5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rPr>
                <w:rFonts w:ascii="宋体" w:hAnsi="宋体"/>
                <w:highlight w:val="none"/>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提供的各条线路就餐安排</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进行评议（包括时间安排、地点选择、环境舒适度）</w:t>
            </w:r>
            <w:r>
              <w:rPr>
                <w:rFonts w:hint="eastAsia" w:ascii="宋体" w:hAnsi="宋体" w:cs="Times New Roman"/>
                <w:highlight w:val="none"/>
                <w:lang w:eastAsia="zh-CN"/>
              </w:rPr>
              <w:t>（</w:t>
            </w:r>
            <w:r>
              <w:rPr>
                <w:rFonts w:hint="eastAsia" w:ascii="宋体" w:hAnsi="宋体" w:cs="Times New Roman"/>
                <w:highlight w:val="none"/>
                <w:lang w:val="en-US" w:eastAsia="zh-CN"/>
              </w:rPr>
              <w:t>6分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2.2.1供应商提供的各条线路就餐安排方案每包含上述一个点的得基本分0.5分，共1.5分。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2.2.2就餐时间安排合理、能避开用餐高峰期的得1.5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2.2.3就餐地点选择与下一行程点距离相适宜的得1.5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分；就餐地点选择与下一行程点距离稍远的得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2.2.4就餐地点周边环境宜人、餐厅内部环境整洁的得1.5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分；就餐地点周边环境、餐厅内部环境一般的得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提供的各条线路就餐标准</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进行评议（包括餐饮人均费用、菜肴搭配、菜品数量）（6分）：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2.3.1供应商提供的各条线路就餐标准方案每包含上述一个点的得基本分0.5分，共1.5分。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2.3.2餐饮人均费</w:t>
            </w:r>
            <w:r>
              <w:rPr>
                <w:rFonts w:hint="eastAsia" w:ascii="宋体" w:hAnsi="宋体" w:eastAsia="宋体" w:cs="Times New Roman"/>
                <w:color w:val="auto"/>
                <w:highlight w:val="none"/>
                <w:lang w:val="en-US" w:eastAsia="zh-CN"/>
              </w:rPr>
              <w:t>用≥50元每</w:t>
            </w:r>
            <w:r>
              <w:rPr>
                <w:rFonts w:hint="eastAsia" w:ascii="宋体" w:hAnsi="宋体" w:eastAsia="宋体" w:cs="Times New Roman"/>
                <w:highlight w:val="none"/>
                <w:lang w:val="en-US" w:eastAsia="zh-CN"/>
              </w:rPr>
              <w:t>餐的得1.5分。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2.3.3菜肴搭配种类丰富适合职工各年龄层的得1.5分-1；菜肴搭配种类单调、不适合职工各年龄层的得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2.3.4就餐菜品数量每桌提供“十菜一汤一果盘”及以上的得1.5分；“七菜一汤一果盘”及以上的得0.5分。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提供的各条线路住宿安排进行评议（包括地理位置、周边环境）（4分）：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2.4.1供应商提供的各条线路住宿安排方案每包含上述一个点的得基本分0.5分，共1分。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2.4.2地理位置优越、周边交通和公共配套设施齐全的得2-1分；地理位置、城市交通和公共配套设施有欠缺的得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2.4.3酒店附近环境宜人的得1-0.7分；酒店附近环境较舒适的得0.</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提供的各条线路住宿标准进行评议（包括内部环境、配套服务、配套设施）（6分）：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2.5.1供应商提供的各条线路住宿标准方案每包含上述一个点的得基本分0.5分，共1.5分。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2.5.2内部环境高雅、客房面积宽敞的得1.5-1分；内部环境精致、客房面积与入住人数相适宜的得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2.5.3配套服务贴心周全的得1.5-1分；配套服务稍欠全面的得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2.5.4酒店配套设施完善的得1.5-1分；酒店配套设施仅能满足日常基本需求的得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提供的各线路通行安排进行评议（包括通行班次时间安排、乘坐舒适度）（4分）：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2.6.1供应商提供的各条线路通行安排方案每包含上述一个点的得基本分0.5分，共1分。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2.6.2出发及回程班次时间安排合理、无中转站的得1.5-1分；出发及回程班次时间安排欠合理、无中转站的得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2.6.3乘坐感受舒适度佳的得1.5-1分；乘坐感受普通的得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-0.5分。（提供对应班次交通工具内部照片）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提供的各线路用车标准进行评议（包括新旧程度、乘坐舒适度）（6分）：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2.7.1供应商提供的各条线路用车标准方案每包含上述一个点的得基本分1分，共2分。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2.7.2所用车辆均为三年以内（含）客车的得2分；所用车辆均为五年以内（含）客车的得1分。（以行驶证注册日期至响应截止日期为限）</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2.7.3所用车辆内部整洁、空间宽敞、乘坐舒适度佳的得2-1分；所用车辆内部整洁、空间及舒适度稍显不足的得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-0.5分。（提供车辆内部照片）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提供的各线路驾驶人员安排（包括驾驶员年龄及驾驶经验、后备驾驶人员保障）进行评议（5分）：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2.8.1供应商提供的各条线路驾驶人员安排方案每包含上述一个点的得基本分0.5分，共1分。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2.8.2驾驶人员年龄≤5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岁的且驾龄≥8年的得2分；驾驶人员年龄≤5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岁的且驾龄≥5年的得1分。（以驾驶证为准）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2.8.3承诺能提供同档次后备驾驶人员的得2分。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拟派服务人员的数量、岗位分工、经验能力进行评议（6分）：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3.1供应商提供的拟派服务人员信息包含数量、岗位分工、经验能力的得基本分1分。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3.2拟派服务人员的数量与本项目相适宜的得1分。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3.3拟派服务人员的岗位分工合理明确的得2-1分；拟派服务人员的岗位分工明确、合理性稍有欠缺的得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3.4拟派服务人员的专业素质能力强、经验丰富的得2-1分；拟派服务人员的专业素质能力一般、有过类似项目经历的得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4.内部管理制度（6分）：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根据供应商提供的人事管理制度、安全管理制度、导游员管理制度、考勤制度、奖惩制度、投诉处理制度进行评议。</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以上六项制度完善、合理的每项最高得1分，制度不详细，有欠缺的每项最高得0.5分；未提供不得分。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提供的人生安全保障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、交通安全保障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、食品安全保障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、个人财产安全保障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以上四项安全保障</w:t>
            </w:r>
            <w:r>
              <w:rPr>
                <w:rFonts w:hint="eastAsia" w:ascii="宋体" w:hAnsi="宋体" w:cs="Times New Roman"/>
                <w:highlight w:val="none"/>
                <w:lang w:val="en-US" w:eastAsia="zh-CN"/>
              </w:rPr>
              <w:t>措施</w:t>
            </w:r>
            <w:r>
              <w:rPr>
                <w:rFonts w:hint="eastAsia" w:ascii="宋体" w:hAnsi="宋体" w:cs="宋体"/>
                <w:szCs w:val="21"/>
                <w:highlight w:val="none"/>
                <w:lang w:eastAsia="zh-Hans"/>
              </w:rPr>
              <w:t>明确</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eastAsia="宋体" w:cs="Times New Roman"/>
                <w:highlight w:val="none"/>
                <w:lang w:val="en-US" w:eastAsia="zh-CN"/>
              </w:rPr>
              <w:t>的每项最高得1.5分，安全保障</w:t>
            </w:r>
            <w:r>
              <w:rPr>
                <w:rFonts w:hint="eastAsia" w:ascii="宋体" w:hAnsi="宋体" w:cs="Times New Roman"/>
                <w:highlight w:val="none"/>
                <w:lang w:val="en-US" w:eastAsia="zh-CN"/>
              </w:rPr>
              <w:t>措施一般</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cs="宋体"/>
                <w:szCs w:val="21"/>
                <w:highlight w:val="none"/>
                <w:lang w:val="en-US" w:eastAsia="zh-CN"/>
              </w:rPr>
              <w:t>程度</w:t>
            </w:r>
            <w:r>
              <w:rPr>
                <w:rFonts w:hint="eastAsia" w:ascii="宋体" w:hAnsi="宋体" w:eastAsia="宋体" w:cs="Times New Roman"/>
                <w:highlight w:val="none"/>
                <w:lang w:val="en-US" w:eastAsia="zh-CN"/>
              </w:rPr>
              <w:t>有欠缺的每项最高得1分；未提供不得分。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w:t>
            </w:r>
            <w:r>
              <w:rPr>
                <w:rFonts w:hint="eastAsia" w:ascii="宋体" w:hAnsi="宋体" w:eastAsia="宋体" w:cs="Times New Roman"/>
                <w:highlight w:val="none"/>
                <w:lang w:val="zh-CN" w:eastAsia="zh-CN"/>
              </w:rPr>
              <w:t>的</w:t>
            </w:r>
            <w:r>
              <w:rPr>
                <w:rFonts w:hint="eastAsia" w:ascii="宋体" w:hAnsi="宋体" w:eastAsia="宋体" w:cs="Times New Roman"/>
                <w:highlight w:val="none"/>
                <w:lang w:val="en-US" w:eastAsia="zh-CN"/>
              </w:rPr>
              <w:t>恶劣天气应急预案、交通工具故障应急预案、交通事故应急预案、人身意外应急保障预案进行评议（6分）：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内容合理高效</w:t>
            </w:r>
            <w:r>
              <w:rPr>
                <w:rFonts w:hint="eastAsia" w:ascii="宋体" w:hAnsi="宋体" w:eastAsia="宋体" w:cs="Times New Roman"/>
                <w:highlight w:val="none"/>
                <w:lang w:val="en-US" w:eastAsia="zh-CN"/>
              </w:rPr>
              <w:t>的每项最高得1.5分，</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合理性稍</w:t>
            </w:r>
            <w:r>
              <w:rPr>
                <w:rFonts w:hint="eastAsia" w:ascii="宋体" w:hAnsi="宋体" w:eastAsia="宋体" w:cs="Times New Roman"/>
                <w:highlight w:val="none"/>
                <w:lang w:val="en-US" w:eastAsia="zh-CN"/>
              </w:rPr>
              <w:t>有欠缺</w:t>
            </w:r>
            <w:r>
              <w:rPr>
                <w:rFonts w:hint="eastAsia" w:ascii="宋体" w:hAnsi="宋体" w:cs="Times New Roman"/>
                <w:highlight w:val="none"/>
                <w:lang w:val="en-US" w:eastAsia="zh-CN"/>
              </w:rPr>
              <w:t>、实施效率一般</w:t>
            </w:r>
            <w:r>
              <w:rPr>
                <w:rFonts w:hint="eastAsia" w:ascii="宋体" w:hAnsi="宋体" w:eastAsia="宋体" w:cs="Times New Roman"/>
                <w:highlight w:val="none"/>
                <w:lang w:val="en-US" w:eastAsia="zh-CN"/>
              </w:rPr>
              <w:t>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7.对供应商2020年至今具有的类似项目业绩进行评议（1分）。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zh-CN" w:eastAsia="zh-CN"/>
              </w:rPr>
              <w:t>20</w:t>
            </w:r>
            <w:r>
              <w:rPr>
                <w:rFonts w:hint="eastAsia" w:ascii="宋体" w:hAnsi="宋体" w:eastAsia="宋体" w:cs="Times New Roman"/>
                <w:highlight w:val="none"/>
                <w:lang w:val="en-US" w:eastAsia="zh-CN"/>
              </w:rPr>
              <w:t>20</w:t>
            </w:r>
            <w:r>
              <w:rPr>
                <w:rFonts w:hint="eastAsia" w:ascii="宋体" w:hAnsi="宋体" w:eastAsia="宋体" w:cs="Times New Roman"/>
                <w:highlight w:val="none"/>
                <w:lang w:val="zh-CN" w:eastAsia="zh-CN"/>
              </w:rPr>
              <w:t>年1月1日至今承办过职工疗休养项目的每个得0.5分，最高1分。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注：响应文件内提供合同（协议）的复印件，合同（协议）的签订日期为2020年1月1日及以后，不符合要求的不予计分。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51" w:type="dxa"/>
            <w:noWrap w:val="0"/>
            <w:vAlign w:val="center"/>
          </w:tcPr>
          <w:p>
            <w:pPr>
              <w:adjustRightInd w:val="0"/>
              <w:spacing w:line="340" w:lineRule="exact"/>
              <w:ind w:left="630" w:hanging="630" w:hangingChars="300"/>
              <w:jc w:val="center"/>
              <w:textAlignment w:val="baseline"/>
              <w:rPr>
                <w:rFonts w:hint="eastAsia" w:ascii="宋体" w:hAnsi="宋体"/>
                <w:kern w:val="0"/>
                <w:highlight w:val="none"/>
              </w:rPr>
            </w:pPr>
            <w:r>
              <w:rPr>
                <w:rFonts w:hint="eastAsia" w:ascii="宋体" w:hAnsi="宋体"/>
                <w:kern w:val="0"/>
                <w:highlight w:val="none"/>
              </w:rPr>
              <w:t>价格</w:t>
            </w:r>
          </w:p>
          <w:p>
            <w:pPr>
              <w:adjustRightInd w:val="0"/>
              <w:spacing w:line="340" w:lineRule="exact"/>
              <w:ind w:left="630" w:hanging="630" w:hangingChars="300"/>
              <w:jc w:val="center"/>
              <w:textAlignment w:val="baseline"/>
              <w:rPr>
                <w:rFonts w:ascii="宋体" w:hAnsi="宋体"/>
                <w:kern w:val="0"/>
                <w:highlight w:val="none"/>
              </w:rPr>
            </w:pPr>
            <w:r>
              <w:rPr>
                <w:rFonts w:hint="eastAsia" w:ascii="宋体" w:hAnsi="宋体"/>
                <w:kern w:val="0"/>
                <w:highlight w:val="none"/>
                <w:lang w:val="en-US" w:eastAsia="zh-CN"/>
              </w:rPr>
              <w:t xml:space="preserve">10 </w:t>
            </w:r>
            <w:r>
              <w:rPr>
                <w:rFonts w:hint="eastAsia" w:ascii="宋体" w:hAnsi="宋体"/>
                <w:kern w:val="0"/>
                <w:highlight w:val="none"/>
              </w:rPr>
              <w:t>分</w:t>
            </w:r>
          </w:p>
        </w:tc>
        <w:tc>
          <w:tcPr>
            <w:tcW w:w="8080" w:type="dxa"/>
            <w:gridSpan w:val="2"/>
            <w:noWrap w:val="0"/>
            <w:vAlign w:val="center"/>
          </w:tcPr>
          <w:p>
            <w:pPr>
              <w:spacing w:line="340" w:lineRule="exact"/>
              <w:jc w:val="left"/>
              <w:rPr>
                <w:rFonts w:ascii="宋体" w:hAnsi="宋体"/>
                <w:highlight w:val="none"/>
              </w:rPr>
            </w:pPr>
            <w:r>
              <w:rPr>
                <w:rFonts w:hint="eastAsia" w:ascii="宋体" w:hAnsi="宋体"/>
                <w:highlight w:val="none"/>
              </w:rPr>
              <w:t>参与评审的价格=最终报价</w:t>
            </w:r>
          </w:p>
          <w:p>
            <w:pPr>
              <w:spacing w:line="340" w:lineRule="exact"/>
              <w:jc w:val="left"/>
              <w:rPr>
                <w:rFonts w:ascii="宋体" w:hAnsi="宋体"/>
                <w:highlight w:val="none"/>
              </w:rPr>
            </w:pPr>
            <w:r>
              <w:rPr>
                <w:rFonts w:hint="eastAsia" w:ascii="宋体" w:hAnsi="宋体"/>
                <w:highlight w:val="none"/>
              </w:rPr>
              <w:t>对应线路磋商基准价=满足采购文件要求且“参与评审的价格”中最低的价格为磋商基准价，其此线路价格分为满分。其他供应商的价格分统一按照下列公式计算:</w:t>
            </w:r>
          </w:p>
          <w:p>
            <w:pPr>
              <w:spacing w:line="340" w:lineRule="exact"/>
              <w:jc w:val="left"/>
              <w:rPr>
                <w:rFonts w:ascii="宋体" w:hAnsi="宋体"/>
                <w:highlight w:val="none"/>
              </w:rPr>
            </w:pPr>
            <w:r>
              <w:rPr>
                <w:rFonts w:hint="eastAsia" w:ascii="宋体" w:hAnsi="宋体"/>
                <w:highlight w:val="none"/>
                <w:lang w:val="en-US" w:eastAsia="zh-CN"/>
              </w:rPr>
              <w:t>江西</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江西</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lang w:val="en-US" w:eastAsia="zh-CN"/>
              </w:rPr>
              <w:t>宁波周边</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宁波周边</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rPr>
              <w:t>价格总分等于各线路报价得分总和。</w:t>
            </w:r>
          </w:p>
        </w:tc>
      </w:tr>
    </w:tbl>
    <w:p>
      <w:pPr>
        <w:widowControl/>
        <w:jc w:val="left"/>
        <w:rPr>
          <w:rFonts w:ascii="宋体" w:hAnsi="宋体"/>
          <w:color w:val="auto"/>
          <w:spacing w:val="14"/>
          <w:highlight w:val="none"/>
        </w:rPr>
      </w:pPr>
      <w:r>
        <w:rPr>
          <w:rFonts w:hint="eastAsia" w:ascii="宋体" w:hAnsi="宋体"/>
          <w:color w:val="auto"/>
          <w:spacing w:val="14"/>
          <w:highlight w:val="none"/>
        </w:rPr>
        <w:t>评委签名：                                 日  期：</w:t>
      </w:r>
    </w:p>
    <w:p>
      <w:pPr>
        <w:spacing w:line="360" w:lineRule="auto"/>
        <w:jc w:val="center"/>
        <w:outlineLvl w:val="0"/>
        <w:rPr>
          <w:rFonts w:ascii="宋体" w:hAnsi="宋体" w:cs="宋体"/>
          <w:color w:val="auto"/>
          <w:highlight w:val="none"/>
        </w:rPr>
      </w:pPr>
    </w:p>
    <w:p>
      <w:pPr>
        <w:spacing w:line="360" w:lineRule="auto"/>
        <w:jc w:val="center"/>
        <w:outlineLvl w:val="0"/>
        <w:rPr>
          <w:rFonts w:ascii="宋体" w:hAnsi="宋体" w:cs="宋体"/>
          <w:color w:val="auto"/>
          <w:highlight w:val="none"/>
        </w:rPr>
      </w:pPr>
    </w:p>
    <w:p>
      <w:pPr>
        <w:pStyle w:val="21"/>
        <w:snapToGrid w:val="0"/>
        <w:spacing w:line="360" w:lineRule="auto"/>
        <w:ind w:firstLine="413" w:firstLineChars="196"/>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评审标准（</w:t>
      </w:r>
      <w:r>
        <w:rPr>
          <w:rFonts w:hint="eastAsia" w:ascii="宋体" w:hAnsi="宋体" w:eastAsia="宋体"/>
          <w:b/>
          <w:color w:val="auto"/>
          <w:sz w:val="21"/>
          <w:szCs w:val="21"/>
          <w:highlight w:val="none"/>
          <w:lang w:val="en-US" w:eastAsia="zh-CN"/>
        </w:rPr>
        <w:t>标项二</w:t>
      </w:r>
      <w:r>
        <w:rPr>
          <w:rFonts w:hint="eastAsia" w:ascii="宋体" w:hAnsi="宋体" w:eastAsia="宋体"/>
          <w:b/>
          <w:color w:val="auto"/>
          <w:sz w:val="21"/>
          <w:szCs w:val="21"/>
          <w:highlight w:val="none"/>
        </w:rPr>
        <w:t>）</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0"/>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1" w:type="dxa"/>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评审项目</w:t>
            </w:r>
          </w:p>
        </w:tc>
        <w:tc>
          <w:tcPr>
            <w:tcW w:w="8080" w:type="dxa"/>
            <w:gridSpan w:val="2"/>
            <w:noWrap w:val="0"/>
            <w:vAlign w:val="center"/>
          </w:tcPr>
          <w:p>
            <w:pPr>
              <w:adjustRightInd w:val="0"/>
              <w:snapToGrid w:val="0"/>
              <w:spacing w:line="340" w:lineRule="exact"/>
              <w:jc w:val="center"/>
              <w:rPr>
                <w:rFonts w:ascii="宋体" w:hAnsi="宋体" w:cs="宋体"/>
                <w:kern w:val="0"/>
                <w:highlight w:val="none"/>
              </w:rPr>
            </w:pPr>
            <w:r>
              <w:rPr>
                <w:rFonts w:hint="eastAsia" w:ascii="宋体" w:hAnsi="宋体" w:cs="宋体"/>
                <w:kern w:val="0"/>
                <w:highlight w:val="none"/>
              </w:rPr>
              <w:t>评审因素及分值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51" w:type="dxa"/>
            <w:vMerge w:val="restart"/>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商务技术</w:t>
            </w:r>
            <w:r>
              <w:rPr>
                <w:rFonts w:hint="eastAsia" w:ascii="宋体" w:hAnsi="宋体" w:cs="宋体"/>
                <w:kern w:val="0"/>
                <w:highlight w:val="none"/>
                <w:lang w:val="en-US" w:eastAsia="zh-CN"/>
              </w:rPr>
              <w:t>90</w:t>
            </w:r>
            <w:r>
              <w:rPr>
                <w:rFonts w:hint="eastAsia" w:ascii="宋体" w:hAnsi="宋体" w:cs="宋体"/>
                <w:kern w:val="0"/>
                <w:highlight w:val="none"/>
              </w:rPr>
              <w:t>分</w:t>
            </w:r>
          </w:p>
        </w:tc>
        <w:tc>
          <w:tcPr>
            <w:tcW w:w="8080" w:type="dxa"/>
            <w:gridSpan w:val="2"/>
            <w:noWrap w:val="0"/>
            <w:vAlign w:val="center"/>
          </w:tcPr>
          <w:p>
            <w:pPr>
              <w:adjustRightInd w:val="0"/>
              <w:snapToGrid w:val="0"/>
              <w:spacing w:line="340" w:lineRule="exact"/>
              <w:rPr>
                <w:rFonts w:ascii="宋体" w:hAnsi="宋体"/>
                <w:color w:val="auto"/>
                <w:highlight w:val="none"/>
              </w:rPr>
            </w:pPr>
            <w:r>
              <w:rPr>
                <w:rFonts w:hint="eastAsia" w:ascii="宋体" w:hAnsi="宋体"/>
                <w:highlight w:val="none"/>
              </w:rPr>
              <w:t>1.</w:t>
            </w:r>
            <w:r>
              <w:rPr>
                <w:rFonts w:hint="eastAsia" w:ascii="宋体" w:hAnsi="宋体" w:cs="宋体"/>
                <w:color w:val="auto"/>
                <w:kern w:val="0"/>
                <w:highlight w:val="none"/>
              </w:rPr>
              <w:t>磋商响应情况（</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分）：</w:t>
            </w:r>
          </w:p>
          <w:p>
            <w:pPr>
              <w:adjustRightInd w:val="0"/>
              <w:snapToGrid w:val="0"/>
              <w:spacing w:line="340" w:lineRule="exact"/>
              <w:rPr>
                <w:rFonts w:ascii="宋体" w:hAnsi="宋体"/>
                <w:color w:val="auto"/>
                <w:highlight w:val="none"/>
              </w:rPr>
            </w:pPr>
            <w:r>
              <w:rPr>
                <w:rFonts w:hint="eastAsia" w:ascii="宋体" w:hAnsi="宋体"/>
                <w:color w:val="auto"/>
                <w:highlight w:val="none"/>
              </w:rPr>
              <w:t>根据供应商对磋商文件《第二章  采购需求》</w:t>
            </w:r>
            <w:r>
              <w:rPr>
                <w:rFonts w:hint="eastAsia" w:ascii="宋体" w:hAnsi="宋体"/>
                <w:color w:val="auto"/>
                <w:highlight w:val="none"/>
                <w:lang w:val="en-US" w:eastAsia="zh-CN"/>
              </w:rPr>
              <w:t>中“线路要求、通用要求”</w:t>
            </w:r>
            <w:r>
              <w:rPr>
                <w:rFonts w:hint="eastAsia" w:ascii="宋体" w:hAnsi="宋体"/>
                <w:color w:val="auto"/>
                <w:highlight w:val="none"/>
              </w:rPr>
              <w:t>的响应情况进行评议（</w:t>
            </w:r>
            <w:r>
              <w:rPr>
                <w:rFonts w:hint="eastAsia" w:ascii="宋体" w:hAnsi="宋体"/>
                <w:color w:val="auto"/>
                <w:highlight w:val="none"/>
                <w:lang w:val="en-US" w:eastAsia="zh-CN"/>
              </w:rPr>
              <w:t>20</w:t>
            </w:r>
            <w:r>
              <w:rPr>
                <w:rFonts w:hint="eastAsia" w:ascii="宋体" w:hAnsi="宋体"/>
                <w:color w:val="auto"/>
                <w:highlight w:val="none"/>
              </w:rPr>
              <w:t>分），每负偏离或未响应1条非实质性要求的</w:t>
            </w:r>
            <w:r>
              <w:rPr>
                <w:rFonts w:hint="eastAsia" w:ascii="宋体" w:hAnsi="宋体"/>
                <w:color w:val="auto"/>
                <w:highlight w:val="none"/>
                <w:u w:val="single"/>
              </w:rPr>
              <w:t>扣</w:t>
            </w:r>
            <w:r>
              <w:rPr>
                <w:rFonts w:hint="eastAsia" w:ascii="宋体" w:hAnsi="宋体"/>
                <w:color w:val="auto"/>
                <w:highlight w:val="none"/>
                <w:u w:val="single"/>
                <w:lang w:val="en-US" w:eastAsia="zh-CN"/>
              </w:rPr>
              <w:t>1.5</w:t>
            </w:r>
            <w:r>
              <w:rPr>
                <w:rFonts w:hint="eastAsia" w:ascii="宋体" w:hAnsi="宋体"/>
                <w:color w:val="auto"/>
                <w:highlight w:val="none"/>
                <w:u w:val="single"/>
              </w:rPr>
              <w:t>分</w:t>
            </w:r>
            <w:r>
              <w:rPr>
                <w:rFonts w:hint="eastAsia" w:ascii="宋体" w:hAnsi="宋体"/>
                <w:color w:val="auto"/>
                <w:highlight w:val="none"/>
              </w:rPr>
              <w:t>，</w:t>
            </w:r>
            <w:r>
              <w:rPr>
                <w:rFonts w:ascii="宋体" w:hAnsi="宋体"/>
                <w:color w:val="auto"/>
                <w:highlight w:val="none"/>
              </w:rPr>
              <w:t>本项评议最终得分</w:t>
            </w:r>
            <w:r>
              <w:rPr>
                <w:rFonts w:hint="eastAsia" w:ascii="宋体" w:hAnsi="宋体"/>
                <w:color w:val="auto"/>
                <w:highlight w:val="none"/>
                <w:lang w:val="en-US" w:eastAsia="zh-CN"/>
              </w:rPr>
              <w:t>≤</w:t>
            </w:r>
            <w:r>
              <w:rPr>
                <w:rFonts w:hint="eastAsia" w:ascii="宋体" w:hAnsi="宋体"/>
                <w:color w:val="auto"/>
                <w:highlight w:val="none"/>
              </w:rPr>
              <w:t>0</w:t>
            </w:r>
            <w:r>
              <w:rPr>
                <w:rFonts w:ascii="宋体" w:hAnsi="宋体"/>
                <w:color w:val="auto"/>
                <w:highlight w:val="none"/>
              </w:rPr>
              <w:t>分</w:t>
            </w:r>
            <w:r>
              <w:rPr>
                <w:rFonts w:hint="eastAsia" w:ascii="宋体" w:hAnsi="宋体"/>
                <w:color w:val="auto"/>
                <w:highlight w:val="none"/>
              </w:rPr>
              <w:t>的</w:t>
            </w:r>
            <w:r>
              <w:rPr>
                <w:rFonts w:ascii="宋体" w:hAnsi="宋体"/>
                <w:color w:val="auto"/>
                <w:highlight w:val="none"/>
              </w:rPr>
              <w:t>视为</w:t>
            </w:r>
            <w:r>
              <w:rPr>
                <w:rFonts w:hint="eastAsia" w:ascii="宋体" w:hAnsi="宋体"/>
                <w:color w:val="auto"/>
                <w:highlight w:val="none"/>
              </w:rPr>
              <w:t>供应商无能力履约，作无效响应处理。</w:t>
            </w:r>
          </w:p>
          <w:p>
            <w:pPr>
              <w:adjustRightInd w:val="0"/>
              <w:snapToGrid w:val="0"/>
              <w:spacing w:line="340" w:lineRule="exact"/>
              <w:rPr>
                <w:rFonts w:ascii="宋体" w:hAnsi="宋体"/>
                <w:highlight w:val="none"/>
              </w:rPr>
            </w:pPr>
            <w:r>
              <w:rPr>
                <w:rFonts w:hint="eastAsia" w:ascii="宋体" w:hAnsi="宋体"/>
                <w:color w:val="auto"/>
                <w:highlight w:val="none"/>
              </w:rPr>
              <w:t>注：根据</w:t>
            </w:r>
            <w:r>
              <w:rPr>
                <w:rFonts w:hint="eastAsia" w:ascii="宋体" w:hAnsi="宋体"/>
                <w:color w:val="auto"/>
                <w:highlight w:val="none"/>
                <w:lang w:val="en-US" w:eastAsia="zh-CN"/>
              </w:rPr>
              <w:t>线路要求、通用要求</w:t>
            </w:r>
            <w:r>
              <w:rPr>
                <w:rFonts w:hint="eastAsia" w:ascii="宋体" w:hAnsi="宋体"/>
                <w:color w:val="auto"/>
                <w:highlight w:val="none"/>
              </w:rPr>
              <w:t>响应表响应情况评议。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restart"/>
            <w:noWrap w:val="0"/>
            <w:vAlign w:val="center"/>
          </w:tcPr>
          <w:p>
            <w:pPr>
              <w:adjustRightInd w:val="0"/>
              <w:snapToGrid w:val="0"/>
              <w:rPr>
                <w:rFonts w:hint="default" w:ascii="宋体" w:hAnsi="宋体" w:eastAsia="宋体"/>
                <w:highlight w:val="none"/>
                <w:lang w:val="en-US" w:eastAsia="zh-CN"/>
              </w:rPr>
            </w:pPr>
            <w:r>
              <w:rPr>
                <w:rFonts w:hint="eastAsia" w:ascii="宋体" w:hAnsi="宋体"/>
                <w:highlight w:val="none"/>
                <w:lang w:val="en-US" w:eastAsia="zh-CN"/>
              </w:rPr>
              <w:t>2.行程安排方案（45分）</w:t>
            </w: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2.1根据供应商针对本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提供的各条线路行程设计进行评议（包</w:t>
            </w:r>
            <w:r>
              <w:rPr>
                <w:rFonts w:hint="eastAsia" w:ascii="宋体" w:hAnsi="宋体" w:cs="Times New Roman"/>
                <w:highlight w:val="none"/>
                <w:lang w:val="en-US" w:eastAsia="zh-CN"/>
              </w:rPr>
              <w:t>括</w:t>
            </w:r>
            <w:r>
              <w:rPr>
                <w:rFonts w:hint="eastAsia" w:ascii="宋体" w:hAnsi="宋体" w:eastAsia="宋体" w:cs="Times New Roman"/>
                <w:highlight w:val="none"/>
                <w:lang w:val="en-US" w:eastAsia="zh-CN"/>
              </w:rPr>
              <w:t>主题策划、景点介绍、游玩内容、时间安排）</w:t>
            </w:r>
            <w:r>
              <w:rPr>
                <w:rFonts w:hint="eastAsia" w:ascii="宋体" w:hAnsi="宋体" w:cs="Times New Roman"/>
                <w:highlight w:val="none"/>
                <w:lang w:eastAsia="zh-CN"/>
              </w:rPr>
              <w:t>（</w:t>
            </w:r>
            <w:r>
              <w:rPr>
                <w:rFonts w:hint="eastAsia" w:ascii="宋体" w:hAnsi="宋体" w:cs="Times New Roman"/>
                <w:highlight w:val="none"/>
                <w:lang w:val="en-US" w:eastAsia="zh-CN"/>
              </w:rPr>
              <w:t>8分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2.1.1供应商提供的各条线路行程设计每包含上述一个点的得基本分0.5分，共2分。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2.1.2主题策划明晰且与线路相适宜的得1.5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分；体现的主题与线路欠适宜的得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2.1.3景点介绍详细且具有吸引力的得1.5分</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；详细介绍了景点但吸引力不足的得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2.1.4游玩内容多样且适宜职工各年龄层的得1.5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分；游玩内容单调、不适合职工各年龄层的得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2.1.5景点游玩时间及景点与景点之间时间安排合理的得1.5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rPr>
                <w:rFonts w:ascii="宋体" w:hAnsi="宋体"/>
                <w:highlight w:val="none"/>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提供的各条线路就餐安排</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进行评议（包括时间安排、地点选择、环境舒适度）</w:t>
            </w:r>
            <w:r>
              <w:rPr>
                <w:rFonts w:hint="eastAsia" w:ascii="宋体" w:hAnsi="宋体" w:cs="Times New Roman"/>
                <w:highlight w:val="none"/>
                <w:lang w:eastAsia="zh-CN"/>
              </w:rPr>
              <w:t>（</w:t>
            </w:r>
            <w:r>
              <w:rPr>
                <w:rFonts w:hint="eastAsia" w:ascii="宋体" w:hAnsi="宋体" w:cs="Times New Roman"/>
                <w:highlight w:val="none"/>
                <w:lang w:val="en-US" w:eastAsia="zh-CN"/>
              </w:rPr>
              <w:t>6分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2.2.1供应商提供的各条线路就餐安排方案每包含上述一个点的得基本分0.5分，共1.5分。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2.2.2就餐时间安排合理、能避开用餐高峰期的得1.5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2.2.3就餐地点选择与下一行程点距离相适宜的得1.5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分；就餐地点选择与下一行程点距离稍远的得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2.2.4就餐地点周边环境宜人、餐厅内部环境整洁的得1.5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分；就餐地点周边环境、餐厅内部环境一般的得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提供的各条线路就餐标准</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进行评议（包括餐饮人均费用、菜肴搭配、菜品数量）（6分）：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2.3.1供应商提供的各条线路就餐标准方案每包含上述一个点的得基本分0.5分，共1.5分。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2.3.2餐饮人均费</w:t>
            </w:r>
            <w:r>
              <w:rPr>
                <w:rFonts w:hint="eastAsia" w:ascii="宋体" w:hAnsi="宋体" w:eastAsia="宋体" w:cs="Times New Roman"/>
                <w:color w:val="auto"/>
                <w:highlight w:val="none"/>
                <w:lang w:val="en-US" w:eastAsia="zh-CN"/>
              </w:rPr>
              <w:t>用≥50元每</w:t>
            </w:r>
            <w:r>
              <w:rPr>
                <w:rFonts w:hint="eastAsia" w:ascii="宋体" w:hAnsi="宋体" w:eastAsia="宋体" w:cs="Times New Roman"/>
                <w:highlight w:val="none"/>
                <w:lang w:val="en-US" w:eastAsia="zh-CN"/>
              </w:rPr>
              <w:t>餐的得1.5分。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2.3.3菜肴搭配种类丰富适合职工各年龄层的得1.5分-1；菜肴搭配种类单调、不适合职工各年龄层的得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2.3.4就餐菜品数量每桌提供“十菜一汤一果盘”及以上的得1.5分；“七菜一汤一果盘”及以上的得0.5分。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提供的各条线路住宿安排进行评议（包括地理位置、周边环境）（4分）：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2.4.1供应商提供的各条线路住宿安排方案每包含上述一个点的得基本分0.5分，共1分。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2.4.2地理位置优越、周边交通和公共配套设施齐全的得2-1分；地理位置、城市交通和公共配套设施有欠缺的得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2.4.3酒店附近环境宜人的得1-0.7分；酒店附近环境较舒适的得0.</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提供的各条线路住宿标准进行评议（包括内部环境、配套服务、配套设施）（6分）：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2.5.1供应商提供的各条线路住宿标准方案每包含上述一个点的得基本分0.5分，共1.5分。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2.5.2内部环境高雅、客房面积宽敞的得1.5-1分；内部环境精致、客房面积与入住人数相适宜的得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2.5.3配套服务贴心周全的得1.5-1分；配套服务稍欠全面的得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2.5.4酒店配套设施完善的得1.5-1分；酒店配套设施仅能满足日常基本需求的得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提供的各线路通行安排进行评议（包括通行班次时间安排、乘坐舒适度）（4分）：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2.6.1供应商提供的各条线路通行安排方案每包含上述一个点的得基本分0.5分，共1分。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2.6.2出发及回程班次时间安排合理、无中转站的得1.5-1分；出发及回程班次时间安排欠合理、无中转站的得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2.6.3乘坐感受舒适度佳的得1.5-1分；乘坐感受普通的得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-0.5分。（提供对应班次交通工具内部照片）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提供的各线路用车标准进行评议（包括新旧程度、乘坐舒适度）（6分）：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2.7.1供应商提供的各条线路用车标准方案每包含上述一个点的得基本分1分，共2分。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2.7.2所用车辆均为三年以内（含）客车的得2分；所用车辆均为五年以内（含）客车的得1分。（以行驶证注册日期至响应截止日期为限）</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2.7.3所用车辆内部整洁、空间宽敞、乘坐舒适度佳的得2-1分；所用车辆内部整洁、空间及舒适度稍显不足的得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-0.5分。（提供车辆内部照片）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提供的各线路驾驶人员安排（包括驾驶员年龄及驾驶经验、后备驾驶人员保障）进行评议（5分）：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2.8.1供应商提供的各条线路驾驶人员安排方案每包含上述一个点的得基本分0.5分，共1分。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2.8.2驾驶人员年龄≤5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岁的且驾龄≥8年的得2分；驾驶人员年龄≤5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岁的且驾龄≥5年的得1分。（以驾驶证为准）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2.8.3承诺能提供同档次后备驾驶人员的得2分。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拟派服务人员的数量、岗位分工、经验能力进行评议（6分）：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3.1供应商提供的拟派服务人员信息包含数量、岗位分工、经验能力的得基本分1分。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3.2拟派服务人员的数量与本项目相适宜的得1分。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3.3拟派服务人员的岗位分工合理明确的得2-1分；拟派服务人员的岗位分工明确、合理性稍有欠缺的得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3.4拟派服务人员的专业素质能力强、经验丰富的得2-1分；拟派服务人员的专业素质能力一般、有过类似项目经历的得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4.内部管理制度（6分）：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根据供应商提供的人事管理制度、安全管理制度、导游员管理制度、考勤制度、奖惩制度、投诉处理制度进行评议。</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以上六项制度完善、合理的每项最高得1分，制度不详细，有欠缺的每项最高得0.5分；未提供不得分。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提供的人生安全保障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、交通安全保障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、食品安全保障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、个人财产安全保障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以上四项安全保障</w:t>
            </w:r>
            <w:r>
              <w:rPr>
                <w:rFonts w:hint="eastAsia" w:ascii="宋体" w:hAnsi="宋体" w:cs="Times New Roman"/>
                <w:highlight w:val="none"/>
                <w:lang w:val="en-US" w:eastAsia="zh-CN"/>
              </w:rPr>
              <w:t>措施</w:t>
            </w:r>
            <w:r>
              <w:rPr>
                <w:rFonts w:hint="eastAsia" w:ascii="宋体" w:hAnsi="宋体" w:cs="宋体"/>
                <w:szCs w:val="21"/>
                <w:highlight w:val="none"/>
                <w:lang w:eastAsia="zh-Hans"/>
              </w:rPr>
              <w:t>明确</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eastAsia="宋体" w:cs="Times New Roman"/>
                <w:highlight w:val="none"/>
                <w:lang w:val="en-US" w:eastAsia="zh-CN"/>
              </w:rPr>
              <w:t>的每项最高得1.5分，安全保障</w:t>
            </w:r>
            <w:r>
              <w:rPr>
                <w:rFonts w:hint="eastAsia" w:ascii="宋体" w:hAnsi="宋体" w:cs="Times New Roman"/>
                <w:highlight w:val="none"/>
                <w:lang w:val="en-US" w:eastAsia="zh-CN"/>
              </w:rPr>
              <w:t>措施一般</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cs="宋体"/>
                <w:szCs w:val="21"/>
                <w:highlight w:val="none"/>
                <w:lang w:val="en-US" w:eastAsia="zh-CN"/>
              </w:rPr>
              <w:t>程度</w:t>
            </w:r>
            <w:r>
              <w:rPr>
                <w:rFonts w:hint="eastAsia" w:ascii="宋体" w:hAnsi="宋体" w:eastAsia="宋体" w:cs="Times New Roman"/>
                <w:highlight w:val="none"/>
                <w:lang w:val="en-US" w:eastAsia="zh-CN"/>
              </w:rPr>
              <w:t>有欠缺的每项最高得1分；未提供不得分。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w:t>
            </w:r>
            <w:r>
              <w:rPr>
                <w:rFonts w:hint="eastAsia" w:ascii="宋体" w:hAnsi="宋体" w:eastAsia="宋体" w:cs="Times New Roman"/>
                <w:highlight w:val="none"/>
                <w:lang w:val="zh-CN" w:eastAsia="zh-CN"/>
              </w:rPr>
              <w:t>的</w:t>
            </w:r>
            <w:r>
              <w:rPr>
                <w:rFonts w:hint="eastAsia" w:ascii="宋体" w:hAnsi="宋体" w:eastAsia="宋体" w:cs="Times New Roman"/>
                <w:highlight w:val="none"/>
                <w:lang w:val="en-US" w:eastAsia="zh-CN"/>
              </w:rPr>
              <w:t>恶劣天气应急预案、交通工具故障应急预案、交通事故应急预案、人身意外应急保障预案进行评议（6分）：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内容合理高效</w:t>
            </w:r>
            <w:r>
              <w:rPr>
                <w:rFonts w:hint="eastAsia" w:ascii="宋体" w:hAnsi="宋体" w:eastAsia="宋体" w:cs="Times New Roman"/>
                <w:highlight w:val="none"/>
                <w:lang w:val="en-US" w:eastAsia="zh-CN"/>
              </w:rPr>
              <w:t>的每项最高得1.5分，</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合理性稍</w:t>
            </w:r>
            <w:r>
              <w:rPr>
                <w:rFonts w:hint="eastAsia" w:ascii="宋体" w:hAnsi="宋体" w:eastAsia="宋体" w:cs="Times New Roman"/>
                <w:highlight w:val="none"/>
                <w:lang w:val="en-US" w:eastAsia="zh-CN"/>
              </w:rPr>
              <w:t>有欠缺</w:t>
            </w:r>
            <w:r>
              <w:rPr>
                <w:rFonts w:hint="eastAsia" w:ascii="宋体" w:hAnsi="宋体" w:cs="Times New Roman"/>
                <w:highlight w:val="none"/>
                <w:lang w:val="en-US" w:eastAsia="zh-CN"/>
              </w:rPr>
              <w:t>、实施效率一般</w:t>
            </w:r>
            <w:r>
              <w:rPr>
                <w:rFonts w:hint="eastAsia" w:ascii="宋体" w:hAnsi="宋体" w:eastAsia="宋体" w:cs="Times New Roman"/>
                <w:highlight w:val="none"/>
                <w:lang w:val="en-US" w:eastAsia="zh-CN"/>
              </w:rPr>
              <w:t>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7.对供应商2020年至今具有的类似项目业绩进行评议（1分）。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zh-CN" w:eastAsia="zh-CN"/>
              </w:rPr>
              <w:t>20</w:t>
            </w:r>
            <w:r>
              <w:rPr>
                <w:rFonts w:hint="eastAsia" w:ascii="宋体" w:hAnsi="宋体" w:eastAsia="宋体" w:cs="Times New Roman"/>
                <w:highlight w:val="none"/>
                <w:lang w:val="en-US" w:eastAsia="zh-CN"/>
              </w:rPr>
              <w:t>20</w:t>
            </w:r>
            <w:r>
              <w:rPr>
                <w:rFonts w:hint="eastAsia" w:ascii="宋体" w:hAnsi="宋体" w:eastAsia="宋体" w:cs="Times New Roman"/>
                <w:highlight w:val="none"/>
                <w:lang w:val="zh-CN" w:eastAsia="zh-CN"/>
              </w:rPr>
              <w:t>年1月1日至今承办过职工疗休养项目的每个得0.5分，最高1分。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注：响应文件内提供合同（协议）的复印件，合同（协议）的签订日期为2020年1月1日及以后，不符合要求的不予计分。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51" w:type="dxa"/>
            <w:noWrap w:val="0"/>
            <w:vAlign w:val="center"/>
          </w:tcPr>
          <w:p>
            <w:pPr>
              <w:adjustRightInd w:val="0"/>
              <w:spacing w:line="340" w:lineRule="exact"/>
              <w:ind w:left="630" w:hanging="630" w:hangingChars="300"/>
              <w:jc w:val="center"/>
              <w:textAlignment w:val="baseline"/>
              <w:rPr>
                <w:rFonts w:hint="eastAsia" w:ascii="宋体" w:hAnsi="宋体"/>
                <w:kern w:val="0"/>
                <w:highlight w:val="none"/>
              </w:rPr>
            </w:pPr>
            <w:r>
              <w:rPr>
                <w:rFonts w:hint="eastAsia" w:ascii="宋体" w:hAnsi="宋体"/>
                <w:kern w:val="0"/>
                <w:highlight w:val="none"/>
              </w:rPr>
              <w:t>价格</w:t>
            </w:r>
          </w:p>
          <w:p>
            <w:pPr>
              <w:adjustRightInd w:val="0"/>
              <w:spacing w:line="340" w:lineRule="exact"/>
              <w:ind w:left="630" w:hanging="630" w:hangingChars="300"/>
              <w:jc w:val="center"/>
              <w:textAlignment w:val="baseline"/>
              <w:rPr>
                <w:rFonts w:ascii="宋体" w:hAnsi="宋体"/>
                <w:kern w:val="0"/>
                <w:highlight w:val="none"/>
              </w:rPr>
            </w:pPr>
            <w:r>
              <w:rPr>
                <w:rFonts w:hint="eastAsia" w:ascii="宋体" w:hAnsi="宋体"/>
                <w:kern w:val="0"/>
                <w:highlight w:val="none"/>
                <w:lang w:val="en-US" w:eastAsia="zh-CN"/>
              </w:rPr>
              <w:t xml:space="preserve">10 </w:t>
            </w:r>
            <w:r>
              <w:rPr>
                <w:rFonts w:hint="eastAsia" w:ascii="宋体" w:hAnsi="宋体"/>
                <w:kern w:val="0"/>
                <w:highlight w:val="none"/>
              </w:rPr>
              <w:t>分</w:t>
            </w:r>
          </w:p>
        </w:tc>
        <w:tc>
          <w:tcPr>
            <w:tcW w:w="8080" w:type="dxa"/>
            <w:gridSpan w:val="2"/>
            <w:noWrap w:val="0"/>
            <w:vAlign w:val="center"/>
          </w:tcPr>
          <w:p>
            <w:pPr>
              <w:spacing w:line="340" w:lineRule="exact"/>
              <w:jc w:val="left"/>
              <w:rPr>
                <w:rFonts w:ascii="宋体" w:hAnsi="宋体"/>
                <w:highlight w:val="none"/>
              </w:rPr>
            </w:pPr>
            <w:r>
              <w:rPr>
                <w:rFonts w:hint="eastAsia" w:ascii="宋体" w:hAnsi="宋体"/>
                <w:highlight w:val="none"/>
              </w:rPr>
              <w:t>参与评审的价格=最终报价</w:t>
            </w:r>
          </w:p>
          <w:p>
            <w:pPr>
              <w:spacing w:line="340" w:lineRule="exact"/>
              <w:jc w:val="left"/>
              <w:rPr>
                <w:rFonts w:ascii="宋体" w:hAnsi="宋体"/>
                <w:highlight w:val="none"/>
              </w:rPr>
            </w:pPr>
            <w:r>
              <w:rPr>
                <w:rFonts w:hint="eastAsia" w:ascii="宋体" w:hAnsi="宋体"/>
                <w:highlight w:val="none"/>
              </w:rPr>
              <w:t>对应线路磋商基准价=满足采购文件要求且“参与评审的价格”中最低的价格为磋商基准价，其此线路价格分为满分。其他供应商的价格分统一按照下列公式计算:</w:t>
            </w:r>
          </w:p>
          <w:p>
            <w:pPr>
              <w:spacing w:line="340" w:lineRule="exact"/>
              <w:jc w:val="left"/>
              <w:rPr>
                <w:rFonts w:ascii="宋体" w:hAnsi="宋体"/>
                <w:highlight w:val="none"/>
              </w:rPr>
            </w:pPr>
            <w:r>
              <w:rPr>
                <w:rFonts w:hint="eastAsia" w:ascii="宋体" w:hAnsi="宋体"/>
                <w:highlight w:val="none"/>
                <w:lang w:val="en-US" w:eastAsia="zh-CN"/>
              </w:rPr>
              <w:t>安徽</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安徽</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lang w:val="en-US" w:eastAsia="zh-CN"/>
              </w:rPr>
              <w:t>宁波周边</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宁波周边</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rPr>
              <w:t>价格总分等于各线路报价得分总和。</w:t>
            </w:r>
          </w:p>
        </w:tc>
      </w:tr>
    </w:tbl>
    <w:p>
      <w:pPr>
        <w:widowControl/>
        <w:jc w:val="left"/>
        <w:rPr>
          <w:rFonts w:ascii="宋体" w:hAnsi="宋体"/>
          <w:color w:val="auto"/>
          <w:spacing w:val="14"/>
          <w:highlight w:val="none"/>
        </w:rPr>
      </w:pPr>
      <w:r>
        <w:rPr>
          <w:rFonts w:hint="eastAsia" w:ascii="宋体" w:hAnsi="宋体"/>
          <w:color w:val="auto"/>
          <w:spacing w:val="14"/>
          <w:highlight w:val="none"/>
        </w:rPr>
        <w:t>评委签名：                                 日  期：</w:t>
      </w:r>
    </w:p>
    <w:p>
      <w:pPr>
        <w:spacing w:line="360" w:lineRule="auto"/>
        <w:jc w:val="center"/>
        <w:outlineLvl w:val="0"/>
        <w:rPr>
          <w:rFonts w:ascii="宋体" w:hAnsi="宋体" w:cs="宋体"/>
          <w:color w:val="auto"/>
          <w:highlight w:val="none"/>
        </w:rPr>
      </w:pPr>
    </w:p>
    <w:p>
      <w:pPr>
        <w:spacing w:line="360" w:lineRule="auto"/>
        <w:jc w:val="center"/>
        <w:outlineLvl w:val="0"/>
        <w:rPr>
          <w:rFonts w:ascii="宋体" w:hAnsi="宋体" w:cs="宋体"/>
          <w:color w:val="auto"/>
          <w:highlight w:val="none"/>
        </w:rPr>
      </w:pPr>
    </w:p>
    <w:p>
      <w:pPr>
        <w:pStyle w:val="21"/>
        <w:snapToGrid w:val="0"/>
        <w:spacing w:line="360" w:lineRule="auto"/>
        <w:ind w:firstLine="413" w:firstLineChars="196"/>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评审标准（</w:t>
      </w:r>
      <w:r>
        <w:rPr>
          <w:rFonts w:hint="eastAsia" w:ascii="宋体" w:hAnsi="宋体" w:eastAsia="宋体"/>
          <w:b/>
          <w:color w:val="auto"/>
          <w:sz w:val="21"/>
          <w:szCs w:val="21"/>
          <w:highlight w:val="none"/>
          <w:lang w:val="en-US" w:eastAsia="zh-CN"/>
        </w:rPr>
        <w:t>标项三</w:t>
      </w:r>
      <w:r>
        <w:rPr>
          <w:rFonts w:hint="eastAsia" w:ascii="宋体" w:hAnsi="宋体" w:eastAsia="宋体"/>
          <w:b/>
          <w:color w:val="auto"/>
          <w:sz w:val="21"/>
          <w:szCs w:val="21"/>
          <w:highlight w:val="none"/>
        </w:rPr>
        <w:t>）</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0"/>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51" w:type="dxa"/>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评审项目</w:t>
            </w:r>
          </w:p>
        </w:tc>
        <w:tc>
          <w:tcPr>
            <w:tcW w:w="8080" w:type="dxa"/>
            <w:gridSpan w:val="2"/>
            <w:noWrap w:val="0"/>
            <w:vAlign w:val="center"/>
          </w:tcPr>
          <w:p>
            <w:pPr>
              <w:adjustRightInd w:val="0"/>
              <w:snapToGrid w:val="0"/>
              <w:spacing w:line="340" w:lineRule="exact"/>
              <w:jc w:val="center"/>
              <w:rPr>
                <w:rFonts w:ascii="宋体" w:hAnsi="宋体" w:cs="宋体"/>
                <w:kern w:val="0"/>
                <w:highlight w:val="none"/>
              </w:rPr>
            </w:pPr>
            <w:r>
              <w:rPr>
                <w:rFonts w:hint="eastAsia" w:ascii="宋体" w:hAnsi="宋体" w:cs="宋体"/>
                <w:kern w:val="0"/>
                <w:highlight w:val="none"/>
              </w:rPr>
              <w:t>评审因素及分值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51" w:type="dxa"/>
            <w:vMerge w:val="restart"/>
            <w:noWrap w:val="0"/>
            <w:vAlign w:val="center"/>
          </w:tcPr>
          <w:p>
            <w:pPr>
              <w:adjustRightInd w:val="0"/>
              <w:snapToGrid w:val="0"/>
              <w:spacing w:line="340" w:lineRule="exact"/>
              <w:rPr>
                <w:rFonts w:ascii="宋体" w:hAnsi="宋体" w:cs="宋体"/>
                <w:kern w:val="0"/>
                <w:highlight w:val="none"/>
              </w:rPr>
            </w:pPr>
            <w:r>
              <w:rPr>
                <w:rFonts w:hint="eastAsia" w:ascii="宋体" w:hAnsi="宋体" w:cs="宋体"/>
                <w:kern w:val="0"/>
                <w:highlight w:val="none"/>
              </w:rPr>
              <w:t>商务技术</w:t>
            </w:r>
            <w:r>
              <w:rPr>
                <w:rFonts w:hint="eastAsia" w:ascii="宋体" w:hAnsi="宋体" w:cs="宋体"/>
                <w:kern w:val="0"/>
                <w:highlight w:val="none"/>
                <w:lang w:val="en-US" w:eastAsia="zh-CN"/>
              </w:rPr>
              <w:t>90</w:t>
            </w:r>
            <w:r>
              <w:rPr>
                <w:rFonts w:hint="eastAsia" w:ascii="宋体" w:hAnsi="宋体" w:cs="宋体"/>
                <w:kern w:val="0"/>
                <w:highlight w:val="none"/>
              </w:rPr>
              <w:t>分</w:t>
            </w:r>
          </w:p>
        </w:tc>
        <w:tc>
          <w:tcPr>
            <w:tcW w:w="8080" w:type="dxa"/>
            <w:gridSpan w:val="2"/>
            <w:noWrap w:val="0"/>
            <w:vAlign w:val="center"/>
          </w:tcPr>
          <w:p>
            <w:pPr>
              <w:adjustRightInd w:val="0"/>
              <w:snapToGrid w:val="0"/>
              <w:spacing w:line="340" w:lineRule="exact"/>
              <w:rPr>
                <w:rFonts w:ascii="宋体" w:hAnsi="宋体"/>
                <w:color w:val="auto"/>
                <w:highlight w:val="none"/>
              </w:rPr>
            </w:pPr>
            <w:r>
              <w:rPr>
                <w:rFonts w:hint="eastAsia" w:ascii="宋体" w:hAnsi="宋体"/>
                <w:highlight w:val="none"/>
              </w:rPr>
              <w:t>1.</w:t>
            </w:r>
            <w:r>
              <w:rPr>
                <w:rFonts w:hint="eastAsia" w:ascii="宋体" w:hAnsi="宋体" w:cs="宋体"/>
                <w:color w:val="auto"/>
                <w:kern w:val="0"/>
                <w:highlight w:val="none"/>
              </w:rPr>
              <w:t>磋商响应情况（</w:t>
            </w: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分）：</w:t>
            </w:r>
          </w:p>
          <w:p>
            <w:pPr>
              <w:adjustRightInd w:val="0"/>
              <w:snapToGrid w:val="0"/>
              <w:spacing w:line="340" w:lineRule="exact"/>
              <w:rPr>
                <w:rFonts w:ascii="宋体" w:hAnsi="宋体"/>
                <w:color w:val="auto"/>
                <w:highlight w:val="none"/>
              </w:rPr>
            </w:pPr>
            <w:r>
              <w:rPr>
                <w:rFonts w:hint="eastAsia" w:ascii="宋体" w:hAnsi="宋体"/>
                <w:color w:val="auto"/>
                <w:highlight w:val="none"/>
              </w:rPr>
              <w:t>根据供应商对磋商文件《第二章  采购需求》</w:t>
            </w:r>
            <w:r>
              <w:rPr>
                <w:rFonts w:hint="eastAsia" w:ascii="宋体" w:hAnsi="宋体"/>
                <w:color w:val="auto"/>
                <w:highlight w:val="none"/>
                <w:lang w:val="en-US" w:eastAsia="zh-CN"/>
              </w:rPr>
              <w:t>中“线路要求、通用要求”</w:t>
            </w:r>
            <w:r>
              <w:rPr>
                <w:rFonts w:hint="eastAsia" w:ascii="宋体" w:hAnsi="宋体"/>
                <w:color w:val="auto"/>
                <w:highlight w:val="none"/>
              </w:rPr>
              <w:t>的响应情况进行评议（</w:t>
            </w:r>
            <w:r>
              <w:rPr>
                <w:rFonts w:hint="eastAsia" w:ascii="宋体" w:hAnsi="宋体"/>
                <w:color w:val="auto"/>
                <w:highlight w:val="none"/>
                <w:lang w:val="en-US" w:eastAsia="zh-CN"/>
              </w:rPr>
              <w:t>20</w:t>
            </w:r>
            <w:r>
              <w:rPr>
                <w:rFonts w:hint="eastAsia" w:ascii="宋体" w:hAnsi="宋体"/>
                <w:color w:val="auto"/>
                <w:highlight w:val="none"/>
              </w:rPr>
              <w:t>分），每负偏离或未响应1条非实质性要求的</w:t>
            </w:r>
            <w:r>
              <w:rPr>
                <w:rFonts w:hint="eastAsia" w:ascii="宋体" w:hAnsi="宋体"/>
                <w:color w:val="auto"/>
                <w:highlight w:val="none"/>
                <w:u w:val="single"/>
              </w:rPr>
              <w:t>扣</w:t>
            </w:r>
            <w:r>
              <w:rPr>
                <w:rFonts w:hint="eastAsia" w:ascii="宋体" w:hAnsi="宋体"/>
                <w:color w:val="auto"/>
                <w:highlight w:val="none"/>
                <w:u w:val="single"/>
                <w:lang w:val="en-US" w:eastAsia="zh-CN"/>
              </w:rPr>
              <w:t>1.5</w:t>
            </w:r>
            <w:r>
              <w:rPr>
                <w:rFonts w:hint="eastAsia" w:ascii="宋体" w:hAnsi="宋体"/>
                <w:color w:val="auto"/>
                <w:highlight w:val="none"/>
                <w:u w:val="single"/>
              </w:rPr>
              <w:t>分</w:t>
            </w:r>
            <w:r>
              <w:rPr>
                <w:rFonts w:hint="eastAsia" w:ascii="宋体" w:hAnsi="宋体"/>
                <w:color w:val="auto"/>
                <w:highlight w:val="none"/>
              </w:rPr>
              <w:t>，</w:t>
            </w:r>
            <w:r>
              <w:rPr>
                <w:rFonts w:ascii="宋体" w:hAnsi="宋体"/>
                <w:color w:val="auto"/>
                <w:highlight w:val="none"/>
              </w:rPr>
              <w:t>本项评议最终得分</w:t>
            </w:r>
            <w:r>
              <w:rPr>
                <w:rFonts w:hint="eastAsia" w:ascii="宋体" w:hAnsi="宋体"/>
                <w:color w:val="auto"/>
                <w:highlight w:val="none"/>
                <w:lang w:val="en-US" w:eastAsia="zh-CN"/>
              </w:rPr>
              <w:t>≤</w:t>
            </w:r>
            <w:r>
              <w:rPr>
                <w:rFonts w:hint="eastAsia" w:ascii="宋体" w:hAnsi="宋体"/>
                <w:color w:val="auto"/>
                <w:highlight w:val="none"/>
              </w:rPr>
              <w:t>0</w:t>
            </w:r>
            <w:r>
              <w:rPr>
                <w:rFonts w:ascii="宋体" w:hAnsi="宋体"/>
                <w:color w:val="auto"/>
                <w:highlight w:val="none"/>
              </w:rPr>
              <w:t>分</w:t>
            </w:r>
            <w:r>
              <w:rPr>
                <w:rFonts w:hint="eastAsia" w:ascii="宋体" w:hAnsi="宋体"/>
                <w:color w:val="auto"/>
                <w:highlight w:val="none"/>
              </w:rPr>
              <w:t>的</w:t>
            </w:r>
            <w:r>
              <w:rPr>
                <w:rFonts w:ascii="宋体" w:hAnsi="宋体"/>
                <w:color w:val="auto"/>
                <w:highlight w:val="none"/>
              </w:rPr>
              <w:t>视为</w:t>
            </w:r>
            <w:r>
              <w:rPr>
                <w:rFonts w:hint="eastAsia" w:ascii="宋体" w:hAnsi="宋体"/>
                <w:color w:val="auto"/>
                <w:highlight w:val="none"/>
              </w:rPr>
              <w:t>供应商无能力履约，作无效响应处理。</w:t>
            </w:r>
          </w:p>
          <w:p>
            <w:pPr>
              <w:adjustRightInd w:val="0"/>
              <w:snapToGrid w:val="0"/>
              <w:spacing w:line="340" w:lineRule="exact"/>
              <w:rPr>
                <w:rFonts w:ascii="宋体" w:hAnsi="宋体"/>
                <w:highlight w:val="none"/>
              </w:rPr>
            </w:pPr>
            <w:r>
              <w:rPr>
                <w:rFonts w:hint="eastAsia" w:ascii="宋体" w:hAnsi="宋体"/>
                <w:color w:val="auto"/>
                <w:highlight w:val="none"/>
              </w:rPr>
              <w:t>注：根据</w:t>
            </w:r>
            <w:r>
              <w:rPr>
                <w:rFonts w:hint="eastAsia" w:ascii="宋体" w:hAnsi="宋体"/>
                <w:color w:val="auto"/>
                <w:highlight w:val="none"/>
                <w:lang w:val="en-US" w:eastAsia="zh-CN"/>
              </w:rPr>
              <w:t>线路要求、通用要求</w:t>
            </w:r>
            <w:r>
              <w:rPr>
                <w:rFonts w:hint="eastAsia" w:ascii="宋体" w:hAnsi="宋体"/>
                <w:color w:val="auto"/>
                <w:highlight w:val="none"/>
              </w:rPr>
              <w:t>响应表响应情况评议。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restart"/>
            <w:noWrap w:val="0"/>
            <w:vAlign w:val="center"/>
          </w:tcPr>
          <w:p>
            <w:pPr>
              <w:adjustRightInd w:val="0"/>
              <w:snapToGrid w:val="0"/>
              <w:rPr>
                <w:rFonts w:hint="default" w:ascii="宋体" w:hAnsi="宋体" w:eastAsia="宋体" w:cs="Times New Roman"/>
                <w:kern w:val="2"/>
                <w:sz w:val="21"/>
                <w:szCs w:val="21"/>
                <w:highlight w:val="none"/>
                <w:lang w:val="en-US" w:eastAsia="zh-CN" w:bidi="ar-SA"/>
              </w:rPr>
            </w:pPr>
            <w:r>
              <w:rPr>
                <w:rFonts w:hint="eastAsia" w:ascii="宋体" w:hAnsi="宋体"/>
                <w:highlight w:val="none"/>
                <w:lang w:val="en-US" w:eastAsia="zh-CN"/>
              </w:rPr>
              <w:t>2.行程安排方案（45分）</w:t>
            </w:r>
          </w:p>
          <w:p>
            <w:pPr>
              <w:adjustRightInd w:val="0"/>
              <w:snapToGrid w:val="0"/>
              <w:rPr>
                <w:rFonts w:hint="default" w:ascii="宋体" w:hAnsi="宋体" w:eastAsia="宋体"/>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2.1根据供应商针对本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提供的各条线路行程设计进行评议（包</w:t>
            </w:r>
            <w:r>
              <w:rPr>
                <w:rFonts w:hint="eastAsia" w:ascii="宋体" w:hAnsi="宋体" w:cs="Times New Roman"/>
                <w:highlight w:val="none"/>
                <w:lang w:val="en-US" w:eastAsia="zh-CN"/>
              </w:rPr>
              <w:t>括</w:t>
            </w:r>
            <w:r>
              <w:rPr>
                <w:rFonts w:hint="eastAsia" w:ascii="宋体" w:hAnsi="宋体" w:eastAsia="宋体" w:cs="Times New Roman"/>
                <w:highlight w:val="none"/>
                <w:lang w:val="en-US" w:eastAsia="zh-CN"/>
              </w:rPr>
              <w:t>主题策划、景点介绍、游玩内容、时间安排）</w:t>
            </w:r>
            <w:r>
              <w:rPr>
                <w:rFonts w:hint="eastAsia" w:ascii="宋体" w:hAnsi="宋体" w:cs="Times New Roman"/>
                <w:highlight w:val="none"/>
                <w:lang w:eastAsia="zh-CN"/>
              </w:rPr>
              <w:t>（</w:t>
            </w:r>
            <w:r>
              <w:rPr>
                <w:rFonts w:hint="eastAsia" w:ascii="宋体" w:hAnsi="宋体" w:cs="Times New Roman"/>
                <w:highlight w:val="none"/>
                <w:lang w:val="en-US" w:eastAsia="zh-CN"/>
              </w:rPr>
              <w:t>8分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2.1.1供应商提供的各条线路行程设计每包含上述一个点的得基本分0.5分，共2分。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2.1.2主题策划明晰且与线路相适宜的得1.5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分；体现的主题与线路欠适宜的得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2.1.3景点介绍详细且具有吸引力的得1.5分</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；详细介绍了景点但吸引力不足的得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2.1.4游玩内容多样且适宜职工各年龄层的得1.5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分；游玩内容单调、不适合职工各年龄层的得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2.1.5景点游玩时间及景点与景点之间时间安排合理的得1.5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rPr>
                <w:rFonts w:ascii="宋体" w:hAnsi="宋体"/>
                <w:highlight w:val="none"/>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提供的各条线路就餐安排</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进行评议（包括时间安排、地点选择、环境舒适度）</w:t>
            </w:r>
            <w:r>
              <w:rPr>
                <w:rFonts w:hint="eastAsia" w:ascii="宋体" w:hAnsi="宋体" w:cs="Times New Roman"/>
                <w:highlight w:val="none"/>
                <w:lang w:eastAsia="zh-CN"/>
              </w:rPr>
              <w:t>（</w:t>
            </w:r>
            <w:r>
              <w:rPr>
                <w:rFonts w:hint="eastAsia" w:ascii="宋体" w:hAnsi="宋体" w:cs="Times New Roman"/>
                <w:highlight w:val="none"/>
                <w:lang w:val="en-US" w:eastAsia="zh-CN"/>
              </w:rPr>
              <w:t>6分</w:t>
            </w:r>
            <w:r>
              <w:rPr>
                <w:rFonts w:hint="eastAsia" w:ascii="宋体" w:hAnsi="宋体" w:cs="Times New Roman"/>
                <w:highlight w:val="none"/>
                <w:lang w:eastAsia="zh-CN"/>
              </w:rPr>
              <w:t>）</w:t>
            </w:r>
            <w:r>
              <w:rPr>
                <w:rFonts w:hint="eastAsia" w:ascii="宋体" w:hAnsi="宋体" w:eastAsia="宋体" w:cs="Times New Roman"/>
                <w:highlight w:val="none"/>
                <w:lang w:val="en-US" w:eastAsia="zh-CN"/>
              </w:rPr>
              <w:t>：</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2.2.1供应商提供的各条线路就餐安排方案每包含上述一个点的得基本分0.5分，共1.5分。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2.2.2就餐时间安排合理、能避开用餐高峰期的得1.5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分；就餐时间安排欠合理的得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2.2.3就餐地点选择与下一行程点距离相适宜的得1.5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分；就餐地点选择与下一行程点距离稍远的得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2.2.4就餐地点周边环境宜人、餐厅内部环境整洁的得1.5</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分；就餐地点周边环境、餐厅内部环境一般的得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提供的各条线路就餐标准</w:t>
            </w:r>
            <w:r>
              <w:rPr>
                <w:rFonts w:hint="eastAsia" w:ascii="宋体" w:hAnsi="宋体" w:cs="Times New Roman"/>
                <w:highlight w:val="none"/>
                <w:lang w:val="en-US" w:eastAsia="zh-CN"/>
              </w:rPr>
              <w:t>（中、晚餐）</w:t>
            </w:r>
            <w:r>
              <w:rPr>
                <w:rFonts w:hint="eastAsia" w:ascii="宋体" w:hAnsi="宋体" w:eastAsia="宋体" w:cs="Times New Roman"/>
                <w:highlight w:val="none"/>
                <w:lang w:val="en-US" w:eastAsia="zh-CN"/>
              </w:rPr>
              <w:t>进行评议（包括餐饮人均费用、菜肴搭配、菜品数量）（6分）：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2.3.1供应商提供的各条线路就餐标准方案每包含上述一个点的得基本分0.5分，共1.5分。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2.3.2餐饮人均费</w:t>
            </w:r>
            <w:r>
              <w:rPr>
                <w:rFonts w:hint="eastAsia" w:ascii="宋体" w:hAnsi="宋体" w:eastAsia="宋体" w:cs="Times New Roman"/>
                <w:color w:val="auto"/>
                <w:highlight w:val="none"/>
                <w:lang w:val="en-US" w:eastAsia="zh-CN"/>
              </w:rPr>
              <w:t>用≥50元每</w:t>
            </w:r>
            <w:r>
              <w:rPr>
                <w:rFonts w:hint="eastAsia" w:ascii="宋体" w:hAnsi="宋体" w:eastAsia="宋体" w:cs="Times New Roman"/>
                <w:highlight w:val="none"/>
                <w:lang w:val="en-US" w:eastAsia="zh-CN"/>
              </w:rPr>
              <w:t>餐的得1.5分。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2.3.3菜肴搭配种类丰富适合职工各年龄层的得1.5分-1；菜肴搭配种类单调、不适合职工各年龄层的得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2.3.4就餐菜品数量每桌提供“十菜一汤一果盘”及以上的得1.5分；“七菜一汤一果盘”及以上的得0.5分。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提供的各条线路住宿安排进行评议（包括地理位置、周边环境）（4分）：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2.4.1供应商提供的各条线路住宿安排方案每包含上述一个点的得基本分0.5分，共1分。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2.4.2地理位置优越、周边交通和公共配套设施齐全的得2-1分；地理位置、城市交通和公共配套设施有欠缺的得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2.4.3酒店附近环境宜人的得1-0.7分；酒店附近环境较舒适的得0.</w:t>
            </w: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提供的各条线路住宿标准进行评议（包括内部环境、配套服务、配套设施）（6分）：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2.5.1供应商提供的各条线路住宿标准方案每包含上述一个点的得基本分0.5分，共1.5分。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2.5.2内部环境高雅、客房面积宽敞的得1.5-1分；内部环境精致、客房面积与入住人数相适宜的得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2.5.3配套服务贴心周全的得1.5-1分；配套服务稍欠全面的得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2.5.4酒店配套设施完善的得1.5-1分；酒店配套设施仅能满足日常基本需求的得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提供的各线路通行安排进行评议（包括通行班次时间安排、乘坐舒适度）（4分）：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2.6.1供应商提供的各条线路通行安排方案每包含上述一个点的得基本分0.5分，共1分。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2.6.2出发及回程班次时间安排合理、无中转站的得1.5-1分；出发及回程班次时间安排欠合理、无中转站的得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2.6.3乘坐感受舒适度佳的得1.5-1分；乘坐感受普通的得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-0.5分。（提供对应班次交通工具内部照片）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highlight w:val="none"/>
                <w:lang w:val="en-US" w:eastAsia="zh-CN"/>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提供的各线路用车标准进行评议（包括新旧程度、乘坐舒适度）（6分）：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2.7.1供应商提供的各条线路用车标准方案每包含上述一个点的得基本分1分，共2分。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2.7.2所用车辆均为三年以内（含）客车的得2分；所用车辆均为五年以内（含）客车的得1分。（以行驶证注册日期至响应截止日期为限）</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2.7.3所用车辆内部整洁、空间宽敞、乘坐舒适度佳的得2-1分；所用车辆内部整洁、空间及舒适度稍显不足的得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-0.5分。（提供车辆内部照片）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990" w:type="dxa"/>
            <w:vMerge w:val="continue"/>
            <w:noWrap w:val="0"/>
            <w:vAlign w:val="center"/>
          </w:tcPr>
          <w:p>
            <w:pPr>
              <w:adjustRightInd w:val="0"/>
              <w:snapToGrid w:val="0"/>
              <w:spacing w:line="340" w:lineRule="exact"/>
              <w:rPr>
                <w:rFonts w:hint="eastAsia" w:ascii="宋体" w:hAnsi="宋体" w:eastAsia="宋体" w:cs="Times New Roman"/>
                <w:kern w:val="2"/>
                <w:sz w:val="21"/>
                <w:szCs w:val="21"/>
                <w:highlight w:val="none"/>
                <w:lang w:val="en-US" w:eastAsia="zh-CN" w:bidi="ar-SA"/>
              </w:rPr>
            </w:pPr>
          </w:p>
        </w:tc>
        <w:tc>
          <w:tcPr>
            <w:tcW w:w="7090" w:type="dxa"/>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提供的各线路驾驶人员安排（包括驾驶员年龄及驾驶经验、后备驾驶人员保障）进行评议（5分）：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2.8.1供应商提供的各条线路驾驶人员安排方案每包含上述一个点的得基本分0.5分，共1分。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2.8.2驾驶人员年龄≤5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岁的且驾龄≥8年的得2分；驾驶人员年龄≤5</w:t>
            </w:r>
            <w:r>
              <w:rPr>
                <w:rFonts w:hint="eastAsia" w:ascii="宋体" w:hAnsi="宋体" w:cs="Times New Roman"/>
                <w:highlight w:val="none"/>
                <w:lang w:val="en-US" w:eastAsia="zh-CN"/>
              </w:rPr>
              <w:t>5</w:t>
            </w:r>
            <w:r>
              <w:rPr>
                <w:rFonts w:hint="eastAsia" w:ascii="宋体" w:hAnsi="宋体" w:eastAsia="宋体" w:cs="Times New Roman"/>
                <w:highlight w:val="none"/>
                <w:lang w:val="en-US" w:eastAsia="zh-CN"/>
              </w:rPr>
              <w:t>岁的且驾龄≥5年的得1分。（以驾驶证为准）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2.8.3承诺能提供同档次后备驾驶人员的得2分。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拟派服务人员的数量、岗位分工、经验能力进行评议（6分）：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3.1供应商提供的拟派服务人员信息包含数量、岗位分工、经验能力的得基本分1分。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3.2拟派服务人员的数量与本项目相适宜的得1分。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3.3拟派服务人员的岗位分工合理明确的得2-1分；拟派服务人员的岗位分工明确、合理性稍有欠缺的得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p>
            <w:pPr>
              <w:adjustRightInd w:val="0"/>
              <w:snapToGrid w:val="0"/>
              <w:spacing w:line="340" w:lineRule="exac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highlight w:val="none"/>
                <w:lang w:val="en-US" w:eastAsia="zh-CN"/>
              </w:rPr>
              <w:t>3.4拟派服务人员的专业素质能力强、经验丰富的得2-1分；拟派服务人员的专业素质能力一般、有过类似项目经历的得</w:t>
            </w:r>
            <w:r>
              <w:rPr>
                <w:rFonts w:hint="eastAsia" w:ascii="宋体" w:hAnsi="宋体" w:cs="Times New Roman"/>
                <w:highlight w:val="none"/>
                <w:lang w:val="en-US" w:eastAsia="zh-CN"/>
              </w:rPr>
              <w:t>0.9</w:t>
            </w:r>
            <w:r>
              <w:rPr>
                <w:rFonts w:hint="eastAsia" w:ascii="宋体" w:hAnsi="宋体" w:eastAsia="宋体" w:cs="Times New Roman"/>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4.内部管理制度（6分）：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根据供应商提供的人事管理制度、安全管理制度、导游员管理制度、考勤制度、奖惩制度、投诉处理制度进行评议。</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以上六项制度完善、合理的每项最高得1分，制度不详细，有欠缺的每项最高得0.5分；未提供不得分。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提供的人生安全保障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、交通安全保障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、食品安全保障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、个人财产安全保障</w:t>
            </w:r>
            <w:r>
              <w:rPr>
                <w:rFonts w:hint="eastAsia" w:ascii="宋体" w:hAnsi="宋体" w:cs="Times New Roman"/>
                <w:highlight w:val="none"/>
                <w:lang w:val="en-US" w:eastAsia="zh-CN"/>
              </w:rPr>
              <w:t>措施</w:t>
            </w:r>
            <w:r>
              <w:rPr>
                <w:rFonts w:hint="eastAsia" w:ascii="宋体" w:hAnsi="宋体" w:eastAsia="宋体" w:cs="Times New Roman"/>
                <w:highlight w:val="none"/>
                <w:lang w:val="en-US" w:eastAsia="zh-CN"/>
              </w:rPr>
              <w:t>进行评议（6分）：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以上四项安全保障</w:t>
            </w:r>
            <w:r>
              <w:rPr>
                <w:rFonts w:hint="eastAsia" w:ascii="宋体" w:hAnsi="宋体" w:cs="Times New Roman"/>
                <w:highlight w:val="none"/>
                <w:lang w:val="en-US" w:eastAsia="zh-CN"/>
              </w:rPr>
              <w:t>措施</w:t>
            </w:r>
            <w:r>
              <w:rPr>
                <w:rFonts w:hint="eastAsia" w:ascii="宋体" w:hAnsi="宋体" w:cs="宋体"/>
                <w:szCs w:val="21"/>
                <w:highlight w:val="none"/>
                <w:lang w:eastAsia="zh-Hans"/>
              </w:rPr>
              <w:t>明确</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eastAsia="宋体" w:cs="Times New Roman"/>
                <w:highlight w:val="none"/>
                <w:lang w:val="en-US" w:eastAsia="zh-CN"/>
              </w:rPr>
              <w:t>的每项最高得1.5分，安全保障</w:t>
            </w:r>
            <w:r>
              <w:rPr>
                <w:rFonts w:hint="eastAsia" w:ascii="宋体" w:hAnsi="宋体" w:cs="Times New Roman"/>
                <w:highlight w:val="none"/>
                <w:lang w:val="en-US" w:eastAsia="zh-CN"/>
              </w:rPr>
              <w:t>措施一般</w:t>
            </w:r>
            <w:r>
              <w:rPr>
                <w:rFonts w:hint="eastAsia" w:ascii="宋体" w:hAnsi="宋体" w:eastAsia="宋体" w:cs="Times New Roman"/>
                <w:highlight w:val="none"/>
                <w:lang w:val="en-US" w:eastAsia="zh-CN"/>
              </w:rPr>
              <w:t>，</w:t>
            </w:r>
            <w:r>
              <w:rPr>
                <w:rFonts w:hint="eastAsia" w:ascii="宋体" w:hAnsi="宋体" w:cs="宋体"/>
                <w:szCs w:val="21"/>
                <w:highlight w:val="none"/>
                <w:lang w:eastAsia="zh-Hans"/>
              </w:rPr>
              <w:t>完整</w:t>
            </w:r>
            <w:r>
              <w:rPr>
                <w:rFonts w:hint="eastAsia" w:ascii="宋体" w:hAnsi="宋体" w:cs="宋体"/>
                <w:szCs w:val="21"/>
                <w:highlight w:val="none"/>
                <w:lang w:val="en-US" w:eastAsia="zh-CN"/>
              </w:rPr>
              <w:t>程度</w:t>
            </w:r>
            <w:r>
              <w:rPr>
                <w:rFonts w:hint="eastAsia" w:ascii="宋体" w:hAnsi="宋体" w:eastAsia="宋体" w:cs="Times New Roman"/>
                <w:highlight w:val="none"/>
                <w:lang w:val="en-US" w:eastAsia="zh-CN"/>
              </w:rPr>
              <w:t>有欠缺的每项最高得1分；未提供不得分。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r>
              <w:rPr>
                <w:rFonts w:hint="eastAsia" w:ascii="宋体" w:hAnsi="宋体" w:eastAsia="宋体" w:cs="Times New Roman"/>
                <w:highlight w:val="none"/>
                <w:lang w:val="zh-CN" w:eastAsia="zh-CN"/>
              </w:rPr>
              <w:t>根据供应商针对本</w:t>
            </w:r>
            <w:r>
              <w:rPr>
                <w:rFonts w:hint="eastAsia" w:ascii="宋体" w:hAnsi="宋体" w:cs="Times New Roman"/>
                <w:highlight w:val="none"/>
                <w:lang w:val="en-US" w:eastAsia="zh-CN"/>
              </w:rPr>
              <w:t>标项</w:t>
            </w:r>
            <w:r>
              <w:rPr>
                <w:rFonts w:hint="eastAsia" w:ascii="宋体" w:hAnsi="宋体" w:eastAsia="宋体" w:cs="Times New Roman"/>
                <w:highlight w:val="none"/>
                <w:lang w:val="en-US" w:eastAsia="zh-CN"/>
              </w:rPr>
              <w:t>提供</w:t>
            </w:r>
            <w:r>
              <w:rPr>
                <w:rFonts w:hint="eastAsia" w:ascii="宋体" w:hAnsi="宋体" w:eastAsia="宋体" w:cs="Times New Roman"/>
                <w:highlight w:val="none"/>
                <w:lang w:val="zh-CN" w:eastAsia="zh-CN"/>
              </w:rPr>
              <w:t>的</w:t>
            </w:r>
            <w:r>
              <w:rPr>
                <w:rFonts w:hint="eastAsia" w:ascii="宋体" w:hAnsi="宋体" w:eastAsia="宋体" w:cs="Times New Roman"/>
                <w:highlight w:val="none"/>
                <w:lang w:val="en-US" w:eastAsia="zh-CN"/>
              </w:rPr>
              <w:t>恶劣天气应急预案、交通工具故障应急预案、交通事故应急预案、人身意外应急保障预案进行评议（6分）：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以上四项</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内容合理高效</w:t>
            </w:r>
            <w:r>
              <w:rPr>
                <w:rFonts w:hint="eastAsia" w:ascii="宋体" w:hAnsi="宋体" w:eastAsia="宋体" w:cs="Times New Roman"/>
                <w:highlight w:val="none"/>
                <w:lang w:val="en-US" w:eastAsia="zh-CN"/>
              </w:rPr>
              <w:t>的每项最高得1.5分，</w:t>
            </w:r>
            <w:r>
              <w:rPr>
                <w:rFonts w:hint="eastAsia" w:ascii="宋体" w:hAnsi="宋体" w:eastAsia="宋体" w:cs="Times New Roman"/>
                <w:highlight w:val="none"/>
                <w:lang w:val="zh-CN" w:eastAsia="zh-CN"/>
              </w:rPr>
              <w:t>应急预案</w:t>
            </w:r>
            <w:r>
              <w:rPr>
                <w:rFonts w:hint="eastAsia" w:ascii="宋体" w:hAnsi="宋体" w:cs="Times New Roman"/>
                <w:highlight w:val="none"/>
                <w:lang w:val="en-US" w:eastAsia="zh-CN"/>
              </w:rPr>
              <w:t>合理性稍</w:t>
            </w:r>
            <w:r>
              <w:rPr>
                <w:rFonts w:hint="eastAsia" w:ascii="宋体" w:hAnsi="宋体" w:eastAsia="宋体" w:cs="Times New Roman"/>
                <w:highlight w:val="none"/>
                <w:lang w:val="en-US" w:eastAsia="zh-CN"/>
              </w:rPr>
              <w:t>有欠缺</w:t>
            </w:r>
            <w:r>
              <w:rPr>
                <w:rFonts w:hint="eastAsia" w:ascii="宋体" w:hAnsi="宋体" w:cs="Times New Roman"/>
                <w:highlight w:val="none"/>
                <w:lang w:val="en-US" w:eastAsia="zh-CN"/>
              </w:rPr>
              <w:t>、实施效率一般</w:t>
            </w:r>
            <w:r>
              <w:rPr>
                <w:rFonts w:hint="eastAsia" w:ascii="宋体" w:hAnsi="宋体" w:eastAsia="宋体" w:cs="Times New Roman"/>
                <w:highlight w:val="none"/>
                <w:lang w:val="en-US" w:eastAsia="zh-CN"/>
              </w:rPr>
              <w:t>的每项最高得1分；未提供不得分。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51" w:type="dxa"/>
            <w:vMerge w:val="continue"/>
            <w:noWrap w:val="0"/>
            <w:vAlign w:val="center"/>
          </w:tcPr>
          <w:p>
            <w:pPr>
              <w:adjustRightInd w:val="0"/>
              <w:snapToGrid w:val="0"/>
              <w:spacing w:line="340" w:lineRule="exact"/>
              <w:rPr>
                <w:rFonts w:ascii="宋体" w:hAnsi="宋体" w:cs="宋体"/>
                <w:kern w:val="0"/>
                <w:highlight w:val="none"/>
              </w:rPr>
            </w:pPr>
          </w:p>
        </w:tc>
        <w:tc>
          <w:tcPr>
            <w:tcW w:w="8080" w:type="dxa"/>
            <w:gridSpan w:val="2"/>
            <w:noWrap w:val="0"/>
            <w:vAlign w:val="center"/>
          </w:tcPr>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7.对供应商2020年至今具有的类似项目业绩进行评议（1分）。</w:t>
            </w:r>
          </w:p>
          <w:p>
            <w:pPr>
              <w:adjustRightInd w:val="0"/>
              <w:snapToGrid w:val="0"/>
              <w:spacing w:line="34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zh-CN" w:eastAsia="zh-CN"/>
              </w:rPr>
              <w:t>20</w:t>
            </w:r>
            <w:r>
              <w:rPr>
                <w:rFonts w:hint="eastAsia" w:ascii="宋体" w:hAnsi="宋体" w:eastAsia="宋体" w:cs="Times New Roman"/>
                <w:highlight w:val="none"/>
                <w:lang w:val="en-US" w:eastAsia="zh-CN"/>
              </w:rPr>
              <w:t>20</w:t>
            </w:r>
            <w:r>
              <w:rPr>
                <w:rFonts w:hint="eastAsia" w:ascii="宋体" w:hAnsi="宋体" w:eastAsia="宋体" w:cs="Times New Roman"/>
                <w:highlight w:val="none"/>
                <w:lang w:val="zh-CN" w:eastAsia="zh-CN"/>
              </w:rPr>
              <w:t>年1月1日至今承办过职工疗休养项目的每个得0.5分，最高1分。</w:t>
            </w:r>
          </w:p>
          <w:p>
            <w:pPr>
              <w:adjustRightInd w:val="0"/>
              <w:snapToGrid w:val="0"/>
              <w:spacing w:line="340" w:lineRule="exact"/>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注：响应文件内提供合同（协议）的复印件，合同（协议）的签订日期为2020年1月1日及以后，不符合要求的不予计分。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51" w:type="dxa"/>
            <w:noWrap w:val="0"/>
            <w:vAlign w:val="center"/>
          </w:tcPr>
          <w:p>
            <w:pPr>
              <w:adjustRightInd w:val="0"/>
              <w:spacing w:line="340" w:lineRule="exact"/>
              <w:ind w:left="630" w:hanging="630" w:hangingChars="300"/>
              <w:jc w:val="center"/>
              <w:textAlignment w:val="baseline"/>
              <w:rPr>
                <w:rFonts w:hint="eastAsia" w:ascii="宋体" w:hAnsi="宋体"/>
                <w:kern w:val="0"/>
                <w:highlight w:val="none"/>
              </w:rPr>
            </w:pPr>
            <w:r>
              <w:rPr>
                <w:rFonts w:hint="eastAsia" w:ascii="宋体" w:hAnsi="宋体"/>
                <w:kern w:val="0"/>
                <w:highlight w:val="none"/>
              </w:rPr>
              <w:t>价格</w:t>
            </w:r>
          </w:p>
          <w:p>
            <w:pPr>
              <w:adjustRightInd w:val="0"/>
              <w:spacing w:line="340" w:lineRule="exact"/>
              <w:ind w:left="630" w:hanging="630" w:hangingChars="300"/>
              <w:jc w:val="center"/>
              <w:textAlignment w:val="baseline"/>
              <w:rPr>
                <w:rFonts w:ascii="宋体" w:hAnsi="宋体"/>
                <w:kern w:val="0"/>
                <w:highlight w:val="none"/>
              </w:rPr>
            </w:pPr>
            <w:r>
              <w:rPr>
                <w:rFonts w:hint="eastAsia" w:ascii="宋体" w:hAnsi="宋体"/>
                <w:kern w:val="0"/>
                <w:highlight w:val="none"/>
                <w:lang w:val="en-US" w:eastAsia="zh-CN"/>
              </w:rPr>
              <w:t xml:space="preserve">10 </w:t>
            </w:r>
            <w:r>
              <w:rPr>
                <w:rFonts w:hint="eastAsia" w:ascii="宋体" w:hAnsi="宋体"/>
                <w:kern w:val="0"/>
                <w:highlight w:val="none"/>
              </w:rPr>
              <w:t>分</w:t>
            </w:r>
          </w:p>
        </w:tc>
        <w:tc>
          <w:tcPr>
            <w:tcW w:w="8080" w:type="dxa"/>
            <w:gridSpan w:val="2"/>
            <w:noWrap w:val="0"/>
            <w:vAlign w:val="center"/>
          </w:tcPr>
          <w:p>
            <w:pPr>
              <w:spacing w:line="340" w:lineRule="exact"/>
              <w:jc w:val="left"/>
              <w:rPr>
                <w:rFonts w:ascii="宋体" w:hAnsi="宋体"/>
                <w:highlight w:val="none"/>
              </w:rPr>
            </w:pPr>
            <w:r>
              <w:rPr>
                <w:rFonts w:hint="eastAsia" w:ascii="宋体" w:hAnsi="宋体"/>
                <w:highlight w:val="none"/>
              </w:rPr>
              <w:t>参与评审的价格=最终报价</w:t>
            </w:r>
          </w:p>
          <w:p>
            <w:pPr>
              <w:spacing w:line="340" w:lineRule="exact"/>
              <w:jc w:val="left"/>
              <w:rPr>
                <w:rFonts w:ascii="宋体" w:hAnsi="宋体"/>
                <w:highlight w:val="none"/>
              </w:rPr>
            </w:pPr>
            <w:r>
              <w:rPr>
                <w:rFonts w:hint="eastAsia" w:ascii="宋体" w:hAnsi="宋体"/>
                <w:highlight w:val="none"/>
              </w:rPr>
              <w:t>对应线路磋商基准价=满足采购文件要求且“参与评审的价格”中最低的价格为磋商基准价，其此线路价格分为满分。其他供应商的价格分统一按照下列公式计算:</w:t>
            </w:r>
          </w:p>
          <w:p>
            <w:pPr>
              <w:spacing w:line="340" w:lineRule="exact"/>
              <w:jc w:val="left"/>
              <w:rPr>
                <w:rFonts w:ascii="宋体" w:hAnsi="宋体"/>
                <w:highlight w:val="none"/>
              </w:rPr>
            </w:pPr>
            <w:r>
              <w:rPr>
                <w:rFonts w:hint="eastAsia" w:ascii="宋体" w:hAnsi="宋体"/>
                <w:highlight w:val="none"/>
                <w:lang w:val="en-US" w:eastAsia="zh-CN"/>
              </w:rPr>
              <w:t>吉林</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吉林</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lang w:val="en-US" w:eastAsia="zh-CN"/>
              </w:rPr>
              <w:t>湖州</w:t>
            </w:r>
            <w:r>
              <w:rPr>
                <w:rFonts w:hint="eastAsia" w:ascii="宋体" w:hAnsi="宋体"/>
                <w:highlight w:val="none"/>
              </w:rPr>
              <w:t>线路</w:t>
            </w:r>
            <w:r>
              <w:rPr>
                <w:rFonts w:ascii="宋体" w:hAnsi="宋体"/>
                <w:highlight w:val="none"/>
              </w:rPr>
              <w:t>磋商报价得分=(</w:t>
            </w:r>
            <w:r>
              <w:rPr>
                <w:rFonts w:hint="eastAsia" w:ascii="宋体" w:hAnsi="宋体"/>
                <w:highlight w:val="none"/>
                <w:lang w:val="en-US" w:eastAsia="zh-CN"/>
              </w:rPr>
              <w:t>湖州</w:t>
            </w:r>
            <w:r>
              <w:rPr>
                <w:rFonts w:hint="eastAsia" w:ascii="宋体" w:hAnsi="宋体"/>
                <w:highlight w:val="none"/>
              </w:rPr>
              <w:t>线路</w:t>
            </w:r>
            <w:r>
              <w:rPr>
                <w:rFonts w:ascii="宋体" w:hAnsi="宋体"/>
                <w:highlight w:val="none"/>
              </w:rPr>
              <w:t>磋商基准价/最后磋商报价)×</w:t>
            </w:r>
            <w:r>
              <w:rPr>
                <w:rFonts w:hint="eastAsia" w:ascii="宋体" w:hAnsi="宋体"/>
                <w:highlight w:val="none"/>
              </w:rPr>
              <w:t>5分；</w:t>
            </w:r>
          </w:p>
          <w:p>
            <w:pPr>
              <w:spacing w:line="340" w:lineRule="exact"/>
              <w:jc w:val="left"/>
              <w:rPr>
                <w:rFonts w:ascii="宋体" w:hAnsi="宋体"/>
                <w:highlight w:val="none"/>
              </w:rPr>
            </w:pPr>
            <w:r>
              <w:rPr>
                <w:rFonts w:hint="eastAsia" w:ascii="宋体" w:hAnsi="宋体"/>
                <w:highlight w:val="none"/>
              </w:rPr>
              <w:t>价格总分等于各线路报价得分总和。</w:t>
            </w:r>
          </w:p>
        </w:tc>
      </w:tr>
    </w:tbl>
    <w:p>
      <w:pPr>
        <w:widowControl/>
        <w:jc w:val="left"/>
        <w:rPr>
          <w:rFonts w:ascii="宋体" w:hAnsi="宋体"/>
          <w:color w:val="auto"/>
          <w:spacing w:val="14"/>
          <w:highlight w:val="none"/>
        </w:rPr>
      </w:pPr>
      <w:r>
        <w:rPr>
          <w:rFonts w:hint="eastAsia" w:ascii="宋体" w:hAnsi="宋体"/>
          <w:color w:val="auto"/>
          <w:spacing w:val="14"/>
          <w:highlight w:val="none"/>
        </w:rPr>
        <w:t>评委签名：                                 日  期：</w:t>
      </w:r>
    </w:p>
    <w:p>
      <w:pPr>
        <w:spacing w:line="360" w:lineRule="auto"/>
        <w:jc w:val="center"/>
        <w:outlineLvl w:val="0"/>
        <w:rPr>
          <w:rFonts w:ascii="宋体" w:hAnsi="宋体" w:cs="宋体"/>
          <w:b/>
          <w:bCs/>
          <w:color w:val="auto"/>
          <w:sz w:val="24"/>
          <w:szCs w:val="30"/>
          <w:highlight w:val="none"/>
        </w:rPr>
      </w:pPr>
      <w:r>
        <w:rPr>
          <w:rFonts w:ascii="宋体" w:hAnsi="宋体" w:cs="宋体"/>
          <w:color w:val="auto"/>
          <w:highlight w:val="none"/>
        </w:rPr>
        <w:br w:type="page"/>
      </w:r>
      <w:bookmarkStart w:id="54" w:name="_Toc35945395"/>
      <w:bookmarkStart w:id="55" w:name="_Toc35945301"/>
      <w:bookmarkStart w:id="56" w:name="_Toc430696979"/>
      <w:bookmarkStart w:id="57" w:name="_Toc35945328"/>
      <w:r>
        <w:rPr>
          <w:rFonts w:hint="eastAsia" w:ascii="宋体" w:hAnsi="宋体" w:cs="宋体"/>
          <w:b/>
          <w:bCs/>
          <w:color w:val="auto"/>
          <w:sz w:val="24"/>
          <w:szCs w:val="30"/>
          <w:highlight w:val="none"/>
        </w:rPr>
        <w:t>第五章  采购合同样本</w:t>
      </w:r>
      <w:bookmarkEnd w:id="54"/>
      <w:bookmarkEnd w:id="55"/>
      <w:bookmarkEnd w:id="56"/>
      <w:bookmarkEnd w:id="57"/>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    方</w:t>
      </w:r>
      <w:r>
        <w:rPr>
          <w:rFonts w:hint="eastAsia" w:ascii="宋体" w:hAnsi="宋体" w:eastAsia="宋体" w:cs="宋体"/>
          <w:color w:val="auto"/>
          <w:sz w:val="21"/>
          <w:szCs w:val="21"/>
          <w:highlight w:val="none"/>
        </w:rPr>
        <w:t>（采购人）</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传  真：           地  址：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乙    方</w:t>
      </w:r>
      <w:r>
        <w:rPr>
          <w:rFonts w:hint="eastAsia" w:ascii="宋体" w:hAnsi="宋体" w:eastAsia="宋体" w:cs="宋体"/>
          <w:color w:val="auto"/>
          <w:sz w:val="21"/>
          <w:szCs w:val="21"/>
          <w:highlight w:val="none"/>
        </w:rPr>
        <w:t>（成交供应商）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传  真：            地  址：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）的采购结果，按照《中华人民共和国政府采购法》及其实施条例、《中华人民共和国民法典》的规定，</w:t>
      </w:r>
      <w:r>
        <w:rPr>
          <w:rFonts w:hint="eastAsia" w:ascii="宋体" w:hAnsi="宋体" w:eastAsia="宋体" w:cs="宋体"/>
          <w:color w:val="auto"/>
          <w:kern w:val="28"/>
          <w:sz w:val="21"/>
          <w:szCs w:val="21"/>
          <w:highlight w:val="none"/>
        </w:rPr>
        <w:t>经双方协商，</w:t>
      </w:r>
      <w:r>
        <w:rPr>
          <w:rFonts w:hint="eastAsia" w:ascii="宋体" w:hAnsi="宋体" w:eastAsia="宋体" w:cs="宋体"/>
          <w:color w:val="auto"/>
          <w:sz w:val="21"/>
          <w:szCs w:val="21"/>
          <w:highlight w:val="none"/>
        </w:rPr>
        <w:t>本着平等互利和诚实信用的原则，</w:t>
      </w:r>
      <w:r>
        <w:rPr>
          <w:rFonts w:hint="eastAsia" w:ascii="宋体" w:hAnsi="宋体" w:eastAsia="宋体" w:cs="宋体"/>
          <w:color w:val="auto"/>
          <w:kern w:val="28"/>
          <w:sz w:val="21"/>
          <w:szCs w:val="21"/>
          <w:highlight w:val="none"/>
        </w:rPr>
        <w:t>一致同意签订本合同如下</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58" w:name="_Toc3064"/>
      <w:r>
        <w:rPr>
          <w:rFonts w:hint="eastAsia" w:ascii="宋体" w:hAnsi="宋体" w:eastAsia="宋体" w:cs="宋体"/>
          <w:color w:val="auto"/>
          <w:sz w:val="21"/>
          <w:szCs w:val="21"/>
          <w:highlight w:val="none"/>
        </w:rPr>
        <w:t>一、</w:t>
      </w:r>
      <w:bookmarkStart w:id="59" w:name="_Toc435540759"/>
      <w:r>
        <w:rPr>
          <w:rFonts w:hint="eastAsia" w:ascii="宋体" w:hAnsi="宋体" w:eastAsia="宋体" w:cs="宋体"/>
          <w:color w:val="auto"/>
          <w:sz w:val="21"/>
          <w:szCs w:val="21"/>
          <w:highlight w:val="none"/>
        </w:rPr>
        <w:t>合同金额</w:t>
      </w:r>
      <w:bookmarkEnd w:id="58"/>
      <w:bookmarkEnd w:id="59"/>
    </w:p>
    <w:p>
      <w:pPr>
        <w:pStyle w:val="2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合同金额为（大写）：_________________元（￥_______________元）。</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60" w:name="_Toc435540760"/>
      <w:bookmarkStart w:id="61" w:name="_Toc23913"/>
      <w:r>
        <w:rPr>
          <w:rFonts w:hint="eastAsia" w:ascii="宋体" w:hAnsi="宋体" w:eastAsia="宋体" w:cs="宋体"/>
          <w:color w:val="auto"/>
          <w:sz w:val="21"/>
          <w:szCs w:val="21"/>
          <w:highlight w:val="none"/>
        </w:rPr>
        <w:t>二、服务范围</w:t>
      </w:r>
      <w:bookmarkEnd w:id="60"/>
      <w:bookmarkEnd w:id="61"/>
    </w:p>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1．</w:t>
      </w:r>
      <w:r>
        <w:rPr>
          <w:rFonts w:hint="eastAsia" w:ascii="宋体" w:hAnsi="宋体" w:cs="宋体"/>
          <w:color w:val="auto"/>
          <w:sz w:val="21"/>
          <w:szCs w:val="21"/>
          <w:highlight w:val="none"/>
          <w:lang w:val="en-US" w:eastAsia="zh-CN"/>
        </w:rPr>
        <w:t>标项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．本合同项下的服务指</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．服务范围：</w:t>
      </w:r>
      <w:r>
        <w:rPr>
          <w:rFonts w:hint="eastAsia" w:ascii="宋体" w:hAnsi="宋体" w:eastAsia="宋体" w:cs="宋体"/>
          <w:color w:val="auto"/>
          <w:sz w:val="21"/>
          <w:szCs w:val="21"/>
          <w:highlight w:val="none"/>
          <w:u w:val="single"/>
        </w:rPr>
        <w:t xml:space="preserve">详见采购文件和响应文件   </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62" w:name="_Toc19733"/>
      <w:r>
        <w:rPr>
          <w:rFonts w:hint="eastAsia" w:ascii="宋体" w:hAnsi="宋体" w:eastAsia="宋体" w:cs="宋体"/>
          <w:color w:val="auto"/>
          <w:sz w:val="21"/>
          <w:szCs w:val="21"/>
          <w:highlight w:val="none"/>
        </w:rPr>
        <w:t>三、采购需求实质性条款：</w:t>
      </w:r>
      <w:bookmarkEnd w:id="62"/>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1、详见采购文件</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63" w:name="_Toc4934"/>
      <w:bookmarkStart w:id="64" w:name="_Toc435540761"/>
      <w:r>
        <w:rPr>
          <w:rFonts w:hint="eastAsia" w:ascii="宋体" w:hAnsi="宋体" w:eastAsia="宋体" w:cs="宋体"/>
          <w:color w:val="auto"/>
          <w:sz w:val="21"/>
          <w:szCs w:val="21"/>
          <w:highlight w:val="none"/>
        </w:rPr>
        <w:t>四、甲方乙方的权利和义务</w:t>
      </w:r>
      <w:bookmarkEnd w:id="63"/>
      <w:bookmarkEnd w:id="64"/>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（一）甲方的义务：按合同约定支付合同款项。</w:t>
      </w:r>
    </w:p>
    <w:p>
      <w:pPr>
        <w:keepNext w:val="0"/>
        <w:keepLines w:val="0"/>
        <w:pageBreakBefore w:val="0"/>
        <w:kinsoku/>
        <w:wordWrap/>
        <w:overflowPunct/>
        <w:topLinePunct w:val="0"/>
        <w:autoSpaceDE/>
        <w:autoSpaceDN/>
        <w:bidi w:val="0"/>
        <w:adjustRightInd/>
        <w:snapToGrid/>
        <w:spacing w:line="440" w:lineRule="exact"/>
        <w:ind w:left="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（二）乙方的义务：按合同约定完成本项目全部服务内容。</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65" w:name="_Toc435540762"/>
      <w:bookmarkStart w:id="66" w:name="_Toc32133"/>
      <w:r>
        <w:rPr>
          <w:rFonts w:hint="eastAsia" w:ascii="宋体" w:hAnsi="宋体" w:eastAsia="宋体" w:cs="宋体"/>
          <w:color w:val="auto"/>
          <w:sz w:val="21"/>
          <w:szCs w:val="21"/>
          <w:highlight w:val="none"/>
        </w:rPr>
        <w:t>五、</w:t>
      </w:r>
      <w:bookmarkEnd w:id="65"/>
      <w:r>
        <w:rPr>
          <w:rFonts w:hint="eastAsia" w:ascii="宋体" w:hAnsi="宋体" w:eastAsia="宋体" w:cs="宋体"/>
          <w:color w:val="auto"/>
          <w:sz w:val="21"/>
          <w:szCs w:val="21"/>
          <w:highlight w:val="none"/>
        </w:rPr>
        <w:t>服务时间：</w:t>
      </w:r>
      <w:bookmarkEnd w:id="66"/>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67" w:name="_Toc21248"/>
      <w:r>
        <w:rPr>
          <w:rFonts w:hint="eastAsia" w:ascii="宋体" w:hAnsi="宋体" w:eastAsia="宋体" w:cs="宋体"/>
          <w:color w:val="auto"/>
          <w:sz w:val="21"/>
          <w:szCs w:val="21"/>
          <w:highlight w:val="none"/>
        </w:rPr>
        <w:t>六、</w:t>
      </w:r>
      <w:bookmarkStart w:id="68" w:name="_Toc435540763"/>
      <w:r>
        <w:rPr>
          <w:rFonts w:hint="eastAsia" w:ascii="宋体" w:hAnsi="宋体" w:eastAsia="宋体" w:cs="宋体"/>
          <w:color w:val="auto"/>
          <w:sz w:val="21"/>
          <w:szCs w:val="21"/>
          <w:highlight w:val="none"/>
        </w:rPr>
        <w:t>付款</w:t>
      </w:r>
      <w:bookmarkEnd w:id="68"/>
      <w:r>
        <w:rPr>
          <w:rFonts w:hint="eastAsia" w:ascii="宋体" w:hAnsi="宋体" w:eastAsia="宋体" w:cs="宋体"/>
          <w:color w:val="auto"/>
          <w:sz w:val="21"/>
          <w:szCs w:val="21"/>
          <w:highlight w:val="none"/>
        </w:rPr>
        <w:t>方法</w:t>
      </w:r>
      <w:bookmarkEnd w:id="67"/>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1"/>
          <w:szCs w:val="21"/>
          <w:highlight w:val="none"/>
        </w:rPr>
      </w:pPr>
      <w:bookmarkStart w:id="69" w:name="_Toc435540764"/>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0" w:name="_Toc30170"/>
      <w:r>
        <w:rPr>
          <w:rFonts w:hint="eastAsia" w:ascii="宋体" w:hAnsi="宋体" w:eastAsia="宋体" w:cs="宋体"/>
          <w:color w:val="auto"/>
          <w:sz w:val="21"/>
          <w:szCs w:val="21"/>
          <w:highlight w:val="none"/>
        </w:rPr>
        <w:t>七、知识产权产权归属</w:t>
      </w:r>
      <w:bookmarkEnd w:id="69"/>
      <w:bookmarkEnd w:id="7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71" w:name="_Toc435540765"/>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2" w:name="_Toc17309"/>
      <w:r>
        <w:rPr>
          <w:rFonts w:hint="eastAsia" w:ascii="宋体" w:hAnsi="宋体" w:eastAsia="宋体" w:cs="宋体"/>
          <w:color w:val="auto"/>
          <w:sz w:val="21"/>
          <w:szCs w:val="21"/>
          <w:highlight w:val="none"/>
        </w:rPr>
        <w:t>八、保密</w:t>
      </w:r>
      <w:bookmarkEnd w:id="71"/>
      <w:bookmarkEnd w:id="72"/>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乙方必须采取措施对本项目实施过程中的技术资料保密，否则，由于乙方过错导致的上述资料泄密的，乙方必须承担一切责任。项目完成后，甲、乙双方均有责任对本项目的技术保密承担责任。</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tabs>
          <w:tab w:val="left" w:pos="90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2）如果甲方有要求，乙方在完成合同后应将有关资料还给甲方。</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3" w:name="_Toc5839"/>
      <w:bookmarkStart w:id="74" w:name="_Toc435540766"/>
      <w:bookmarkStart w:id="75" w:name="_Toc435540767"/>
      <w:r>
        <w:rPr>
          <w:rFonts w:hint="eastAsia" w:ascii="宋体" w:hAnsi="宋体" w:eastAsia="宋体" w:cs="宋体"/>
          <w:color w:val="auto"/>
          <w:sz w:val="21"/>
          <w:szCs w:val="21"/>
          <w:highlight w:val="none"/>
        </w:rPr>
        <w:t>九、违约责任与赔偿损失</w:t>
      </w:r>
      <w:bookmarkEnd w:id="73"/>
      <w:bookmarkEnd w:id="74"/>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1）乙方提供的服务不符合采购文件、响应文件或本合同规定的，甲方有权拒收，并且乙方须向甲方支付本合同总价10%的违约金。</w:t>
      </w:r>
    </w:p>
    <w:p>
      <w:pPr>
        <w:keepNext w:val="0"/>
        <w:keepLines w:val="0"/>
        <w:pageBreakBefore w:val="0"/>
        <w:tabs>
          <w:tab w:val="left" w:pos="720"/>
          <w:tab w:val="left" w:pos="900"/>
        </w:tabs>
        <w:kinsoku/>
        <w:wordWrap/>
        <w:overflowPunct/>
        <w:topLinePunct w:val="0"/>
        <w:autoSpaceDE/>
        <w:autoSpaceDN/>
        <w:bidi w:val="0"/>
        <w:adjustRightInd/>
        <w:snapToGrid/>
        <w:spacing w:line="440" w:lineRule="exact"/>
        <w:ind w:right="5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按本合同规定的交货时间交付货物的/提供服务的，从逾期之日起每日按本合同总价的万分之五向甲方偿付违约金；逾期15天以上（含15天）的，甲方有权终止合同，并要求乙方按合同总价的20%支付违约金，并且给甲方造成的经济损失由乙方承担赔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3）甲方无正当理由拒收接受服务的，甲方向乙方偿付合同总价10%的违约金。甲方逾期付款的，从逾期之日起每日按逾期付款金额的万分之五向乙方偿付违约金。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4）其它违约责任按《中华人民共和国民法典》处理。</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6" w:name="_Toc2421"/>
      <w:r>
        <w:rPr>
          <w:rFonts w:hint="eastAsia" w:ascii="宋体" w:hAnsi="宋体" w:eastAsia="宋体" w:cs="宋体"/>
          <w:color w:val="auto"/>
          <w:sz w:val="21"/>
          <w:szCs w:val="21"/>
          <w:highlight w:val="none"/>
        </w:rPr>
        <w:t>十、争端的解决</w:t>
      </w:r>
      <w:bookmarkEnd w:id="75"/>
      <w:bookmarkEnd w:id="76"/>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合同执行过程中发生的任何争议，如双方不能通过友好协商解决，甲、乙双方一致同意向甲方所在地人民法院提起诉讼。</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7" w:name="_Toc435540768"/>
      <w:bookmarkStart w:id="78" w:name="_Toc18374"/>
      <w:r>
        <w:rPr>
          <w:rFonts w:hint="eastAsia" w:ascii="宋体" w:hAnsi="宋体" w:eastAsia="宋体" w:cs="宋体"/>
          <w:color w:val="auto"/>
          <w:sz w:val="21"/>
          <w:szCs w:val="21"/>
          <w:highlight w:val="none"/>
        </w:rPr>
        <w:t>十一、不可抗力</w:t>
      </w:r>
      <w:bookmarkEnd w:id="77"/>
      <w:bookmarkEnd w:id="78"/>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79" w:name="_Toc435540769"/>
      <w:bookmarkStart w:id="80" w:name="_Toc31037"/>
      <w:r>
        <w:rPr>
          <w:rFonts w:hint="eastAsia" w:ascii="宋体" w:hAnsi="宋体" w:eastAsia="宋体" w:cs="宋体"/>
          <w:color w:val="auto"/>
          <w:sz w:val="21"/>
          <w:szCs w:val="21"/>
          <w:highlight w:val="none"/>
        </w:rPr>
        <w:t>十二、税费</w:t>
      </w:r>
      <w:bookmarkEnd w:id="79"/>
      <w:bookmarkEnd w:id="8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在中国境内、外发生的与本合同执行有关的一切税费均由乙方负担。</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81" w:name="_Toc435540770"/>
      <w:bookmarkStart w:id="82" w:name="_Toc21002"/>
      <w:r>
        <w:rPr>
          <w:rFonts w:hint="eastAsia" w:ascii="宋体" w:hAnsi="宋体" w:eastAsia="宋体" w:cs="宋体"/>
          <w:color w:val="auto"/>
          <w:sz w:val="21"/>
          <w:szCs w:val="21"/>
          <w:highlight w:val="none"/>
        </w:rPr>
        <w:t>十三、其它</w:t>
      </w:r>
      <w:bookmarkEnd w:id="81"/>
      <w:bookmarkEnd w:id="82"/>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1）本合同所有附件、采购文件、响应文件、中标通知书均为合同的有效组成部分，与本合同具有同等法律效力。</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）在执行本合同的过程中，所有经双方签署确认的文件（包括会议纪要、补充协议、往来信函）即成为本合同的有效组成部分。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3）如一方地址、电话、传真号码有变更，应在变更当日内书面通知对方，否则，应承担相应责任。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4）除甲方事先书面同意外，乙方不得部分或全部转让其应履行的合同项下的义务。</w:t>
      </w:r>
    </w:p>
    <w:p>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1"/>
          <w:szCs w:val="21"/>
          <w:highlight w:val="none"/>
        </w:rPr>
      </w:pPr>
      <w:bookmarkStart w:id="83" w:name="_Toc10426"/>
      <w:bookmarkStart w:id="84" w:name="_Toc435540771"/>
      <w:r>
        <w:rPr>
          <w:rFonts w:hint="eastAsia" w:ascii="宋体" w:hAnsi="宋体" w:eastAsia="宋体" w:cs="宋体"/>
          <w:color w:val="auto"/>
          <w:sz w:val="21"/>
          <w:szCs w:val="21"/>
          <w:highlight w:val="none"/>
        </w:rPr>
        <w:t>十四、合同生效</w:t>
      </w:r>
      <w:bookmarkEnd w:id="83"/>
      <w:bookmarkEnd w:id="84"/>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1）合同自甲乙双方法人代表或其授权代表签字盖章之日起生效。</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份，采购代理机构执壹份，政府采购监督管理部门</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w:t>
      </w:r>
    </w:p>
    <w:p>
      <w:pPr>
        <w:keepNext w:val="0"/>
        <w:keepLines w:val="0"/>
        <w:pageBreakBefore w:val="0"/>
        <w:tabs>
          <w:tab w:val="left" w:pos="7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                                   乙方：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                                   地址：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法定（授权）代表人：                     法定（授权）代表人：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签字日期：      年  月  日               签字日期：      年  月  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rPr>
      </w:pPr>
    </w:p>
    <w:p>
      <w:pPr>
        <w:tabs>
          <w:tab w:val="left" w:pos="5565"/>
        </w:tabs>
        <w:spacing w:line="400" w:lineRule="exact"/>
        <w:rPr>
          <w:rFonts w:hint="eastAsia" w:ascii="宋体" w:hAnsi="宋体" w:eastAsia="宋体" w:cs="宋体"/>
          <w:color w:val="auto"/>
          <w:sz w:val="21"/>
          <w:szCs w:val="21"/>
          <w:highlight w:val="none"/>
        </w:rPr>
      </w:pP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pPr>
        <w:pStyle w:val="277"/>
        <w:spacing w:line="360" w:lineRule="auto"/>
        <w:ind w:left="0" w:leftChars="0" w:firstLine="0"/>
        <w:jc w:val="center"/>
        <w:rPr>
          <w:rFonts w:ascii="宋体" w:hAnsi="宋体" w:cs="宋体"/>
          <w:b/>
          <w:bCs/>
          <w:color w:val="auto"/>
          <w:sz w:val="24"/>
          <w:szCs w:val="30"/>
          <w:highlight w:val="none"/>
        </w:rPr>
      </w:pPr>
      <w:bookmarkStart w:id="85" w:name="_Toc449711859"/>
      <w:bookmarkStart w:id="86" w:name="_Toc35945329"/>
      <w:bookmarkStart w:id="87" w:name="_Toc35945302"/>
      <w:bookmarkStart w:id="88" w:name="_Toc35945396"/>
      <w:r>
        <w:rPr>
          <w:rFonts w:hint="eastAsia" w:ascii="宋体" w:hAnsi="宋体" w:cs="宋体"/>
          <w:b/>
          <w:bCs/>
          <w:color w:val="auto"/>
          <w:sz w:val="24"/>
          <w:szCs w:val="30"/>
          <w:highlight w:val="none"/>
        </w:rPr>
        <w:t>第六章</w:t>
      </w:r>
      <w:bookmarkEnd w:id="85"/>
      <w:r>
        <w:rPr>
          <w:rFonts w:hint="eastAsia" w:ascii="宋体" w:hAnsi="宋体" w:cs="宋体"/>
          <w:b/>
          <w:bCs/>
          <w:color w:val="auto"/>
          <w:sz w:val="24"/>
          <w:szCs w:val="30"/>
          <w:highlight w:val="none"/>
        </w:rPr>
        <w:t xml:space="preserve">  响应文件格式</w:t>
      </w:r>
      <w:bookmarkEnd w:id="86"/>
      <w:bookmarkEnd w:id="87"/>
      <w:bookmarkEnd w:id="88"/>
    </w:p>
    <w:p>
      <w:pPr>
        <w:snapToGrid w:val="0"/>
        <w:spacing w:line="360" w:lineRule="auto"/>
        <w:jc w:val="center"/>
        <w:rPr>
          <w:rFonts w:ascii="宋体" w:hAnsi="宋体"/>
          <w:b/>
          <w:color w:val="auto"/>
          <w:highlight w:val="none"/>
        </w:rPr>
      </w:pPr>
      <w:r>
        <w:rPr>
          <w:rFonts w:hint="eastAsia" w:ascii="宋体" w:hAnsi="宋体"/>
          <w:b/>
          <w:color w:val="auto"/>
          <w:highlight w:val="none"/>
        </w:rPr>
        <w:t>1）磋商响应函</w:t>
      </w:r>
    </w:p>
    <w:p>
      <w:pPr>
        <w:snapToGrid w:val="0"/>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lang w:eastAsia="zh-CN"/>
        </w:rPr>
        <w:t>宁波市实验学校</w:t>
      </w:r>
      <w:r>
        <w:rPr>
          <w:rFonts w:hint="eastAsia" w:ascii="宋体" w:hAnsi="宋体"/>
          <w:color w:val="auto"/>
          <w:highlight w:val="none"/>
          <w:u w:val="single"/>
        </w:rPr>
        <w:t xml:space="preserve">、宁波名诚招标代理有限公司  </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我方确认获取贵方关于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的磋商文件（项目编号：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），法定代表人（或《法人代表人授权委托书》中的授权代表）</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作为我方代表，在此声明并同意：</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1.愿意遵守磋商文件的各项规定，自愿参加磋商，并已清楚磋商文件的要求及有关文件规定，并严格按照磋商文件的规定履行全部责任和义务。</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2.承诺我方的响应文件的有效期从提交响应文件的截止之日起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日历天内有效。如果我方的响应被接受，则直至合同生效时止，响应文件始终有效并不撤回已提交的响应文件。</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w:t>
      </w:r>
      <w:r>
        <w:rPr>
          <w:rFonts w:asciiTheme="minorEastAsia" w:hAnsiTheme="minorEastAsia" w:eastAsiaTheme="minorEastAsia"/>
          <w:color w:val="auto"/>
          <w:highlight w:val="none"/>
        </w:rPr>
        <w:t>方已详细审查并理解</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w:t>
      </w:r>
      <w:r>
        <w:rPr>
          <w:rFonts w:hint="eastAsia" w:asciiTheme="minorEastAsia" w:hAnsiTheme="minorEastAsia" w:eastAsiaTheme="minorEastAsia"/>
          <w:color w:val="auto"/>
          <w:highlight w:val="none"/>
        </w:rPr>
        <w:t>，包括澄清、修改文件（如有）以及全部参考资料和有关附件，已经了解我方对于采购文件、采购过程、采购结果有依法进行询问、质疑、投诉的权利及进行询问、质疑、投诉的相关渠道、要求。我们同意放弃对磋商文件提出不明或误解的一切权力。</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4.我方同意提供采购人或采购代理机构与磋商小组要求的有关磋商的一切数据或资料。</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5.我方声明提交的一切文件，无论是原件还是复印件均为准确、真实、有效的，绝无任何虚假、伪造或者夸大。在此郑重承诺：在本次采购活动中，独自承担</w:t>
      </w:r>
      <w:r>
        <w:rPr>
          <w:rFonts w:hint="eastAsia" w:cs="Arial" w:asciiTheme="minorEastAsia" w:hAnsiTheme="minorEastAsia" w:eastAsiaTheme="minorEastAsia"/>
          <w:color w:val="auto"/>
          <w:highlight w:val="none"/>
        </w:rPr>
        <w:t>因我方</w:t>
      </w:r>
      <w:r>
        <w:rPr>
          <w:rFonts w:hint="eastAsia" w:asciiTheme="minorEastAsia" w:hAnsiTheme="minorEastAsia" w:eastAsiaTheme="minorEastAsia"/>
          <w:color w:val="auto"/>
          <w:highlight w:val="none"/>
        </w:rPr>
        <w:t>违法、违规、弄虚作假等行为，所造成的损失、不良后果及法律责任。</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6.如果我方提供的声明或承诺不真实，则完全同意认定为我方提供虚假材料，按照无效响应处理。</w:t>
      </w: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w:t>
      </w:r>
      <w:r>
        <w:rPr>
          <w:rFonts w:hint="eastAsia" w:asciiTheme="minorEastAsia" w:hAnsiTheme="minorEastAsia" w:eastAsiaTheme="minorEastAsia"/>
          <w:color w:val="auto"/>
          <w:highlight w:val="none"/>
        </w:rPr>
        <w:t>获得成交</w:t>
      </w:r>
      <w:r>
        <w:rPr>
          <w:rFonts w:asciiTheme="minorEastAsia" w:hAnsiTheme="minorEastAsia" w:eastAsiaTheme="minorEastAsia"/>
          <w:color w:val="auto"/>
          <w:highlight w:val="none"/>
        </w:rPr>
        <w:t>，承诺按照</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文件规定的金额、时间和方式支付采购代理服务费。因我方违约致使采购代理机构采取诉讼或仲裁等方式实现债权，为此支付的律师费、差旅费、执行费、评估费及其他实现债权的一切费用由我方承担。</w:t>
      </w:r>
    </w:p>
    <w:p>
      <w:pPr>
        <w:snapToGrid w:val="0"/>
        <w:spacing w:before="50" w:after="50"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8.所有有关本次磋商采购的函电请寄：</w:t>
      </w:r>
    </w:p>
    <w:p>
      <w:pPr>
        <w:snapToGrid w:val="0"/>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地址：</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邮编：</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电话：</w:t>
      </w:r>
      <w:r>
        <w:rPr>
          <w:rFonts w:hint="eastAsia" w:asciiTheme="minorEastAsia" w:hAnsiTheme="minorEastAsia" w:eastAsiaTheme="minorEastAsia"/>
          <w:color w:val="auto"/>
          <w:highlight w:val="none"/>
          <w:u w:val="single"/>
        </w:rPr>
        <w:t xml:space="preserve">             </w:t>
      </w:r>
    </w:p>
    <w:p>
      <w:pPr>
        <w:snapToGrid w:val="0"/>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传真：</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电子邮箱： </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p>
      <w:pPr>
        <w:snapToGrid w:val="0"/>
        <w:spacing w:line="360" w:lineRule="auto"/>
        <w:rPr>
          <w:rFonts w:asciiTheme="minorEastAsia" w:hAnsiTheme="minorEastAsia" w:eastAsiaTheme="minorEastAsia"/>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snapToGrid w:val="0"/>
        <w:spacing w:beforeLines="50" w:after="50" w:line="360" w:lineRule="auto"/>
        <w:jc w:val="center"/>
        <w:rPr>
          <w:rFonts w:ascii="宋体" w:hAnsi="宋体"/>
          <w:b/>
          <w:color w:val="auto"/>
          <w:highlight w:val="none"/>
        </w:rPr>
      </w:pPr>
      <w:r>
        <w:rPr>
          <w:rFonts w:ascii="宋体" w:hAnsi="宋体"/>
          <w:color w:val="auto"/>
          <w:highlight w:val="none"/>
        </w:rPr>
        <w:br w:type="page"/>
      </w:r>
      <w:r>
        <w:rPr>
          <w:rFonts w:hint="eastAsia" w:ascii="宋体" w:hAnsi="宋体"/>
          <w:b/>
          <w:color w:val="auto"/>
          <w:highlight w:val="none"/>
        </w:rPr>
        <w:t>2）</w:t>
      </w:r>
      <w:r>
        <w:rPr>
          <w:rFonts w:ascii="宋体" w:hAnsi="宋体"/>
          <w:b/>
          <w:color w:val="auto"/>
          <w:highlight w:val="none"/>
        </w:rPr>
        <w:t>法定代表人授权委托书</w:t>
      </w:r>
    </w:p>
    <w:p>
      <w:pPr>
        <w:snapToGrid w:val="0"/>
        <w:spacing w:line="360" w:lineRule="auto"/>
        <w:rPr>
          <w:rFonts w:ascii="宋体" w:hAnsi="宋体"/>
          <w:b/>
          <w:bCs/>
          <w:color w:val="auto"/>
          <w:highlight w:val="none"/>
        </w:rPr>
      </w:pPr>
      <w:r>
        <w:rPr>
          <w:rFonts w:hint="eastAsia" w:ascii="宋体" w:hAnsi="宋体"/>
          <w:color w:val="auto"/>
          <w:highlight w:val="none"/>
        </w:rPr>
        <w:t>致</w:t>
      </w:r>
      <w:r>
        <w:rPr>
          <w:rFonts w:hint="eastAsia" w:ascii="宋体" w:hAnsi="宋体"/>
          <w:bCs/>
          <w:color w:val="auto"/>
          <w:highlight w:val="none"/>
        </w:rPr>
        <w:t>：</w:t>
      </w:r>
      <w:r>
        <w:rPr>
          <w:rFonts w:hint="eastAsia" w:ascii="宋体" w:hAnsi="宋体"/>
          <w:color w:val="auto"/>
          <w:highlight w:val="none"/>
          <w:u w:val="single"/>
          <w:lang w:eastAsia="zh-CN"/>
        </w:rPr>
        <w:t>宁波市实验学校</w:t>
      </w:r>
      <w:r>
        <w:rPr>
          <w:rFonts w:hint="eastAsia" w:ascii="宋体" w:hAnsi="宋体"/>
          <w:color w:val="auto"/>
          <w:highlight w:val="none"/>
          <w:u w:val="single"/>
        </w:rPr>
        <w:t xml:space="preserve">、宁波名诚招标代理有限公司  </w:t>
      </w:r>
    </w:p>
    <w:p>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w:t>
      </w:r>
      <w:r>
        <w:rPr>
          <w:rFonts w:hint="eastAsia" w:asciiTheme="minorEastAsia" w:hAnsiTheme="minorEastAsia" w:eastAsiaTheme="minorEastAsia"/>
          <w:color w:val="auto"/>
          <w:highlight w:val="none"/>
          <w:u w:val="single"/>
        </w:rPr>
        <w:t xml:space="preserve">    （姓名）     </w:t>
      </w:r>
      <w:r>
        <w:rPr>
          <w:rFonts w:hint="eastAsia" w:asciiTheme="minorEastAsia" w:hAnsiTheme="minorEastAsia" w:eastAsiaTheme="minorEastAsia"/>
          <w:color w:val="auto"/>
          <w:highlight w:val="none"/>
        </w:rPr>
        <w:t>系</w:t>
      </w:r>
      <w:r>
        <w:rPr>
          <w:rFonts w:hint="eastAsia" w:asciiTheme="minorEastAsia" w:hAnsiTheme="minorEastAsia" w:eastAsiaTheme="minorEastAsia"/>
          <w:color w:val="auto"/>
          <w:highlight w:val="none"/>
          <w:u w:val="single"/>
        </w:rPr>
        <w:t xml:space="preserve">    （供应商名称）   </w:t>
      </w:r>
      <w:r>
        <w:rPr>
          <w:rFonts w:hint="eastAsia" w:asciiTheme="minorEastAsia" w:hAnsiTheme="minorEastAsia" w:eastAsiaTheme="minorEastAsia"/>
          <w:color w:val="auto"/>
          <w:highlight w:val="none"/>
        </w:rPr>
        <w:t>的法定代表人，现授权委托</w:t>
      </w:r>
      <w:r>
        <w:rPr>
          <w:rFonts w:asciiTheme="minorEastAsia" w:hAnsiTheme="minorEastAsia" w:eastAsiaTheme="minorEastAsia"/>
          <w:color w:val="auto"/>
          <w:highlight w:val="none"/>
        </w:rPr>
        <w:t xml:space="preserve"> </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（姓名）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、身份证号：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以我方的名义参加</w:t>
      </w:r>
      <w:r>
        <w:rPr>
          <w:rFonts w:hint="eastAsia" w:asciiTheme="minorEastAsia" w:hAnsiTheme="minorEastAsia" w:eastAsiaTheme="minorEastAsia"/>
          <w:color w:val="auto"/>
          <w:highlight w:val="none"/>
          <w:u w:val="single"/>
        </w:rPr>
        <w:t xml:space="preserve">                      项目</w:t>
      </w:r>
      <w:r>
        <w:rPr>
          <w:rFonts w:hint="eastAsia" w:asciiTheme="minorEastAsia" w:hAnsiTheme="minorEastAsia" w:eastAsiaTheme="minorEastAsia"/>
          <w:color w:val="auto"/>
          <w:highlight w:val="none"/>
        </w:rPr>
        <w:t>的磋商响应，并代表我方全权办理针对上述项目磋商有关的具体事务办理并签署相关文件。</w:t>
      </w:r>
    </w:p>
    <w:p>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我方对授权代表的签名事项负全部责任。</w:t>
      </w:r>
    </w:p>
    <w:p>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授权代表无转委托权，特此委托。</w:t>
      </w:r>
    </w:p>
    <w:p>
      <w:pPr>
        <w:snapToGrid w:val="0"/>
        <w:spacing w:line="360" w:lineRule="auto"/>
        <w:rPr>
          <w:rFonts w:ascii="宋体" w:hAnsi="宋体"/>
          <w:color w:val="auto"/>
          <w:highlight w:val="none"/>
        </w:rPr>
      </w:pPr>
    </w:p>
    <w:p>
      <w:pPr>
        <w:snapToGrid w:val="0"/>
        <w:spacing w:line="360" w:lineRule="auto"/>
        <w:ind w:firstLine="3685" w:firstLineChars="1755"/>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授权委托日期：</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w:t>
      </w:r>
    </w:p>
    <w:p>
      <w:pPr>
        <w:snapToGrid w:val="0"/>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b/>
          <w:color w:val="auto"/>
          <w:highlight w:val="none"/>
        </w:rPr>
      </w:pPr>
    </w:p>
    <w:p>
      <w:pPr>
        <w:snapToGrid w:val="0"/>
        <w:spacing w:line="360" w:lineRule="auto"/>
        <w:jc w:val="left"/>
        <w:rPr>
          <w:rFonts w:ascii="宋体" w:hAnsi="宋体"/>
          <w:b/>
          <w:color w:val="auto"/>
          <w:highlight w:val="none"/>
        </w:rPr>
      </w:pPr>
      <w:r>
        <w:rPr>
          <w:rFonts w:hint="eastAsia" w:ascii="宋体" w:hAnsi="宋体"/>
          <w:b/>
          <w:color w:val="auto"/>
          <w:highlight w:val="none"/>
        </w:rPr>
        <w:t>注：后附授权代表身份证正反面复印件</w:t>
      </w:r>
    </w:p>
    <w:p>
      <w:pPr>
        <w:spacing w:line="360" w:lineRule="auto"/>
        <w:jc w:val="center"/>
        <w:rPr>
          <w:rFonts w:ascii="宋体" w:hAnsi="宋体"/>
          <w:b/>
          <w:color w:val="auto"/>
          <w:highlight w:val="none"/>
        </w:rPr>
      </w:pPr>
      <w:r>
        <w:rPr>
          <w:rFonts w:ascii="宋体" w:hAnsi="宋体"/>
          <w:color w:val="auto"/>
          <w:highlight w:val="none"/>
        </w:rPr>
        <w:br w:type="page"/>
      </w:r>
      <w:r>
        <w:rPr>
          <w:rFonts w:hint="eastAsia" w:ascii="宋体" w:hAnsi="宋体"/>
          <w:b/>
          <w:color w:val="auto"/>
          <w:highlight w:val="none"/>
        </w:rPr>
        <w:t>3）初次报价表（标项一）</w:t>
      </w:r>
    </w:p>
    <w:tbl>
      <w:tblPr>
        <w:tblStyle w:val="45"/>
        <w:tblpPr w:leftFromText="180" w:rightFromText="180" w:vertAnchor="text" w:horzAnchor="margin" w:tblpY="19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403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ascii="宋体" w:hAnsi="宋体" w:eastAsia="宋体"/>
                <w:color w:val="auto"/>
                <w:sz w:val="21"/>
                <w:szCs w:val="21"/>
                <w:highlight w:val="none"/>
              </w:rPr>
              <w:t>项目名称</w:t>
            </w:r>
          </w:p>
        </w:tc>
        <w:tc>
          <w:tcPr>
            <w:tcW w:w="7865" w:type="dxa"/>
            <w:gridSpan w:val="2"/>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宁波市实验学校2024年度职工疗休养项目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 xml:space="preserve">2024NBHSWCS204    </w:t>
            </w:r>
            <w:r>
              <w:rPr>
                <w:rFonts w:hint="eastAsia" w:ascii="宋体" w:hAnsi="宋体" w:eastAsia="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rPr>
            </w:pPr>
            <w:r>
              <w:rPr>
                <w:rFonts w:hint="eastAsia" w:ascii="宋体" w:hAnsi="宋体" w:eastAsia="宋体"/>
                <w:sz w:val="21"/>
                <w:szCs w:val="21"/>
                <w:highlight w:val="none"/>
              </w:rPr>
              <w:t>标项</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57" w:type="dxa"/>
            <w:vMerge w:val="restart"/>
            <w:tcBorders>
              <w:top w:val="single" w:color="auto" w:sz="4" w:space="0"/>
              <w:left w:val="single" w:color="auto" w:sz="4" w:space="0"/>
              <w:right w:val="single" w:color="auto" w:sz="4" w:space="0"/>
            </w:tcBorders>
            <w:vAlign w:val="center"/>
          </w:tcPr>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磋商报价</w:t>
            </w:r>
          </w:p>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（元/人）</w:t>
            </w:r>
          </w:p>
        </w:tc>
        <w:tc>
          <w:tcPr>
            <w:tcW w:w="4031" w:type="dxa"/>
            <w:tcBorders>
              <w:top w:val="single" w:color="auto" w:sz="4" w:space="0"/>
              <w:left w:val="single" w:color="auto" w:sz="4" w:space="0"/>
              <w:bottom w:val="single" w:color="auto" w:sz="4" w:space="0"/>
              <w:right w:val="single" w:color="auto" w:sz="4" w:space="0"/>
            </w:tcBorders>
            <w:vAlign w:val="center"/>
          </w:tcPr>
          <w:p>
            <w:pPr>
              <w:ind w:left="-107" w:leftChars="-51" w:right="-107" w:rightChars="-51"/>
              <w:jc w:val="center"/>
              <w:rPr>
                <w:color w:val="auto"/>
                <w:highlight w:val="none"/>
              </w:rPr>
            </w:pPr>
            <w:r>
              <w:rPr>
                <w:rFonts w:hint="eastAsia"/>
                <w:color w:val="auto"/>
                <w:highlight w:val="none"/>
                <w:lang w:val="en-US" w:eastAsia="zh-CN"/>
              </w:rPr>
              <w:t>江西</w:t>
            </w:r>
            <w:r>
              <w:rPr>
                <w:rFonts w:hint="eastAsia"/>
                <w:color w:val="auto"/>
                <w:highlight w:val="none"/>
              </w:rPr>
              <w:t>线路</w:t>
            </w: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val="en-US" w:eastAsia="zh-CN"/>
              </w:rPr>
              <w:t>宁波周边</w:t>
            </w:r>
            <w:r>
              <w:rPr>
                <w:rFonts w:hint="eastAsia"/>
                <w:color w:val="auto"/>
                <w:highlight w:val="none"/>
              </w:rPr>
              <w:t>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57" w:type="dxa"/>
            <w:vMerge w:val="continue"/>
            <w:tcBorders>
              <w:left w:val="single" w:color="auto" w:sz="4" w:space="0"/>
              <w:right w:val="single" w:color="auto" w:sz="4" w:space="0"/>
            </w:tcBorders>
            <w:vAlign w:val="center"/>
          </w:tcPr>
          <w:p>
            <w:pPr>
              <w:pStyle w:val="21"/>
              <w:spacing w:line="300" w:lineRule="exact"/>
              <w:jc w:val="center"/>
              <w:rPr>
                <w:rFonts w:ascii="宋体" w:hAnsi="宋体" w:eastAsia="宋体"/>
                <w:color w:val="auto"/>
                <w:sz w:val="21"/>
                <w:szCs w:val="21"/>
                <w:highlight w:val="none"/>
              </w:rPr>
            </w:pPr>
          </w:p>
        </w:tc>
        <w:tc>
          <w:tcPr>
            <w:tcW w:w="4031"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834"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r>
    </w:tbl>
    <w:p>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w:t>
      </w:r>
      <w:r>
        <w:rPr>
          <w:rFonts w:ascii="宋体" w:hAnsi="宋体" w:cs="宋体"/>
          <w:bCs/>
          <w:color w:val="auto"/>
          <w:highlight w:val="none"/>
        </w:rPr>
        <w:t>:</w:t>
      </w:r>
      <w:r>
        <w:rPr>
          <w:rFonts w:hint="eastAsia" w:ascii="宋体" w:hAnsi="宋体" w:cs="宋体"/>
          <w:bCs/>
          <w:color w:val="auto"/>
          <w:highlight w:val="none"/>
        </w:rPr>
        <w:t>1、报价一经涂改，应在涂改处加盖单位公章或由法定代表人或其授权代表签字或加盖公章</w:t>
      </w:r>
    </w:p>
    <w:p>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cs="宋体"/>
          <w:b/>
          <w:bCs/>
          <w:color w:val="auto"/>
          <w:highlight w:val="none"/>
        </w:rPr>
        <w:t>2、</w:t>
      </w:r>
      <w:r>
        <w:rPr>
          <w:rFonts w:hint="eastAsia" w:ascii="宋体" w:hAnsi="宋体"/>
          <w:b/>
          <w:color w:val="auto"/>
          <w:highlight w:val="none"/>
        </w:rPr>
        <w:t>磋商报价不允许为0元（即赠送），磋商报价明细中不允许出现0元的单项报价，否则视同赠送，采购人不予接受（即响应无效）。</w:t>
      </w:r>
    </w:p>
    <w:p>
      <w:pPr>
        <w:widowControl/>
        <w:jc w:val="left"/>
        <w:rPr>
          <w:rFonts w:ascii="宋体" w:hAnsi="宋体"/>
          <w:color w:val="auto"/>
          <w:highlight w:val="none"/>
        </w:rPr>
      </w:pPr>
    </w:p>
    <w:p>
      <w:pPr>
        <w:widowControl/>
        <w:jc w:val="left"/>
        <w:rPr>
          <w:rFonts w:ascii="宋体" w:hAnsi="宋体"/>
          <w:color w:val="auto"/>
          <w:highlight w:val="none"/>
        </w:rPr>
      </w:pPr>
    </w:p>
    <w:p>
      <w:pPr>
        <w:widowControl/>
        <w:jc w:val="left"/>
        <w:rPr>
          <w:rFonts w:ascii="宋体" w:hAnsi="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p>
    <w:p>
      <w:pPr>
        <w:rPr>
          <w:rFonts w:ascii="宋体" w:hAnsi="宋体"/>
          <w:color w:val="auto"/>
          <w:highlight w:val="none"/>
        </w:rPr>
      </w:pPr>
      <w:r>
        <w:rPr>
          <w:rFonts w:ascii="宋体" w:hAnsi="宋体"/>
          <w:color w:val="auto"/>
          <w:highlight w:val="none"/>
        </w:rPr>
        <w:br w:type="page"/>
      </w:r>
    </w:p>
    <w:p>
      <w:pPr>
        <w:spacing w:line="360" w:lineRule="auto"/>
        <w:jc w:val="center"/>
        <w:rPr>
          <w:rFonts w:ascii="宋体" w:hAnsi="宋体"/>
          <w:b/>
          <w:color w:val="auto"/>
          <w:highlight w:val="none"/>
        </w:rPr>
      </w:pPr>
      <w:r>
        <w:rPr>
          <w:rFonts w:hint="eastAsia" w:ascii="宋体" w:hAnsi="宋体"/>
          <w:b/>
          <w:color w:val="auto"/>
          <w:highlight w:val="none"/>
          <w:lang w:val="en-US" w:eastAsia="zh-CN"/>
        </w:rPr>
        <w:t>4</w:t>
      </w:r>
      <w:r>
        <w:rPr>
          <w:rFonts w:hint="eastAsia" w:ascii="宋体" w:hAnsi="宋体"/>
          <w:b/>
          <w:color w:val="auto"/>
          <w:highlight w:val="none"/>
        </w:rPr>
        <w:t>）初次报价表（标项</w:t>
      </w:r>
      <w:r>
        <w:rPr>
          <w:rFonts w:hint="eastAsia" w:ascii="宋体" w:hAnsi="宋体"/>
          <w:b/>
          <w:color w:val="auto"/>
          <w:highlight w:val="none"/>
          <w:lang w:val="en-US" w:eastAsia="zh-CN"/>
        </w:rPr>
        <w:t>二</w:t>
      </w:r>
      <w:r>
        <w:rPr>
          <w:rFonts w:hint="eastAsia" w:ascii="宋体" w:hAnsi="宋体"/>
          <w:b/>
          <w:color w:val="auto"/>
          <w:highlight w:val="none"/>
        </w:rPr>
        <w:t>）</w:t>
      </w:r>
    </w:p>
    <w:tbl>
      <w:tblPr>
        <w:tblStyle w:val="45"/>
        <w:tblpPr w:leftFromText="180" w:rightFromText="180" w:vertAnchor="text" w:horzAnchor="margin" w:tblpY="19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403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ascii="宋体" w:hAnsi="宋体" w:eastAsia="宋体"/>
                <w:color w:val="auto"/>
                <w:sz w:val="21"/>
                <w:szCs w:val="21"/>
                <w:highlight w:val="none"/>
              </w:rPr>
              <w:t>项目名称</w:t>
            </w:r>
          </w:p>
        </w:tc>
        <w:tc>
          <w:tcPr>
            <w:tcW w:w="7865" w:type="dxa"/>
            <w:gridSpan w:val="2"/>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宁波市实验学校2024年度职工疗休养项目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 xml:space="preserve">2024NBHSWCS204    </w:t>
            </w:r>
            <w:r>
              <w:rPr>
                <w:rFonts w:hint="eastAsia" w:ascii="宋体" w:hAnsi="宋体" w:eastAsia="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rPr>
            </w:pPr>
            <w:r>
              <w:rPr>
                <w:rFonts w:hint="eastAsia" w:ascii="宋体" w:hAnsi="宋体" w:eastAsia="宋体"/>
                <w:sz w:val="21"/>
                <w:szCs w:val="21"/>
                <w:highlight w:val="none"/>
              </w:rPr>
              <w:t>标项</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57" w:type="dxa"/>
            <w:vMerge w:val="restart"/>
            <w:tcBorders>
              <w:top w:val="single" w:color="auto" w:sz="4" w:space="0"/>
              <w:left w:val="single" w:color="auto" w:sz="4" w:space="0"/>
              <w:right w:val="single" w:color="auto" w:sz="4" w:space="0"/>
            </w:tcBorders>
            <w:vAlign w:val="center"/>
          </w:tcPr>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磋商报价</w:t>
            </w:r>
          </w:p>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（元/人）</w:t>
            </w:r>
          </w:p>
        </w:tc>
        <w:tc>
          <w:tcPr>
            <w:tcW w:w="4031" w:type="dxa"/>
            <w:tcBorders>
              <w:top w:val="single" w:color="auto" w:sz="4" w:space="0"/>
              <w:left w:val="single" w:color="auto" w:sz="4" w:space="0"/>
              <w:bottom w:val="single" w:color="auto" w:sz="4" w:space="0"/>
              <w:right w:val="single" w:color="auto" w:sz="4" w:space="0"/>
            </w:tcBorders>
            <w:vAlign w:val="center"/>
          </w:tcPr>
          <w:p>
            <w:pPr>
              <w:ind w:left="-107" w:leftChars="-51" w:right="-107" w:rightChars="-51"/>
              <w:jc w:val="center"/>
              <w:rPr>
                <w:color w:val="auto"/>
                <w:highlight w:val="none"/>
              </w:rPr>
            </w:pPr>
            <w:r>
              <w:rPr>
                <w:rFonts w:hint="eastAsia"/>
                <w:color w:val="auto"/>
                <w:highlight w:val="none"/>
                <w:lang w:val="en-US" w:eastAsia="zh-CN"/>
              </w:rPr>
              <w:t>安徽</w:t>
            </w:r>
            <w:r>
              <w:rPr>
                <w:rFonts w:hint="eastAsia"/>
                <w:color w:val="auto"/>
                <w:highlight w:val="none"/>
              </w:rPr>
              <w:t>线路</w:t>
            </w: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val="en-US" w:eastAsia="zh-CN"/>
              </w:rPr>
              <w:t>宁波周边</w:t>
            </w:r>
            <w:r>
              <w:rPr>
                <w:rFonts w:hint="eastAsia"/>
                <w:color w:val="auto"/>
                <w:highlight w:val="none"/>
              </w:rPr>
              <w:t>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57" w:type="dxa"/>
            <w:vMerge w:val="continue"/>
            <w:tcBorders>
              <w:left w:val="single" w:color="auto" w:sz="4" w:space="0"/>
              <w:right w:val="single" w:color="auto" w:sz="4" w:space="0"/>
            </w:tcBorders>
            <w:vAlign w:val="center"/>
          </w:tcPr>
          <w:p>
            <w:pPr>
              <w:pStyle w:val="21"/>
              <w:spacing w:line="300" w:lineRule="exact"/>
              <w:jc w:val="center"/>
              <w:rPr>
                <w:rFonts w:ascii="宋体" w:hAnsi="宋体" w:eastAsia="宋体"/>
                <w:color w:val="auto"/>
                <w:sz w:val="21"/>
                <w:szCs w:val="21"/>
                <w:highlight w:val="none"/>
              </w:rPr>
            </w:pPr>
          </w:p>
        </w:tc>
        <w:tc>
          <w:tcPr>
            <w:tcW w:w="4031"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834"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r>
    </w:tbl>
    <w:p>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w:t>
      </w:r>
      <w:r>
        <w:rPr>
          <w:rFonts w:ascii="宋体" w:hAnsi="宋体" w:cs="宋体"/>
          <w:bCs/>
          <w:color w:val="auto"/>
          <w:highlight w:val="none"/>
        </w:rPr>
        <w:t>:</w:t>
      </w:r>
      <w:r>
        <w:rPr>
          <w:rFonts w:hint="eastAsia" w:ascii="宋体" w:hAnsi="宋体" w:cs="宋体"/>
          <w:bCs/>
          <w:color w:val="auto"/>
          <w:highlight w:val="none"/>
        </w:rPr>
        <w:t>1、报价一经涂改，应在涂改处加盖单位公章或由法定代表人或其授权代表签字或加盖公章</w:t>
      </w:r>
    </w:p>
    <w:p>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cs="宋体"/>
          <w:b/>
          <w:bCs/>
          <w:color w:val="auto"/>
          <w:highlight w:val="none"/>
        </w:rPr>
        <w:t>2、</w:t>
      </w:r>
      <w:r>
        <w:rPr>
          <w:rFonts w:hint="eastAsia" w:ascii="宋体" w:hAnsi="宋体"/>
          <w:b/>
          <w:color w:val="auto"/>
          <w:highlight w:val="none"/>
        </w:rPr>
        <w:t>磋商报价不允许为0元（即赠送），磋商报价明细中不允许出现0元的单项报价，否则视同赠送，采购人不予接受（即响应无效）。</w:t>
      </w:r>
    </w:p>
    <w:p>
      <w:pPr>
        <w:widowControl/>
        <w:jc w:val="left"/>
        <w:rPr>
          <w:rFonts w:ascii="宋体" w:hAnsi="宋体"/>
          <w:color w:val="auto"/>
          <w:highlight w:val="none"/>
        </w:rPr>
      </w:pPr>
    </w:p>
    <w:p>
      <w:pPr>
        <w:widowControl/>
        <w:jc w:val="left"/>
        <w:rPr>
          <w:rFonts w:ascii="宋体" w:hAnsi="宋体"/>
          <w:color w:val="auto"/>
          <w:highlight w:val="none"/>
        </w:rPr>
      </w:pPr>
    </w:p>
    <w:p>
      <w:pPr>
        <w:widowControl/>
        <w:jc w:val="left"/>
        <w:rPr>
          <w:rFonts w:ascii="宋体" w:hAnsi="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snapToGrid w:val="0"/>
        <w:spacing w:line="360" w:lineRule="auto"/>
        <w:rPr>
          <w:rFonts w:ascii="宋体" w:hAnsi="宋体"/>
          <w:color w:val="auto"/>
          <w:highlight w:val="none"/>
        </w:rPr>
      </w:pPr>
    </w:p>
    <w:p>
      <w:pPr>
        <w:rPr>
          <w:rFonts w:ascii="宋体" w:hAnsi="宋体"/>
          <w:color w:val="auto"/>
          <w:highlight w:val="none"/>
        </w:rPr>
      </w:pPr>
      <w:r>
        <w:rPr>
          <w:rFonts w:ascii="宋体" w:hAnsi="宋体"/>
          <w:color w:val="auto"/>
          <w:highlight w:val="none"/>
        </w:rPr>
        <w:br w:type="page"/>
      </w:r>
    </w:p>
    <w:p>
      <w:pPr>
        <w:spacing w:line="360" w:lineRule="auto"/>
        <w:jc w:val="center"/>
        <w:rPr>
          <w:rFonts w:ascii="宋体" w:hAnsi="宋体"/>
          <w:b/>
          <w:color w:val="auto"/>
          <w:highlight w:val="none"/>
        </w:rPr>
      </w:pPr>
      <w:r>
        <w:rPr>
          <w:rFonts w:hint="eastAsia" w:ascii="宋体" w:hAnsi="宋体"/>
          <w:b/>
          <w:color w:val="auto"/>
          <w:highlight w:val="none"/>
          <w:lang w:val="en-US" w:eastAsia="zh-CN"/>
        </w:rPr>
        <w:t>5</w:t>
      </w:r>
      <w:r>
        <w:rPr>
          <w:rFonts w:hint="eastAsia" w:ascii="宋体" w:hAnsi="宋体"/>
          <w:b/>
          <w:color w:val="auto"/>
          <w:highlight w:val="none"/>
        </w:rPr>
        <w:t>）初次报价表（标项</w:t>
      </w:r>
      <w:r>
        <w:rPr>
          <w:rFonts w:hint="eastAsia" w:ascii="宋体" w:hAnsi="宋体"/>
          <w:b/>
          <w:color w:val="auto"/>
          <w:highlight w:val="none"/>
          <w:lang w:val="en-US" w:eastAsia="zh-CN"/>
        </w:rPr>
        <w:t>三</w:t>
      </w:r>
      <w:r>
        <w:rPr>
          <w:rFonts w:hint="eastAsia" w:ascii="宋体" w:hAnsi="宋体"/>
          <w:b/>
          <w:color w:val="auto"/>
          <w:highlight w:val="none"/>
        </w:rPr>
        <w:t>）</w:t>
      </w:r>
    </w:p>
    <w:tbl>
      <w:tblPr>
        <w:tblStyle w:val="45"/>
        <w:tblpPr w:leftFromText="180" w:rightFromText="180" w:vertAnchor="text" w:horzAnchor="margin" w:tblpY="19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403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ascii="宋体" w:hAnsi="宋体" w:eastAsia="宋体"/>
                <w:color w:val="auto"/>
                <w:sz w:val="21"/>
                <w:szCs w:val="21"/>
                <w:highlight w:val="none"/>
              </w:rPr>
              <w:t>项目名称</w:t>
            </w:r>
          </w:p>
        </w:tc>
        <w:tc>
          <w:tcPr>
            <w:tcW w:w="7865" w:type="dxa"/>
            <w:gridSpan w:val="2"/>
            <w:tcBorders>
              <w:top w:val="single" w:color="auto" w:sz="4" w:space="0"/>
              <w:left w:val="single" w:color="auto" w:sz="4" w:space="0"/>
              <w:bottom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宁波市实验学校2024年度职工疗休养项目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 xml:space="preserve">2024NBHSWCS204    </w:t>
            </w:r>
            <w:r>
              <w:rPr>
                <w:rFonts w:hint="eastAsia" w:ascii="宋体" w:hAnsi="宋体" w:eastAsia="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7" w:type="dxa"/>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eastAsia" w:ascii="宋体" w:hAnsi="宋体" w:eastAsia="宋体"/>
                <w:color w:val="auto"/>
                <w:sz w:val="21"/>
                <w:szCs w:val="21"/>
                <w:highlight w:val="none"/>
              </w:rPr>
            </w:pPr>
            <w:r>
              <w:rPr>
                <w:rFonts w:hint="eastAsia" w:ascii="宋体" w:hAnsi="宋体" w:eastAsia="宋体"/>
                <w:sz w:val="21"/>
                <w:szCs w:val="21"/>
                <w:highlight w:val="none"/>
              </w:rPr>
              <w:t>标项</w:t>
            </w:r>
          </w:p>
        </w:tc>
        <w:tc>
          <w:tcPr>
            <w:tcW w:w="7865" w:type="dxa"/>
            <w:gridSpan w:val="2"/>
            <w:tcBorders>
              <w:top w:val="single" w:color="auto" w:sz="4" w:space="0"/>
              <w:left w:val="single" w:color="auto" w:sz="4" w:space="0"/>
              <w:right w:val="single" w:color="auto" w:sz="4" w:space="0"/>
            </w:tcBorders>
            <w:vAlign w:val="center"/>
          </w:tcPr>
          <w:p>
            <w:pPr>
              <w:pStyle w:val="21"/>
              <w:spacing w:line="300" w:lineRule="exact"/>
              <w:ind w:left="458" w:hanging="457" w:hangingChars="21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57" w:type="dxa"/>
            <w:vMerge w:val="restart"/>
            <w:tcBorders>
              <w:top w:val="single" w:color="auto" w:sz="4" w:space="0"/>
              <w:left w:val="single" w:color="auto" w:sz="4" w:space="0"/>
              <w:right w:val="single" w:color="auto" w:sz="4" w:space="0"/>
            </w:tcBorders>
            <w:vAlign w:val="center"/>
          </w:tcPr>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磋商报价</w:t>
            </w:r>
          </w:p>
          <w:p>
            <w:pPr>
              <w:pStyle w:val="21"/>
              <w:spacing w:line="300" w:lineRule="exact"/>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（元/人）</w:t>
            </w:r>
          </w:p>
        </w:tc>
        <w:tc>
          <w:tcPr>
            <w:tcW w:w="4031" w:type="dxa"/>
            <w:tcBorders>
              <w:top w:val="single" w:color="auto" w:sz="4" w:space="0"/>
              <w:left w:val="single" w:color="auto" w:sz="4" w:space="0"/>
              <w:bottom w:val="single" w:color="auto" w:sz="4" w:space="0"/>
              <w:right w:val="single" w:color="auto" w:sz="4" w:space="0"/>
            </w:tcBorders>
            <w:vAlign w:val="center"/>
          </w:tcPr>
          <w:p>
            <w:pPr>
              <w:ind w:left="-107" w:leftChars="-51" w:right="-107" w:rightChars="-51"/>
              <w:jc w:val="center"/>
              <w:rPr>
                <w:color w:val="auto"/>
                <w:highlight w:val="none"/>
              </w:rPr>
            </w:pPr>
            <w:r>
              <w:rPr>
                <w:rFonts w:hint="eastAsia"/>
                <w:color w:val="auto"/>
                <w:highlight w:val="none"/>
                <w:lang w:val="en-US" w:eastAsia="zh-CN"/>
              </w:rPr>
              <w:t>吉林</w:t>
            </w:r>
            <w:r>
              <w:rPr>
                <w:rFonts w:hint="eastAsia"/>
                <w:color w:val="auto"/>
                <w:highlight w:val="none"/>
              </w:rPr>
              <w:t>线路</w:t>
            </w:r>
          </w:p>
        </w:tc>
        <w:tc>
          <w:tcPr>
            <w:tcW w:w="38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val="en-US" w:eastAsia="zh-CN"/>
              </w:rPr>
              <w:t>湖州</w:t>
            </w:r>
            <w:r>
              <w:rPr>
                <w:rFonts w:hint="eastAsia"/>
                <w:color w:val="auto"/>
                <w:highlight w:val="none"/>
              </w:rPr>
              <w:t>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57" w:type="dxa"/>
            <w:vMerge w:val="continue"/>
            <w:tcBorders>
              <w:left w:val="single" w:color="auto" w:sz="4" w:space="0"/>
              <w:right w:val="single" w:color="auto" w:sz="4" w:space="0"/>
            </w:tcBorders>
            <w:vAlign w:val="center"/>
          </w:tcPr>
          <w:p>
            <w:pPr>
              <w:pStyle w:val="21"/>
              <w:spacing w:line="300" w:lineRule="exact"/>
              <w:jc w:val="center"/>
              <w:rPr>
                <w:rFonts w:ascii="宋体" w:hAnsi="宋体" w:eastAsia="宋体"/>
                <w:color w:val="auto"/>
                <w:sz w:val="21"/>
                <w:szCs w:val="21"/>
                <w:highlight w:val="none"/>
              </w:rPr>
            </w:pPr>
          </w:p>
        </w:tc>
        <w:tc>
          <w:tcPr>
            <w:tcW w:w="4031"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834" w:type="dxa"/>
            <w:tcBorders>
              <w:top w:val="single" w:color="auto" w:sz="4" w:space="0"/>
              <w:left w:val="single" w:color="auto" w:sz="4" w:space="0"/>
              <w:right w:val="single" w:color="auto" w:sz="4" w:space="0"/>
            </w:tcBorders>
            <w:vAlign w:val="center"/>
          </w:tcPr>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pPr>
              <w:pStyle w:val="21"/>
              <w:spacing w:line="300" w:lineRule="exact"/>
              <w:ind w:firstLine="0"/>
              <w:jc w:val="left"/>
              <w:rPr>
                <w:rFonts w:ascii="宋体" w:hAnsi="宋体" w:eastAsia="宋体"/>
                <w:color w:val="auto"/>
                <w:sz w:val="21"/>
                <w:szCs w:val="21"/>
                <w:highlight w:val="none"/>
              </w:rPr>
            </w:pPr>
          </w:p>
          <w:p>
            <w:pPr>
              <w:pStyle w:val="21"/>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r>
    </w:tbl>
    <w:p>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w:t>
      </w:r>
      <w:r>
        <w:rPr>
          <w:rFonts w:ascii="宋体" w:hAnsi="宋体" w:cs="宋体"/>
          <w:bCs/>
          <w:color w:val="auto"/>
          <w:highlight w:val="none"/>
        </w:rPr>
        <w:t>:</w:t>
      </w:r>
      <w:r>
        <w:rPr>
          <w:rFonts w:hint="eastAsia" w:ascii="宋体" w:hAnsi="宋体" w:cs="宋体"/>
          <w:bCs/>
          <w:color w:val="auto"/>
          <w:highlight w:val="none"/>
        </w:rPr>
        <w:t>1、报价一经涂改，应在涂改处加盖单位公章或由法定代表人或其授权代表签字或加盖公章</w:t>
      </w:r>
    </w:p>
    <w:p>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cs="宋体"/>
          <w:b/>
          <w:bCs/>
          <w:color w:val="auto"/>
          <w:highlight w:val="none"/>
        </w:rPr>
        <w:t>2、</w:t>
      </w:r>
      <w:r>
        <w:rPr>
          <w:rFonts w:hint="eastAsia" w:ascii="宋体" w:hAnsi="宋体"/>
          <w:b/>
          <w:color w:val="auto"/>
          <w:highlight w:val="none"/>
        </w:rPr>
        <w:t>磋商报价不允许为0元（即赠送），磋商报价明细中不允许出现0元的单项报价，否则视同赠送，采购人不予接受（即响应无效）。</w:t>
      </w:r>
    </w:p>
    <w:p>
      <w:pPr>
        <w:widowControl/>
        <w:jc w:val="left"/>
        <w:rPr>
          <w:rFonts w:ascii="宋体" w:hAnsi="宋体"/>
          <w:color w:val="auto"/>
          <w:highlight w:val="none"/>
        </w:rPr>
      </w:pPr>
    </w:p>
    <w:p>
      <w:pPr>
        <w:widowControl/>
        <w:jc w:val="left"/>
        <w:rPr>
          <w:rFonts w:ascii="宋体" w:hAnsi="宋体"/>
          <w:color w:val="auto"/>
          <w:highlight w:val="none"/>
        </w:rPr>
      </w:pPr>
    </w:p>
    <w:p>
      <w:pPr>
        <w:widowControl/>
        <w:jc w:val="left"/>
        <w:rPr>
          <w:rFonts w:ascii="宋体" w:hAnsi="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snapToGrid w:val="0"/>
        <w:spacing w:line="360" w:lineRule="auto"/>
        <w:rPr>
          <w:rFonts w:ascii="宋体" w:hAnsi="宋体"/>
          <w:color w:val="auto"/>
          <w:highlight w:val="none"/>
        </w:rPr>
      </w:pPr>
    </w:p>
    <w:p>
      <w:pPr>
        <w:pStyle w:val="21"/>
        <w:spacing w:line="360" w:lineRule="auto"/>
        <w:jc w:val="center"/>
        <w:rPr>
          <w:rFonts w:ascii="宋体" w:hAnsi="宋体"/>
          <w:color w:val="auto"/>
          <w:highlight w:val="none"/>
        </w:rPr>
      </w:pPr>
      <w:r>
        <w:rPr>
          <w:rFonts w:ascii="宋体" w:hAnsi="宋体"/>
          <w:color w:val="auto"/>
          <w:highlight w:val="none"/>
        </w:rPr>
        <w:br w:type="page"/>
      </w:r>
      <w:r>
        <w:rPr>
          <w:rFonts w:hint="eastAsia" w:ascii="宋体" w:hAnsi="宋体" w:cs="宋体"/>
          <w:b/>
          <w:color w:val="auto"/>
          <w:kern w:val="0"/>
          <w:highlight w:val="none"/>
          <w:lang w:val="en-US" w:eastAsia="zh-CN"/>
        </w:rPr>
        <w:t>6</w:t>
      </w:r>
      <w:r>
        <w:rPr>
          <w:rFonts w:hint="eastAsia" w:ascii="宋体" w:hAnsi="宋体" w:cs="宋体"/>
          <w:b/>
          <w:color w:val="auto"/>
          <w:kern w:val="0"/>
          <w:highlight w:val="none"/>
        </w:rPr>
        <w:t>）</w:t>
      </w:r>
      <w:r>
        <w:rPr>
          <w:rFonts w:ascii="宋体" w:hAnsi="宋体" w:cs="宋体"/>
          <w:b/>
          <w:color w:val="auto"/>
          <w:sz w:val="21"/>
          <w:szCs w:val="21"/>
          <w:highlight w:val="none"/>
        </w:rPr>
        <w:t>中小企业声明函</w:t>
      </w:r>
    </w:p>
    <w:p>
      <w:pPr>
        <w:spacing w:line="360" w:lineRule="auto"/>
        <w:ind w:firstLine="420" w:firstLineChars="200"/>
        <w:jc w:val="left"/>
        <w:rPr>
          <w:color w:val="auto"/>
          <w:highlight w:val="none"/>
        </w:rPr>
      </w:pPr>
      <w:r>
        <w:rPr>
          <w:color w:val="auto"/>
          <w:highlight w:val="none"/>
        </w:rPr>
        <w:t>本公司（联合体）郑重声明，根据《政府采购促进中小企业发展管理办法》（财库﹝2020﹞46号）的规定，本公司（联合体）参加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color w:val="auto"/>
          <w:highlight w:val="none"/>
        </w:rPr>
      </w:pPr>
      <w:r>
        <w:rPr>
          <w:color w:val="auto"/>
          <w:highlight w:val="none"/>
        </w:rPr>
        <w:t xml:space="preserve">1. </w:t>
      </w:r>
      <w:r>
        <w:rPr>
          <w:color w:val="auto"/>
          <w:highlight w:val="none"/>
          <w:u w:val="single"/>
        </w:rPr>
        <w:t>（标</w:t>
      </w:r>
      <w:r>
        <w:rPr>
          <w:rFonts w:hint="eastAsia"/>
          <w:color w:val="auto"/>
          <w:highlight w:val="none"/>
          <w:u w:val="single"/>
          <w:lang w:val="en-US" w:eastAsia="zh-CN"/>
        </w:rPr>
        <w:t>项号）</w:t>
      </w:r>
      <w:r>
        <w:rPr>
          <w:color w:val="auto"/>
          <w:highlight w:val="none"/>
          <w:u w:val="single"/>
        </w:rPr>
        <w:t>（</w:t>
      </w:r>
      <w:r>
        <w:rPr>
          <w:rFonts w:hint="eastAsia"/>
          <w:color w:val="auto"/>
          <w:highlight w:val="none"/>
          <w:u w:val="single"/>
          <w:lang w:val="en-US" w:eastAsia="zh-CN"/>
        </w:rPr>
        <w:t>对应</w:t>
      </w:r>
      <w:r>
        <w:rPr>
          <w:color w:val="auto"/>
          <w:highlight w:val="none"/>
          <w:u w:val="single"/>
        </w:rPr>
        <w:t>标</w:t>
      </w:r>
      <w:r>
        <w:rPr>
          <w:rFonts w:hint="eastAsia"/>
          <w:color w:val="auto"/>
          <w:highlight w:val="none"/>
          <w:u w:val="single"/>
          <w:lang w:val="en-US" w:eastAsia="zh-CN"/>
        </w:rPr>
        <w:t>项</w:t>
      </w:r>
      <w:r>
        <w:rPr>
          <w:color w:val="auto"/>
          <w:highlight w:val="none"/>
          <w:u w:val="single"/>
        </w:rPr>
        <w:t xml:space="preserve">名称） </w:t>
      </w:r>
      <w:r>
        <w:rPr>
          <w:color w:val="auto"/>
          <w:highlight w:val="none"/>
        </w:rPr>
        <w:t>，属于</w:t>
      </w:r>
      <w:r>
        <w:rPr>
          <w:rFonts w:hint="eastAsia" w:ascii="宋体" w:hAnsi="宋体"/>
          <w:b/>
          <w:color w:val="auto"/>
          <w:highlight w:val="none"/>
          <w:u w:val="single"/>
        </w:rPr>
        <w:t>租赁和商务服务业</w:t>
      </w:r>
      <w:r>
        <w:rPr>
          <w:color w:val="auto"/>
          <w:highlight w:val="none"/>
        </w:rPr>
        <w:t>；承接企业为</w:t>
      </w:r>
      <w:r>
        <w:rPr>
          <w:color w:val="auto"/>
          <w:highlight w:val="none"/>
          <w:u w:val="single"/>
        </w:rPr>
        <w:t>（企业名称）</w:t>
      </w:r>
      <w:r>
        <w:rPr>
          <w:color w:val="auto"/>
          <w:highlight w:val="none"/>
        </w:rPr>
        <w:t>，从业人员</w:t>
      </w:r>
      <w:r>
        <w:rPr>
          <w:rFonts w:hint="eastAsia"/>
          <w:color w:val="auto"/>
          <w:highlight w:val="none"/>
          <w:u w:val="single"/>
        </w:rPr>
        <w:t xml:space="preserve">    </w:t>
      </w:r>
      <w:r>
        <w:rPr>
          <w:color w:val="auto"/>
          <w:highlight w:val="none"/>
        </w:rPr>
        <w:t>人，营业收入为</w:t>
      </w:r>
      <w:r>
        <w:rPr>
          <w:rFonts w:hint="eastAsia"/>
          <w:color w:val="auto"/>
          <w:highlight w:val="none"/>
          <w:u w:val="single"/>
        </w:rPr>
        <w:t xml:space="preserve">    </w:t>
      </w:r>
      <w:r>
        <w:rPr>
          <w:color w:val="auto"/>
          <w:highlight w:val="none"/>
        </w:rPr>
        <w:t>万元，资产总额为</w:t>
      </w:r>
      <w:r>
        <w:rPr>
          <w:rFonts w:hint="eastAsia"/>
          <w:color w:val="auto"/>
          <w:highlight w:val="none"/>
          <w:u w:val="single"/>
        </w:rPr>
        <w:t xml:space="preserve">    </w:t>
      </w:r>
      <w:r>
        <w:rPr>
          <w:color w:val="auto"/>
          <w:highlight w:val="none"/>
        </w:rPr>
        <w:t>万元，属于</w:t>
      </w:r>
      <w:r>
        <w:rPr>
          <w:color w:val="auto"/>
          <w:highlight w:val="none"/>
          <w:u w:val="single"/>
        </w:rPr>
        <w:t>（中型企业、小型企业、微型企业）</w:t>
      </w:r>
      <w:r>
        <w:rPr>
          <w:color w:val="auto"/>
          <w:highlight w:val="none"/>
        </w:rPr>
        <w:t>；</w:t>
      </w:r>
    </w:p>
    <w:p>
      <w:pPr>
        <w:spacing w:line="360" w:lineRule="auto"/>
        <w:ind w:firstLine="420" w:firstLineChars="200"/>
        <w:jc w:val="left"/>
        <w:rPr>
          <w:color w:val="auto"/>
          <w:highlight w:val="none"/>
        </w:rPr>
      </w:pPr>
      <w:r>
        <w:rPr>
          <w:color w:val="auto"/>
          <w:highlight w:val="none"/>
        </w:rPr>
        <w:t>……</w:t>
      </w:r>
    </w:p>
    <w:p>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 形。</w:t>
      </w:r>
    </w:p>
    <w:p>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pPr>
        <w:spacing w:line="360" w:lineRule="auto"/>
        <w:ind w:firstLine="420" w:firstLineChars="200"/>
        <w:jc w:val="left"/>
        <w:rPr>
          <w:color w:val="auto"/>
          <w:highlight w:val="none"/>
        </w:rPr>
      </w:pPr>
    </w:p>
    <w:p>
      <w:pPr>
        <w:spacing w:line="360" w:lineRule="auto"/>
        <w:ind w:firstLine="4676" w:firstLineChars="2227"/>
        <w:jc w:val="left"/>
        <w:rPr>
          <w:color w:val="auto"/>
          <w:highlight w:val="none"/>
        </w:rPr>
      </w:pPr>
      <w:r>
        <w:rPr>
          <w:color w:val="auto"/>
          <w:highlight w:val="none"/>
        </w:rPr>
        <w:t>企业名称（盖章）：</w:t>
      </w:r>
    </w:p>
    <w:p>
      <w:pPr>
        <w:spacing w:line="360" w:lineRule="auto"/>
        <w:ind w:firstLine="4676" w:firstLineChars="2227"/>
        <w:jc w:val="left"/>
        <w:rPr>
          <w:color w:val="auto"/>
          <w:highlight w:val="none"/>
        </w:rPr>
      </w:pPr>
      <w:r>
        <w:rPr>
          <w:color w:val="auto"/>
          <w:highlight w:val="none"/>
        </w:rPr>
        <w:t>日 期：</w:t>
      </w:r>
    </w:p>
    <w:p>
      <w:pPr>
        <w:pStyle w:val="21"/>
        <w:spacing w:line="360" w:lineRule="auto"/>
        <w:jc w:val="center"/>
        <w:rPr>
          <w:rFonts w:ascii="宋体" w:hAnsi="宋体"/>
          <w:color w:val="auto"/>
          <w:highlight w:val="none"/>
        </w:rPr>
      </w:pPr>
    </w:p>
    <w:p>
      <w:pPr>
        <w:snapToGrid w:val="0"/>
        <w:spacing w:before="50" w:after="50" w:line="360" w:lineRule="auto"/>
        <w:ind w:left="-23" w:leftChars="-11" w:right="-214" w:rightChars="-102" w:firstLine="447" w:firstLineChars="213"/>
        <w:jc w:val="left"/>
        <w:rPr>
          <w:rFonts w:ascii="宋体" w:hAnsi="宋体"/>
          <w:color w:val="auto"/>
          <w:highlight w:val="none"/>
        </w:rPr>
      </w:pPr>
    </w:p>
    <w:p>
      <w:pPr>
        <w:snapToGrid w:val="0"/>
        <w:spacing w:before="50" w:after="50" w:line="360" w:lineRule="auto"/>
        <w:ind w:left="-23" w:leftChars="-11" w:right="-214" w:rightChars="-102" w:firstLine="447" w:firstLineChars="213"/>
        <w:jc w:val="left"/>
        <w:rPr>
          <w:rFonts w:ascii="宋体" w:hAnsi="宋体"/>
          <w:color w:val="auto"/>
          <w:highlight w:val="none"/>
        </w:rPr>
      </w:pPr>
    </w:p>
    <w:p>
      <w:pPr>
        <w:snapToGrid w:val="0"/>
        <w:spacing w:before="50" w:after="50" w:line="360" w:lineRule="auto"/>
        <w:ind w:left="-23" w:leftChars="-11" w:right="-214" w:rightChars="-102" w:firstLine="447" w:firstLineChars="213"/>
        <w:jc w:val="left"/>
        <w:rPr>
          <w:rFonts w:ascii="宋体" w:hAnsi="宋体"/>
          <w:color w:val="auto"/>
          <w:highlight w:val="none"/>
        </w:rPr>
      </w:pPr>
    </w:p>
    <w:p>
      <w:pPr>
        <w:snapToGrid w:val="0"/>
        <w:spacing w:before="50" w:after="50" w:line="360" w:lineRule="auto"/>
        <w:ind w:left="-23" w:leftChars="-11" w:right="-214" w:rightChars="-102" w:firstLine="447" w:firstLineChars="213"/>
        <w:jc w:val="left"/>
        <w:rPr>
          <w:rFonts w:ascii="宋体" w:hAnsi="宋体"/>
          <w:color w:val="auto"/>
          <w:highlight w:val="none"/>
        </w:rPr>
      </w:pP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2、供应商应当对其出具的《中小企业声明函》真实性负责，供应商出具的《中小企业声明函》内容不实的，属于提供虚假材料谋取中标。</w:t>
      </w:r>
    </w:p>
    <w:p>
      <w:pPr>
        <w:tabs>
          <w:tab w:val="left" w:pos="4860"/>
        </w:tabs>
        <w:spacing w:line="360" w:lineRule="auto"/>
        <w:ind w:right="1560" w:firstLine="420" w:firstLineChars="200"/>
        <w:jc w:val="center"/>
        <w:rPr>
          <w:rFonts w:ascii="宋体" w:hAnsi="宋体"/>
          <w:color w:val="auto"/>
          <w:highlight w:val="none"/>
        </w:rPr>
      </w:pPr>
    </w:p>
    <w:p>
      <w:pPr>
        <w:snapToGrid w:val="0"/>
        <w:spacing w:line="360" w:lineRule="auto"/>
        <w:ind w:left="-23" w:leftChars="-11" w:right="-214" w:rightChars="-102" w:firstLine="20" w:firstLineChars="10"/>
        <w:jc w:val="center"/>
        <w:rPr>
          <w:rFonts w:ascii="宋体" w:hAnsi="宋体"/>
          <w:color w:val="auto"/>
          <w:sz w:val="20"/>
          <w:highlight w:val="none"/>
        </w:rPr>
      </w:pPr>
    </w:p>
    <w:p>
      <w:pPr>
        <w:snapToGrid w:val="0"/>
        <w:spacing w:before="50" w:after="50" w:line="360" w:lineRule="auto"/>
        <w:ind w:left="-23" w:leftChars="-11" w:right="-214" w:rightChars="-102" w:firstLine="21" w:firstLineChars="10"/>
        <w:jc w:val="center"/>
        <w:rPr>
          <w:rFonts w:ascii="宋体" w:hAnsi="宋体"/>
          <w:b/>
          <w:color w:val="auto"/>
          <w:spacing w:val="6"/>
          <w:highlight w:val="none"/>
        </w:rPr>
      </w:pPr>
      <w:r>
        <w:rPr>
          <w:rFonts w:ascii="宋体" w:hAnsi="宋体"/>
          <w:color w:val="auto"/>
          <w:highlight w:val="none"/>
        </w:rPr>
        <w:br w:type="page"/>
      </w:r>
      <w:r>
        <w:rPr>
          <w:rFonts w:hint="eastAsia" w:ascii="宋体" w:hAnsi="宋体"/>
          <w:b/>
          <w:color w:val="auto"/>
          <w:highlight w:val="none"/>
          <w:lang w:val="en-US" w:eastAsia="zh-CN"/>
        </w:rPr>
        <w:t>7</w:t>
      </w:r>
      <w:r>
        <w:rPr>
          <w:rFonts w:hint="eastAsia" w:ascii="宋体" w:hAnsi="宋体"/>
          <w:b/>
          <w:color w:val="auto"/>
          <w:highlight w:val="none"/>
        </w:rPr>
        <w:t>）残疾人福利性单位声明函</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（填写采购人名称）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（填写项目名称） </w:t>
      </w:r>
      <w:r>
        <w:rPr>
          <w:color w:val="auto"/>
          <w:highlight w:val="none"/>
          <w:u w:val="single"/>
        </w:rPr>
        <w:t>（标</w:t>
      </w:r>
      <w:r>
        <w:rPr>
          <w:rFonts w:hint="eastAsia"/>
          <w:color w:val="auto"/>
          <w:highlight w:val="none"/>
          <w:u w:val="single"/>
          <w:lang w:val="en-US" w:eastAsia="zh-CN"/>
        </w:rPr>
        <w:t>项号）</w:t>
      </w:r>
      <w:r>
        <w:rPr>
          <w:color w:val="auto"/>
          <w:highlight w:val="none"/>
          <w:u w:val="single"/>
        </w:rPr>
        <w:t>（</w:t>
      </w:r>
      <w:r>
        <w:rPr>
          <w:rFonts w:hint="eastAsia"/>
          <w:color w:val="auto"/>
          <w:highlight w:val="none"/>
          <w:u w:val="single"/>
          <w:lang w:val="en-US" w:eastAsia="zh-CN"/>
        </w:rPr>
        <w:t>对应</w:t>
      </w:r>
      <w:r>
        <w:rPr>
          <w:color w:val="auto"/>
          <w:highlight w:val="none"/>
          <w:u w:val="single"/>
        </w:rPr>
        <w:t>标</w:t>
      </w:r>
      <w:r>
        <w:rPr>
          <w:rFonts w:hint="eastAsia"/>
          <w:color w:val="auto"/>
          <w:highlight w:val="none"/>
          <w:u w:val="single"/>
          <w:lang w:val="en-US" w:eastAsia="zh-CN"/>
        </w:rPr>
        <w:t>项</w:t>
      </w:r>
      <w:r>
        <w:rPr>
          <w:color w:val="auto"/>
          <w:highlight w:val="none"/>
          <w:u w:val="single"/>
        </w:rPr>
        <w:t xml:space="preserve">名称） </w:t>
      </w:r>
      <w:r>
        <w:rPr>
          <w:rFonts w:hint="eastAsia" w:asciiTheme="minorEastAsia" w:hAnsiTheme="minorEastAsia" w:eastAsiaTheme="minorEastAsia"/>
          <w:color w:val="auto"/>
          <w:spacing w:val="6"/>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pPr>
        <w:spacing w:line="360" w:lineRule="auto"/>
        <w:ind w:firstLine="444" w:firstLineChars="200"/>
        <w:rPr>
          <w:rFonts w:asciiTheme="minorEastAsia" w:hAnsiTheme="minorEastAsia" w:eastAsiaTheme="minorEastAsia"/>
          <w:color w:val="auto"/>
          <w:spacing w:val="6"/>
          <w:highlight w:val="none"/>
        </w:rPr>
      </w:pPr>
    </w:p>
    <w:p>
      <w:pPr>
        <w:spacing w:line="360" w:lineRule="auto"/>
        <w:ind w:firstLine="444" w:firstLineChars="200"/>
        <w:rPr>
          <w:rFonts w:asciiTheme="minorEastAsia" w:hAnsiTheme="minorEastAsia" w:eastAsiaTheme="minorEastAsia"/>
          <w:color w:val="auto"/>
          <w:spacing w:val="6"/>
          <w:highlight w:val="none"/>
        </w:rPr>
      </w:pP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pPr>
        <w:pStyle w:val="21"/>
        <w:snapToGrid w:val="0"/>
        <w:spacing w:line="360" w:lineRule="auto"/>
        <w:ind w:firstLine="437" w:firstLineChars="196"/>
        <w:rPr>
          <w:rFonts w:ascii="宋体" w:hAnsi="宋体" w:eastAsia="宋体" w:cs="宋体"/>
          <w:b/>
          <w:color w:val="auto"/>
          <w:spacing w:val="6"/>
          <w:sz w:val="21"/>
          <w:szCs w:val="21"/>
          <w:highlight w:val="none"/>
        </w:rPr>
      </w:pPr>
    </w:p>
    <w:p>
      <w:pPr>
        <w:pStyle w:val="21"/>
        <w:snapToGrid w:val="0"/>
        <w:spacing w:line="360" w:lineRule="auto"/>
        <w:ind w:firstLine="437" w:firstLineChars="196"/>
        <w:rPr>
          <w:rFonts w:ascii="宋体" w:hAnsi="宋体" w:eastAsia="宋体" w:cs="宋体"/>
          <w:b/>
          <w:color w:val="auto"/>
          <w:spacing w:val="6"/>
          <w:sz w:val="21"/>
          <w:szCs w:val="21"/>
          <w:highlight w:val="none"/>
        </w:rPr>
      </w:pPr>
    </w:p>
    <w:p>
      <w:pPr>
        <w:pStyle w:val="21"/>
        <w:snapToGrid w:val="0"/>
        <w:spacing w:line="360" w:lineRule="auto"/>
        <w:ind w:firstLine="437" w:firstLineChars="196"/>
        <w:rPr>
          <w:rFonts w:ascii="宋体" w:hAnsi="宋体" w:eastAsia="宋体" w:cs="宋体"/>
          <w:b/>
          <w:color w:val="auto"/>
          <w:spacing w:val="6"/>
          <w:sz w:val="21"/>
          <w:szCs w:val="21"/>
          <w:highlight w:val="none"/>
        </w:rPr>
      </w:pPr>
    </w:p>
    <w:p>
      <w:pPr>
        <w:pStyle w:val="21"/>
        <w:snapToGrid w:val="0"/>
        <w:spacing w:line="360" w:lineRule="auto"/>
        <w:ind w:firstLine="437" w:firstLineChars="196"/>
        <w:rPr>
          <w:rFonts w:ascii="宋体" w:hAnsi="宋体" w:eastAsia="宋体" w:cs="宋体"/>
          <w:b/>
          <w:color w:val="auto"/>
          <w:spacing w:val="6"/>
          <w:sz w:val="21"/>
          <w:szCs w:val="21"/>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pPr>
        <w:spacing w:line="360" w:lineRule="auto"/>
        <w:rPr>
          <w:rFonts w:ascii="宋体" w:hAnsi="宋体"/>
          <w:b/>
          <w:color w:val="auto"/>
          <w:highlight w:val="none"/>
        </w:rPr>
      </w:pPr>
    </w:p>
    <w:p>
      <w:pPr>
        <w:pStyle w:val="21"/>
        <w:spacing w:line="360" w:lineRule="auto"/>
        <w:ind w:firstLine="0"/>
        <w:jc w:val="center"/>
        <w:rPr>
          <w:rFonts w:ascii="宋体" w:hAnsi="宋体"/>
          <w:b/>
          <w:color w:val="auto"/>
          <w:kern w:val="1"/>
          <w:highlight w:val="none"/>
        </w:rPr>
      </w:pPr>
      <w:r>
        <w:rPr>
          <w:rFonts w:ascii="宋体" w:hAnsi="宋体"/>
          <w:b/>
          <w:color w:val="auto"/>
          <w:kern w:val="1"/>
          <w:highlight w:val="none"/>
        </w:rPr>
        <w:br w:type="page"/>
      </w:r>
    </w:p>
    <w:p>
      <w:pPr>
        <w:snapToGrid w:val="0"/>
        <w:spacing w:line="360" w:lineRule="auto"/>
        <w:jc w:val="center"/>
        <w:rPr>
          <w:rFonts w:ascii="宋体" w:hAnsi="宋体"/>
          <w:color w:val="auto"/>
          <w:highlight w:val="none"/>
        </w:rPr>
      </w:pPr>
      <w:r>
        <w:rPr>
          <w:rFonts w:hint="eastAsia" w:ascii="宋体" w:hAnsi="宋体"/>
          <w:b/>
          <w:color w:val="auto"/>
          <w:kern w:val="1"/>
          <w:highlight w:val="none"/>
          <w:lang w:val="en-US" w:eastAsia="zh-CN"/>
        </w:rPr>
        <w:t>8</w:t>
      </w:r>
      <w:r>
        <w:rPr>
          <w:rFonts w:hint="eastAsia" w:ascii="宋体" w:hAnsi="宋体"/>
          <w:b/>
          <w:color w:val="auto"/>
          <w:kern w:val="1"/>
          <w:highlight w:val="none"/>
        </w:rPr>
        <w:t>）供应商</w:t>
      </w:r>
      <w:r>
        <w:rPr>
          <w:rFonts w:ascii="宋体" w:hAnsi="宋体"/>
          <w:b/>
          <w:color w:val="auto"/>
          <w:kern w:val="1"/>
          <w:highlight w:val="none"/>
        </w:rPr>
        <w:t>资格声明函</w:t>
      </w:r>
    </w:p>
    <w:p>
      <w:pPr>
        <w:spacing w:line="360" w:lineRule="auto"/>
        <w:rPr>
          <w:rFonts w:ascii="宋体" w:hAnsi="宋体" w:cs="宋体"/>
          <w:b/>
          <w:color w:val="auto"/>
          <w:kern w:val="1"/>
          <w:highlight w:val="none"/>
        </w:rPr>
      </w:pPr>
      <w:r>
        <w:rPr>
          <w:rFonts w:hint="eastAsia" w:ascii="宋体" w:hAnsi="宋体"/>
          <w:bCs/>
          <w:color w:val="auto"/>
          <w:highlight w:val="none"/>
        </w:rPr>
        <w:t>致：</w:t>
      </w:r>
      <w:r>
        <w:rPr>
          <w:rFonts w:hint="eastAsia" w:ascii="宋体" w:hAnsi="宋体"/>
          <w:color w:val="auto"/>
          <w:highlight w:val="none"/>
          <w:u w:val="single"/>
          <w:lang w:eastAsia="zh-CN"/>
        </w:rPr>
        <w:t>宁波市实验学校</w:t>
      </w:r>
      <w:r>
        <w:rPr>
          <w:rFonts w:hint="eastAsia" w:ascii="宋体" w:hAnsi="宋体"/>
          <w:color w:val="auto"/>
          <w:highlight w:val="none"/>
          <w:u w:val="single"/>
        </w:rPr>
        <w:t>、宁波名诚招标代理有限公司</w:t>
      </w:r>
    </w:p>
    <w:p>
      <w:pPr>
        <w:spacing w:line="360" w:lineRule="auto"/>
        <w:ind w:firstLine="424"/>
        <w:rPr>
          <w:rFonts w:ascii="宋体" w:hAnsi="宋体" w:cs="宋体"/>
          <w:b/>
          <w:bCs/>
          <w:color w:val="auto"/>
          <w:kern w:val="1"/>
          <w:highlight w:val="none"/>
        </w:rPr>
      </w:pPr>
      <w:r>
        <w:rPr>
          <w:rFonts w:ascii="宋体" w:hAnsi="宋体" w:cs="宋体"/>
          <w:b/>
          <w:color w:val="auto"/>
          <w:kern w:val="1"/>
          <w:highlight w:val="none"/>
        </w:rPr>
        <w:t>本单位</w:t>
      </w:r>
      <w:r>
        <w:rPr>
          <w:rFonts w:hint="eastAsia" w:ascii="宋体" w:hAnsi="宋体" w:cs="宋体"/>
          <w:b/>
          <w:color w:val="auto"/>
          <w:kern w:val="1"/>
          <w:highlight w:val="none"/>
        </w:rPr>
        <w:t>自愿</w:t>
      </w:r>
      <w:r>
        <w:rPr>
          <w:rFonts w:ascii="宋体" w:hAnsi="宋体" w:cs="宋体"/>
          <w:b/>
          <w:color w:val="auto"/>
          <w:kern w:val="1"/>
          <w:highlight w:val="none"/>
        </w:rPr>
        <w:t>参加</w:t>
      </w:r>
      <w:r>
        <w:rPr>
          <w:rFonts w:hint="eastAsia" w:ascii="宋体" w:hAnsi="宋体" w:cs="宋体"/>
          <w:b/>
          <w:color w:val="auto"/>
          <w:kern w:val="1"/>
          <w:highlight w:val="none"/>
        </w:rPr>
        <w:t>磋商</w:t>
      </w:r>
      <w:r>
        <w:rPr>
          <w:rFonts w:ascii="宋体" w:hAnsi="宋体" w:cs="宋体"/>
          <w:b/>
          <w:color w:val="auto"/>
          <w:kern w:val="1"/>
          <w:highlight w:val="none"/>
        </w:rPr>
        <w:t>并声明</w:t>
      </w:r>
      <w:r>
        <w:rPr>
          <w:rFonts w:hint="eastAsia" w:ascii="宋体" w:hAnsi="宋体" w:cs="宋体"/>
          <w:b/>
          <w:bCs/>
          <w:color w:val="auto"/>
          <w:kern w:val="1"/>
          <w:highlight w:val="none"/>
        </w:rPr>
        <w:t>：</w:t>
      </w:r>
    </w:p>
    <w:p>
      <w:pPr>
        <w:spacing w:line="360" w:lineRule="auto"/>
        <w:ind w:firstLine="424"/>
        <w:rPr>
          <w:rFonts w:ascii="宋体" w:hAnsi="宋体" w:cs="Arial"/>
          <w:color w:val="auto"/>
          <w:highlight w:val="none"/>
        </w:rPr>
      </w:pPr>
      <w:r>
        <w:rPr>
          <w:rFonts w:hint="eastAsia" w:ascii="宋体" w:hAnsi="宋体" w:cs="Arial"/>
          <w:color w:val="auto"/>
          <w:highlight w:val="none"/>
        </w:rPr>
        <w:t>1、具有独立承担民事责任的能力；</w:t>
      </w:r>
    </w:p>
    <w:p>
      <w:pPr>
        <w:spacing w:line="360" w:lineRule="auto"/>
        <w:ind w:firstLine="424"/>
        <w:rPr>
          <w:rFonts w:ascii="宋体" w:hAnsi="宋体" w:cs="Arial"/>
          <w:color w:val="auto"/>
          <w:highlight w:val="none"/>
        </w:rPr>
      </w:pPr>
      <w:r>
        <w:rPr>
          <w:rFonts w:hint="eastAsia" w:ascii="宋体" w:hAnsi="宋体" w:cs="Arial"/>
          <w:color w:val="auto"/>
          <w:highlight w:val="none"/>
        </w:rPr>
        <w:t>2、具有良好的商业信誉和健全的财务会计制度；</w:t>
      </w:r>
    </w:p>
    <w:p>
      <w:pPr>
        <w:spacing w:line="360" w:lineRule="auto"/>
        <w:ind w:firstLine="424"/>
        <w:rPr>
          <w:rFonts w:ascii="宋体" w:hAnsi="宋体" w:cs="Arial"/>
          <w:color w:val="auto"/>
          <w:highlight w:val="none"/>
        </w:rPr>
      </w:pPr>
      <w:r>
        <w:rPr>
          <w:rFonts w:hint="eastAsia" w:ascii="宋体" w:hAnsi="宋体" w:cs="Arial"/>
          <w:color w:val="auto"/>
          <w:highlight w:val="none"/>
        </w:rPr>
        <w:t>3、具有履行本项目合同所必需的设备和专业技术能力；</w:t>
      </w:r>
    </w:p>
    <w:p>
      <w:pPr>
        <w:spacing w:line="360" w:lineRule="auto"/>
        <w:ind w:firstLine="424"/>
        <w:rPr>
          <w:rFonts w:ascii="宋体" w:hAnsi="宋体" w:cs="Arial"/>
          <w:color w:val="auto"/>
          <w:highlight w:val="none"/>
        </w:rPr>
      </w:pPr>
      <w:r>
        <w:rPr>
          <w:rFonts w:hint="eastAsia" w:ascii="宋体" w:hAnsi="宋体" w:cs="Arial"/>
          <w:color w:val="auto"/>
          <w:highlight w:val="none"/>
        </w:rPr>
        <w:t>4、已依法缴纳了税收和社会保障资金；</w:t>
      </w:r>
    </w:p>
    <w:p>
      <w:pPr>
        <w:spacing w:line="360" w:lineRule="auto"/>
        <w:ind w:firstLine="424"/>
        <w:rPr>
          <w:rFonts w:ascii="宋体" w:hAnsi="宋体" w:cs="Arial"/>
          <w:color w:val="auto"/>
          <w:highlight w:val="none"/>
        </w:rPr>
      </w:pPr>
      <w:r>
        <w:rPr>
          <w:rFonts w:hint="eastAsia" w:ascii="宋体" w:hAnsi="宋体" w:cs="Arial"/>
          <w:color w:val="auto"/>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本单位</w:t>
      </w:r>
      <w:r>
        <w:rPr>
          <w:rFonts w:hint="eastAsia" w:ascii="宋体" w:hAnsi="宋体" w:cs="Arial"/>
          <w:color w:val="auto"/>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color w:val="auto"/>
          <w:highlight w:val="none"/>
        </w:rPr>
      </w:pPr>
      <w:r>
        <w:rPr>
          <w:rFonts w:hint="eastAsia" w:ascii="宋体" w:hAnsi="宋体" w:cs="Arial"/>
          <w:color w:val="auto"/>
          <w:highlight w:val="none"/>
        </w:rPr>
        <w:t>7、具有</w:t>
      </w:r>
      <w:r>
        <w:rPr>
          <w:rFonts w:ascii="宋体" w:hAnsi="宋体" w:cs="Arial"/>
          <w:color w:val="auto"/>
          <w:highlight w:val="none"/>
        </w:rPr>
        <w:t>法律、行政法规规定的其他条件</w:t>
      </w:r>
      <w:r>
        <w:rPr>
          <w:rFonts w:hint="eastAsia" w:ascii="宋体" w:hAnsi="宋体" w:cs="Arial"/>
          <w:color w:val="auto"/>
          <w:highlight w:val="none"/>
        </w:rPr>
        <w:t>；</w:t>
      </w:r>
    </w:p>
    <w:p>
      <w:pPr>
        <w:spacing w:line="360" w:lineRule="auto"/>
        <w:ind w:firstLine="424"/>
        <w:rPr>
          <w:rFonts w:ascii="宋体" w:hAnsi="宋体" w:cs="Arial"/>
          <w:color w:val="auto"/>
          <w:highlight w:val="none"/>
        </w:rPr>
      </w:pPr>
      <w:r>
        <w:rPr>
          <w:rFonts w:hint="eastAsia" w:ascii="宋体" w:hAnsi="宋体" w:cs="Arial"/>
          <w:color w:val="auto"/>
          <w:highlight w:val="none"/>
        </w:rPr>
        <w:t>8、未采用联合体方式参加磋商；</w:t>
      </w:r>
    </w:p>
    <w:p>
      <w:pPr>
        <w:spacing w:line="360" w:lineRule="auto"/>
        <w:ind w:firstLine="424"/>
        <w:rPr>
          <w:rFonts w:ascii="宋体" w:hAnsi="宋体" w:cs="Arial"/>
          <w:color w:val="auto"/>
          <w:highlight w:val="none"/>
        </w:rPr>
      </w:pPr>
      <w:r>
        <w:rPr>
          <w:rFonts w:hint="eastAsia" w:ascii="宋体" w:hAnsi="宋体" w:cs="Arial"/>
          <w:color w:val="auto"/>
          <w:highlight w:val="none"/>
        </w:rPr>
        <w:t>9、</w:t>
      </w:r>
      <w:r>
        <w:rPr>
          <w:rFonts w:ascii="宋体" w:hAnsi="宋体" w:cs="Arial"/>
          <w:color w:val="auto"/>
          <w:highlight w:val="none"/>
        </w:rPr>
        <w:t>本单位的法定代表人或单位负责人与所参</w:t>
      </w:r>
      <w:r>
        <w:rPr>
          <w:rFonts w:hint="eastAsia" w:ascii="宋体" w:hAnsi="宋体" w:cs="Arial"/>
          <w:color w:val="auto"/>
          <w:highlight w:val="none"/>
        </w:rPr>
        <w:t>与</w:t>
      </w:r>
      <w:r>
        <w:rPr>
          <w:rFonts w:ascii="宋体" w:hAnsi="宋体" w:cs="Arial"/>
          <w:color w:val="auto"/>
          <w:highlight w:val="none"/>
        </w:rPr>
        <w:t>本项目</w:t>
      </w:r>
      <w:r>
        <w:rPr>
          <w:rFonts w:hint="eastAsia" w:ascii="宋体" w:hAnsi="宋体" w:cs="Arial"/>
          <w:color w:val="auto"/>
          <w:highlight w:val="none"/>
        </w:rPr>
        <w:t>磋商</w:t>
      </w:r>
      <w:r>
        <w:rPr>
          <w:rFonts w:ascii="宋体" w:hAnsi="宋体" w:cs="Arial"/>
          <w:color w:val="auto"/>
          <w:highlight w:val="none"/>
        </w:rPr>
        <w:t>的其他</w:t>
      </w:r>
      <w:r>
        <w:rPr>
          <w:rFonts w:hint="eastAsia" w:ascii="宋体" w:hAnsi="宋体" w:cs="Arial"/>
          <w:color w:val="auto"/>
          <w:highlight w:val="none"/>
        </w:rPr>
        <w:t>供应商</w:t>
      </w:r>
      <w:r>
        <w:rPr>
          <w:rFonts w:ascii="宋体" w:hAnsi="宋体" w:cs="Arial"/>
          <w:color w:val="auto"/>
          <w:highlight w:val="none"/>
        </w:rPr>
        <w:t>的法定代表人或单位负责人不为同一人且与其他</w:t>
      </w:r>
      <w:r>
        <w:rPr>
          <w:rFonts w:hint="eastAsia" w:ascii="宋体" w:hAnsi="宋体" w:cs="Arial"/>
          <w:color w:val="auto"/>
          <w:highlight w:val="none"/>
        </w:rPr>
        <w:t>供应商</w:t>
      </w:r>
      <w:r>
        <w:rPr>
          <w:rFonts w:ascii="宋体" w:hAnsi="宋体" w:cs="Arial"/>
          <w:color w:val="auto"/>
          <w:highlight w:val="none"/>
        </w:rPr>
        <w:t>之间不存在直接控股、管理关系</w:t>
      </w:r>
      <w:r>
        <w:rPr>
          <w:rFonts w:hint="eastAsia" w:ascii="宋体" w:hAnsi="宋体" w:cs="Arial"/>
          <w:color w:val="auto"/>
          <w:highlight w:val="none"/>
        </w:rPr>
        <w:t>；</w:t>
      </w:r>
    </w:p>
    <w:p>
      <w:pPr>
        <w:spacing w:line="360" w:lineRule="auto"/>
        <w:ind w:firstLine="424"/>
        <w:rPr>
          <w:rFonts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本单位</w:t>
      </w:r>
      <w:r>
        <w:rPr>
          <w:rFonts w:hint="eastAsia" w:ascii="宋体" w:hAnsi="宋体" w:cs="Arial"/>
          <w:color w:val="auto"/>
          <w:highlight w:val="none"/>
        </w:rPr>
        <w:t>不是</w:t>
      </w:r>
      <w:r>
        <w:rPr>
          <w:rFonts w:ascii="宋体" w:hAnsi="宋体" w:cs="Arial"/>
          <w:color w:val="auto"/>
          <w:highlight w:val="none"/>
        </w:rPr>
        <w:t>为本项目提供整体设计、规范编制或者项目管理、监理、检测等服务的</w:t>
      </w:r>
      <w:r>
        <w:rPr>
          <w:rFonts w:hint="eastAsia" w:ascii="宋体" w:hAnsi="宋体" w:cs="Arial"/>
          <w:color w:val="auto"/>
          <w:highlight w:val="none"/>
        </w:rPr>
        <w:t>供应商。</w:t>
      </w:r>
    </w:p>
    <w:p>
      <w:pPr>
        <w:spacing w:line="360" w:lineRule="auto"/>
        <w:ind w:firstLine="420"/>
        <w:rPr>
          <w:rFonts w:ascii="宋体" w:hAnsi="宋体" w:cs="宋体"/>
          <w:b/>
          <w:color w:val="auto"/>
          <w:kern w:val="1"/>
          <w:highlight w:val="none"/>
        </w:rPr>
      </w:pPr>
    </w:p>
    <w:p>
      <w:pPr>
        <w:spacing w:line="360" w:lineRule="auto"/>
        <w:ind w:left="425"/>
        <w:rPr>
          <w:rFonts w:ascii="宋体" w:hAnsi="宋体" w:cs="宋体"/>
          <w:color w:val="auto"/>
          <w:spacing w:val="4"/>
          <w:kern w:val="1"/>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snapToGrid w:val="0"/>
        <w:spacing w:line="360" w:lineRule="auto"/>
        <w:rPr>
          <w:rFonts w:ascii="宋体" w:hAnsi="宋体"/>
          <w:color w:val="auto"/>
          <w:highlight w:val="none"/>
        </w:rPr>
      </w:pPr>
    </w:p>
    <w:p>
      <w:pPr>
        <w:snapToGrid w:val="0"/>
        <w:spacing w:line="360" w:lineRule="auto"/>
        <w:ind w:left="-23" w:leftChars="-11" w:right="-214" w:rightChars="-102" w:firstLine="21" w:firstLineChars="10"/>
        <w:jc w:val="left"/>
        <w:rPr>
          <w:rFonts w:ascii="宋体" w:hAnsi="宋体"/>
          <w:b/>
          <w:color w:val="auto"/>
          <w:highlight w:val="none"/>
        </w:rPr>
      </w:pPr>
    </w:p>
    <w:p>
      <w:pPr>
        <w:snapToGrid w:val="0"/>
        <w:spacing w:line="360" w:lineRule="auto"/>
        <w:ind w:left="-23" w:leftChars="-11" w:right="-214" w:rightChars="-102" w:firstLine="21" w:firstLineChars="10"/>
        <w:jc w:val="center"/>
        <w:rPr>
          <w:rFonts w:ascii="宋体" w:hAnsi="宋体"/>
          <w:b/>
          <w:color w:val="auto"/>
          <w:highlight w:val="none"/>
        </w:rPr>
      </w:pPr>
      <w:r>
        <w:rPr>
          <w:rFonts w:ascii="宋体" w:hAnsi="宋体"/>
          <w:b/>
          <w:color w:val="auto"/>
          <w:highlight w:val="none"/>
        </w:rPr>
        <w:br w:type="page"/>
      </w:r>
      <w:r>
        <w:rPr>
          <w:rFonts w:hint="eastAsia" w:ascii="宋体" w:hAnsi="宋体"/>
          <w:b/>
          <w:color w:val="auto"/>
          <w:highlight w:val="none"/>
          <w:lang w:val="en-US" w:eastAsia="zh-CN"/>
        </w:rPr>
        <w:t>9</w:t>
      </w:r>
      <w:r>
        <w:rPr>
          <w:rFonts w:hint="eastAsia" w:ascii="宋体" w:hAnsi="宋体"/>
          <w:b/>
          <w:color w:val="auto"/>
          <w:highlight w:val="none"/>
        </w:rPr>
        <w:t>）评委打分索引表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1"/>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序号</w:t>
            </w:r>
          </w:p>
        </w:tc>
        <w:tc>
          <w:tcPr>
            <w:tcW w:w="2891" w:type="dxa"/>
            <w:vAlign w:val="center"/>
          </w:tcPr>
          <w:p>
            <w:pPr>
              <w:spacing w:line="300" w:lineRule="exact"/>
              <w:jc w:val="center"/>
              <w:rPr>
                <w:rFonts w:ascii="宋体" w:hAnsi="宋体"/>
                <w:color w:val="auto"/>
                <w:highlight w:val="none"/>
              </w:rPr>
            </w:pPr>
            <w:r>
              <w:rPr>
                <w:rFonts w:hint="eastAsia" w:ascii="宋体" w:hAnsi="宋体"/>
                <w:color w:val="auto"/>
                <w:highlight w:val="none"/>
              </w:rPr>
              <w:t>评分因素及分值</w:t>
            </w:r>
          </w:p>
        </w:tc>
        <w:tc>
          <w:tcPr>
            <w:tcW w:w="2552" w:type="dxa"/>
            <w:vAlign w:val="center"/>
          </w:tcPr>
          <w:p>
            <w:pPr>
              <w:spacing w:line="300" w:lineRule="exact"/>
              <w:jc w:val="center"/>
              <w:rPr>
                <w:rFonts w:ascii="宋体" w:hAnsi="宋体"/>
                <w:color w:val="auto"/>
                <w:highlight w:val="none"/>
              </w:rPr>
            </w:pPr>
            <w:r>
              <w:rPr>
                <w:rFonts w:hint="eastAsia" w:ascii="宋体" w:hAnsi="宋体"/>
                <w:color w:val="auto"/>
                <w:highlight w:val="none"/>
              </w:rPr>
              <w:t>证明材料所在页码区间</w:t>
            </w:r>
          </w:p>
        </w:tc>
        <w:tc>
          <w:tcPr>
            <w:tcW w:w="2835" w:type="dxa"/>
            <w:vAlign w:val="center"/>
          </w:tcPr>
          <w:p>
            <w:pPr>
              <w:spacing w:line="300" w:lineRule="exact"/>
              <w:jc w:val="center"/>
              <w:rPr>
                <w:rFonts w:ascii="宋体" w:hAnsi="宋体"/>
                <w:color w:val="auto"/>
                <w:highlight w:val="none"/>
              </w:rPr>
            </w:pPr>
            <w:r>
              <w:rPr>
                <w:rFonts w:hint="eastAsia" w:ascii="宋体" w:hAnsi="宋体"/>
                <w:color w:val="auto"/>
                <w:highlight w:val="none"/>
              </w:rPr>
              <w:t>自评得分</w:t>
            </w:r>
          </w:p>
          <w:p>
            <w:pPr>
              <w:spacing w:line="300" w:lineRule="exact"/>
              <w:jc w:val="center"/>
              <w:rPr>
                <w:rFonts w:ascii="宋体" w:hAnsi="宋体"/>
                <w:color w:val="auto"/>
                <w:highlight w:val="none"/>
              </w:rPr>
            </w:pPr>
            <w:r>
              <w:rPr>
                <w:rFonts w:hint="eastAsia" w:ascii="宋体" w:hAnsi="宋体"/>
                <w:color w:val="auto"/>
                <w:highlight w:val="none"/>
              </w:rPr>
              <w:t>（主观分部分不用填写）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1</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2</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3</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4</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5</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highlight w:val="none"/>
              </w:rPr>
            </w:pPr>
            <w:r>
              <w:rPr>
                <w:rFonts w:hint="eastAsia" w:ascii="宋体" w:hAnsi="宋体"/>
                <w:color w:val="auto"/>
                <w:highlight w:val="none"/>
              </w:rPr>
              <w:t>...</w:t>
            </w:r>
          </w:p>
        </w:tc>
        <w:tc>
          <w:tcPr>
            <w:tcW w:w="2891" w:type="dxa"/>
            <w:vAlign w:val="center"/>
          </w:tcPr>
          <w:p>
            <w:pPr>
              <w:spacing w:line="300" w:lineRule="exact"/>
              <w:jc w:val="center"/>
              <w:rPr>
                <w:rFonts w:ascii="宋体" w:hAnsi="宋体"/>
                <w:color w:val="auto"/>
                <w:highlight w:val="none"/>
              </w:rPr>
            </w:pPr>
          </w:p>
        </w:tc>
        <w:tc>
          <w:tcPr>
            <w:tcW w:w="2552" w:type="dxa"/>
            <w:vAlign w:val="center"/>
          </w:tcPr>
          <w:p>
            <w:pPr>
              <w:spacing w:line="300" w:lineRule="exact"/>
              <w:jc w:val="center"/>
              <w:rPr>
                <w:rFonts w:ascii="宋体" w:hAnsi="宋体"/>
                <w:color w:val="auto"/>
                <w:highlight w:val="none"/>
              </w:rPr>
            </w:pPr>
          </w:p>
        </w:tc>
        <w:tc>
          <w:tcPr>
            <w:tcW w:w="2835" w:type="dxa"/>
            <w:vAlign w:val="center"/>
          </w:tcPr>
          <w:p>
            <w:pPr>
              <w:spacing w:line="300" w:lineRule="exact"/>
              <w:jc w:val="center"/>
              <w:rPr>
                <w:rFonts w:ascii="宋体" w:hAnsi="宋体"/>
                <w:color w:val="auto"/>
                <w:highlight w:val="none"/>
              </w:rPr>
            </w:pPr>
          </w:p>
        </w:tc>
      </w:tr>
    </w:tbl>
    <w:p>
      <w:pPr>
        <w:pStyle w:val="21"/>
        <w:spacing w:beforeLines="50"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Theme="minorEastAsia" w:hAnsiTheme="minorEastAsia" w:eastAsiaTheme="minorEastAsia"/>
          <w:color w:val="auto"/>
          <w:sz w:val="21"/>
          <w:szCs w:val="21"/>
          <w:highlight w:val="none"/>
        </w:rPr>
        <w:t>按照磋商文件的评委打分表内容逐项填写，报价项无需列入。</w:t>
      </w:r>
    </w:p>
    <w:p>
      <w:pPr>
        <w:snapToGrid w:val="0"/>
        <w:spacing w:before="50" w:after="50" w:line="360" w:lineRule="auto"/>
        <w:ind w:left="-21" w:leftChars="-72" w:right="-817" w:rightChars="-389" w:hanging="130" w:hangingChars="62"/>
        <w:rPr>
          <w:rFonts w:ascii="宋体" w:hAnsi="宋体"/>
          <w:color w:val="auto"/>
          <w:highlight w:val="none"/>
        </w:rPr>
      </w:pPr>
    </w:p>
    <w:p>
      <w:pPr>
        <w:pStyle w:val="21"/>
        <w:spacing w:line="360" w:lineRule="auto"/>
        <w:jc w:val="center"/>
        <w:rPr>
          <w:rFonts w:ascii="宋体" w:hAnsi="宋体" w:eastAsia="宋体" w:cs="宋体"/>
          <w:b/>
          <w:color w:val="auto"/>
          <w:sz w:val="21"/>
          <w:szCs w:val="21"/>
          <w:highlight w:val="none"/>
        </w:rPr>
      </w:pPr>
      <w:r>
        <w:rPr>
          <w:rFonts w:ascii="宋体" w:hAnsi="宋体" w:eastAsia="宋体"/>
          <w:color w:val="auto"/>
          <w:kern w:val="1"/>
          <w:sz w:val="21"/>
          <w:szCs w:val="21"/>
          <w:highlight w:val="none"/>
        </w:rPr>
        <w:br w:type="page"/>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）线路要求、通用要求响应表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969"/>
        <w:gridCol w:w="2551"/>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ascii="宋体" w:hAnsi="宋体"/>
                <w:color w:val="auto"/>
                <w:kern w:val="1"/>
                <w:highlight w:val="none"/>
              </w:rPr>
              <w:t>项目</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磋商</w:t>
            </w:r>
            <w:r>
              <w:rPr>
                <w:rFonts w:ascii="宋体" w:hAnsi="宋体"/>
                <w:color w:val="auto"/>
                <w:highlight w:val="none"/>
              </w:rPr>
              <w:t>文件</w:t>
            </w:r>
            <w:r>
              <w:rPr>
                <w:rFonts w:hint="eastAsia" w:ascii="宋体" w:hAnsi="宋体"/>
                <w:color w:val="auto"/>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响应情况</w:t>
            </w:r>
          </w:p>
          <w:p>
            <w:pPr>
              <w:widowControl/>
              <w:jc w:val="center"/>
              <w:rPr>
                <w:rFonts w:ascii="宋体" w:hAnsi="宋体"/>
                <w:color w:val="auto"/>
                <w:highlight w:val="none"/>
              </w:rPr>
            </w:pPr>
            <w:r>
              <w:rPr>
                <w:rFonts w:hint="eastAsia" w:ascii="宋体" w:hAnsi="宋体"/>
                <w:color w:val="auto"/>
                <w:highlight w:val="none"/>
              </w:rPr>
              <w:t>（正偏离/响应/负偏离）</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ascii="宋体" w:hAnsi="宋体"/>
                <w:color w:val="auto"/>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r>
    </w:tbl>
    <w:p>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b/>
          <w:color w:val="auto"/>
          <w:highlight w:val="none"/>
        </w:rPr>
        <w:t>注：响应情况栏填写“响应”即为满足磋商</w:t>
      </w:r>
      <w:r>
        <w:rPr>
          <w:rFonts w:ascii="宋体" w:hAnsi="宋体"/>
          <w:b/>
          <w:color w:val="auto"/>
          <w:highlight w:val="none"/>
        </w:rPr>
        <w:t>文件</w:t>
      </w:r>
      <w:r>
        <w:rPr>
          <w:rFonts w:hint="eastAsia" w:ascii="宋体" w:hAnsi="宋体"/>
          <w:b/>
          <w:color w:val="auto"/>
          <w:highlight w:val="none"/>
        </w:rPr>
        <w:t>的要求，填写“正偏离”为优于磋商</w:t>
      </w:r>
      <w:r>
        <w:rPr>
          <w:rFonts w:ascii="宋体" w:hAnsi="宋体"/>
          <w:b/>
          <w:color w:val="auto"/>
          <w:highlight w:val="none"/>
        </w:rPr>
        <w:t>文件</w:t>
      </w:r>
      <w:r>
        <w:rPr>
          <w:rFonts w:hint="eastAsia" w:ascii="宋体" w:hAnsi="宋体"/>
          <w:b/>
          <w:color w:val="auto"/>
          <w:highlight w:val="none"/>
        </w:rPr>
        <w:t>的要求，填写“负偏离”为不能满足磋商</w:t>
      </w:r>
      <w:r>
        <w:rPr>
          <w:rFonts w:ascii="宋体" w:hAnsi="宋体"/>
          <w:b/>
          <w:color w:val="auto"/>
          <w:highlight w:val="none"/>
        </w:rPr>
        <w:t>文件</w:t>
      </w:r>
      <w:r>
        <w:rPr>
          <w:rFonts w:hint="eastAsia" w:ascii="宋体" w:hAnsi="宋体"/>
          <w:b/>
          <w:color w:val="auto"/>
          <w:highlight w:val="none"/>
        </w:rPr>
        <w:t>的要求，响应条款有“正偏离”和“负偏离”的应当在“偏离情况说明”栏进行明确描述，响应情况由磋商小组认定。</w:t>
      </w:r>
    </w:p>
    <w:p>
      <w:pPr>
        <w:pStyle w:val="21"/>
        <w:spacing w:line="360" w:lineRule="auto"/>
        <w:jc w:val="center"/>
        <w:rPr>
          <w:rFonts w:ascii="宋体" w:hAnsi="宋体" w:cs="宋体"/>
          <w:b/>
          <w:bCs/>
          <w:color w:val="auto"/>
          <w:szCs w:val="30"/>
          <w:highlight w:val="none"/>
        </w:rPr>
      </w:pPr>
    </w:p>
    <w:p>
      <w:pPr>
        <w:snapToGrid w:val="0"/>
        <w:spacing w:before="50" w:after="50" w:line="360" w:lineRule="auto"/>
        <w:ind w:left="-21" w:leftChars="-72" w:right="-817" w:rightChars="-389" w:hanging="130" w:hangingChars="62"/>
        <w:rPr>
          <w:rFonts w:ascii="宋体" w:hAnsi="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pStyle w:val="21"/>
        <w:spacing w:line="360" w:lineRule="auto"/>
        <w:jc w:val="center"/>
        <w:rPr>
          <w:rFonts w:ascii="宋体" w:hAnsi="宋体" w:cs="宋体"/>
          <w:b/>
          <w:color w:val="auto"/>
          <w:sz w:val="21"/>
          <w:szCs w:val="21"/>
          <w:highlight w:val="none"/>
        </w:rPr>
      </w:pPr>
      <w:r>
        <w:rPr>
          <w:rFonts w:ascii="宋体" w:hAnsi="宋体"/>
          <w:color w:val="auto"/>
          <w:highlight w:val="none"/>
        </w:rPr>
        <w:br w:type="page"/>
      </w:r>
    </w:p>
    <w:p>
      <w:pPr>
        <w:pStyle w:val="21"/>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商务要求</w:t>
      </w:r>
      <w:r>
        <w:rPr>
          <w:rFonts w:hint="eastAsia" w:ascii="宋体" w:hAnsi="宋体" w:eastAsia="宋体" w:cs="宋体"/>
          <w:b/>
          <w:color w:val="auto"/>
          <w:sz w:val="21"/>
          <w:szCs w:val="21"/>
          <w:highlight w:val="none"/>
        </w:rPr>
        <w:t>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969"/>
        <w:gridCol w:w="2551"/>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ascii="宋体" w:hAnsi="宋体"/>
                <w:color w:val="auto"/>
                <w:kern w:val="1"/>
                <w:highlight w:val="none"/>
              </w:rPr>
              <w:t>项目</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磋商</w:t>
            </w:r>
            <w:r>
              <w:rPr>
                <w:rFonts w:ascii="宋体" w:hAnsi="宋体"/>
                <w:color w:val="auto"/>
                <w:highlight w:val="none"/>
              </w:rPr>
              <w:t>文件</w:t>
            </w:r>
            <w:r>
              <w:rPr>
                <w:rFonts w:hint="eastAsia" w:ascii="宋体" w:hAnsi="宋体"/>
                <w:color w:val="auto"/>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响应情况</w:t>
            </w:r>
          </w:p>
          <w:p>
            <w:pPr>
              <w:widowControl/>
              <w:jc w:val="center"/>
              <w:rPr>
                <w:rFonts w:ascii="宋体" w:hAnsi="宋体"/>
                <w:color w:val="auto"/>
                <w:highlight w:val="none"/>
              </w:rPr>
            </w:pPr>
            <w:r>
              <w:rPr>
                <w:rFonts w:hint="eastAsia" w:ascii="宋体" w:hAnsi="宋体"/>
                <w:color w:val="auto"/>
                <w:highlight w:val="none"/>
              </w:rPr>
              <w:t>（正偏离/响应/负偏离）</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ascii="宋体" w:hAnsi="宋体"/>
                <w:color w:val="auto"/>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ascii="宋体" w:hAnsi="宋体"/>
                <w:color w:val="auto"/>
                <w:highlight w:val="none"/>
              </w:rPr>
              <w:t>…</w:t>
            </w:r>
          </w:p>
        </w:tc>
      </w:tr>
    </w:tbl>
    <w:p>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b/>
          <w:color w:val="auto"/>
          <w:highlight w:val="none"/>
        </w:rPr>
        <w:t>注：响应情况栏填写“响应”即为满足磋商</w:t>
      </w:r>
      <w:r>
        <w:rPr>
          <w:rFonts w:ascii="宋体" w:hAnsi="宋体"/>
          <w:b/>
          <w:color w:val="auto"/>
          <w:highlight w:val="none"/>
        </w:rPr>
        <w:t>文件</w:t>
      </w:r>
      <w:r>
        <w:rPr>
          <w:rFonts w:hint="eastAsia" w:ascii="宋体" w:hAnsi="宋体"/>
          <w:b/>
          <w:color w:val="auto"/>
          <w:highlight w:val="none"/>
        </w:rPr>
        <w:t>的要求，填写“正偏离”为优于磋商</w:t>
      </w:r>
      <w:r>
        <w:rPr>
          <w:rFonts w:ascii="宋体" w:hAnsi="宋体"/>
          <w:b/>
          <w:color w:val="auto"/>
          <w:highlight w:val="none"/>
        </w:rPr>
        <w:t>文件</w:t>
      </w:r>
      <w:r>
        <w:rPr>
          <w:rFonts w:hint="eastAsia" w:ascii="宋体" w:hAnsi="宋体"/>
          <w:b/>
          <w:color w:val="auto"/>
          <w:highlight w:val="none"/>
        </w:rPr>
        <w:t>的要求，填写“负偏离”为不能满足磋商</w:t>
      </w:r>
      <w:r>
        <w:rPr>
          <w:rFonts w:ascii="宋体" w:hAnsi="宋体"/>
          <w:b/>
          <w:color w:val="auto"/>
          <w:highlight w:val="none"/>
        </w:rPr>
        <w:t>文件</w:t>
      </w:r>
      <w:r>
        <w:rPr>
          <w:rFonts w:hint="eastAsia" w:ascii="宋体" w:hAnsi="宋体"/>
          <w:b/>
          <w:color w:val="auto"/>
          <w:highlight w:val="none"/>
        </w:rPr>
        <w:t>的要求，响应条款有“正偏离”和“负偏离”的应当在“偏离情况说明”栏进行明确描述，响应情况由磋商小组认定。</w:t>
      </w:r>
    </w:p>
    <w:p>
      <w:pPr>
        <w:pStyle w:val="21"/>
        <w:spacing w:line="360" w:lineRule="auto"/>
        <w:jc w:val="center"/>
        <w:rPr>
          <w:rFonts w:ascii="宋体" w:hAnsi="宋体" w:cs="宋体"/>
          <w:b/>
          <w:bCs/>
          <w:color w:val="auto"/>
          <w:szCs w:val="30"/>
          <w:highlight w:val="none"/>
        </w:rPr>
      </w:pPr>
    </w:p>
    <w:p>
      <w:pPr>
        <w:snapToGrid w:val="0"/>
        <w:spacing w:before="50" w:after="50" w:line="360" w:lineRule="auto"/>
        <w:ind w:left="-21" w:leftChars="-72" w:right="-817" w:rightChars="-389" w:hanging="130" w:hangingChars="62"/>
        <w:rPr>
          <w:rFonts w:ascii="宋体" w:hAnsi="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rPr>
          <w:rFonts w:hint="eastAsia" w:ascii="宋体" w:hAnsi="宋体" w:cs="宋体"/>
          <w:b/>
          <w:color w:val="auto"/>
          <w:kern w:val="0"/>
          <w:highlight w:val="none"/>
          <w:lang w:val="en-US" w:eastAsia="zh-CN"/>
        </w:rPr>
      </w:pPr>
      <w:r>
        <w:rPr>
          <w:rFonts w:hint="eastAsia" w:ascii="宋体" w:hAnsi="宋体" w:cs="宋体"/>
          <w:b/>
          <w:color w:val="auto"/>
          <w:kern w:val="0"/>
          <w:highlight w:val="none"/>
          <w:lang w:val="en-US" w:eastAsia="zh-CN"/>
        </w:rPr>
        <w:br w:type="page"/>
      </w:r>
    </w:p>
    <w:p>
      <w:pPr>
        <w:snapToGrid w:val="0"/>
        <w:spacing w:before="50" w:after="50" w:line="360" w:lineRule="auto"/>
        <w:ind w:left="-23" w:leftChars="-11" w:right="-214" w:rightChars="-102" w:firstLine="21" w:firstLineChars="10"/>
        <w:jc w:val="center"/>
        <w:rPr>
          <w:rFonts w:ascii="宋体" w:hAnsi="宋体"/>
          <w:b/>
          <w:color w:val="auto"/>
          <w:highlight w:val="none"/>
        </w:rPr>
      </w:pPr>
      <w:r>
        <w:rPr>
          <w:rFonts w:hint="eastAsia" w:ascii="宋体" w:hAnsi="宋体" w:cs="宋体"/>
          <w:b/>
          <w:color w:val="auto"/>
          <w:kern w:val="0"/>
          <w:highlight w:val="none"/>
          <w:lang w:val="en-US" w:eastAsia="zh-CN"/>
        </w:rPr>
        <w:t>12</w:t>
      </w:r>
      <w:r>
        <w:rPr>
          <w:rFonts w:hint="eastAsia" w:ascii="宋体" w:hAnsi="宋体" w:cs="宋体"/>
          <w:b/>
          <w:color w:val="auto"/>
          <w:kern w:val="0"/>
          <w:highlight w:val="none"/>
        </w:rPr>
        <w:t>）项目实施人员情况表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76"/>
        <w:gridCol w:w="2017"/>
        <w:gridCol w:w="992"/>
        <w:gridCol w:w="851"/>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highlight w:val="none"/>
              </w:rPr>
            </w:pPr>
            <w:r>
              <w:rPr>
                <w:rFonts w:hint="eastAsia" w:ascii="宋体" w:hAnsi="宋体"/>
                <w:bCs/>
                <w:color w:val="auto"/>
                <w:highlight w:val="none"/>
              </w:rPr>
              <w:t>序号</w:t>
            </w:r>
          </w:p>
        </w:tc>
        <w:tc>
          <w:tcPr>
            <w:tcW w:w="851" w:type="dxa"/>
            <w:vAlign w:val="center"/>
          </w:tcPr>
          <w:p>
            <w:pPr>
              <w:jc w:val="center"/>
              <w:rPr>
                <w:rFonts w:ascii="宋体" w:hAnsi="宋体"/>
                <w:bCs/>
                <w:color w:val="auto"/>
                <w:highlight w:val="none"/>
              </w:rPr>
            </w:pPr>
            <w:r>
              <w:rPr>
                <w:rFonts w:hint="eastAsia" w:ascii="宋体" w:hAnsi="宋体"/>
                <w:bCs/>
                <w:color w:val="auto"/>
                <w:highlight w:val="none"/>
              </w:rPr>
              <w:t>姓名</w:t>
            </w:r>
          </w:p>
        </w:tc>
        <w:tc>
          <w:tcPr>
            <w:tcW w:w="676" w:type="dxa"/>
            <w:vAlign w:val="center"/>
          </w:tcPr>
          <w:p>
            <w:pPr>
              <w:jc w:val="center"/>
              <w:rPr>
                <w:rFonts w:ascii="宋体" w:hAnsi="宋体"/>
                <w:bCs/>
                <w:color w:val="auto"/>
                <w:highlight w:val="none"/>
              </w:rPr>
            </w:pPr>
            <w:r>
              <w:rPr>
                <w:rFonts w:hint="eastAsia" w:ascii="宋体" w:hAnsi="宋体"/>
                <w:bCs/>
                <w:color w:val="auto"/>
                <w:highlight w:val="none"/>
              </w:rPr>
              <w:t>岗位</w:t>
            </w:r>
          </w:p>
        </w:tc>
        <w:tc>
          <w:tcPr>
            <w:tcW w:w="2017" w:type="dxa"/>
            <w:vAlign w:val="center"/>
          </w:tcPr>
          <w:p>
            <w:pPr>
              <w:jc w:val="center"/>
              <w:rPr>
                <w:rFonts w:ascii="宋体" w:hAnsi="宋体"/>
                <w:bCs/>
                <w:color w:val="auto"/>
                <w:highlight w:val="none"/>
              </w:rPr>
            </w:pPr>
            <w:r>
              <w:rPr>
                <w:rFonts w:hint="eastAsia" w:ascii="宋体" w:hAnsi="宋体"/>
                <w:bCs/>
                <w:color w:val="auto"/>
                <w:highlight w:val="none"/>
              </w:rPr>
              <w:t>本项目主要工作</w:t>
            </w:r>
          </w:p>
        </w:tc>
        <w:tc>
          <w:tcPr>
            <w:tcW w:w="992" w:type="dxa"/>
            <w:vAlign w:val="center"/>
          </w:tcPr>
          <w:p>
            <w:pPr>
              <w:jc w:val="center"/>
              <w:rPr>
                <w:rFonts w:ascii="宋体" w:hAnsi="宋体"/>
                <w:bCs/>
                <w:color w:val="auto"/>
                <w:highlight w:val="none"/>
              </w:rPr>
            </w:pPr>
            <w:r>
              <w:rPr>
                <w:rFonts w:hint="eastAsia" w:ascii="宋体" w:hAnsi="宋体"/>
                <w:bCs/>
                <w:color w:val="auto"/>
                <w:highlight w:val="none"/>
              </w:rPr>
              <w:t>年龄</w:t>
            </w:r>
          </w:p>
        </w:tc>
        <w:tc>
          <w:tcPr>
            <w:tcW w:w="851" w:type="dxa"/>
            <w:vAlign w:val="center"/>
          </w:tcPr>
          <w:p>
            <w:pPr>
              <w:jc w:val="center"/>
              <w:rPr>
                <w:rFonts w:ascii="宋体" w:hAnsi="宋体"/>
                <w:bCs/>
                <w:color w:val="auto"/>
                <w:highlight w:val="none"/>
              </w:rPr>
            </w:pPr>
            <w:r>
              <w:rPr>
                <w:rFonts w:hint="eastAsia" w:ascii="宋体" w:hAnsi="宋体"/>
                <w:bCs/>
                <w:color w:val="auto"/>
                <w:highlight w:val="none"/>
              </w:rPr>
              <w:t>性别</w:t>
            </w:r>
          </w:p>
        </w:tc>
        <w:tc>
          <w:tcPr>
            <w:tcW w:w="1276" w:type="dxa"/>
            <w:vAlign w:val="center"/>
          </w:tcPr>
          <w:p>
            <w:pPr>
              <w:jc w:val="center"/>
              <w:rPr>
                <w:rFonts w:ascii="宋体" w:hAnsi="宋体"/>
                <w:bCs/>
                <w:color w:val="auto"/>
                <w:highlight w:val="none"/>
              </w:rPr>
            </w:pPr>
            <w:r>
              <w:rPr>
                <w:rFonts w:hint="eastAsia" w:ascii="宋体" w:hAnsi="宋体"/>
                <w:bCs/>
                <w:color w:val="auto"/>
                <w:highlight w:val="none"/>
              </w:rPr>
              <w:t>学历</w:t>
            </w:r>
          </w:p>
        </w:tc>
        <w:tc>
          <w:tcPr>
            <w:tcW w:w="1701" w:type="dxa"/>
            <w:vAlign w:val="center"/>
          </w:tcPr>
          <w:p>
            <w:pPr>
              <w:jc w:val="center"/>
              <w:rPr>
                <w:rFonts w:ascii="宋体" w:hAnsi="宋体"/>
                <w:bCs/>
                <w:color w:val="auto"/>
                <w:highlight w:val="none"/>
              </w:rPr>
            </w:pPr>
            <w:r>
              <w:rPr>
                <w:rFonts w:hint="eastAsia" w:ascii="宋体" w:hAnsi="宋体"/>
                <w:bCs/>
                <w:color w:val="auto"/>
                <w:highlight w:val="none"/>
              </w:rPr>
              <w:t>职称等能力证明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1</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2</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3</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4</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5</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highlight w:val="none"/>
              </w:rPr>
            </w:pPr>
            <w:r>
              <w:rPr>
                <w:rFonts w:hint="eastAsia" w:ascii="宋体" w:hAnsi="宋体"/>
                <w:color w:val="auto"/>
                <w:highlight w:val="none"/>
              </w:rPr>
              <w:t>...</w:t>
            </w:r>
          </w:p>
        </w:tc>
        <w:tc>
          <w:tcPr>
            <w:tcW w:w="851" w:type="dxa"/>
            <w:vAlign w:val="center"/>
          </w:tcPr>
          <w:p>
            <w:pPr>
              <w:jc w:val="center"/>
              <w:rPr>
                <w:rFonts w:ascii="宋体" w:hAnsi="宋体"/>
                <w:color w:val="auto"/>
                <w:highlight w:val="none"/>
              </w:rPr>
            </w:pPr>
          </w:p>
        </w:tc>
        <w:tc>
          <w:tcPr>
            <w:tcW w:w="676" w:type="dxa"/>
            <w:vAlign w:val="center"/>
          </w:tcPr>
          <w:p>
            <w:pPr>
              <w:jc w:val="center"/>
              <w:rPr>
                <w:rFonts w:ascii="宋体" w:hAnsi="宋体"/>
                <w:color w:val="auto"/>
                <w:highlight w:val="none"/>
              </w:rPr>
            </w:pPr>
          </w:p>
        </w:tc>
        <w:tc>
          <w:tcPr>
            <w:tcW w:w="2017" w:type="dxa"/>
            <w:vAlign w:val="center"/>
          </w:tcPr>
          <w:p>
            <w:pPr>
              <w:jc w:val="center"/>
              <w:rPr>
                <w:rFonts w:ascii="宋体" w:hAnsi="宋体"/>
                <w:color w:val="auto"/>
                <w:highlight w:val="none"/>
              </w:rPr>
            </w:pPr>
          </w:p>
        </w:tc>
        <w:tc>
          <w:tcPr>
            <w:tcW w:w="992" w:type="dxa"/>
            <w:vAlign w:val="center"/>
          </w:tcPr>
          <w:p>
            <w:pPr>
              <w:jc w:val="center"/>
              <w:rPr>
                <w:rFonts w:ascii="宋体" w:hAnsi="宋体"/>
                <w:color w:val="auto"/>
                <w:highlight w:val="none"/>
              </w:rPr>
            </w:pPr>
          </w:p>
        </w:tc>
        <w:tc>
          <w:tcPr>
            <w:tcW w:w="851" w:type="dxa"/>
            <w:vAlign w:val="center"/>
          </w:tcPr>
          <w:p>
            <w:pPr>
              <w:jc w:val="center"/>
              <w:rPr>
                <w:rFonts w:ascii="宋体" w:hAnsi="宋体"/>
                <w:color w:val="auto"/>
                <w:highlight w:val="none"/>
              </w:rPr>
            </w:pPr>
          </w:p>
        </w:tc>
        <w:tc>
          <w:tcPr>
            <w:tcW w:w="1276" w:type="dxa"/>
            <w:vAlign w:val="center"/>
          </w:tcPr>
          <w:p>
            <w:pPr>
              <w:jc w:val="center"/>
              <w:rPr>
                <w:rFonts w:ascii="宋体" w:hAnsi="宋体"/>
                <w:color w:val="auto"/>
                <w:highlight w:val="none"/>
              </w:rPr>
            </w:pPr>
          </w:p>
        </w:tc>
        <w:tc>
          <w:tcPr>
            <w:tcW w:w="1701" w:type="dxa"/>
            <w:vAlign w:val="center"/>
          </w:tcPr>
          <w:p>
            <w:pPr>
              <w:jc w:val="center"/>
              <w:rPr>
                <w:rFonts w:ascii="宋体" w:hAnsi="宋体"/>
                <w:color w:val="auto"/>
                <w:highlight w:val="none"/>
              </w:rPr>
            </w:pPr>
          </w:p>
        </w:tc>
      </w:tr>
    </w:tbl>
    <w:p>
      <w:pPr>
        <w:spacing w:line="360" w:lineRule="auto"/>
        <w:ind w:left="924" w:hanging="924" w:hangingChars="440"/>
        <w:rPr>
          <w:rFonts w:ascii="宋体" w:hAnsi="宋体" w:cs="宋体"/>
          <w:b/>
          <w:color w:val="auto"/>
          <w:highlight w:val="none"/>
        </w:rPr>
      </w:pPr>
      <w:r>
        <w:rPr>
          <w:rFonts w:hint="eastAsia" w:ascii="宋体" w:hAnsi="宋体" w:cs="宋体"/>
          <w:color w:val="auto"/>
          <w:highlight w:val="none"/>
        </w:rPr>
        <w:t>注：1、项目负责人等与评审因素相关的人员必须列入本表并明确，否则在评审中不予认可。</w:t>
      </w:r>
    </w:p>
    <w:p>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2、列入本表人员如要更换，需经采购人同意，擅自更换或不到位属于违约行为。</w:t>
      </w:r>
    </w:p>
    <w:p>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3、职称证书、执业资格等能力证明材料复印件后附（如有）。</w:t>
      </w:r>
    </w:p>
    <w:p>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4、响应文件内提供评分标准要求的证明材料。</w:t>
      </w:r>
    </w:p>
    <w:p>
      <w:pPr>
        <w:spacing w:line="360" w:lineRule="auto"/>
        <w:ind w:left="924" w:hanging="924" w:hangingChars="440"/>
        <w:rPr>
          <w:rFonts w:ascii="宋体" w:hAnsi="宋体" w:cs="宋体"/>
          <w:color w:val="auto"/>
          <w:highlight w:val="none"/>
        </w:rPr>
      </w:pPr>
    </w:p>
    <w:p>
      <w:pPr>
        <w:spacing w:line="360" w:lineRule="auto"/>
        <w:ind w:left="924" w:hanging="924" w:hangingChars="440"/>
        <w:rPr>
          <w:rFonts w:ascii="宋体" w:hAnsi="宋体" w:cs="宋体"/>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widowControl/>
        <w:jc w:val="left"/>
        <w:rPr>
          <w:rFonts w:ascii="宋体" w:hAnsi="宋体"/>
          <w:color w:val="auto"/>
          <w:kern w:val="1"/>
          <w:highlight w:val="none"/>
        </w:rPr>
      </w:pPr>
      <w:r>
        <w:rPr>
          <w:rFonts w:ascii="宋体" w:hAnsi="宋体"/>
          <w:color w:val="auto"/>
          <w:kern w:val="1"/>
          <w:highlight w:val="none"/>
        </w:rPr>
        <w:br w:type="page"/>
      </w:r>
    </w:p>
    <w:p>
      <w:pPr>
        <w:pStyle w:val="21"/>
        <w:spacing w:line="360" w:lineRule="auto"/>
        <w:jc w:val="center"/>
        <w:rPr>
          <w:rFonts w:ascii="宋体" w:hAnsi="宋体"/>
          <w:color w:val="auto"/>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）类似项目业绩一览表（如有）</w:t>
      </w:r>
    </w:p>
    <w:tbl>
      <w:tblPr>
        <w:tblStyle w:val="45"/>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序号</w:t>
            </w:r>
          </w:p>
        </w:tc>
        <w:tc>
          <w:tcPr>
            <w:tcW w:w="1701"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用户名称</w:t>
            </w:r>
          </w:p>
        </w:tc>
        <w:tc>
          <w:tcPr>
            <w:tcW w:w="1560"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项目内容</w:t>
            </w:r>
          </w:p>
        </w:tc>
        <w:tc>
          <w:tcPr>
            <w:tcW w:w="1984" w:type="dxa"/>
            <w:vAlign w:val="center"/>
          </w:tcPr>
          <w:p>
            <w:pPr>
              <w:spacing w:line="300" w:lineRule="exact"/>
              <w:jc w:val="center"/>
              <w:rPr>
                <w:rFonts w:hint="eastAsia" w:ascii="宋体" w:hAnsi="宋体" w:eastAsia="宋体"/>
                <w:bCs/>
                <w:color w:val="auto"/>
                <w:highlight w:val="none"/>
                <w:lang w:eastAsia="zh-CN"/>
              </w:rPr>
            </w:pPr>
            <w:r>
              <w:rPr>
                <w:rFonts w:hint="eastAsia" w:ascii="宋体" w:hAnsi="宋体"/>
                <w:bCs/>
                <w:color w:val="auto"/>
                <w:highlight w:val="none"/>
              </w:rPr>
              <w:t>合同金额</w:t>
            </w:r>
            <w:r>
              <w:rPr>
                <w:rFonts w:hint="eastAsia" w:ascii="宋体" w:hAnsi="宋体"/>
                <w:bCs/>
                <w:color w:val="auto"/>
                <w:highlight w:val="none"/>
                <w:lang w:eastAsia="zh-CN"/>
              </w:rPr>
              <w:t>（</w:t>
            </w:r>
            <w:r>
              <w:rPr>
                <w:rFonts w:hint="eastAsia" w:ascii="宋体" w:hAnsi="宋体"/>
                <w:bCs/>
                <w:color w:val="auto"/>
                <w:highlight w:val="none"/>
                <w:lang w:val="en-US" w:eastAsia="zh-CN"/>
              </w:rPr>
              <w:t>元</w:t>
            </w:r>
            <w:r>
              <w:rPr>
                <w:rFonts w:hint="eastAsia" w:ascii="宋体" w:hAnsi="宋体"/>
                <w:bCs/>
                <w:color w:val="auto"/>
                <w:highlight w:val="none"/>
                <w:lang w:eastAsia="zh-CN"/>
              </w:rPr>
              <w:t>）</w:t>
            </w:r>
          </w:p>
        </w:tc>
        <w:tc>
          <w:tcPr>
            <w:tcW w:w="2835" w:type="dxa"/>
            <w:tcBorders>
              <w:right w:val="single" w:color="auto" w:sz="4" w:space="0"/>
            </w:tcBorders>
            <w:vAlign w:val="center"/>
          </w:tcPr>
          <w:p>
            <w:pPr>
              <w:spacing w:line="300" w:lineRule="exact"/>
              <w:jc w:val="center"/>
              <w:rPr>
                <w:rFonts w:ascii="宋体" w:hAnsi="宋体"/>
                <w:bCs/>
                <w:color w:val="auto"/>
                <w:highlight w:val="none"/>
              </w:rPr>
            </w:pPr>
            <w:r>
              <w:rPr>
                <w:rFonts w:hint="eastAsia" w:ascii="宋体" w:hAnsi="宋体"/>
                <w:bCs/>
                <w:color w:val="auto"/>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1</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2</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3</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4</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5</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w:t>
            </w:r>
          </w:p>
        </w:tc>
        <w:tc>
          <w:tcPr>
            <w:tcW w:w="1701" w:type="dxa"/>
            <w:vAlign w:val="center"/>
          </w:tcPr>
          <w:p>
            <w:pPr>
              <w:rPr>
                <w:rFonts w:ascii="宋体" w:hAnsi="宋体"/>
                <w:color w:val="auto"/>
                <w:highlight w:val="none"/>
              </w:rPr>
            </w:pPr>
          </w:p>
        </w:tc>
        <w:tc>
          <w:tcPr>
            <w:tcW w:w="1560" w:type="dxa"/>
            <w:vAlign w:val="center"/>
          </w:tcPr>
          <w:p>
            <w:pPr>
              <w:rPr>
                <w:rFonts w:ascii="宋体" w:hAnsi="宋体"/>
                <w:color w:val="auto"/>
                <w:highlight w:val="none"/>
              </w:rPr>
            </w:pPr>
          </w:p>
        </w:tc>
        <w:tc>
          <w:tcPr>
            <w:tcW w:w="1984" w:type="dxa"/>
            <w:vAlign w:val="center"/>
          </w:tcPr>
          <w:p>
            <w:pPr>
              <w:rPr>
                <w:rFonts w:ascii="宋体" w:hAnsi="宋体"/>
                <w:color w:val="auto"/>
                <w:highlight w:val="none"/>
              </w:rPr>
            </w:pPr>
          </w:p>
        </w:tc>
        <w:tc>
          <w:tcPr>
            <w:tcW w:w="2835" w:type="dxa"/>
            <w:tcBorders>
              <w:right w:val="single" w:color="auto" w:sz="4" w:space="0"/>
            </w:tcBorders>
            <w:vAlign w:val="center"/>
          </w:tcPr>
          <w:p>
            <w:pPr>
              <w:rPr>
                <w:rFonts w:ascii="宋体" w:hAnsi="宋体"/>
                <w:color w:val="auto"/>
                <w:highlight w:val="none"/>
              </w:rPr>
            </w:pPr>
          </w:p>
        </w:tc>
      </w:tr>
    </w:tbl>
    <w:p>
      <w:pPr>
        <w:spacing w:line="360" w:lineRule="auto"/>
        <w:ind w:left="924" w:hanging="924" w:hangingChars="440"/>
        <w:rPr>
          <w:rFonts w:ascii="宋体" w:hAnsi="宋体" w:cs="宋体"/>
          <w:color w:val="auto"/>
          <w:highlight w:val="none"/>
        </w:rPr>
      </w:pPr>
      <w:r>
        <w:rPr>
          <w:rFonts w:hint="eastAsia" w:ascii="宋体" w:hAnsi="宋体" w:cs="宋体"/>
          <w:bCs/>
          <w:color w:val="auto"/>
          <w:highlight w:val="none"/>
        </w:rPr>
        <w:t>注：根据评委打分表的要求提供证明材料</w:t>
      </w:r>
      <w:r>
        <w:rPr>
          <w:rFonts w:hint="eastAsia" w:ascii="宋体" w:hAnsi="宋体"/>
          <w:color w:val="auto"/>
          <w:highlight w:val="none"/>
        </w:rPr>
        <w:t>。</w:t>
      </w:r>
    </w:p>
    <w:p>
      <w:pPr>
        <w:snapToGrid w:val="0"/>
        <w:spacing w:before="50" w:after="50" w:line="360" w:lineRule="auto"/>
        <w:ind w:left="-23" w:leftChars="-11" w:right="27" w:rightChars="13" w:firstLine="21" w:firstLineChars="10"/>
        <w:rPr>
          <w:rFonts w:ascii="宋体" w:hAnsi="宋体" w:cs="宋体"/>
          <w:bCs/>
          <w:color w:val="auto"/>
          <w:highlight w:val="none"/>
        </w:rPr>
      </w:pPr>
    </w:p>
    <w:p>
      <w:pPr>
        <w:snapToGrid w:val="0"/>
        <w:spacing w:line="360" w:lineRule="auto"/>
        <w:ind w:firstLine="2975" w:firstLineChars="1417"/>
        <w:rPr>
          <w:rFonts w:asciiTheme="minorEastAsia" w:hAnsiTheme="minorEastAsia" w:eastAsiaTheme="minorEastAsia"/>
          <w:color w:val="auto"/>
          <w:highlight w:val="none"/>
        </w:rPr>
      </w:pPr>
    </w:p>
    <w:sectPr>
      <w:footerReference r:id="rId5" w:type="default"/>
      <w:pgSz w:w="11907" w:h="16840"/>
      <w:pgMar w:top="1134" w:right="1474" w:bottom="1402" w:left="1474" w:header="1134" w:footer="1134"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1A452"/>
    <w:multiLevelType w:val="singleLevel"/>
    <w:tmpl w:val="4131A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iOGZiNGY2NzBkYTYxNGUzNWI1MzNmODRiNGJiN2UifQ=="/>
  </w:docVars>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528"/>
    <w:rsid w:val="00002CC7"/>
    <w:rsid w:val="00002D35"/>
    <w:rsid w:val="00002D43"/>
    <w:rsid w:val="00002E7B"/>
    <w:rsid w:val="000035BE"/>
    <w:rsid w:val="00003B30"/>
    <w:rsid w:val="0000452D"/>
    <w:rsid w:val="000046A6"/>
    <w:rsid w:val="00004763"/>
    <w:rsid w:val="0000479B"/>
    <w:rsid w:val="000048F0"/>
    <w:rsid w:val="00004ABD"/>
    <w:rsid w:val="00004AC3"/>
    <w:rsid w:val="00004D50"/>
    <w:rsid w:val="00004D78"/>
    <w:rsid w:val="000050E2"/>
    <w:rsid w:val="000050EC"/>
    <w:rsid w:val="00005145"/>
    <w:rsid w:val="00005754"/>
    <w:rsid w:val="000057E1"/>
    <w:rsid w:val="00005E7E"/>
    <w:rsid w:val="00006137"/>
    <w:rsid w:val="0000634A"/>
    <w:rsid w:val="0000649C"/>
    <w:rsid w:val="000068D4"/>
    <w:rsid w:val="00006AAF"/>
    <w:rsid w:val="00006D74"/>
    <w:rsid w:val="0000753D"/>
    <w:rsid w:val="0000768C"/>
    <w:rsid w:val="000076CD"/>
    <w:rsid w:val="00007772"/>
    <w:rsid w:val="000077AA"/>
    <w:rsid w:val="00007CC5"/>
    <w:rsid w:val="0001023B"/>
    <w:rsid w:val="000103B8"/>
    <w:rsid w:val="00010454"/>
    <w:rsid w:val="000105B1"/>
    <w:rsid w:val="0001068F"/>
    <w:rsid w:val="000107DB"/>
    <w:rsid w:val="000112FD"/>
    <w:rsid w:val="0001141C"/>
    <w:rsid w:val="00011566"/>
    <w:rsid w:val="00011829"/>
    <w:rsid w:val="00011A31"/>
    <w:rsid w:val="00011AF8"/>
    <w:rsid w:val="00011BCE"/>
    <w:rsid w:val="00011D59"/>
    <w:rsid w:val="000120EE"/>
    <w:rsid w:val="000124AD"/>
    <w:rsid w:val="0001258B"/>
    <w:rsid w:val="000126A0"/>
    <w:rsid w:val="0001291B"/>
    <w:rsid w:val="00012F10"/>
    <w:rsid w:val="000133C4"/>
    <w:rsid w:val="0001473B"/>
    <w:rsid w:val="000147A0"/>
    <w:rsid w:val="0001492F"/>
    <w:rsid w:val="00014F0C"/>
    <w:rsid w:val="00015076"/>
    <w:rsid w:val="00015108"/>
    <w:rsid w:val="000151FB"/>
    <w:rsid w:val="0001553C"/>
    <w:rsid w:val="000156C2"/>
    <w:rsid w:val="000157E3"/>
    <w:rsid w:val="00015EDF"/>
    <w:rsid w:val="0001645F"/>
    <w:rsid w:val="00016554"/>
    <w:rsid w:val="000167D5"/>
    <w:rsid w:val="0001729A"/>
    <w:rsid w:val="000172D2"/>
    <w:rsid w:val="0001736F"/>
    <w:rsid w:val="0001740C"/>
    <w:rsid w:val="00017478"/>
    <w:rsid w:val="0001752C"/>
    <w:rsid w:val="00017598"/>
    <w:rsid w:val="00017BA8"/>
    <w:rsid w:val="00017BBF"/>
    <w:rsid w:val="000201FD"/>
    <w:rsid w:val="0002038B"/>
    <w:rsid w:val="0002038C"/>
    <w:rsid w:val="000205F8"/>
    <w:rsid w:val="00020C9A"/>
    <w:rsid w:val="00020D4E"/>
    <w:rsid w:val="00020ED2"/>
    <w:rsid w:val="00021601"/>
    <w:rsid w:val="00021610"/>
    <w:rsid w:val="000216AB"/>
    <w:rsid w:val="00021761"/>
    <w:rsid w:val="0002182C"/>
    <w:rsid w:val="00021833"/>
    <w:rsid w:val="00021AA5"/>
    <w:rsid w:val="00021DFF"/>
    <w:rsid w:val="0002212E"/>
    <w:rsid w:val="00022294"/>
    <w:rsid w:val="0002237C"/>
    <w:rsid w:val="00022827"/>
    <w:rsid w:val="000229AD"/>
    <w:rsid w:val="000233BC"/>
    <w:rsid w:val="0002341E"/>
    <w:rsid w:val="00023AE8"/>
    <w:rsid w:val="00023C11"/>
    <w:rsid w:val="00023D82"/>
    <w:rsid w:val="00023D88"/>
    <w:rsid w:val="000241A5"/>
    <w:rsid w:val="000242B9"/>
    <w:rsid w:val="000242F2"/>
    <w:rsid w:val="0002480A"/>
    <w:rsid w:val="00024F81"/>
    <w:rsid w:val="000250AC"/>
    <w:rsid w:val="00025147"/>
    <w:rsid w:val="000251E6"/>
    <w:rsid w:val="0002549B"/>
    <w:rsid w:val="00025C4C"/>
    <w:rsid w:val="00025D0B"/>
    <w:rsid w:val="00025E5B"/>
    <w:rsid w:val="00026582"/>
    <w:rsid w:val="00026746"/>
    <w:rsid w:val="0002675D"/>
    <w:rsid w:val="000267EE"/>
    <w:rsid w:val="000271EC"/>
    <w:rsid w:val="00027378"/>
    <w:rsid w:val="0002749D"/>
    <w:rsid w:val="0002790C"/>
    <w:rsid w:val="00027C97"/>
    <w:rsid w:val="00027D34"/>
    <w:rsid w:val="000302D9"/>
    <w:rsid w:val="000305C9"/>
    <w:rsid w:val="0003079E"/>
    <w:rsid w:val="00030CF2"/>
    <w:rsid w:val="00031122"/>
    <w:rsid w:val="00031AE8"/>
    <w:rsid w:val="00031C10"/>
    <w:rsid w:val="00031E7B"/>
    <w:rsid w:val="00031EB8"/>
    <w:rsid w:val="000321D3"/>
    <w:rsid w:val="00032255"/>
    <w:rsid w:val="0003288D"/>
    <w:rsid w:val="00032E6A"/>
    <w:rsid w:val="00032F9D"/>
    <w:rsid w:val="000330B3"/>
    <w:rsid w:val="0003344F"/>
    <w:rsid w:val="00033ED8"/>
    <w:rsid w:val="00034155"/>
    <w:rsid w:val="000344A9"/>
    <w:rsid w:val="000345AC"/>
    <w:rsid w:val="000347AD"/>
    <w:rsid w:val="00034A13"/>
    <w:rsid w:val="00034A1A"/>
    <w:rsid w:val="00034A3C"/>
    <w:rsid w:val="00034A82"/>
    <w:rsid w:val="00034D27"/>
    <w:rsid w:val="00034E90"/>
    <w:rsid w:val="00034FC6"/>
    <w:rsid w:val="00034FDC"/>
    <w:rsid w:val="0003515F"/>
    <w:rsid w:val="0003523D"/>
    <w:rsid w:val="000354FA"/>
    <w:rsid w:val="000359A0"/>
    <w:rsid w:val="00035DE5"/>
    <w:rsid w:val="00035F72"/>
    <w:rsid w:val="0003612F"/>
    <w:rsid w:val="000364CC"/>
    <w:rsid w:val="00036553"/>
    <w:rsid w:val="00036D9B"/>
    <w:rsid w:val="00036E01"/>
    <w:rsid w:val="0003703A"/>
    <w:rsid w:val="0003708C"/>
    <w:rsid w:val="00037994"/>
    <w:rsid w:val="000379D6"/>
    <w:rsid w:val="00037A03"/>
    <w:rsid w:val="00037B37"/>
    <w:rsid w:val="0004054C"/>
    <w:rsid w:val="000407B2"/>
    <w:rsid w:val="00040823"/>
    <w:rsid w:val="00040928"/>
    <w:rsid w:val="00040CDB"/>
    <w:rsid w:val="000417AF"/>
    <w:rsid w:val="000420F3"/>
    <w:rsid w:val="00042386"/>
    <w:rsid w:val="000427D6"/>
    <w:rsid w:val="00042BBE"/>
    <w:rsid w:val="00042C5A"/>
    <w:rsid w:val="00042D5D"/>
    <w:rsid w:val="00042EF6"/>
    <w:rsid w:val="000430BA"/>
    <w:rsid w:val="00043402"/>
    <w:rsid w:val="0004356B"/>
    <w:rsid w:val="00043593"/>
    <w:rsid w:val="00043826"/>
    <w:rsid w:val="00043928"/>
    <w:rsid w:val="000439BA"/>
    <w:rsid w:val="00043FF3"/>
    <w:rsid w:val="00044158"/>
    <w:rsid w:val="0004431E"/>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70B"/>
    <w:rsid w:val="0004786C"/>
    <w:rsid w:val="00047920"/>
    <w:rsid w:val="000479B8"/>
    <w:rsid w:val="00047FA3"/>
    <w:rsid w:val="0005002F"/>
    <w:rsid w:val="00050386"/>
    <w:rsid w:val="00050731"/>
    <w:rsid w:val="00051546"/>
    <w:rsid w:val="00051550"/>
    <w:rsid w:val="00051640"/>
    <w:rsid w:val="00051BE1"/>
    <w:rsid w:val="000523E6"/>
    <w:rsid w:val="00052522"/>
    <w:rsid w:val="0005267E"/>
    <w:rsid w:val="00052703"/>
    <w:rsid w:val="00052D75"/>
    <w:rsid w:val="000533DD"/>
    <w:rsid w:val="0005376D"/>
    <w:rsid w:val="000538D7"/>
    <w:rsid w:val="000538FD"/>
    <w:rsid w:val="00053F50"/>
    <w:rsid w:val="00054348"/>
    <w:rsid w:val="000544D5"/>
    <w:rsid w:val="00054C54"/>
    <w:rsid w:val="00054DA5"/>
    <w:rsid w:val="00054EC5"/>
    <w:rsid w:val="0005508E"/>
    <w:rsid w:val="00055166"/>
    <w:rsid w:val="00055516"/>
    <w:rsid w:val="00055773"/>
    <w:rsid w:val="000557E3"/>
    <w:rsid w:val="00055E9B"/>
    <w:rsid w:val="00056501"/>
    <w:rsid w:val="00056C18"/>
    <w:rsid w:val="00056D38"/>
    <w:rsid w:val="00056E6A"/>
    <w:rsid w:val="00057455"/>
    <w:rsid w:val="00057659"/>
    <w:rsid w:val="0005767F"/>
    <w:rsid w:val="0005776B"/>
    <w:rsid w:val="00057AA3"/>
    <w:rsid w:val="00057C86"/>
    <w:rsid w:val="00057E51"/>
    <w:rsid w:val="00057E54"/>
    <w:rsid w:val="00057F3E"/>
    <w:rsid w:val="00057F56"/>
    <w:rsid w:val="0006015D"/>
    <w:rsid w:val="000601C7"/>
    <w:rsid w:val="000605C9"/>
    <w:rsid w:val="00060722"/>
    <w:rsid w:val="000608BD"/>
    <w:rsid w:val="00060A04"/>
    <w:rsid w:val="00060A1D"/>
    <w:rsid w:val="00060FD0"/>
    <w:rsid w:val="000611C3"/>
    <w:rsid w:val="00061298"/>
    <w:rsid w:val="0006159A"/>
    <w:rsid w:val="000615D4"/>
    <w:rsid w:val="00061ABD"/>
    <w:rsid w:val="00061BB7"/>
    <w:rsid w:val="00061C40"/>
    <w:rsid w:val="00061F45"/>
    <w:rsid w:val="000620B1"/>
    <w:rsid w:val="0006225C"/>
    <w:rsid w:val="000622F7"/>
    <w:rsid w:val="00062317"/>
    <w:rsid w:val="00062331"/>
    <w:rsid w:val="00062602"/>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A6"/>
    <w:rsid w:val="00064F63"/>
    <w:rsid w:val="000652E9"/>
    <w:rsid w:val="00065613"/>
    <w:rsid w:val="00065766"/>
    <w:rsid w:val="000658CC"/>
    <w:rsid w:val="00065A55"/>
    <w:rsid w:val="00065E6E"/>
    <w:rsid w:val="00065EF3"/>
    <w:rsid w:val="00066185"/>
    <w:rsid w:val="000663A5"/>
    <w:rsid w:val="0006660B"/>
    <w:rsid w:val="00066800"/>
    <w:rsid w:val="000669BA"/>
    <w:rsid w:val="00066A82"/>
    <w:rsid w:val="000671FF"/>
    <w:rsid w:val="000673E5"/>
    <w:rsid w:val="00067418"/>
    <w:rsid w:val="00067A1D"/>
    <w:rsid w:val="00067C69"/>
    <w:rsid w:val="00067EA8"/>
    <w:rsid w:val="00070210"/>
    <w:rsid w:val="0007054D"/>
    <w:rsid w:val="00070670"/>
    <w:rsid w:val="00070739"/>
    <w:rsid w:val="000707FA"/>
    <w:rsid w:val="00070AE5"/>
    <w:rsid w:val="00070CC8"/>
    <w:rsid w:val="0007106A"/>
    <w:rsid w:val="00071905"/>
    <w:rsid w:val="000719D9"/>
    <w:rsid w:val="00071AF5"/>
    <w:rsid w:val="00071DEE"/>
    <w:rsid w:val="00071F0F"/>
    <w:rsid w:val="0007262B"/>
    <w:rsid w:val="00072792"/>
    <w:rsid w:val="00072794"/>
    <w:rsid w:val="00072A92"/>
    <w:rsid w:val="00072C9C"/>
    <w:rsid w:val="00072DC0"/>
    <w:rsid w:val="00073019"/>
    <w:rsid w:val="0007302B"/>
    <w:rsid w:val="0007386B"/>
    <w:rsid w:val="000738C7"/>
    <w:rsid w:val="00073910"/>
    <w:rsid w:val="00073925"/>
    <w:rsid w:val="00073AAD"/>
    <w:rsid w:val="00074044"/>
    <w:rsid w:val="00074188"/>
    <w:rsid w:val="00074255"/>
    <w:rsid w:val="0007467D"/>
    <w:rsid w:val="00074EA0"/>
    <w:rsid w:val="00074FE6"/>
    <w:rsid w:val="000759D5"/>
    <w:rsid w:val="00075A59"/>
    <w:rsid w:val="00075DD9"/>
    <w:rsid w:val="00075E30"/>
    <w:rsid w:val="00075E4F"/>
    <w:rsid w:val="0007637A"/>
    <w:rsid w:val="000763E1"/>
    <w:rsid w:val="000764E0"/>
    <w:rsid w:val="0007680A"/>
    <w:rsid w:val="00076EC9"/>
    <w:rsid w:val="000770AC"/>
    <w:rsid w:val="000770F1"/>
    <w:rsid w:val="00077411"/>
    <w:rsid w:val="00077ABF"/>
    <w:rsid w:val="00077C2C"/>
    <w:rsid w:val="00077CB8"/>
    <w:rsid w:val="00077CDA"/>
    <w:rsid w:val="00077D0F"/>
    <w:rsid w:val="0008024B"/>
    <w:rsid w:val="0008031F"/>
    <w:rsid w:val="00080469"/>
    <w:rsid w:val="000807B3"/>
    <w:rsid w:val="0008096A"/>
    <w:rsid w:val="00081211"/>
    <w:rsid w:val="00081417"/>
    <w:rsid w:val="000817EC"/>
    <w:rsid w:val="000818A8"/>
    <w:rsid w:val="00081B92"/>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29E"/>
    <w:rsid w:val="00086305"/>
    <w:rsid w:val="00086503"/>
    <w:rsid w:val="00086610"/>
    <w:rsid w:val="0008666B"/>
    <w:rsid w:val="0008678C"/>
    <w:rsid w:val="00086A07"/>
    <w:rsid w:val="000870C1"/>
    <w:rsid w:val="00087237"/>
    <w:rsid w:val="000872BD"/>
    <w:rsid w:val="00087477"/>
    <w:rsid w:val="000875B2"/>
    <w:rsid w:val="00087726"/>
    <w:rsid w:val="0008777A"/>
    <w:rsid w:val="0008782E"/>
    <w:rsid w:val="00087B5C"/>
    <w:rsid w:val="00087C40"/>
    <w:rsid w:val="00090142"/>
    <w:rsid w:val="00091289"/>
    <w:rsid w:val="0009129D"/>
    <w:rsid w:val="000916E2"/>
    <w:rsid w:val="000917A4"/>
    <w:rsid w:val="00091809"/>
    <w:rsid w:val="000919F3"/>
    <w:rsid w:val="00091C38"/>
    <w:rsid w:val="00091F7D"/>
    <w:rsid w:val="000924C3"/>
    <w:rsid w:val="00092836"/>
    <w:rsid w:val="00092F61"/>
    <w:rsid w:val="00093185"/>
    <w:rsid w:val="000931A4"/>
    <w:rsid w:val="000932C1"/>
    <w:rsid w:val="000942F6"/>
    <w:rsid w:val="000948D3"/>
    <w:rsid w:val="00094BB2"/>
    <w:rsid w:val="00094E20"/>
    <w:rsid w:val="00094E48"/>
    <w:rsid w:val="00094F8D"/>
    <w:rsid w:val="000950E2"/>
    <w:rsid w:val="000952C0"/>
    <w:rsid w:val="000957AF"/>
    <w:rsid w:val="000959A7"/>
    <w:rsid w:val="000959E6"/>
    <w:rsid w:val="00095A66"/>
    <w:rsid w:val="00096483"/>
    <w:rsid w:val="000967C5"/>
    <w:rsid w:val="000968D3"/>
    <w:rsid w:val="00096C34"/>
    <w:rsid w:val="00096CE5"/>
    <w:rsid w:val="000974F3"/>
    <w:rsid w:val="000976D7"/>
    <w:rsid w:val="0009776B"/>
    <w:rsid w:val="00097A81"/>
    <w:rsid w:val="00097B64"/>
    <w:rsid w:val="00097DC1"/>
    <w:rsid w:val="000A001D"/>
    <w:rsid w:val="000A00AC"/>
    <w:rsid w:val="000A0286"/>
    <w:rsid w:val="000A0BCF"/>
    <w:rsid w:val="000A111D"/>
    <w:rsid w:val="000A18CB"/>
    <w:rsid w:val="000A191A"/>
    <w:rsid w:val="000A19B5"/>
    <w:rsid w:val="000A1D03"/>
    <w:rsid w:val="000A1E58"/>
    <w:rsid w:val="000A2089"/>
    <w:rsid w:val="000A2265"/>
    <w:rsid w:val="000A226A"/>
    <w:rsid w:val="000A2568"/>
    <w:rsid w:val="000A2594"/>
    <w:rsid w:val="000A2785"/>
    <w:rsid w:val="000A279F"/>
    <w:rsid w:val="000A2A3C"/>
    <w:rsid w:val="000A2A64"/>
    <w:rsid w:val="000A2ACA"/>
    <w:rsid w:val="000A2B11"/>
    <w:rsid w:val="000A2B3B"/>
    <w:rsid w:val="000A2BD1"/>
    <w:rsid w:val="000A2CB4"/>
    <w:rsid w:val="000A2DDE"/>
    <w:rsid w:val="000A2F30"/>
    <w:rsid w:val="000A2FE2"/>
    <w:rsid w:val="000A34E9"/>
    <w:rsid w:val="000A36BF"/>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F9"/>
    <w:rsid w:val="000A6EBE"/>
    <w:rsid w:val="000A6ED0"/>
    <w:rsid w:val="000A7030"/>
    <w:rsid w:val="000A7082"/>
    <w:rsid w:val="000A7361"/>
    <w:rsid w:val="000A73DB"/>
    <w:rsid w:val="000A7AA5"/>
    <w:rsid w:val="000B01AC"/>
    <w:rsid w:val="000B0B43"/>
    <w:rsid w:val="000B0FC4"/>
    <w:rsid w:val="000B1226"/>
    <w:rsid w:val="000B12AD"/>
    <w:rsid w:val="000B1D6F"/>
    <w:rsid w:val="000B2273"/>
    <w:rsid w:val="000B2410"/>
    <w:rsid w:val="000B242D"/>
    <w:rsid w:val="000B2BF9"/>
    <w:rsid w:val="000B2F60"/>
    <w:rsid w:val="000B3582"/>
    <w:rsid w:val="000B37B1"/>
    <w:rsid w:val="000B37C0"/>
    <w:rsid w:val="000B3D32"/>
    <w:rsid w:val="000B3D4C"/>
    <w:rsid w:val="000B4181"/>
    <w:rsid w:val="000B43CF"/>
    <w:rsid w:val="000B4470"/>
    <w:rsid w:val="000B4621"/>
    <w:rsid w:val="000B47A2"/>
    <w:rsid w:val="000B4CA1"/>
    <w:rsid w:val="000B4E6E"/>
    <w:rsid w:val="000B59CA"/>
    <w:rsid w:val="000B5DC8"/>
    <w:rsid w:val="000B5EA0"/>
    <w:rsid w:val="000B5EE2"/>
    <w:rsid w:val="000B6072"/>
    <w:rsid w:val="000B6410"/>
    <w:rsid w:val="000B66BF"/>
    <w:rsid w:val="000B66E9"/>
    <w:rsid w:val="000B6BD1"/>
    <w:rsid w:val="000B6FCD"/>
    <w:rsid w:val="000B74F7"/>
    <w:rsid w:val="000B7564"/>
    <w:rsid w:val="000B783D"/>
    <w:rsid w:val="000C0127"/>
    <w:rsid w:val="000C0286"/>
    <w:rsid w:val="000C039E"/>
    <w:rsid w:val="000C06F5"/>
    <w:rsid w:val="000C07C0"/>
    <w:rsid w:val="000C0A6A"/>
    <w:rsid w:val="000C0A78"/>
    <w:rsid w:val="000C0BF7"/>
    <w:rsid w:val="000C0F09"/>
    <w:rsid w:val="000C11C8"/>
    <w:rsid w:val="000C126F"/>
    <w:rsid w:val="000C13BE"/>
    <w:rsid w:val="000C165C"/>
    <w:rsid w:val="000C1A35"/>
    <w:rsid w:val="000C1BFA"/>
    <w:rsid w:val="000C1C2D"/>
    <w:rsid w:val="000C22BB"/>
    <w:rsid w:val="000C2474"/>
    <w:rsid w:val="000C25F2"/>
    <w:rsid w:val="000C2774"/>
    <w:rsid w:val="000C2880"/>
    <w:rsid w:val="000C2A44"/>
    <w:rsid w:val="000C2C1C"/>
    <w:rsid w:val="000C302A"/>
    <w:rsid w:val="000C321E"/>
    <w:rsid w:val="000C32CD"/>
    <w:rsid w:val="000C351D"/>
    <w:rsid w:val="000C3A07"/>
    <w:rsid w:val="000C3E89"/>
    <w:rsid w:val="000C42CF"/>
    <w:rsid w:val="000C4C7A"/>
    <w:rsid w:val="000C4DA5"/>
    <w:rsid w:val="000C4EAC"/>
    <w:rsid w:val="000C521E"/>
    <w:rsid w:val="000C52DB"/>
    <w:rsid w:val="000C54E1"/>
    <w:rsid w:val="000C5660"/>
    <w:rsid w:val="000C57CF"/>
    <w:rsid w:val="000C5DA1"/>
    <w:rsid w:val="000C5E1E"/>
    <w:rsid w:val="000C62A8"/>
    <w:rsid w:val="000C635A"/>
    <w:rsid w:val="000C6530"/>
    <w:rsid w:val="000C6544"/>
    <w:rsid w:val="000C6790"/>
    <w:rsid w:val="000C6794"/>
    <w:rsid w:val="000C69A6"/>
    <w:rsid w:val="000C6B49"/>
    <w:rsid w:val="000C716A"/>
    <w:rsid w:val="000C7761"/>
    <w:rsid w:val="000C796F"/>
    <w:rsid w:val="000C7F10"/>
    <w:rsid w:val="000D00AD"/>
    <w:rsid w:val="000D0823"/>
    <w:rsid w:val="000D08A5"/>
    <w:rsid w:val="000D0933"/>
    <w:rsid w:val="000D11CD"/>
    <w:rsid w:val="000D1445"/>
    <w:rsid w:val="000D1875"/>
    <w:rsid w:val="000D1897"/>
    <w:rsid w:val="000D1969"/>
    <w:rsid w:val="000D1B34"/>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8C1"/>
    <w:rsid w:val="000D4B21"/>
    <w:rsid w:val="000D5312"/>
    <w:rsid w:val="000D56F2"/>
    <w:rsid w:val="000D59B2"/>
    <w:rsid w:val="000D5A4B"/>
    <w:rsid w:val="000D5D2C"/>
    <w:rsid w:val="000D5D71"/>
    <w:rsid w:val="000D6113"/>
    <w:rsid w:val="000D612A"/>
    <w:rsid w:val="000D626A"/>
    <w:rsid w:val="000D628F"/>
    <w:rsid w:val="000D6A09"/>
    <w:rsid w:val="000D6AB3"/>
    <w:rsid w:val="000D6C6A"/>
    <w:rsid w:val="000D6D31"/>
    <w:rsid w:val="000D7871"/>
    <w:rsid w:val="000D7896"/>
    <w:rsid w:val="000D7C74"/>
    <w:rsid w:val="000D7DC4"/>
    <w:rsid w:val="000D7ECC"/>
    <w:rsid w:val="000E06F5"/>
    <w:rsid w:val="000E187B"/>
    <w:rsid w:val="000E19EC"/>
    <w:rsid w:val="000E1CB6"/>
    <w:rsid w:val="000E1D54"/>
    <w:rsid w:val="000E2176"/>
    <w:rsid w:val="000E28BE"/>
    <w:rsid w:val="000E34E8"/>
    <w:rsid w:val="000E35E3"/>
    <w:rsid w:val="000E3CA6"/>
    <w:rsid w:val="000E4092"/>
    <w:rsid w:val="000E437D"/>
    <w:rsid w:val="000E46D1"/>
    <w:rsid w:val="000E47F1"/>
    <w:rsid w:val="000E4D88"/>
    <w:rsid w:val="000E4DA8"/>
    <w:rsid w:val="000E4F66"/>
    <w:rsid w:val="000E4FAF"/>
    <w:rsid w:val="000E503F"/>
    <w:rsid w:val="000E5CF6"/>
    <w:rsid w:val="000E5D85"/>
    <w:rsid w:val="000E5FE3"/>
    <w:rsid w:val="000E634C"/>
    <w:rsid w:val="000E63A9"/>
    <w:rsid w:val="000E63DE"/>
    <w:rsid w:val="000E64FE"/>
    <w:rsid w:val="000E65BD"/>
    <w:rsid w:val="000E65F2"/>
    <w:rsid w:val="000E660F"/>
    <w:rsid w:val="000E6725"/>
    <w:rsid w:val="000E67B4"/>
    <w:rsid w:val="000E6A55"/>
    <w:rsid w:val="000E6A94"/>
    <w:rsid w:val="000E6CC0"/>
    <w:rsid w:val="000E70D7"/>
    <w:rsid w:val="000E7964"/>
    <w:rsid w:val="000F0391"/>
    <w:rsid w:val="000F04F4"/>
    <w:rsid w:val="000F0B42"/>
    <w:rsid w:val="000F0E31"/>
    <w:rsid w:val="000F0FEB"/>
    <w:rsid w:val="000F112F"/>
    <w:rsid w:val="000F185F"/>
    <w:rsid w:val="000F1A3D"/>
    <w:rsid w:val="000F220E"/>
    <w:rsid w:val="000F228E"/>
    <w:rsid w:val="000F2972"/>
    <w:rsid w:val="000F2BA6"/>
    <w:rsid w:val="000F2C1C"/>
    <w:rsid w:val="000F2EB4"/>
    <w:rsid w:val="000F30A8"/>
    <w:rsid w:val="000F30B8"/>
    <w:rsid w:val="000F328D"/>
    <w:rsid w:val="000F36B0"/>
    <w:rsid w:val="000F3794"/>
    <w:rsid w:val="000F380A"/>
    <w:rsid w:val="000F3823"/>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0F7CCA"/>
    <w:rsid w:val="001001AB"/>
    <w:rsid w:val="00100700"/>
    <w:rsid w:val="00100876"/>
    <w:rsid w:val="00100A91"/>
    <w:rsid w:val="00100C19"/>
    <w:rsid w:val="00100DA8"/>
    <w:rsid w:val="00100F50"/>
    <w:rsid w:val="001013AC"/>
    <w:rsid w:val="001014E2"/>
    <w:rsid w:val="00101563"/>
    <w:rsid w:val="001016A0"/>
    <w:rsid w:val="00101885"/>
    <w:rsid w:val="0010198E"/>
    <w:rsid w:val="00101BC4"/>
    <w:rsid w:val="001021ED"/>
    <w:rsid w:val="001024F3"/>
    <w:rsid w:val="00102552"/>
    <w:rsid w:val="001025D6"/>
    <w:rsid w:val="0010266D"/>
    <w:rsid w:val="00102912"/>
    <w:rsid w:val="001029AD"/>
    <w:rsid w:val="00103423"/>
    <w:rsid w:val="00103958"/>
    <w:rsid w:val="00103A58"/>
    <w:rsid w:val="0010429F"/>
    <w:rsid w:val="00104839"/>
    <w:rsid w:val="0010483E"/>
    <w:rsid w:val="00104FA8"/>
    <w:rsid w:val="0010504A"/>
    <w:rsid w:val="001052C5"/>
    <w:rsid w:val="001053CB"/>
    <w:rsid w:val="00105586"/>
    <w:rsid w:val="001056CB"/>
    <w:rsid w:val="00105E2A"/>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76C"/>
    <w:rsid w:val="00110A97"/>
    <w:rsid w:val="00110F4C"/>
    <w:rsid w:val="001110C4"/>
    <w:rsid w:val="001114C1"/>
    <w:rsid w:val="001114C3"/>
    <w:rsid w:val="0011175C"/>
    <w:rsid w:val="00111881"/>
    <w:rsid w:val="00111B56"/>
    <w:rsid w:val="00111C9C"/>
    <w:rsid w:val="00111F41"/>
    <w:rsid w:val="00112006"/>
    <w:rsid w:val="00112104"/>
    <w:rsid w:val="0011256E"/>
    <w:rsid w:val="001126BF"/>
    <w:rsid w:val="001126E1"/>
    <w:rsid w:val="00112839"/>
    <w:rsid w:val="00112848"/>
    <w:rsid w:val="00112A42"/>
    <w:rsid w:val="00112C34"/>
    <w:rsid w:val="00112F78"/>
    <w:rsid w:val="0011304C"/>
    <w:rsid w:val="00113255"/>
    <w:rsid w:val="00113363"/>
    <w:rsid w:val="001133B0"/>
    <w:rsid w:val="00113853"/>
    <w:rsid w:val="00113905"/>
    <w:rsid w:val="00113C28"/>
    <w:rsid w:val="00113C3C"/>
    <w:rsid w:val="00113F8B"/>
    <w:rsid w:val="00114247"/>
    <w:rsid w:val="00114312"/>
    <w:rsid w:val="00114497"/>
    <w:rsid w:val="001145E8"/>
    <w:rsid w:val="001147F3"/>
    <w:rsid w:val="001148AD"/>
    <w:rsid w:val="00114B3E"/>
    <w:rsid w:val="00114BE0"/>
    <w:rsid w:val="00114CFD"/>
    <w:rsid w:val="00116043"/>
    <w:rsid w:val="001161AC"/>
    <w:rsid w:val="0011621E"/>
    <w:rsid w:val="00116C4B"/>
    <w:rsid w:val="00116C82"/>
    <w:rsid w:val="00116D08"/>
    <w:rsid w:val="00117086"/>
    <w:rsid w:val="00117145"/>
    <w:rsid w:val="001178B3"/>
    <w:rsid w:val="00117A57"/>
    <w:rsid w:val="00120795"/>
    <w:rsid w:val="001208CA"/>
    <w:rsid w:val="00121056"/>
    <w:rsid w:val="001210F3"/>
    <w:rsid w:val="001213DA"/>
    <w:rsid w:val="001214B3"/>
    <w:rsid w:val="00121691"/>
    <w:rsid w:val="001218FF"/>
    <w:rsid w:val="00121FC8"/>
    <w:rsid w:val="00122193"/>
    <w:rsid w:val="00122529"/>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72A"/>
    <w:rsid w:val="001257A7"/>
    <w:rsid w:val="001258A6"/>
    <w:rsid w:val="00125EFB"/>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143A"/>
    <w:rsid w:val="00131731"/>
    <w:rsid w:val="00131F44"/>
    <w:rsid w:val="001323B1"/>
    <w:rsid w:val="001325AA"/>
    <w:rsid w:val="0013275E"/>
    <w:rsid w:val="001329DA"/>
    <w:rsid w:val="001330EB"/>
    <w:rsid w:val="00133218"/>
    <w:rsid w:val="0013328B"/>
    <w:rsid w:val="00133578"/>
    <w:rsid w:val="00133989"/>
    <w:rsid w:val="00133BAE"/>
    <w:rsid w:val="00133BB0"/>
    <w:rsid w:val="00133D11"/>
    <w:rsid w:val="00133D3B"/>
    <w:rsid w:val="00133EAA"/>
    <w:rsid w:val="001345DC"/>
    <w:rsid w:val="00134774"/>
    <w:rsid w:val="001347F6"/>
    <w:rsid w:val="001348D9"/>
    <w:rsid w:val="00134BA1"/>
    <w:rsid w:val="00134C6E"/>
    <w:rsid w:val="0013500B"/>
    <w:rsid w:val="00135F30"/>
    <w:rsid w:val="00136221"/>
    <w:rsid w:val="00136615"/>
    <w:rsid w:val="00136639"/>
    <w:rsid w:val="001368F2"/>
    <w:rsid w:val="00136AC0"/>
    <w:rsid w:val="00136BC2"/>
    <w:rsid w:val="0013724D"/>
    <w:rsid w:val="001372B1"/>
    <w:rsid w:val="00137371"/>
    <w:rsid w:val="001373B2"/>
    <w:rsid w:val="00137408"/>
    <w:rsid w:val="00137533"/>
    <w:rsid w:val="001376CD"/>
    <w:rsid w:val="00137A8D"/>
    <w:rsid w:val="00137CA0"/>
    <w:rsid w:val="00137E41"/>
    <w:rsid w:val="00140533"/>
    <w:rsid w:val="001407AE"/>
    <w:rsid w:val="00140CAA"/>
    <w:rsid w:val="00141011"/>
    <w:rsid w:val="001417D0"/>
    <w:rsid w:val="00141974"/>
    <w:rsid w:val="00142192"/>
    <w:rsid w:val="00142688"/>
    <w:rsid w:val="00142BC0"/>
    <w:rsid w:val="00143047"/>
    <w:rsid w:val="0014308C"/>
    <w:rsid w:val="00143630"/>
    <w:rsid w:val="0014374E"/>
    <w:rsid w:val="00143753"/>
    <w:rsid w:val="0014417D"/>
    <w:rsid w:val="00144204"/>
    <w:rsid w:val="001444FD"/>
    <w:rsid w:val="0014464B"/>
    <w:rsid w:val="00144A5D"/>
    <w:rsid w:val="00144FFD"/>
    <w:rsid w:val="001450E1"/>
    <w:rsid w:val="00145109"/>
    <w:rsid w:val="0014516B"/>
    <w:rsid w:val="001452F9"/>
    <w:rsid w:val="0014531A"/>
    <w:rsid w:val="001459B8"/>
    <w:rsid w:val="00145AAA"/>
    <w:rsid w:val="00145AC7"/>
    <w:rsid w:val="00145C11"/>
    <w:rsid w:val="00146156"/>
    <w:rsid w:val="00146514"/>
    <w:rsid w:val="001468F1"/>
    <w:rsid w:val="00147283"/>
    <w:rsid w:val="0014767C"/>
    <w:rsid w:val="00147763"/>
    <w:rsid w:val="00147B83"/>
    <w:rsid w:val="00150310"/>
    <w:rsid w:val="0015032A"/>
    <w:rsid w:val="001505D6"/>
    <w:rsid w:val="00150629"/>
    <w:rsid w:val="001510C3"/>
    <w:rsid w:val="001513FC"/>
    <w:rsid w:val="001518CE"/>
    <w:rsid w:val="0015197E"/>
    <w:rsid w:val="00152410"/>
    <w:rsid w:val="0015263A"/>
    <w:rsid w:val="0015287F"/>
    <w:rsid w:val="0015292D"/>
    <w:rsid w:val="00152A96"/>
    <w:rsid w:val="00152AA8"/>
    <w:rsid w:val="00152B53"/>
    <w:rsid w:val="00152DA0"/>
    <w:rsid w:val="001530D3"/>
    <w:rsid w:val="0015392D"/>
    <w:rsid w:val="00153A83"/>
    <w:rsid w:val="00153B7C"/>
    <w:rsid w:val="00154405"/>
    <w:rsid w:val="001546CD"/>
    <w:rsid w:val="00154BCE"/>
    <w:rsid w:val="00154BD3"/>
    <w:rsid w:val="00154E54"/>
    <w:rsid w:val="001552A1"/>
    <w:rsid w:val="001553B9"/>
    <w:rsid w:val="001553BB"/>
    <w:rsid w:val="001556C7"/>
    <w:rsid w:val="00156060"/>
    <w:rsid w:val="00156547"/>
    <w:rsid w:val="0015669F"/>
    <w:rsid w:val="001566AA"/>
    <w:rsid w:val="001567C4"/>
    <w:rsid w:val="00156BC3"/>
    <w:rsid w:val="00156C60"/>
    <w:rsid w:val="00156EB2"/>
    <w:rsid w:val="00157045"/>
    <w:rsid w:val="00157A4A"/>
    <w:rsid w:val="00157F60"/>
    <w:rsid w:val="001605FF"/>
    <w:rsid w:val="001609F5"/>
    <w:rsid w:val="00160B4B"/>
    <w:rsid w:val="00160BCC"/>
    <w:rsid w:val="00160FD9"/>
    <w:rsid w:val="0016132D"/>
    <w:rsid w:val="0016137E"/>
    <w:rsid w:val="00161670"/>
    <w:rsid w:val="00161E27"/>
    <w:rsid w:val="00161E6C"/>
    <w:rsid w:val="00162668"/>
    <w:rsid w:val="0016270C"/>
    <w:rsid w:val="001627B0"/>
    <w:rsid w:val="0016326B"/>
    <w:rsid w:val="0016327C"/>
    <w:rsid w:val="00163383"/>
    <w:rsid w:val="001633EA"/>
    <w:rsid w:val="001634A6"/>
    <w:rsid w:val="00163B9A"/>
    <w:rsid w:val="00163FA6"/>
    <w:rsid w:val="00164A98"/>
    <w:rsid w:val="00164D6A"/>
    <w:rsid w:val="00164ECC"/>
    <w:rsid w:val="00164FCD"/>
    <w:rsid w:val="00164FEF"/>
    <w:rsid w:val="001650F5"/>
    <w:rsid w:val="001652B0"/>
    <w:rsid w:val="0016557B"/>
    <w:rsid w:val="001655B1"/>
    <w:rsid w:val="00165A46"/>
    <w:rsid w:val="00165A74"/>
    <w:rsid w:val="00165B4E"/>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3B2"/>
    <w:rsid w:val="001703E1"/>
    <w:rsid w:val="00170584"/>
    <w:rsid w:val="001709E6"/>
    <w:rsid w:val="00170B5F"/>
    <w:rsid w:val="00170C72"/>
    <w:rsid w:val="00170C93"/>
    <w:rsid w:val="00170EAD"/>
    <w:rsid w:val="00170EFD"/>
    <w:rsid w:val="00171147"/>
    <w:rsid w:val="0017135C"/>
    <w:rsid w:val="00171451"/>
    <w:rsid w:val="001718F9"/>
    <w:rsid w:val="00171AC1"/>
    <w:rsid w:val="00171B61"/>
    <w:rsid w:val="00171F86"/>
    <w:rsid w:val="00172168"/>
    <w:rsid w:val="001727CE"/>
    <w:rsid w:val="0017299F"/>
    <w:rsid w:val="00172A27"/>
    <w:rsid w:val="00172D70"/>
    <w:rsid w:val="00172E7C"/>
    <w:rsid w:val="00173226"/>
    <w:rsid w:val="001732C8"/>
    <w:rsid w:val="0017358C"/>
    <w:rsid w:val="00173593"/>
    <w:rsid w:val="0017375B"/>
    <w:rsid w:val="001737FF"/>
    <w:rsid w:val="0017390C"/>
    <w:rsid w:val="00173DCF"/>
    <w:rsid w:val="001743AF"/>
    <w:rsid w:val="00174BFA"/>
    <w:rsid w:val="00175201"/>
    <w:rsid w:val="00175260"/>
    <w:rsid w:val="0017531D"/>
    <w:rsid w:val="001755CF"/>
    <w:rsid w:val="00175C9F"/>
    <w:rsid w:val="00176012"/>
    <w:rsid w:val="0017697B"/>
    <w:rsid w:val="00176A78"/>
    <w:rsid w:val="00176D01"/>
    <w:rsid w:val="00177214"/>
    <w:rsid w:val="0017728E"/>
    <w:rsid w:val="0017746A"/>
    <w:rsid w:val="001775C2"/>
    <w:rsid w:val="00177662"/>
    <w:rsid w:val="001779C8"/>
    <w:rsid w:val="00177A45"/>
    <w:rsid w:val="00177DD6"/>
    <w:rsid w:val="00180010"/>
    <w:rsid w:val="00180179"/>
    <w:rsid w:val="00180190"/>
    <w:rsid w:val="00180671"/>
    <w:rsid w:val="001807B2"/>
    <w:rsid w:val="001808E6"/>
    <w:rsid w:val="00180D29"/>
    <w:rsid w:val="00180EE7"/>
    <w:rsid w:val="001813F5"/>
    <w:rsid w:val="00181A39"/>
    <w:rsid w:val="00181E78"/>
    <w:rsid w:val="0018223A"/>
    <w:rsid w:val="001824E5"/>
    <w:rsid w:val="001825FC"/>
    <w:rsid w:val="00182A0E"/>
    <w:rsid w:val="00182B21"/>
    <w:rsid w:val="00182ED3"/>
    <w:rsid w:val="001832E1"/>
    <w:rsid w:val="00183329"/>
    <w:rsid w:val="00183412"/>
    <w:rsid w:val="001836B4"/>
    <w:rsid w:val="0018391A"/>
    <w:rsid w:val="00183E0C"/>
    <w:rsid w:val="00184130"/>
    <w:rsid w:val="0018431B"/>
    <w:rsid w:val="001844AE"/>
    <w:rsid w:val="00184535"/>
    <w:rsid w:val="001845DF"/>
    <w:rsid w:val="00184AC5"/>
    <w:rsid w:val="0018502B"/>
    <w:rsid w:val="001853B6"/>
    <w:rsid w:val="001853EC"/>
    <w:rsid w:val="001857A5"/>
    <w:rsid w:val="001868BF"/>
    <w:rsid w:val="00186A4E"/>
    <w:rsid w:val="00186CC3"/>
    <w:rsid w:val="0018733C"/>
    <w:rsid w:val="00187C96"/>
    <w:rsid w:val="001904A3"/>
    <w:rsid w:val="001905FC"/>
    <w:rsid w:val="001908D1"/>
    <w:rsid w:val="0019097B"/>
    <w:rsid w:val="00190A88"/>
    <w:rsid w:val="0019169F"/>
    <w:rsid w:val="0019189D"/>
    <w:rsid w:val="00191AFC"/>
    <w:rsid w:val="00191FA0"/>
    <w:rsid w:val="00192085"/>
    <w:rsid w:val="00192312"/>
    <w:rsid w:val="001924A3"/>
    <w:rsid w:val="001927FB"/>
    <w:rsid w:val="00192E40"/>
    <w:rsid w:val="001931DB"/>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BA"/>
    <w:rsid w:val="0019527A"/>
    <w:rsid w:val="0019575F"/>
    <w:rsid w:val="00195993"/>
    <w:rsid w:val="00195BC1"/>
    <w:rsid w:val="00195FD5"/>
    <w:rsid w:val="001960C6"/>
    <w:rsid w:val="00196283"/>
    <w:rsid w:val="001963D2"/>
    <w:rsid w:val="00196A72"/>
    <w:rsid w:val="00196AA8"/>
    <w:rsid w:val="001978C4"/>
    <w:rsid w:val="00197A06"/>
    <w:rsid w:val="00197E81"/>
    <w:rsid w:val="00197F4F"/>
    <w:rsid w:val="00197FE1"/>
    <w:rsid w:val="001A0128"/>
    <w:rsid w:val="001A02CD"/>
    <w:rsid w:val="001A0651"/>
    <w:rsid w:val="001A0DB6"/>
    <w:rsid w:val="001A11F1"/>
    <w:rsid w:val="001A154B"/>
    <w:rsid w:val="001A183F"/>
    <w:rsid w:val="001A1A8F"/>
    <w:rsid w:val="001A230F"/>
    <w:rsid w:val="001A234C"/>
    <w:rsid w:val="001A2B5C"/>
    <w:rsid w:val="001A2D7E"/>
    <w:rsid w:val="001A2F80"/>
    <w:rsid w:val="001A316C"/>
    <w:rsid w:val="001A3308"/>
    <w:rsid w:val="001A3360"/>
    <w:rsid w:val="001A3410"/>
    <w:rsid w:val="001A4236"/>
    <w:rsid w:val="001A488D"/>
    <w:rsid w:val="001A4ADF"/>
    <w:rsid w:val="001A52C9"/>
    <w:rsid w:val="001A54C4"/>
    <w:rsid w:val="001A5750"/>
    <w:rsid w:val="001A5BEF"/>
    <w:rsid w:val="001A5D66"/>
    <w:rsid w:val="001A5E73"/>
    <w:rsid w:val="001A5F74"/>
    <w:rsid w:val="001A615D"/>
    <w:rsid w:val="001A68B7"/>
    <w:rsid w:val="001A6948"/>
    <w:rsid w:val="001A7122"/>
    <w:rsid w:val="001A71DD"/>
    <w:rsid w:val="001A7776"/>
    <w:rsid w:val="001A79A4"/>
    <w:rsid w:val="001B069C"/>
    <w:rsid w:val="001B0B86"/>
    <w:rsid w:val="001B0DDA"/>
    <w:rsid w:val="001B126D"/>
    <w:rsid w:val="001B12B3"/>
    <w:rsid w:val="001B17FD"/>
    <w:rsid w:val="001B2110"/>
    <w:rsid w:val="001B23C7"/>
    <w:rsid w:val="001B2898"/>
    <w:rsid w:val="001B29EC"/>
    <w:rsid w:val="001B2CA4"/>
    <w:rsid w:val="001B2CA6"/>
    <w:rsid w:val="001B2E2C"/>
    <w:rsid w:val="001B359B"/>
    <w:rsid w:val="001B39CE"/>
    <w:rsid w:val="001B3A42"/>
    <w:rsid w:val="001B3DB9"/>
    <w:rsid w:val="001B3E68"/>
    <w:rsid w:val="001B3F68"/>
    <w:rsid w:val="001B40BF"/>
    <w:rsid w:val="001B41E0"/>
    <w:rsid w:val="001B41EE"/>
    <w:rsid w:val="001B4381"/>
    <w:rsid w:val="001B48BE"/>
    <w:rsid w:val="001B4AFC"/>
    <w:rsid w:val="001B4C15"/>
    <w:rsid w:val="001B4EF3"/>
    <w:rsid w:val="001B4F63"/>
    <w:rsid w:val="001B51E7"/>
    <w:rsid w:val="001B5286"/>
    <w:rsid w:val="001B5292"/>
    <w:rsid w:val="001B57F5"/>
    <w:rsid w:val="001B5C7B"/>
    <w:rsid w:val="001B5FC9"/>
    <w:rsid w:val="001B621F"/>
    <w:rsid w:val="001B6308"/>
    <w:rsid w:val="001B643B"/>
    <w:rsid w:val="001B66A1"/>
    <w:rsid w:val="001B67C2"/>
    <w:rsid w:val="001B6D28"/>
    <w:rsid w:val="001B6E64"/>
    <w:rsid w:val="001B6E9A"/>
    <w:rsid w:val="001B6EE2"/>
    <w:rsid w:val="001B6F4A"/>
    <w:rsid w:val="001B70E9"/>
    <w:rsid w:val="001B712D"/>
    <w:rsid w:val="001B7212"/>
    <w:rsid w:val="001B7234"/>
    <w:rsid w:val="001B72A0"/>
    <w:rsid w:val="001B7638"/>
    <w:rsid w:val="001B7880"/>
    <w:rsid w:val="001B7A03"/>
    <w:rsid w:val="001B7E9E"/>
    <w:rsid w:val="001C0219"/>
    <w:rsid w:val="001C049A"/>
    <w:rsid w:val="001C0710"/>
    <w:rsid w:val="001C0945"/>
    <w:rsid w:val="001C09DC"/>
    <w:rsid w:val="001C0B5D"/>
    <w:rsid w:val="001C0E89"/>
    <w:rsid w:val="001C1074"/>
    <w:rsid w:val="001C11C5"/>
    <w:rsid w:val="001C129D"/>
    <w:rsid w:val="001C13F8"/>
    <w:rsid w:val="001C14F4"/>
    <w:rsid w:val="001C1626"/>
    <w:rsid w:val="001C16C7"/>
    <w:rsid w:val="001C1820"/>
    <w:rsid w:val="001C1A87"/>
    <w:rsid w:val="001C1A94"/>
    <w:rsid w:val="001C20C8"/>
    <w:rsid w:val="001C2861"/>
    <w:rsid w:val="001C2A2F"/>
    <w:rsid w:val="001C2AAB"/>
    <w:rsid w:val="001C2FCD"/>
    <w:rsid w:val="001C352B"/>
    <w:rsid w:val="001C3600"/>
    <w:rsid w:val="001C36CA"/>
    <w:rsid w:val="001C3B08"/>
    <w:rsid w:val="001C3D95"/>
    <w:rsid w:val="001C3E70"/>
    <w:rsid w:val="001C3EE0"/>
    <w:rsid w:val="001C4925"/>
    <w:rsid w:val="001C49C4"/>
    <w:rsid w:val="001C5253"/>
    <w:rsid w:val="001C5500"/>
    <w:rsid w:val="001C59AE"/>
    <w:rsid w:val="001C5E18"/>
    <w:rsid w:val="001C6880"/>
    <w:rsid w:val="001C6B67"/>
    <w:rsid w:val="001C6D6A"/>
    <w:rsid w:val="001C6DC7"/>
    <w:rsid w:val="001C7097"/>
    <w:rsid w:val="001C723D"/>
    <w:rsid w:val="001C7DA9"/>
    <w:rsid w:val="001C7E35"/>
    <w:rsid w:val="001D02C1"/>
    <w:rsid w:val="001D0829"/>
    <w:rsid w:val="001D0D4D"/>
    <w:rsid w:val="001D0DB7"/>
    <w:rsid w:val="001D119F"/>
    <w:rsid w:val="001D11FC"/>
    <w:rsid w:val="001D1289"/>
    <w:rsid w:val="001D16C9"/>
    <w:rsid w:val="001D1785"/>
    <w:rsid w:val="001D1996"/>
    <w:rsid w:val="001D1A10"/>
    <w:rsid w:val="001D1BC4"/>
    <w:rsid w:val="001D1BC9"/>
    <w:rsid w:val="001D1D50"/>
    <w:rsid w:val="001D1D52"/>
    <w:rsid w:val="001D2162"/>
    <w:rsid w:val="001D25BB"/>
    <w:rsid w:val="001D294D"/>
    <w:rsid w:val="001D2A93"/>
    <w:rsid w:val="001D2D79"/>
    <w:rsid w:val="001D2F41"/>
    <w:rsid w:val="001D3196"/>
    <w:rsid w:val="001D3775"/>
    <w:rsid w:val="001D3BBF"/>
    <w:rsid w:val="001D3C2C"/>
    <w:rsid w:val="001D3C7A"/>
    <w:rsid w:val="001D4428"/>
    <w:rsid w:val="001D4466"/>
    <w:rsid w:val="001D4635"/>
    <w:rsid w:val="001D4B7F"/>
    <w:rsid w:val="001D4CE2"/>
    <w:rsid w:val="001D4EA6"/>
    <w:rsid w:val="001D4F1B"/>
    <w:rsid w:val="001D52AC"/>
    <w:rsid w:val="001D53B3"/>
    <w:rsid w:val="001D6459"/>
    <w:rsid w:val="001D6A0D"/>
    <w:rsid w:val="001D6AFE"/>
    <w:rsid w:val="001D6EEC"/>
    <w:rsid w:val="001D74CF"/>
    <w:rsid w:val="001D76B0"/>
    <w:rsid w:val="001D7A05"/>
    <w:rsid w:val="001D7BCE"/>
    <w:rsid w:val="001E00DE"/>
    <w:rsid w:val="001E060B"/>
    <w:rsid w:val="001E0F2F"/>
    <w:rsid w:val="001E1105"/>
    <w:rsid w:val="001E15F1"/>
    <w:rsid w:val="001E1607"/>
    <w:rsid w:val="001E16EE"/>
    <w:rsid w:val="001E1D5F"/>
    <w:rsid w:val="001E2095"/>
    <w:rsid w:val="001E22B4"/>
    <w:rsid w:val="001E241A"/>
    <w:rsid w:val="001E2626"/>
    <w:rsid w:val="001E26F8"/>
    <w:rsid w:val="001E2707"/>
    <w:rsid w:val="001E2BE7"/>
    <w:rsid w:val="001E2E55"/>
    <w:rsid w:val="001E30F4"/>
    <w:rsid w:val="001E32AD"/>
    <w:rsid w:val="001E33EC"/>
    <w:rsid w:val="001E34B4"/>
    <w:rsid w:val="001E34BD"/>
    <w:rsid w:val="001E3BEE"/>
    <w:rsid w:val="001E404C"/>
    <w:rsid w:val="001E44AD"/>
    <w:rsid w:val="001E44AF"/>
    <w:rsid w:val="001E44C7"/>
    <w:rsid w:val="001E4679"/>
    <w:rsid w:val="001E4FE8"/>
    <w:rsid w:val="001E56F8"/>
    <w:rsid w:val="001E5789"/>
    <w:rsid w:val="001E5AFA"/>
    <w:rsid w:val="001E5B64"/>
    <w:rsid w:val="001E5CE2"/>
    <w:rsid w:val="001E5DCF"/>
    <w:rsid w:val="001E61C4"/>
    <w:rsid w:val="001E622A"/>
    <w:rsid w:val="001E623F"/>
    <w:rsid w:val="001E64FF"/>
    <w:rsid w:val="001E65BA"/>
    <w:rsid w:val="001E6612"/>
    <w:rsid w:val="001E6B45"/>
    <w:rsid w:val="001E6D1A"/>
    <w:rsid w:val="001E6EE5"/>
    <w:rsid w:val="001E727F"/>
    <w:rsid w:val="001E7288"/>
    <w:rsid w:val="001E7488"/>
    <w:rsid w:val="001E7525"/>
    <w:rsid w:val="001E76F4"/>
    <w:rsid w:val="001E7F01"/>
    <w:rsid w:val="001E7F78"/>
    <w:rsid w:val="001F02B8"/>
    <w:rsid w:val="001F044A"/>
    <w:rsid w:val="001F047A"/>
    <w:rsid w:val="001F047F"/>
    <w:rsid w:val="001F0794"/>
    <w:rsid w:val="001F0883"/>
    <w:rsid w:val="001F09EE"/>
    <w:rsid w:val="001F1674"/>
    <w:rsid w:val="001F1754"/>
    <w:rsid w:val="001F17A3"/>
    <w:rsid w:val="001F1A7E"/>
    <w:rsid w:val="001F1ADA"/>
    <w:rsid w:val="001F1AF8"/>
    <w:rsid w:val="001F1D3D"/>
    <w:rsid w:val="001F1D8D"/>
    <w:rsid w:val="001F1E04"/>
    <w:rsid w:val="001F24DC"/>
    <w:rsid w:val="001F2967"/>
    <w:rsid w:val="001F3422"/>
    <w:rsid w:val="001F3625"/>
    <w:rsid w:val="001F362A"/>
    <w:rsid w:val="001F382E"/>
    <w:rsid w:val="001F3927"/>
    <w:rsid w:val="001F39F5"/>
    <w:rsid w:val="001F3B1D"/>
    <w:rsid w:val="001F3BC9"/>
    <w:rsid w:val="001F3C90"/>
    <w:rsid w:val="001F3FEC"/>
    <w:rsid w:val="001F3FF7"/>
    <w:rsid w:val="001F400A"/>
    <w:rsid w:val="001F47A4"/>
    <w:rsid w:val="001F484A"/>
    <w:rsid w:val="001F48C5"/>
    <w:rsid w:val="001F50F7"/>
    <w:rsid w:val="001F579D"/>
    <w:rsid w:val="001F5808"/>
    <w:rsid w:val="001F591C"/>
    <w:rsid w:val="001F59DC"/>
    <w:rsid w:val="001F5A63"/>
    <w:rsid w:val="001F5ADF"/>
    <w:rsid w:val="001F5B4B"/>
    <w:rsid w:val="001F5D8B"/>
    <w:rsid w:val="001F5F67"/>
    <w:rsid w:val="001F6105"/>
    <w:rsid w:val="001F636A"/>
    <w:rsid w:val="001F6C0D"/>
    <w:rsid w:val="001F6CEB"/>
    <w:rsid w:val="001F7200"/>
    <w:rsid w:val="001F7217"/>
    <w:rsid w:val="001F7242"/>
    <w:rsid w:val="001F72F4"/>
    <w:rsid w:val="001F74A2"/>
    <w:rsid w:val="001F7594"/>
    <w:rsid w:val="001F75D9"/>
    <w:rsid w:val="001F7733"/>
    <w:rsid w:val="001F7847"/>
    <w:rsid w:val="001F7918"/>
    <w:rsid w:val="001F7BFC"/>
    <w:rsid w:val="001F7D23"/>
    <w:rsid w:val="001F7D6B"/>
    <w:rsid w:val="001F7F50"/>
    <w:rsid w:val="00200099"/>
    <w:rsid w:val="002000BA"/>
    <w:rsid w:val="00200118"/>
    <w:rsid w:val="00200658"/>
    <w:rsid w:val="002008BA"/>
    <w:rsid w:val="00200BFA"/>
    <w:rsid w:val="00200D7D"/>
    <w:rsid w:val="00200F72"/>
    <w:rsid w:val="00201378"/>
    <w:rsid w:val="002014C9"/>
    <w:rsid w:val="0020170A"/>
    <w:rsid w:val="002018BD"/>
    <w:rsid w:val="00202700"/>
    <w:rsid w:val="00202C3B"/>
    <w:rsid w:val="00203146"/>
    <w:rsid w:val="002033D6"/>
    <w:rsid w:val="00203541"/>
    <w:rsid w:val="00203640"/>
    <w:rsid w:val="00203712"/>
    <w:rsid w:val="002038A3"/>
    <w:rsid w:val="002039CC"/>
    <w:rsid w:val="00203AA7"/>
    <w:rsid w:val="00203C17"/>
    <w:rsid w:val="00204123"/>
    <w:rsid w:val="00204168"/>
    <w:rsid w:val="002041C3"/>
    <w:rsid w:val="00204323"/>
    <w:rsid w:val="002043D1"/>
    <w:rsid w:val="0020452A"/>
    <w:rsid w:val="00204544"/>
    <w:rsid w:val="0020494F"/>
    <w:rsid w:val="00204C77"/>
    <w:rsid w:val="00204F5F"/>
    <w:rsid w:val="00205496"/>
    <w:rsid w:val="00205592"/>
    <w:rsid w:val="002056CF"/>
    <w:rsid w:val="00205C09"/>
    <w:rsid w:val="00206A28"/>
    <w:rsid w:val="00206B44"/>
    <w:rsid w:val="00206E6E"/>
    <w:rsid w:val="002070B3"/>
    <w:rsid w:val="002076A9"/>
    <w:rsid w:val="00207751"/>
    <w:rsid w:val="0020795D"/>
    <w:rsid w:val="00207986"/>
    <w:rsid w:val="00207ABF"/>
    <w:rsid w:val="00207B8D"/>
    <w:rsid w:val="00207D2B"/>
    <w:rsid w:val="00207ED5"/>
    <w:rsid w:val="002102D0"/>
    <w:rsid w:val="00210744"/>
    <w:rsid w:val="00210C23"/>
    <w:rsid w:val="00210C4A"/>
    <w:rsid w:val="00210FA7"/>
    <w:rsid w:val="00211115"/>
    <w:rsid w:val="00211287"/>
    <w:rsid w:val="0021149F"/>
    <w:rsid w:val="002114E8"/>
    <w:rsid w:val="002117F7"/>
    <w:rsid w:val="00211CAD"/>
    <w:rsid w:val="00211DF8"/>
    <w:rsid w:val="00211F20"/>
    <w:rsid w:val="00212859"/>
    <w:rsid w:val="00213583"/>
    <w:rsid w:val="002136B1"/>
    <w:rsid w:val="00213839"/>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1D0"/>
    <w:rsid w:val="0021663F"/>
    <w:rsid w:val="0021675F"/>
    <w:rsid w:val="002167FB"/>
    <w:rsid w:val="00216B42"/>
    <w:rsid w:val="00216B84"/>
    <w:rsid w:val="002173AB"/>
    <w:rsid w:val="002177B1"/>
    <w:rsid w:val="002178FA"/>
    <w:rsid w:val="00217A03"/>
    <w:rsid w:val="00217D23"/>
    <w:rsid w:val="00217D67"/>
    <w:rsid w:val="00217E65"/>
    <w:rsid w:val="002200C5"/>
    <w:rsid w:val="002202D0"/>
    <w:rsid w:val="002207E2"/>
    <w:rsid w:val="00220D98"/>
    <w:rsid w:val="002217B2"/>
    <w:rsid w:val="0022192A"/>
    <w:rsid w:val="00221C66"/>
    <w:rsid w:val="00221EC6"/>
    <w:rsid w:val="0022209C"/>
    <w:rsid w:val="002227C0"/>
    <w:rsid w:val="00222A59"/>
    <w:rsid w:val="00222B89"/>
    <w:rsid w:val="00222F9C"/>
    <w:rsid w:val="0022335E"/>
    <w:rsid w:val="0022354B"/>
    <w:rsid w:val="002235D4"/>
    <w:rsid w:val="0022369E"/>
    <w:rsid w:val="00223700"/>
    <w:rsid w:val="00223F12"/>
    <w:rsid w:val="00223F9E"/>
    <w:rsid w:val="0022424E"/>
    <w:rsid w:val="002245E0"/>
    <w:rsid w:val="0022464E"/>
    <w:rsid w:val="00224936"/>
    <w:rsid w:val="00224937"/>
    <w:rsid w:val="00224A2A"/>
    <w:rsid w:val="00224C56"/>
    <w:rsid w:val="00224C8A"/>
    <w:rsid w:val="00224D2A"/>
    <w:rsid w:val="002250DC"/>
    <w:rsid w:val="00225422"/>
    <w:rsid w:val="002256FF"/>
    <w:rsid w:val="002257CB"/>
    <w:rsid w:val="00225A62"/>
    <w:rsid w:val="00225EFE"/>
    <w:rsid w:val="00226149"/>
    <w:rsid w:val="00226274"/>
    <w:rsid w:val="002266E5"/>
    <w:rsid w:val="0022676E"/>
    <w:rsid w:val="00226F72"/>
    <w:rsid w:val="00226F91"/>
    <w:rsid w:val="00226F98"/>
    <w:rsid w:val="00227540"/>
    <w:rsid w:val="00227BD6"/>
    <w:rsid w:val="00227CD8"/>
    <w:rsid w:val="002304C3"/>
    <w:rsid w:val="00230585"/>
    <w:rsid w:val="002305DC"/>
    <w:rsid w:val="00230644"/>
    <w:rsid w:val="00230A7C"/>
    <w:rsid w:val="00230B17"/>
    <w:rsid w:val="00230BD2"/>
    <w:rsid w:val="002310A9"/>
    <w:rsid w:val="002312C0"/>
    <w:rsid w:val="002314FE"/>
    <w:rsid w:val="0023188A"/>
    <w:rsid w:val="00231AF1"/>
    <w:rsid w:val="00231CAB"/>
    <w:rsid w:val="00231E80"/>
    <w:rsid w:val="00232145"/>
    <w:rsid w:val="00232577"/>
    <w:rsid w:val="002329D9"/>
    <w:rsid w:val="00232EB9"/>
    <w:rsid w:val="002332D6"/>
    <w:rsid w:val="002336BC"/>
    <w:rsid w:val="002337C0"/>
    <w:rsid w:val="002338B5"/>
    <w:rsid w:val="0023398F"/>
    <w:rsid w:val="002339FE"/>
    <w:rsid w:val="00234578"/>
    <w:rsid w:val="0023457F"/>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8D"/>
    <w:rsid w:val="00236491"/>
    <w:rsid w:val="00236B68"/>
    <w:rsid w:val="00236EE8"/>
    <w:rsid w:val="00236FA4"/>
    <w:rsid w:val="0023706F"/>
    <w:rsid w:val="0023747B"/>
    <w:rsid w:val="002374F3"/>
    <w:rsid w:val="0023772E"/>
    <w:rsid w:val="00237A1A"/>
    <w:rsid w:val="00237B9A"/>
    <w:rsid w:val="00237BE4"/>
    <w:rsid w:val="00237E05"/>
    <w:rsid w:val="00237EF5"/>
    <w:rsid w:val="0024088F"/>
    <w:rsid w:val="00240FA6"/>
    <w:rsid w:val="002411D2"/>
    <w:rsid w:val="002411E1"/>
    <w:rsid w:val="00241550"/>
    <w:rsid w:val="00241560"/>
    <w:rsid w:val="0024156C"/>
    <w:rsid w:val="002416F9"/>
    <w:rsid w:val="00241A3A"/>
    <w:rsid w:val="00241AAE"/>
    <w:rsid w:val="0024215C"/>
    <w:rsid w:val="0024269F"/>
    <w:rsid w:val="002429EA"/>
    <w:rsid w:val="00242AAF"/>
    <w:rsid w:val="0024318B"/>
    <w:rsid w:val="002431BF"/>
    <w:rsid w:val="0024369A"/>
    <w:rsid w:val="00243871"/>
    <w:rsid w:val="00243F81"/>
    <w:rsid w:val="00244514"/>
    <w:rsid w:val="002445AF"/>
    <w:rsid w:val="00244BA5"/>
    <w:rsid w:val="002458EF"/>
    <w:rsid w:val="00245A53"/>
    <w:rsid w:val="00245D3E"/>
    <w:rsid w:val="00245E63"/>
    <w:rsid w:val="0024606D"/>
    <w:rsid w:val="002460B6"/>
    <w:rsid w:val="0024610C"/>
    <w:rsid w:val="00246220"/>
    <w:rsid w:val="002464C6"/>
    <w:rsid w:val="002465C1"/>
    <w:rsid w:val="00246F32"/>
    <w:rsid w:val="00246FD2"/>
    <w:rsid w:val="00247241"/>
    <w:rsid w:val="002473DC"/>
    <w:rsid w:val="002474ED"/>
    <w:rsid w:val="0024752A"/>
    <w:rsid w:val="00247723"/>
    <w:rsid w:val="00247C87"/>
    <w:rsid w:val="00247CD6"/>
    <w:rsid w:val="00250192"/>
    <w:rsid w:val="002504D6"/>
    <w:rsid w:val="00250B28"/>
    <w:rsid w:val="00251202"/>
    <w:rsid w:val="00251387"/>
    <w:rsid w:val="00251500"/>
    <w:rsid w:val="00251619"/>
    <w:rsid w:val="00251676"/>
    <w:rsid w:val="0025181A"/>
    <w:rsid w:val="0025184B"/>
    <w:rsid w:val="00251905"/>
    <w:rsid w:val="00251C1A"/>
    <w:rsid w:val="00251C5B"/>
    <w:rsid w:val="00251E8F"/>
    <w:rsid w:val="00251EBA"/>
    <w:rsid w:val="00252922"/>
    <w:rsid w:val="00252A28"/>
    <w:rsid w:val="00252C2A"/>
    <w:rsid w:val="002531E0"/>
    <w:rsid w:val="00253232"/>
    <w:rsid w:val="002532B4"/>
    <w:rsid w:val="0025335A"/>
    <w:rsid w:val="00253C5C"/>
    <w:rsid w:val="00253E14"/>
    <w:rsid w:val="00253ECD"/>
    <w:rsid w:val="00254826"/>
    <w:rsid w:val="00254913"/>
    <w:rsid w:val="00254EB7"/>
    <w:rsid w:val="00255297"/>
    <w:rsid w:val="002554B9"/>
    <w:rsid w:val="0025558D"/>
    <w:rsid w:val="0025589C"/>
    <w:rsid w:val="00255CF5"/>
    <w:rsid w:val="002562A9"/>
    <w:rsid w:val="0025662B"/>
    <w:rsid w:val="00256796"/>
    <w:rsid w:val="0025684E"/>
    <w:rsid w:val="002568B3"/>
    <w:rsid w:val="00256BA0"/>
    <w:rsid w:val="00256CA2"/>
    <w:rsid w:val="002572E2"/>
    <w:rsid w:val="00257832"/>
    <w:rsid w:val="0025793A"/>
    <w:rsid w:val="00257A56"/>
    <w:rsid w:val="00257D25"/>
    <w:rsid w:val="0026089B"/>
    <w:rsid w:val="00260A7B"/>
    <w:rsid w:val="00260E98"/>
    <w:rsid w:val="00260FDD"/>
    <w:rsid w:val="00261084"/>
    <w:rsid w:val="0026113F"/>
    <w:rsid w:val="002614CC"/>
    <w:rsid w:val="002616C1"/>
    <w:rsid w:val="00261755"/>
    <w:rsid w:val="0026189F"/>
    <w:rsid w:val="002619AA"/>
    <w:rsid w:val="00261A57"/>
    <w:rsid w:val="00262167"/>
    <w:rsid w:val="00262433"/>
    <w:rsid w:val="002627A1"/>
    <w:rsid w:val="00262991"/>
    <w:rsid w:val="00262BC1"/>
    <w:rsid w:val="00262C1B"/>
    <w:rsid w:val="002639C2"/>
    <w:rsid w:val="00263A01"/>
    <w:rsid w:val="00263A0A"/>
    <w:rsid w:val="00263BDC"/>
    <w:rsid w:val="00263E4F"/>
    <w:rsid w:val="0026407C"/>
    <w:rsid w:val="002642FB"/>
    <w:rsid w:val="00264523"/>
    <w:rsid w:val="002647FF"/>
    <w:rsid w:val="00264A11"/>
    <w:rsid w:val="00264D8E"/>
    <w:rsid w:val="00264DF6"/>
    <w:rsid w:val="00264E19"/>
    <w:rsid w:val="00264E53"/>
    <w:rsid w:val="00264E87"/>
    <w:rsid w:val="00264F03"/>
    <w:rsid w:val="0026571D"/>
    <w:rsid w:val="00265744"/>
    <w:rsid w:val="00265933"/>
    <w:rsid w:val="00265A0F"/>
    <w:rsid w:val="00265A1A"/>
    <w:rsid w:val="00265A57"/>
    <w:rsid w:val="00265C1D"/>
    <w:rsid w:val="00265C58"/>
    <w:rsid w:val="00265D81"/>
    <w:rsid w:val="00265DB6"/>
    <w:rsid w:val="00265E1F"/>
    <w:rsid w:val="00265FBD"/>
    <w:rsid w:val="00266C32"/>
    <w:rsid w:val="00267258"/>
    <w:rsid w:val="00267444"/>
    <w:rsid w:val="002677F3"/>
    <w:rsid w:val="0026795A"/>
    <w:rsid w:val="00267A1B"/>
    <w:rsid w:val="002701F8"/>
    <w:rsid w:val="0027021A"/>
    <w:rsid w:val="0027029B"/>
    <w:rsid w:val="00270332"/>
    <w:rsid w:val="00270B96"/>
    <w:rsid w:val="00270C80"/>
    <w:rsid w:val="00270DDD"/>
    <w:rsid w:val="00270DF5"/>
    <w:rsid w:val="00271037"/>
    <w:rsid w:val="00271920"/>
    <w:rsid w:val="00271F60"/>
    <w:rsid w:val="00272077"/>
    <w:rsid w:val="002721FF"/>
    <w:rsid w:val="00272390"/>
    <w:rsid w:val="0027248D"/>
    <w:rsid w:val="0027291B"/>
    <w:rsid w:val="00272D25"/>
    <w:rsid w:val="002735E0"/>
    <w:rsid w:val="0027385C"/>
    <w:rsid w:val="002738A0"/>
    <w:rsid w:val="00273908"/>
    <w:rsid w:val="00273A66"/>
    <w:rsid w:val="002743BB"/>
    <w:rsid w:val="00274A4F"/>
    <w:rsid w:val="00274E92"/>
    <w:rsid w:val="00274FFC"/>
    <w:rsid w:val="002752B3"/>
    <w:rsid w:val="002752B8"/>
    <w:rsid w:val="00275312"/>
    <w:rsid w:val="00275391"/>
    <w:rsid w:val="00275525"/>
    <w:rsid w:val="002758A7"/>
    <w:rsid w:val="00275C84"/>
    <w:rsid w:val="00275CE8"/>
    <w:rsid w:val="00275EFF"/>
    <w:rsid w:val="002762D3"/>
    <w:rsid w:val="00276447"/>
    <w:rsid w:val="002768C7"/>
    <w:rsid w:val="00276A83"/>
    <w:rsid w:val="00276D87"/>
    <w:rsid w:val="00276E92"/>
    <w:rsid w:val="00276F1B"/>
    <w:rsid w:val="0027709E"/>
    <w:rsid w:val="002778DA"/>
    <w:rsid w:val="0027794B"/>
    <w:rsid w:val="00277D70"/>
    <w:rsid w:val="0028005D"/>
    <w:rsid w:val="002802C8"/>
    <w:rsid w:val="0028055D"/>
    <w:rsid w:val="0028085E"/>
    <w:rsid w:val="002808FF"/>
    <w:rsid w:val="00280A3E"/>
    <w:rsid w:val="00281312"/>
    <w:rsid w:val="002815A8"/>
    <w:rsid w:val="0028160C"/>
    <w:rsid w:val="00281C5F"/>
    <w:rsid w:val="00281DC5"/>
    <w:rsid w:val="00282422"/>
    <w:rsid w:val="0028267A"/>
    <w:rsid w:val="002828A6"/>
    <w:rsid w:val="002828C3"/>
    <w:rsid w:val="00282939"/>
    <w:rsid w:val="00282A9C"/>
    <w:rsid w:val="00282C02"/>
    <w:rsid w:val="00282DE0"/>
    <w:rsid w:val="0028316B"/>
    <w:rsid w:val="00283794"/>
    <w:rsid w:val="0028386E"/>
    <w:rsid w:val="00283964"/>
    <w:rsid w:val="002839D0"/>
    <w:rsid w:val="00283E0B"/>
    <w:rsid w:val="0028473E"/>
    <w:rsid w:val="00284946"/>
    <w:rsid w:val="00285082"/>
    <w:rsid w:val="002855E4"/>
    <w:rsid w:val="002859BC"/>
    <w:rsid w:val="00285E21"/>
    <w:rsid w:val="00285F6E"/>
    <w:rsid w:val="002860A5"/>
    <w:rsid w:val="002861A8"/>
    <w:rsid w:val="002863EB"/>
    <w:rsid w:val="0028649F"/>
    <w:rsid w:val="00286865"/>
    <w:rsid w:val="00286E27"/>
    <w:rsid w:val="00287391"/>
    <w:rsid w:val="00287986"/>
    <w:rsid w:val="00287A94"/>
    <w:rsid w:val="00287E8E"/>
    <w:rsid w:val="00290039"/>
    <w:rsid w:val="00290642"/>
    <w:rsid w:val="00290727"/>
    <w:rsid w:val="0029076F"/>
    <w:rsid w:val="00290910"/>
    <w:rsid w:val="00290B75"/>
    <w:rsid w:val="00290FFC"/>
    <w:rsid w:val="00291048"/>
    <w:rsid w:val="0029111D"/>
    <w:rsid w:val="0029123B"/>
    <w:rsid w:val="002913DC"/>
    <w:rsid w:val="002914AC"/>
    <w:rsid w:val="00291628"/>
    <w:rsid w:val="00291CE3"/>
    <w:rsid w:val="00291E48"/>
    <w:rsid w:val="00292347"/>
    <w:rsid w:val="00292430"/>
    <w:rsid w:val="002925FD"/>
    <w:rsid w:val="002926C1"/>
    <w:rsid w:val="00292A1F"/>
    <w:rsid w:val="00292AFE"/>
    <w:rsid w:val="00292FB4"/>
    <w:rsid w:val="0029387D"/>
    <w:rsid w:val="00293B19"/>
    <w:rsid w:val="00293C60"/>
    <w:rsid w:val="0029411B"/>
    <w:rsid w:val="0029431A"/>
    <w:rsid w:val="00294A23"/>
    <w:rsid w:val="00294AE3"/>
    <w:rsid w:val="00294B64"/>
    <w:rsid w:val="00294EE2"/>
    <w:rsid w:val="002950EF"/>
    <w:rsid w:val="002951B6"/>
    <w:rsid w:val="0029527C"/>
    <w:rsid w:val="002952C5"/>
    <w:rsid w:val="00295A34"/>
    <w:rsid w:val="00295DC5"/>
    <w:rsid w:val="00295EF6"/>
    <w:rsid w:val="002963A4"/>
    <w:rsid w:val="00296758"/>
    <w:rsid w:val="00296882"/>
    <w:rsid w:val="00296A6D"/>
    <w:rsid w:val="00296BBC"/>
    <w:rsid w:val="00296BCD"/>
    <w:rsid w:val="00296FFF"/>
    <w:rsid w:val="0029704B"/>
    <w:rsid w:val="0029705E"/>
    <w:rsid w:val="0029784B"/>
    <w:rsid w:val="00297BA8"/>
    <w:rsid w:val="002A041E"/>
    <w:rsid w:val="002A0BC0"/>
    <w:rsid w:val="002A0D19"/>
    <w:rsid w:val="002A0D7C"/>
    <w:rsid w:val="002A113F"/>
    <w:rsid w:val="002A15EC"/>
    <w:rsid w:val="002A1744"/>
    <w:rsid w:val="002A1AE2"/>
    <w:rsid w:val="002A1C32"/>
    <w:rsid w:val="002A1C53"/>
    <w:rsid w:val="002A1D7C"/>
    <w:rsid w:val="002A1F65"/>
    <w:rsid w:val="002A2189"/>
    <w:rsid w:val="002A223E"/>
    <w:rsid w:val="002A2593"/>
    <w:rsid w:val="002A265C"/>
    <w:rsid w:val="002A2C5C"/>
    <w:rsid w:val="002A2FF3"/>
    <w:rsid w:val="002A3326"/>
    <w:rsid w:val="002A3386"/>
    <w:rsid w:val="002A3892"/>
    <w:rsid w:val="002A38C3"/>
    <w:rsid w:val="002A3C30"/>
    <w:rsid w:val="002A3E93"/>
    <w:rsid w:val="002A4236"/>
    <w:rsid w:val="002A4D4A"/>
    <w:rsid w:val="002A4E5F"/>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B76"/>
    <w:rsid w:val="002B0DE8"/>
    <w:rsid w:val="002B0E47"/>
    <w:rsid w:val="002B10C1"/>
    <w:rsid w:val="002B1129"/>
    <w:rsid w:val="002B1135"/>
    <w:rsid w:val="002B1265"/>
    <w:rsid w:val="002B16FA"/>
    <w:rsid w:val="002B1742"/>
    <w:rsid w:val="002B1E2F"/>
    <w:rsid w:val="002B2021"/>
    <w:rsid w:val="002B25DA"/>
    <w:rsid w:val="002B2817"/>
    <w:rsid w:val="002B2932"/>
    <w:rsid w:val="002B2CB8"/>
    <w:rsid w:val="002B2EB9"/>
    <w:rsid w:val="002B2FC9"/>
    <w:rsid w:val="002B34A3"/>
    <w:rsid w:val="002B366D"/>
    <w:rsid w:val="002B3977"/>
    <w:rsid w:val="002B3D5F"/>
    <w:rsid w:val="002B4235"/>
    <w:rsid w:val="002B4730"/>
    <w:rsid w:val="002B49E4"/>
    <w:rsid w:val="002B4A94"/>
    <w:rsid w:val="002B4C10"/>
    <w:rsid w:val="002B4DF8"/>
    <w:rsid w:val="002B508A"/>
    <w:rsid w:val="002B5277"/>
    <w:rsid w:val="002B60A0"/>
    <w:rsid w:val="002B60E9"/>
    <w:rsid w:val="002B65D1"/>
    <w:rsid w:val="002B6A6D"/>
    <w:rsid w:val="002B6A81"/>
    <w:rsid w:val="002B6F8E"/>
    <w:rsid w:val="002B7240"/>
    <w:rsid w:val="002B7422"/>
    <w:rsid w:val="002B74D0"/>
    <w:rsid w:val="002B7573"/>
    <w:rsid w:val="002B767E"/>
    <w:rsid w:val="002B781E"/>
    <w:rsid w:val="002B7843"/>
    <w:rsid w:val="002B795B"/>
    <w:rsid w:val="002B7A2F"/>
    <w:rsid w:val="002B7EED"/>
    <w:rsid w:val="002C02BE"/>
    <w:rsid w:val="002C043C"/>
    <w:rsid w:val="002C06AF"/>
    <w:rsid w:val="002C07C0"/>
    <w:rsid w:val="002C0E15"/>
    <w:rsid w:val="002C0E58"/>
    <w:rsid w:val="002C109B"/>
    <w:rsid w:val="002C119E"/>
    <w:rsid w:val="002C1E92"/>
    <w:rsid w:val="002C21B9"/>
    <w:rsid w:val="002C2425"/>
    <w:rsid w:val="002C2696"/>
    <w:rsid w:val="002C2D23"/>
    <w:rsid w:val="002C3308"/>
    <w:rsid w:val="002C36D8"/>
    <w:rsid w:val="002C37FE"/>
    <w:rsid w:val="002C3834"/>
    <w:rsid w:val="002C3FB3"/>
    <w:rsid w:val="002C4646"/>
    <w:rsid w:val="002C4647"/>
    <w:rsid w:val="002C4654"/>
    <w:rsid w:val="002C4866"/>
    <w:rsid w:val="002C49AF"/>
    <w:rsid w:val="002C4BA5"/>
    <w:rsid w:val="002C4F8D"/>
    <w:rsid w:val="002C5107"/>
    <w:rsid w:val="002C5505"/>
    <w:rsid w:val="002C55D4"/>
    <w:rsid w:val="002C561A"/>
    <w:rsid w:val="002C5C30"/>
    <w:rsid w:val="002C5ECB"/>
    <w:rsid w:val="002C5FE2"/>
    <w:rsid w:val="002C74C4"/>
    <w:rsid w:val="002C7513"/>
    <w:rsid w:val="002C76F6"/>
    <w:rsid w:val="002D07E3"/>
    <w:rsid w:val="002D0CFD"/>
    <w:rsid w:val="002D0E64"/>
    <w:rsid w:val="002D1157"/>
    <w:rsid w:val="002D1DE4"/>
    <w:rsid w:val="002D21E4"/>
    <w:rsid w:val="002D22E1"/>
    <w:rsid w:val="002D24A7"/>
    <w:rsid w:val="002D2882"/>
    <w:rsid w:val="002D2923"/>
    <w:rsid w:val="002D2E73"/>
    <w:rsid w:val="002D3740"/>
    <w:rsid w:val="002D38F9"/>
    <w:rsid w:val="002D3AD9"/>
    <w:rsid w:val="002D410F"/>
    <w:rsid w:val="002D4393"/>
    <w:rsid w:val="002D43AC"/>
    <w:rsid w:val="002D44FA"/>
    <w:rsid w:val="002D46B0"/>
    <w:rsid w:val="002D46E3"/>
    <w:rsid w:val="002D4A4B"/>
    <w:rsid w:val="002D4A7D"/>
    <w:rsid w:val="002D4AC2"/>
    <w:rsid w:val="002D4CC6"/>
    <w:rsid w:val="002D4FDE"/>
    <w:rsid w:val="002D504D"/>
    <w:rsid w:val="002D51A6"/>
    <w:rsid w:val="002D5956"/>
    <w:rsid w:val="002D6804"/>
    <w:rsid w:val="002D68B0"/>
    <w:rsid w:val="002D6ECB"/>
    <w:rsid w:val="002D6FE9"/>
    <w:rsid w:val="002D7130"/>
    <w:rsid w:val="002D7335"/>
    <w:rsid w:val="002D73FD"/>
    <w:rsid w:val="002D75BD"/>
    <w:rsid w:val="002D7B74"/>
    <w:rsid w:val="002D7B91"/>
    <w:rsid w:val="002E0595"/>
    <w:rsid w:val="002E0B36"/>
    <w:rsid w:val="002E0BA9"/>
    <w:rsid w:val="002E0C2F"/>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675"/>
    <w:rsid w:val="002E3B20"/>
    <w:rsid w:val="002E3D38"/>
    <w:rsid w:val="002E3F64"/>
    <w:rsid w:val="002E4255"/>
    <w:rsid w:val="002E442E"/>
    <w:rsid w:val="002E46D6"/>
    <w:rsid w:val="002E4AD9"/>
    <w:rsid w:val="002E508C"/>
    <w:rsid w:val="002E53B0"/>
    <w:rsid w:val="002E53B7"/>
    <w:rsid w:val="002E568E"/>
    <w:rsid w:val="002E569A"/>
    <w:rsid w:val="002E58A9"/>
    <w:rsid w:val="002E5A5D"/>
    <w:rsid w:val="002E6141"/>
    <w:rsid w:val="002E620A"/>
    <w:rsid w:val="002E69D3"/>
    <w:rsid w:val="002E6BEE"/>
    <w:rsid w:val="002E6D56"/>
    <w:rsid w:val="002E6F84"/>
    <w:rsid w:val="002E750E"/>
    <w:rsid w:val="002E769C"/>
    <w:rsid w:val="002E76EE"/>
    <w:rsid w:val="002E79BB"/>
    <w:rsid w:val="002E7FCE"/>
    <w:rsid w:val="002F0127"/>
    <w:rsid w:val="002F019B"/>
    <w:rsid w:val="002F02AB"/>
    <w:rsid w:val="002F035E"/>
    <w:rsid w:val="002F03BA"/>
    <w:rsid w:val="002F0659"/>
    <w:rsid w:val="002F0C17"/>
    <w:rsid w:val="002F12B5"/>
    <w:rsid w:val="002F136D"/>
    <w:rsid w:val="002F14D3"/>
    <w:rsid w:val="002F14FF"/>
    <w:rsid w:val="002F159D"/>
    <w:rsid w:val="002F1662"/>
    <w:rsid w:val="002F183A"/>
    <w:rsid w:val="002F211B"/>
    <w:rsid w:val="002F2577"/>
    <w:rsid w:val="002F2625"/>
    <w:rsid w:val="002F2A5B"/>
    <w:rsid w:val="002F2E08"/>
    <w:rsid w:val="002F2E88"/>
    <w:rsid w:val="002F3052"/>
    <w:rsid w:val="002F3472"/>
    <w:rsid w:val="002F35F5"/>
    <w:rsid w:val="002F3727"/>
    <w:rsid w:val="002F4557"/>
    <w:rsid w:val="002F4662"/>
    <w:rsid w:val="002F483D"/>
    <w:rsid w:val="002F4867"/>
    <w:rsid w:val="002F48D1"/>
    <w:rsid w:val="002F559B"/>
    <w:rsid w:val="002F5931"/>
    <w:rsid w:val="002F5986"/>
    <w:rsid w:val="002F5CCB"/>
    <w:rsid w:val="002F5DE4"/>
    <w:rsid w:val="002F5FD9"/>
    <w:rsid w:val="002F6166"/>
    <w:rsid w:val="002F61F2"/>
    <w:rsid w:val="002F6566"/>
    <w:rsid w:val="002F65D1"/>
    <w:rsid w:val="002F66F9"/>
    <w:rsid w:val="002F6922"/>
    <w:rsid w:val="002F79B1"/>
    <w:rsid w:val="002F79B5"/>
    <w:rsid w:val="002F7A0A"/>
    <w:rsid w:val="002F7BA9"/>
    <w:rsid w:val="002F7C97"/>
    <w:rsid w:val="002F7CE0"/>
    <w:rsid w:val="002F7D87"/>
    <w:rsid w:val="00300001"/>
    <w:rsid w:val="0030023B"/>
    <w:rsid w:val="00300384"/>
    <w:rsid w:val="00300C7A"/>
    <w:rsid w:val="003010B2"/>
    <w:rsid w:val="00301976"/>
    <w:rsid w:val="00301B19"/>
    <w:rsid w:val="00301B33"/>
    <w:rsid w:val="00301B52"/>
    <w:rsid w:val="00302545"/>
    <w:rsid w:val="003026E8"/>
    <w:rsid w:val="00302B98"/>
    <w:rsid w:val="00302C00"/>
    <w:rsid w:val="00302D51"/>
    <w:rsid w:val="00302D74"/>
    <w:rsid w:val="00302DEF"/>
    <w:rsid w:val="00302F9C"/>
    <w:rsid w:val="003032A2"/>
    <w:rsid w:val="0030330A"/>
    <w:rsid w:val="0030337B"/>
    <w:rsid w:val="0030397E"/>
    <w:rsid w:val="00303A80"/>
    <w:rsid w:val="00303DF2"/>
    <w:rsid w:val="00303EA3"/>
    <w:rsid w:val="00303F42"/>
    <w:rsid w:val="00303FE3"/>
    <w:rsid w:val="003040A6"/>
    <w:rsid w:val="00304170"/>
    <w:rsid w:val="003041C2"/>
    <w:rsid w:val="003043CB"/>
    <w:rsid w:val="003044C8"/>
    <w:rsid w:val="00304A43"/>
    <w:rsid w:val="003054EC"/>
    <w:rsid w:val="0030567E"/>
    <w:rsid w:val="00305698"/>
    <w:rsid w:val="003059A5"/>
    <w:rsid w:val="00305A3D"/>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335"/>
    <w:rsid w:val="003114A3"/>
    <w:rsid w:val="00311A83"/>
    <w:rsid w:val="00311C2D"/>
    <w:rsid w:val="00311E44"/>
    <w:rsid w:val="0031203A"/>
    <w:rsid w:val="003121E5"/>
    <w:rsid w:val="0031257F"/>
    <w:rsid w:val="00312761"/>
    <w:rsid w:val="003127A2"/>
    <w:rsid w:val="00312B56"/>
    <w:rsid w:val="00312C14"/>
    <w:rsid w:val="00312D5D"/>
    <w:rsid w:val="00312F4A"/>
    <w:rsid w:val="00312F85"/>
    <w:rsid w:val="0031321B"/>
    <w:rsid w:val="003132AD"/>
    <w:rsid w:val="00313366"/>
    <w:rsid w:val="003139F9"/>
    <w:rsid w:val="00313C93"/>
    <w:rsid w:val="00313E88"/>
    <w:rsid w:val="00313EC3"/>
    <w:rsid w:val="0031403B"/>
    <w:rsid w:val="00314049"/>
    <w:rsid w:val="0031431B"/>
    <w:rsid w:val="003143D4"/>
    <w:rsid w:val="003143E1"/>
    <w:rsid w:val="00314477"/>
    <w:rsid w:val="003144E2"/>
    <w:rsid w:val="00314605"/>
    <w:rsid w:val="00314888"/>
    <w:rsid w:val="00314AA9"/>
    <w:rsid w:val="00314ACE"/>
    <w:rsid w:val="0031504E"/>
    <w:rsid w:val="003150F8"/>
    <w:rsid w:val="00315379"/>
    <w:rsid w:val="00315412"/>
    <w:rsid w:val="003154C9"/>
    <w:rsid w:val="00315AF4"/>
    <w:rsid w:val="00315B24"/>
    <w:rsid w:val="00316A17"/>
    <w:rsid w:val="00316DFC"/>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CB8"/>
    <w:rsid w:val="00322E5D"/>
    <w:rsid w:val="0032326D"/>
    <w:rsid w:val="0032364D"/>
    <w:rsid w:val="00323A4A"/>
    <w:rsid w:val="00323DC8"/>
    <w:rsid w:val="00323E6A"/>
    <w:rsid w:val="00324192"/>
    <w:rsid w:val="003245D7"/>
    <w:rsid w:val="003247C9"/>
    <w:rsid w:val="00324AE5"/>
    <w:rsid w:val="00324D7F"/>
    <w:rsid w:val="00324E2E"/>
    <w:rsid w:val="0032505F"/>
    <w:rsid w:val="003253AE"/>
    <w:rsid w:val="00325B30"/>
    <w:rsid w:val="00325B31"/>
    <w:rsid w:val="00325DEE"/>
    <w:rsid w:val="003260A2"/>
    <w:rsid w:val="0032621C"/>
    <w:rsid w:val="00326291"/>
    <w:rsid w:val="003266A1"/>
    <w:rsid w:val="003268DE"/>
    <w:rsid w:val="00326A4B"/>
    <w:rsid w:val="00326A9F"/>
    <w:rsid w:val="00326B06"/>
    <w:rsid w:val="00326BBE"/>
    <w:rsid w:val="00326BD1"/>
    <w:rsid w:val="003272CC"/>
    <w:rsid w:val="00327387"/>
    <w:rsid w:val="00327892"/>
    <w:rsid w:val="00327C74"/>
    <w:rsid w:val="00327EE8"/>
    <w:rsid w:val="00327F7B"/>
    <w:rsid w:val="0033024E"/>
    <w:rsid w:val="00330A51"/>
    <w:rsid w:val="00331305"/>
    <w:rsid w:val="003313E9"/>
    <w:rsid w:val="003314C1"/>
    <w:rsid w:val="003314F5"/>
    <w:rsid w:val="003317B2"/>
    <w:rsid w:val="00331A32"/>
    <w:rsid w:val="00331EF5"/>
    <w:rsid w:val="003321D1"/>
    <w:rsid w:val="00332552"/>
    <w:rsid w:val="0033266C"/>
    <w:rsid w:val="003327C4"/>
    <w:rsid w:val="00332BB2"/>
    <w:rsid w:val="00332D4F"/>
    <w:rsid w:val="00332DDB"/>
    <w:rsid w:val="00332FEC"/>
    <w:rsid w:val="00332FF2"/>
    <w:rsid w:val="00333343"/>
    <w:rsid w:val="0033376F"/>
    <w:rsid w:val="0033386D"/>
    <w:rsid w:val="00333B91"/>
    <w:rsid w:val="00333B9A"/>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2C6"/>
    <w:rsid w:val="00337452"/>
    <w:rsid w:val="00337879"/>
    <w:rsid w:val="00337CBE"/>
    <w:rsid w:val="00337D70"/>
    <w:rsid w:val="00337DBE"/>
    <w:rsid w:val="003402D0"/>
    <w:rsid w:val="003405C7"/>
    <w:rsid w:val="00340DF2"/>
    <w:rsid w:val="00340E7B"/>
    <w:rsid w:val="00341273"/>
    <w:rsid w:val="003417E9"/>
    <w:rsid w:val="003419F0"/>
    <w:rsid w:val="00341DBA"/>
    <w:rsid w:val="00341DF1"/>
    <w:rsid w:val="00341ED1"/>
    <w:rsid w:val="00341FA5"/>
    <w:rsid w:val="003426FF"/>
    <w:rsid w:val="0034275B"/>
    <w:rsid w:val="00342951"/>
    <w:rsid w:val="003429E2"/>
    <w:rsid w:val="00342B30"/>
    <w:rsid w:val="00342DE5"/>
    <w:rsid w:val="00342FF4"/>
    <w:rsid w:val="003430CB"/>
    <w:rsid w:val="00343199"/>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D53"/>
    <w:rsid w:val="00347E06"/>
    <w:rsid w:val="00350559"/>
    <w:rsid w:val="0035057B"/>
    <w:rsid w:val="00350753"/>
    <w:rsid w:val="003507C8"/>
    <w:rsid w:val="00350903"/>
    <w:rsid w:val="0035094E"/>
    <w:rsid w:val="00350A79"/>
    <w:rsid w:val="00350BF3"/>
    <w:rsid w:val="00350D02"/>
    <w:rsid w:val="00351478"/>
    <w:rsid w:val="0035147C"/>
    <w:rsid w:val="003515A8"/>
    <w:rsid w:val="003518E1"/>
    <w:rsid w:val="003518EF"/>
    <w:rsid w:val="00352325"/>
    <w:rsid w:val="0035246F"/>
    <w:rsid w:val="00352571"/>
    <w:rsid w:val="0035264F"/>
    <w:rsid w:val="00352891"/>
    <w:rsid w:val="00352942"/>
    <w:rsid w:val="00352D1D"/>
    <w:rsid w:val="00352D57"/>
    <w:rsid w:val="00353C27"/>
    <w:rsid w:val="00353F07"/>
    <w:rsid w:val="003541D3"/>
    <w:rsid w:val="00354370"/>
    <w:rsid w:val="00354505"/>
    <w:rsid w:val="00354734"/>
    <w:rsid w:val="00355139"/>
    <w:rsid w:val="00355148"/>
    <w:rsid w:val="00355231"/>
    <w:rsid w:val="0035585F"/>
    <w:rsid w:val="00355C62"/>
    <w:rsid w:val="00355E7D"/>
    <w:rsid w:val="00355F66"/>
    <w:rsid w:val="003566F9"/>
    <w:rsid w:val="003567A7"/>
    <w:rsid w:val="003568FB"/>
    <w:rsid w:val="003569EF"/>
    <w:rsid w:val="00356C4A"/>
    <w:rsid w:val="00356D2A"/>
    <w:rsid w:val="00356EB1"/>
    <w:rsid w:val="00356FEE"/>
    <w:rsid w:val="00357209"/>
    <w:rsid w:val="00357B2C"/>
    <w:rsid w:val="00357B88"/>
    <w:rsid w:val="00357FD9"/>
    <w:rsid w:val="0036013B"/>
    <w:rsid w:val="00360200"/>
    <w:rsid w:val="00360452"/>
    <w:rsid w:val="00360A9B"/>
    <w:rsid w:val="00360B36"/>
    <w:rsid w:val="00360D8E"/>
    <w:rsid w:val="00361032"/>
    <w:rsid w:val="00361E64"/>
    <w:rsid w:val="00361FE3"/>
    <w:rsid w:val="00362172"/>
    <w:rsid w:val="00362235"/>
    <w:rsid w:val="003625B5"/>
    <w:rsid w:val="003626F0"/>
    <w:rsid w:val="00362A10"/>
    <w:rsid w:val="00362DC9"/>
    <w:rsid w:val="00363293"/>
    <w:rsid w:val="00363392"/>
    <w:rsid w:val="003633A0"/>
    <w:rsid w:val="00363D99"/>
    <w:rsid w:val="00363DAF"/>
    <w:rsid w:val="00363EB6"/>
    <w:rsid w:val="00363EBC"/>
    <w:rsid w:val="003641EC"/>
    <w:rsid w:val="0036433B"/>
    <w:rsid w:val="003646BE"/>
    <w:rsid w:val="00364B32"/>
    <w:rsid w:val="00364D1E"/>
    <w:rsid w:val="0036573B"/>
    <w:rsid w:val="00365CA6"/>
    <w:rsid w:val="00365CE8"/>
    <w:rsid w:val="00365D4D"/>
    <w:rsid w:val="00365F50"/>
    <w:rsid w:val="00365FA1"/>
    <w:rsid w:val="0036626E"/>
    <w:rsid w:val="003663D4"/>
    <w:rsid w:val="00366B03"/>
    <w:rsid w:val="0036720A"/>
    <w:rsid w:val="0036730F"/>
    <w:rsid w:val="0036741A"/>
    <w:rsid w:val="0036773F"/>
    <w:rsid w:val="00367CE6"/>
    <w:rsid w:val="0037052C"/>
    <w:rsid w:val="0037101E"/>
    <w:rsid w:val="00371317"/>
    <w:rsid w:val="00371373"/>
    <w:rsid w:val="0037137F"/>
    <w:rsid w:val="0037199E"/>
    <w:rsid w:val="00371B9B"/>
    <w:rsid w:val="00371BF7"/>
    <w:rsid w:val="00371D77"/>
    <w:rsid w:val="00371F12"/>
    <w:rsid w:val="0037232D"/>
    <w:rsid w:val="00372479"/>
    <w:rsid w:val="00372A05"/>
    <w:rsid w:val="00372E7B"/>
    <w:rsid w:val="00373219"/>
    <w:rsid w:val="003732DF"/>
    <w:rsid w:val="00373550"/>
    <w:rsid w:val="00373733"/>
    <w:rsid w:val="003737C1"/>
    <w:rsid w:val="00373A4A"/>
    <w:rsid w:val="00373EB0"/>
    <w:rsid w:val="00373F8C"/>
    <w:rsid w:val="00374286"/>
    <w:rsid w:val="0037457B"/>
    <w:rsid w:val="003746C5"/>
    <w:rsid w:val="00374FEA"/>
    <w:rsid w:val="003751CB"/>
    <w:rsid w:val="003755C9"/>
    <w:rsid w:val="00375BC7"/>
    <w:rsid w:val="00376266"/>
    <w:rsid w:val="003763C6"/>
    <w:rsid w:val="0037661C"/>
    <w:rsid w:val="00376E3D"/>
    <w:rsid w:val="00377323"/>
    <w:rsid w:val="00377CDD"/>
    <w:rsid w:val="00377F7F"/>
    <w:rsid w:val="003800A9"/>
    <w:rsid w:val="003801DA"/>
    <w:rsid w:val="00380290"/>
    <w:rsid w:val="00380940"/>
    <w:rsid w:val="00380985"/>
    <w:rsid w:val="00380C53"/>
    <w:rsid w:val="00381342"/>
    <w:rsid w:val="00381999"/>
    <w:rsid w:val="003819FF"/>
    <w:rsid w:val="00381B11"/>
    <w:rsid w:val="00381B3F"/>
    <w:rsid w:val="00381B7F"/>
    <w:rsid w:val="00381CA8"/>
    <w:rsid w:val="003820A9"/>
    <w:rsid w:val="003821A8"/>
    <w:rsid w:val="003822C8"/>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E8"/>
    <w:rsid w:val="003841C2"/>
    <w:rsid w:val="00384414"/>
    <w:rsid w:val="0038452B"/>
    <w:rsid w:val="003846FD"/>
    <w:rsid w:val="00384BAA"/>
    <w:rsid w:val="00384C0D"/>
    <w:rsid w:val="00384D47"/>
    <w:rsid w:val="00384E0B"/>
    <w:rsid w:val="00385468"/>
    <w:rsid w:val="003854EB"/>
    <w:rsid w:val="0038587E"/>
    <w:rsid w:val="00385922"/>
    <w:rsid w:val="00385C0D"/>
    <w:rsid w:val="00385D69"/>
    <w:rsid w:val="00385F27"/>
    <w:rsid w:val="00386AC0"/>
    <w:rsid w:val="003871B9"/>
    <w:rsid w:val="00387387"/>
    <w:rsid w:val="003878DB"/>
    <w:rsid w:val="003879AA"/>
    <w:rsid w:val="00387A49"/>
    <w:rsid w:val="00387A70"/>
    <w:rsid w:val="00387F7A"/>
    <w:rsid w:val="003905C2"/>
    <w:rsid w:val="003907F6"/>
    <w:rsid w:val="003908DC"/>
    <w:rsid w:val="003908F6"/>
    <w:rsid w:val="00390B7E"/>
    <w:rsid w:val="00390DDE"/>
    <w:rsid w:val="0039138C"/>
    <w:rsid w:val="0039143C"/>
    <w:rsid w:val="0039184C"/>
    <w:rsid w:val="00391FA6"/>
    <w:rsid w:val="003921A5"/>
    <w:rsid w:val="00392495"/>
    <w:rsid w:val="00392758"/>
    <w:rsid w:val="00392A25"/>
    <w:rsid w:val="00392FC1"/>
    <w:rsid w:val="0039338C"/>
    <w:rsid w:val="0039373A"/>
    <w:rsid w:val="00393C06"/>
    <w:rsid w:val="00393DCD"/>
    <w:rsid w:val="00393E01"/>
    <w:rsid w:val="00393E4C"/>
    <w:rsid w:val="00394A71"/>
    <w:rsid w:val="00394B01"/>
    <w:rsid w:val="00394B8C"/>
    <w:rsid w:val="00394D17"/>
    <w:rsid w:val="00394FE1"/>
    <w:rsid w:val="0039510F"/>
    <w:rsid w:val="0039511A"/>
    <w:rsid w:val="00395141"/>
    <w:rsid w:val="00395778"/>
    <w:rsid w:val="0039578B"/>
    <w:rsid w:val="00395C1F"/>
    <w:rsid w:val="00395DAB"/>
    <w:rsid w:val="003962DF"/>
    <w:rsid w:val="003963EB"/>
    <w:rsid w:val="00396887"/>
    <w:rsid w:val="00396A71"/>
    <w:rsid w:val="00396C4B"/>
    <w:rsid w:val="00397030"/>
    <w:rsid w:val="003973E4"/>
    <w:rsid w:val="0039789B"/>
    <w:rsid w:val="00397C1B"/>
    <w:rsid w:val="003A011F"/>
    <w:rsid w:val="003A06AF"/>
    <w:rsid w:val="003A07FF"/>
    <w:rsid w:val="003A0A65"/>
    <w:rsid w:val="003A0B01"/>
    <w:rsid w:val="003A0C7F"/>
    <w:rsid w:val="003A0D82"/>
    <w:rsid w:val="003A0D90"/>
    <w:rsid w:val="003A0E46"/>
    <w:rsid w:val="003A1356"/>
    <w:rsid w:val="003A151C"/>
    <w:rsid w:val="003A15A9"/>
    <w:rsid w:val="003A1704"/>
    <w:rsid w:val="003A1F45"/>
    <w:rsid w:val="003A1F4F"/>
    <w:rsid w:val="003A2138"/>
    <w:rsid w:val="003A23E4"/>
    <w:rsid w:val="003A28EA"/>
    <w:rsid w:val="003A29ED"/>
    <w:rsid w:val="003A2B1B"/>
    <w:rsid w:val="003A2B5A"/>
    <w:rsid w:val="003A33EA"/>
    <w:rsid w:val="003A3432"/>
    <w:rsid w:val="003A34A5"/>
    <w:rsid w:val="003A3593"/>
    <w:rsid w:val="003A3928"/>
    <w:rsid w:val="003A3E48"/>
    <w:rsid w:val="003A4089"/>
    <w:rsid w:val="003A421C"/>
    <w:rsid w:val="003A4433"/>
    <w:rsid w:val="003A4B0B"/>
    <w:rsid w:val="003A4E4D"/>
    <w:rsid w:val="003A511D"/>
    <w:rsid w:val="003A595A"/>
    <w:rsid w:val="003A5B63"/>
    <w:rsid w:val="003A5BFA"/>
    <w:rsid w:val="003A5C0B"/>
    <w:rsid w:val="003A60AC"/>
    <w:rsid w:val="003A66DB"/>
    <w:rsid w:val="003A6838"/>
    <w:rsid w:val="003A683A"/>
    <w:rsid w:val="003A6BD2"/>
    <w:rsid w:val="003A6D1D"/>
    <w:rsid w:val="003A7306"/>
    <w:rsid w:val="003A7350"/>
    <w:rsid w:val="003A7489"/>
    <w:rsid w:val="003A779B"/>
    <w:rsid w:val="003A78F7"/>
    <w:rsid w:val="003A79B5"/>
    <w:rsid w:val="003A7C4F"/>
    <w:rsid w:val="003A7D31"/>
    <w:rsid w:val="003A7DBC"/>
    <w:rsid w:val="003A7FF2"/>
    <w:rsid w:val="003B01AA"/>
    <w:rsid w:val="003B01DA"/>
    <w:rsid w:val="003B054C"/>
    <w:rsid w:val="003B06B5"/>
    <w:rsid w:val="003B0803"/>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83B"/>
    <w:rsid w:val="003B3863"/>
    <w:rsid w:val="003B3B92"/>
    <w:rsid w:val="003B47C0"/>
    <w:rsid w:val="003B490B"/>
    <w:rsid w:val="003B4FEA"/>
    <w:rsid w:val="003B50CE"/>
    <w:rsid w:val="003B5238"/>
    <w:rsid w:val="003B57F2"/>
    <w:rsid w:val="003B5C1B"/>
    <w:rsid w:val="003B5DC1"/>
    <w:rsid w:val="003B6013"/>
    <w:rsid w:val="003B6022"/>
    <w:rsid w:val="003B608D"/>
    <w:rsid w:val="003B625F"/>
    <w:rsid w:val="003B62C6"/>
    <w:rsid w:val="003B62DA"/>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A93"/>
    <w:rsid w:val="003C0D13"/>
    <w:rsid w:val="003C111F"/>
    <w:rsid w:val="003C1317"/>
    <w:rsid w:val="003C16B4"/>
    <w:rsid w:val="003C1710"/>
    <w:rsid w:val="003C190C"/>
    <w:rsid w:val="003C20F8"/>
    <w:rsid w:val="003C2102"/>
    <w:rsid w:val="003C2471"/>
    <w:rsid w:val="003C288C"/>
    <w:rsid w:val="003C290A"/>
    <w:rsid w:val="003C2BDE"/>
    <w:rsid w:val="003C2D1A"/>
    <w:rsid w:val="003C2D8D"/>
    <w:rsid w:val="003C2E33"/>
    <w:rsid w:val="003C3040"/>
    <w:rsid w:val="003C3263"/>
    <w:rsid w:val="003C384B"/>
    <w:rsid w:val="003C384D"/>
    <w:rsid w:val="003C3CEA"/>
    <w:rsid w:val="003C48A0"/>
    <w:rsid w:val="003C4ABC"/>
    <w:rsid w:val="003C4D39"/>
    <w:rsid w:val="003C56AC"/>
    <w:rsid w:val="003C59DA"/>
    <w:rsid w:val="003C5A43"/>
    <w:rsid w:val="003C5BAA"/>
    <w:rsid w:val="003C5E07"/>
    <w:rsid w:val="003C5E9D"/>
    <w:rsid w:val="003C648F"/>
    <w:rsid w:val="003C681D"/>
    <w:rsid w:val="003C6874"/>
    <w:rsid w:val="003C69A2"/>
    <w:rsid w:val="003C69AC"/>
    <w:rsid w:val="003C708B"/>
    <w:rsid w:val="003C72D3"/>
    <w:rsid w:val="003C767E"/>
    <w:rsid w:val="003C7811"/>
    <w:rsid w:val="003C7B78"/>
    <w:rsid w:val="003C7BC6"/>
    <w:rsid w:val="003C7CBA"/>
    <w:rsid w:val="003C7DC8"/>
    <w:rsid w:val="003C7F70"/>
    <w:rsid w:val="003D052B"/>
    <w:rsid w:val="003D0823"/>
    <w:rsid w:val="003D095E"/>
    <w:rsid w:val="003D0BA3"/>
    <w:rsid w:val="003D0C3E"/>
    <w:rsid w:val="003D0C61"/>
    <w:rsid w:val="003D0D5B"/>
    <w:rsid w:val="003D0DC7"/>
    <w:rsid w:val="003D0FDC"/>
    <w:rsid w:val="003D1289"/>
    <w:rsid w:val="003D1739"/>
    <w:rsid w:val="003D193D"/>
    <w:rsid w:val="003D21DB"/>
    <w:rsid w:val="003D220C"/>
    <w:rsid w:val="003D22D6"/>
    <w:rsid w:val="003D230C"/>
    <w:rsid w:val="003D26DB"/>
    <w:rsid w:val="003D2B25"/>
    <w:rsid w:val="003D2BEC"/>
    <w:rsid w:val="003D2EFA"/>
    <w:rsid w:val="003D300F"/>
    <w:rsid w:val="003D3214"/>
    <w:rsid w:val="003D3670"/>
    <w:rsid w:val="003D38A2"/>
    <w:rsid w:val="003D3D82"/>
    <w:rsid w:val="003D4690"/>
    <w:rsid w:val="003D5793"/>
    <w:rsid w:val="003D5908"/>
    <w:rsid w:val="003D5E5F"/>
    <w:rsid w:val="003D606C"/>
    <w:rsid w:val="003D630E"/>
    <w:rsid w:val="003D633C"/>
    <w:rsid w:val="003D640A"/>
    <w:rsid w:val="003D64C1"/>
    <w:rsid w:val="003D651F"/>
    <w:rsid w:val="003D65B9"/>
    <w:rsid w:val="003D6753"/>
    <w:rsid w:val="003D6A0B"/>
    <w:rsid w:val="003D6AD9"/>
    <w:rsid w:val="003D6C42"/>
    <w:rsid w:val="003D6CE1"/>
    <w:rsid w:val="003D6DE2"/>
    <w:rsid w:val="003D781C"/>
    <w:rsid w:val="003D7988"/>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541"/>
    <w:rsid w:val="003E26CD"/>
    <w:rsid w:val="003E297C"/>
    <w:rsid w:val="003E3588"/>
    <w:rsid w:val="003E3F2B"/>
    <w:rsid w:val="003E42B0"/>
    <w:rsid w:val="003E42F9"/>
    <w:rsid w:val="003E4373"/>
    <w:rsid w:val="003E4383"/>
    <w:rsid w:val="003E44F2"/>
    <w:rsid w:val="003E473C"/>
    <w:rsid w:val="003E4831"/>
    <w:rsid w:val="003E48F5"/>
    <w:rsid w:val="003E4BE3"/>
    <w:rsid w:val="003E4F54"/>
    <w:rsid w:val="003E5407"/>
    <w:rsid w:val="003E5637"/>
    <w:rsid w:val="003E6780"/>
    <w:rsid w:val="003E68E4"/>
    <w:rsid w:val="003E692C"/>
    <w:rsid w:val="003E6B5D"/>
    <w:rsid w:val="003E6EBD"/>
    <w:rsid w:val="003E6F8B"/>
    <w:rsid w:val="003E7118"/>
    <w:rsid w:val="003E713E"/>
    <w:rsid w:val="003E753A"/>
    <w:rsid w:val="003E7746"/>
    <w:rsid w:val="003E7A95"/>
    <w:rsid w:val="003E7DA5"/>
    <w:rsid w:val="003F0254"/>
    <w:rsid w:val="003F048C"/>
    <w:rsid w:val="003F0C86"/>
    <w:rsid w:val="003F1235"/>
    <w:rsid w:val="003F1684"/>
    <w:rsid w:val="003F1CD5"/>
    <w:rsid w:val="003F21A4"/>
    <w:rsid w:val="003F21E6"/>
    <w:rsid w:val="003F2292"/>
    <w:rsid w:val="003F2537"/>
    <w:rsid w:val="003F25C5"/>
    <w:rsid w:val="003F2C2E"/>
    <w:rsid w:val="003F3864"/>
    <w:rsid w:val="003F38BF"/>
    <w:rsid w:val="003F3F59"/>
    <w:rsid w:val="003F4064"/>
    <w:rsid w:val="003F41A3"/>
    <w:rsid w:val="003F4376"/>
    <w:rsid w:val="003F47B2"/>
    <w:rsid w:val="003F48C9"/>
    <w:rsid w:val="003F490D"/>
    <w:rsid w:val="003F498B"/>
    <w:rsid w:val="003F4E22"/>
    <w:rsid w:val="003F5678"/>
    <w:rsid w:val="003F5869"/>
    <w:rsid w:val="003F598D"/>
    <w:rsid w:val="003F5C99"/>
    <w:rsid w:val="003F5E02"/>
    <w:rsid w:val="003F6618"/>
    <w:rsid w:val="003F6B9C"/>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2D"/>
    <w:rsid w:val="004012C7"/>
    <w:rsid w:val="0040135B"/>
    <w:rsid w:val="004015B5"/>
    <w:rsid w:val="00401A15"/>
    <w:rsid w:val="00401BC9"/>
    <w:rsid w:val="00401D1A"/>
    <w:rsid w:val="0040273C"/>
    <w:rsid w:val="00402A70"/>
    <w:rsid w:val="00402CC3"/>
    <w:rsid w:val="00402F94"/>
    <w:rsid w:val="00403192"/>
    <w:rsid w:val="00403810"/>
    <w:rsid w:val="004038A9"/>
    <w:rsid w:val="00403B35"/>
    <w:rsid w:val="00403C1C"/>
    <w:rsid w:val="00403DF6"/>
    <w:rsid w:val="00403EE1"/>
    <w:rsid w:val="0040409D"/>
    <w:rsid w:val="004041F8"/>
    <w:rsid w:val="004043D5"/>
    <w:rsid w:val="0040468D"/>
    <w:rsid w:val="00404883"/>
    <w:rsid w:val="00404B0F"/>
    <w:rsid w:val="00404B15"/>
    <w:rsid w:val="00404D60"/>
    <w:rsid w:val="00404F4E"/>
    <w:rsid w:val="004051D5"/>
    <w:rsid w:val="00405274"/>
    <w:rsid w:val="004052EB"/>
    <w:rsid w:val="004052EC"/>
    <w:rsid w:val="004054FC"/>
    <w:rsid w:val="00405514"/>
    <w:rsid w:val="0040551D"/>
    <w:rsid w:val="004055A8"/>
    <w:rsid w:val="0040568B"/>
    <w:rsid w:val="004059D3"/>
    <w:rsid w:val="00405DB3"/>
    <w:rsid w:val="00405DCD"/>
    <w:rsid w:val="00405EA1"/>
    <w:rsid w:val="004060C0"/>
    <w:rsid w:val="0040613B"/>
    <w:rsid w:val="004063B0"/>
    <w:rsid w:val="004069C9"/>
    <w:rsid w:val="00406CB6"/>
    <w:rsid w:val="00407072"/>
    <w:rsid w:val="004073E6"/>
    <w:rsid w:val="0040740A"/>
    <w:rsid w:val="00407923"/>
    <w:rsid w:val="00407B49"/>
    <w:rsid w:val="00407BA4"/>
    <w:rsid w:val="00407D46"/>
    <w:rsid w:val="0041005E"/>
    <w:rsid w:val="0041010D"/>
    <w:rsid w:val="0041026A"/>
    <w:rsid w:val="004105F4"/>
    <w:rsid w:val="004107A7"/>
    <w:rsid w:val="004112AF"/>
    <w:rsid w:val="00411462"/>
    <w:rsid w:val="00411537"/>
    <w:rsid w:val="00411686"/>
    <w:rsid w:val="004117BD"/>
    <w:rsid w:val="00411903"/>
    <w:rsid w:val="00411E8D"/>
    <w:rsid w:val="0041222C"/>
    <w:rsid w:val="004122C4"/>
    <w:rsid w:val="00412707"/>
    <w:rsid w:val="004128A6"/>
    <w:rsid w:val="0041316E"/>
    <w:rsid w:val="0041341D"/>
    <w:rsid w:val="00413725"/>
    <w:rsid w:val="00413DA5"/>
    <w:rsid w:val="00413E30"/>
    <w:rsid w:val="0041404D"/>
    <w:rsid w:val="00414755"/>
    <w:rsid w:val="00414977"/>
    <w:rsid w:val="00414D1E"/>
    <w:rsid w:val="00414D8F"/>
    <w:rsid w:val="00414E82"/>
    <w:rsid w:val="004152A6"/>
    <w:rsid w:val="0041555D"/>
    <w:rsid w:val="00415680"/>
    <w:rsid w:val="0041590D"/>
    <w:rsid w:val="00415F7E"/>
    <w:rsid w:val="00416627"/>
    <w:rsid w:val="00416675"/>
    <w:rsid w:val="0041682A"/>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262"/>
    <w:rsid w:val="00421355"/>
    <w:rsid w:val="004214AF"/>
    <w:rsid w:val="004215F3"/>
    <w:rsid w:val="00421D97"/>
    <w:rsid w:val="004220DD"/>
    <w:rsid w:val="0042214C"/>
    <w:rsid w:val="004224D1"/>
    <w:rsid w:val="004225FD"/>
    <w:rsid w:val="004227B7"/>
    <w:rsid w:val="00422AD4"/>
    <w:rsid w:val="00423158"/>
    <w:rsid w:val="004231EF"/>
    <w:rsid w:val="00423561"/>
    <w:rsid w:val="00423701"/>
    <w:rsid w:val="004242C9"/>
    <w:rsid w:val="004244E0"/>
    <w:rsid w:val="00424928"/>
    <w:rsid w:val="00424936"/>
    <w:rsid w:val="00424A2D"/>
    <w:rsid w:val="00424BAE"/>
    <w:rsid w:val="0042502E"/>
    <w:rsid w:val="00425069"/>
    <w:rsid w:val="00425259"/>
    <w:rsid w:val="004252D9"/>
    <w:rsid w:val="0042555C"/>
    <w:rsid w:val="00425702"/>
    <w:rsid w:val="00425706"/>
    <w:rsid w:val="004259D6"/>
    <w:rsid w:val="00425A6F"/>
    <w:rsid w:val="00425A86"/>
    <w:rsid w:val="00425B0E"/>
    <w:rsid w:val="00425EEC"/>
    <w:rsid w:val="00426172"/>
    <w:rsid w:val="0042619C"/>
    <w:rsid w:val="004261D2"/>
    <w:rsid w:val="004263A2"/>
    <w:rsid w:val="0042676A"/>
    <w:rsid w:val="00426C34"/>
    <w:rsid w:val="00426D1D"/>
    <w:rsid w:val="00426EB2"/>
    <w:rsid w:val="00426F51"/>
    <w:rsid w:val="0042704B"/>
    <w:rsid w:val="00427099"/>
    <w:rsid w:val="004271DD"/>
    <w:rsid w:val="00427B66"/>
    <w:rsid w:val="00427E8B"/>
    <w:rsid w:val="004301FD"/>
    <w:rsid w:val="00430329"/>
    <w:rsid w:val="0043095A"/>
    <w:rsid w:val="00430B17"/>
    <w:rsid w:val="00430F5F"/>
    <w:rsid w:val="00431123"/>
    <w:rsid w:val="004314C4"/>
    <w:rsid w:val="004318F6"/>
    <w:rsid w:val="00431EB0"/>
    <w:rsid w:val="00431EBC"/>
    <w:rsid w:val="0043226E"/>
    <w:rsid w:val="0043243D"/>
    <w:rsid w:val="00432944"/>
    <w:rsid w:val="00432F5D"/>
    <w:rsid w:val="00432F6F"/>
    <w:rsid w:val="00432F76"/>
    <w:rsid w:val="00432FB6"/>
    <w:rsid w:val="0043312A"/>
    <w:rsid w:val="0043314C"/>
    <w:rsid w:val="0043349B"/>
    <w:rsid w:val="004334B1"/>
    <w:rsid w:val="00433AB9"/>
    <w:rsid w:val="00433C21"/>
    <w:rsid w:val="00434402"/>
    <w:rsid w:val="00434626"/>
    <w:rsid w:val="004348F0"/>
    <w:rsid w:val="00434B99"/>
    <w:rsid w:val="004353D4"/>
    <w:rsid w:val="00435C60"/>
    <w:rsid w:val="0043625F"/>
    <w:rsid w:val="0043627F"/>
    <w:rsid w:val="00436C5C"/>
    <w:rsid w:val="00436F0D"/>
    <w:rsid w:val="00436F59"/>
    <w:rsid w:val="0043715B"/>
    <w:rsid w:val="004373B0"/>
    <w:rsid w:val="0043778B"/>
    <w:rsid w:val="00437B06"/>
    <w:rsid w:val="00437B4B"/>
    <w:rsid w:val="00437E3E"/>
    <w:rsid w:val="00437F82"/>
    <w:rsid w:val="00440176"/>
    <w:rsid w:val="00440395"/>
    <w:rsid w:val="0044065F"/>
    <w:rsid w:val="0044082D"/>
    <w:rsid w:val="0044089A"/>
    <w:rsid w:val="00440E6A"/>
    <w:rsid w:val="004411C6"/>
    <w:rsid w:val="00441CCD"/>
    <w:rsid w:val="00441F51"/>
    <w:rsid w:val="0044225F"/>
    <w:rsid w:val="0044238E"/>
    <w:rsid w:val="004424E8"/>
    <w:rsid w:val="004425E2"/>
    <w:rsid w:val="004427C4"/>
    <w:rsid w:val="004428E2"/>
    <w:rsid w:val="00442AFE"/>
    <w:rsid w:val="004434FB"/>
    <w:rsid w:val="004435E9"/>
    <w:rsid w:val="0044377B"/>
    <w:rsid w:val="00443B64"/>
    <w:rsid w:val="00443B96"/>
    <w:rsid w:val="00443C18"/>
    <w:rsid w:val="00443EE0"/>
    <w:rsid w:val="0044407D"/>
    <w:rsid w:val="0044426A"/>
    <w:rsid w:val="004446B9"/>
    <w:rsid w:val="0044473F"/>
    <w:rsid w:val="00444D6B"/>
    <w:rsid w:val="00444E00"/>
    <w:rsid w:val="00444EE6"/>
    <w:rsid w:val="00445094"/>
    <w:rsid w:val="004450C1"/>
    <w:rsid w:val="004456A7"/>
    <w:rsid w:val="004462A8"/>
    <w:rsid w:val="004462E7"/>
    <w:rsid w:val="00446F6D"/>
    <w:rsid w:val="00446F9B"/>
    <w:rsid w:val="00447110"/>
    <w:rsid w:val="004471D6"/>
    <w:rsid w:val="00447340"/>
    <w:rsid w:val="00447484"/>
    <w:rsid w:val="004478AD"/>
    <w:rsid w:val="00447CBC"/>
    <w:rsid w:val="00447F4F"/>
    <w:rsid w:val="00447F73"/>
    <w:rsid w:val="00447FFC"/>
    <w:rsid w:val="00450028"/>
    <w:rsid w:val="004501FF"/>
    <w:rsid w:val="004502AB"/>
    <w:rsid w:val="0045059C"/>
    <w:rsid w:val="00450A38"/>
    <w:rsid w:val="00450CB5"/>
    <w:rsid w:val="00450D2D"/>
    <w:rsid w:val="004510BB"/>
    <w:rsid w:val="004512C0"/>
    <w:rsid w:val="0045182C"/>
    <w:rsid w:val="004519DB"/>
    <w:rsid w:val="00451AA9"/>
    <w:rsid w:val="00451B8C"/>
    <w:rsid w:val="00451F93"/>
    <w:rsid w:val="0045224B"/>
    <w:rsid w:val="00452305"/>
    <w:rsid w:val="0045235C"/>
    <w:rsid w:val="00452467"/>
    <w:rsid w:val="004524F9"/>
    <w:rsid w:val="00452940"/>
    <w:rsid w:val="00452B1A"/>
    <w:rsid w:val="00452B3B"/>
    <w:rsid w:val="004536AA"/>
    <w:rsid w:val="00453C3C"/>
    <w:rsid w:val="00453E4E"/>
    <w:rsid w:val="00453E97"/>
    <w:rsid w:val="00453EF5"/>
    <w:rsid w:val="00453F57"/>
    <w:rsid w:val="00454455"/>
    <w:rsid w:val="0045450F"/>
    <w:rsid w:val="0045457B"/>
    <w:rsid w:val="004546B9"/>
    <w:rsid w:val="00454750"/>
    <w:rsid w:val="004549D6"/>
    <w:rsid w:val="004557D5"/>
    <w:rsid w:val="00455CDC"/>
    <w:rsid w:val="00455E0E"/>
    <w:rsid w:val="00456007"/>
    <w:rsid w:val="004562AF"/>
    <w:rsid w:val="004562CB"/>
    <w:rsid w:val="0045630A"/>
    <w:rsid w:val="004564E4"/>
    <w:rsid w:val="004566F1"/>
    <w:rsid w:val="0045687F"/>
    <w:rsid w:val="00456A99"/>
    <w:rsid w:val="00456F28"/>
    <w:rsid w:val="00457179"/>
    <w:rsid w:val="0045723B"/>
    <w:rsid w:val="004574D9"/>
    <w:rsid w:val="004576DA"/>
    <w:rsid w:val="00457BA1"/>
    <w:rsid w:val="00457CFF"/>
    <w:rsid w:val="0046049E"/>
    <w:rsid w:val="004606F9"/>
    <w:rsid w:val="00460768"/>
    <w:rsid w:val="004609AB"/>
    <w:rsid w:val="00460D14"/>
    <w:rsid w:val="00460E82"/>
    <w:rsid w:val="004611C0"/>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BE"/>
    <w:rsid w:val="00464CB8"/>
    <w:rsid w:val="00464DD0"/>
    <w:rsid w:val="00465279"/>
    <w:rsid w:val="0046546A"/>
    <w:rsid w:val="004658F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105D"/>
    <w:rsid w:val="00471277"/>
    <w:rsid w:val="00471495"/>
    <w:rsid w:val="004716AD"/>
    <w:rsid w:val="004718C6"/>
    <w:rsid w:val="004720FA"/>
    <w:rsid w:val="00472142"/>
    <w:rsid w:val="00472205"/>
    <w:rsid w:val="00472258"/>
    <w:rsid w:val="0047244B"/>
    <w:rsid w:val="00472614"/>
    <w:rsid w:val="00473429"/>
    <w:rsid w:val="0047343E"/>
    <w:rsid w:val="004734D3"/>
    <w:rsid w:val="00473574"/>
    <w:rsid w:val="00473A65"/>
    <w:rsid w:val="00473C3B"/>
    <w:rsid w:val="00473DA3"/>
    <w:rsid w:val="00474210"/>
    <w:rsid w:val="00474573"/>
    <w:rsid w:val="00474684"/>
    <w:rsid w:val="004748BD"/>
    <w:rsid w:val="00474ACD"/>
    <w:rsid w:val="00474D0A"/>
    <w:rsid w:val="00475B02"/>
    <w:rsid w:val="00475EA2"/>
    <w:rsid w:val="004762D7"/>
    <w:rsid w:val="004764CB"/>
    <w:rsid w:val="00476879"/>
    <w:rsid w:val="00476993"/>
    <w:rsid w:val="00476E1E"/>
    <w:rsid w:val="00477482"/>
    <w:rsid w:val="00477503"/>
    <w:rsid w:val="00477747"/>
    <w:rsid w:val="00477DE9"/>
    <w:rsid w:val="00477FC1"/>
    <w:rsid w:val="004801FB"/>
    <w:rsid w:val="0048020A"/>
    <w:rsid w:val="0048036E"/>
    <w:rsid w:val="0048054F"/>
    <w:rsid w:val="0048056D"/>
    <w:rsid w:val="00480D11"/>
    <w:rsid w:val="00480D60"/>
    <w:rsid w:val="0048112D"/>
    <w:rsid w:val="004811D6"/>
    <w:rsid w:val="00481315"/>
    <w:rsid w:val="0048141F"/>
    <w:rsid w:val="00481468"/>
    <w:rsid w:val="0048146C"/>
    <w:rsid w:val="0048169A"/>
    <w:rsid w:val="00481870"/>
    <w:rsid w:val="00481A6F"/>
    <w:rsid w:val="004824D9"/>
    <w:rsid w:val="004824EE"/>
    <w:rsid w:val="0048285D"/>
    <w:rsid w:val="00482888"/>
    <w:rsid w:val="004829D6"/>
    <w:rsid w:val="004833F7"/>
    <w:rsid w:val="00483CAE"/>
    <w:rsid w:val="00483D86"/>
    <w:rsid w:val="00483E1B"/>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37A"/>
    <w:rsid w:val="00486419"/>
    <w:rsid w:val="00486445"/>
    <w:rsid w:val="00486A9C"/>
    <w:rsid w:val="00486B78"/>
    <w:rsid w:val="00486C20"/>
    <w:rsid w:val="00486CEB"/>
    <w:rsid w:val="00486DD6"/>
    <w:rsid w:val="00486F7B"/>
    <w:rsid w:val="00487561"/>
    <w:rsid w:val="004875F0"/>
    <w:rsid w:val="0048768A"/>
    <w:rsid w:val="004878B3"/>
    <w:rsid w:val="00487A06"/>
    <w:rsid w:val="00487CEC"/>
    <w:rsid w:val="00487E55"/>
    <w:rsid w:val="0049002E"/>
    <w:rsid w:val="004900CC"/>
    <w:rsid w:val="0049016C"/>
    <w:rsid w:val="0049016E"/>
    <w:rsid w:val="004903A9"/>
    <w:rsid w:val="00490477"/>
    <w:rsid w:val="0049054F"/>
    <w:rsid w:val="004906BA"/>
    <w:rsid w:val="00490AC4"/>
    <w:rsid w:val="00490C03"/>
    <w:rsid w:val="00490DE2"/>
    <w:rsid w:val="00491690"/>
    <w:rsid w:val="00491A00"/>
    <w:rsid w:val="00491B18"/>
    <w:rsid w:val="00492268"/>
    <w:rsid w:val="0049245B"/>
    <w:rsid w:val="00492479"/>
    <w:rsid w:val="0049257D"/>
    <w:rsid w:val="00492AE6"/>
    <w:rsid w:val="00492D49"/>
    <w:rsid w:val="00492F48"/>
    <w:rsid w:val="00493370"/>
    <w:rsid w:val="00493385"/>
    <w:rsid w:val="00493692"/>
    <w:rsid w:val="0049371B"/>
    <w:rsid w:val="004940B1"/>
    <w:rsid w:val="004940E6"/>
    <w:rsid w:val="00494131"/>
    <w:rsid w:val="00494541"/>
    <w:rsid w:val="004945A2"/>
    <w:rsid w:val="004947FD"/>
    <w:rsid w:val="004950F9"/>
    <w:rsid w:val="00495391"/>
    <w:rsid w:val="004958BE"/>
    <w:rsid w:val="00495902"/>
    <w:rsid w:val="00495C15"/>
    <w:rsid w:val="00495C1A"/>
    <w:rsid w:val="004963BF"/>
    <w:rsid w:val="0049640A"/>
    <w:rsid w:val="00496450"/>
    <w:rsid w:val="004972EA"/>
    <w:rsid w:val="00497502"/>
    <w:rsid w:val="00497759"/>
    <w:rsid w:val="0049790D"/>
    <w:rsid w:val="004979FC"/>
    <w:rsid w:val="00497BE2"/>
    <w:rsid w:val="00497FDB"/>
    <w:rsid w:val="004A00DC"/>
    <w:rsid w:val="004A077C"/>
    <w:rsid w:val="004A0A67"/>
    <w:rsid w:val="004A0B48"/>
    <w:rsid w:val="004A0DE4"/>
    <w:rsid w:val="004A0F5C"/>
    <w:rsid w:val="004A10C6"/>
    <w:rsid w:val="004A1513"/>
    <w:rsid w:val="004A162E"/>
    <w:rsid w:val="004A18F4"/>
    <w:rsid w:val="004A1920"/>
    <w:rsid w:val="004A1ABE"/>
    <w:rsid w:val="004A1FE3"/>
    <w:rsid w:val="004A1FE4"/>
    <w:rsid w:val="004A21BC"/>
    <w:rsid w:val="004A240C"/>
    <w:rsid w:val="004A2523"/>
    <w:rsid w:val="004A2989"/>
    <w:rsid w:val="004A3188"/>
    <w:rsid w:val="004A3360"/>
    <w:rsid w:val="004A356C"/>
    <w:rsid w:val="004A362C"/>
    <w:rsid w:val="004A379D"/>
    <w:rsid w:val="004A37B4"/>
    <w:rsid w:val="004A3B85"/>
    <w:rsid w:val="004A3CDF"/>
    <w:rsid w:val="004A3CFC"/>
    <w:rsid w:val="004A3EF8"/>
    <w:rsid w:val="004A40FC"/>
    <w:rsid w:val="004A4341"/>
    <w:rsid w:val="004A4496"/>
    <w:rsid w:val="004A456D"/>
    <w:rsid w:val="004A4BC3"/>
    <w:rsid w:val="004A4DDA"/>
    <w:rsid w:val="004A4F67"/>
    <w:rsid w:val="004A5203"/>
    <w:rsid w:val="004A5394"/>
    <w:rsid w:val="004A570B"/>
    <w:rsid w:val="004A5B1E"/>
    <w:rsid w:val="004A5CAA"/>
    <w:rsid w:val="004A5D00"/>
    <w:rsid w:val="004A6010"/>
    <w:rsid w:val="004A62FF"/>
    <w:rsid w:val="004A654C"/>
    <w:rsid w:val="004A65A6"/>
    <w:rsid w:val="004A69D4"/>
    <w:rsid w:val="004A6C12"/>
    <w:rsid w:val="004A6CE5"/>
    <w:rsid w:val="004A7030"/>
    <w:rsid w:val="004A7542"/>
    <w:rsid w:val="004A79DC"/>
    <w:rsid w:val="004A7A8B"/>
    <w:rsid w:val="004B0065"/>
    <w:rsid w:val="004B015F"/>
    <w:rsid w:val="004B025A"/>
    <w:rsid w:val="004B055B"/>
    <w:rsid w:val="004B06AA"/>
    <w:rsid w:val="004B06E5"/>
    <w:rsid w:val="004B0794"/>
    <w:rsid w:val="004B0DB0"/>
    <w:rsid w:val="004B0DF0"/>
    <w:rsid w:val="004B0F30"/>
    <w:rsid w:val="004B12AC"/>
    <w:rsid w:val="004B150D"/>
    <w:rsid w:val="004B1734"/>
    <w:rsid w:val="004B1780"/>
    <w:rsid w:val="004B21A0"/>
    <w:rsid w:val="004B22EB"/>
    <w:rsid w:val="004B255A"/>
    <w:rsid w:val="004B2D79"/>
    <w:rsid w:val="004B2DCA"/>
    <w:rsid w:val="004B3177"/>
    <w:rsid w:val="004B32C1"/>
    <w:rsid w:val="004B3758"/>
    <w:rsid w:val="004B384C"/>
    <w:rsid w:val="004B38AB"/>
    <w:rsid w:val="004B4476"/>
    <w:rsid w:val="004B44B5"/>
    <w:rsid w:val="004B4705"/>
    <w:rsid w:val="004B49BA"/>
    <w:rsid w:val="004B5376"/>
    <w:rsid w:val="004B558C"/>
    <w:rsid w:val="004B5593"/>
    <w:rsid w:val="004B5AF9"/>
    <w:rsid w:val="004B5DD9"/>
    <w:rsid w:val="004B6286"/>
    <w:rsid w:val="004B65B2"/>
    <w:rsid w:val="004B686E"/>
    <w:rsid w:val="004B6BBE"/>
    <w:rsid w:val="004B6E69"/>
    <w:rsid w:val="004B72C4"/>
    <w:rsid w:val="004B7310"/>
    <w:rsid w:val="004B7326"/>
    <w:rsid w:val="004B7353"/>
    <w:rsid w:val="004B7370"/>
    <w:rsid w:val="004B7551"/>
    <w:rsid w:val="004B7740"/>
    <w:rsid w:val="004B77A4"/>
    <w:rsid w:val="004B77E7"/>
    <w:rsid w:val="004B7B51"/>
    <w:rsid w:val="004B7B53"/>
    <w:rsid w:val="004B7DF7"/>
    <w:rsid w:val="004B7F4D"/>
    <w:rsid w:val="004C064B"/>
    <w:rsid w:val="004C0665"/>
    <w:rsid w:val="004C06D9"/>
    <w:rsid w:val="004C0E11"/>
    <w:rsid w:val="004C0E1F"/>
    <w:rsid w:val="004C0E9F"/>
    <w:rsid w:val="004C0F89"/>
    <w:rsid w:val="004C1128"/>
    <w:rsid w:val="004C1291"/>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9FF"/>
    <w:rsid w:val="004C3B58"/>
    <w:rsid w:val="004C3DEA"/>
    <w:rsid w:val="004C3E1C"/>
    <w:rsid w:val="004C3EF1"/>
    <w:rsid w:val="004C4183"/>
    <w:rsid w:val="004C4386"/>
    <w:rsid w:val="004C4502"/>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E16"/>
    <w:rsid w:val="004C792D"/>
    <w:rsid w:val="004C7B3C"/>
    <w:rsid w:val="004C7CB4"/>
    <w:rsid w:val="004C7CE5"/>
    <w:rsid w:val="004C7DA2"/>
    <w:rsid w:val="004C7F96"/>
    <w:rsid w:val="004D0133"/>
    <w:rsid w:val="004D01CC"/>
    <w:rsid w:val="004D0538"/>
    <w:rsid w:val="004D0602"/>
    <w:rsid w:val="004D1270"/>
    <w:rsid w:val="004D1DAE"/>
    <w:rsid w:val="004D1ED9"/>
    <w:rsid w:val="004D2152"/>
    <w:rsid w:val="004D2153"/>
    <w:rsid w:val="004D23C7"/>
    <w:rsid w:val="004D247D"/>
    <w:rsid w:val="004D25E1"/>
    <w:rsid w:val="004D2935"/>
    <w:rsid w:val="004D2D09"/>
    <w:rsid w:val="004D3089"/>
    <w:rsid w:val="004D316A"/>
    <w:rsid w:val="004D321C"/>
    <w:rsid w:val="004D3A38"/>
    <w:rsid w:val="004D3B81"/>
    <w:rsid w:val="004D3F88"/>
    <w:rsid w:val="004D4011"/>
    <w:rsid w:val="004D421A"/>
    <w:rsid w:val="004D42A0"/>
    <w:rsid w:val="004D4385"/>
    <w:rsid w:val="004D4B37"/>
    <w:rsid w:val="004D4CF4"/>
    <w:rsid w:val="004D4D1C"/>
    <w:rsid w:val="004D4EBE"/>
    <w:rsid w:val="004D51BC"/>
    <w:rsid w:val="004D53D6"/>
    <w:rsid w:val="004D5906"/>
    <w:rsid w:val="004D5EBB"/>
    <w:rsid w:val="004D6130"/>
    <w:rsid w:val="004D6A5A"/>
    <w:rsid w:val="004D6AFD"/>
    <w:rsid w:val="004D72BD"/>
    <w:rsid w:val="004D7605"/>
    <w:rsid w:val="004D79F9"/>
    <w:rsid w:val="004D7CBC"/>
    <w:rsid w:val="004D7DBE"/>
    <w:rsid w:val="004E019E"/>
    <w:rsid w:val="004E0817"/>
    <w:rsid w:val="004E0BB9"/>
    <w:rsid w:val="004E0CB4"/>
    <w:rsid w:val="004E106B"/>
    <w:rsid w:val="004E1249"/>
    <w:rsid w:val="004E1B47"/>
    <w:rsid w:val="004E1EFF"/>
    <w:rsid w:val="004E1F03"/>
    <w:rsid w:val="004E213D"/>
    <w:rsid w:val="004E256A"/>
    <w:rsid w:val="004E26EE"/>
    <w:rsid w:val="004E28D4"/>
    <w:rsid w:val="004E28F2"/>
    <w:rsid w:val="004E2D52"/>
    <w:rsid w:val="004E2D9D"/>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51E8"/>
    <w:rsid w:val="004E566E"/>
    <w:rsid w:val="004E5DDE"/>
    <w:rsid w:val="004E5FEF"/>
    <w:rsid w:val="004E61C5"/>
    <w:rsid w:val="004E6318"/>
    <w:rsid w:val="004E6C47"/>
    <w:rsid w:val="004E7175"/>
    <w:rsid w:val="004E741D"/>
    <w:rsid w:val="004E76BD"/>
    <w:rsid w:val="004E780B"/>
    <w:rsid w:val="004E7AA6"/>
    <w:rsid w:val="004E7AD0"/>
    <w:rsid w:val="004F04D8"/>
    <w:rsid w:val="004F067D"/>
    <w:rsid w:val="004F0A76"/>
    <w:rsid w:val="004F0C23"/>
    <w:rsid w:val="004F0D23"/>
    <w:rsid w:val="004F0D3A"/>
    <w:rsid w:val="004F0FF3"/>
    <w:rsid w:val="004F1921"/>
    <w:rsid w:val="004F1CAD"/>
    <w:rsid w:val="004F1E0F"/>
    <w:rsid w:val="004F2580"/>
    <w:rsid w:val="004F2AF4"/>
    <w:rsid w:val="004F2E1C"/>
    <w:rsid w:val="004F3020"/>
    <w:rsid w:val="004F305B"/>
    <w:rsid w:val="004F375C"/>
    <w:rsid w:val="004F3E50"/>
    <w:rsid w:val="004F42A9"/>
    <w:rsid w:val="004F45CA"/>
    <w:rsid w:val="004F4645"/>
    <w:rsid w:val="004F4AC8"/>
    <w:rsid w:val="004F4DA5"/>
    <w:rsid w:val="004F5013"/>
    <w:rsid w:val="004F507E"/>
    <w:rsid w:val="004F598B"/>
    <w:rsid w:val="004F5D54"/>
    <w:rsid w:val="004F5DBE"/>
    <w:rsid w:val="004F6153"/>
    <w:rsid w:val="004F668B"/>
    <w:rsid w:val="004F6B09"/>
    <w:rsid w:val="004F6F69"/>
    <w:rsid w:val="004F7125"/>
    <w:rsid w:val="004F760C"/>
    <w:rsid w:val="004F77A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A86"/>
    <w:rsid w:val="00501C2E"/>
    <w:rsid w:val="00501D48"/>
    <w:rsid w:val="00501EE6"/>
    <w:rsid w:val="0050211F"/>
    <w:rsid w:val="0050221C"/>
    <w:rsid w:val="005022A3"/>
    <w:rsid w:val="00502B6E"/>
    <w:rsid w:val="00502C3C"/>
    <w:rsid w:val="00503095"/>
    <w:rsid w:val="0050320F"/>
    <w:rsid w:val="00503C1F"/>
    <w:rsid w:val="00503E4E"/>
    <w:rsid w:val="00504497"/>
    <w:rsid w:val="00504A4E"/>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9C"/>
    <w:rsid w:val="00507559"/>
    <w:rsid w:val="00507BA5"/>
    <w:rsid w:val="00507CDA"/>
    <w:rsid w:val="00510475"/>
    <w:rsid w:val="00510510"/>
    <w:rsid w:val="005106C1"/>
    <w:rsid w:val="00510800"/>
    <w:rsid w:val="005109E6"/>
    <w:rsid w:val="00510A60"/>
    <w:rsid w:val="00510AF7"/>
    <w:rsid w:val="00510DBE"/>
    <w:rsid w:val="005114E9"/>
    <w:rsid w:val="0051181B"/>
    <w:rsid w:val="005118F9"/>
    <w:rsid w:val="00511C97"/>
    <w:rsid w:val="00511D09"/>
    <w:rsid w:val="00511FE3"/>
    <w:rsid w:val="00512752"/>
    <w:rsid w:val="00512B41"/>
    <w:rsid w:val="00512BA5"/>
    <w:rsid w:val="00512DB3"/>
    <w:rsid w:val="00512F87"/>
    <w:rsid w:val="00513043"/>
    <w:rsid w:val="005135C8"/>
    <w:rsid w:val="00513695"/>
    <w:rsid w:val="00513810"/>
    <w:rsid w:val="00514220"/>
    <w:rsid w:val="00515255"/>
    <w:rsid w:val="00515629"/>
    <w:rsid w:val="00515721"/>
    <w:rsid w:val="005157C2"/>
    <w:rsid w:val="005158B0"/>
    <w:rsid w:val="00515AB2"/>
    <w:rsid w:val="0051611F"/>
    <w:rsid w:val="005162BB"/>
    <w:rsid w:val="00516740"/>
    <w:rsid w:val="00516A31"/>
    <w:rsid w:val="00516EE5"/>
    <w:rsid w:val="00517196"/>
    <w:rsid w:val="005171E8"/>
    <w:rsid w:val="00517338"/>
    <w:rsid w:val="0051738B"/>
    <w:rsid w:val="0051745B"/>
    <w:rsid w:val="00517751"/>
    <w:rsid w:val="00517839"/>
    <w:rsid w:val="0051789D"/>
    <w:rsid w:val="005179B0"/>
    <w:rsid w:val="00517A57"/>
    <w:rsid w:val="0052004A"/>
    <w:rsid w:val="005208B0"/>
    <w:rsid w:val="00520CD9"/>
    <w:rsid w:val="00521120"/>
    <w:rsid w:val="0052114B"/>
    <w:rsid w:val="005214F1"/>
    <w:rsid w:val="0052164E"/>
    <w:rsid w:val="0052171D"/>
    <w:rsid w:val="0052196C"/>
    <w:rsid w:val="00521B92"/>
    <w:rsid w:val="00521BCE"/>
    <w:rsid w:val="005225FD"/>
    <w:rsid w:val="0052288F"/>
    <w:rsid w:val="00522923"/>
    <w:rsid w:val="00522A93"/>
    <w:rsid w:val="00523936"/>
    <w:rsid w:val="00523985"/>
    <w:rsid w:val="00523BD8"/>
    <w:rsid w:val="00523CA6"/>
    <w:rsid w:val="0052409E"/>
    <w:rsid w:val="0052473B"/>
    <w:rsid w:val="00524AA3"/>
    <w:rsid w:val="00524ADF"/>
    <w:rsid w:val="00524C08"/>
    <w:rsid w:val="00524C0C"/>
    <w:rsid w:val="00524DE2"/>
    <w:rsid w:val="005254BA"/>
    <w:rsid w:val="00525ADD"/>
    <w:rsid w:val="00525D5C"/>
    <w:rsid w:val="00525D64"/>
    <w:rsid w:val="00526C04"/>
    <w:rsid w:val="00526E5D"/>
    <w:rsid w:val="00526F13"/>
    <w:rsid w:val="00526FF9"/>
    <w:rsid w:val="005272AE"/>
    <w:rsid w:val="005275A1"/>
    <w:rsid w:val="005275A9"/>
    <w:rsid w:val="00527718"/>
    <w:rsid w:val="00527BEB"/>
    <w:rsid w:val="00527C79"/>
    <w:rsid w:val="00530046"/>
    <w:rsid w:val="00530710"/>
    <w:rsid w:val="00530718"/>
    <w:rsid w:val="005307AA"/>
    <w:rsid w:val="00530B1E"/>
    <w:rsid w:val="00530DFF"/>
    <w:rsid w:val="005310E1"/>
    <w:rsid w:val="00531197"/>
    <w:rsid w:val="0053191F"/>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7C9"/>
    <w:rsid w:val="005348B1"/>
    <w:rsid w:val="00534B96"/>
    <w:rsid w:val="00534C0C"/>
    <w:rsid w:val="0053518D"/>
    <w:rsid w:val="005360D8"/>
    <w:rsid w:val="005361DD"/>
    <w:rsid w:val="005367AA"/>
    <w:rsid w:val="00536ACE"/>
    <w:rsid w:val="00536C1F"/>
    <w:rsid w:val="00536DBA"/>
    <w:rsid w:val="00536E01"/>
    <w:rsid w:val="0053706E"/>
    <w:rsid w:val="005374CB"/>
    <w:rsid w:val="0053769D"/>
    <w:rsid w:val="00537BFC"/>
    <w:rsid w:val="00537E74"/>
    <w:rsid w:val="00540454"/>
    <w:rsid w:val="005404BF"/>
    <w:rsid w:val="0054051A"/>
    <w:rsid w:val="005405FD"/>
    <w:rsid w:val="005407BB"/>
    <w:rsid w:val="00540A84"/>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956"/>
    <w:rsid w:val="00543E7B"/>
    <w:rsid w:val="00543F80"/>
    <w:rsid w:val="00544159"/>
    <w:rsid w:val="00544CC5"/>
    <w:rsid w:val="00544DC4"/>
    <w:rsid w:val="00544DEB"/>
    <w:rsid w:val="00545150"/>
    <w:rsid w:val="00545D05"/>
    <w:rsid w:val="0054613F"/>
    <w:rsid w:val="0054630B"/>
    <w:rsid w:val="00546632"/>
    <w:rsid w:val="00546B99"/>
    <w:rsid w:val="00546E95"/>
    <w:rsid w:val="00546F8B"/>
    <w:rsid w:val="005470D3"/>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B92"/>
    <w:rsid w:val="00552DA6"/>
    <w:rsid w:val="00552E5A"/>
    <w:rsid w:val="00552F3B"/>
    <w:rsid w:val="0055303B"/>
    <w:rsid w:val="005530AB"/>
    <w:rsid w:val="005534A3"/>
    <w:rsid w:val="005534C6"/>
    <w:rsid w:val="0055356B"/>
    <w:rsid w:val="00553790"/>
    <w:rsid w:val="0055394D"/>
    <w:rsid w:val="00553A91"/>
    <w:rsid w:val="00553AAE"/>
    <w:rsid w:val="00553BCD"/>
    <w:rsid w:val="0055403E"/>
    <w:rsid w:val="005541D4"/>
    <w:rsid w:val="0055433E"/>
    <w:rsid w:val="00554443"/>
    <w:rsid w:val="00554563"/>
    <w:rsid w:val="00554756"/>
    <w:rsid w:val="00554842"/>
    <w:rsid w:val="00554CED"/>
    <w:rsid w:val="00554D4B"/>
    <w:rsid w:val="00555086"/>
    <w:rsid w:val="00555308"/>
    <w:rsid w:val="005557A7"/>
    <w:rsid w:val="005559BE"/>
    <w:rsid w:val="00555FAC"/>
    <w:rsid w:val="00556119"/>
    <w:rsid w:val="0055625F"/>
    <w:rsid w:val="0055668A"/>
    <w:rsid w:val="00556A43"/>
    <w:rsid w:val="00556E01"/>
    <w:rsid w:val="0055707D"/>
    <w:rsid w:val="00557777"/>
    <w:rsid w:val="005579EE"/>
    <w:rsid w:val="00557C41"/>
    <w:rsid w:val="00557DD9"/>
    <w:rsid w:val="00557E3B"/>
    <w:rsid w:val="00557E41"/>
    <w:rsid w:val="00560142"/>
    <w:rsid w:val="0056018E"/>
    <w:rsid w:val="00560340"/>
    <w:rsid w:val="00560366"/>
    <w:rsid w:val="00560527"/>
    <w:rsid w:val="00560959"/>
    <w:rsid w:val="00560D21"/>
    <w:rsid w:val="00560FDD"/>
    <w:rsid w:val="00561165"/>
    <w:rsid w:val="00561873"/>
    <w:rsid w:val="00561AAF"/>
    <w:rsid w:val="00561CBF"/>
    <w:rsid w:val="0056235C"/>
    <w:rsid w:val="00562549"/>
    <w:rsid w:val="005626CF"/>
    <w:rsid w:val="00562924"/>
    <w:rsid w:val="00562A8A"/>
    <w:rsid w:val="00562B66"/>
    <w:rsid w:val="00562D28"/>
    <w:rsid w:val="00563135"/>
    <w:rsid w:val="005632F0"/>
    <w:rsid w:val="0056367B"/>
    <w:rsid w:val="00563681"/>
    <w:rsid w:val="005637B4"/>
    <w:rsid w:val="0056385C"/>
    <w:rsid w:val="005638C3"/>
    <w:rsid w:val="00563B3E"/>
    <w:rsid w:val="00563EAD"/>
    <w:rsid w:val="00563EB0"/>
    <w:rsid w:val="00564063"/>
    <w:rsid w:val="00564133"/>
    <w:rsid w:val="00564157"/>
    <w:rsid w:val="005642F1"/>
    <w:rsid w:val="005645DE"/>
    <w:rsid w:val="0056471D"/>
    <w:rsid w:val="00564749"/>
    <w:rsid w:val="00564A24"/>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88C"/>
    <w:rsid w:val="00567E04"/>
    <w:rsid w:val="00567E4D"/>
    <w:rsid w:val="0057014A"/>
    <w:rsid w:val="005704C4"/>
    <w:rsid w:val="00570642"/>
    <w:rsid w:val="00570850"/>
    <w:rsid w:val="00570A4B"/>
    <w:rsid w:val="00570A81"/>
    <w:rsid w:val="00570DEF"/>
    <w:rsid w:val="00570EC1"/>
    <w:rsid w:val="00570FA3"/>
    <w:rsid w:val="00571282"/>
    <w:rsid w:val="005719B5"/>
    <w:rsid w:val="00571B56"/>
    <w:rsid w:val="00571D6D"/>
    <w:rsid w:val="00571D97"/>
    <w:rsid w:val="005721CA"/>
    <w:rsid w:val="00572235"/>
    <w:rsid w:val="00572848"/>
    <w:rsid w:val="00572A4E"/>
    <w:rsid w:val="00572FE6"/>
    <w:rsid w:val="00573082"/>
    <w:rsid w:val="005731FD"/>
    <w:rsid w:val="0057320B"/>
    <w:rsid w:val="00573EF8"/>
    <w:rsid w:val="00574150"/>
    <w:rsid w:val="005745D9"/>
    <w:rsid w:val="0057494B"/>
    <w:rsid w:val="00574C96"/>
    <w:rsid w:val="0057518B"/>
    <w:rsid w:val="005751E6"/>
    <w:rsid w:val="0057582B"/>
    <w:rsid w:val="00575C6A"/>
    <w:rsid w:val="00575D7E"/>
    <w:rsid w:val="005760A9"/>
    <w:rsid w:val="00576228"/>
    <w:rsid w:val="00576412"/>
    <w:rsid w:val="005766D5"/>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20E8"/>
    <w:rsid w:val="0058249E"/>
    <w:rsid w:val="005825B7"/>
    <w:rsid w:val="00582A70"/>
    <w:rsid w:val="00582AB6"/>
    <w:rsid w:val="00582D71"/>
    <w:rsid w:val="00582DB2"/>
    <w:rsid w:val="0058359A"/>
    <w:rsid w:val="005837A8"/>
    <w:rsid w:val="005837AE"/>
    <w:rsid w:val="005837C7"/>
    <w:rsid w:val="005838CD"/>
    <w:rsid w:val="0058398E"/>
    <w:rsid w:val="00583AA9"/>
    <w:rsid w:val="00583B79"/>
    <w:rsid w:val="005843FE"/>
    <w:rsid w:val="00584499"/>
    <w:rsid w:val="00584A8B"/>
    <w:rsid w:val="00584BF4"/>
    <w:rsid w:val="00585015"/>
    <w:rsid w:val="00585111"/>
    <w:rsid w:val="00585179"/>
    <w:rsid w:val="005853A5"/>
    <w:rsid w:val="005855E1"/>
    <w:rsid w:val="005857BB"/>
    <w:rsid w:val="005858B6"/>
    <w:rsid w:val="0058596A"/>
    <w:rsid w:val="00585FAA"/>
    <w:rsid w:val="0058641F"/>
    <w:rsid w:val="00586550"/>
    <w:rsid w:val="00586577"/>
    <w:rsid w:val="005867EF"/>
    <w:rsid w:val="00586E06"/>
    <w:rsid w:val="005871A7"/>
    <w:rsid w:val="00587377"/>
    <w:rsid w:val="0058749F"/>
    <w:rsid w:val="00587531"/>
    <w:rsid w:val="005876AC"/>
    <w:rsid w:val="00587897"/>
    <w:rsid w:val="0058795A"/>
    <w:rsid w:val="00587B81"/>
    <w:rsid w:val="00587E3B"/>
    <w:rsid w:val="00587FD2"/>
    <w:rsid w:val="00590122"/>
    <w:rsid w:val="00590D4A"/>
    <w:rsid w:val="00590E54"/>
    <w:rsid w:val="00590F10"/>
    <w:rsid w:val="00590F28"/>
    <w:rsid w:val="00591A4B"/>
    <w:rsid w:val="00591A96"/>
    <w:rsid w:val="00591FB3"/>
    <w:rsid w:val="00592084"/>
    <w:rsid w:val="005924A5"/>
    <w:rsid w:val="0059281B"/>
    <w:rsid w:val="00592BAD"/>
    <w:rsid w:val="00592C0F"/>
    <w:rsid w:val="00592D46"/>
    <w:rsid w:val="00592DBE"/>
    <w:rsid w:val="00593232"/>
    <w:rsid w:val="00594082"/>
    <w:rsid w:val="005942C6"/>
    <w:rsid w:val="00594516"/>
    <w:rsid w:val="005948D5"/>
    <w:rsid w:val="00594975"/>
    <w:rsid w:val="00594A6E"/>
    <w:rsid w:val="00594C07"/>
    <w:rsid w:val="005951C7"/>
    <w:rsid w:val="005951E5"/>
    <w:rsid w:val="0059526E"/>
    <w:rsid w:val="00595586"/>
    <w:rsid w:val="0059576C"/>
    <w:rsid w:val="0059577F"/>
    <w:rsid w:val="00595B20"/>
    <w:rsid w:val="00595F18"/>
    <w:rsid w:val="00595F33"/>
    <w:rsid w:val="005965D9"/>
    <w:rsid w:val="0059674A"/>
    <w:rsid w:val="00596802"/>
    <w:rsid w:val="00597105"/>
    <w:rsid w:val="005973DF"/>
    <w:rsid w:val="00597BF1"/>
    <w:rsid w:val="00597BFF"/>
    <w:rsid w:val="005A04A1"/>
    <w:rsid w:val="005A05D0"/>
    <w:rsid w:val="005A065D"/>
    <w:rsid w:val="005A0A11"/>
    <w:rsid w:val="005A1093"/>
    <w:rsid w:val="005A11FD"/>
    <w:rsid w:val="005A1242"/>
    <w:rsid w:val="005A159A"/>
    <w:rsid w:val="005A1795"/>
    <w:rsid w:val="005A187E"/>
    <w:rsid w:val="005A1948"/>
    <w:rsid w:val="005A196B"/>
    <w:rsid w:val="005A19CE"/>
    <w:rsid w:val="005A1C6A"/>
    <w:rsid w:val="005A21B8"/>
    <w:rsid w:val="005A2500"/>
    <w:rsid w:val="005A2921"/>
    <w:rsid w:val="005A2EDD"/>
    <w:rsid w:val="005A2FBC"/>
    <w:rsid w:val="005A31BC"/>
    <w:rsid w:val="005A3701"/>
    <w:rsid w:val="005A3AB9"/>
    <w:rsid w:val="005A3CA6"/>
    <w:rsid w:val="005A4051"/>
    <w:rsid w:val="005A40F9"/>
    <w:rsid w:val="005A42A5"/>
    <w:rsid w:val="005A4313"/>
    <w:rsid w:val="005A44A9"/>
    <w:rsid w:val="005A4858"/>
    <w:rsid w:val="005A4BC6"/>
    <w:rsid w:val="005A4F97"/>
    <w:rsid w:val="005A5360"/>
    <w:rsid w:val="005A5674"/>
    <w:rsid w:val="005A5954"/>
    <w:rsid w:val="005A5A56"/>
    <w:rsid w:val="005A5A60"/>
    <w:rsid w:val="005A5BCB"/>
    <w:rsid w:val="005A5D13"/>
    <w:rsid w:val="005A60FC"/>
    <w:rsid w:val="005A66B1"/>
    <w:rsid w:val="005A6A3D"/>
    <w:rsid w:val="005A6C0C"/>
    <w:rsid w:val="005A6D77"/>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1A5"/>
    <w:rsid w:val="005B2322"/>
    <w:rsid w:val="005B24F3"/>
    <w:rsid w:val="005B2755"/>
    <w:rsid w:val="005B2D46"/>
    <w:rsid w:val="005B344E"/>
    <w:rsid w:val="005B3742"/>
    <w:rsid w:val="005B374A"/>
    <w:rsid w:val="005B395A"/>
    <w:rsid w:val="005B3F4A"/>
    <w:rsid w:val="005B41A0"/>
    <w:rsid w:val="005B523F"/>
    <w:rsid w:val="005B5388"/>
    <w:rsid w:val="005B5A87"/>
    <w:rsid w:val="005B5CE9"/>
    <w:rsid w:val="005B5DBD"/>
    <w:rsid w:val="005B5F46"/>
    <w:rsid w:val="005B5FE1"/>
    <w:rsid w:val="005B6179"/>
    <w:rsid w:val="005B635F"/>
    <w:rsid w:val="005B6924"/>
    <w:rsid w:val="005B6C87"/>
    <w:rsid w:val="005B6DA1"/>
    <w:rsid w:val="005B74D9"/>
    <w:rsid w:val="005B76CF"/>
    <w:rsid w:val="005B7B88"/>
    <w:rsid w:val="005B7B8E"/>
    <w:rsid w:val="005B7BC1"/>
    <w:rsid w:val="005B7C8C"/>
    <w:rsid w:val="005C04EC"/>
    <w:rsid w:val="005C0705"/>
    <w:rsid w:val="005C0811"/>
    <w:rsid w:val="005C0B78"/>
    <w:rsid w:val="005C0C75"/>
    <w:rsid w:val="005C0D76"/>
    <w:rsid w:val="005C0E3F"/>
    <w:rsid w:val="005C0E66"/>
    <w:rsid w:val="005C0FFE"/>
    <w:rsid w:val="005C173B"/>
    <w:rsid w:val="005C1C72"/>
    <w:rsid w:val="005C1D84"/>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408D"/>
    <w:rsid w:val="005C4167"/>
    <w:rsid w:val="005C41F9"/>
    <w:rsid w:val="005C4395"/>
    <w:rsid w:val="005C48B1"/>
    <w:rsid w:val="005C4BAD"/>
    <w:rsid w:val="005C4C7C"/>
    <w:rsid w:val="005C4D39"/>
    <w:rsid w:val="005C4FFB"/>
    <w:rsid w:val="005C5077"/>
    <w:rsid w:val="005C518B"/>
    <w:rsid w:val="005C51D7"/>
    <w:rsid w:val="005C53EE"/>
    <w:rsid w:val="005C562B"/>
    <w:rsid w:val="005C5C13"/>
    <w:rsid w:val="005C5DEE"/>
    <w:rsid w:val="005C607F"/>
    <w:rsid w:val="005C60D6"/>
    <w:rsid w:val="005C6357"/>
    <w:rsid w:val="005C679F"/>
    <w:rsid w:val="005C68D6"/>
    <w:rsid w:val="005C6D05"/>
    <w:rsid w:val="005C7439"/>
    <w:rsid w:val="005C7716"/>
    <w:rsid w:val="005C78A7"/>
    <w:rsid w:val="005C7B7B"/>
    <w:rsid w:val="005C7B8F"/>
    <w:rsid w:val="005C7C01"/>
    <w:rsid w:val="005C7DEF"/>
    <w:rsid w:val="005C7FD3"/>
    <w:rsid w:val="005D02CC"/>
    <w:rsid w:val="005D0D9E"/>
    <w:rsid w:val="005D0FAF"/>
    <w:rsid w:val="005D1378"/>
    <w:rsid w:val="005D1599"/>
    <w:rsid w:val="005D1C98"/>
    <w:rsid w:val="005D1DCA"/>
    <w:rsid w:val="005D20E2"/>
    <w:rsid w:val="005D24AC"/>
    <w:rsid w:val="005D2616"/>
    <w:rsid w:val="005D262C"/>
    <w:rsid w:val="005D270C"/>
    <w:rsid w:val="005D2852"/>
    <w:rsid w:val="005D2891"/>
    <w:rsid w:val="005D2895"/>
    <w:rsid w:val="005D2C8C"/>
    <w:rsid w:val="005D2CDF"/>
    <w:rsid w:val="005D2D99"/>
    <w:rsid w:val="005D2FCE"/>
    <w:rsid w:val="005D3236"/>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E67"/>
    <w:rsid w:val="005D5FC5"/>
    <w:rsid w:val="005D5FF1"/>
    <w:rsid w:val="005D600F"/>
    <w:rsid w:val="005D6394"/>
    <w:rsid w:val="005D6CBF"/>
    <w:rsid w:val="005D6E60"/>
    <w:rsid w:val="005D7009"/>
    <w:rsid w:val="005D70B8"/>
    <w:rsid w:val="005D71F6"/>
    <w:rsid w:val="005D7351"/>
    <w:rsid w:val="005D775B"/>
    <w:rsid w:val="005D7C3F"/>
    <w:rsid w:val="005E028D"/>
    <w:rsid w:val="005E0E34"/>
    <w:rsid w:val="005E0F1E"/>
    <w:rsid w:val="005E1533"/>
    <w:rsid w:val="005E1668"/>
    <w:rsid w:val="005E2127"/>
    <w:rsid w:val="005E2142"/>
    <w:rsid w:val="005E226B"/>
    <w:rsid w:val="005E2310"/>
    <w:rsid w:val="005E2343"/>
    <w:rsid w:val="005E2522"/>
    <w:rsid w:val="005E2A65"/>
    <w:rsid w:val="005E2DE9"/>
    <w:rsid w:val="005E3016"/>
    <w:rsid w:val="005E323B"/>
    <w:rsid w:val="005E329F"/>
    <w:rsid w:val="005E366A"/>
    <w:rsid w:val="005E3804"/>
    <w:rsid w:val="005E3882"/>
    <w:rsid w:val="005E3916"/>
    <w:rsid w:val="005E3949"/>
    <w:rsid w:val="005E3A63"/>
    <w:rsid w:val="005E3A8F"/>
    <w:rsid w:val="005E3BA0"/>
    <w:rsid w:val="005E43C3"/>
    <w:rsid w:val="005E448D"/>
    <w:rsid w:val="005E44EB"/>
    <w:rsid w:val="005E45F8"/>
    <w:rsid w:val="005E4D18"/>
    <w:rsid w:val="005E505E"/>
    <w:rsid w:val="005E5550"/>
    <w:rsid w:val="005E5937"/>
    <w:rsid w:val="005E5CCA"/>
    <w:rsid w:val="005E61D5"/>
    <w:rsid w:val="005E63A6"/>
    <w:rsid w:val="005E64DF"/>
    <w:rsid w:val="005E7076"/>
    <w:rsid w:val="005E711A"/>
    <w:rsid w:val="005E7484"/>
    <w:rsid w:val="005E7503"/>
    <w:rsid w:val="005E7D0C"/>
    <w:rsid w:val="005F01E2"/>
    <w:rsid w:val="005F0528"/>
    <w:rsid w:val="005F0AEB"/>
    <w:rsid w:val="005F0B67"/>
    <w:rsid w:val="005F0C2D"/>
    <w:rsid w:val="005F0DED"/>
    <w:rsid w:val="005F0E3A"/>
    <w:rsid w:val="005F0F34"/>
    <w:rsid w:val="005F0FDF"/>
    <w:rsid w:val="005F1270"/>
    <w:rsid w:val="005F1499"/>
    <w:rsid w:val="005F1500"/>
    <w:rsid w:val="005F191E"/>
    <w:rsid w:val="005F1E7D"/>
    <w:rsid w:val="005F22C1"/>
    <w:rsid w:val="005F22C3"/>
    <w:rsid w:val="005F2359"/>
    <w:rsid w:val="005F2460"/>
    <w:rsid w:val="005F2685"/>
    <w:rsid w:val="005F2727"/>
    <w:rsid w:val="005F29D9"/>
    <w:rsid w:val="005F2D8C"/>
    <w:rsid w:val="005F2D97"/>
    <w:rsid w:val="005F2E04"/>
    <w:rsid w:val="005F31CA"/>
    <w:rsid w:val="005F3239"/>
    <w:rsid w:val="005F3347"/>
    <w:rsid w:val="005F3874"/>
    <w:rsid w:val="005F39E3"/>
    <w:rsid w:val="005F3FF2"/>
    <w:rsid w:val="005F408D"/>
    <w:rsid w:val="005F40B9"/>
    <w:rsid w:val="005F4585"/>
    <w:rsid w:val="005F45FF"/>
    <w:rsid w:val="005F4C8D"/>
    <w:rsid w:val="005F5066"/>
    <w:rsid w:val="005F5652"/>
    <w:rsid w:val="005F5B69"/>
    <w:rsid w:val="005F5F41"/>
    <w:rsid w:val="005F6264"/>
    <w:rsid w:val="005F6412"/>
    <w:rsid w:val="005F6C62"/>
    <w:rsid w:val="005F6D11"/>
    <w:rsid w:val="005F6F63"/>
    <w:rsid w:val="005F71FD"/>
    <w:rsid w:val="005F7249"/>
    <w:rsid w:val="005F729E"/>
    <w:rsid w:val="005F7897"/>
    <w:rsid w:val="005F7908"/>
    <w:rsid w:val="005F7C5E"/>
    <w:rsid w:val="006003AD"/>
    <w:rsid w:val="006006FA"/>
    <w:rsid w:val="006007D6"/>
    <w:rsid w:val="006008D7"/>
    <w:rsid w:val="00600C37"/>
    <w:rsid w:val="00600C64"/>
    <w:rsid w:val="00600CE8"/>
    <w:rsid w:val="00600DDB"/>
    <w:rsid w:val="00600FB6"/>
    <w:rsid w:val="00601864"/>
    <w:rsid w:val="00601E34"/>
    <w:rsid w:val="00601FE2"/>
    <w:rsid w:val="00602302"/>
    <w:rsid w:val="006024F8"/>
    <w:rsid w:val="00602D84"/>
    <w:rsid w:val="00602E04"/>
    <w:rsid w:val="00602E56"/>
    <w:rsid w:val="00602F75"/>
    <w:rsid w:val="00603151"/>
    <w:rsid w:val="0060323F"/>
    <w:rsid w:val="006033B6"/>
    <w:rsid w:val="006036A4"/>
    <w:rsid w:val="00603917"/>
    <w:rsid w:val="00603B60"/>
    <w:rsid w:val="00603CD2"/>
    <w:rsid w:val="00603CE1"/>
    <w:rsid w:val="00603EFE"/>
    <w:rsid w:val="00603F51"/>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688"/>
    <w:rsid w:val="006067A2"/>
    <w:rsid w:val="0060692F"/>
    <w:rsid w:val="00606944"/>
    <w:rsid w:val="00606BA0"/>
    <w:rsid w:val="00606BF9"/>
    <w:rsid w:val="00607072"/>
    <w:rsid w:val="00607716"/>
    <w:rsid w:val="00607BEC"/>
    <w:rsid w:val="00607D55"/>
    <w:rsid w:val="00607E8F"/>
    <w:rsid w:val="006100AC"/>
    <w:rsid w:val="0061074C"/>
    <w:rsid w:val="00610980"/>
    <w:rsid w:val="006109B6"/>
    <w:rsid w:val="00610AE5"/>
    <w:rsid w:val="00610C21"/>
    <w:rsid w:val="00610ED1"/>
    <w:rsid w:val="00611105"/>
    <w:rsid w:val="00611C54"/>
    <w:rsid w:val="00612116"/>
    <w:rsid w:val="00612243"/>
    <w:rsid w:val="006127AA"/>
    <w:rsid w:val="006127E7"/>
    <w:rsid w:val="0061297C"/>
    <w:rsid w:val="00612C2B"/>
    <w:rsid w:val="00612EC3"/>
    <w:rsid w:val="00612FED"/>
    <w:rsid w:val="0061365D"/>
    <w:rsid w:val="006138DB"/>
    <w:rsid w:val="00613AD5"/>
    <w:rsid w:val="00613D5C"/>
    <w:rsid w:val="00614100"/>
    <w:rsid w:val="006141FD"/>
    <w:rsid w:val="00614217"/>
    <w:rsid w:val="006146B4"/>
    <w:rsid w:val="0061479C"/>
    <w:rsid w:val="00614A29"/>
    <w:rsid w:val="00614F7E"/>
    <w:rsid w:val="00615153"/>
    <w:rsid w:val="00615298"/>
    <w:rsid w:val="0061553F"/>
    <w:rsid w:val="0061579D"/>
    <w:rsid w:val="00615896"/>
    <w:rsid w:val="00616474"/>
    <w:rsid w:val="00616859"/>
    <w:rsid w:val="006168E5"/>
    <w:rsid w:val="00616D30"/>
    <w:rsid w:val="00616DD7"/>
    <w:rsid w:val="00617097"/>
    <w:rsid w:val="006171E8"/>
    <w:rsid w:val="00617222"/>
    <w:rsid w:val="00617613"/>
    <w:rsid w:val="00617915"/>
    <w:rsid w:val="006200DA"/>
    <w:rsid w:val="0062011C"/>
    <w:rsid w:val="006202B1"/>
    <w:rsid w:val="00620595"/>
    <w:rsid w:val="006206B3"/>
    <w:rsid w:val="00620FEC"/>
    <w:rsid w:val="00621066"/>
    <w:rsid w:val="006210D0"/>
    <w:rsid w:val="00621191"/>
    <w:rsid w:val="0062134A"/>
    <w:rsid w:val="0062148A"/>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7DA"/>
    <w:rsid w:val="00624BE2"/>
    <w:rsid w:val="00624C5C"/>
    <w:rsid w:val="0062528A"/>
    <w:rsid w:val="00625579"/>
    <w:rsid w:val="006256C1"/>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8B6"/>
    <w:rsid w:val="00630B26"/>
    <w:rsid w:val="00630EC3"/>
    <w:rsid w:val="00631126"/>
    <w:rsid w:val="00631A6E"/>
    <w:rsid w:val="00631B3D"/>
    <w:rsid w:val="00631BD0"/>
    <w:rsid w:val="00631D2E"/>
    <w:rsid w:val="0063215E"/>
    <w:rsid w:val="00632499"/>
    <w:rsid w:val="006324E9"/>
    <w:rsid w:val="0063263A"/>
    <w:rsid w:val="00632ABC"/>
    <w:rsid w:val="00632D0B"/>
    <w:rsid w:val="00632DF1"/>
    <w:rsid w:val="00632EF0"/>
    <w:rsid w:val="006332D2"/>
    <w:rsid w:val="00633562"/>
    <w:rsid w:val="00633644"/>
    <w:rsid w:val="00633753"/>
    <w:rsid w:val="00633901"/>
    <w:rsid w:val="00633E9E"/>
    <w:rsid w:val="006349F0"/>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449"/>
    <w:rsid w:val="00637732"/>
    <w:rsid w:val="0063791D"/>
    <w:rsid w:val="00637969"/>
    <w:rsid w:val="00637A08"/>
    <w:rsid w:val="00637A3A"/>
    <w:rsid w:val="00637AF1"/>
    <w:rsid w:val="00637DEA"/>
    <w:rsid w:val="00637E95"/>
    <w:rsid w:val="00637EE8"/>
    <w:rsid w:val="00640459"/>
    <w:rsid w:val="006406B6"/>
    <w:rsid w:val="00640786"/>
    <w:rsid w:val="006409F8"/>
    <w:rsid w:val="00640C12"/>
    <w:rsid w:val="006412B3"/>
    <w:rsid w:val="00641521"/>
    <w:rsid w:val="0064180F"/>
    <w:rsid w:val="006419B6"/>
    <w:rsid w:val="006419C3"/>
    <w:rsid w:val="00641C55"/>
    <w:rsid w:val="00641DE5"/>
    <w:rsid w:val="006423D1"/>
    <w:rsid w:val="006423EA"/>
    <w:rsid w:val="006426FD"/>
    <w:rsid w:val="0064272E"/>
    <w:rsid w:val="006428FA"/>
    <w:rsid w:val="00642918"/>
    <w:rsid w:val="0064291C"/>
    <w:rsid w:val="00642FFC"/>
    <w:rsid w:val="00643465"/>
    <w:rsid w:val="006435B1"/>
    <w:rsid w:val="00643FB8"/>
    <w:rsid w:val="00644049"/>
    <w:rsid w:val="006445BB"/>
    <w:rsid w:val="00644AAA"/>
    <w:rsid w:val="00644AD1"/>
    <w:rsid w:val="00645014"/>
    <w:rsid w:val="00645038"/>
    <w:rsid w:val="00645136"/>
    <w:rsid w:val="00645178"/>
    <w:rsid w:val="0064532B"/>
    <w:rsid w:val="006456F3"/>
    <w:rsid w:val="00645BFB"/>
    <w:rsid w:val="00645C51"/>
    <w:rsid w:val="00645C57"/>
    <w:rsid w:val="00645D4E"/>
    <w:rsid w:val="00645F49"/>
    <w:rsid w:val="00645FD5"/>
    <w:rsid w:val="006460A6"/>
    <w:rsid w:val="00646D49"/>
    <w:rsid w:val="00646FA2"/>
    <w:rsid w:val="00647204"/>
    <w:rsid w:val="0064729C"/>
    <w:rsid w:val="006474F7"/>
    <w:rsid w:val="00647D0A"/>
    <w:rsid w:val="006500D1"/>
    <w:rsid w:val="006500DB"/>
    <w:rsid w:val="0065097B"/>
    <w:rsid w:val="00651738"/>
    <w:rsid w:val="006521D8"/>
    <w:rsid w:val="00652A21"/>
    <w:rsid w:val="00652DD1"/>
    <w:rsid w:val="006530AB"/>
    <w:rsid w:val="006538F5"/>
    <w:rsid w:val="00653944"/>
    <w:rsid w:val="00653C9C"/>
    <w:rsid w:val="00653F65"/>
    <w:rsid w:val="00654AAE"/>
    <w:rsid w:val="00654ECB"/>
    <w:rsid w:val="006550DF"/>
    <w:rsid w:val="006551A2"/>
    <w:rsid w:val="006551DE"/>
    <w:rsid w:val="006553EA"/>
    <w:rsid w:val="006553F1"/>
    <w:rsid w:val="006556DC"/>
    <w:rsid w:val="00655F9C"/>
    <w:rsid w:val="006562D1"/>
    <w:rsid w:val="006563A1"/>
    <w:rsid w:val="00656538"/>
    <w:rsid w:val="00656CAF"/>
    <w:rsid w:val="00656CF4"/>
    <w:rsid w:val="00657218"/>
    <w:rsid w:val="0065758C"/>
    <w:rsid w:val="00657834"/>
    <w:rsid w:val="0065797C"/>
    <w:rsid w:val="00657CD1"/>
    <w:rsid w:val="0066040B"/>
    <w:rsid w:val="0066062E"/>
    <w:rsid w:val="00660734"/>
    <w:rsid w:val="00660AB5"/>
    <w:rsid w:val="00660E8E"/>
    <w:rsid w:val="00661034"/>
    <w:rsid w:val="006611C1"/>
    <w:rsid w:val="00661223"/>
    <w:rsid w:val="00661285"/>
    <w:rsid w:val="006612AB"/>
    <w:rsid w:val="006613F3"/>
    <w:rsid w:val="00661434"/>
    <w:rsid w:val="0066152A"/>
    <w:rsid w:val="00661A84"/>
    <w:rsid w:val="00661EB7"/>
    <w:rsid w:val="00662055"/>
    <w:rsid w:val="00662304"/>
    <w:rsid w:val="006628E4"/>
    <w:rsid w:val="0066333F"/>
    <w:rsid w:val="00663499"/>
    <w:rsid w:val="00663923"/>
    <w:rsid w:val="00663ADA"/>
    <w:rsid w:val="00663B32"/>
    <w:rsid w:val="00663F1D"/>
    <w:rsid w:val="00664192"/>
    <w:rsid w:val="006643E6"/>
    <w:rsid w:val="006643F1"/>
    <w:rsid w:val="006643F4"/>
    <w:rsid w:val="0066454B"/>
    <w:rsid w:val="006648DB"/>
    <w:rsid w:val="006649D4"/>
    <w:rsid w:val="006649D5"/>
    <w:rsid w:val="00664F48"/>
    <w:rsid w:val="006652E0"/>
    <w:rsid w:val="006653C3"/>
    <w:rsid w:val="006656CB"/>
    <w:rsid w:val="006657B9"/>
    <w:rsid w:val="0066581B"/>
    <w:rsid w:val="00665914"/>
    <w:rsid w:val="00665B94"/>
    <w:rsid w:val="00665B99"/>
    <w:rsid w:val="00665DA0"/>
    <w:rsid w:val="006660F4"/>
    <w:rsid w:val="00666589"/>
    <w:rsid w:val="006665B9"/>
    <w:rsid w:val="00666693"/>
    <w:rsid w:val="006669E3"/>
    <w:rsid w:val="00666B91"/>
    <w:rsid w:val="00666D83"/>
    <w:rsid w:val="00666F74"/>
    <w:rsid w:val="00666FBD"/>
    <w:rsid w:val="0066710E"/>
    <w:rsid w:val="00667548"/>
    <w:rsid w:val="00667551"/>
    <w:rsid w:val="00667657"/>
    <w:rsid w:val="006676E0"/>
    <w:rsid w:val="006676F5"/>
    <w:rsid w:val="006678B6"/>
    <w:rsid w:val="00667999"/>
    <w:rsid w:val="00667AB3"/>
    <w:rsid w:val="00667AB9"/>
    <w:rsid w:val="00667B11"/>
    <w:rsid w:val="00667D21"/>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AE3"/>
    <w:rsid w:val="0067560B"/>
    <w:rsid w:val="00675B07"/>
    <w:rsid w:val="00675B5F"/>
    <w:rsid w:val="00675C26"/>
    <w:rsid w:val="006764BE"/>
    <w:rsid w:val="00676AFA"/>
    <w:rsid w:val="00676E3C"/>
    <w:rsid w:val="00676F72"/>
    <w:rsid w:val="006773D5"/>
    <w:rsid w:val="0067742A"/>
    <w:rsid w:val="00677442"/>
    <w:rsid w:val="00677456"/>
    <w:rsid w:val="006776A4"/>
    <w:rsid w:val="0067778A"/>
    <w:rsid w:val="00677AFE"/>
    <w:rsid w:val="00677B0B"/>
    <w:rsid w:val="00677C44"/>
    <w:rsid w:val="00677D2C"/>
    <w:rsid w:val="00677DEE"/>
    <w:rsid w:val="0068010A"/>
    <w:rsid w:val="00680435"/>
    <w:rsid w:val="006807EE"/>
    <w:rsid w:val="00681035"/>
    <w:rsid w:val="006810CC"/>
    <w:rsid w:val="00681449"/>
    <w:rsid w:val="006816B4"/>
    <w:rsid w:val="00681AF5"/>
    <w:rsid w:val="00681C69"/>
    <w:rsid w:val="00681D8E"/>
    <w:rsid w:val="00681E76"/>
    <w:rsid w:val="00681F4A"/>
    <w:rsid w:val="00682132"/>
    <w:rsid w:val="0068213D"/>
    <w:rsid w:val="006823AF"/>
    <w:rsid w:val="00682546"/>
    <w:rsid w:val="00682AEB"/>
    <w:rsid w:val="00682C38"/>
    <w:rsid w:val="00683360"/>
    <w:rsid w:val="00683376"/>
    <w:rsid w:val="006834E7"/>
    <w:rsid w:val="00683768"/>
    <w:rsid w:val="00683769"/>
    <w:rsid w:val="00683B52"/>
    <w:rsid w:val="00683F0F"/>
    <w:rsid w:val="00683F21"/>
    <w:rsid w:val="00684005"/>
    <w:rsid w:val="00684096"/>
    <w:rsid w:val="00684156"/>
    <w:rsid w:val="006842FF"/>
    <w:rsid w:val="00684328"/>
    <w:rsid w:val="0068435B"/>
    <w:rsid w:val="00684506"/>
    <w:rsid w:val="0068455F"/>
    <w:rsid w:val="00684699"/>
    <w:rsid w:val="00684B50"/>
    <w:rsid w:val="00684D43"/>
    <w:rsid w:val="00684E1F"/>
    <w:rsid w:val="00684F31"/>
    <w:rsid w:val="00685241"/>
    <w:rsid w:val="006853DE"/>
    <w:rsid w:val="00685640"/>
    <w:rsid w:val="006856A7"/>
    <w:rsid w:val="00686170"/>
    <w:rsid w:val="00686395"/>
    <w:rsid w:val="0068658D"/>
    <w:rsid w:val="006865F8"/>
    <w:rsid w:val="00686769"/>
    <w:rsid w:val="0068676E"/>
    <w:rsid w:val="00686838"/>
    <w:rsid w:val="00686AA2"/>
    <w:rsid w:val="00686ACC"/>
    <w:rsid w:val="00686DD3"/>
    <w:rsid w:val="00686E23"/>
    <w:rsid w:val="006873FA"/>
    <w:rsid w:val="00687518"/>
    <w:rsid w:val="006877F1"/>
    <w:rsid w:val="00687A83"/>
    <w:rsid w:val="006903AA"/>
    <w:rsid w:val="00690F1B"/>
    <w:rsid w:val="00690F62"/>
    <w:rsid w:val="006913D7"/>
    <w:rsid w:val="00691756"/>
    <w:rsid w:val="00691838"/>
    <w:rsid w:val="00691A00"/>
    <w:rsid w:val="00691CD0"/>
    <w:rsid w:val="006920CF"/>
    <w:rsid w:val="00692116"/>
    <w:rsid w:val="006928C4"/>
    <w:rsid w:val="00692A39"/>
    <w:rsid w:val="00692A46"/>
    <w:rsid w:val="00692B08"/>
    <w:rsid w:val="006935A8"/>
    <w:rsid w:val="00693745"/>
    <w:rsid w:val="00693CF6"/>
    <w:rsid w:val="00693D57"/>
    <w:rsid w:val="00693F2D"/>
    <w:rsid w:val="006942CA"/>
    <w:rsid w:val="006943F7"/>
    <w:rsid w:val="006944E3"/>
    <w:rsid w:val="006949DB"/>
    <w:rsid w:val="00694B12"/>
    <w:rsid w:val="00694C4F"/>
    <w:rsid w:val="00694D46"/>
    <w:rsid w:val="00694FB5"/>
    <w:rsid w:val="0069517A"/>
    <w:rsid w:val="00695295"/>
    <w:rsid w:val="006954AA"/>
    <w:rsid w:val="00695637"/>
    <w:rsid w:val="0069584B"/>
    <w:rsid w:val="00695BCD"/>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A0066"/>
    <w:rsid w:val="006A006D"/>
    <w:rsid w:val="006A00FD"/>
    <w:rsid w:val="006A02DA"/>
    <w:rsid w:val="006A0787"/>
    <w:rsid w:val="006A08DC"/>
    <w:rsid w:val="006A0C73"/>
    <w:rsid w:val="006A0D30"/>
    <w:rsid w:val="006A0FDB"/>
    <w:rsid w:val="006A13AF"/>
    <w:rsid w:val="006A153C"/>
    <w:rsid w:val="006A192C"/>
    <w:rsid w:val="006A19AC"/>
    <w:rsid w:val="006A1E8C"/>
    <w:rsid w:val="006A221C"/>
    <w:rsid w:val="006A2894"/>
    <w:rsid w:val="006A2CE2"/>
    <w:rsid w:val="006A2D8D"/>
    <w:rsid w:val="006A307F"/>
    <w:rsid w:val="006A3130"/>
    <w:rsid w:val="006A3AA3"/>
    <w:rsid w:val="006A3DAE"/>
    <w:rsid w:val="006A4C31"/>
    <w:rsid w:val="006A5061"/>
    <w:rsid w:val="006A59D2"/>
    <w:rsid w:val="006A59D8"/>
    <w:rsid w:val="006A5ABF"/>
    <w:rsid w:val="006A5BD4"/>
    <w:rsid w:val="006A5CA9"/>
    <w:rsid w:val="006A5DB3"/>
    <w:rsid w:val="006A60A4"/>
    <w:rsid w:val="006A63B7"/>
    <w:rsid w:val="006A6537"/>
    <w:rsid w:val="006A6756"/>
    <w:rsid w:val="006A68F5"/>
    <w:rsid w:val="006A6A60"/>
    <w:rsid w:val="006A6AC2"/>
    <w:rsid w:val="006A6B04"/>
    <w:rsid w:val="006A6D8A"/>
    <w:rsid w:val="006A6EBA"/>
    <w:rsid w:val="006A701D"/>
    <w:rsid w:val="006A7097"/>
    <w:rsid w:val="006A7144"/>
    <w:rsid w:val="006A7374"/>
    <w:rsid w:val="006A750C"/>
    <w:rsid w:val="006A7788"/>
    <w:rsid w:val="006A7888"/>
    <w:rsid w:val="006A79B8"/>
    <w:rsid w:val="006A7AFC"/>
    <w:rsid w:val="006A7BAF"/>
    <w:rsid w:val="006A7C75"/>
    <w:rsid w:val="006A7E06"/>
    <w:rsid w:val="006A7E21"/>
    <w:rsid w:val="006B00EC"/>
    <w:rsid w:val="006B033E"/>
    <w:rsid w:val="006B090E"/>
    <w:rsid w:val="006B0DBB"/>
    <w:rsid w:val="006B101F"/>
    <w:rsid w:val="006B10F9"/>
    <w:rsid w:val="006B1178"/>
    <w:rsid w:val="006B128A"/>
    <w:rsid w:val="006B138C"/>
    <w:rsid w:val="006B1AF0"/>
    <w:rsid w:val="006B1FA2"/>
    <w:rsid w:val="006B1FB3"/>
    <w:rsid w:val="006B1FDD"/>
    <w:rsid w:val="006B213E"/>
    <w:rsid w:val="006B239C"/>
    <w:rsid w:val="006B2419"/>
    <w:rsid w:val="006B2429"/>
    <w:rsid w:val="006B26C5"/>
    <w:rsid w:val="006B279E"/>
    <w:rsid w:val="006B298A"/>
    <w:rsid w:val="006B306E"/>
    <w:rsid w:val="006B33A3"/>
    <w:rsid w:val="006B3558"/>
    <w:rsid w:val="006B358C"/>
    <w:rsid w:val="006B3700"/>
    <w:rsid w:val="006B378B"/>
    <w:rsid w:val="006B39FC"/>
    <w:rsid w:val="006B3C32"/>
    <w:rsid w:val="006B3E55"/>
    <w:rsid w:val="006B3F71"/>
    <w:rsid w:val="006B434F"/>
    <w:rsid w:val="006B454C"/>
    <w:rsid w:val="006B45BD"/>
    <w:rsid w:val="006B461F"/>
    <w:rsid w:val="006B4C17"/>
    <w:rsid w:val="006B4D2C"/>
    <w:rsid w:val="006B524A"/>
    <w:rsid w:val="006B5566"/>
    <w:rsid w:val="006B56DA"/>
    <w:rsid w:val="006B587F"/>
    <w:rsid w:val="006B5911"/>
    <w:rsid w:val="006B5DDB"/>
    <w:rsid w:val="006B5E37"/>
    <w:rsid w:val="006B5E85"/>
    <w:rsid w:val="006B5FC8"/>
    <w:rsid w:val="006B629D"/>
    <w:rsid w:val="006B66F4"/>
    <w:rsid w:val="006B708D"/>
    <w:rsid w:val="006B7685"/>
    <w:rsid w:val="006B7793"/>
    <w:rsid w:val="006B77C7"/>
    <w:rsid w:val="006B7E1A"/>
    <w:rsid w:val="006C02F7"/>
    <w:rsid w:val="006C0376"/>
    <w:rsid w:val="006C0549"/>
    <w:rsid w:val="006C0C8D"/>
    <w:rsid w:val="006C0ED2"/>
    <w:rsid w:val="006C0EDC"/>
    <w:rsid w:val="006C14C2"/>
    <w:rsid w:val="006C157B"/>
    <w:rsid w:val="006C19BF"/>
    <w:rsid w:val="006C1AD3"/>
    <w:rsid w:val="006C1FCA"/>
    <w:rsid w:val="006C2554"/>
    <w:rsid w:val="006C2678"/>
    <w:rsid w:val="006C280A"/>
    <w:rsid w:val="006C28D4"/>
    <w:rsid w:val="006C29D5"/>
    <w:rsid w:val="006C2DE2"/>
    <w:rsid w:val="006C3302"/>
    <w:rsid w:val="006C3339"/>
    <w:rsid w:val="006C34F5"/>
    <w:rsid w:val="006C350B"/>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512"/>
    <w:rsid w:val="006C5805"/>
    <w:rsid w:val="006C59A6"/>
    <w:rsid w:val="006C59F9"/>
    <w:rsid w:val="006C5A38"/>
    <w:rsid w:val="006C5AEF"/>
    <w:rsid w:val="006C5EA3"/>
    <w:rsid w:val="006C62B1"/>
    <w:rsid w:val="006C6993"/>
    <w:rsid w:val="006C6A27"/>
    <w:rsid w:val="006C6DB2"/>
    <w:rsid w:val="006C6E43"/>
    <w:rsid w:val="006C722C"/>
    <w:rsid w:val="006C7616"/>
    <w:rsid w:val="006C78FB"/>
    <w:rsid w:val="006C7957"/>
    <w:rsid w:val="006C79AD"/>
    <w:rsid w:val="006C7A87"/>
    <w:rsid w:val="006C7E75"/>
    <w:rsid w:val="006C7E7D"/>
    <w:rsid w:val="006D0722"/>
    <w:rsid w:val="006D0D6E"/>
    <w:rsid w:val="006D1229"/>
    <w:rsid w:val="006D1AE1"/>
    <w:rsid w:val="006D1DEE"/>
    <w:rsid w:val="006D2360"/>
    <w:rsid w:val="006D2372"/>
    <w:rsid w:val="006D26B3"/>
    <w:rsid w:val="006D2879"/>
    <w:rsid w:val="006D30B7"/>
    <w:rsid w:val="006D3221"/>
    <w:rsid w:val="006D3386"/>
    <w:rsid w:val="006D3572"/>
    <w:rsid w:val="006D3AEA"/>
    <w:rsid w:val="006D3B52"/>
    <w:rsid w:val="006D413C"/>
    <w:rsid w:val="006D4441"/>
    <w:rsid w:val="006D466F"/>
    <w:rsid w:val="006D48B2"/>
    <w:rsid w:val="006D534B"/>
    <w:rsid w:val="006D544B"/>
    <w:rsid w:val="006D5798"/>
    <w:rsid w:val="006D5EA2"/>
    <w:rsid w:val="006D5F26"/>
    <w:rsid w:val="006D5F59"/>
    <w:rsid w:val="006D603B"/>
    <w:rsid w:val="006D64CE"/>
    <w:rsid w:val="006D6BB7"/>
    <w:rsid w:val="006D6D4F"/>
    <w:rsid w:val="006D72B3"/>
    <w:rsid w:val="006D7334"/>
    <w:rsid w:val="006D7420"/>
    <w:rsid w:val="006D7616"/>
    <w:rsid w:val="006D7DF3"/>
    <w:rsid w:val="006E00C0"/>
    <w:rsid w:val="006E01B1"/>
    <w:rsid w:val="006E02CF"/>
    <w:rsid w:val="006E079D"/>
    <w:rsid w:val="006E09D0"/>
    <w:rsid w:val="006E0D1C"/>
    <w:rsid w:val="006E1274"/>
    <w:rsid w:val="006E1398"/>
    <w:rsid w:val="006E1550"/>
    <w:rsid w:val="006E171A"/>
    <w:rsid w:val="006E1980"/>
    <w:rsid w:val="006E1BFB"/>
    <w:rsid w:val="006E1CBD"/>
    <w:rsid w:val="006E231A"/>
    <w:rsid w:val="006E2456"/>
    <w:rsid w:val="006E27E5"/>
    <w:rsid w:val="006E2892"/>
    <w:rsid w:val="006E2BD7"/>
    <w:rsid w:val="006E2D3C"/>
    <w:rsid w:val="006E3928"/>
    <w:rsid w:val="006E3F9E"/>
    <w:rsid w:val="006E4624"/>
    <w:rsid w:val="006E4814"/>
    <w:rsid w:val="006E4E91"/>
    <w:rsid w:val="006E5262"/>
    <w:rsid w:val="006E5537"/>
    <w:rsid w:val="006E58D5"/>
    <w:rsid w:val="006E59BB"/>
    <w:rsid w:val="006E59E9"/>
    <w:rsid w:val="006E5B9B"/>
    <w:rsid w:val="006E5BD4"/>
    <w:rsid w:val="006E5CD3"/>
    <w:rsid w:val="006E5DC9"/>
    <w:rsid w:val="006E5F02"/>
    <w:rsid w:val="006E6533"/>
    <w:rsid w:val="006E6663"/>
    <w:rsid w:val="006E7097"/>
    <w:rsid w:val="006E7583"/>
    <w:rsid w:val="006E7D8E"/>
    <w:rsid w:val="006E7DC6"/>
    <w:rsid w:val="006E7E35"/>
    <w:rsid w:val="006F0094"/>
    <w:rsid w:val="006F019A"/>
    <w:rsid w:val="006F043A"/>
    <w:rsid w:val="006F0454"/>
    <w:rsid w:val="006F0EC8"/>
    <w:rsid w:val="006F1837"/>
    <w:rsid w:val="006F19B0"/>
    <w:rsid w:val="006F1A0C"/>
    <w:rsid w:val="006F1B05"/>
    <w:rsid w:val="006F1DA3"/>
    <w:rsid w:val="006F1FB5"/>
    <w:rsid w:val="006F277D"/>
    <w:rsid w:val="006F2AB5"/>
    <w:rsid w:val="006F2D63"/>
    <w:rsid w:val="006F2EE5"/>
    <w:rsid w:val="006F34B4"/>
    <w:rsid w:val="006F353A"/>
    <w:rsid w:val="006F3792"/>
    <w:rsid w:val="006F3A53"/>
    <w:rsid w:val="006F3D4B"/>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C55"/>
    <w:rsid w:val="006F7DB6"/>
    <w:rsid w:val="006F7DDE"/>
    <w:rsid w:val="006F7FFE"/>
    <w:rsid w:val="007004C5"/>
    <w:rsid w:val="007004FD"/>
    <w:rsid w:val="0070068D"/>
    <w:rsid w:val="00700797"/>
    <w:rsid w:val="0070095E"/>
    <w:rsid w:val="00700CD4"/>
    <w:rsid w:val="00700F46"/>
    <w:rsid w:val="00700F66"/>
    <w:rsid w:val="00700F82"/>
    <w:rsid w:val="00701120"/>
    <w:rsid w:val="007014B5"/>
    <w:rsid w:val="007015EE"/>
    <w:rsid w:val="007017F4"/>
    <w:rsid w:val="00701AA9"/>
    <w:rsid w:val="00701BAD"/>
    <w:rsid w:val="00701C78"/>
    <w:rsid w:val="00701D0F"/>
    <w:rsid w:val="00701D39"/>
    <w:rsid w:val="00701FA9"/>
    <w:rsid w:val="00702501"/>
    <w:rsid w:val="00702649"/>
    <w:rsid w:val="0070279D"/>
    <w:rsid w:val="00702DF0"/>
    <w:rsid w:val="00703282"/>
    <w:rsid w:val="007032A0"/>
    <w:rsid w:val="007039BD"/>
    <w:rsid w:val="00703BCE"/>
    <w:rsid w:val="00703CAF"/>
    <w:rsid w:val="00703DD7"/>
    <w:rsid w:val="00703EC8"/>
    <w:rsid w:val="0070421D"/>
    <w:rsid w:val="0070424F"/>
    <w:rsid w:val="007047BB"/>
    <w:rsid w:val="00704886"/>
    <w:rsid w:val="007049C5"/>
    <w:rsid w:val="00704C36"/>
    <w:rsid w:val="00704E19"/>
    <w:rsid w:val="00705607"/>
    <w:rsid w:val="00705757"/>
    <w:rsid w:val="007057DD"/>
    <w:rsid w:val="00705972"/>
    <w:rsid w:val="0070597E"/>
    <w:rsid w:val="00705CD3"/>
    <w:rsid w:val="0070604D"/>
    <w:rsid w:val="007065EA"/>
    <w:rsid w:val="00706A1D"/>
    <w:rsid w:val="00706A7A"/>
    <w:rsid w:val="00706C6F"/>
    <w:rsid w:val="00706E48"/>
    <w:rsid w:val="00706E4E"/>
    <w:rsid w:val="00706EC5"/>
    <w:rsid w:val="007072CD"/>
    <w:rsid w:val="007073EF"/>
    <w:rsid w:val="007074A2"/>
    <w:rsid w:val="00707973"/>
    <w:rsid w:val="0070798E"/>
    <w:rsid w:val="007079EB"/>
    <w:rsid w:val="00707DA7"/>
    <w:rsid w:val="00710179"/>
    <w:rsid w:val="00710619"/>
    <w:rsid w:val="00710906"/>
    <w:rsid w:val="007109EB"/>
    <w:rsid w:val="0071109B"/>
    <w:rsid w:val="007110C2"/>
    <w:rsid w:val="007112C1"/>
    <w:rsid w:val="0071154B"/>
    <w:rsid w:val="00711690"/>
    <w:rsid w:val="00711863"/>
    <w:rsid w:val="00711A39"/>
    <w:rsid w:val="007122AD"/>
    <w:rsid w:val="0071235C"/>
    <w:rsid w:val="007125A0"/>
    <w:rsid w:val="00712612"/>
    <w:rsid w:val="007126DB"/>
    <w:rsid w:val="00712774"/>
    <w:rsid w:val="007127C6"/>
    <w:rsid w:val="007129F6"/>
    <w:rsid w:val="00712AC9"/>
    <w:rsid w:val="00712C27"/>
    <w:rsid w:val="00712ED3"/>
    <w:rsid w:val="00712EEA"/>
    <w:rsid w:val="00713646"/>
    <w:rsid w:val="0071389C"/>
    <w:rsid w:val="00713BBC"/>
    <w:rsid w:val="00713EF5"/>
    <w:rsid w:val="007145CE"/>
    <w:rsid w:val="00714D18"/>
    <w:rsid w:val="00714EE9"/>
    <w:rsid w:val="00714F78"/>
    <w:rsid w:val="0071530A"/>
    <w:rsid w:val="00715873"/>
    <w:rsid w:val="00715A85"/>
    <w:rsid w:val="00715EDD"/>
    <w:rsid w:val="00716284"/>
    <w:rsid w:val="00716299"/>
    <w:rsid w:val="007165C3"/>
    <w:rsid w:val="00716677"/>
    <w:rsid w:val="007166CC"/>
    <w:rsid w:val="007167E1"/>
    <w:rsid w:val="007168F9"/>
    <w:rsid w:val="00716DC0"/>
    <w:rsid w:val="00717092"/>
    <w:rsid w:val="00717298"/>
    <w:rsid w:val="007179F2"/>
    <w:rsid w:val="00717C80"/>
    <w:rsid w:val="00717C98"/>
    <w:rsid w:val="00717E03"/>
    <w:rsid w:val="00717EA0"/>
    <w:rsid w:val="00717FA0"/>
    <w:rsid w:val="00720094"/>
    <w:rsid w:val="0072010B"/>
    <w:rsid w:val="00720670"/>
    <w:rsid w:val="00720DB4"/>
    <w:rsid w:val="00720EA6"/>
    <w:rsid w:val="0072137C"/>
    <w:rsid w:val="00721396"/>
    <w:rsid w:val="0072151B"/>
    <w:rsid w:val="0072192E"/>
    <w:rsid w:val="00721B93"/>
    <w:rsid w:val="00721EBE"/>
    <w:rsid w:val="00721FBA"/>
    <w:rsid w:val="00722045"/>
    <w:rsid w:val="0072204C"/>
    <w:rsid w:val="007224CA"/>
    <w:rsid w:val="00722898"/>
    <w:rsid w:val="00722B9A"/>
    <w:rsid w:val="00722BA7"/>
    <w:rsid w:val="00722C3B"/>
    <w:rsid w:val="00722E22"/>
    <w:rsid w:val="007232A2"/>
    <w:rsid w:val="007234A4"/>
    <w:rsid w:val="00723606"/>
    <w:rsid w:val="00723688"/>
    <w:rsid w:val="007238D3"/>
    <w:rsid w:val="007239CF"/>
    <w:rsid w:val="00723F4E"/>
    <w:rsid w:val="00724028"/>
    <w:rsid w:val="007241CD"/>
    <w:rsid w:val="00724A52"/>
    <w:rsid w:val="00725039"/>
    <w:rsid w:val="007251A9"/>
    <w:rsid w:val="0072528C"/>
    <w:rsid w:val="007253A0"/>
    <w:rsid w:val="00725862"/>
    <w:rsid w:val="00725890"/>
    <w:rsid w:val="00725BF7"/>
    <w:rsid w:val="007261A5"/>
    <w:rsid w:val="00726311"/>
    <w:rsid w:val="0072632C"/>
    <w:rsid w:val="0072670D"/>
    <w:rsid w:val="00726B56"/>
    <w:rsid w:val="00726DCD"/>
    <w:rsid w:val="0072704B"/>
    <w:rsid w:val="00727386"/>
    <w:rsid w:val="007273FC"/>
    <w:rsid w:val="007279F7"/>
    <w:rsid w:val="00727A8C"/>
    <w:rsid w:val="00727ADF"/>
    <w:rsid w:val="00727B6D"/>
    <w:rsid w:val="00730634"/>
    <w:rsid w:val="00730D45"/>
    <w:rsid w:val="00730D91"/>
    <w:rsid w:val="00730F20"/>
    <w:rsid w:val="0073127E"/>
    <w:rsid w:val="00731866"/>
    <w:rsid w:val="00731AD9"/>
    <w:rsid w:val="00731C1D"/>
    <w:rsid w:val="00731E8B"/>
    <w:rsid w:val="00732175"/>
    <w:rsid w:val="0073221C"/>
    <w:rsid w:val="00732618"/>
    <w:rsid w:val="00732F3D"/>
    <w:rsid w:val="00732FD7"/>
    <w:rsid w:val="0073304E"/>
    <w:rsid w:val="007330D0"/>
    <w:rsid w:val="00733430"/>
    <w:rsid w:val="00733CE9"/>
    <w:rsid w:val="00733FB3"/>
    <w:rsid w:val="00733FD1"/>
    <w:rsid w:val="0073410E"/>
    <w:rsid w:val="00734675"/>
    <w:rsid w:val="00735030"/>
    <w:rsid w:val="00735300"/>
    <w:rsid w:val="0073537C"/>
    <w:rsid w:val="007353D0"/>
    <w:rsid w:val="00735675"/>
    <w:rsid w:val="007356D8"/>
    <w:rsid w:val="00735D89"/>
    <w:rsid w:val="00735E11"/>
    <w:rsid w:val="0073665F"/>
    <w:rsid w:val="00736AE9"/>
    <w:rsid w:val="00736BF5"/>
    <w:rsid w:val="00736DA1"/>
    <w:rsid w:val="00736DB4"/>
    <w:rsid w:val="00736F82"/>
    <w:rsid w:val="00736FF0"/>
    <w:rsid w:val="0073743E"/>
    <w:rsid w:val="0073754B"/>
    <w:rsid w:val="0073761C"/>
    <w:rsid w:val="00737693"/>
    <w:rsid w:val="007377EC"/>
    <w:rsid w:val="0073799B"/>
    <w:rsid w:val="0074023E"/>
    <w:rsid w:val="00740BE6"/>
    <w:rsid w:val="00740C0C"/>
    <w:rsid w:val="00740C23"/>
    <w:rsid w:val="0074139B"/>
    <w:rsid w:val="00741518"/>
    <w:rsid w:val="00741888"/>
    <w:rsid w:val="00741A24"/>
    <w:rsid w:val="00741A45"/>
    <w:rsid w:val="00741F3E"/>
    <w:rsid w:val="00742113"/>
    <w:rsid w:val="007421A5"/>
    <w:rsid w:val="007421C8"/>
    <w:rsid w:val="007423CB"/>
    <w:rsid w:val="00742AFF"/>
    <w:rsid w:val="0074312B"/>
    <w:rsid w:val="007439CB"/>
    <w:rsid w:val="00743D37"/>
    <w:rsid w:val="007441A4"/>
    <w:rsid w:val="00744250"/>
    <w:rsid w:val="007447DF"/>
    <w:rsid w:val="00744A0A"/>
    <w:rsid w:val="00744F51"/>
    <w:rsid w:val="00745152"/>
    <w:rsid w:val="007453AB"/>
    <w:rsid w:val="0074541A"/>
    <w:rsid w:val="007455C5"/>
    <w:rsid w:val="007455D1"/>
    <w:rsid w:val="0074578F"/>
    <w:rsid w:val="00745906"/>
    <w:rsid w:val="00745B4E"/>
    <w:rsid w:val="00745B71"/>
    <w:rsid w:val="00745D05"/>
    <w:rsid w:val="00745E5A"/>
    <w:rsid w:val="00745E93"/>
    <w:rsid w:val="00745FC4"/>
    <w:rsid w:val="00746776"/>
    <w:rsid w:val="00746A65"/>
    <w:rsid w:val="00746C1A"/>
    <w:rsid w:val="00746F60"/>
    <w:rsid w:val="007478E3"/>
    <w:rsid w:val="0074793F"/>
    <w:rsid w:val="00747F84"/>
    <w:rsid w:val="0075035E"/>
    <w:rsid w:val="007504D0"/>
    <w:rsid w:val="0075121D"/>
    <w:rsid w:val="007515B0"/>
    <w:rsid w:val="007518E1"/>
    <w:rsid w:val="00752218"/>
    <w:rsid w:val="00752895"/>
    <w:rsid w:val="0075306E"/>
    <w:rsid w:val="00753177"/>
    <w:rsid w:val="00753A36"/>
    <w:rsid w:val="00753C6D"/>
    <w:rsid w:val="00754055"/>
    <w:rsid w:val="007547CA"/>
    <w:rsid w:val="00754F05"/>
    <w:rsid w:val="0075530A"/>
    <w:rsid w:val="0075560B"/>
    <w:rsid w:val="00755B65"/>
    <w:rsid w:val="00755FB4"/>
    <w:rsid w:val="00756278"/>
    <w:rsid w:val="0075662B"/>
    <w:rsid w:val="00756643"/>
    <w:rsid w:val="00756CA9"/>
    <w:rsid w:val="00756CBF"/>
    <w:rsid w:val="00756F71"/>
    <w:rsid w:val="0075701A"/>
    <w:rsid w:val="00757022"/>
    <w:rsid w:val="00757533"/>
    <w:rsid w:val="00757830"/>
    <w:rsid w:val="0075792B"/>
    <w:rsid w:val="00757BC2"/>
    <w:rsid w:val="00757E78"/>
    <w:rsid w:val="00757FF4"/>
    <w:rsid w:val="00760112"/>
    <w:rsid w:val="00760164"/>
    <w:rsid w:val="00760296"/>
    <w:rsid w:val="00760328"/>
    <w:rsid w:val="00760360"/>
    <w:rsid w:val="00760480"/>
    <w:rsid w:val="007605AB"/>
    <w:rsid w:val="00760A2A"/>
    <w:rsid w:val="0076113E"/>
    <w:rsid w:val="007612EA"/>
    <w:rsid w:val="00761417"/>
    <w:rsid w:val="00761469"/>
    <w:rsid w:val="00761E3B"/>
    <w:rsid w:val="007620E5"/>
    <w:rsid w:val="00762300"/>
    <w:rsid w:val="00762467"/>
    <w:rsid w:val="007626E3"/>
    <w:rsid w:val="00762FA6"/>
    <w:rsid w:val="00763099"/>
    <w:rsid w:val="00763528"/>
    <w:rsid w:val="0076358E"/>
    <w:rsid w:val="00763591"/>
    <w:rsid w:val="00763A1B"/>
    <w:rsid w:val="007640C6"/>
    <w:rsid w:val="007640D6"/>
    <w:rsid w:val="00764184"/>
    <w:rsid w:val="00764196"/>
    <w:rsid w:val="0076459C"/>
    <w:rsid w:val="007648CD"/>
    <w:rsid w:val="007649A5"/>
    <w:rsid w:val="00764B5C"/>
    <w:rsid w:val="00764D3A"/>
    <w:rsid w:val="00764FD3"/>
    <w:rsid w:val="007655ED"/>
    <w:rsid w:val="00765648"/>
    <w:rsid w:val="00765765"/>
    <w:rsid w:val="00765A16"/>
    <w:rsid w:val="00765EF0"/>
    <w:rsid w:val="00765FD5"/>
    <w:rsid w:val="0076621C"/>
    <w:rsid w:val="00766239"/>
    <w:rsid w:val="007664B1"/>
    <w:rsid w:val="00766B0B"/>
    <w:rsid w:val="00766BCA"/>
    <w:rsid w:val="00767023"/>
    <w:rsid w:val="00767DED"/>
    <w:rsid w:val="00767E28"/>
    <w:rsid w:val="00767E39"/>
    <w:rsid w:val="00770303"/>
    <w:rsid w:val="007703CD"/>
    <w:rsid w:val="00770749"/>
    <w:rsid w:val="007708EE"/>
    <w:rsid w:val="00770D73"/>
    <w:rsid w:val="00770E24"/>
    <w:rsid w:val="00770EA8"/>
    <w:rsid w:val="007712F3"/>
    <w:rsid w:val="00771669"/>
    <w:rsid w:val="00771675"/>
    <w:rsid w:val="0077169A"/>
    <w:rsid w:val="00771999"/>
    <w:rsid w:val="00771DCA"/>
    <w:rsid w:val="00772C71"/>
    <w:rsid w:val="00773027"/>
    <w:rsid w:val="0077311E"/>
    <w:rsid w:val="00773301"/>
    <w:rsid w:val="00773980"/>
    <w:rsid w:val="00773A83"/>
    <w:rsid w:val="00774019"/>
    <w:rsid w:val="0077425A"/>
    <w:rsid w:val="0077435F"/>
    <w:rsid w:val="00774556"/>
    <w:rsid w:val="00774B4D"/>
    <w:rsid w:val="007752B3"/>
    <w:rsid w:val="007759D6"/>
    <w:rsid w:val="00775C17"/>
    <w:rsid w:val="00775F31"/>
    <w:rsid w:val="00776491"/>
    <w:rsid w:val="00776514"/>
    <w:rsid w:val="00776543"/>
    <w:rsid w:val="007767A2"/>
    <w:rsid w:val="007768BF"/>
    <w:rsid w:val="00776957"/>
    <w:rsid w:val="00776A54"/>
    <w:rsid w:val="00776B42"/>
    <w:rsid w:val="00776E61"/>
    <w:rsid w:val="00777032"/>
    <w:rsid w:val="00777531"/>
    <w:rsid w:val="00777B29"/>
    <w:rsid w:val="00777E48"/>
    <w:rsid w:val="00780212"/>
    <w:rsid w:val="00780825"/>
    <w:rsid w:val="00780AAF"/>
    <w:rsid w:val="00780BD8"/>
    <w:rsid w:val="00780DE2"/>
    <w:rsid w:val="0078105C"/>
    <w:rsid w:val="007812E2"/>
    <w:rsid w:val="00781503"/>
    <w:rsid w:val="00781690"/>
    <w:rsid w:val="00781874"/>
    <w:rsid w:val="00781ABF"/>
    <w:rsid w:val="00781B5B"/>
    <w:rsid w:val="00781D52"/>
    <w:rsid w:val="00782009"/>
    <w:rsid w:val="007821FA"/>
    <w:rsid w:val="00782428"/>
    <w:rsid w:val="00782626"/>
    <w:rsid w:val="007826C8"/>
    <w:rsid w:val="0078280F"/>
    <w:rsid w:val="00782CF2"/>
    <w:rsid w:val="00782E9F"/>
    <w:rsid w:val="007835B9"/>
    <w:rsid w:val="00783769"/>
    <w:rsid w:val="007839A8"/>
    <w:rsid w:val="00783D95"/>
    <w:rsid w:val="00783FFB"/>
    <w:rsid w:val="007842DB"/>
    <w:rsid w:val="0078460A"/>
    <w:rsid w:val="007847B8"/>
    <w:rsid w:val="00784859"/>
    <w:rsid w:val="007848AF"/>
    <w:rsid w:val="00784A2A"/>
    <w:rsid w:val="00784C34"/>
    <w:rsid w:val="00784D10"/>
    <w:rsid w:val="00785363"/>
    <w:rsid w:val="00785394"/>
    <w:rsid w:val="007855AA"/>
    <w:rsid w:val="0078587D"/>
    <w:rsid w:val="00785A6B"/>
    <w:rsid w:val="00785ABA"/>
    <w:rsid w:val="00785CC9"/>
    <w:rsid w:val="00785F13"/>
    <w:rsid w:val="007863B1"/>
    <w:rsid w:val="007864BB"/>
    <w:rsid w:val="007864C3"/>
    <w:rsid w:val="007865D8"/>
    <w:rsid w:val="007866DF"/>
    <w:rsid w:val="0078697A"/>
    <w:rsid w:val="00786B74"/>
    <w:rsid w:val="00786BBF"/>
    <w:rsid w:val="00786C98"/>
    <w:rsid w:val="00786CF7"/>
    <w:rsid w:val="0078785E"/>
    <w:rsid w:val="007901E2"/>
    <w:rsid w:val="00790C17"/>
    <w:rsid w:val="00790C3E"/>
    <w:rsid w:val="00790D6A"/>
    <w:rsid w:val="00790DFE"/>
    <w:rsid w:val="00790F43"/>
    <w:rsid w:val="0079139B"/>
    <w:rsid w:val="00791A5F"/>
    <w:rsid w:val="007923CB"/>
    <w:rsid w:val="00792412"/>
    <w:rsid w:val="0079259F"/>
    <w:rsid w:val="00792616"/>
    <w:rsid w:val="0079278F"/>
    <w:rsid w:val="007928AE"/>
    <w:rsid w:val="00792904"/>
    <w:rsid w:val="00792B42"/>
    <w:rsid w:val="007930AB"/>
    <w:rsid w:val="00793334"/>
    <w:rsid w:val="007934FD"/>
    <w:rsid w:val="00793CF1"/>
    <w:rsid w:val="00793E5D"/>
    <w:rsid w:val="00794468"/>
    <w:rsid w:val="007947D3"/>
    <w:rsid w:val="00794887"/>
    <w:rsid w:val="00794A98"/>
    <w:rsid w:val="00794C17"/>
    <w:rsid w:val="00794C2E"/>
    <w:rsid w:val="00794D10"/>
    <w:rsid w:val="007957BD"/>
    <w:rsid w:val="00795A2F"/>
    <w:rsid w:val="00795E36"/>
    <w:rsid w:val="0079640C"/>
    <w:rsid w:val="007964F8"/>
    <w:rsid w:val="00796531"/>
    <w:rsid w:val="0079701C"/>
    <w:rsid w:val="0079705A"/>
    <w:rsid w:val="007975E8"/>
    <w:rsid w:val="007975EA"/>
    <w:rsid w:val="00797B30"/>
    <w:rsid w:val="00797D6C"/>
    <w:rsid w:val="00797D94"/>
    <w:rsid w:val="00797F5E"/>
    <w:rsid w:val="007A000F"/>
    <w:rsid w:val="007A0031"/>
    <w:rsid w:val="007A00AE"/>
    <w:rsid w:val="007A02C8"/>
    <w:rsid w:val="007A046B"/>
    <w:rsid w:val="007A047A"/>
    <w:rsid w:val="007A04E3"/>
    <w:rsid w:val="007A052D"/>
    <w:rsid w:val="007A079C"/>
    <w:rsid w:val="007A07EA"/>
    <w:rsid w:val="007A108C"/>
    <w:rsid w:val="007A1902"/>
    <w:rsid w:val="007A2090"/>
    <w:rsid w:val="007A20BB"/>
    <w:rsid w:val="007A23FC"/>
    <w:rsid w:val="007A257D"/>
    <w:rsid w:val="007A2822"/>
    <w:rsid w:val="007A2B6F"/>
    <w:rsid w:val="007A2DB2"/>
    <w:rsid w:val="007A2E01"/>
    <w:rsid w:val="007A33F5"/>
    <w:rsid w:val="007A3ABC"/>
    <w:rsid w:val="007A3ABF"/>
    <w:rsid w:val="007A4056"/>
    <w:rsid w:val="007A41B8"/>
    <w:rsid w:val="007A4411"/>
    <w:rsid w:val="007A443E"/>
    <w:rsid w:val="007A454D"/>
    <w:rsid w:val="007A478E"/>
    <w:rsid w:val="007A4A2D"/>
    <w:rsid w:val="007A4CE2"/>
    <w:rsid w:val="007A4E29"/>
    <w:rsid w:val="007A4E79"/>
    <w:rsid w:val="007A50F7"/>
    <w:rsid w:val="007A55CA"/>
    <w:rsid w:val="007A5789"/>
    <w:rsid w:val="007A58EE"/>
    <w:rsid w:val="007A5A87"/>
    <w:rsid w:val="007A650A"/>
    <w:rsid w:val="007A6BE1"/>
    <w:rsid w:val="007A6C5E"/>
    <w:rsid w:val="007A7197"/>
    <w:rsid w:val="007A71CB"/>
    <w:rsid w:val="007A75ED"/>
    <w:rsid w:val="007A7BF9"/>
    <w:rsid w:val="007B0556"/>
    <w:rsid w:val="007B070C"/>
    <w:rsid w:val="007B0747"/>
    <w:rsid w:val="007B09DC"/>
    <w:rsid w:val="007B0E22"/>
    <w:rsid w:val="007B0E36"/>
    <w:rsid w:val="007B0E92"/>
    <w:rsid w:val="007B0FA8"/>
    <w:rsid w:val="007B1121"/>
    <w:rsid w:val="007B14D2"/>
    <w:rsid w:val="007B151E"/>
    <w:rsid w:val="007B194F"/>
    <w:rsid w:val="007B198C"/>
    <w:rsid w:val="007B1F48"/>
    <w:rsid w:val="007B1F96"/>
    <w:rsid w:val="007B2041"/>
    <w:rsid w:val="007B24A1"/>
    <w:rsid w:val="007B25D6"/>
    <w:rsid w:val="007B2876"/>
    <w:rsid w:val="007B2BA5"/>
    <w:rsid w:val="007B3157"/>
    <w:rsid w:val="007B34A7"/>
    <w:rsid w:val="007B34C3"/>
    <w:rsid w:val="007B34CF"/>
    <w:rsid w:val="007B34D0"/>
    <w:rsid w:val="007B36C8"/>
    <w:rsid w:val="007B3B30"/>
    <w:rsid w:val="007B3FD7"/>
    <w:rsid w:val="007B404C"/>
    <w:rsid w:val="007B4332"/>
    <w:rsid w:val="007B4C49"/>
    <w:rsid w:val="007B4EA1"/>
    <w:rsid w:val="007B4F99"/>
    <w:rsid w:val="007B50E5"/>
    <w:rsid w:val="007B5153"/>
    <w:rsid w:val="007B5617"/>
    <w:rsid w:val="007B5A56"/>
    <w:rsid w:val="007B5AC8"/>
    <w:rsid w:val="007B5C6C"/>
    <w:rsid w:val="007B6146"/>
    <w:rsid w:val="007B627E"/>
    <w:rsid w:val="007B640D"/>
    <w:rsid w:val="007B643B"/>
    <w:rsid w:val="007B66D0"/>
    <w:rsid w:val="007B688F"/>
    <w:rsid w:val="007B6C94"/>
    <w:rsid w:val="007B6C95"/>
    <w:rsid w:val="007B7069"/>
    <w:rsid w:val="007B71CD"/>
    <w:rsid w:val="007B75D7"/>
    <w:rsid w:val="007B78C3"/>
    <w:rsid w:val="007B7F2C"/>
    <w:rsid w:val="007C00E7"/>
    <w:rsid w:val="007C01BE"/>
    <w:rsid w:val="007C093F"/>
    <w:rsid w:val="007C0E87"/>
    <w:rsid w:val="007C0F39"/>
    <w:rsid w:val="007C0F79"/>
    <w:rsid w:val="007C11C2"/>
    <w:rsid w:val="007C1204"/>
    <w:rsid w:val="007C13D5"/>
    <w:rsid w:val="007C1B2C"/>
    <w:rsid w:val="007C1B6F"/>
    <w:rsid w:val="007C25EE"/>
    <w:rsid w:val="007C285B"/>
    <w:rsid w:val="007C2AE9"/>
    <w:rsid w:val="007C2F65"/>
    <w:rsid w:val="007C2FB5"/>
    <w:rsid w:val="007C3102"/>
    <w:rsid w:val="007C31C0"/>
    <w:rsid w:val="007C3362"/>
    <w:rsid w:val="007C3EFE"/>
    <w:rsid w:val="007C41DD"/>
    <w:rsid w:val="007C45DC"/>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99D"/>
    <w:rsid w:val="007C6CA2"/>
    <w:rsid w:val="007C71F8"/>
    <w:rsid w:val="007C76F0"/>
    <w:rsid w:val="007C7ED6"/>
    <w:rsid w:val="007C7F14"/>
    <w:rsid w:val="007D00BF"/>
    <w:rsid w:val="007D0410"/>
    <w:rsid w:val="007D046A"/>
    <w:rsid w:val="007D0572"/>
    <w:rsid w:val="007D06E8"/>
    <w:rsid w:val="007D07E5"/>
    <w:rsid w:val="007D0AD1"/>
    <w:rsid w:val="007D0BF8"/>
    <w:rsid w:val="007D0F60"/>
    <w:rsid w:val="007D1002"/>
    <w:rsid w:val="007D109F"/>
    <w:rsid w:val="007D1465"/>
    <w:rsid w:val="007D1504"/>
    <w:rsid w:val="007D159B"/>
    <w:rsid w:val="007D18F8"/>
    <w:rsid w:val="007D1EEB"/>
    <w:rsid w:val="007D1FD9"/>
    <w:rsid w:val="007D2285"/>
    <w:rsid w:val="007D22AB"/>
    <w:rsid w:val="007D23F4"/>
    <w:rsid w:val="007D246C"/>
    <w:rsid w:val="007D29DF"/>
    <w:rsid w:val="007D2E6F"/>
    <w:rsid w:val="007D2E99"/>
    <w:rsid w:val="007D2F75"/>
    <w:rsid w:val="007D2F97"/>
    <w:rsid w:val="007D3102"/>
    <w:rsid w:val="007D360C"/>
    <w:rsid w:val="007D363D"/>
    <w:rsid w:val="007D37CC"/>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747"/>
    <w:rsid w:val="007D592E"/>
    <w:rsid w:val="007D5A38"/>
    <w:rsid w:val="007D5D12"/>
    <w:rsid w:val="007D5F01"/>
    <w:rsid w:val="007D616A"/>
    <w:rsid w:val="007D6371"/>
    <w:rsid w:val="007D6604"/>
    <w:rsid w:val="007D67F5"/>
    <w:rsid w:val="007D6E9C"/>
    <w:rsid w:val="007D6ED6"/>
    <w:rsid w:val="007D7EC0"/>
    <w:rsid w:val="007D7EE7"/>
    <w:rsid w:val="007D7F03"/>
    <w:rsid w:val="007D7FB2"/>
    <w:rsid w:val="007E00F3"/>
    <w:rsid w:val="007E00FB"/>
    <w:rsid w:val="007E048F"/>
    <w:rsid w:val="007E068D"/>
    <w:rsid w:val="007E0712"/>
    <w:rsid w:val="007E0726"/>
    <w:rsid w:val="007E097C"/>
    <w:rsid w:val="007E1459"/>
    <w:rsid w:val="007E1769"/>
    <w:rsid w:val="007E1A1F"/>
    <w:rsid w:val="007E1B6B"/>
    <w:rsid w:val="007E1C9F"/>
    <w:rsid w:val="007E218E"/>
    <w:rsid w:val="007E2828"/>
    <w:rsid w:val="007E2FBD"/>
    <w:rsid w:val="007E3766"/>
    <w:rsid w:val="007E3929"/>
    <w:rsid w:val="007E39C6"/>
    <w:rsid w:val="007E39D7"/>
    <w:rsid w:val="007E3CA2"/>
    <w:rsid w:val="007E3D7C"/>
    <w:rsid w:val="007E453C"/>
    <w:rsid w:val="007E47EE"/>
    <w:rsid w:val="007E4A14"/>
    <w:rsid w:val="007E4B11"/>
    <w:rsid w:val="007E4E41"/>
    <w:rsid w:val="007E4E9D"/>
    <w:rsid w:val="007E5280"/>
    <w:rsid w:val="007E53E7"/>
    <w:rsid w:val="007E579A"/>
    <w:rsid w:val="007E5961"/>
    <w:rsid w:val="007E5E7D"/>
    <w:rsid w:val="007E6118"/>
    <w:rsid w:val="007E640B"/>
    <w:rsid w:val="007E644F"/>
    <w:rsid w:val="007E6B5C"/>
    <w:rsid w:val="007E6C81"/>
    <w:rsid w:val="007E7012"/>
    <w:rsid w:val="007E714D"/>
    <w:rsid w:val="007E7330"/>
    <w:rsid w:val="007E7998"/>
    <w:rsid w:val="007E79B2"/>
    <w:rsid w:val="007E7A14"/>
    <w:rsid w:val="007E7AB3"/>
    <w:rsid w:val="007F03CA"/>
    <w:rsid w:val="007F06B2"/>
    <w:rsid w:val="007F083D"/>
    <w:rsid w:val="007F0CA8"/>
    <w:rsid w:val="007F0D9B"/>
    <w:rsid w:val="007F1216"/>
    <w:rsid w:val="007F1255"/>
    <w:rsid w:val="007F16A0"/>
    <w:rsid w:val="007F19EB"/>
    <w:rsid w:val="007F1BA2"/>
    <w:rsid w:val="007F1FD8"/>
    <w:rsid w:val="007F25D2"/>
    <w:rsid w:val="007F2A4D"/>
    <w:rsid w:val="007F2ACD"/>
    <w:rsid w:val="007F2AF3"/>
    <w:rsid w:val="007F2B70"/>
    <w:rsid w:val="007F3002"/>
    <w:rsid w:val="007F33CC"/>
    <w:rsid w:val="007F543B"/>
    <w:rsid w:val="007F5D0B"/>
    <w:rsid w:val="007F5DF4"/>
    <w:rsid w:val="007F6004"/>
    <w:rsid w:val="007F6B2D"/>
    <w:rsid w:val="007F6F6F"/>
    <w:rsid w:val="007F700B"/>
    <w:rsid w:val="007F73A9"/>
    <w:rsid w:val="007F7575"/>
    <w:rsid w:val="007F7753"/>
    <w:rsid w:val="007F7990"/>
    <w:rsid w:val="007F7AB0"/>
    <w:rsid w:val="007F7BF7"/>
    <w:rsid w:val="007F7DBC"/>
    <w:rsid w:val="00800200"/>
    <w:rsid w:val="008003F7"/>
    <w:rsid w:val="0080049E"/>
    <w:rsid w:val="008004CE"/>
    <w:rsid w:val="0080093A"/>
    <w:rsid w:val="00800AF0"/>
    <w:rsid w:val="00800F20"/>
    <w:rsid w:val="00801109"/>
    <w:rsid w:val="00801778"/>
    <w:rsid w:val="008018B3"/>
    <w:rsid w:val="00801A6A"/>
    <w:rsid w:val="00801EF2"/>
    <w:rsid w:val="00802A4E"/>
    <w:rsid w:val="00802A52"/>
    <w:rsid w:val="00802B23"/>
    <w:rsid w:val="00802E0C"/>
    <w:rsid w:val="00802E3B"/>
    <w:rsid w:val="0080345F"/>
    <w:rsid w:val="00803608"/>
    <w:rsid w:val="0080362E"/>
    <w:rsid w:val="008036B6"/>
    <w:rsid w:val="008037EE"/>
    <w:rsid w:val="00803A17"/>
    <w:rsid w:val="00803AE1"/>
    <w:rsid w:val="00803C2F"/>
    <w:rsid w:val="00803EB0"/>
    <w:rsid w:val="00804169"/>
    <w:rsid w:val="00804217"/>
    <w:rsid w:val="0080426F"/>
    <w:rsid w:val="008042F4"/>
    <w:rsid w:val="008044EF"/>
    <w:rsid w:val="0080492C"/>
    <w:rsid w:val="0080493A"/>
    <w:rsid w:val="00804999"/>
    <w:rsid w:val="00804AF8"/>
    <w:rsid w:val="00804B17"/>
    <w:rsid w:val="00805330"/>
    <w:rsid w:val="00805488"/>
    <w:rsid w:val="00805705"/>
    <w:rsid w:val="00805A3A"/>
    <w:rsid w:val="00805FDC"/>
    <w:rsid w:val="00806110"/>
    <w:rsid w:val="008062BF"/>
    <w:rsid w:val="008062FB"/>
    <w:rsid w:val="008063D5"/>
    <w:rsid w:val="008064E1"/>
    <w:rsid w:val="00806A29"/>
    <w:rsid w:val="00806DFD"/>
    <w:rsid w:val="008072BE"/>
    <w:rsid w:val="00807775"/>
    <w:rsid w:val="008078F6"/>
    <w:rsid w:val="00807DE4"/>
    <w:rsid w:val="008100A8"/>
    <w:rsid w:val="008104CB"/>
    <w:rsid w:val="008104EC"/>
    <w:rsid w:val="00810604"/>
    <w:rsid w:val="0081079B"/>
    <w:rsid w:val="008109B6"/>
    <w:rsid w:val="00810F9E"/>
    <w:rsid w:val="008111C4"/>
    <w:rsid w:val="008112AE"/>
    <w:rsid w:val="008115E1"/>
    <w:rsid w:val="008115E4"/>
    <w:rsid w:val="0081195D"/>
    <w:rsid w:val="00811A92"/>
    <w:rsid w:val="00811C29"/>
    <w:rsid w:val="00811DA7"/>
    <w:rsid w:val="00811F4A"/>
    <w:rsid w:val="0081254E"/>
    <w:rsid w:val="00812605"/>
    <w:rsid w:val="008127BD"/>
    <w:rsid w:val="008129B6"/>
    <w:rsid w:val="00812BD1"/>
    <w:rsid w:val="00812D3C"/>
    <w:rsid w:val="008131D6"/>
    <w:rsid w:val="00813556"/>
    <w:rsid w:val="008135D4"/>
    <w:rsid w:val="00813BE6"/>
    <w:rsid w:val="0081418D"/>
    <w:rsid w:val="00814267"/>
    <w:rsid w:val="00814295"/>
    <w:rsid w:val="00814464"/>
    <w:rsid w:val="008146AD"/>
    <w:rsid w:val="008146E7"/>
    <w:rsid w:val="0081483F"/>
    <w:rsid w:val="00814A09"/>
    <w:rsid w:val="00814D88"/>
    <w:rsid w:val="00814DDA"/>
    <w:rsid w:val="00814E55"/>
    <w:rsid w:val="00814EEE"/>
    <w:rsid w:val="0081580E"/>
    <w:rsid w:val="0081594E"/>
    <w:rsid w:val="00815C6B"/>
    <w:rsid w:val="00815E4E"/>
    <w:rsid w:val="00815EDE"/>
    <w:rsid w:val="0081608C"/>
    <w:rsid w:val="0081638C"/>
    <w:rsid w:val="00816BA1"/>
    <w:rsid w:val="00816EBB"/>
    <w:rsid w:val="00816F90"/>
    <w:rsid w:val="00816FAF"/>
    <w:rsid w:val="00817325"/>
    <w:rsid w:val="008175E1"/>
    <w:rsid w:val="008176D6"/>
    <w:rsid w:val="008179EE"/>
    <w:rsid w:val="00817C7B"/>
    <w:rsid w:val="00817D70"/>
    <w:rsid w:val="00820326"/>
    <w:rsid w:val="0082055A"/>
    <w:rsid w:val="00820562"/>
    <w:rsid w:val="00820711"/>
    <w:rsid w:val="00820723"/>
    <w:rsid w:val="00820D40"/>
    <w:rsid w:val="00820FBB"/>
    <w:rsid w:val="00820FEC"/>
    <w:rsid w:val="00821001"/>
    <w:rsid w:val="008215EF"/>
    <w:rsid w:val="00821C3B"/>
    <w:rsid w:val="00821CC2"/>
    <w:rsid w:val="0082204C"/>
    <w:rsid w:val="008225CB"/>
    <w:rsid w:val="00822934"/>
    <w:rsid w:val="00822978"/>
    <w:rsid w:val="00822E0E"/>
    <w:rsid w:val="008230FF"/>
    <w:rsid w:val="008232B5"/>
    <w:rsid w:val="008232D1"/>
    <w:rsid w:val="0082330B"/>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8E5"/>
    <w:rsid w:val="0082591C"/>
    <w:rsid w:val="00825961"/>
    <w:rsid w:val="00825D42"/>
    <w:rsid w:val="00825EC2"/>
    <w:rsid w:val="00825F98"/>
    <w:rsid w:val="00826004"/>
    <w:rsid w:val="00826FB5"/>
    <w:rsid w:val="00827168"/>
    <w:rsid w:val="008273EA"/>
    <w:rsid w:val="008278FB"/>
    <w:rsid w:val="00827DB4"/>
    <w:rsid w:val="00827F5E"/>
    <w:rsid w:val="00830039"/>
    <w:rsid w:val="008300AF"/>
    <w:rsid w:val="00830933"/>
    <w:rsid w:val="00830DC8"/>
    <w:rsid w:val="0083107F"/>
    <w:rsid w:val="00831395"/>
    <w:rsid w:val="00831996"/>
    <w:rsid w:val="00831B62"/>
    <w:rsid w:val="00831C74"/>
    <w:rsid w:val="0083237C"/>
    <w:rsid w:val="00832DB0"/>
    <w:rsid w:val="00832E92"/>
    <w:rsid w:val="0083305A"/>
    <w:rsid w:val="0083310B"/>
    <w:rsid w:val="00833759"/>
    <w:rsid w:val="00833C35"/>
    <w:rsid w:val="00833CE1"/>
    <w:rsid w:val="00833D32"/>
    <w:rsid w:val="00833DA6"/>
    <w:rsid w:val="0083421A"/>
    <w:rsid w:val="0083463F"/>
    <w:rsid w:val="008348CD"/>
    <w:rsid w:val="00834A3F"/>
    <w:rsid w:val="008353A1"/>
    <w:rsid w:val="0083542E"/>
    <w:rsid w:val="00835584"/>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8E"/>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70"/>
    <w:rsid w:val="00843208"/>
    <w:rsid w:val="008433BE"/>
    <w:rsid w:val="00843647"/>
    <w:rsid w:val="0084427B"/>
    <w:rsid w:val="0084432C"/>
    <w:rsid w:val="00844407"/>
    <w:rsid w:val="00844493"/>
    <w:rsid w:val="0084458B"/>
    <w:rsid w:val="00844E22"/>
    <w:rsid w:val="00844F8B"/>
    <w:rsid w:val="0084570D"/>
    <w:rsid w:val="008459F9"/>
    <w:rsid w:val="00845A3F"/>
    <w:rsid w:val="00845E92"/>
    <w:rsid w:val="00845ED7"/>
    <w:rsid w:val="008461C7"/>
    <w:rsid w:val="008468E8"/>
    <w:rsid w:val="008472FC"/>
    <w:rsid w:val="008473BD"/>
    <w:rsid w:val="0084762E"/>
    <w:rsid w:val="0084791D"/>
    <w:rsid w:val="008479D0"/>
    <w:rsid w:val="00847B52"/>
    <w:rsid w:val="00847C71"/>
    <w:rsid w:val="00847D83"/>
    <w:rsid w:val="008505D3"/>
    <w:rsid w:val="00850671"/>
    <w:rsid w:val="008508E3"/>
    <w:rsid w:val="00850C7A"/>
    <w:rsid w:val="00851110"/>
    <w:rsid w:val="00851116"/>
    <w:rsid w:val="008513B0"/>
    <w:rsid w:val="00851570"/>
    <w:rsid w:val="00851AF4"/>
    <w:rsid w:val="0085201B"/>
    <w:rsid w:val="00852051"/>
    <w:rsid w:val="008527F7"/>
    <w:rsid w:val="00852A75"/>
    <w:rsid w:val="00852CEC"/>
    <w:rsid w:val="00852F95"/>
    <w:rsid w:val="00852F9B"/>
    <w:rsid w:val="008532E0"/>
    <w:rsid w:val="008532F6"/>
    <w:rsid w:val="0085358B"/>
    <w:rsid w:val="00853FE3"/>
    <w:rsid w:val="008549A0"/>
    <w:rsid w:val="00855080"/>
    <w:rsid w:val="008555DE"/>
    <w:rsid w:val="0085594E"/>
    <w:rsid w:val="0085635C"/>
    <w:rsid w:val="008565BF"/>
    <w:rsid w:val="008567E8"/>
    <w:rsid w:val="0085712D"/>
    <w:rsid w:val="00857B63"/>
    <w:rsid w:val="00857B8E"/>
    <w:rsid w:val="00860050"/>
    <w:rsid w:val="00860F47"/>
    <w:rsid w:val="008614A2"/>
    <w:rsid w:val="008618F3"/>
    <w:rsid w:val="00861E1B"/>
    <w:rsid w:val="0086215C"/>
    <w:rsid w:val="0086299B"/>
    <w:rsid w:val="00862A40"/>
    <w:rsid w:val="00862CE9"/>
    <w:rsid w:val="00863790"/>
    <w:rsid w:val="00863950"/>
    <w:rsid w:val="00863EBC"/>
    <w:rsid w:val="00863F2D"/>
    <w:rsid w:val="00864320"/>
    <w:rsid w:val="00864E01"/>
    <w:rsid w:val="0086579C"/>
    <w:rsid w:val="00865EA1"/>
    <w:rsid w:val="00866088"/>
    <w:rsid w:val="0086676E"/>
    <w:rsid w:val="00866911"/>
    <w:rsid w:val="00867234"/>
    <w:rsid w:val="008676A3"/>
    <w:rsid w:val="0086776A"/>
    <w:rsid w:val="008700CB"/>
    <w:rsid w:val="0087083B"/>
    <w:rsid w:val="00870CA2"/>
    <w:rsid w:val="00870D36"/>
    <w:rsid w:val="00870DFC"/>
    <w:rsid w:val="00870EFD"/>
    <w:rsid w:val="00870F80"/>
    <w:rsid w:val="0087113B"/>
    <w:rsid w:val="008713BC"/>
    <w:rsid w:val="0087158E"/>
    <w:rsid w:val="008715E9"/>
    <w:rsid w:val="008716E1"/>
    <w:rsid w:val="00871998"/>
    <w:rsid w:val="00871C25"/>
    <w:rsid w:val="008720B7"/>
    <w:rsid w:val="00872153"/>
    <w:rsid w:val="008727E8"/>
    <w:rsid w:val="00872CA8"/>
    <w:rsid w:val="00872DFD"/>
    <w:rsid w:val="00872EFF"/>
    <w:rsid w:val="00872F1F"/>
    <w:rsid w:val="00873143"/>
    <w:rsid w:val="0087317C"/>
    <w:rsid w:val="008731EF"/>
    <w:rsid w:val="008732BF"/>
    <w:rsid w:val="00873513"/>
    <w:rsid w:val="00873A80"/>
    <w:rsid w:val="00873F58"/>
    <w:rsid w:val="00874029"/>
    <w:rsid w:val="0087404E"/>
    <w:rsid w:val="00874154"/>
    <w:rsid w:val="008743F9"/>
    <w:rsid w:val="008744C3"/>
    <w:rsid w:val="008749F9"/>
    <w:rsid w:val="00874A94"/>
    <w:rsid w:val="008750EB"/>
    <w:rsid w:val="008750F6"/>
    <w:rsid w:val="00875526"/>
    <w:rsid w:val="00875C21"/>
    <w:rsid w:val="00875FB4"/>
    <w:rsid w:val="0087646A"/>
    <w:rsid w:val="008764FC"/>
    <w:rsid w:val="0087677D"/>
    <w:rsid w:val="0087680C"/>
    <w:rsid w:val="008768F5"/>
    <w:rsid w:val="00877083"/>
    <w:rsid w:val="0087761E"/>
    <w:rsid w:val="008778D6"/>
    <w:rsid w:val="00877B03"/>
    <w:rsid w:val="0088007C"/>
    <w:rsid w:val="00880413"/>
    <w:rsid w:val="008809B8"/>
    <w:rsid w:val="00880AF3"/>
    <w:rsid w:val="00880C07"/>
    <w:rsid w:val="00880CE2"/>
    <w:rsid w:val="00880E27"/>
    <w:rsid w:val="00880F61"/>
    <w:rsid w:val="0088106F"/>
    <w:rsid w:val="00881513"/>
    <w:rsid w:val="00881654"/>
    <w:rsid w:val="0088190D"/>
    <w:rsid w:val="008819B3"/>
    <w:rsid w:val="00881D3E"/>
    <w:rsid w:val="00882127"/>
    <w:rsid w:val="00882A36"/>
    <w:rsid w:val="00882CD5"/>
    <w:rsid w:val="00882CDD"/>
    <w:rsid w:val="00882DA8"/>
    <w:rsid w:val="00882EE1"/>
    <w:rsid w:val="008832ED"/>
    <w:rsid w:val="00883431"/>
    <w:rsid w:val="00883B23"/>
    <w:rsid w:val="00883B4F"/>
    <w:rsid w:val="00884068"/>
    <w:rsid w:val="008840B5"/>
    <w:rsid w:val="0088427F"/>
    <w:rsid w:val="00884665"/>
    <w:rsid w:val="008848BE"/>
    <w:rsid w:val="00884984"/>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BEC"/>
    <w:rsid w:val="00890072"/>
    <w:rsid w:val="0089008C"/>
    <w:rsid w:val="008900A2"/>
    <w:rsid w:val="0089026D"/>
    <w:rsid w:val="008909C7"/>
    <w:rsid w:val="00890AD8"/>
    <w:rsid w:val="00890DC6"/>
    <w:rsid w:val="00890F9B"/>
    <w:rsid w:val="008910EF"/>
    <w:rsid w:val="008914E7"/>
    <w:rsid w:val="00891665"/>
    <w:rsid w:val="008918A4"/>
    <w:rsid w:val="00891CBD"/>
    <w:rsid w:val="00891D95"/>
    <w:rsid w:val="00891F7C"/>
    <w:rsid w:val="008923D6"/>
    <w:rsid w:val="008924C8"/>
    <w:rsid w:val="00892ABB"/>
    <w:rsid w:val="00892BA7"/>
    <w:rsid w:val="0089343D"/>
    <w:rsid w:val="008934EA"/>
    <w:rsid w:val="00893C3C"/>
    <w:rsid w:val="00893CA4"/>
    <w:rsid w:val="00893F06"/>
    <w:rsid w:val="00894548"/>
    <w:rsid w:val="00894769"/>
    <w:rsid w:val="00894B7C"/>
    <w:rsid w:val="00894CAF"/>
    <w:rsid w:val="00894D42"/>
    <w:rsid w:val="00894ED4"/>
    <w:rsid w:val="008950EE"/>
    <w:rsid w:val="008954FF"/>
    <w:rsid w:val="008957D0"/>
    <w:rsid w:val="008958AB"/>
    <w:rsid w:val="00895995"/>
    <w:rsid w:val="00895EF9"/>
    <w:rsid w:val="008962FB"/>
    <w:rsid w:val="0089634C"/>
    <w:rsid w:val="008967A1"/>
    <w:rsid w:val="008967CC"/>
    <w:rsid w:val="00896B2C"/>
    <w:rsid w:val="00896CAF"/>
    <w:rsid w:val="00896D68"/>
    <w:rsid w:val="0089706A"/>
    <w:rsid w:val="008972A0"/>
    <w:rsid w:val="00897388"/>
    <w:rsid w:val="0089745C"/>
    <w:rsid w:val="0089757F"/>
    <w:rsid w:val="008976C5"/>
    <w:rsid w:val="0089786D"/>
    <w:rsid w:val="0089795B"/>
    <w:rsid w:val="00897CCA"/>
    <w:rsid w:val="00897D1E"/>
    <w:rsid w:val="00897F41"/>
    <w:rsid w:val="008A02E8"/>
    <w:rsid w:val="008A0350"/>
    <w:rsid w:val="008A0398"/>
    <w:rsid w:val="008A06AF"/>
    <w:rsid w:val="008A0934"/>
    <w:rsid w:val="008A0BC6"/>
    <w:rsid w:val="008A0C97"/>
    <w:rsid w:val="008A0D42"/>
    <w:rsid w:val="008A0F10"/>
    <w:rsid w:val="008A136A"/>
    <w:rsid w:val="008A13FD"/>
    <w:rsid w:val="008A1789"/>
    <w:rsid w:val="008A18FB"/>
    <w:rsid w:val="008A1D9B"/>
    <w:rsid w:val="008A1E5E"/>
    <w:rsid w:val="008A203D"/>
    <w:rsid w:val="008A2547"/>
    <w:rsid w:val="008A2D17"/>
    <w:rsid w:val="008A2D82"/>
    <w:rsid w:val="008A2E50"/>
    <w:rsid w:val="008A2FE4"/>
    <w:rsid w:val="008A30A6"/>
    <w:rsid w:val="008A317C"/>
    <w:rsid w:val="008A31B4"/>
    <w:rsid w:val="008A3249"/>
    <w:rsid w:val="008A33D9"/>
    <w:rsid w:val="008A384C"/>
    <w:rsid w:val="008A388A"/>
    <w:rsid w:val="008A38C6"/>
    <w:rsid w:val="008A3949"/>
    <w:rsid w:val="008A3978"/>
    <w:rsid w:val="008A3A68"/>
    <w:rsid w:val="008A3E7C"/>
    <w:rsid w:val="008A3FFC"/>
    <w:rsid w:val="008A47EB"/>
    <w:rsid w:val="008A4B3E"/>
    <w:rsid w:val="008A4D71"/>
    <w:rsid w:val="008A4DE8"/>
    <w:rsid w:val="008A5082"/>
    <w:rsid w:val="008A530E"/>
    <w:rsid w:val="008A56A6"/>
    <w:rsid w:val="008A5743"/>
    <w:rsid w:val="008A5CEA"/>
    <w:rsid w:val="008A6302"/>
    <w:rsid w:val="008A6B8A"/>
    <w:rsid w:val="008A6C03"/>
    <w:rsid w:val="008A6C5B"/>
    <w:rsid w:val="008A6DB1"/>
    <w:rsid w:val="008A6DF3"/>
    <w:rsid w:val="008A6EA0"/>
    <w:rsid w:val="008A6FE3"/>
    <w:rsid w:val="008A7456"/>
    <w:rsid w:val="008A7C52"/>
    <w:rsid w:val="008A7E68"/>
    <w:rsid w:val="008B0A8A"/>
    <w:rsid w:val="008B0C9C"/>
    <w:rsid w:val="008B126B"/>
    <w:rsid w:val="008B1315"/>
    <w:rsid w:val="008B137F"/>
    <w:rsid w:val="008B13DD"/>
    <w:rsid w:val="008B145E"/>
    <w:rsid w:val="008B16ED"/>
    <w:rsid w:val="008B1734"/>
    <w:rsid w:val="008B177B"/>
    <w:rsid w:val="008B1A40"/>
    <w:rsid w:val="008B2005"/>
    <w:rsid w:val="008B290B"/>
    <w:rsid w:val="008B2964"/>
    <w:rsid w:val="008B2BB7"/>
    <w:rsid w:val="008B2CB3"/>
    <w:rsid w:val="008B2E66"/>
    <w:rsid w:val="008B3257"/>
    <w:rsid w:val="008B361F"/>
    <w:rsid w:val="008B3E4C"/>
    <w:rsid w:val="008B3FFA"/>
    <w:rsid w:val="008B420D"/>
    <w:rsid w:val="008B43FB"/>
    <w:rsid w:val="008B4430"/>
    <w:rsid w:val="008B4B3D"/>
    <w:rsid w:val="008B4B5A"/>
    <w:rsid w:val="008B5027"/>
    <w:rsid w:val="008B51DB"/>
    <w:rsid w:val="008B51E4"/>
    <w:rsid w:val="008B5673"/>
    <w:rsid w:val="008B5A24"/>
    <w:rsid w:val="008B5BB0"/>
    <w:rsid w:val="008B6171"/>
    <w:rsid w:val="008B62F6"/>
    <w:rsid w:val="008B63CC"/>
    <w:rsid w:val="008B6553"/>
    <w:rsid w:val="008B6653"/>
    <w:rsid w:val="008B7566"/>
    <w:rsid w:val="008B78BD"/>
    <w:rsid w:val="008B7DAC"/>
    <w:rsid w:val="008B7FD5"/>
    <w:rsid w:val="008C00F8"/>
    <w:rsid w:val="008C01E3"/>
    <w:rsid w:val="008C0246"/>
    <w:rsid w:val="008C0456"/>
    <w:rsid w:val="008C04FC"/>
    <w:rsid w:val="008C0611"/>
    <w:rsid w:val="008C072F"/>
    <w:rsid w:val="008C0898"/>
    <w:rsid w:val="008C0AB6"/>
    <w:rsid w:val="008C0E5B"/>
    <w:rsid w:val="008C0F77"/>
    <w:rsid w:val="008C1074"/>
    <w:rsid w:val="008C198A"/>
    <w:rsid w:val="008C1E03"/>
    <w:rsid w:val="008C1F70"/>
    <w:rsid w:val="008C24C7"/>
    <w:rsid w:val="008C2914"/>
    <w:rsid w:val="008C29BD"/>
    <w:rsid w:val="008C2A12"/>
    <w:rsid w:val="008C2E68"/>
    <w:rsid w:val="008C305F"/>
    <w:rsid w:val="008C357C"/>
    <w:rsid w:val="008C3A7C"/>
    <w:rsid w:val="008C3D6B"/>
    <w:rsid w:val="008C3E4B"/>
    <w:rsid w:val="008C3F48"/>
    <w:rsid w:val="008C3F7B"/>
    <w:rsid w:val="008C3FB8"/>
    <w:rsid w:val="008C4535"/>
    <w:rsid w:val="008C45FC"/>
    <w:rsid w:val="008C465D"/>
    <w:rsid w:val="008C4931"/>
    <w:rsid w:val="008C4AE4"/>
    <w:rsid w:val="008C52F4"/>
    <w:rsid w:val="008C54B8"/>
    <w:rsid w:val="008C54C7"/>
    <w:rsid w:val="008C5DC2"/>
    <w:rsid w:val="008C5E4E"/>
    <w:rsid w:val="008C6071"/>
    <w:rsid w:val="008C64BE"/>
    <w:rsid w:val="008C6526"/>
    <w:rsid w:val="008C67FE"/>
    <w:rsid w:val="008C6D4F"/>
    <w:rsid w:val="008C6D88"/>
    <w:rsid w:val="008C6F4F"/>
    <w:rsid w:val="008C705C"/>
    <w:rsid w:val="008C70C5"/>
    <w:rsid w:val="008C7190"/>
    <w:rsid w:val="008C7370"/>
    <w:rsid w:val="008C753D"/>
    <w:rsid w:val="008C7E97"/>
    <w:rsid w:val="008C7F99"/>
    <w:rsid w:val="008C7FE7"/>
    <w:rsid w:val="008D0358"/>
    <w:rsid w:val="008D04BB"/>
    <w:rsid w:val="008D0520"/>
    <w:rsid w:val="008D07EF"/>
    <w:rsid w:val="008D08AA"/>
    <w:rsid w:val="008D097D"/>
    <w:rsid w:val="008D1060"/>
    <w:rsid w:val="008D11B0"/>
    <w:rsid w:val="008D1654"/>
    <w:rsid w:val="008D184E"/>
    <w:rsid w:val="008D19E9"/>
    <w:rsid w:val="008D1C50"/>
    <w:rsid w:val="008D1E51"/>
    <w:rsid w:val="008D1E79"/>
    <w:rsid w:val="008D2113"/>
    <w:rsid w:val="008D24D0"/>
    <w:rsid w:val="008D265F"/>
    <w:rsid w:val="008D2696"/>
    <w:rsid w:val="008D2940"/>
    <w:rsid w:val="008D2D99"/>
    <w:rsid w:val="008D3370"/>
    <w:rsid w:val="008D367D"/>
    <w:rsid w:val="008D3797"/>
    <w:rsid w:val="008D386A"/>
    <w:rsid w:val="008D3947"/>
    <w:rsid w:val="008D3EDB"/>
    <w:rsid w:val="008D4192"/>
    <w:rsid w:val="008D443E"/>
    <w:rsid w:val="008D48D2"/>
    <w:rsid w:val="008D4EB9"/>
    <w:rsid w:val="008D566E"/>
    <w:rsid w:val="008D5D56"/>
    <w:rsid w:val="008D5ED4"/>
    <w:rsid w:val="008D5F05"/>
    <w:rsid w:val="008D748A"/>
    <w:rsid w:val="008D7539"/>
    <w:rsid w:val="008D75BE"/>
    <w:rsid w:val="008D760B"/>
    <w:rsid w:val="008D783F"/>
    <w:rsid w:val="008E0018"/>
    <w:rsid w:val="008E0217"/>
    <w:rsid w:val="008E02F2"/>
    <w:rsid w:val="008E0456"/>
    <w:rsid w:val="008E10CA"/>
    <w:rsid w:val="008E16EC"/>
    <w:rsid w:val="008E1A5E"/>
    <w:rsid w:val="008E25EC"/>
    <w:rsid w:val="008E2951"/>
    <w:rsid w:val="008E29C6"/>
    <w:rsid w:val="008E3016"/>
    <w:rsid w:val="008E3339"/>
    <w:rsid w:val="008E3E39"/>
    <w:rsid w:val="008E40D9"/>
    <w:rsid w:val="008E4533"/>
    <w:rsid w:val="008E4FB3"/>
    <w:rsid w:val="008E5A9E"/>
    <w:rsid w:val="008E5BAA"/>
    <w:rsid w:val="008E5E21"/>
    <w:rsid w:val="008E6097"/>
    <w:rsid w:val="008E60A0"/>
    <w:rsid w:val="008E6589"/>
    <w:rsid w:val="008E6666"/>
    <w:rsid w:val="008E67C9"/>
    <w:rsid w:val="008E680E"/>
    <w:rsid w:val="008E6944"/>
    <w:rsid w:val="008E6958"/>
    <w:rsid w:val="008E6C0E"/>
    <w:rsid w:val="008E6E3C"/>
    <w:rsid w:val="008E7449"/>
    <w:rsid w:val="008E75E6"/>
    <w:rsid w:val="008E7AC6"/>
    <w:rsid w:val="008E7EDE"/>
    <w:rsid w:val="008E7EF1"/>
    <w:rsid w:val="008F0127"/>
    <w:rsid w:val="008F0195"/>
    <w:rsid w:val="008F01E2"/>
    <w:rsid w:val="008F03EC"/>
    <w:rsid w:val="008F0900"/>
    <w:rsid w:val="008F0AA1"/>
    <w:rsid w:val="008F0C2C"/>
    <w:rsid w:val="008F1712"/>
    <w:rsid w:val="008F2618"/>
    <w:rsid w:val="008F26B7"/>
    <w:rsid w:val="008F27F7"/>
    <w:rsid w:val="008F2860"/>
    <w:rsid w:val="008F2904"/>
    <w:rsid w:val="008F2942"/>
    <w:rsid w:val="008F2BFD"/>
    <w:rsid w:val="008F2DF7"/>
    <w:rsid w:val="008F2F6D"/>
    <w:rsid w:val="008F31DA"/>
    <w:rsid w:val="008F3507"/>
    <w:rsid w:val="008F40A8"/>
    <w:rsid w:val="008F430C"/>
    <w:rsid w:val="008F472C"/>
    <w:rsid w:val="008F48D3"/>
    <w:rsid w:val="008F49AF"/>
    <w:rsid w:val="008F4A17"/>
    <w:rsid w:val="008F4CEE"/>
    <w:rsid w:val="008F53F0"/>
    <w:rsid w:val="008F5D4B"/>
    <w:rsid w:val="008F5E79"/>
    <w:rsid w:val="008F5EC1"/>
    <w:rsid w:val="008F5F1C"/>
    <w:rsid w:val="008F60FC"/>
    <w:rsid w:val="008F6261"/>
    <w:rsid w:val="008F6278"/>
    <w:rsid w:val="008F630C"/>
    <w:rsid w:val="008F6384"/>
    <w:rsid w:val="008F7628"/>
    <w:rsid w:val="008F763F"/>
    <w:rsid w:val="008F786E"/>
    <w:rsid w:val="008F7B83"/>
    <w:rsid w:val="008F7DF0"/>
    <w:rsid w:val="008F7F29"/>
    <w:rsid w:val="008F7FFB"/>
    <w:rsid w:val="00900023"/>
    <w:rsid w:val="00900296"/>
    <w:rsid w:val="0090032D"/>
    <w:rsid w:val="009007F0"/>
    <w:rsid w:val="00900987"/>
    <w:rsid w:val="00900DA9"/>
    <w:rsid w:val="00900EE8"/>
    <w:rsid w:val="00900FED"/>
    <w:rsid w:val="009013A1"/>
    <w:rsid w:val="00901B5C"/>
    <w:rsid w:val="00901B65"/>
    <w:rsid w:val="00901B6B"/>
    <w:rsid w:val="00901EC5"/>
    <w:rsid w:val="009023DA"/>
    <w:rsid w:val="009027C4"/>
    <w:rsid w:val="00902FEB"/>
    <w:rsid w:val="00903B68"/>
    <w:rsid w:val="00903C04"/>
    <w:rsid w:val="00903D74"/>
    <w:rsid w:val="00904216"/>
    <w:rsid w:val="00904229"/>
    <w:rsid w:val="00904AC2"/>
    <w:rsid w:val="00904C43"/>
    <w:rsid w:val="009054BB"/>
    <w:rsid w:val="009056F0"/>
    <w:rsid w:val="009057EB"/>
    <w:rsid w:val="0090580C"/>
    <w:rsid w:val="00905FC2"/>
    <w:rsid w:val="00906022"/>
    <w:rsid w:val="00906205"/>
    <w:rsid w:val="0090674D"/>
    <w:rsid w:val="0090692D"/>
    <w:rsid w:val="00906A95"/>
    <w:rsid w:val="00906B19"/>
    <w:rsid w:val="00907026"/>
    <w:rsid w:val="00907288"/>
    <w:rsid w:val="00907400"/>
    <w:rsid w:val="00907544"/>
    <w:rsid w:val="00907A92"/>
    <w:rsid w:val="00907B4B"/>
    <w:rsid w:val="00907FAC"/>
    <w:rsid w:val="009104B6"/>
    <w:rsid w:val="00910B59"/>
    <w:rsid w:val="00910BAD"/>
    <w:rsid w:val="00911403"/>
    <w:rsid w:val="0091172A"/>
    <w:rsid w:val="00911850"/>
    <w:rsid w:val="00911A97"/>
    <w:rsid w:val="00911D7D"/>
    <w:rsid w:val="00911E2E"/>
    <w:rsid w:val="0091240E"/>
    <w:rsid w:val="00912691"/>
    <w:rsid w:val="00912834"/>
    <w:rsid w:val="009129F6"/>
    <w:rsid w:val="00912B66"/>
    <w:rsid w:val="00913343"/>
    <w:rsid w:val="00913800"/>
    <w:rsid w:val="00913B73"/>
    <w:rsid w:val="00913E1D"/>
    <w:rsid w:val="00913E90"/>
    <w:rsid w:val="00913F74"/>
    <w:rsid w:val="009143AB"/>
    <w:rsid w:val="009144FC"/>
    <w:rsid w:val="009146BD"/>
    <w:rsid w:val="009148D3"/>
    <w:rsid w:val="00914D62"/>
    <w:rsid w:val="00914D67"/>
    <w:rsid w:val="00914DA2"/>
    <w:rsid w:val="00915046"/>
    <w:rsid w:val="0091537C"/>
    <w:rsid w:val="009153F3"/>
    <w:rsid w:val="00915532"/>
    <w:rsid w:val="00915C98"/>
    <w:rsid w:val="00915F7B"/>
    <w:rsid w:val="0091605F"/>
    <w:rsid w:val="0091658B"/>
    <w:rsid w:val="0091671F"/>
    <w:rsid w:val="00916980"/>
    <w:rsid w:val="00917227"/>
    <w:rsid w:val="009176AF"/>
    <w:rsid w:val="009178AC"/>
    <w:rsid w:val="00917A3F"/>
    <w:rsid w:val="00917C5C"/>
    <w:rsid w:val="00917DD3"/>
    <w:rsid w:val="009207EC"/>
    <w:rsid w:val="009209CB"/>
    <w:rsid w:val="0092104A"/>
    <w:rsid w:val="00921572"/>
    <w:rsid w:val="009215D4"/>
    <w:rsid w:val="00921AE3"/>
    <w:rsid w:val="00921BD9"/>
    <w:rsid w:val="00921CD9"/>
    <w:rsid w:val="00921DD8"/>
    <w:rsid w:val="00921F21"/>
    <w:rsid w:val="00922074"/>
    <w:rsid w:val="009223B9"/>
    <w:rsid w:val="00922A10"/>
    <w:rsid w:val="00922B23"/>
    <w:rsid w:val="009230CE"/>
    <w:rsid w:val="00923467"/>
    <w:rsid w:val="00923483"/>
    <w:rsid w:val="00923751"/>
    <w:rsid w:val="00923A60"/>
    <w:rsid w:val="00923B3A"/>
    <w:rsid w:val="00923C1E"/>
    <w:rsid w:val="00923FBC"/>
    <w:rsid w:val="00924108"/>
    <w:rsid w:val="0092465B"/>
    <w:rsid w:val="0092473D"/>
    <w:rsid w:val="00924973"/>
    <w:rsid w:val="00924AFF"/>
    <w:rsid w:val="00924E4E"/>
    <w:rsid w:val="00925878"/>
    <w:rsid w:val="00925B51"/>
    <w:rsid w:val="00925BC3"/>
    <w:rsid w:val="00925E75"/>
    <w:rsid w:val="009263C7"/>
    <w:rsid w:val="009266BD"/>
    <w:rsid w:val="0092675F"/>
    <w:rsid w:val="00926999"/>
    <w:rsid w:val="009269C4"/>
    <w:rsid w:val="00926B61"/>
    <w:rsid w:val="009270D9"/>
    <w:rsid w:val="009270DA"/>
    <w:rsid w:val="009270DF"/>
    <w:rsid w:val="009275A5"/>
    <w:rsid w:val="00927FBD"/>
    <w:rsid w:val="0093003C"/>
    <w:rsid w:val="00930BE4"/>
    <w:rsid w:val="0093127D"/>
    <w:rsid w:val="009317A5"/>
    <w:rsid w:val="00931BE5"/>
    <w:rsid w:val="00931C14"/>
    <w:rsid w:val="00931C68"/>
    <w:rsid w:val="00931DC4"/>
    <w:rsid w:val="0093202E"/>
    <w:rsid w:val="00932171"/>
    <w:rsid w:val="00932437"/>
    <w:rsid w:val="0093269C"/>
    <w:rsid w:val="00932C2A"/>
    <w:rsid w:val="00932C6B"/>
    <w:rsid w:val="0093367C"/>
    <w:rsid w:val="00933D05"/>
    <w:rsid w:val="009342A2"/>
    <w:rsid w:val="00934758"/>
    <w:rsid w:val="00934A47"/>
    <w:rsid w:val="00934B9E"/>
    <w:rsid w:val="00934CAC"/>
    <w:rsid w:val="00935032"/>
    <w:rsid w:val="00935B59"/>
    <w:rsid w:val="00935CD2"/>
    <w:rsid w:val="00935DAC"/>
    <w:rsid w:val="00935E78"/>
    <w:rsid w:val="009361BB"/>
    <w:rsid w:val="0093621A"/>
    <w:rsid w:val="009367FB"/>
    <w:rsid w:val="009369C9"/>
    <w:rsid w:val="00936A15"/>
    <w:rsid w:val="00936D5F"/>
    <w:rsid w:val="00936E22"/>
    <w:rsid w:val="00936F4B"/>
    <w:rsid w:val="009372BA"/>
    <w:rsid w:val="009376B4"/>
    <w:rsid w:val="0093783F"/>
    <w:rsid w:val="009378F0"/>
    <w:rsid w:val="00937AC6"/>
    <w:rsid w:val="00937C45"/>
    <w:rsid w:val="00937CAA"/>
    <w:rsid w:val="00937D3A"/>
    <w:rsid w:val="00937D55"/>
    <w:rsid w:val="00937F12"/>
    <w:rsid w:val="0094007D"/>
    <w:rsid w:val="00940398"/>
    <w:rsid w:val="00940545"/>
    <w:rsid w:val="009405A3"/>
    <w:rsid w:val="009407BB"/>
    <w:rsid w:val="0094082B"/>
    <w:rsid w:val="009408C0"/>
    <w:rsid w:val="0094099C"/>
    <w:rsid w:val="0094134E"/>
    <w:rsid w:val="00941473"/>
    <w:rsid w:val="009417CE"/>
    <w:rsid w:val="00941A12"/>
    <w:rsid w:val="00941D88"/>
    <w:rsid w:val="00941FAC"/>
    <w:rsid w:val="00942238"/>
    <w:rsid w:val="00942592"/>
    <w:rsid w:val="009425CB"/>
    <w:rsid w:val="009425FA"/>
    <w:rsid w:val="009426A4"/>
    <w:rsid w:val="0094274A"/>
    <w:rsid w:val="00942982"/>
    <w:rsid w:val="00942DE0"/>
    <w:rsid w:val="00943009"/>
    <w:rsid w:val="0094346E"/>
    <w:rsid w:val="0094366D"/>
    <w:rsid w:val="009437B2"/>
    <w:rsid w:val="0094380A"/>
    <w:rsid w:val="00943985"/>
    <w:rsid w:val="00943E7D"/>
    <w:rsid w:val="00943F42"/>
    <w:rsid w:val="00944086"/>
    <w:rsid w:val="009440CA"/>
    <w:rsid w:val="009445BC"/>
    <w:rsid w:val="00944B13"/>
    <w:rsid w:val="00944EBA"/>
    <w:rsid w:val="00945E7F"/>
    <w:rsid w:val="00945FD7"/>
    <w:rsid w:val="0094629D"/>
    <w:rsid w:val="009463AF"/>
    <w:rsid w:val="0094646A"/>
    <w:rsid w:val="009465DA"/>
    <w:rsid w:val="0094685E"/>
    <w:rsid w:val="00946CCC"/>
    <w:rsid w:val="00946E33"/>
    <w:rsid w:val="00947007"/>
    <w:rsid w:val="009470D7"/>
    <w:rsid w:val="0094738E"/>
    <w:rsid w:val="00947482"/>
    <w:rsid w:val="009475BF"/>
    <w:rsid w:val="00947833"/>
    <w:rsid w:val="00947914"/>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23E"/>
    <w:rsid w:val="00951523"/>
    <w:rsid w:val="00951635"/>
    <w:rsid w:val="0095171E"/>
    <w:rsid w:val="009519B4"/>
    <w:rsid w:val="00951A4F"/>
    <w:rsid w:val="00951EF0"/>
    <w:rsid w:val="00952262"/>
    <w:rsid w:val="009522E5"/>
    <w:rsid w:val="009523EB"/>
    <w:rsid w:val="00952441"/>
    <w:rsid w:val="009525C6"/>
    <w:rsid w:val="009525F3"/>
    <w:rsid w:val="009529C8"/>
    <w:rsid w:val="00952A75"/>
    <w:rsid w:val="00952C4D"/>
    <w:rsid w:val="00952C5F"/>
    <w:rsid w:val="00952F74"/>
    <w:rsid w:val="0095332E"/>
    <w:rsid w:val="00953376"/>
    <w:rsid w:val="00953E60"/>
    <w:rsid w:val="0095415F"/>
    <w:rsid w:val="009542CB"/>
    <w:rsid w:val="00954549"/>
    <w:rsid w:val="009546EE"/>
    <w:rsid w:val="009548DC"/>
    <w:rsid w:val="00954BC1"/>
    <w:rsid w:val="00954CC6"/>
    <w:rsid w:val="00954FDC"/>
    <w:rsid w:val="0095597C"/>
    <w:rsid w:val="00955E44"/>
    <w:rsid w:val="009566C7"/>
    <w:rsid w:val="009567C6"/>
    <w:rsid w:val="00957340"/>
    <w:rsid w:val="0095737A"/>
    <w:rsid w:val="009574E8"/>
    <w:rsid w:val="009578D6"/>
    <w:rsid w:val="00957A63"/>
    <w:rsid w:val="00957A94"/>
    <w:rsid w:val="00957B8C"/>
    <w:rsid w:val="00957C4E"/>
    <w:rsid w:val="00957DE5"/>
    <w:rsid w:val="00957E02"/>
    <w:rsid w:val="009601CD"/>
    <w:rsid w:val="0096025C"/>
    <w:rsid w:val="00960451"/>
    <w:rsid w:val="00960728"/>
    <w:rsid w:val="00960740"/>
    <w:rsid w:val="00960DB0"/>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55"/>
    <w:rsid w:val="00962C62"/>
    <w:rsid w:val="00962D81"/>
    <w:rsid w:val="009631D4"/>
    <w:rsid w:val="00963885"/>
    <w:rsid w:val="00963F7D"/>
    <w:rsid w:val="00963FA4"/>
    <w:rsid w:val="009641C3"/>
    <w:rsid w:val="00964202"/>
    <w:rsid w:val="009646B8"/>
    <w:rsid w:val="009646DE"/>
    <w:rsid w:val="0096494B"/>
    <w:rsid w:val="00964E99"/>
    <w:rsid w:val="009657C1"/>
    <w:rsid w:val="009658FF"/>
    <w:rsid w:val="0096593A"/>
    <w:rsid w:val="00965EF9"/>
    <w:rsid w:val="009660C3"/>
    <w:rsid w:val="0096690D"/>
    <w:rsid w:val="00966922"/>
    <w:rsid w:val="009670F0"/>
    <w:rsid w:val="009671CD"/>
    <w:rsid w:val="009674A5"/>
    <w:rsid w:val="00967582"/>
    <w:rsid w:val="00967854"/>
    <w:rsid w:val="009679B7"/>
    <w:rsid w:val="00967A85"/>
    <w:rsid w:val="00967BE5"/>
    <w:rsid w:val="00967F19"/>
    <w:rsid w:val="00970007"/>
    <w:rsid w:val="00970065"/>
    <w:rsid w:val="009702AA"/>
    <w:rsid w:val="00970767"/>
    <w:rsid w:val="00970C8C"/>
    <w:rsid w:val="00970D59"/>
    <w:rsid w:val="00970F12"/>
    <w:rsid w:val="0097104C"/>
    <w:rsid w:val="00971204"/>
    <w:rsid w:val="00971249"/>
    <w:rsid w:val="0097162F"/>
    <w:rsid w:val="00971738"/>
    <w:rsid w:val="00971848"/>
    <w:rsid w:val="00971D69"/>
    <w:rsid w:val="00972872"/>
    <w:rsid w:val="00972E76"/>
    <w:rsid w:val="00972FD6"/>
    <w:rsid w:val="009730B6"/>
    <w:rsid w:val="009732D7"/>
    <w:rsid w:val="009732F3"/>
    <w:rsid w:val="0097356C"/>
    <w:rsid w:val="0097367F"/>
    <w:rsid w:val="009739D2"/>
    <w:rsid w:val="00973CCA"/>
    <w:rsid w:val="00973F5A"/>
    <w:rsid w:val="00973FF1"/>
    <w:rsid w:val="009742A2"/>
    <w:rsid w:val="00974748"/>
    <w:rsid w:val="00975476"/>
    <w:rsid w:val="009754E0"/>
    <w:rsid w:val="00975576"/>
    <w:rsid w:val="00975953"/>
    <w:rsid w:val="00975AE6"/>
    <w:rsid w:val="0097603C"/>
    <w:rsid w:val="0097634A"/>
    <w:rsid w:val="00976487"/>
    <w:rsid w:val="009765C6"/>
    <w:rsid w:val="009765D9"/>
    <w:rsid w:val="00976705"/>
    <w:rsid w:val="00976795"/>
    <w:rsid w:val="00976979"/>
    <w:rsid w:val="00976B97"/>
    <w:rsid w:val="00976D55"/>
    <w:rsid w:val="009770C2"/>
    <w:rsid w:val="00977553"/>
    <w:rsid w:val="00977602"/>
    <w:rsid w:val="00977AD3"/>
    <w:rsid w:val="00977D16"/>
    <w:rsid w:val="00977E36"/>
    <w:rsid w:val="00977F7D"/>
    <w:rsid w:val="0098000C"/>
    <w:rsid w:val="00980506"/>
    <w:rsid w:val="009806E8"/>
    <w:rsid w:val="009808C6"/>
    <w:rsid w:val="00980CB4"/>
    <w:rsid w:val="0098105B"/>
    <w:rsid w:val="009813E2"/>
    <w:rsid w:val="0098151A"/>
    <w:rsid w:val="00981684"/>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03"/>
    <w:rsid w:val="00982D74"/>
    <w:rsid w:val="00983577"/>
    <w:rsid w:val="0098371A"/>
    <w:rsid w:val="00983A52"/>
    <w:rsid w:val="00983AB2"/>
    <w:rsid w:val="00984021"/>
    <w:rsid w:val="009841B5"/>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366"/>
    <w:rsid w:val="00987542"/>
    <w:rsid w:val="009876F5"/>
    <w:rsid w:val="00987BFB"/>
    <w:rsid w:val="00987CA3"/>
    <w:rsid w:val="00987FB5"/>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B9F"/>
    <w:rsid w:val="00991CAF"/>
    <w:rsid w:val="00991D33"/>
    <w:rsid w:val="00992292"/>
    <w:rsid w:val="009922A1"/>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4CFD"/>
    <w:rsid w:val="00994FA7"/>
    <w:rsid w:val="0099500B"/>
    <w:rsid w:val="00995068"/>
    <w:rsid w:val="009951C9"/>
    <w:rsid w:val="00995217"/>
    <w:rsid w:val="00995468"/>
    <w:rsid w:val="00995545"/>
    <w:rsid w:val="0099601B"/>
    <w:rsid w:val="0099604A"/>
    <w:rsid w:val="009961B4"/>
    <w:rsid w:val="009962E6"/>
    <w:rsid w:val="00996301"/>
    <w:rsid w:val="0099647E"/>
    <w:rsid w:val="00996DFD"/>
    <w:rsid w:val="00997465"/>
    <w:rsid w:val="0099756F"/>
    <w:rsid w:val="00997921"/>
    <w:rsid w:val="0099792C"/>
    <w:rsid w:val="00997AAD"/>
    <w:rsid w:val="00997DE3"/>
    <w:rsid w:val="009A0444"/>
    <w:rsid w:val="009A066D"/>
    <w:rsid w:val="009A0833"/>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38A"/>
    <w:rsid w:val="009A5451"/>
    <w:rsid w:val="009A54AF"/>
    <w:rsid w:val="009A56CF"/>
    <w:rsid w:val="009A5844"/>
    <w:rsid w:val="009A598D"/>
    <w:rsid w:val="009A6007"/>
    <w:rsid w:val="009A64D4"/>
    <w:rsid w:val="009A64FD"/>
    <w:rsid w:val="009A679A"/>
    <w:rsid w:val="009A67F0"/>
    <w:rsid w:val="009A692F"/>
    <w:rsid w:val="009A6A0E"/>
    <w:rsid w:val="009A6D1E"/>
    <w:rsid w:val="009A7242"/>
    <w:rsid w:val="009A762A"/>
    <w:rsid w:val="009A76D6"/>
    <w:rsid w:val="009A7752"/>
    <w:rsid w:val="009A79AF"/>
    <w:rsid w:val="009A7BDF"/>
    <w:rsid w:val="009B0171"/>
    <w:rsid w:val="009B0431"/>
    <w:rsid w:val="009B0700"/>
    <w:rsid w:val="009B0774"/>
    <w:rsid w:val="009B0AF8"/>
    <w:rsid w:val="009B0D21"/>
    <w:rsid w:val="009B1585"/>
    <w:rsid w:val="009B1AB9"/>
    <w:rsid w:val="009B1F5E"/>
    <w:rsid w:val="009B209E"/>
    <w:rsid w:val="009B219B"/>
    <w:rsid w:val="009B21A0"/>
    <w:rsid w:val="009B2276"/>
    <w:rsid w:val="009B23DC"/>
    <w:rsid w:val="009B2450"/>
    <w:rsid w:val="009B246E"/>
    <w:rsid w:val="009B2565"/>
    <w:rsid w:val="009B2C85"/>
    <w:rsid w:val="009B2CB2"/>
    <w:rsid w:val="009B2F6C"/>
    <w:rsid w:val="009B31EA"/>
    <w:rsid w:val="009B3452"/>
    <w:rsid w:val="009B353C"/>
    <w:rsid w:val="009B36EE"/>
    <w:rsid w:val="009B39FA"/>
    <w:rsid w:val="009B3D41"/>
    <w:rsid w:val="009B3FE2"/>
    <w:rsid w:val="009B400D"/>
    <w:rsid w:val="009B472A"/>
    <w:rsid w:val="009B47AD"/>
    <w:rsid w:val="009B47F5"/>
    <w:rsid w:val="009B4C47"/>
    <w:rsid w:val="009B4CDD"/>
    <w:rsid w:val="009B4D91"/>
    <w:rsid w:val="009B511F"/>
    <w:rsid w:val="009B5276"/>
    <w:rsid w:val="009B5372"/>
    <w:rsid w:val="009B5850"/>
    <w:rsid w:val="009B5A5A"/>
    <w:rsid w:val="009B5C27"/>
    <w:rsid w:val="009B6368"/>
    <w:rsid w:val="009B6A86"/>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0DEF"/>
    <w:rsid w:val="009C0F65"/>
    <w:rsid w:val="009C1211"/>
    <w:rsid w:val="009C1526"/>
    <w:rsid w:val="009C1592"/>
    <w:rsid w:val="009C15B2"/>
    <w:rsid w:val="009C19B5"/>
    <w:rsid w:val="009C1AD6"/>
    <w:rsid w:val="009C1B4D"/>
    <w:rsid w:val="009C1E8F"/>
    <w:rsid w:val="009C20B2"/>
    <w:rsid w:val="009C2341"/>
    <w:rsid w:val="009C2650"/>
    <w:rsid w:val="009C28A3"/>
    <w:rsid w:val="009C28FD"/>
    <w:rsid w:val="009C2CCA"/>
    <w:rsid w:val="009C2E3B"/>
    <w:rsid w:val="009C2E90"/>
    <w:rsid w:val="009C323F"/>
    <w:rsid w:val="009C3399"/>
    <w:rsid w:val="009C367F"/>
    <w:rsid w:val="009C3797"/>
    <w:rsid w:val="009C394F"/>
    <w:rsid w:val="009C3C5C"/>
    <w:rsid w:val="009C3DDE"/>
    <w:rsid w:val="009C3EBB"/>
    <w:rsid w:val="009C4121"/>
    <w:rsid w:val="009C416B"/>
    <w:rsid w:val="009C4786"/>
    <w:rsid w:val="009C557C"/>
    <w:rsid w:val="009C5BE2"/>
    <w:rsid w:val="009C5C2B"/>
    <w:rsid w:val="009C5CA0"/>
    <w:rsid w:val="009C6213"/>
    <w:rsid w:val="009C69E6"/>
    <w:rsid w:val="009C6BAC"/>
    <w:rsid w:val="009C6BE3"/>
    <w:rsid w:val="009C71BF"/>
    <w:rsid w:val="009C7657"/>
    <w:rsid w:val="009C7956"/>
    <w:rsid w:val="009C7A25"/>
    <w:rsid w:val="009C7B0E"/>
    <w:rsid w:val="009C7EF6"/>
    <w:rsid w:val="009D03C3"/>
    <w:rsid w:val="009D03C9"/>
    <w:rsid w:val="009D07A3"/>
    <w:rsid w:val="009D0A1C"/>
    <w:rsid w:val="009D0B83"/>
    <w:rsid w:val="009D0D50"/>
    <w:rsid w:val="009D0F26"/>
    <w:rsid w:val="009D0F3C"/>
    <w:rsid w:val="009D11F3"/>
    <w:rsid w:val="009D120B"/>
    <w:rsid w:val="009D1981"/>
    <w:rsid w:val="009D1995"/>
    <w:rsid w:val="009D1B4B"/>
    <w:rsid w:val="009D1C6E"/>
    <w:rsid w:val="009D1FB2"/>
    <w:rsid w:val="009D23BD"/>
    <w:rsid w:val="009D2597"/>
    <w:rsid w:val="009D2610"/>
    <w:rsid w:val="009D2901"/>
    <w:rsid w:val="009D29C2"/>
    <w:rsid w:val="009D29FB"/>
    <w:rsid w:val="009D2CDC"/>
    <w:rsid w:val="009D35B5"/>
    <w:rsid w:val="009D3A1D"/>
    <w:rsid w:val="009D3DA7"/>
    <w:rsid w:val="009D40C9"/>
    <w:rsid w:val="009D451A"/>
    <w:rsid w:val="009D469F"/>
    <w:rsid w:val="009D4870"/>
    <w:rsid w:val="009D4A7A"/>
    <w:rsid w:val="009D553A"/>
    <w:rsid w:val="009D571D"/>
    <w:rsid w:val="009D6544"/>
    <w:rsid w:val="009D66D0"/>
    <w:rsid w:val="009D69FD"/>
    <w:rsid w:val="009D6B06"/>
    <w:rsid w:val="009D6F13"/>
    <w:rsid w:val="009D703C"/>
    <w:rsid w:val="009D73EA"/>
    <w:rsid w:val="009D7459"/>
    <w:rsid w:val="009D751D"/>
    <w:rsid w:val="009D7607"/>
    <w:rsid w:val="009D7BD6"/>
    <w:rsid w:val="009D7D1D"/>
    <w:rsid w:val="009D7D33"/>
    <w:rsid w:val="009D7D4F"/>
    <w:rsid w:val="009E0680"/>
    <w:rsid w:val="009E073F"/>
    <w:rsid w:val="009E0821"/>
    <w:rsid w:val="009E082A"/>
    <w:rsid w:val="009E0925"/>
    <w:rsid w:val="009E0AEE"/>
    <w:rsid w:val="009E0DDB"/>
    <w:rsid w:val="009E0DFB"/>
    <w:rsid w:val="009E0E91"/>
    <w:rsid w:val="009E11CC"/>
    <w:rsid w:val="009E137A"/>
    <w:rsid w:val="009E16DE"/>
    <w:rsid w:val="009E1801"/>
    <w:rsid w:val="009E1C33"/>
    <w:rsid w:val="009E2134"/>
    <w:rsid w:val="009E219D"/>
    <w:rsid w:val="009E24B4"/>
    <w:rsid w:val="009E2ADB"/>
    <w:rsid w:val="009E2F3C"/>
    <w:rsid w:val="009E378F"/>
    <w:rsid w:val="009E3ADA"/>
    <w:rsid w:val="009E3CDB"/>
    <w:rsid w:val="009E3D58"/>
    <w:rsid w:val="009E3DFB"/>
    <w:rsid w:val="009E4527"/>
    <w:rsid w:val="009E4C09"/>
    <w:rsid w:val="009E4CAA"/>
    <w:rsid w:val="009E4F6C"/>
    <w:rsid w:val="009E5132"/>
    <w:rsid w:val="009E548C"/>
    <w:rsid w:val="009E55EC"/>
    <w:rsid w:val="009E5680"/>
    <w:rsid w:val="009E59A4"/>
    <w:rsid w:val="009E5E52"/>
    <w:rsid w:val="009E610A"/>
    <w:rsid w:val="009E62CB"/>
    <w:rsid w:val="009E63B1"/>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EDE"/>
    <w:rsid w:val="009F0FC3"/>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830"/>
    <w:rsid w:val="009F3AEC"/>
    <w:rsid w:val="009F3B90"/>
    <w:rsid w:val="009F3E88"/>
    <w:rsid w:val="009F4232"/>
    <w:rsid w:val="009F427C"/>
    <w:rsid w:val="009F440E"/>
    <w:rsid w:val="009F458C"/>
    <w:rsid w:val="009F4AFB"/>
    <w:rsid w:val="009F4D62"/>
    <w:rsid w:val="009F4D8B"/>
    <w:rsid w:val="009F4E6B"/>
    <w:rsid w:val="009F506D"/>
    <w:rsid w:val="009F50ED"/>
    <w:rsid w:val="009F51EE"/>
    <w:rsid w:val="009F54CE"/>
    <w:rsid w:val="009F5784"/>
    <w:rsid w:val="009F5AB9"/>
    <w:rsid w:val="009F5AF7"/>
    <w:rsid w:val="009F5CF7"/>
    <w:rsid w:val="009F5E88"/>
    <w:rsid w:val="009F61B7"/>
    <w:rsid w:val="009F63E0"/>
    <w:rsid w:val="009F67F5"/>
    <w:rsid w:val="009F699E"/>
    <w:rsid w:val="009F7161"/>
    <w:rsid w:val="009F71A6"/>
    <w:rsid w:val="009F71E1"/>
    <w:rsid w:val="009F72A1"/>
    <w:rsid w:val="009F738D"/>
    <w:rsid w:val="009F753C"/>
    <w:rsid w:val="009F75B5"/>
    <w:rsid w:val="009F76DE"/>
    <w:rsid w:val="009F7716"/>
    <w:rsid w:val="009F7BD2"/>
    <w:rsid w:val="009F7D4F"/>
    <w:rsid w:val="009F7F98"/>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2218"/>
    <w:rsid w:val="00A02402"/>
    <w:rsid w:val="00A0297A"/>
    <w:rsid w:val="00A02FC8"/>
    <w:rsid w:val="00A0301C"/>
    <w:rsid w:val="00A0317A"/>
    <w:rsid w:val="00A03FF3"/>
    <w:rsid w:val="00A04018"/>
    <w:rsid w:val="00A04204"/>
    <w:rsid w:val="00A042FB"/>
    <w:rsid w:val="00A049F4"/>
    <w:rsid w:val="00A04A57"/>
    <w:rsid w:val="00A04B9C"/>
    <w:rsid w:val="00A04CAF"/>
    <w:rsid w:val="00A05088"/>
    <w:rsid w:val="00A05267"/>
    <w:rsid w:val="00A053FE"/>
    <w:rsid w:val="00A05457"/>
    <w:rsid w:val="00A05578"/>
    <w:rsid w:val="00A055A9"/>
    <w:rsid w:val="00A05CC3"/>
    <w:rsid w:val="00A05E79"/>
    <w:rsid w:val="00A063D6"/>
    <w:rsid w:val="00A06517"/>
    <w:rsid w:val="00A06840"/>
    <w:rsid w:val="00A06865"/>
    <w:rsid w:val="00A06D9A"/>
    <w:rsid w:val="00A06E2E"/>
    <w:rsid w:val="00A0717E"/>
    <w:rsid w:val="00A077AF"/>
    <w:rsid w:val="00A100C4"/>
    <w:rsid w:val="00A103A7"/>
    <w:rsid w:val="00A107EF"/>
    <w:rsid w:val="00A1094B"/>
    <w:rsid w:val="00A10C1F"/>
    <w:rsid w:val="00A11347"/>
    <w:rsid w:val="00A1184B"/>
    <w:rsid w:val="00A11F64"/>
    <w:rsid w:val="00A12149"/>
    <w:rsid w:val="00A12163"/>
    <w:rsid w:val="00A12702"/>
    <w:rsid w:val="00A127E0"/>
    <w:rsid w:val="00A128E0"/>
    <w:rsid w:val="00A12D58"/>
    <w:rsid w:val="00A12E30"/>
    <w:rsid w:val="00A12F6D"/>
    <w:rsid w:val="00A130CD"/>
    <w:rsid w:val="00A13432"/>
    <w:rsid w:val="00A135E8"/>
    <w:rsid w:val="00A136A3"/>
    <w:rsid w:val="00A13735"/>
    <w:rsid w:val="00A13E0F"/>
    <w:rsid w:val="00A13E9E"/>
    <w:rsid w:val="00A1428A"/>
    <w:rsid w:val="00A14315"/>
    <w:rsid w:val="00A143E8"/>
    <w:rsid w:val="00A14A18"/>
    <w:rsid w:val="00A14C49"/>
    <w:rsid w:val="00A15229"/>
    <w:rsid w:val="00A152EC"/>
    <w:rsid w:val="00A153AE"/>
    <w:rsid w:val="00A1554E"/>
    <w:rsid w:val="00A15846"/>
    <w:rsid w:val="00A15875"/>
    <w:rsid w:val="00A15F38"/>
    <w:rsid w:val="00A16377"/>
    <w:rsid w:val="00A163AA"/>
    <w:rsid w:val="00A16E86"/>
    <w:rsid w:val="00A17071"/>
    <w:rsid w:val="00A172E2"/>
    <w:rsid w:val="00A173B3"/>
    <w:rsid w:val="00A17B8F"/>
    <w:rsid w:val="00A17B97"/>
    <w:rsid w:val="00A17BF9"/>
    <w:rsid w:val="00A17D79"/>
    <w:rsid w:val="00A20333"/>
    <w:rsid w:val="00A20B82"/>
    <w:rsid w:val="00A20BE8"/>
    <w:rsid w:val="00A20C72"/>
    <w:rsid w:val="00A20F57"/>
    <w:rsid w:val="00A21146"/>
    <w:rsid w:val="00A2140A"/>
    <w:rsid w:val="00A2165B"/>
    <w:rsid w:val="00A216DF"/>
    <w:rsid w:val="00A217B3"/>
    <w:rsid w:val="00A223F4"/>
    <w:rsid w:val="00A2240F"/>
    <w:rsid w:val="00A2248B"/>
    <w:rsid w:val="00A2284D"/>
    <w:rsid w:val="00A22A9A"/>
    <w:rsid w:val="00A22C85"/>
    <w:rsid w:val="00A22E40"/>
    <w:rsid w:val="00A2311C"/>
    <w:rsid w:val="00A2312F"/>
    <w:rsid w:val="00A2315D"/>
    <w:rsid w:val="00A231CF"/>
    <w:rsid w:val="00A23306"/>
    <w:rsid w:val="00A23990"/>
    <w:rsid w:val="00A23C2B"/>
    <w:rsid w:val="00A2404E"/>
    <w:rsid w:val="00A24873"/>
    <w:rsid w:val="00A24A30"/>
    <w:rsid w:val="00A24B14"/>
    <w:rsid w:val="00A25C16"/>
    <w:rsid w:val="00A25EC4"/>
    <w:rsid w:val="00A26055"/>
    <w:rsid w:val="00A260DA"/>
    <w:rsid w:val="00A26568"/>
    <w:rsid w:val="00A26783"/>
    <w:rsid w:val="00A2686A"/>
    <w:rsid w:val="00A268C0"/>
    <w:rsid w:val="00A269AD"/>
    <w:rsid w:val="00A26E27"/>
    <w:rsid w:val="00A27422"/>
    <w:rsid w:val="00A2754E"/>
    <w:rsid w:val="00A27BB5"/>
    <w:rsid w:val="00A27CFD"/>
    <w:rsid w:val="00A27F7E"/>
    <w:rsid w:val="00A30217"/>
    <w:rsid w:val="00A307ED"/>
    <w:rsid w:val="00A308A0"/>
    <w:rsid w:val="00A30AE4"/>
    <w:rsid w:val="00A30BA6"/>
    <w:rsid w:val="00A30CB1"/>
    <w:rsid w:val="00A30D00"/>
    <w:rsid w:val="00A31080"/>
    <w:rsid w:val="00A31092"/>
    <w:rsid w:val="00A318D9"/>
    <w:rsid w:val="00A319A7"/>
    <w:rsid w:val="00A31B92"/>
    <w:rsid w:val="00A31F4E"/>
    <w:rsid w:val="00A322C3"/>
    <w:rsid w:val="00A3254D"/>
    <w:rsid w:val="00A327EE"/>
    <w:rsid w:val="00A3295D"/>
    <w:rsid w:val="00A32AA0"/>
    <w:rsid w:val="00A32BFF"/>
    <w:rsid w:val="00A32D08"/>
    <w:rsid w:val="00A32FBF"/>
    <w:rsid w:val="00A3368E"/>
    <w:rsid w:val="00A336FA"/>
    <w:rsid w:val="00A3381A"/>
    <w:rsid w:val="00A33A09"/>
    <w:rsid w:val="00A33BA3"/>
    <w:rsid w:val="00A33EB2"/>
    <w:rsid w:val="00A34089"/>
    <w:rsid w:val="00A340F4"/>
    <w:rsid w:val="00A34450"/>
    <w:rsid w:val="00A34518"/>
    <w:rsid w:val="00A34579"/>
    <w:rsid w:val="00A34596"/>
    <w:rsid w:val="00A34B27"/>
    <w:rsid w:val="00A34BD9"/>
    <w:rsid w:val="00A34CF6"/>
    <w:rsid w:val="00A351D4"/>
    <w:rsid w:val="00A35326"/>
    <w:rsid w:val="00A3550B"/>
    <w:rsid w:val="00A355D4"/>
    <w:rsid w:val="00A357E9"/>
    <w:rsid w:val="00A35943"/>
    <w:rsid w:val="00A35D72"/>
    <w:rsid w:val="00A35E6A"/>
    <w:rsid w:val="00A36654"/>
    <w:rsid w:val="00A36872"/>
    <w:rsid w:val="00A369B5"/>
    <w:rsid w:val="00A369FF"/>
    <w:rsid w:val="00A36A2A"/>
    <w:rsid w:val="00A36EBC"/>
    <w:rsid w:val="00A36EE3"/>
    <w:rsid w:val="00A37112"/>
    <w:rsid w:val="00A377F1"/>
    <w:rsid w:val="00A3791B"/>
    <w:rsid w:val="00A379D6"/>
    <w:rsid w:val="00A37F2C"/>
    <w:rsid w:val="00A37F8E"/>
    <w:rsid w:val="00A40130"/>
    <w:rsid w:val="00A40478"/>
    <w:rsid w:val="00A404E9"/>
    <w:rsid w:val="00A40635"/>
    <w:rsid w:val="00A4086B"/>
    <w:rsid w:val="00A40BAA"/>
    <w:rsid w:val="00A41887"/>
    <w:rsid w:val="00A41A8B"/>
    <w:rsid w:val="00A41F63"/>
    <w:rsid w:val="00A42449"/>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E2"/>
    <w:rsid w:val="00A458EC"/>
    <w:rsid w:val="00A45960"/>
    <w:rsid w:val="00A45AA3"/>
    <w:rsid w:val="00A45FAB"/>
    <w:rsid w:val="00A463F0"/>
    <w:rsid w:val="00A46814"/>
    <w:rsid w:val="00A46C6C"/>
    <w:rsid w:val="00A46D78"/>
    <w:rsid w:val="00A46F56"/>
    <w:rsid w:val="00A471EB"/>
    <w:rsid w:val="00A47419"/>
    <w:rsid w:val="00A47638"/>
    <w:rsid w:val="00A4778B"/>
    <w:rsid w:val="00A479A6"/>
    <w:rsid w:val="00A47D41"/>
    <w:rsid w:val="00A47E09"/>
    <w:rsid w:val="00A5003D"/>
    <w:rsid w:val="00A507E0"/>
    <w:rsid w:val="00A50814"/>
    <w:rsid w:val="00A5087B"/>
    <w:rsid w:val="00A50CA5"/>
    <w:rsid w:val="00A51253"/>
    <w:rsid w:val="00A5127D"/>
    <w:rsid w:val="00A514B2"/>
    <w:rsid w:val="00A515D9"/>
    <w:rsid w:val="00A5195A"/>
    <w:rsid w:val="00A51AC5"/>
    <w:rsid w:val="00A51CBE"/>
    <w:rsid w:val="00A51D48"/>
    <w:rsid w:val="00A5208D"/>
    <w:rsid w:val="00A52429"/>
    <w:rsid w:val="00A53B5D"/>
    <w:rsid w:val="00A53E51"/>
    <w:rsid w:val="00A541E5"/>
    <w:rsid w:val="00A541E7"/>
    <w:rsid w:val="00A54579"/>
    <w:rsid w:val="00A54E55"/>
    <w:rsid w:val="00A55334"/>
    <w:rsid w:val="00A55342"/>
    <w:rsid w:val="00A555A8"/>
    <w:rsid w:val="00A558AC"/>
    <w:rsid w:val="00A55CC3"/>
    <w:rsid w:val="00A55F20"/>
    <w:rsid w:val="00A55F7B"/>
    <w:rsid w:val="00A55FBF"/>
    <w:rsid w:val="00A5614E"/>
    <w:rsid w:val="00A56222"/>
    <w:rsid w:val="00A56433"/>
    <w:rsid w:val="00A56439"/>
    <w:rsid w:val="00A5676D"/>
    <w:rsid w:val="00A56779"/>
    <w:rsid w:val="00A568A6"/>
    <w:rsid w:val="00A568B9"/>
    <w:rsid w:val="00A56923"/>
    <w:rsid w:val="00A56991"/>
    <w:rsid w:val="00A56AE7"/>
    <w:rsid w:val="00A56DA1"/>
    <w:rsid w:val="00A57118"/>
    <w:rsid w:val="00A57493"/>
    <w:rsid w:val="00A575D4"/>
    <w:rsid w:val="00A57743"/>
    <w:rsid w:val="00A57B68"/>
    <w:rsid w:val="00A57BF4"/>
    <w:rsid w:val="00A57EB3"/>
    <w:rsid w:val="00A601BF"/>
    <w:rsid w:val="00A601E3"/>
    <w:rsid w:val="00A602EF"/>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873"/>
    <w:rsid w:val="00A64A31"/>
    <w:rsid w:val="00A65246"/>
    <w:rsid w:val="00A6545E"/>
    <w:rsid w:val="00A66071"/>
    <w:rsid w:val="00A66B2A"/>
    <w:rsid w:val="00A66B37"/>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829"/>
    <w:rsid w:val="00A72B22"/>
    <w:rsid w:val="00A73418"/>
    <w:rsid w:val="00A73592"/>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6EC"/>
    <w:rsid w:val="00A76926"/>
    <w:rsid w:val="00A76FBC"/>
    <w:rsid w:val="00A770D1"/>
    <w:rsid w:val="00A77B23"/>
    <w:rsid w:val="00A77CA2"/>
    <w:rsid w:val="00A77D6F"/>
    <w:rsid w:val="00A77F90"/>
    <w:rsid w:val="00A77FBC"/>
    <w:rsid w:val="00A80196"/>
    <w:rsid w:val="00A807B4"/>
    <w:rsid w:val="00A80A77"/>
    <w:rsid w:val="00A80B7E"/>
    <w:rsid w:val="00A81B3F"/>
    <w:rsid w:val="00A81B60"/>
    <w:rsid w:val="00A81FB9"/>
    <w:rsid w:val="00A81FC3"/>
    <w:rsid w:val="00A82179"/>
    <w:rsid w:val="00A822A7"/>
    <w:rsid w:val="00A822C4"/>
    <w:rsid w:val="00A8238F"/>
    <w:rsid w:val="00A825D2"/>
    <w:rsid w:val="00A825D5"/>
    <w:rsid w:val="00A827CF"/>
    <w:rsid w:val="00A8281C"/>
    <w:rsid w:val="00A82F54"/>
    <w:rsid w:val="00A82F93"/>
    <w:rsid w:val="00A83543"/>
    <w:rsid w:val="00A8386D"/>
    <w:rsid w:val="00A8397A"/>
    <w:rsid w:val="00A839B2"/>
    <w:rsid w:val="00A83F98"/>
    <w:rsid w:val="00A8407B"/>
    <w:rsid w:val="00A8415B"/>
    <w:rsid w:val="00A8444E"/>
    <w:rsid w:val="00A84604"/>
    <w:rsid w:val="00A84A7D"/>
    <w:rsid w:val="00A84FFC"/>
    <w:rsid w:val="00A85894"/>
    <w:rsid w:val="00A861FC"/>
    <w:rsid w:val="00A86395"/>
    <w:rsid w:val="00A8646D"/>
    <w:rsid w:val="00A8675E"/>
    <w:rsid w:val="00A86EFB"/>
    <w:rsid w:val="00A86F23"/>
    <w:rsid w:val="00A87254"/>
    <w:rsid w:val="00A87393"/>
    <w:rsid w:val="00A876F4"/>
    <w:rsid w:val="00A87837"/>
    <w:rsid w:val="00A87ADA"/>
    <w:rsid w:val="00A87BF7"/>
    <w:rsid w:val="00A87CF5"/>
    <w:rsid w:val="00A904E2"/>
    <w:rsid w:val="00A905C5"/>
    <w:rsid w:val="00A906F6"/>
    <w:rsid w:val="00A907E7"/>
    <w:rsid w:val="00A910AD"/>
    <w:rsid w:val="00A91122"/>
    <w:rsid w:val="00A91D13"/>
    <w:rsid w:val="00A92337"/>
    <w:rsid w:val="00A9245C"/>
    <w:rsid w:val="00A927A2"/>
    <w:rsid w:val="00A92B1A"/>
    <w:rsid w:val="00A92D66"/>
    <w:rsid w:val="00A9328F"/>
    <w:rsid w:val="00A93532"/>
    <w:rsid w:val="00A93807"/>
    <w:rsid w:val="00A93FB7"/>
    <w:rsid w:val="00A941E0"/>
    <w:rsid w:val="00A94632"/>
    <w:rsid w:val="00A9485D"/>
    <w:rsid w:val="00A9493F"/>
    <w:rsid w:val="00A9494B"/>
    <w:rsid w:val="00A94AAE"/>
    <w:rsid w:val="00A94B2D"/>
    <w:rsid w:val="00A94BDE"/>
    <w:rsid w:val="00A94C06"/>
    <w:rsid w:val="00A94DC7"/>
    <w:rsid w:val="00A94F6F"/>
    <w:rsid w:val="00A9510A"/>
    <w:rsid w:val="00A95245"/>
    <w:rsid w:val="00A9548E"/>
    <w:rsid w:val="00A956FA"/>
    <w:rsid w:val="00A956FD"/>
    <w:rsid w:val="00A958E2"/>
    <w:rsid w:val="00A959D1"/>
    <w:rsid w:val="00A95DA2"/>
    <w:rsid w:val="00A965D0"/>
    <w:rsid w:val="00A966D0"/>
    <w:rsid w:val="00A968BE"/>
    <w:rsid w:val="00A96A84"/>
    <w:rsid w:val="00A96DCE"/>
    <w:rsid w:val="00A9776C"/>
    <w:rsid w:val="00A97868"/>
    <w:rsid w:val="00A97E9B"/>
    <w:rsid w:val="00AA010F"/>
    <w:rsid w:val="00AA0299"/>
    <w:rsid w:val="00AA036F"/>
    <w:rsid w:val="00AA0460"/>
    <w:rsid w:val="00AA06F3"/>
    <w:rsid w:val="00AA0732"/>
    <w:rsid w:val="00AA0D50"/>
    <w:rsid w:val="00AA0DF2"/>
    <w:rsid w:val="00AA1429"/>
    <w:rsid w:val="00AA18BF"/>
    <w:rsid w:val="00AA1DD5"/>
    <w:rsid w:val="00AA221B"/>
    <w:rsid w:val="00AA22B1"/>
    <w:rsid w:val="00AA23AB"/>
    <w:rsid w:val="00AA23FD"/>
    <w:rsid w:val="00AA257F"/>
    <w:rsid w:val="00AA2D9D"/>
    <w:rsid w:val="00AA2E6C"/>
    <w:rsid w:val="00AA375F"/>
    <w:rsid w:val="00AA37D5"/>
    <w:rsid w:val="00AA3CB0"/>
    <w:rsid w:val="00AA3E41"/>
    <w:rsid w:val="00AA4312"/>
    <w:rsid w:val="00AA45FC"/>
    <w:rsid w:val="00AA475E"/>
    <w:rsid w:val="00AA4782"/>
    <w:rsid w:val="00AA4B50"/>
    <w:rsid w:val="00AA5478"/>
    <w:rsid w:val="00AA55DC"/>
    <w:rsid w:val="00AA5A5C"/>
    <w:rsid w:val="00AA5E86"/>
    <w:rsid w:val="00AA5EBF"/>
    <w:rsid w:val="00AA5F08"/>
    <w:rsid w:val="00AA6165"/>
    <w:rsid w:val="00AA6179"/>
    <w:rsid w:val="00AA6346"/>
    <w:rsid w:val="00AA63C2"/>
    <w:rsid w:val="00AA691F"/>
    <w:rsid w:val="00AA6E98"/>
    <w:rsid w:val="00AA6EE0"/>
    <w:rsid w:val="00AA702D"/>
    <w:rsid w:val="00AA717C"/>
    <w:rsid w:val="00AA769B"/>
    <w:rsid w:val="00AA7823"/>
    <w:rsid w:val="00AB003C"/>
    <w:rsid w:val="00AB057F"/>
    <w:rsid w:val="00AB0867"/>
    <w:rsid w:val="00AB0AF5"/>
    <w:rsid w:val="00AB0BF4"/>
    <w:rsid w:val="00AB0CCF"/>
    <w:rsid w:val="00AB0EBB"/>
    <w:rsid w:val="00AB0FCF"/>
    <w:rsid w:val="00AB1749"/>
    <w:rsid w:val="00AB1790"/>
    <w:rsid w:val="00AB1891"/>
    <w:rsid w:val="00AB193C"/>
    <w:rsid w:val="00AB19D5"/>
    <w:rsid w:val="00AB1AD2"/>
    <w:rsid w:val="00AB1B43"/>
    <w:rsid w:val="00AB1CAF"/>
    <w:rsid w:val="00AB25ED"/>
    <w:rsid w:val="00AB2A59"/>
    <w:rsid w:val="00AB3161"/>
    <w:rsid w:val="00AB31D4"/>
    <w:rsid w:val="00AB334E"/>
    <w:rsid w:val="00AB3706"/>
    <w:rsid w:val="00AB381E"/>
    <w:rsid w:val="00AB3D9A"/>
    <w:rsid w:val="00AB3E0C"/>
    <w:rsid w:val="00AB3E4F"/>
    <w:rsid w:val="00AB474F"/>
    <w:rsid w:val="00AB47A9"/>
    <w:rsid w:val="00AB4863"/>
    <w:rsid w:val="00AB4CB5"/>
    <w:rsid w:val="00AB4EF4"/>
    <w:rsid w:val="00AB55A0"/>
    <w:rsid w:val="00AB55DF"/>
    <w:rsid w:val="00AB56D2"/>
    <w:rsid w:val="00AB5745"/>
    <w:rsid w:val="00AB5D51"/>
    <w:rsid w:val="00AB60E9"/>
    <w:rsid w:val="00AB6165"/>
    <w:rsid w:val="00AB6342"/>
    <w:rsid w:val="00AB69D2"/>
    <w:rsid w:val="00AB6A57"/>
    <w:rsid w:val="00AB6A5B"/>
    <w:rsid w:val="00AB6A6A"/>
    <w:rsid w:val="00AB6D39"/>
    <w:rsid w:val="00AB7334"/>
    <w:rsid w:val="00AC091C"/>
    <w:rsid w:val="00AC0B38"/>
    <w:rsid w:val="00AC10C1"/>
    <w:rsid w:val="00AC17A3"/>
    <w:rsid w:val="00AC1995"/>
    <w:rsid w:val="00AC1BE5"/>
    <w:rsid w:val="00AC2040"/>
    <w:rsid w:val="00AC2063"/>
    <w:rsid w:val="00AC217A"/>
    <w:rsid w:val="00AC21FE"/>
    <w:rsid w:val="00AC2238"/>
    <w:rsid w:val="00AC237B"/>
    <w:rsid w:val="00AC264B"/>
    <w:rsid w:val="00AC28DE"/>
    <w:rsid w:val="00AC2AC0"/>
    <w:rsid w:val="00AC2BFB"/>
    <w:rsid w:val="00AC2DAE"/>
    <w:rsid w:val="00AC3374"/>
    <w:rsid w:val="00AC3408"/>
    <w:rsid w:val="00AC340F"/>
    <w:rsid w:val="00AC3787"/>
    <w:rsid w:val="00AC3B93"/>
    <w:rsid w:val="00AC3C0E"/>
    <w:rsid w:val="00AC3C11"/>
    <w:rsid w:val="00AC4601"/>
    <w:rsid w:val="00AC489F"/>
    <w:rsid w:val="00AC4995"/>
    <w:rsid w:val="00AC4AD5"/>
    <w:rsid w:val="00AC4CBA"/>
    <w:rsid w:val="00AC4E3F"/>
    <w:rsid w:val="00AC52B1"/>
    <w:rsid w:val="00AC5415"/>
    <w:rsid w:val="00AC5811"/>
    <w:rsid w:val="00AC59AA"/>
    <w:rsid w:val="00AC5B42"/>
    <w:rsid w:val="00AC5B6E"/>
    <w:rsid w:val="00AC5E9B"/>
    <w:rsid w:val="00AC60EB"/>
    <w:rsid w:val="00AC6586"/>
    <w:rsid w:val="00AC6A3C"/>
    <w:rsid w:val="00AC7095"/>
    <w:rsid w:val="00AC726C"/>
    <w:rsid w:val="00AC7438"/>
    <w:rsid w:val="00AC7476"/>
    <w:rsid w:val="00AC7639"/>
    <w:rsid w:val="00AC77FE"/>
    <w:rsid w:val="00AC7887"/>
    <w:rsid w:val="00AC78D0"/>
    <w:rsid w:val="00AC7A92"/>
    <w:rsid w:val="00AC7AB3"/>
    <w:rsid w:val="00AC7E07"/>
    <w:rsid w:val="00AC7EC2"/>
    <w:rsid w:val="00AC7FC2"/>
    <w:rsid w:val="00AD00C0"/>
    <w:rsid w:val="00AD0262"/>
    <w:rsid w:val="00AD02EF"/>
    <w:rsid w:val="00AD03CE"/>
    <w:rsid w:val="00AD0809"/>
    <w:rsid w:val="00AD0CFC"/>
    <w:rsid w:val="00AD0E3C"/>
    <w:rsid w:val="00AD134D"/>
    <w:rsid w:val="00AD14BD"/>
    <w:rsid w:val="00AD15A4"/>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4162"/>
    <w:rsid w:val="00AD42FA"/>
    <w:rsid w:val="00AD433F"/>
    <w:rsid w:val="00AD4401"/>
    <w:rsid w:val="00AD4B15"/>
    <w:rsid w:val="00AD4C6E"/>
    <w:rsid w:val="00AD510F"/>
    <w:rsid w:val="00AD5304"/>
    <w:rsid w:val="00AD5684"/>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CCE"/>
    <w:rsid w:val="00AE0FB7"/>
    <w:rsid w:val="00AE1187"/>
    <w:rsid w:val="00AE1BC0"/>
    <w:rsid w:val="00AE257A"/>
    <w:rsid w:val="00AE2C97"/>
    <w:rsid w:val="00AE3247"/>
    <w:rsid w:val="00AE3660"/>
    <w:rsid w:val="00AE3B8A"/>
    <w:rsid w:val="00AE3B8C"/>
    <w:rsid w:val="00AE3E3A"/>
    <w:rsid w:val="00AE45D7"/>
    <w:rsid w:val="00AE4CC9"/>
    <w:rsid w:val="00AE4DCF"/>
    <w:rsid w:val="00AE4F14"/>
    <w:rsid w:val="00AE4FD7"/>
    <w:rsid w:val="00AE5151"/>
    <w:rsid w:val="00AE5448"/>
    <w:rsid w:val="00AE5506"/>
    <w:rsid w:val="00AE595B"/>
    <w:rsid w:val="00AE5A14"/>
    <w:rsid w:val="00AE5BD3"/>
    <w:rsid w:val="00AE619A"/>
    <w:rsid w:val="00AE6B0F"/>
    <w:rsid w:val="00AE6F4A"/>
    <w:rsid w:val="00AE742B"/>
    <w:rsid w:val="00AE7467"/>
    <w:rsid w:val="00AE7DA2"/>
    <w:rsid w:val="00AE7DDA"/>
    <w:rsid w:val="00AE7F08"/>
    <w:rsid w:val="00AE7F22"/>
    <w:rsid w:val="00AF0031"/>
    <w:rsid w:val="00AF044A"/>
    <w:rsid w:val="00AF0995"/>
    <w:rsid w:val="00AF0D53"/>
    <w:rsid w:val="00AF0FEE"/>
    <w:rsid w:val="00AF10D3"/>
    <w:rsid w:val="00AF17C5"/>
    <w:rsid w:val="00AF1CDF"/>
    <w:rsid w:val="00AF1D65"/>
    <w:rsid w:val="00AF2B91"/>
    <w:rsid w:val="00AF329C"/>
    <w:rsid w:val="00AF3AE5"/>
    <w:rsid w:val="00AF41E6"/>
    <w:rsid w:val="00AF4235"/>
    <w:rsid w:val="00AF42A7"/>
    <w:rsid w:val="00AF4649"/>
    <w:rsid w:val="00AF4E9C"/>
    <w:rsid w:val="00AF534D"/>
    <w:rsid w:val="00AF53CA"/>
    <w:rsid w:val="00AF5AE2"/>
    <w:rsid w:val="00AF62C8"/>
    <w:rsid w:val="00AF6303"/>
    <w:rsid w:val="00AF63D2"/>
    <w:rsid w:val="00AF648D"/>
    <w:rsid w:val="00AF6636"/>
    <w:rsid w:val="00AF6778"/>
    <w:rsid w:val="00AF6830"/>
    <w:rsid w:val="00AF6929"/>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921"/>
    <w:rsid w:val="00B01E61"/>
    <w:rsid w:val="00B0233C"/>
    <w:rsid w:val="00B0253C"/>
    <w:rsid w:val="00B02ABF"/>
    <w:rsid w:val="00B02D42"/>
    <w:rsid w:val="00B02E27"/>
    <w:rsid w:val="00B02FA0"/>
    <w:rsid w:val="00B0312A"/>
    <w:rsid w:val="00B0351F"/>
    <w:rsid w:val="00B0352A"/>
    <w:rsid w:val="00B039D3"/>
    <w:rsid w:val="00B03F64"/>
    <w:rsid w:val="00B0434F"/>
    <w:rsid w:val="00B04407"/>
    <w:rsid w:val="00B044FA"/>
    <w:rsid w:val="00B0454B"/>
    <w:rsid w:val="00B0456A"/>
    <w:rsid w:val="00B045F5"/>
    <w:rsid w:val="00B04710"/>
    <w:rsid w:val="00B047D3"/>
    <w:rsid w:val="00B04870"/>
    <w:rsid w:val="00B052B6"/>
    <w:rsid w:val="00B054D6"/>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7549"/>
    <w:rsid w:val="00B078C2"/>
    <w:rsid w:val="00B07960"/>
    <w:rsid w:val="00B079F0"/>
    <w:rsid w:val="00B07F8E"/>
    <w:rsid w:val="00B102E2"/>
    <w:rsid w:val="00B103A2"/>
    <w:rsid w:val="00B104A7"/>
    <w:rsid w:val="00B104D5"/>
    <w:rsid w:val="00B10AD9"/>
    <w:rsid w:val="00B10B08"/>
    <w:rsid w:val="00B10FF8"/>
    <w:rsid w:val="00B112C6"/>
    <w:rsid w:val="00B1159C"/>
    <w:rsid w:val="00B11846"/>
    <w:rsid w:val="00B11C70"/>
    <w:rsid w:val="00B11DB8"/>
    <w:rsid w:val="00B12F7E"/>
    <w:rsid w:val="00B1317C"/>
    <w:rsid w:val="00B1347B"/>
    <w:rsid w:val="00B13C53"/>
    <w:rsid w:val="00B13CBA"/>
    <w:rsid w:val="00B13D1E"/>
    <w:rsid w:val="00B13D3A"/>
    <w:rsid w:val="00B13F8B"/>
    <w:rsid w:val="00B13FF3"/>
    <w:rsid w:val="00B1496F"/>
    <w:rsid w:val="00B1517F"/>
    <w:rsid w:val="00B15211"/>
    <w:rsid w:val="00B152DE"/>
    <w:rsid w:val="00B153E8"/>
    <w:rsid w:val="00B15569"/>
    <w:rsid w:val="00B1568F"/>
    <w:rsid w:val="00B15780"/>
    <w:rsid w:val="00B1578A"/>
    <w:rsid w:val="00B157CC"/>
    <w:rsid w:val="00B1587B"/>
    <w:rsid w:val="00B15A88"/>
    <w:rsid w:val="00B15BE2"/>
    <w:rsid w:val="00B15EE8"/>
    <w:rsid w:val="00B15F12"/>
    <w:rsid w:val="00B16508"/>
    <w:rsid w:val="00B166D4"/>
    <w:rsid w:val="00B1735C"/>
    <w:rsid w:val="00B17460"/>
    <w:rsid w:val="00B17617"/>
    <w:rsid w:val="00B1799D"/>
    <w:rsid w:val="00B17DC1"/>
    <w:rsid w:val="00B17E80"/>
    <w:rsid w:val="00B17EFD"/>
    <w:rsid w:val="00B203B1"/>
    <w:rsid w:val="00B20512"/>
    <w:rsid w:val="00B20C7A"/>
    <w:rsid w:val="00B20CA0"/>
    <w:rsid w:val="00B21600"/>
    <w:rsid w:val="00B2189B"/>
    <w:rsid w:val="00B220CA"/>
    <w:rsid w:val="00B2222A"/>
    <w:rsid w:val="00B2222E"/>
    <w:rsid w:val="00B223BC"/>
    <w:rsid w:val="00B22848"/>
    <w:rsid w:val="00B22C9D"/>
    <w:rsid w:val="00B22E92"/>
    <w:rsid w:val="00B2340B"/>
    <w:rsid w:val="00B24083"/>
    <w:rsid w:val="00B240F9"/>
    <w:rsid w:val="00B2435A"/>
    <w:rsid w:val="00B24A72"/>
    <w:rsid w:val="00B24ED4"/>
    <w:rsid w:val="00B24F4B"/>
    <w:rsid w:val="00B24F51"/>
    <w:rsid w:val="00B25138"/>
    <w:rsid w:val="00B252EB"/>
    <w:rsid w:val="00B25397"/>
    <w:rsid w:val="00B254B0"/>
    <w:rsid w:val="00B258A2"/>
    <w:rsid w:val="00B25989"/>
    <w:rsid w:val="00B25B1A"/>
    <w:rsid w:val="00B25F92"/>
    <w:rsid w:val="00B25FC1"/>
    <w:rsid w:val="00B26460"/>
    <w:rsid w:val="00B26DC1"/>
    <w:rsid w:val="00B26F29"/>
    <w:rsid w:val="00B27069"/>
    <w:rsid w:val="00B272DD"/>
    <w:rsid w:val="00B27574"/>
    <w:rsid w:val="00B27871"/>
    <w:rsid w:val="00B27894"/>
    <w:rsid w:val="00B279B1"/>
    <w:rsid w:val="00B27A0C"/>
    <w:rsid w:val="00B304B3"/>
    <w:rsid w:val="00B306B2"/>
    <w:rsid w:val="00B30ADB"/>
    <w:rsid w:val="00B30C86"/>
    <w:rsid w:val="00B30E2C"/>
    <w:rsid w:val="00B310E7"/>
    <w:rsid w:val="00B31548"/>
    <w:rsid w:val="00B3159E"/>
    <w:rsid w:val="00B3166C"/>
    <w:rsid w:val="00B317DF"/>
    <w:rsid w:val="00B318D8"/>
    <w:rsid w:val="00B31C47"/>
    <w:rsid w:val="00B31C74"/>
    <w:rsid w:val="00B31DF5"/>
    <w:rsid w:val="00B3206D"/>
    <w:rsid w:val="00B320E0"/>
    <w:rsid w:val="00B3228E"/>
    <w:rsid w:val="00B323EB"/>
    <w:rsid w:val="00B32449"/>
    <w:rsid w:val="00B32956"/>
    <w:rsid w:val="00B329BD"/>
    <w:rsid w:val="00B33288"/>
    <w:rsid w:val="00B3339C"/>
    <w:rsid w:val="00B3372B"/>
    <w:rsid w:val="00B3382F"/>
    <w:rsid w:val="00B339DF"/>
    <w:rsid w:val="00B33C6C"/>
    <w:rsid w:val="00B34380"/>
    <w:rsid w:val="00B3457F"/>
    <w:rsid w:val="00B34614"/>
    <w:rsid w:val="00B347A9"/>
    <w:rsid w:val="00B348C9"/>
    <w:rsid w:val="00B34B8C"/>
    <w:rsid w:val="00B34D68"/>
    <w:rsid w:val="00B350EF"/>
    <w:rsid w:val="00B35103"/>
    <w:rsid w:val="00B358B7"/>
    <w:rsid w:val="00B35D35"/>
    <w:rsid w:val="00B3630E"/>
    <w:rsid w:val="00B36FB4"/>
    <w:rsid w:val="00B376C0"/>
    <w:rsid w:val="00B37724"/>
    <w:rsid w:val="00B37773"/>
    <w:rsid w:val="00B37855"/>
    <w:rsid w:val="00B378BF"/>
    <w:rsid w:val="00B37C96"/>
    <w:rsid w:val="00B402EF"/>
    <w:rsid w:val="00B40509"/>
    <w:rsid w:val="00B408CB"/>
    <w:rsid w:val="00B40D18"/>
    <w:rsid w:val="00B40FA2"/>
    <w:rsid w:val="00B4125D"/>
    <w:rsid w:val="00B4131E"/>
    <w:rsid w:val="00B413FB"/>
    <w:rsid w:val="00B41745"/>
    <w:rsid w:val="00B41A92"/>
    <w:rsid w:val="00B41BF4"/>
    <w:rsid w:val="00B422F6"/>
    <w:rsid w:val="00B42520"/>
    <w:rsid w:val="00B4261E"/>
    <w:rsid w:val="00B42CF8"/>
    <w:rsid w:val="00B432B6"/>
    <w:rsid w:val="00B433D3"/>
    <w:rsid w:val="00B436B7"/>
    <w:rsid w:val="00B436EB"/>
    <w:rsid w:val="00B43785"/>
    <w:rsid w:val="00B43924"/>
    <w:rsid w:val="00B43A5B"/>
    <w:rsid w:val="00B43B15"/>
    <w:rsid w:val="00B43B5B"/>
    <w:rsid w:val="00B43B90"/>
    <w:rsid w:val="00B43DA0"/>
    <w:rsid w:val="00B43DCF"/>
    <w:rsid w:val="00B44047"/>
    <w:rsid w:val="00B44221"/>
    <w:rsid w:val="00B4425D"/>
    <w:rsid w:val="00B44285"/>
    <w:rsid w:val="00B4431B"/>
    <w:rsid w:val="00B44365"/>
    <w:rsid w:val="00B444C3"/>
    <w:rsid w:val="00B44B99"/>
    <w:rsid w:val="00B451F9"/>
    <w:rsid w:val="00B4532A"/>
    <w:rsid w:val="00B4555F"/>
    <w:rsid w:val="00B45B91"/>
    <w:rsid w:val="00B45BBE"/>
    <w:rsid w:val="00B45F94"/>
    <w:rsid w:val="00B4601A"/>
    <w:rsid w:val="00B4627E"/>
    <w:rsid w:val="00B464F5"/>
    <w:rsid w:val="00B46510"/>
    <w:rsid w:val="00B4652F"/>
    <w:rsid w:val="00B46636"/>
    <w:rsid w:val="00B46BFF"/>
    <w:rsid w:val="00B46ECE"/>
    <w:rsid w:val="00B470FA"/>
    <w:rsid w:val="00B47177"/>
    <w:rsid w:val="00B47300"/>
    <w:rsid w:val="00B47712"/>
    <w:rsid w:val="00B47868"/>
    <w:rsid w:val="00B47AC1"/>
    <w:rsid w:val="00B47BB7"/>
    <w:rsid w:val="00B47EC3"/>
    <w:rsid w:val="00B503B7"/>
    <w:rsid w:val="00B50445"/>
    <w:rsid w:val="00B50830"/>
    <w:rsid w:val="00B50AC8"/>
    <w:rsid w:val="00B50BB2"/>
    <w:rsid w:val="00B5104F"/>
    <w:rsid w:val="00B51334"/>
    <w:rsid w:val="00B515CA"/>
    <w:rsid w:val="00B5178D"/>
    <w:rsid w:val="00B521B5"/>
    <w:rsid w:val="00B52379"/>
    <w:rsid w:val="00B5272E"/>
    <w:rsid w:val="00B527FC"/>
    <w:rsid w:val="00B52DF5"/>
    <w:rsid w:val="00B52E96"/>
    <w:rsid w:val="00B5313B"/>
    <w:rsid w:val="00B53BED"/>
    <w:rsid w:val="00B53C44"/>
    <w:rsid w:val="00B53D09"/>
    <w:rsid w:val="00B54DC0"/>
    <w:rsid w:val="00B54E40"/>
    <w:rsid w:val="00B54F56"/>
    <w:rsid w:val="00B54F90"/>
    <w:rsid w:val="00B55002"/>
    <w:rsid w:val="00B5531A"/>
    <w:rsid w:val="00B55487"/>
    <w:rsid w:val="00B55560"/>
    <w:rsid w:val="00B555CC"/>
    <w:rsid w:val="00B55618"/>
    <w:rsid w:val="00B55997"/>
    <w:rsid w:val="00B55DCD"/>
    <w:rsid w:val="00B563E5"/>
    <w:rsid w:val="00B56424"/>
    <w:rsid w:val="00B56528"/>
    <w:rsid w:val="00B56A70"/>
    <w:rsid w:val="00B56E3E"/>
    <w:rsid w:val="00B576B3"/>
    <w:rsid w:val="00B5775B"/>
    <w:rsid w:val="00B57B37"/>
    <w:rsid w:val="00B57E64"/>
    <w:rsid w:val="00B60092"/>
    <w:rsid w:val="00B6036C"/>
    <w:rsid w:val="00B6087D"/>
    <w:rsid w:val="00B60AA2"/>
    <w:rsid w:val="00B60C88"/>
    <w:rsid w:val="00B60DCE"/>
    <w:rsid w:val="00B614FF"/>
    <w:rsid w:val="00B61677"/>
    <w:rsid w:val="00B618A3"/>
    <w:rsid w:val="00B61B62"/>
    <w:rsid w:val="00B622B2"/>
    <w:rsid w:val="00B62626"/>
    <w:rsid w:val="00B62A2F"/>
    <w:rsid w:val="00B62C56"/>
    <w:rsid w:val="00B62D7C"/>
    <w:rsid w:val="00B633F6"/>
    <w:rsid w:val="00B637E7"/>
    <w:rsid w:val="00B638EA"/>
    <w:rsid w:val="00B63A43"/>
    <w:rsid w:val="00B63C1D"/>
    <w:rsid w:val="00B63DB4"/>
    <w:rsid w:val="00B6437C"/>
    <w:rsid w:val="00B645F3"/>
    <w:rsid w:val="00B64642"/>
    <w:rsid w:val="00B64BB1"/>
    <w:rsid w:val="00B64C0D"/>
    <w:rsid w:val="00B64E96"/>
    <w:rsid w:val="00B65074"/>
    <w:rsid w:val="00B65386"/>
    <w:rsid w:val="00B65730"/>
    <w:rsid w:val="00B65B13"/>
    <w:rsid w:val="00B66174"/>
    <w:rsid w:val="00B66708"/>
    <w:rsid w:val="00B6671F"/>
    <w:rsid w:val="00B668F2"/>
    <w:rsid w:val="00B67184"/>
    <w:rsid w:val="00B67630"/>
    <w:rsid w:val="00B67844"/>
    <w:rsid w:val="00B67D66"/>
    <w:rsid w:val="00B67ED6"/>
    <w:rsid w:val="00B67EE1"/>
    <w:rsid w:val="00B70515"/>
    <w:rsid w:val="00B70894"/>
    <w:rsid w:val="00B70E0E"/>
    <w:rsid w:val="00B72813"/>
    <w:rsid w:val="00B72A79"/>
    <w:rsid w:val="00B72C48"/>
    <w:rsid w:val="00B72EA6"/>
    <w:rsid w:val="00B72F70"/>
    <w:rsid w:val="00B730C0"/>
    <w:rsid w:val="00B73675"/>
    <w:rsid w:val="00B73732"/>
    <w:rsid w:val="00B738C4"/>
    <w:rsid w:val="00B739C5"/>
    <w:rsid w:val="00B73CF1"/>
    <w:rsid w:val="00B74E27"/>
    <w:rsid w:val="00B74E5C"/>
    <w:rsid w:val="00B74F30"/>
    <w:rsid w:val="00B75536"/>
    <w:rsid w:val="00B75718"/>
    <w:rsid w:val="00B75AA6"/>
    <w:rsid w:val="00B75CE3"/>
    <w:rsid w:val="00B760CA"/>
    <w:rsid w:val="00B7617E"/>
    <w:rsid w:val="00B764E8"/>
    <w:rsid w:val="00B767BE"/>
    <w:rsid w:val="00B76D7B"/>
    <w:rsid w:val="00B76F95"/>
    <w:rsid w:val="00B77477"/>
    <w:rsid w:val="00B775E1"/>
    <w:rsid w:val="00B77607"/>
    <w:rsid w:val="00B77C4A"/>
    <w:rsid w:val="00B77DA6"/>
    <w:rsid w:val="00B80017"/>
    <w:rsid w:val="00B80118"/>
    <w:rsid w:val="00B8019D"/>
    <w:rsid w:val="00B802A6"/>
    <w:rsid w:val="00B80844"/>
    <w:rsid w:val="00B80866"/>
    <w:rsid w:val="00B80A73"/>
    <w:rsid w:val="00B80AB0"/>
    <w:rsid w:val="00B80B8A"/>
    <w:rsid w:val="00B80EFD"/>
    <w:rsid w:val="00B80EFE"/>
    <w:rsid w:val="00B81043"/>
    <w:rsid w:val="00B81715"/>
    <w:rsid w:val="00B81781"/>
    <w:rsid w:val="00B81C8D"/>
    <w:rsid w:val="00B81D8C"/>
    <w:rsid w:val="00B81F60"/>
    <w:rsid w:val="00B821DB"/>
    <w:rsid w:val="00B82856"/>
    <w:rsid w:val="00B82C69"/>
    <w:rsid w:val="00B82D97"/>
    <w:rsid w:val="00B82D9D"/>
    <w:rsid w:val="00B82E55"/>
    <w:rsid w:val="00B831DC"/>
    <w:rsid w:val="00B833CF"/>
    <w:rsid w:val="00B834F6"/>
    <w:rsid w:val="00B8376A"/>
    <w:rsid w:val="00B8399D"/>
    <w:rsid w:val="00B83BC0"/>
    <w:rsid w:val="00B83C0E"/>
    <w:rsid w:val="00B84007"/>
    <w:rsid w:val="00B84058"/>
    <w:rsid w:val="00B84469"/>
    <w:rsid w:val="00B84D2D"/>
    <w:rsid w:val="00B84E82"/>
    <w:rsid w:val="00B84EE2"/>
    <w:rsid w:val="00B84F2C"/>
    <w:rsid w:val="00B851B9"/>
    <w:rsid w:val="00B854B8"/>
    <w:rsid w:val="00B854C4"/>
    <w:rsid w:val="00B85863"/>
    <w:rsid w:val="00B85C36"/>
    <w:rsid w:val="00B85CE3"/>
    <w:rsid w:val="00B85FF1"/>
    <w:rsid w:val="00B86936"/>
    <w:rsid w:val="00B86C01"/>
    <w:rsid w:val="00B86C42"/>
    <w:rsid w:val="00B86CDA"/>
    <w:rsid w:val="00B86F4E"/>
    <w:rsid w:val="00B870F0"/>
    <w:rsid w:val="00B877C7"/>
    <w:rsid w:val="00B87B5E"/>
    <w:rsid w:val="00B87DEF"/>
    <w:rsid w:val="00B87F37"/>
    <w:rsid w:val="00B9029D"/>
    <w:rsid w:val="00B905EC"/>
    <w:rsid w:val="00B909AD"/>
    <w:rsid w:val="00B90A72"/>
    <w:rsid w:val="00B91034"/>
    <w:rsid w:val="00B917B0"/>
    <w:rsid w:val="00B917EF"/>
    <w:rsid w:val="00B919C8"/>
    <w:rsid w:val="00B91B19"/>
    <w:rsid w:val="00B91CC2"/>
    <w:rsid w:val="00B91E70"/>
    <w:rsid w:val="00B91F86"/>
    <w:rsid w:val="00B91FA5"/>
    <w:rsid w:val="00B920BA"/>
    <w:rsid w:val="00B9235E"/>
    <w:rsid w:val="00B925D3"/>
    <w:rsid w:val="00B92C8F"/>
    <w:rsid w:val="00B930A1"/>
    <w:rsid w:val="00B931B2"/>
    <w:rsid w:val="00B936AE"/>
    <w:rsid w:val="00B93D29"/>
    <w:rsid w:val="00B9416B"/>
    <w:rsid w:val="00B94323"/>
    <w:rsid w:val="00B94853"/>
    <w:rsid w:val="00B94C89"/>
    <w:rsid w:val="00B94DCD"/>
    <w:rsid w:val="00B95368"/>
    <w:rsid w:val="00B955C9"/>
    <w:rsid w:val="00B958E4"/>
    <w:rsid w:val="00B95D5A"/>
    <w:rsid w:val="00B9619E"/>
    <w:rsid w:val="00B962FB"/>
    <w:rsid w:val="00B96320"/>
    <w:rsid w:val="00B9665D"/>
    <w:rsid w:val="00B96F1D"/>
    <w:rsid w:val="00B97238"/>
    <w:rsid w:val="00B97AC4"/>
    <w:rsid w:val="00B97DA0"/>
    <w:rsid w:val="00BA0902"/>
    <w:rsid w:val="00BA0B70"/>
    <w:rsid w:val="00BA103B"/>
    <w:rsid w:val="00BA1442"/>
    <w:rsid w:val="00BA1D20"/>
    <w:rsid w:val="00BA1E75"/>
    <w:rsid w:val="00BA2008"/>
    <w:rsid w:val="00BA200B"/>
    <w:rsid w:val="00BA2043"/>
    <w:rsid w:val="00BA23FF"/>
    <w:rsid w:val="00BA24A3"/>
    <w:rsid w:val="00BA369B"/>
    <w:rsid w:val="00BA397F"/>
    <w:rsid w:val="00BA3E98"/>
    <w:rsid w:val="00BA3F44"/>
    <w:rsid w:val="00BA40FD"/>
    <w:rsid w:val="00BA473C"/>
    <w:rsid w:val="00BA489C"/>
    <w:rsid w:val="00BA4B35"/>
    <w:rsid w:val="00BA4C1D"/>
    <w:rsid w:val="00BA4E5D"/>
    <w:rsid w:val="00BA50C4"/>
    <w:rsid w:val="00BA5112"/>
    <w:rsid w:val="00BA5736"/>
    <w:rsid w:val="00BA5950"/>
    <w:rsid w:val="00BA5AF5"/>
    <w:rsid w:val="00BA621C"/>
    <w:rsid w:val="00BA658B"/>
    <w:rsid w:val="00BA6799"/>
    <w:rsid w:val="00BA6B04"/>
    <w:rsid w:val="00BA6B88"/>
    <w:rsid w:val="00BA6D39"/>
    <w:rsid w:val="00BA6D72"/>
    <w:rsid w:val="00BA6E4F"/>
    <w:rsid w:val="00BA7770"/>
    <w:rsid w:val="00BA7938"/>
    <w:rsid w:val="00BA7C6E"/>
    <w:rsid w:val="00BA7CA6"/>
    <w:rsid w:val="00BA7CDE"/>
    <w:rsid w:val="00BA7E58"/>
    <w:rsid w:val="00BB07EA"/>
    <w:rsid w:val="00BB0853"/>
    <w:rsid w:val="00BB0A94"/>
    <w:rsid w:val="00BB0D95"/>
    <w:rsid w:val="00BB0E35"/>
    <w:rsid w:val="00BB0F0C"/>
    <w:rsid w:val="00BB1424"/>
    <w:rsid w:val="00BB1745"/>
    <w:rsid w:val="00BB18F2"/>
    <w:rsid w:val="00BB1906"/>
    <w:rsid w:val="00BB1981"/>
    <w:rsid w:val="00BB1A1C"/>
    <w:rsid w:val="00BB1AA0"/>
    <w:rsid w:val="00BB1ADB"/>
    <w:rsid w:val="00BB226E"/>
    <w:rsid w:val="00BB2785"/>
    <w:rsid w:val="00BB284C"/>
    <w:rsid w:val="00BB2A6D"/>
    <w:rsid w:val="00BB2AF0"/>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604"/>
    <w:rsid w:val="00BB6925"/>
    <w:rsid w:val="00BB6DA6"/>
    <w:rsid w:val="00BB6EC5"/>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BE8"/>
    <w:rsid w:val="00BC2DBF"/>
    <w:rsid w:val="00BC2EC3"/>
    <w:rsid w:val="00BC3138"/>
    <w:rsid w:val="00BC338E"/>
    <w:rsid w:val="00BC3C33"/>
    <w:rsid w:val="00BC4176"/>
    <w:rsid w:val="00BC45D7"/>
    <w:rsid w:val="00BC474A"/>
    <w:rsid w:val="00BC4D2D"/>
    <w:rsid w:val="00BC4E01"/>
    <w:rsid w:val="00BC538C"/>
    <w:rsid w:val="00BC54D4"/>
    <w:rsid w:val="00BC58AE"/>
    <w:rsid w:val="00BC58DA"/>
    <w:rsid w:val="00BC5CF7"/>
    <w:rsid w:val="00BC5D37"/>
    <w:rsid w:val="00BC5FC4"/>
    <w:rsid w:val="00BC62E0"/>
    <w:rsid w:val="00BC6517"/>
    <w:rsid w:val="00BC655E"/>
    <w:rsid w:val="00BC6924"/>
    <w:rsid w:val="00BC71C8"/>
    <w:rsid w:val="00BC7390"/>
    <w:rsid w:val="00BC783A"/>
    <w:rsid w:val="00BC7B63"/>
    <w:rsid w:val="00BC7D16"/>
    <w:rsid w:val="00BC7ED1"/>
    <w:rsid w:val="00BD02F7"/>
    <w:rsid w:val="00BD0DBA"/>
    <w:rsid w:val="00BD1194"/>
    <w:rsid w:val="00BD1214"/>
    <w:rsid w:val="00BD127C"/>
    <w:rsid w:val="00BD15D1"/>
    <w:rsid w:val="00BD2345"/>
    <w:rsid w:val="00BD240E"/>
    <w:rsid w:val="00BD2680"/>
    <w:rsid w:val="00BD2C27"/>
    <w:rsid w:val="00BD2D3B"/>
    <w:rsid w:val="00BD2D7D"/>
    <w:rsid w:val="00BD35FA"/>
    <w:rsid w:val="00BD36E1"/>
    <w:rsid w:val="00BD36EC"/>
    <w:rsid w:val="00BD3705"/>
    <w:rsid w:val="00BD3868"/>
    <w:rsid w:val="00BD3C7F"/>
    <w:rsid w:val="00BD3E69"/>
    <w:rsid w:val="00BD4478"/>
    <w:rsid w:val="00BD4498"/>
    <w:rsid w:val="00BD4718"/>
    <w:rsid w:val="00BD47FD"/>
    <w:rsid w:val="00BD4833"/>
    <w:rsid w:val="00BD4DAF"/>
    <w:rsid w:val="00BD55BE"/>
    <w:rsid w:val="00BD582B"/>
    <w:rsid w:val="00BD5A05"/>
    <w:rsid w:val="00BD5C79"/>
    <w:rsid w:val="00BD5F27"/>
    <w:rsid w:val="00BD6192"/>
    <w:rsid w:val="00BD64A0"/>
    <w:rsid w:val="00BD64CD"/>
    <w:rsid w:val="00BD6577"/>
    <w:rsid w:val="00BD68A1"/>
    <w:rsid w:val="00BD7452"/>
    <w:rsid w:val="00BD7473"/>
    <w:rsid w:val="00BD7528"/>
    <w:rsid w:val="00BD796A"/>
    <w:rsid w:val="00BD7989"/>
    <w:rsid w:val="00BD7A00"/>
    <w:rsid w:val="00BD7C1C"/>
    <w:rsid w:val="00BE0026"/>
    <w:rsid w:val="00BE0033"/>
    <w:rsid w:val="00BE01B2"/>
    <w:rsid w:val="00BE03AB"/>
    <w:rsid w:val="00BE052A"/>
    <w:rsid w:val="00BE0670"/>
    <w:rsid w:val="00BE0DB6"/>
    <w:rsid w:val="00BE1509"/>
    <w:rsid w:val="00BE15DE"/>
    <w:rsid w:val="00BE1616"/>
    <w:rsid w:val="00BE1749"/>
    <w:rsid w:val="00BE1759"/>
    <w:rsid w:val="00BE1CF8"/>
    <w:rsid w:val="00BE1DE9"/>
    <w:rsid w:val="00BE1DF3"/>
    <w:rsid w:val="00BE1F50"/>
    <w:rsid w:val="00BE2061"/>
    <w:rsid w:val="00BE2799"/>
    <w:rsid w:val="00BE286B"/>
    <w:rsid w:val="00BE2D2B"/>
    <w:rsid w:val="00BE30A1"/>
    <w:rsid w:val="00BE332A"/>
    <w:rsid w:val="00BE3394"/>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74A"/>
    <w:rsid w:val="00BE7C0C"/>
    <w:rsid w:val="00BE7C5D"/>
    <w:rsid w:val="00BE7CD5"/>
    <w:rsid w:val="00BE7E10"/>
    <w:rsid w:val="00BE7F87"/>
    <w:rsid w:val="00BF0222"/>
    <w:rsid w:val="00BF0AF1"/>
    <w:rsid w:val="00BF112F"/>
    <w:rsid w:val="00BF127D"/>
    <w:rsid w:val="00BF16E9"/>
    <w:rsid w:val="00BF17BF"/>
    <w:rsid w:val="00BF1B70"/>
    <w:rsid w:val="00BF1CDE"/>
    <w:rsid w:val="00BF20C5"/>
    <w:rsid w:val="00BF248B"/>
    <w:rsid w:val="00BF2580"/>
    <w:rsid w:val="00BF28F3"/>
    <w:rsid w:val="00BF2D0E"/>
    <w:rsid w:val="00BF2F59"/>
    <w:rsid w:val="00BF31A5"/>
    <w:rsid w:val="00BF35C7"/>
    <w:rsid w:val="00BF392C"/>
    <w:rsid w:val="00BF3EFA"/>
    <w:rsid w:val="00BF3F92"/>
    <w:rsid w:val="00BF40A0"/>
    <w:rsid w:val="00BF46A2"/>
    <w:rsid w:val="00BF47AB"/>
    <w:rsid w:val="00BF4876"/>
    <w:rsid w:val="00BF4966"/>
    <w:rsid w:val="00BF552C"/>
    <w:rsid w:val="00BF5887"/>
    <w:rsid w:val="00BF5C0C"/>
    <w:rsid w:val="00BF5CF5"/>
    <w:rsid w:val="00BF5FC3"/>
    <w:rsid w:val="00BF6070"/>
    <w:rsid w:val="00BF61A5"/>
    <w:rsid w:val="00BF6335"/>
    <w:rsid w:val="00BF6533"/>
    <w:rsid w:val="00BF6679"/>
    <w:rsid w:val="00BF6815"/>
    <w:rsid w:val="00BF6AFE"/>
    <w:rsid w:val="00BF6EE9"/>
    <w:rsid w:val="00BF6F6F"/>
    <w:rsid w:val="00BF7219"/>
    <w:rsid w:val="00BF7330"/>
    <w:rsid w:val="00BF75AD"/>
    <w:rsid w:val="00BF7AC9"/>
    <w:rsid w:val="00BF7B14"/>
    <w:rsid w:val="00C001D3"/>
    <w:rsid w:val="00C00466"/>
    <w:rsid w:val="00C007A4"/>
    <w:rsid w:val="00C00D6A"/>
    <w:rsid w:val="00C00E44"/>
    <w:rsid w:val="00C0105F"/>
    <w:rsid w:val="00C010FB"/>
    <w:rsid w:val="00C01423"/>
    <w:rsid w:val="00C01DF3"/>
    <w:rsid w:val="00C01E03"/>
    <w:rsid w:val="00C01F70"/>
    <w:rsid w:val="00C02027"/>
    <w:rsid w:val="00C02035"/>
    <w:rsid w:val="00C025BD"/>
    <w:rsid w:val="00C02658"/>
    <w:rsid w:val="00C029D6"/>
    <w:rsid w:val="00C02FAF"/>
    <w:rsid w:val="00C03018"/>
    <w:rsid w:val="00C03564"/>
    <w:rsid w:val="00C03BCB"/>
    <w:rsid w:val="00C03C2C"/>
    <w:rsid w:val="00C03DED"/>
    <w:rsid w:val="00C03ED7"/>
    <w:rsid w:val="00C047DB"/>
    <w:rsid w:val="00C0485B"/>
    <w:rsid w:val="00C049A4"/>
    <w:rsid w:val="00C04AC1"/>
    <w:rsid w:val="00C04C11"/>
    <w:rsid w:val="00C04CA4"/>
    <w:rsid w:val="00C04F57"/>
    <w:rsid w:val="00C04F90"/>
    <w:rsid w:val="00C05049"/>
    <w:rsid w:val="00C05381"/>
    <w:rsid w:val="00C05529"/>
    <w:rsid w:val="00C05800"/>
    <w:rsid w:val="00C0587A"/>
    <w:rsid w:val="00C05885"/>
    <w:rsid w:val="00C05DAC"/>
    <w:rsid w:val="00C05F68"/>
    <w:rsid w:val="00C061CE"/>
    <w:rsid w:val="00C06578"/>
    <w:rsid w:val="00C0666C"/>
    <w:rsid w:val="00C06B65"/>
    <w:rsid w:val="00C075EA"/>
    <w:rsid w:val="00C075FC"/>
    <w:rsid w:val="00C07822"/>
    <w:rsid w:val="00C07D86"/>
    <w:rsid w:val="00C07F85"/>
    <w:rsid w:val="00C07FE3"/>
    <w:rsid w:val="00C10140"/>
    <w:rsid w:val="00C103DD"/>
    <w:rsid w:val="00C10648"/>
    <w:rsid w:val="00C1088F"/>
    <w:rsid w:val="00C10BFC"/>
    <w:rsid w:val="00C11143"/>
    <w:rsid w:val="00C11385"/>
    <w:rsid w:val="00C1171A"/>
    <w:rsid w:val="00C11F02"/>
    <w:rsid w:val="00C12645"/>
    <w:rsid w:val="00C12904"/>
    <w:rsid w:val="00C12A62"/>
    <w:rsid w:val="00C12A66"/>
    <w:rsid w:val="00C12A8B"/>
    <w:rsid w:val="00C12B50"/>
    <w:rsid w:val="00C12C85"/>
    <w:rsid w:val="00C12E4B"/>
    <w:rsid w:val="00C12EF4"/>
    <w:rsid w:val="00C13CF7"/>
    <w:rsid w:val="00C14362"/>
    <w:rsid w:val="00C14837"/>
    <w:rsid w:val="00C14895"/>
    <w:rsid w:val="00C1494C"/>
    <w:rsid w:val="00C14A79"/>
    <w:rsid w:val="00C151B8"/>
    <w:rsid w:val="00C15386"/>
    <w:rsid w:val="00C15B99"/>
    <w:rsid w:val="00C1625E"/>
    <w:rsid w:val="00C1678A"/>
    <w:rsid w:val="00C167DA"/>
    <w:rsid w:val="00C16986"/>
    <w:rsid w:val="00C16B7D"/>
    <w:rsid w:val="00C170FB"/>
    <w:rsid w:val="00C17152"/>
    <w:rsid w:val="00C172B2"/>
    <w:rsid w:val="00C1757E"/>
    <w:rsid w:val="00C202C4"/>
    <w:rsid w:val="00C20651"/>
    <w:rsid w:val="00C210AF"/>
    <w:rsid w:val="00C2124F"/>
    <w:rsid w:val="00C2175B"/>
    <w:rsid w:val="00C21B3C"/>
    <w:rsid w:val="00C21C23"/>
    <w:rsid w:val="00C21E42"/>
    <w:rsid w:val="00C22059"/>
    <w:rsid w:val="00C2208D"/>
    <w:rsid w:val="00C2232D"/>
    <w:rsid w:val="00C22864"/>
    <w:rsid w:val="00C23362"/>
    <w:rsid w:val="00C238B3"/>
    <w:rsid w:val="00C23E5F"/>
    <w:rsid w:val="00C24028"/>
    <w:rsid w:val="00C242E3"/>
    <w:rsid w:val="00C24602"/>
    <w:rsid w:val="00C24CDF"/>
    <w:rsid w:val="00C252B0"/>
    <w:rsid w:val="00C25876"/>
    <w:rsid w:val="00C25CF1"/>
    <w:rsid w:val="00C260CD"/>
    <w:rsid w:val="00C2625F"/>
    <w:rsid w:val="00C263D6"/>
    <w:rsid w:val="00C2642D"/>
    <w:rsid w:val="00C26463"/>
    <w:rsid w:val="00C26895"/>
    <w:rsid w:val="00C26A7A"/>
    <w:rsid w:val="00C26CB4"/>
    <w:rsid w:val="00C26D1C"/>
    <w:rsid w:val="00C26EEE"/>
    <w:rsid w:val="00C26F9F"/>
    <w:rsid w:val="00C26FB7"/>
    <w:rsid w:val="00C278CC"/>
    <w:rsid w:val="00C27FFE"/>
    <w:rsid w:val="00C3002A"/>
    <w:rsid w:val="00C3049B"/>
    <w:rsid w:val="00C304EE"/>
    <w:rsid w:val="00C30553"/>
    <w:rsid w:val="00C30624"/>
    <w:rsid w:val="00C306F8"/>
    <w:rsid w:val="00C3091A"/>
    <w:rsid w:val="00C3100C"/>
    <w:rsid w:val="00C3119F"/>
    <w:rsid w:val="00C31379"/>
    <w:rsid w:val="00C31763"/>
    <w:rsid w:val="00C31803"/>
    <w:rsid w:val="00C31CC1"/>
    <w:rsid w:val="00C326FE"/>
    <w:rsid w:val="00C32A7E"/>
    <w:rsid w:val="00C32A86"/>
    <w:rsid w:val="00C32C3E"/>
    <w:rsid w:val="00C32E64"/>
    <w:rsid w:val="00C33802"/>
    <w:rsid w:val="00C33CBC"/>
    <w:rsid w:val="00C33F06"/>
    <w:rsid w:val="00C35074"/>
    <w:rsid w:val="00C351B1"/>
    <w:rsid w:val="00C35290"/>
    <w:rsid w:val="00C35311"/>
    <w:rsid w:val="00C35513"/>
    <w:rsid w:val="00C35892"/>
    <w:rsid w:val="00C35970"/>
    <w:rsid w:val="00C35ACC"/>
    <w:rsid w:val="00C35D46"/>
    <w:rsid w:val="00C35E21"/>
    <w:rsid w:val="00C36364"/>
    <w:rsid w:val="00C365B7"/>
    <w:rsid w:val="00C36ABE"/>
    <w:rsid w:val="00C36C50"/>
    <w:rsid w:val="00C36DC2"/>
    <w:rsid w:val="00C37071"/>
    <w:rsid w:val="00C372C7"/>
    <w:rsid w:val="00C376F7"/>
    <w:rsid w:val="00C37A84"/>
    <w:rsid w:val="00C37BD3"/>
    <w:rsid w:val="00C37F30"/>
    <w:rsid w:val="00C40005"/>
    <w:rsid w:val="00C401CE"/>
    <w:rsid w:val="00C409BF"/>
    <w:rsid w:val="00C40B19"/>
    <w:rsid w:val="00C40B3B"/>
    <w:rsid w:val="00C40F23"/>
    <w:rsid w:val="00C410F0"/>
    <w:rsid w:val="00C4151B"/>
    <w:rsid w:val="00C41AB0"/>
    <w:rsid w:val="00C41DD7"/>
    <w:rsid w:val="00C41EF8"/>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504F"/>
    <w:rsid w:val="00C45DFE"/>
    <w:rsid w:val="00C45E56"/>
    <w:rsid w:val="00C45E7E"/>
    <w:rsid w:val="00C45FF3"/>
    <w:rsid w:val="00C467E5"/>
    <w:rsid w:val="00C46E5D"/>
    <w:rsid w:val="00C47204"/>
    <w:rsid w:val="00C4768D"/>
    <w:rsid w:val="00C477B4"/>
    <w:rsid w:val="00C4793A"/>
    <w:rsid w:val="00C47959"/>
    <w:rsid w:val="00C47BCF"/>
    <w:rsid w:val="00C47CA8"/>
    <w:rsid w:val="00C5003F"/>
    <w:rsid w:val="00C5067F"/>
    <w:rsid w:val="00C507F0"/>
    <w:rsid w:val="00C50D9B"/>
    <w:rsid w:val="00C51116"/>
    <w:rsid w:val="00C51530"/>
    <w:rsid w:val="00C51A3F"/>
    <w:rsid w:val="00C51A49"/>
    <w:rsid w:val="00C51F09"/>
    <w:rsid w:val="00C52011"/>
    <w:rsid w:val="00C5209D"/>
    <w:rsid w:val="00C520E4"/>
    <w:rsid w:val="00C524C0"/>
    <w:rsid w:val="00C52845"/>
    <w:rsid w:val="00C5284A"/>
    <w:rsid w:val="00C52A79"/>
    <w:rsid w:val="00C52D69"/>
    <w:rsid w:val="00C52D9D"/>
    <w:rsid w:val="00C52FF1"/>
    <w:rsid w:val="00C53000"/>
    <w:rsid w:val="00C5321A"/>
    <w:rsid w:val="00C53414"/>
    <w:rsid w:val="00C53738"/>
    <w:rsid w:val="00C53DF8"/>
    <w:rsid w:val="00C53EA2"/>
    <w:rsid w:val="00C542BB"/>
    <w:rsid w:val="00C5468E"/>
    <w:rsid w:val="00C548C6"/>
    <w:rsid w:val="00C548F1"/>
    <w:rsid w:val="00C5529B"/>
    <w:rsid w:val="00C558B7"/>
    <w:rsid w:val="00C5590C"/>
    <w:rsid w:val="00C55B45"/>
    <w:rsid w:val="00C55F21"/>
    <w:rsid w:val="00C5654C"/>
    <w:rsid w:val="00C56691"/>
    <w:rsid w:val="00C56863"/>
    <w:rsid w:val="00C569C5"/>
    <w:rsid w:val="00C56AC5"/>
    <w:rsid w:val="00C56AFC"/>
    <w:rsid w:val="00C56D28"/>
    <w:rsid w:val="00C56E94"/>
    <w:rsid w:val="00C57057"/>
    <w:rsid w:val="00C572B2"/>
    <w:rsid w:val="00C57C64"/>
    <w:rsid w:val="00C57C72"/>
    <w:rsid w:val="00C57C9D"/>
    <w:rsid w:val="00C57D61"/>
    <w:rsid w:val="00C60157"/>
    <w:rsid w:val="00C601BB"/>
    <w:rsid w:val="00C60392"/>
    <w:rsid w:val="00C60BE4"/>
    <w:rsid w:val="00C60E5A"/>
    <w:rsid w:val="00C619DA"/>
    <w:rsid w:val="00C61C32"/>
    <w:rsid w:val="00C61D61"/>
    <w:rsid w:val="00C61DAF"/>
    <w:rsid w:val="00C61DD1"/>
    <w:rsid w:val="00C62739"/>
    <w:rsid w:val="00C6275B"/>
    <w:rsid w:val="00C62835"/>
    <w:rsid w:val="00C62AAE"/>
    <w:rsid w:val="00C62BD0"/>
    <w:rsid w:val="00C62D05"/>
    <w:rsid w:val="00C62D7C"/>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E4B"/>
    <w:rsid w:val="00C65FB6"/>
    <w:rsid w:val="00C65FF7"/>
    <w:rsid w:val="00C6631E"/>
    <w:rsid w:val="00C6689A"/>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4C07"/>
    <w:rsid w:val="00C7511D"/>
    <w:rsid w:val="00C7518D"/>
    <w:rsid w:val="00C757BB"/>
    <w:rsid w:val="00C75A97"/>
    <w:rsid w:val="00C75E90"/>
    <w:rsid w:val="00C75EBF"/>
    <w:rsid w:val="00C762D9"/>
    <w:rsid w:val="00C76425"/>
    <w:rsid w:val="00C764BF"/>
    <w:rsid w:val="00C765DF"/>
    <w:rsid w:val="00C766F1"/>
    <w:rsid w:val="00C766F7"/>
    <w:rsid w:val="00C76809"/>
    <w:rsid w:val="00C7690B"/>
    <w:rsid w:val="00C76A3B"/>
    <w:rsid w:val="00C76A54"/>
    <w:rsid w:val="00C772FF"/>
    <w:rsid w:val="00C77581"/>
    <w:rsid w:val="00C7760C"/>
    <w:rsid w:val="00C776C9"/>
    <w:rsid w:val="00C77C6C"/>
    <w:rsid w:val="00C80042"/>
    <w:rsid w:val="00C8033B"/>
    <w:rsid w:val="00C8056E"/>
    <w:rsid w:val="00C806DD"/>
    <w:rsid w:val="00C80719"/>
    <w:rsid w:val="00C807C8"/>
    <w:rsid w:val="00C80A97"/>
    <w:rsid w:val="00C812E5"/>
    <w:rsid w:val="00C8170F"/>
    <w:rsid w:val="00C81728"/>
    <w:rsid w:val="00C81AF4"/>
    <w:rsid w:val="00C8211B"/>
    <w:rsid w:val="00C823B3"/>
    <w:rsid w:val="00C824A8"/>
    <w:rsid w:val="00C825BF"/>
    <w:rsid w:val="00C8292C"/>
    <w:rsid w:val="00C82B92"/>
    <w:rsid w:val="00C82DD8"/>
    <w:rsid w:val="00C82E80"/>
    <w:rsid w:val="00C8310D"/>
    <w:rsid w:val="00C8322B"/>
    <w:rsid w:val="00C8344F"/>
    <w:rsid w:val="00C83778"/>
    <w:rsid w:val="00C83AB5"/>
    <w:rsid w:val="00C83F64"/>
    <w:rsid w:val="00C843A0"/>
    <w:rsid w:val="00C845AB"/>
    <w:rsid w:val="00C849F6"/>
    <w:rsid w:val="00C84A2A"/>
    <w:rsid w:val="00C85A98"/>
    <w:rsid w:val="00C85AA3"/>
    <w:rsid w:val="00C85DD6"/>
    <w:rsid w:val="00C85FD7"/>
    <w:rsid w:val="00C86736"/>
    <w:rsid w:val="00C8680B"/>
    <w:rsid w:val="00C86D5B"/>
    <w:rsid w:val="00C8713D"/>
    <w:rsid w:val="00C87306"/>
    <w:rsid w:val="00C8772E"/>
    <w:rsid w:val="00C8782D"/>
    <w:rsid w:val="00C8786F"/>
    <w:rsid w:val="00C87DB1"/>
    <w:rsid w:val="00C87F2D"/>
    <w:rsid w:val="00C9016A"/>
    <w:rsid w:val="00C901A2"/>
    <w:rsid w:val="00C903E7"/>
    <w:rsid w:val="00C906EF"/>
    <w:rsid w:val="00C90929"/>
    <w:rsid w:val="00C9094C"/>
    <w:rsid w:val="00C90BFA"/>
    <w:rsid w:val="00C91608"/>
    <w:rsid w:val="00C9170F"/>
    <w:rsid w:val="00C917E7"/>
    <w:rsid w:val="00C919FD"/>
    <w:rsid w:val="00C91B1D"/>
    <w:rsid w:val="00C91CDB"/>
    <w:rsid w:val="00C9222B"/>
    <w:rsid w:val="00C922A0"/>
    <w:rsid w:val="00C9260B"/>
    <w:rsid w:val="00C9287D"/>
    <w:rsid w:val="00C92BDD"/>
    <w:rsid w:val="00C92CF7"/>
    <w:rsid w:val="00C92D1F"/>
    <w:rsid w:val="00C92DEC"/>
    <w:rsid w:val="00C932B3"/>
    <w:rsid w:val="00C9345F"/>
    <w:rsid w:val="00C93583"/>
    <w:rsid w:val="00C936C0"/>
    <w:rsid w:val="00C93CA5"/>
    <w:rsid w:val="00C94539"/>
    <w:rsid w:val="00C94639"/>
    <w:rsid w:val="00C94678"/>
    <w:rsid w:val="00C94FBD"/>
    <w:rsid w:val="00C953FF"/>
    <w:rsid w:val="00C95A03"/>
    <w:rsid w:val="00C96495"/>
    <w:rsid w:val="00C96621"/>
    <w:rsid w:val="00C96729"/>
    <w:rsid w:val="00C97338"/>
    <w:rsid w:val="00C978CF"/>
    <w:rsid w:val="00C978DB"/>
    <w:rsid w:val="00C97DBF"/>
    <w:rsid w:val="00C97E66"/>
    <w:rsid w:val="00CA0014"/>
    <w:rsid w:val="00CA00CE"/>
    <w:rsid w:val="00CA043A"/>
    <w:rsid w:val="00CA05D1"/>
    <w:rsid w:val="00CA073F"/>
    <w:rsid w:val="00CA0759"/>
    <w:rsid w:val="00CA0785"/>
    <w:rsid w:val="00CA09E2"/>
    <w:rsid w:val="00CA0A0D"/>
    <w:rsid w:val="00CA0D0C"/>
    <w:rsid w:val="00CA0DBD"/>
    <w:rsid w:val="00CA0EC7"/>
    <w:rsid w:val="00CA114E"/>
    <w:rsid w:val="00CA16A4"/>
    <w:rsid w:val="00CA1790"/>
    <w:rsid w:val="00CA23B2"/>
    <w:rsid w:val="00CA2822"/>
    <w:rsid w:val="00CA2898"/>
    <w:rsid w:val="00CA29BC"/>
    <w:rsid w:val="00CA3459"/>
    <w:rsid w:val="00CA3B7A"/>
    <w:rsid w:val="00CA41E0"/>
    <w:rsid w:val="00CA45FC"/>
    <w:rsid w:val="00CA478A"/>
    <w:rsid w:val="00CA48EF"/>
    <w:rsid w:val="00CA4A54"/>
    <w:rsid w:val="00CA4ADF"/>
    <w:rsid w:val="00CA4C71"/>
    <w:rsid w:val="00CA4DD1"/>
    <w:rsid w:val="00CA4F1A"/>
    <w:rsid w:val="00CA507A"/>
    <w:rsid w:val="00CA5444"/>
    <w:rsid w:val="00CA5448"/>
    <w:rsid w:val="00CA5775"/>
    <w:rsid w:val="00CA591E"/>
    <w:rsid w:val="00CA5B31"/>
    <w:rsid w:val="00CA5B9C"/>
    <w:rsid w:val="00CA5C10"/>
    <w:rsid w:val="00CA5D20"/>
    <w:rsid w:val="00CA6146"/>
    <w:rsid w:val="00CA618F"/>
    <w:rsid w:val="00CA634E"/>
    <w:rsid w:val="00CA6366"/>
    <w:rsid w:val="00CA6D42"/>
    <w:rsid w:val="00CA77ED"/>
    <w:rsid w:val="00CA7913"/>
    <w:rsid w:val="00CA79DC"/>
    <w:rsid w:val="00CA7A9F"/>
    <w:rsid w:val="00CB00EC"/>
    <w:rsid w:val="00CB0294"/>
    <w:rsid w:val="00CB02ED"/>
    <w:rsid w:val="00CB0386"/>
    <w:rsid w:val="00CB0887"/>
    <w:rsid w:val="00CB0C9D"/>
    <w:rsid w:val="00CB0E58"/>
    <w:rsid w:val="00CB127F"/>
    <w:rsid w:val="00CB1410"/>
    <w:rsid w:val="00CB23EB"/>
    <w:rsid w:val="00CB2496"/>
    <w:rsid w:val="00CB2A43"/>
    <w:rsid w:val="00CB2D89"/>
    <w:rsid w:val="00CB318C"/>
    <w:rsid w:val="00CB339B"/>
    <w:rsid w:val="00CB34A2"/>
    <w:rsid w:val="00CB356E"/>
    <w:rsid w:val="00CB38B6"/>
    <w:rsid w:val="00CB39E6"/>
    <w:rsid w:val="00CB3F1B"/>
    <w:rsid w:val="00CB4270"/>
    <w:rsid w:val="00CB42B0"/>
    <w:rsid w:val="00CB4399"/>
    <w:rsid w:val="00CB45B2"/>
    <w:rsid w:val="00CB48EF"/>
    <w:rsid w:val="00CB51E5"/>
    <w:rsid w:val="00CB5448"/>
    <w:rsid w:val="00CB5B6A"/>
    <w:rsid w:val="00CB5DE3"/>
    <w:rsid w:val="00CB67F7"/>
    <w:rsid w:val="00CB6887"/>
    <w:rsid w:val="00CB6A52"/>
    <w:rsid w:val="00CB6E87"/>
    <w:rsid w:val="00CB7064"/>
    <w:rsid w:val="00CB711C"/>
    <w:rsid w:val="00CB755F"/>
    <w:rsid w:val="00CB762E"/>
    <w:rsid w:val="00CB767C"/>
    <w:rsid w:val="00CB7722"/>
    <w:rsid w:val="00CB77E5"/>
    <w:rsid w:val="00CB7B46"/>
    <w:rsid w:val="00CB7CBC"/>
    <w:rsid w:val="00CB7E4D"/>
    <w:rsid w:val="00CB7FAE"/>
    <w:rsid w:val="00CC01F5"/>
    <w:rsid w:val="00CC0513"/>
    <w:rsid w:val="00CC09D4"/>
    <w:rsid w:val="00CC0B00"/>
    <w:rsid w:val="00CC0B3A"/>
    <w:rsid w:val="00CC0BD3"/>
    <w:rsid w:val="00CC0C82"/>
    <w:rsid w:val="00CC0DCA"/>
    <w:rsid w:val="00CC0FE9"/>
    <w:rsid w:val="00CC194F"/>
    <w:rsid w:val="00CC1A05"/>
    <w:rsid w:val="00CC1A71"/>
    <w:rsid w:val="00CC1D53"/>
    <w:rsid w:val="00CC1F8A"/>
    <w:rsid w:val="00CC222D"/>
    <w:rsid w:val="00CC225A"/>
    <w:rsid w:val="00CC2304"/>
    <w:rsid w:val="00CC231C"/>
    <w:rsid w:val="00CC2AA5"/>
    <w:rsid w:val="00CC2B86"/>
    <w:rsid w:val="00CC3177"/>
    <w:rsid w:val="00CC3384"/>
    <w:rsid w:val="00CC342B"/>
    <w:rsid w:val="00CC3E2F"/>
    <w:rsid w:val="00CC4266"/>
    <w:rsid w:val="00CC4407"/>
    <w:rsid w:val="00CC4501"/>
    <w:rsid w:val="00CC4921"/>
    <w:rsid w:val="00CC4AC9"/>
    <w:rsid w:val="00CC4D70"/>
    <w:rsid w:val="00CC4FFD"/>
    <w:rsid w:val="00CC51CC"/>
    <w:rsid w:val="00CC555A"/>
    <w:rsid w:val="00CC5879"/>
    <w:rsid w:val="00CC5CEF"/>
    <w:rsid w:val="00CC5D64"/>
    <w:rsid w:val="00CC62FF"/>
    <w:rsid w:val="00CC638F"/>
    <w:rsid w:val="00CC63F6"/>
    <w:rsid w:val="00CC65BA"/>
    <w:rsid w:val="00CC65CF"/>
    <w:rsid w:val="00CC68B5"/>
    <w:rsid w:val="00CC69A0"/>
    <w:rsid w:val="00CC6BE5"/>
    <w:rsid w:val="00CC6DC0"/>
    <w:rsid w:val="00CC796D"/>
    <w:rsid w:val="00CC79A6"/>
    <w:rsid w:val="00CC7EDF"/>
    <w:rsid w:val="00CC7F05"/>
    <w:rsid w:val="00CD0374"/>
    <w:rsid w:val="00CD0399"/>
    <w:rsid w:val="00CD04E9"/>
    <w:rsid w:val="00CD0594"/>
    <w:rsid w:val="00CD059C"/>
    <w:rsid w:val="00CD06E8"/>
    <w:rsid w:val="00CD0AEF"/>
    <w:rsid w:val="00CD0E08"/>
    <w:rsid w:val="00CD0E8A"/>
    <w:rsid w:val="00CD108B"/>
    <w:rsid w:val="00CD19C2"/>
    <w:rsid w:val="00CD1F8A"/>
    <w:rsid w:val="00CD1FCA"/>
    <w:rsid w:val="00CD20FF"/>
    <w:rsid w:val="00CD22C6"/>
    <w:rsid w:val="00CD2371"/>
    <w:rsid w:val="00CD2512"/>
    <w:rsid w:val="00CD2541"/>
    <w:rsid w:val="00CD2693"/>
    <w:rsid w:val="00CD2A7B"/>
    <w:rsid w:val="00CD2F1B"/>
    <w:rsid w:val="00CD3742"/>
    <w:rsid w:val="00CD3753"/>
    <w:rsid w:val="00CD3905"/>
    <w:rsid w:val="00CD3C9C"/>
    <w:rsid w:val="00CD3CCA"/>
    <w:rsid w:val="00CD3E27"/>
    <w:rsid w:val="00CD4074"/>
    <w:rsid w:val="00CD41B3"/>
    <w:rsid w:val="00CD42B3"/>
    <w:rsid w:val="00CD4321"/>
    <w:rsid w:val="00CD480A"/>
    <w:rsid w:val="00CD4874"/>
    <w:rsid w:val="00CD48AC"/>
    <w:rsid w:val="00CD4B03"/>
    <w:rsid w:val="00CD4E14"/>
    <w:rsid w:val="00CD5812"/>
    <w:rsid w:val="00CD5A34"/>
    <w:rsid w:val="00CD5AFF"/>
    <w:rsid w:val="00CD608B"/>
    <w:rsid w:val="00CD6263"/>
    <w:rsid w:val="00CD636F"/>
    <w:rsid w:val="00CD694B"/>
    <w:rsid w:val="00CD6B3A"/>
    <w:rsid w:val="00CD6CCE"/>
    <w:rsid w:val="00CD7104"/>
    <w:rsid w:val="00CD71F7"/>
    <w:rsid w:val="00CD73B8"/>
    <w:rsid w:val="00CD7499"/>
    <w:rsid w:val="00CD7941"/>
    <w:rsid w:val="00CD798D"/>
    <w:rsid w:val="00CD7A05"/>
    <w:rsid w:val="00CD7B60"/>
    <w:rsid w:val="00CD7CB2"/>
    <w:rsid w:val="00CE01A9"/>
    <w:rsid w:val="00CE02F9"/>
    <w:rsid w:val="00CE0787"/>
    <w:rsid w:val="00CE0872"/>
    <w:rsid w:val="00CE09E3"/>
    <w:rsid w:val="00CE0CAA"/>
    <w:rsid w:val="00CE0FE5"/>
    <w:rsid w:val="00CE14F3"/>
    <w:rsid w:val="00CE19BF"/>
    <w:rsid w:val="00CE1EE6"/>
    <w:rsid w:val="00CE20CC"/>
    <w:rsid w:val="00CE2138"/>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2616"/>
    <w:rsid w:val="00CF2752"/>
    <w:rsid w:val="00CF29F1"/>
    <w:rsid w:val="00CF2DBD"/>
    <w:rsid w:val="00CF3265"/>
    <w:rsid w:val="00CF34B4"/>
    <w:rsid w:val="00CF34EC"/>
    <w:rsid w:val="00CF3AB8"/>
    <w:rsid w:val="00CF3C0A"/>
    <w:rsid w:val="00CF3C91"/>
    <w:rsid w:val="00CF3C9C"/>
    <w:rsid w:val="00CF40C0"/>
    <w:rsid w:val="00CF445E"/>
    <w:rsid w:val="00CF45AE"/>
    <w:rsid w:val="00CF45F5"/>
    <w:rsid w:val="00CF50EC"/>
    <w:rsid w:val="00CF5432"/>
    <w:rsid w:val="00CF5619"/>
    <w:rsid w:val="00CF597B"/>
    <w:rsid w:val="00CF5AD2"/>
    <w:rsid w:val="00CF5B19"/>
    <w:rsid w:val="00CF5EC5"/>
    <w:rsid w:val="00CF6034"/>
    <w:rsid w:val="00CF6388"/>
    <w:rsid w:val="00CF67EA"/>
    <w:rsid w:val="00CF6A96"/>
    <w:rsid w:val="00CF6FFD"/>
    <w:rsid w:val="00CF7725"/>
    <w:rsid w:val="00CF7BEA"/>
    <w:rsid w:val="00CF7D60"/>
    <w:rsid w:val="00CF7EB6"/>
    <w:rsid w:val="00D001D8"/>
    <w:rsid w:val="00D002F5"/>
    <w:rsid w:val="00D0047E"/>
    <w:rsid w:val="00D0095B"/>
    <w:rsid w:val="00D00AD2"/>
    <w:rsid w:val="00D0107D"/>
    <w:rsid w:val="00D0115E"/>
    <w:rsid w:val="00D01684"/>
    <w:rsid w:val="00D016C3"/>
    <w:rsid w:val="00D01A66"/>
    <w:rsid w:val="00D01AD1"/>
    <w:rsid w:val="00D01EFD"/>
    <w:rsid w:val="00D020E8"/>
    <w:rsid w:val="00D022B0"/>
    <w:rsid w:val="00D023B4"/>
    <w:rsid w:val="00D02511"/>
    <w:rsid w:val="00D02701"/>
    <w:rsid w:val="00D0276C"/>
    <w:rsid w:val="00D02800"/>
    <w:rsid w:val="00D0297B"/>
    <w:rsid w:val="00D02980"/>
    <w:rsid w:val="00D02E3D"/>
    <w:rsid w:val="00D02EC9"/>
    <w:rsid w:val="00D02F30"/>
    <w:rsid w:val="00D031F5"/>
    <w:rsid w:val="00D0326D"/>
    <w:rsid w:val="00D03724"/>
    <w:rsid w:val="00D037D0"/>
    <w:rsid w:val="00D03C29"/>
    <w:rsid w:val="00D03CC8"/>
    <w:rsid w:val="00D0409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A1"/>
    <w:rsid w:val="00D06D79"/>
    <w:rsid w:val="00D06FD0"/>
    <w:rsid w:val="00D0713A"/>
    <w:rsid w:val="00D0719A"/>
    <w:rsid w:val="00D0737D"/>
    <w:rsid w:val="00D0754F"/>
    <w:rsid w:val="00D07C16"/>
    <w:rsid w:val="00D07C55"/>
    <w:rsid w:val="00D07F54"/>
    <w:rsid w:val="00D10554"/>
    <w:rsid w:val="00D10597"/>
    <w:rsid w:val="00D1082C"/>
    <w:rsid w:val="00D109B0"/>
    <w:rsid w:val="00D10AE2"/>
    <w:rsid w:val="00D10B99"/>
    <w:rsid w:val="00D10BB3"/>
    <w:rsid w:val="00D112C1"/>
    <w:rsid w:val="00D11550"/>
    <w:rsid w:val="00D11824"/>
    <w:rsid w:val="00D11CF5"/>
    <w:rsid w:val="00D1274D"/>
    <w:rsid w:val="00D1317A"/>
    <w:rsid w:val="00D131C8"/>
    <w:rsid w:val="00D13285"/>
    <w:rsid w:val="00D134B2"/>
    <w:rsid w:val="00D13501"/>
    <w:rsid w:val="00D141D0"/>
    <w:rsid w:val="00D149B0"/>
    <w:rsid w:val="00D14AC8"/>
    <w:rsid w:val="00D151A1"/>
    <w:rsid w:val="00D1553E"/>
    <w:rsid w:val="00D157A3"/>
    <w:rsid w:val="00D159DA"/>
    <w:rsid w:val="00D159FA"/>
    <w:rsid w:val="00D15B45"/>
    <w:rsid w:val="00D15BC8"/>
    <w:rsid w:val="00D161A9"/>
    <w:rsid w:val="00D163A8"/>
    <w:rsid w:val="00D16542"/>
    <w:rsid w:val="00D16634"/>
    <w:rsid w:val="00D1699C"/>
    <w:rsid w:val="00D169E3"/>
    <w:rsid w:val="00D17794"/>
    <w:rsid w:val="00D17C8E"/>
    <w:rsid w:val="00D17D02"/>
    <w:rsid w:val="00D17D98"/>
    <w:rsid w:val="00D17ED5"/>
    <w:rsid w:val="00D20181"/>
    <w:rsid w:val="00D20562"/>
    <w:rsid w:val="00D20724"/>
    <w:rsid w:val="00D20798"/>
    <w:rsid w:val="00D21005"/>
    <w:rsid w:val="00D214A4"/>
    <w:rsid w:val="00D215EE"/>
    <w:rsid w:val="00D2160E"/>
    <w:rsid w:val="00D2194D"/>
    <w:rsid w:val="00D21A63"/>
    <w:rsid w:val="00D21CD7"/>
    <w:rsid w:val="00D21F51"/>
    <w:rsid w:val="00D222FB"/>
    <w:rsid w:val="00D231BE"/>
    <w:rsid w:val="00D23343"/>
    <w:rsid w:val="00D23D8B"/>
    <w:rsid w:val="00D23EC7"/>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9D0"/>
    <w:rsid w:val="00D26AD2"/>
    <w:rsid w:val="00D26B1D"/>
    <w:rsid w:val="00D26E41"/>
    <w:rsid w:val="00D26F15"/>
    <w:rsid w:val="00D270B7"/>
    <w:rsid w:val="00D27299"/>
    <w:rsid w:val="00D275AD"/>
    <w:rsid w:val="00D27960"/>
    <w:rsid w:val="00D27AE9"/>
    <w:rsid w:val="00D27B96"/>
    <w:rsid w:val="00D303B4"/>
    <w:rsid w:val="00D30483"/>
    <w:rsid w:val="00D307C8"/>
    <w:rsid w:val="00D308E6"/>
    <w:rsid w:val="00D308F3"/>
    <w:rsid w:val="00D3120F"/>
    <w:rsid w:val="00D31348"/>
    <w:rsid w:val="00D317A5"/>
    <w:rsid w:val="00D32251"/>
    <w:rsid w:val="00D322AB"/>
    <w:rsid w:val="00D325CE"/>
    <w:rsid w:val="00D32611"/>
    <w:rsid w:val="00D32920"/>
    <w:rsid w:val="00D32E9B"/>
    <w:rsid w:val="00D32FB5"/>
    <w:rsid w:val="00D3321F"/>
    <w:rsid w:val="00D332B6"/>
    <w:rsid w:val="00D3363B"/>
    <w:rsid w:val="00D33901"/>
    <w:rsid w:val="00D33C42"/>
    <w:rsid w:val="00D33E23"/>
    <w:rsid w:val="00D34219"/>
    <w:rsid w:val="00D34262"/>
    <w:rsid w:val="00D343F9"/>
    <w:rsid w:val="00D3443A"/>
    <w:rsid w:val="00D34A2F"/>
    <w:rsid w:val="00D34D88"/>
    <w:rsid w:val="00D3520F"/>
    <w:rsid w:val="00D35D80"/>
    <w:rsid w:val="00D362F0"/>
    <w:rsid w:val="00D36552"/>
    <w:rsid w:val="00D36646"/>
    <w:rsid w:val="00D36903"/>
    <w:rsid w:val="00D36953"/>
    <w:rsid w:val="00D36AB0"/>
    <w:rsid w:val="00D36B6F"/>
    <w:rsid w:val="00D36FFC"/>
    <w:rsid w:val="00D3737B"/>
    <w:rsid w:val="00D375EA"/>
    <w:rsid w:val="00D3792D"/>
    <w:rsid w:val="00D379B5"/>
    <w:rsid w:val="00D37ADF"/>
    <w:rsid w:val="00D405AF"/>
    <w:rsid w:val="00D406AC"/>
    <w:rsid w:val="00D4071B"/>
    <w:rsid w:val="00D40AA3"/>
    <w:rsid w:val="00D40B5D"/>
    <w:rsid w:val="00D40CF2"/>
    <w:rsid w:val="00D40ED4"/>
    <w:rsid w:val="00D41473"/>
    <w:rsid w:val="00D41495"/>
    <w:rsid w:val="00D41497"/>
    <w:rsid w:val="00D415E7"/>
    <w:rsid w:val="00D41948"/>
    <w:rsid w:val="00D4197E"/>
    <w:rsid w:val="00D41B88"/>
    <w:rsid w:val="00D42275"/>
    <w:rsid w:val="00D429AC"/>
    <w:rsid w:val="00D42D41"/>
    <w:rsid w:val="00D430A7"/>
    <w:rsid w:val="00D43130"/>
    <w:rsid w:val="00D4343E"/>
    <w:rsid w:val="00D4372E"/>
    <w:rsid w:val="00D437DC"/>
    <w:rsid w:val="00D4409B"/>
    <w:rsid w:val="00D4487B"/>
    <w:rsid w:val="00D448E5"/>
    <w:rsid w:val="00D44A0C"/>
    <w:rsid w:val="00D44A26"/>
    <w:rsid w:val="00D44B04"/>
    <w:rsid w:val="00D44BF3"/>
    <w:rsid w:val="00D45340"/>
    <w:rsid w:val="00D45454"/>
    <w:rsid w:val="00D454C7"/>
    <w:rsid w:val="00D45833"/>
    <w:rsid w:val="00D45A29"/>
    <w:rsid w:val="00D45AFB"/>
    <w:rsid w:val="00D45C02"/>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135"/>
    <w:rsid w:val="00D503DE"/>
    <w:rsid w:val="00D508C2"/>
    <w:rsid w:val="00D50A8B"/>
    <w:rsid w:val="00D50BCA"/>
    <w:rsid w:val="00D5130A"/>
    <w:rsid w:val="00D51347"/>
    <w:rsid w:val="00D51451"/>
    <w:rsid w:val="00D5161B"/>
    <w:rsid w:val="00D51689"/>
    <w:rsid w:val="00D51E04"/>
    <w:rsid w:val="00D51F33"/>
    <w:rsid w:val="00D52258"/>
    <w:rsid w:val="00D523FA"/>
    <w:rsid w:val="00D524B1"/>
    <w:rsid w:val="00D526FD"/>
    <w:rsid w:val="00D5274A"/>
    <w:rsid w:val="00D5282A"/>
    <w:rsid w:val="00D528AE"/>
    <w:rsid w:val="00D52D67"/>
    <w:rsid w:val="00D533C4"/>
    <w:rsid w:val="00D53841"/>
    <w:rsid w:val="00D53845"/>
    <w:rsid w:val="00D53A21"/>
    <w:rsid w:val="00D53B13"/>
    <w:rsid w:val="00D53C27"/>
    <w:rsid w:val="00D542F5"/>
    <w:rsid w:val="00D543CC"/>
    <w:rsid w:val="00D543FE"/>
    <w:rsid w:val="00D548D8"/>
    <w:rsid w:val="00D54BF1"/>
    <w:rsid w:val="00D54E2D"/>
    <w:rsid w:val="00D54E55"/>
    <w:rsid w:val="00D54F6D"/>
    <w:rsid w:val="00D55116"/>
    <w:rsid w:val="00D551B3"/>
    <w:rsid w:val="00D5525C"/>
    <w:rsid w:val="00D554EE"/>
    <w:rsid w:val="00D558BF"/>
    <w:rsid w:val="00D55A55"/>
    <w:rsid w:val="00D55AD2"/>
    <w:rsid w:val="00D56691"/>
    <w:rsid w:val="00D56CC8"/>
    <w:rsid w:val="00D56DF6"/>
    <w:rsid w:val="00D570EA"/>
    <w:rsid w:val="00D5744D"/>
    <w:rsid w:val="00D57CC8"/>
    <w:rsid w:val="00D57D65"/>
    <w:rsid w:val="00D57F7A"/>
    <w:rsid w:val="00D6018D"/>
    <w:rsid w:val="00D601C5"/>
    <w:rsid w:val="00D602FB"/>
    <w:rsid w:val="00D609A8"/>
    <w:rsid w:val="00D609E0"/>
    <w:rsid w:val="00D60C91"/>
    <w:rsid w:val="00D6105C"/>
    <w:rsid w:val="00D6145E"/>
    <w:rsid w:val="00D61465"/>
    <w:rsid w:val="00D61E2F"/>
    <w:rsid w:val="00D61FD7"/>
    <w:rsid w:val="00D62161"/>
    <w:rsid w:val="00D62179"/>
    <w:rsid w:val="00D62186"/>
    <w:rsid w:val="00D62211"/>
    <w:rsid w:val="00D62294"/>
    <w:rsid w:val="00D62344"/>
    <w:rsid w:val="00D6278D"/>
    <w:rsid w:val="00D62CA9"/>
    <w:rsid w:val="00D62CC0"/>
    <w:rsid w:val="00D62E8B"/>
    <w:rsid w:val="00D62F8F"/>
    <w:rsid w:val="00D630F0"/>
    <w:rsid w:val="00D6325F"/>
    <w:rsid w:val="00D6328E"/>
    <w:rsid w:val="00D634AA"/>
    <w:rsid w:val="00D638F6"/>
    <w:rsid w:val="00D63D38"/>
    <w:rsid w:val="00D63F14"/>
    <w:rsid w:val="00D64253"/>
    <w:rsid w:val="00D642A9"/>
    <w:rsid w:val="00D646EE"/>
    <w:rsid w:val="00D649DE"/>
    <w:rsid w:val="00D64C69"/>
    <w:rsid w:val="00D6506E"/>
    <w:rsid w:val="00D65111"/>
    <w:rsid w:val="00D6525A"/>
    <w:rsid w:val="00D652BC"/>
    <w:rsid w:val="00D6572A"/>
    <w:rsid w:val="00D65B19"/>
    <w:rsid w:val="00D65CC6"/>
    <w:rsid w:val="00D65F44"/>
    <w:rsid w:val="00D66313"/>
    <w:rsid w:val="00D664FA"/>
    <w:rsid w:val="00D6652C"/>
    <w:rsid w:val="00D66654"/>
    <w:rsid w:val="00D6689A"/>
    <w:rsid w:val="00D6695D"/>
    <w:rsid w:val="00D67206"/>
    <w:rsid w:val="00D67340"/>
    <w:rsid w:val="00D67BCC"/>
    <w:rsid w:val="00D67F71"/>
    <w:rsid w:val="00D7000F"/>
    <w:rsid w:val="00D705BC"/>
    <w:rsid w:val="00D706CA"/>
    <w:rsid w:val="00D70D0F"/>
    <w:rsid w:val="00D70DC0"/>
    <w:rsid w:val="00D70FBC"/>
    <w:rsid w:val="00D7117A"/>
    <w:rsid w:val="00D7141B"/>
    <w:rsid w:val="00D714E8"/>
    <w:rsid w:val="00D715B7"/>
    <w:rsid w:val="00D716BE"/>
    <w:rsid w:val="00D71CFB"/>
    <w:rsid w:val="00D71D66"/>
    <w:rsid w:val="00D71F5E"/>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3C8"/>
    <w:rsid w:val="00D74932"/>
    <w:rsid w:val="00D74A5A"/>
    <w:rsid w:val="00D74F74"/>
    <w:rsid w:val="00D7511E"/>
    <w:rsid w:val="00D7548B"/>
    <w:rsid w:val="00D755C0"/>
    <w:rsid w:val="00D755D1"/>
    <w:rsid w:val="00D757A1"/>
    <w:rsid w:val="00D758C6"/>
    <w:rsid w:val="00D75B14"/>
    <w:rsid w:val="00D75C45"/>
    <w:rsid w:val="00D75C98"/>
    <w:rsid w:val="00D75F37"/>
    <w:rsid w:val="00D764E2"/>
    <w:rsid w:val="00D7686A"/>
    <w:rsid w:val="00D7688F"/>
    <w:rsid w:val="00D76B0F"/>
    <w:rsid w:val="00D76BBE"/>
    <w:rsid w:val="00D76CBB"/>
    <w:rsid w:val="00D76E94"/>
    <w:rsid w:val="00D76FA1"/>
    <w:rsid w:val="00D77217"/>
    <w:rsid w:val="00D77251"/>
    <w:rsid w:val="00D77287"/>
    <w:rsid w:val="00D7770B"/>
    <w:rsid w:val="00D802DA"/>
    <w:rsid w:val="00D8031F"/>
    <w:rsid w:val="00D8050D"/>
    <w:rsid w:val="00D80A86"/>
    <w:rsid w:val="00D80D13"/>
    <w:rsid w:val="00D80DB2"/>
    <w:rsid w:val="00D80E2A"/>
    <w:rsid w:val="00D80F73"/>
    <w:rsid w:val="00D81120"/>
    <w:rsid w:val="00D8135C"/>
    <w:rsid w:val="00D8140F"/>
    <w:rsid w:val="00D81656"/>
    <w:rsid w:val="00D818AC"/>
    <w:rsid w:val="00D81C9C"/>
    <w:rsid w:val="00D81DD7"/>
    <w:rsid w:val="00D824FA"/>
    <w:rsid w:val="00D82590"/>
    <w:rsid w:val="00D82909"/>
    <w:rsid w:val="00D82B22"/>
    <w:rsid w:val="00D82C4D"/>
    <w:rsid w:val="00D82E0D"/>
    <w:rsid w:val="00D82E52"/>
    <w:rsid w:val="00D832A3"/>
    <w:rsid w:val="00D8362E"/>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424"/>
    <w:rsid w:val="00D86599"/>
    <w:rsid w:val="00D865EB"/>
    <w:rsid w:val="00D865F8"/>
    <w:rsid w:val="00D86A57"/>
    <w:rsid w:val="00D86F28"/>
    <w:rsid w:val="00D86F2B"/>
    <w:rsid w:val="00D87260"/>
    <w:rsid w:val="00D872BA"/>
    <w:rsid w:val="00D8738A"/>
    <w:rsid w:val="00D874CB"/>
    <w:rsid w:val="00D878C4"/>
    <w:rsid w:val="00D87902"/>
    <w:rsid w:val="00D87A98"/>
    <w:rsid w:val="00D87E07"/>
    <w:rsid w:val="00D902C3"/>
    <w:rsid w:val="00D90383"/>
    <w:rsid w:val="00D90577"/>
    <w:rsid w:val="00D90788"/>
    <w:rsid w:val="00D908D1"/>
    <w:rsid w:val="00D90FF0"/>
    <w:rsid w:val="00D9163F"/>
    <w:rsid w:val="00D916A2"/>
    <w:rsid w:val="00D916BC"/>
    <w:rsid w:val="00D9174B"/>
    <w:rsid w:val="00D917B9"/>
    <w:rsid w:val="00D91E85"/>
    <w:rsid w:val="00D92612"/>
    <w:rsid w:val="00D92D3D"/>
    <w:rsid w:val="00D92D69"/>
    <w:rsid w:val="00D92F32"/>
    <w:rsid w:val="00D93047"/>
    <w:rsid w:val="00D933B9"/>
    <w:rsid w:val="00D9342C"/>
    <w:rsid w:val="00D93670"/>
    <w:rsid w:val="00D93AEC"/>
    <w:rsid w:val="00D940D8"/>
    <w:rsid w:val="00D9422C"/>
    <w:rsid w:val="00D9435B"/>
    <w:rsid w:val="00D948D1"/>
    <w:rsid w:val="00D94A99"/>
    <w:rsid w:val="00D94C54"/>
    <w:rsid w:val="00D94D64"/>
    <w:rsid w:val="00D94EF5"/>
    <w:rsid w:val="00D951A8"/>
    <w:rsid w:val="00D953B2"/>
    <w:rsid w:val="00D9559E"/>
    <w:rsid w:val="00D967C9"/>
    <w:rsid w:val="00D968F9"/>
    <w:rsid w:val="00D96BAA"/>
    <w:rsid w:val="00D96C11"/>
    <w:rsid w:val="00D96D7B"/>
    <w:rsid w:val="00D96F90"/>
    <w:rsid w:val="00D96FEA"/>
    <w:rsid w:val="00D9719E"/>
    <w:rsid w:val="00D97336"/>
    <w:rsid w:val="00D97434"/>
    <w:rsid w:val="00D97596"/>
    <w:rsid w:val="00D97BF3"/>
    <w:rsid w:val="00D97D9D"/>
    <w:rsid w:val="00DA05BF"/>
    <w:rsid w:val="00DA0CC4"/>
    <w:rsid w:val="00DA148E"/>
    <w:rsid w:val="00DA1683"/>
    <w:rsid w:val="00DA18A7"/>
    <w:rsid w:val="00DA190A"/>
    <w:rsid w:val="00DA1B57"/>
    <w:rsid w:val="00DA2310"/>
    <w:rsid w:val="00DA247B"/>
    <w:rsid w:val="00DA29EA"/>
    <w:rsid w:val="00DA2B1D"/>
    <w:rsid w:val="00DA2B79"/>
    <w:rsid w:val="00DA2D92"/>
    <w:rsid w:val="00DA2E79"/>
    <w:rsid w:val="00DA3071"/>
    <w:rsid w:val="00DA3543"/>
    <w:rsid w:val="00DA3A77"/>
    <w:rsid w:val="00DA3B7C"/>
    <w:rsid w:val="00DA3CA5"/>
    <w:rsid w:val="00DA3ECE"/>
    <w:rsid w:val="00DA409B"/>
    <w:rsid w:val="00DA4768"/>
    <w:rsid w:val="00DA4A0A"/>
    <w:rsid w:val="00DA4B86"/>
    <w:rsid w:val="00DA4C84"/>
    <w:rsid w:val="00DA59F3"/>
    <w:rsid w:val="00DA5E9B"/>
    <w:rsid w:val="00DA5EEE"/>
    <w:rsid w:val="00DA6028"/>
    <w:rsid w:val="00DA6146"/>
    <w:rsid w:val="00DA69F9"/>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C4A"/>
    <w:rsid w:val="00DB1E70"/>
    <w:rsid w:val="00DB2884"/>
    <w:rsid w:val="00DB2A86"/>
    <w:rsid w:val="00DB2B43"/>
    <w:rsid w:val="00DB2CB3"/>
    <w:rsid w:val="00DB2DB2"/>
    <w:rsid w:val="00DB2ECA"/>
    <w:rsid w:val="00DB2F04"/>
    <w:rsid w:val="00DB3451"/>
    <w:rsid w:val="00DB35AC"/>
    <w:rsid w:val="00DB384F"/>
    <w:rsid w:val="00DB38A7"/>
    <w:rsid w:val="00DB3C85"/>
    <w:rsid w:val="00DB3E12"/>
    <w:rsid w:val="00DB4057"/>
    <w:rsid w:val="00DB4532"/>
    <w:rsid w:val="00DB498A"/>
    <w:rsid w:val="00DB4C69"/>
    <w:rsid w:val="00DB4DA3"/>
    <w:rsid w:val="00DB5546"/>
    <w:rsid w:val="00DB56FF"/>
    <w:rsid w:val="00DB5A84"/>
    <w:rsid w:val="00DB5F39"/>
    <w:rsid w:val="00DB605E"/>
    <w:rsid w:val="00DB60C1"/>
    <w:rsid w:val="00DB62EE"/>
    <w:rsid w:val="00DB6337"/>
    <w:rsid w:val="00DB6623"/>
    <w:rsid w:val="00DB67E0"/>
    <w:rsid w:val="00DB68B7"/>
    <w:rsid w:val="00DB6C36"/>
    <w:rsid w:val="00DB6FB7"/>
    <w:rsid w:val="00DB70A0"/>
    <w:rsid w:val="00DB732E"/>
    <w:rsid w:val="00DB7369"/>
    <w:rsid w:val="00DB742D"/>
    <w:rsid w:val="00DB7CFD"/>
    <w:rsid w:val="00DC00A0"/>
    <w:rsid w:val="00DC00D1"/>
    <w:rsid w:val="00DC02C0"/>
    <w:rsid w:val="00DC0670"/>
    <w:rsid w:val="00DC077E"/>
    <w:rsid w:val="00DC0A41"/>
    <w:rsid w:val="00DC0F64"/>
    <w:rsid w:val="00DC143A"/>
    <w:rsid w:val="00DC16D7"/>
    <w:rsid w:val="00DC1AD3"/>
    <w:rsid w:val="00DC1B54"/>
    <w:rsid w:val="00DC21B4"/>
    <w:rsid w:val="00DC33C0"/>
    <w:rsid w:val="00DC347D"/>
    <w:rsid w:val="00DC3598"/>
    <w:rsid w:val="00DC368D"/>
    <w:rsid w:val="00DC3801"/>
    <w:rsid w:val="00DC3920"/>
    <w:rsid w:val="00DC3B4A"/>
    <w:rsid w:val="00DC4365"/>
    <w:rsid w:val="00DC4440"/>
    <w:rsid w:val="00DC4791"/>
    <w:rsid w:val="00DC4E21"/>
    <w:rsid w:val="00DC536D"/>
    <w:rsid w:val="00DC55A6"/>
    <w:rsid w:val="00DC5EF9"/>
    <w:rsid w:val="00DC5F6C"/>
    <w:rsid w:val="00DC6129"/>
    <w:rsid w:val="00DC6CD5"/>
    <w:rsid w:val="00DC6D93"/>
    <w:rsid w:val="00DC6F6F"/>
    <w:rsid w:val="00DC74FE"/>
    <w:rsid w:val="00DD01BC"/>
    <w:rsid w:val="00DD0AB7"/>
    <w:rsid w:val="00DD0AD2"/>
    <w:rsid w:val="00DD0D22"/>
    <w:rsid w:val="00DD0D33"/>
    <w:rsid w:val="00DD112F"/>
    <w:rsid w:val="00DD12F8"/>
    <w:rsid w:val="00DD19C6"/>
    <w:rsid w:val="00DD28EE"/>
    <w:rsid w:val="00DD2997"/>
    <w:rsid w:val="00DD2B12"/>
    <w:rsid w:val="00DD2D6F"/>
    <w:rsid w:val="00DD2E55"/>
    <w:rsid w:val="00DD3002"/>
    <w:rsid w:val="00DD30B4"/>
    <w:rsid w:val="00DD3292"/>
    <w:rsid w:val="00DD3673"/>
    <w:rsid w:val="00DD38F8"/>
    <w:rsid w:val="00DD3B30"/>
    <w:rsid w:val="00DD3B5B"/>
    <w:rsid w:val="00DD3C52"/>
    <w:rsid w:val="00DD3DBE"/>
    <w:rsid w:val="00DD3F6E"/>
    <w:rsid w:val="00DD43EF"/>
    <w:rsid w:val="00DD4A19"/>
    <w:rsid w:val="00DD4F62"/>
    <w:rsid w:val="00DD53A9"/>
    <w:rsid w:val="00DD5458"/>
    <w:rsid w:val="00DD590B"/>
    <w:rsid w:val="00DD604E"/>
    <w:rsid w:val="00DD6161"/>
    <w:rsid w:val="00DD627F"/>
    <w:rsid w:val="00DD62D3"/>
    <w:rsid w:val="00DD68C5"/>
    <w:rsid w:val="00DD6EC9"/>
    <w:rsid w:val="00DD71BE"/>
    <w:rsid w:val="00DD7436"/>
    <w:rsid w:val="00DD76B9"/>
    <w:rsid w:val="00DD76E3"/>
    <w:rsid w:val="00DD77ED"/>
    <w:rsid w:val="00DD7E2C"/>
    <w:rsid w:val="00DE017E"/>
    <w:rsid w:val="00DE02E4"/>
    <w:rsid w:val="00DE0626"/>
    <w:rsid w:val="00DE0A3D"/>
    <w:rsid w:val="00DE11FA"/>
    <w:rsid w:val="00DE127F"/>
    <w:rsid w:val="00DE12EA"/>
    <w:rsid w:val="00DE1847"/>
    <w:rsid w:val="00DE1C14"/>
    <w:rsid w:val="00DE1D22"/>
    <w:rsid w:val="00DE1FAC"/>
    <w:rsid w:val="00DE24B3"/>
    <w:rsid w:val="00DE2513"/>
    <w:rsid w:val="00DE2904"/>
    <w:rsid w:val="00DE2D19"/>
    <w:rsid w:val="00DE2DB2"/>
    <w:rsid w:val="00DE2E27"/>
    <w:rsid w:val="00DE2FF5"/>
    <w:rsid w:val="00DE35B0"/>
    <w:rsid w:val="00DE35F0"/>
    <w:rsid w:val="00DE38FB"/>
    <w:rsid w:val="00DE3E54"/>
    <w:rsid w:val="00DE403A"/>
    <w:rsid w:val="00DE43A6"/>
    <w:rsid w:val="00DE4D8C"/>
    <w:rsid w:val="00DE505C"/>
    <w:rsid w:val="00DE51F8"/>
    <w:rsid w:val="00DE581D"/>
    <w:rsid w:val="00DE592C"/>
    <w:rsid w:val="00DE594F"/>
    <w:rsid w:val="00DE62A4"/>
    <w:rsid w:val="00DE6394"/>
    <w:rsid w:val="00DE64BD"/>
    <w:rsid w:val="00DE69CE"/>
    <w:rsid w:val="00DE6B46"/>
    <w:rsid w:val="00DE6FC0"/>
    <w:rsid w:val="00DE73B2"/>
    <w:rsid w:val="00DE77D7"/>
    <w:rsid w:val="00DE7B11"/>
    <w:rsid w:val="00DE7B6B"/>
    <w:rsid w:val="00DE7FF4"/>
    <w:rsid w:val="00DF0328"/>
    <w:rsid w:val="00DF03B6"/>
    <w:rsid w:val="00DF0635"/>
    <w:rsid w:val="00DF07F0"/>
    <w:rsid w:val="00DF0CCC"/>
    <w:rsid w:val="00DF1164"/>
    <w:rsid w:val="00DF15A8"/>
    <w:rsid w:val="00DF17A0"/>
    <w:rsid w:val="00DF1849"/>
    <w:rsid w:val="00DF19A0"/>
    <w:rsid w:val="00DF1B1D"/>
    <w:rsid w:val="00DF201E"/>
    <w:rsid w:val="00DF2275"/>
    <w:rsid w:val="00DF23EA"/>
    <w:rsid w:val="00DF24A9"/>
    <w:rsid w:val="00DF25AA"/>
    <w:rsid w:val="00DF2EA3"/>
    <w:rsid w:val="00DF2EE0"/>
    <w:rsid w:val="00DF319D"/>
    <w:rsid w:val="00DF349D"/>
    <w:rsid w:val="00DF36D6"/>
    <w:rsid w:val="00DF3739"/>
    <w:rsid w:val="00DF37FE"/>
    <w:rsid w:val="00DF395C"/>
    <w:rsid w:val="00DF39C3"/>
    <w:rsid w:val="00DF3D9D"/>
    <w:rsid w:val="00DF3F5D"/>
    <w:rsid w:val="00DF4084"/>
    <w:rsid w:val="00DF41BF"/>
    <w:rsid w:val="00DF46EA"/>
    <w:rsid w:val="00DF4801"/>
    <w:rsid w:val="00DF4CBC"/>
    <w:rsid w:val="00DF4E03"/>
    <w:rsid w:val="00DF53DB"/>
    <w:rsid w:val="00DF5729"/>
    <w:rsid w:val="00DF572A"/>
    <w:rsid w:val="00DF5B5A"/>
    <w:rsid w:val="00DF5E12"/>
    <w:rsid w:val="00DF668E"/>
    <w:rsid w:val="00DF6734"/>
    <w:rsid w:val="00DF6AC8"/>
    <w:rsid w:val="00DF6AEC"/>
    <w:rsid w:val="00DF6F4A"/>
    <w:rsid w:val="00DF72B6"/>
    <w:rsid w:val="00DF7A5C"/>
    <w:rsid w:val="00DF7AFE"/>
    <w:rsid w:val="00DF7C99"/>
    <w:rsid w:val="00E002BE"/>
    <w:rsid w:val="00E0048E"/>
    <w:rsid w:val="00E007DF"/>
    <w:rsid w:val="00E008A7"/>
    <w:rsid w:val="00E00BA4"/>
    <w:rsid w:val="00E01358"/>
    <w:rsid w:val="00E0175D"/>
    <w:rsid w:val="00E0180A"/>
    <w:rsid w:val="00E019FF"/>
    <w:rsid w:val="00E01AF5"/>
    <w:rsid w:val="00E01BF6"/>
    <w:rsid w:val="00E01C3D"/>
    <w:rsid w:val="00E01E7D"/>
    <w:rsid w:val="00E020FA"/>
    <w:rsid w:val="00E02539"/>
    <w:rsid w:val="00E02654"/>
    <w:rsid w:val="00E0265C"/>
    <w:rsid w:val="00E029F6"/>
    <w:rsid w:val="00E02ACA"/>
    <w:rsid w:val="00E02B05"/>
    <w:rsid w:val="00E02B77"/>
    <w:rsid w:val="00E02D59"/>
    <w:rsid w:val="00E03161"/>
    <w:rsid w:val="00E035D4"/>
    <w:rsid w:val="00E035F7"/>
    <w:rsid w:val="00E03B29"/>
    <w:rsid w:val="00E03F30"/>
    <w:rsid w:val="00E0429A"/>
    <w:rsid w:val="00E043C6"/>
    <w:rsid w:val="00E046D9"/>
    <w:rsid w:val="00E047DB"/>
    <w:rsid w:val="00E048B1"/>
    <w:rsid w:val="00E04F13"/>
    <w:rsid w:val="00E05025"/>
    <w:rsid w:val="00E05026"/>
    <w:rsid w:val="00E050B2"/>
    <w:rsid w:val="00E05573"/>
    <w:rsid w:val="00E059AC"/>
    <w:rsid w:val="00E05B57"/>
    <w:rsid w:val="00E05F26"/>
    <w:rsid w:val="00E0603E"/>
    <w:rsid w:val="00E0621B"/>
    <w:rsid w:val="00E063EB"/>
    <w:rsid w:val="00E06453"/>
    <w:rsid w:val="00E06965"/>
    <w:rsid w:val="00E06EDF"/>
    <w:rsid w:val="00E07071"/>
    <w:rsid w:val="00E070F6"/>
    <w:rsid w:val="00E07148"/>
    <w:rsid w:val="00E07524"/>
    <w:rsid w:val="00E07A21"/>
    <w:rsid w:val="00E07A88"/>
    <w:rsid w:val="00E07E7B"/>
    <w:rsid w:val="00E101A1"/>
    <w:rsid w:val="00E101E9"/>
    <w:rsid w:val="00E10248"/>
    <w:rsid w:val="00E10D06"/>
    <w:rsid w:val="00E10F83"/>
    <w:rsid w:val="00E10F97"/>
    <w:rsid w:val="00E1103D"/>
    <w:rsid w:val="00E11500"/>
    <w:rsid w:val="00E117A9"/>
    <w:rsid w:val="00E117E5"/>
    <w:rsid w:val="00E1198D"/>
    <w:rsid w:val="00E11D88"/>
    <w:rsid w:val="00E12812"/>
    <w:rsid w:val="00E12B8F"/>
    <w:rsid w:val="00E12C03"/>
    <w:rsid w:val="00E12C89"/>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EB7"/>
    <w:rsid w:val="00E14FA7"/>
    <w:rsid w:val="00E15168"/>
    <w:rsid w:val="00E155C5"/>
    <w:rsid w:val="00E15B44"/>
    <w:rsid w:val="00E15F1E"/>
    <w:rsid w:val="00E15F7A"/>
    <w:rsid w:val="00E16B61"/>
    <w:rsid w:val="00E16E35"/>
    <w:rsid w:val="00E16F1B"/>
    <w:rsid w:val="00E173C8"/>
    <w:rsid w:val="00E173DF"/>
    <w:rsid w:val="00E17FB9"/>
    <w:rsid w:val="00E20358"/>
    <w:rsid w:val="00E20427"/>
    <w:rsid w:val="00E20BAB"/>
    <w:rsid w:val="00E20C8F"/>
    <w:rsid w:val="00E2142E"/>
    <w:rsid w:val="00E216FB"/>
    <w:rsid w:val="00E21CF2"/>
    <w:rsid w:val="00E221E6"/>
    <w:rsid w:val="00E22317"/>
    <w:rsid w:val="00E223CC"/>
    <w:rsid w:val="00E2240B"/>
    <w:rsid w:val="00E22604"/>
    <w:rsid w:val="00E235D3"/>
    <w:rsid w:val="00E2363F"/>
    <w:rsid w:val="00E2392F"/>
    <w:rsid w:val="00E23FC9"/>
    <w:rsid w:val="00E2415B"/>
    <w:rsid w:val="00E243A4"/>
    <w:rsid w:val="00E244B4"/>
    <w:rsid w:val="00E247AE"/>
    <w:rsid w:val="00E24E91"/>
    <w:rsid w:val="00E24F84"/>
    <w:rsid w:val="00E25309"/>
    <w:rsid w:val="00E258A0"/>
    <w:rsid w:val="00E259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A01"/>
    <w:rsid w:val="00E27A95"/>
    <w:rsid w:val="00E27DD3"/>
    <w:rsid w:val="00E300EC"/>
    <w:rsid w:val="00E3025B"/>
    <w:rsid w:val="00E3051E"/>
    <w:rsid w:val="00E305EC"/>
    <w:rsid w:val="00E30633"/>
    <w:rsid w:val="00E30973"/>
    <w:rsid w:val="00E30A80"/>
    <w:rsid w:val="00E30D26"/>
    <w:rsid w:val="00E30F2F"/>
    <w:rsid w:val="00E313E0"/>
    <w:rsid w:val="00E31448"/>
    <w:rsid w:val="00E31B2A"/>
    <w:rsid w:val="00E31D30"/>
    <w:rsid w:val="00E31F95"/>
    <w:rsid w:val="00E32009"/>
    <w:rsid w:val="00E321C6"/>
    <w:rsid w:val="00E32498"/>
    <w:rsid w:val="00E328E6"/>
    <w:rsid w:val="00E32932"/>
    <w:rsid w:val="00E32967"/>
    <w:rsid w:val="00E32CD1"/>
    <w:rsid w:val="00E32E8E"/>
    <w:rsid w:val="00E33569"/>
    <w:rsid w:val="00E33827"/>
    <w:rsid w:val="00E33A23"/>
    <w:rsid w:val="00E33CDE"/>
    <w:rsid w:val="00E340A8"/>
    <w:rsid w:val="00E3494A"/>
    <w:rsid w:val="00E34D67"/>
    <w:rsid w:val="00E3527A"/>
    <w:rsid w:val="00E3547D"/>
    <w:rsid w:val="00E354E7"/>
    <w:rsid w:val="00E35634"/>
    <w:rsid w:val="00E356BA"/>
    <w:rsid w:val="00E35A5F"/>
    <w:rsid w:val="00E35B10"/>
    <w:rsid w:val="00E36A00"/>
    <w:rsid w:val="00E36A1D"/>
    <w:rsid w:val="00E36B62"/>
    <w:rsid w:val="00E36C0F"/>
    <w:rsid w:val="00E37B6F"/>
    <w:rsid w:val="00E37B86"/>
    <w:rsid w:val="00E37FDD"/>
    <w:rsid w:val="00E401C7"/>
    <w:rsid w:val="00E4021F"/>
    <w:rsid w:val="00E405AE"/>
    <w:rsid w:val="00E4070A"/>
    <w:rsid w:val="00E4074D"/>
    <w:rsid w:val="00E40976"/>
    <w:rsid w:val="00E40A74"/>
    <w:rsid w:val="00E40C2A"/>
    <w:rsid w:val="00E40CA6"/>
    <w:rsid w:val="00E414C6"/>
    <w:rsid w:val="00E415FB"/>
    <w:rsid w:val="00E417A4"/>
    <w:rsid w:val="00E4189D"/>
    <w:rsid w:val="00E41AF5"/>
    <w:rsid w:val="00E41F25"/>
    <w:rsid w:val="00E420AC"/>
    <w:rsid w:val="00E42148"/>
    <w:rsid w:val="00E4228E"/>
    <w:rsid w:val="00E42601"/>
    <w:rsid w:val="00E42864"/>
    <w:rsid w:val="00E429D5"/>
    <w:rsid w:val="00E42B9F"/>
    <w:rsid w:val="00E42E07"/>
    <w:rsid w:val="00E42ECB"/>
    <w:rsid w:val="00E42FC2"/>
    <w:rsid w:val="00E43004"/>
    <w:rsid w:val="00E4341F"/>
    <w:rsid w:val="00E4394E"/>
    <w:rsid w:val="00E43E2D"/>
    <w:rsid w:val="00E43FD7"/>
    <w:rsid w:val="00E44183"/>
    <w:rsid w:val="00E44576"/>
    <w:rsid w:val="00E44AA6"/>
    <w:rsid w:val="00E44C0E"/>
    <w:rsid w:val="00E453DE"/>
    <w:rsid w:val="00E4568B"/>
    <w:rsid w:val="00E45BC4"/>
    <w:rsid w:val="00E45DF8"/>
    <w:rsid w:val="00E46139"/>
    <w:rsid w:val="00E4614F"/>
    <w:rsid w:val="00E461D5"/>
    <w:rsid w:val="00E46244"/>
    <w:rsid w:val="00E468AB"/>
    <w:rsid w:val="00E470CE"/>
    <w:rsid w:val="00E4710A"/>
    <w:rsid w:val="00E47658"/>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DE1"/>
    <w:rsid w:val="00E51ED1"/>
    <w:rsid w:val="00E52139"/>
    <w:rsid w:val="00E52180"/>
    <w:rsid w:val="00E521AD"/>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9CB"/>
    <w:rsid w:val="00E54A53"/>
    <w:rsid w:val="00E550C2"/>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8AC"/>
    <w:rsid w:val="00E57C6A"/>
    <w:rsid w:val="00E57D2C"/>
    <w:rsid w:val="00E57DC5"/>
    <w:rsid w:val="00E57F71"/>
    <w:rsid w:val="00E57FE4"/>
    <w:rsid w:val="00E607F2"/>
    <w:rsid w:val="00E60CE8"/>
    <w:rsid w:val="00E60E2A"/>
    <w:rsid w:val="00E611A9"/>
    <w:rsid w:val="00E61457"/>
    <w:rsid w:val="00E614E4"/>
    <w:rsid w:val="00E6172C"/>
    <w:rsid w:val="00E6189D"/>
    <w:rsid w:val="00E624AF"/>
    <w:rsid w:val="00E6273B"/>
    <w:rsid w:val="00E627A7"/>
    <w:rsid w:val="00E627AC"/>
    <w:rsid w:val="00E62A63"/>
    <w:rsid w:val="00E62AAD"/>
    <w:rsid w:val="00E62E78"/>
    <w:rsid w:val="00E63196"/>
    <w:rsid w:val="00E63731"/>
    <w:rsid w:val="00E63821"/>
    <w:rsid w:val="00E6387E"/>
    <w:rsid w:val="00E63EF1"/>
    <w:rsid w:val="00E644E5"/>
    <w:rsid w:val="00E646CC"/>
    <w:rsid w:val="00E6476B"/>
    <w:rsid w:val="00E648B6"/>
    <w:rsid w:val="00E6493F"/>
    <w:rsid w:val="00E64AE5"/>
    <w:rsid w:val="00E64C00"/>
    <w:rsid w:val="00E64EE0"/>
    <w:rsid w:val="00E64F86"/>
    <w:rsid w:val="00E651BC"/>
    <w:rsid w:val="00E652BA"/>
    <w:rsid w:val="00E65368"/>
    <w:rsid w:val="00E654BC"/>
    <w:rsid w:val="00E65FCF"/>
    <w:rsid w:val="00E66116"/>
    <w:rsid w:val="00E66273"/>
    <w:rsid w:val="00E662FB"/>
    <w:rsid w:val="00E663E1"/>
    <w:rsid w:val="00E665D6"/>
    <w:rsid w:val="00E667AD"/>
    <w:rsid w:val="00E66B00"/>
    <w:rsid w:val="00E66FB0"/>
    <w:rsid w:val="00E671C2"/>
    <w:rsid w:val="00E67511"/>
    <w:rsid w:val="00E676DE"/>
    <w:rsid w:val="00E67B01"/>
    <w:rsid w:val="00E704E0"/>
    <w:rsid w:val="00E7071D"/>
    <w:rsid w:val="00E7077C"/>
    <w:rsid w:val="00E70973"/>
    <w:rsid w:val="00E70DB3"/>
    <w:rsid w:val="00E70DB7"/>
    <w:rsid w:val="00E70FD2"/>
    <w:rsid w:val="00E710CD"/>
    <w:rsid w:val="00E71195"/>
    <w:rsid w:val="00E714C3"/>
    <w:rsid w:val="00E7171C"/>
    <w:rsid w:val="00E718CC"/>
    <w:rsid w:val="00E719AB"/>
    <w:rsid w:val="00E72015"/>
    <w:rsid w:val="00E722F4"/>
    <w:rsid w:val="00E726DE"/>
    <w:rsid w:val="00E72722"/>
    <w:rsid w:val="00E7310B"/>
    <w:rsid w:val="00E731D8"/>
    <w:rsid w:val="00E732C1"/>
    <w:rsid w:val="00E73538"/>
    <w:rsid w:val="00E7366D"/>
    <w:rsid w:val="00E73794"/>
    <w:rsid w:val="00E73EF7"/>
    <w:rsid w:val="00E7401C"/>
    <w:rsid w:val="00E74097"/>
    <w:rsid w:val="00E741CB"/>
    <w:rsid w:val="00E742F0"/>
    <w:rsid w:val="00E74421"/>
    <w:rsid w:val="00E747E4"/>
    <w:rsid w:val="00E74985"/>
    <w:rsid w:val="00E749FE"/>
    <w:rsid w:val="00E74D66"/>
    <w:rsid w:val="00E74DF7"/>
    <w:rsid w:val="00E74E89"/>
    <w:rsid w:val="00E74F5C"/>
    <w:rsid w:val="00E74FF2"/>
    <w:rsid w:val="00E75356"/>
    <w:rsid w:val="00E754E5"/>
    <w:rsid w:val="00E75876"/>
    <w:rsid w:val="00E758A7"/>
    <w:rsid w:val="00E75BC1"/>
    <w:rsid w:val="00E76339"/>
    <w:rsid w:val="00E7663A"/>
    <w:rsid w:val="00E76792"/>
    <w:rsid w:val="00E76D9E"/>
    <w:rsid w:val="00E76DFE"/>
    <w:rsid w:val="00E772D5"/>
    <w:rsid w:val="00E77B03"/>
    <w:rsid w:val="00E77B35"/>
    <w:rsid w:val="00E77F8D"/>
    <w:rsid w:val="00E77FC5"/>
    <w:rsid w:val="00E8041B"/>
    <w:rsid w:val="00E807FF"/>
    <w:rsid w:val="00E8084D"/>
    <w:rsid w:val="00E808C3"/>
    <w:rsid w:val="00E80F5F"/>
    <w:rsid w:val="00E813C4"/>
    <w:rsid w:val="00E817C4"/>
    <w:rsid w:val="00E818A3"/>
    <w:rsid w:val="00E81AAD"/>
    <w:rsid w:val="00E81B3F"/>
    <w:rsid w:val="00E81CFB"/>
    <w:rsid w:val="00E81FB9"/>
    <w:rsid w:val="00E82101"/>
    <w:rsid w:val="00E8219F"/>
    <w:rsid w:val="00E82580"/>
    <w:rsid w:val="00E82628"/>
    <w:rsid w:val="00E82652"/>
    <w:rsid w:val="00E828B5"/>
    <w:rsid w:val="00E82A1F"/>
    <w:rsid w:val="00E82A92"/>
    <w:rsid w:val="00E82B73"/>
    <w:rsid w:val="00E82FAC"/>
    <w:rsid w:val="00E8317A"/>
    <w:rsid w:val="00E837B5"/>
    <w:rsid w:val="00E83FF5"/>
    <w:rsid w:val="00E84C44"/>
    <w:rsid w:val="00E85137"/>
    <w:rsid w:val="00E8550F"/>
    <w:rsid w:val="00E85691"/>
    <w:rsid w:val="00E85C55"/>
    <w:rsid w:val="00E85CF6"/>
    <w:rsid w:val="00E85E78"/>
    <w:rsid w:val="00E86813"/>
    <w:rsid w:val="00E8693C"/>
    <w:rsid w:val="00E869DB"/>
    <w:rsid w:val="00E86F26"/>
    <w:rsid w:val="00E86FC6"/>
    <w:rsid w:val="00E8709F"/>
    <w:rsid w:val="00E870EA"/>
    <w:rsid w:val="00E87191"/>
    <w:rsid w:val="00E872DC"/>
    <w:rsid w:val="00E8782C"/>
    <w:rsid w:val="00E87AF0"/>
    <w:rsid w:val="00E87B0F"/>
    <w:rsid w:val="00E87B91"/>
    <w:rsid w:val="00E87DE0"/>
    <w:rsid w:val="00E9041A"/>
    <w:rsid w:val="00E90821"/>
    <w:rsid w:val="00E90826"/>
    <w:rsid w:val="00E90869"/>
    <w:rsid w:val="00E908C9"/>
    <w:rsid w:val="00E90DCC"/>
    <w:rsid w:val="00E915ED"/>
    <w:rsid w:val="00E919EF"/>
    <w:rsid w:val="00E929D8"/>
    <w:rsid w:val="00E92B53"/>
    <w:rsid w:val="00E92D54"/>
    <w:rsid w:val="00E93027"/>
    <w:rsid w:val="00E93190"/>
    <w:rsid w:val="00E932DE"/>
    <w:rsid w:val="00E93442"/>
    <w:rsid w:val="00E93497"/>
    <w:rsid w:val="00E93633"/>
    <w:rsid w:val="00E936E1"/>
    <w:rsid w:val="00E93778"/>
    <w:rsid w:val="00E93B57"/>
    <w:rsid w:val="00E93D49"/>
    <w:rsid w:val="00E93E92"/>
    <w:rsid w:val="00E94052"/>
    <w:rsid w:val="00E9417E"/>
    <w:rsid w:val="00E9430B"/>
    <w:rsid w:val="00E94493"/>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92A"/>
    <w:rsid w:val="00E96A33"/>
    <w:rsid w:val="00E96A45"/>
    <w:rsid w:val="00E96B76"/>
    <w:rsid w:val="00E96CC3"/>
    <w:rsid w:val="00E96E15"/>
    <w:rsid w:val="00E97162"/>
    <w:rsid w:val="00E973EF"/>
    <w:rsid w:val="00E974E0"/>
    <w:rsid w:val="00E97A31"/>
    <w:rsid w:val="00E97AD1"/>
    <w:rsid w:val="00E97F63"/>
    <w:rsid w:val="00E97FC4"/>
    <w:rsid w:val="00EA0063"/>
    <w:rsid w:val="00EA01A1"/>
    <w:rsid w:val="00EA0721"/>
    <w:rsid w:val="00EA07EF"/>
    <w:rsid w:val="00EA10F0"/>
    <w:rsid w:val="00EA12E9"/>
    <w:rsid w:val="00EA1682"/>
    <w:rsid w:val="00EA19E3"/>
    <w:rsid w:val="00EA1F63"/>
    <w:rsid w:val="00EA1FA3"/>
    <w:rsid w:val="00EA2977"/>
    <w:rsid w:val="00EA2E5E"/>
    <w:rsid w:val="00EA317F"/>
    <w:rsid w:val="00EA321C"/>
    <w:rsid w:val="00EA3E75"/>
    <w:rsid w:val="00EA3E7E"/>
    <w:rsid w:val="00EA3F25"/>
    <w:rsid w:val="00EA40F2"/>
    <w:rsid w:val="00EA4136"/>
    <w:rsid w:val="00EA4157"/>
    <w:rsid w:val="00EA4901"/>
    <w:rsid w:val="00EA4E27"/>
    <w:rsid w:val="00EA50E9"/>
    <w:rsid w:val="00EA5584"/>
    <w:rsid w:val="00EA5AB2"/>
    <w:rsid w:val="00EA5B2C"/>
    <w:rsid w:val="00EA5CB1"/>
    <w:rsid w:val="00EA5DE8"/>
    <w:rsid w:val="00EA675C"/>
    <w:rsid w:val="00EA67EA"/>
    <w:rsid w:val="00EA6B5D"/>
    <w:rsid w:val="00EA6C2C"/>
    <w:rsid w:val="00EA6CC0"/>
    <w:rsid w:val="00EA6E5C"/>
    <w:rsid w:val="00EA7064"/>
    <w:rsid w:val="00EA71CC"/>
    <w:rsid w:val="00EA72C1"/>
    <w:rsid w:val="00EA7524"/>
    <w:rsid w:val="00EA75C7"/>
    <w:rsid w:val="00EA7DCA"/>
    <w:rsid w:val="00EA7F7A"/>
    <w:rsid w:val="00EB07A1"/>
    <w:rsid w:val="00EB0E25"/>
    <w:rsid w:val="00EB1363"/>
    <w:rsid w:val="00EB1611"/>
    <w:rsid w:val="00EB1711"/>
    <w:rsid w:val="00EB17DF"/>
    <w:rsid w:val="00EB21BB"/>
    <w:rsid w:val="00EB2267"/>
    <w:rsid w:val="00EB2415"/>
    <w:rsid w:val="00EB2D40"/>
    <w:rsid w:val="00EB2F30"/>
    <w:rsid w:val="00EB36B1"/>
    <w:rsid w:val="00EB4100"/>
    <w:rsid w:val="00EB4285"/>
    <w:rsid w:val="00EB43C9"/>
    <w:rsid w:val="00EB48ED"/>
    <w:rsid w:val="00EB5522"/>
    <w:rsid w:val="00EB5550"/>
    <w:rsid w:val="00EB5A09"/>
    <w:rsid w:val="00EB5A9F"/>
    <w:rsid w:val="00EB5C2E"/>
    <w:rsid w:val="00EB5E6C"/>
    <w:rsid w:val="00EB63C7"/>
    <w:rsid w:val="00EB657F"/>
    <w:rsid w:val="00EB710B"/>
    <w:rsid w:val="00EB7526"/>
    <w:rsid w:val="00EB79BF"/>
    <w:rsid w:val="00EB7A99"/>
    <w:rsid w:val="00EB7BC4"/>
    <w:rsid w:val="00EB7D0B"/>
    <w:rsid w:val="00EC0004"/>
    <w:rsid w:val="00EC014E"/>
    <w:rsid w:val="00EC053F"/>
    <w:rsid w:val="00EC0715"/>
    <w:rsid w:val="00EC0952"/>
    <w:rsid w:val="00EC099B"/>
    <w:rsid w:val="00EC0B38"/>
    <w:rsid w:val="00EC1197"/>
    <w:rsid w:val="00EC12AB"/>
    <w:rsid w:val="00EC1A7C"/>
    <w:rsid w:val="00EC1AF9"/>
    <w:rsid w:val="00EC24C6"/>
    <w:rsid w:val="00EC280F"/>
    <w:rsid w:val="00EC288A"/>
    <w:rsid w:val="00EC29AC"/>
    <w:rsid w:val="00EC2BA2"/>
    <w:rsid w:val="00EC2F79"/>
    <w:rsid w:val="00EC3496"/>
    <w:rsid w:val="00EC350A"/>
    <w:rsid w:val="00EC3C35"/>
    <w:rsid w:val="00EC3E2D"/>
    <w:rsid w:val="00EC46C5"/>
    <w:rsid w:val="00EC46DD"/>
    <w:rsid w:val="00EC4819"/>
    <w:rsid w:val="00EC4C91"/>
    <w:rsid w:val="00EC4CDF"/>
    <w:rsid w:val="00EC4DAB"/>
    <w:rsid w:val="00EC500B"/>
    <w:rsid w:val="00EC51D8"/>
    <w:rsid w:val="00EC53EC"/>
    <w:rsid w:val="00EC5918"/>
    <w:rsid w:val="00EC599F"/>
    <w:rsid w:val="00EC5A39"/>
    <w:rsid w:val="00EC5F97"/>
    <w:rsid w:val="00EC6077"/>
    <w:rsid w:val="00EC63EB"/>
    <w:rsid w:val="00EC6862"/>
    <w:rsid w:val="00EC6987"/>
    <w:rsid w:val="00EC6B95"/>
    <w:rsid w:val="00EC6C05"/>
    <w:rsid w:val="00EC6D14"/>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0EE"/>
    <w:rsid w:val="00ED3101"/>
    <w:rsid w:val="00ED3210"/>
    <w:rsid w:val="00ED3424"/>
    <w:rsid w:val="00ED3576"/>
    <w:rsid w:val="00ED3A14"/>
    <w:rsid w:val="00ED3FC3"/>
    <w:rsid w:val="00ED4138"/>
    <w:rsid w:val="00ED449F"/>
    <w:rsid w:val="00ED490B"/>
    <w:rsid w:val="00ED4AFA"/>
    <w:rsid w:val="00ED4C25"/>
    <w:rsid w:val="00ED4E64"/>
    <w:rsid w:val="00ED4F68"/>
    <w:rsid w:val="00ED4F91"/>
    <w:rsid w:val="00ED5043"/>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C20"/>
    <w:rsid w:val="00ED7CEF"/>
    <w:rsid w:val="00ED7DB0"/>
    <w:rsid w:val="00ED7E1E"/>
    <w:rsid w:val="00EE0119"/>
    <w:rsid w:val="00EE0360"/>
    <w:rsid w:val="00EE0838"/>
    <w:rsid w:val="00EE0872"/>
    <w:rsid w:val="00EE0AB4"/>
    <w:rsid w:val="00EE0FF6"/>
    <w:rsid w:val="00EE11D1"/>
    <w:rsid w:val="00EE1463"/>
    <w:rsid w:val="00EE14E4"/>
    <w:rsid w:val="00EE16D8"/>
    <w:rsid w:val="00EE1C1B"/>
    <w:rsid w:val="00EE206A"/>
    <w:rsid w:val="00EE2558"/>
    <w:rsid w:val="00EE2575"/>
    <w:rsid w:val="00EE2CAA"/>
    <w:rsid w:val="00EE2D6F"/>
    <w:rsid w:val="00EE2DBA"/>
    <w:rsid w:val="00EE3451"/>
    <w:rsid w:val="00EE36B2"/>
    <w:rsid w:val="00EE36B7"/>
    <w:rsid w:val="00EE3BB9"/>
    <w:rsid w:val="00EE3F1D"/>
    <w:rsid w:val="00EE3F23"/>
    <w:rsid w:val="00EE3FC6"/>
    <w:rsid w:val="00EE4623"/>
    <w:rsid w:val="00EE46D7"/>
    <w:rsid w:val="00EE4A50"/>
    <w:rsid w:val="00EE5027"/>
    <w:rsid w:val="00EE535A"/>
    <w:rsid w:val="00EE5690"/>
    <w:rsid w:val="00EE57D6"/>
    <w:rsid w:val="00EE5CC1"/>
    <w:rsid w:val="00EE5E6E"/>
    <w:rsid w:val="00EE5F13"/>
    <w:rsid w:val="00EE5FD3"/>
    <w:rsid w:val="00EE7605"/>
    <w:rsid w:val="00EE7876"/>
    <w:rsid w:val="00EE7EDD"/>
    <w:rsid w:val="00EF02C0"/>
    <w:rsid w:val="00EF08FF"/>
    <w:rsid w:val="00EF0C2A"/>
    <w:rsid w:val="00EF1281"/>
    <w:rsid w:val="00EF16FB"/>
    <w:rsid w:val="00EF1B59"/>
    <w:rsid w:val="00EF1CF6"/>
    <w:rsid w:val="00EF1E75"/>
    <w:rsid w:val="00EF21E7"/>
    <w:rsid w:val="00EF22E5"/>
    <w:rsid w:val="00EF2352"/>
    <w:rsid w:val="00EF2434"/>
    <w:rsid w:val="00EF27C4"/>
    <w:rsid w:val="00EF29D3"/>
    <w:rsid w:val="00EF2A68"/>
    <w:rsid w:val="00EF2D4F"/>
    <w:rsid w:val="00EF32B3"/>
    <w:rsid w:val="00EF37AA"/>
    <w:rsid w:val="00EF38D9"/>
    <w:rsid w:val="00EF3EF5"/>
    <w:rsid w:val="00EF4222"/>
    <w:rsid w:val="00EF47AD"/>
    <w:rsid w:val="00EF4E44"/>
    <w:rsid w:val="00EF5562"/>
    <w:rsid w:val="00EF584D"/>
    <w:rsid w:val="00EF589F"/>
    <w:rsid w:val="00EF5A4F"/>
    <w:rsid w:val="00EF5F8B"/>
    <w:rsid w:val="00EF603E"/>
    <w:rsid w:val="00EF637D"/>
    <w:rsid w:val="00EF6759"/>
    <w:rsid w:val="00EF6BFA"/>
    <w:rsid w:val="00EF6D6B"/>
    <w:rsid w:val="00EF6EEB"/>
    <w:rsid w:val="00EF70DD"/>
    <w:rsid w:val="00EF77EA"/>
    <w:rsid w:val="00EF7F22"/>
    <w:rsid w:val="00F0020B"/>
    <w:rsid w:val="00F00280"/>
    <w:rsid w:val="00F00581"/>
    <w:rsid w:val="00F0058E"/>
    <w:rsid w:val="00F00EF1"/>
    <w:rsid w:val="00F00FFB"/>
    <w:rsid w:val="00F01196"/>
    <w:rsid w:val="00F011A1"/>
    <w:rsid w:val="00F01340"/>
    <w:rsid w:val="00F0181C"/>
    <w:rsid w:val="00F01A92"/>
    <w:rsid w:val="00F01F97"/>
    <w:rsid w:val="00F022C2"/>
    <w:rsid w:val="00F0253E"/>
    <w:rsid w:val="00F02754"/>
    <w:rsid w:val="00F0276D"/>
    <w:rsid w:val="00F02AAE"/>
    <w:rsid w:val="00F02AC8"/>
    <w:rsid w:val="00F02B17"/>
    <w:rsid w:val="00F02C48"/>
    <w:rsid w:val="00F0317E"/>
    <w:rsid w:val="00F031A3"/>
    <w:rsid w:val="00F03509"/>
    <w:rsid w:val="00F0353F"/>
    <w:rsid w:val="00F03A46"/>
    <w:rsid w:val="00F03A62"/>
    <w:rsid w:val="00F03CD4"/>
    <w:rsid w:val="00F03D50"/>
    <w:rsid w:val="00F03FD8"/>
    <w:rsid w:val="00F0444A"/>
    <w:rsid w:val="00F0488C"/>
    <w:rsid w:val="00F04C49"/>
    <w:rsid w:val="00F04D33"/>
    <w:rsid w:val="00F04E59"/>
    <w:rsid w:val="00F04E82"/>
    <w:rsid w:val="00F04EB8"/>
    <w:rsid w:val="00F05A12"/>
    <w:rsid w:val="00F05D42"/>
    <w:rsid w:val="00F05D63"/>
    <w:rsid w:val="00F061D2"/>
    <w:rsid w:val="00F062B1"/>
    <w:rsid w:val="00F066B0"/>
    <w:rsid w:val="00F068C1"/>
    <w:rsid w:val="00F06903"/>
    <w:rsid w:val="00F07205"/>
    <w:rsid w:val="00F07753"/>
    <w:rsid w:val="00F07854"/>
    <w:rsid w:val="00F07A07"/>
    <w:rsid w:val="00F07BB5"/>
    <w:rsid w:val="00F07FCD"/>
    <w:rsid w:val="00F10051"/>
    <w:rsid w:val="00F10143"/>
    <w:rsid w:val="00F1018E"/>
    <w:rsid w:val="00F1027B"/>
    <w:rsid w:val="00F103A9"/>
    <w:rsid w:val="00F103E0"/>
    <w:rsid w:val="00F10DAF"/>
    <w:rsid w:val="00F10DB3"/>
    <w:rsid w:val="00F10DC9"/>
    <w:rsid w:val="00F1106F"/>
    <w:rsid w:val="00F11173"/>
    <w:rsid w:val="00F114AF"/>
    <w:rsid w:val="00F11588"/>
    <w:rsid w:val="00F11829"/>
    <w:rsid w:val="00F118DB"/>
    <w:rsid w:val="00F11A57"/>
    <w:rsid w:val="00F11BCD"/>
    <w:rsid w:val="00F1212A"/>
    <w:rsid w:val="00F1217F"/>
    <w:rsid w:val="00F123F3"/>
    <w:rsid w:val="00F12535"/>
    <w:rsid w:val="00F127A3"/>
    <w:rsid w:val="00F12915"/>
    <w:rsid w:val="00F12A76"/>
    <w:rsid w:val="00F12AC8"/>
    <w:rsid w:val="00F12BF5"/>
    <w:rsid w:val="00F12F51"/>
    <w:rsid w:val="00F12F55"/>
    <w:rsid w:val="00F13335"/>
    <w:rsid w:val="00F13392"/>
    <w:rsid w:val="00F134D5"/>
    <w:rsid w:val="00F1359F"/>
    <w:rsid w:val="00F13899"/>
    <w:rsid w:val="00F13959"/>
    <w:rsid w:val="00F13C51"/>
    <w:rsid w:val="00F13DD2"/>
    <w:rsid w:val="00F140C5"/>
    <w:rsid w:val="00F1417C"/>
    <w:rsid w:val="00F14263"/>
    <w:rsid w:val="00F145A2"/>
    <w:rsid w:val="00F14838"/>
    <w:rsid w:val="00F148D2"/>
    <w:rsid w:val="00F14B02"/>
    <w:rsid w:val="00F14F04"/>
    <w:rsid w:val="00F1504D"/>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6E5C"/>
    <w:rsid w:val="00F1735E"/>
    <w:rsid w:val="00F17C3E"/>
    <w:rsid w:val="00F17CCB"/>
    <w:rsid w:val="00F17ED3"/>
    <w:rsid w:val="00F17FA1"/>
    <w:rsid w:val="00F200ED"/>
    <w:rsid w:val="00F203C1"/>
    <w:rsid w:val="00F20535"/>
    <w:rsid w:val="00F206CB"/>
    <w:rsid w:val="00F206E9"/>
    <w:rsid w:val="00F207A4"/>
    <w:rsid w:val="00F20976"/>
    <w:rsid w:val="00F20B86"/>
    <w:rsid w:val="00F217F1"/>
    <w:rsid w:val="00F21A93"/>
    <w:rsid w:val="00F21D30"/>
    <w:rsid w:val="00F21E10"/>
    <w:rsid w:val="00F21F4B"/>
    <w:rsid w:val="00F225CE"/>
    <w:rsid w:val="00F2263C"/>
    <w:rsid w:val="00F22837"/>
    <w:rsid w:val="00F22871"/>
    <w:rsid w:val="00F22E82"/>
    <w:rsid w:val="00F2321F"/>
    <w:rsid w:val="00F2351E"/>
    <w:rsid w:val="00F23D3B"/>
    <w:rsid w:val="00F2408A"/>
    <w:rsid w:val="00F241D0"/>
    <w:rsid w:val="00F247D8"/>
    <w:rsid w:val="00F24A60"/>
    <w:rsid w:val="00F24D5D"/>
    <w:rsid w:val="00F24D8C"/>
    <w:rsid w:val="00F24DA4"/>
    <w:rsid w:val="00F24ED6"/>
    <w:rsid w:val="00F25180"/>
    <w:rsid w:val="00F2520B"/>
    <w:rsid w:val="00F25267"/>
    <w:rsid w:val="00F25636"/>
    <w:rsid w:val="00F25AB0"/>
    <w:rsid w:val="00F2661D"/>
    <w:rsid w:val="00F26686"/>
    <w:rsid w:val="00F26813"/>
    <w:rsid w:val="00F269C6"/>
    <w:rsid w:val="00F26A2E"/>
    <w:rsid w:val="00F26EBA"/>
    <w:rsid w:val="00F27007"/>
    <w:rsid w:val="00F272E7"/>
    <w:rsid w:val="00F275AA"/>
    <w:rsid w:val="00F2786C"/>
    <w:rsid w:val="00F279E2"/>
    <w:rsid w:val="00F27A22"/>
    <w:rsid w:val="00F30022"/>
    <w:rsid w:val="00F3004D"/>
    <w:rsid w:val="00F3038D"/>
    <w:rsid w:val="00F303B0"/>
    <w:rsid w:val="00F303FA"/>
    <w:rsid w:val="00F304E6"/>
    <w:rsid w:val="00F30A42"/>
    <w:rsid w:val="00F30AD7"/>
    <w:rsid w:val="00F30C91"/>
    <w:rsid w:val="00F30D1D"/>
    <w:rsid w:val="00F30DCA"/>
    <w:rsid w:val="00F31084"/>
    <w:rsid w:val="00F3129F"/>
    <w:rsid w:val="00F316E3"/>
    <w:rsid w:val="00F31DB8"/>
    <w:rsid w:val="00F3200C"/>
    <w:rsid w:val="00F3243B"/>
    <w:rsid w:val="00F32B88"/>
    <w:rsid w:val="00F32E06"/>
    <w:rsid w:val="00F3311A"/>
    <w:rsid w:val="00F33524"/>
    <w:rsid w:val="00F33657"/>
    <w:rsid w:val="00F33668"/>
    <w:rsid w:val="00F336E0"/>
    <w:rsid w:val="00F337CA"/>
    <w:rsid w:val="00F3396F"/>
    <w:rsid w:val="00F33977"/>
    <w:rsid w:val="00F33FCF"/>
    <w:rsid w:val="00F341A5"/>
    <w:rsid w:val="00F34BBF"/>
    <w:rsid w:val="00F35A51"/>
    <w:rsid w:val="00F35DC4"/>
    <w:rsid w:val="00F36155"/>
    <w:rsid w:val="00F36538"/>
    <w:rsid w:val="00F36833"/>
    <w:rsid w:val="00F36EF1"/>
    <w:rsid w:val="00F36FAB"/>
    <w:rsid w:val="00F37413"/>
    <w:rsid w:val="00F3763A"/>
    <w:rsid w:val="00F37718"/>
    <w:rsid w:val="00F378BA"/>
    <w:rsid w:val="00F379EF"/>
    <w:rsid w:val="00F37E5A"/>
    <w:rsid w:val="00F4058C"/>
    <w:rsid w:val="00F406F7"/>
    <w:rsid w:val="00F40775"/>
    <w:rsid w:val="00F4097B"/>
    <w:rsid w:val="00F41556"/>
    <w:rsid w:val="00F416D4"/>
    <w:rsid w:val="00F417BE"/>
    <w:rsid w:val="00F4198A"/>
    <w:rsid w:val="00F41AE3"/>
    <w:rsid w:val="00F41CEA"/>
    <w:rsid w:val="00F420D3"/>
    <w:rsid w:val="00F428EA"/>
    <w:rsid w:val="00F42B82"/>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819"/>
    <w:rsid w:val="00F479F6"/>
    <w:rsid w:val="00F47DFD"/>
    <w:rsid w:val="00F5009F"/>
    <w:rsid w:val="00F500EE"/>
    <w:rsid w:val="00F505EA"/>
    <w:rsid w:val="00F50656"/>
    <w:rsid w:val="00F506E6"/>
    <w:rsid w:val="00F50B3D"/>
    <w:rsid w:val="00F50F38"/>
    <w:rsid w:val="00F5105D"/>
    <w:rsid w:val="00F511B3"/>
    <w:rsid w:val="00F512EB"/>
    <w:rsid w:val="00F5147F"/>
    <w:rsid w:val="00F517F0"/>
    <w:rsid w:val="00F51911"/>
    <w:rsid w:val="00F51928"/>
    <w:rsid w:val="00F51D96"/>
    <w:rsid w:val="00F52184"/>
    <w:rsid w:val="00F52675"/>
    <w:rsid w:val="00F528CE"/>
    <w:rsid w:val="00F52BA9"/>
    <w:rsid w:val="00F52C22"/>
    <w:rsid w:val="00F52DC9"/>
    <w:rsid w:val="00F52F54"/>
    <w:rsid w:val="00F52FC1"/>
    <w:rsid w:val="00F52FF7"/>
    <w:rsid w:val="00F53111"/>
    <w:rsid w:val="00F53275"/>
    <w:rsid w:val="00F532A6"/>
    <w:rsid w:val="00F532BB"/>
    <w:rsid w:val="00F5369A"/>
    <w:rsid w:val="00F5373A"/>
    <w:rsid w:val="00F53C51"/>
    <w:rsid w:val="00F53DB8"/>
    <w:rsid w:val="00F5480C"/>
    <w:rsid w:val="00F54903"/>
    <w:rsid w:val="00F55060"/>
    <w:rsid w:val="00F550D4"/>
    <w:rsid w:val="00F55272"/>
    <w:rsid w:val="00F554D0"/>
    <w:rsid w:val="00F557A8"/>
    <w:rsid w:val="00F55812"/>
    <w:rsid w:val="00F5596A"/>
    <w:rsid w:val="00F55BEF"/>
    <w:rsid w:val="00F55C9D"/>
    <w:rsid w:val="00F55E5D"/>
    <w:rsid w:val="00F56058"/>
    <w:rsid w:val="00F566F7"/>
    <w:rsid w:val="00F56C1B"/>
    <w:rsid w:val="00F56CCA"/>
    <w:rsid w:val="00F56DC8"/>
    <w:rsid w:val="00F56EB4"/>
    <w:rsid w:val="00F570CF"/>
    <w:rsid w:val="00F57133"/>
    <w:rsid w:val="00F572C7"/>
    <w:rsid w:val="00F57614"/>
    <w:rsid w:val="00F57630"/>
    <w:rsid w:val="00F57754"/>
    <w:rsid w:val="00F57786"/>
    <w:rsid w:val="00F577E7"/>
    <w:rsid w:val="00F57998"/>
    <w:rsid w:val="00F57F1F"/>
    <w:rsid w:val="00F57F82"/>
    <w:rsid w:val="00F6054C"/>
    <w:rsid w:val="00F60728"/>
    <w:rsid w:val="00F6079D"/>
    <w:rsid w:val="00F60883"/>
    <w:rsid w:val="00F60C5C"/>
    <w:rsid w:val="00F61204"/>
    <w:rsid w:val="00F6123E"/>
    <w:rsid w:val="00F613A0"/>
    <w:rsid w:val="00F61486"/>
    <w:rsid w:val="00F61877"/>
    <w:rsid w:val="00F61B89"/>
    <w:rsid w:val="00F61E19"/>
    <w:rsid w:val="00F61E37"/>
    <w:rsid w:val="00F61EAE"/>
    <w:rsid w:val="00F6242B"/>
    <w:rsid w:val="00F6295A"/>
    <w:rsid w:val="00F62B6B"/>
    <w:rsid w:val="00F62FB1"/>
    <w:rsid w:val="00F638FB"/>
    <w:rsid w:val="00F63942"/>
    <w:rsid w:val="00F63C1B"/>
    <w:rsid w:val="00F63F58"/>
    <w:rsid w:val="00F6405D"/>
    <w:rsid w:val="00F64135"/>
    <w:rsid w:val="00F64213"/>
    <w:rsid w:val="00F64784"/>
    <w:rsid w:val="00F647EE"/>
    <w:rsid w:val="00F648A4"/>
    <w:rsid w:val="00F64B0D"/>
    <w:rsid w:val="00F64BD2"/>
    <w:rsid w:val="00F64C69"/>
    <w:rsid w:val="00F64E21"/>
    <w:rsid w:val="00F651E8"/>
    <w:rsid w:val="00F65282"/>
    <w:rsid w:val="00F65BBF"/>
    <w:rsid w:val="00F65F53"/>
    <w:rsid w:val="00F66110"/>
    <w:rsid w:val="00F66896"/>
    <w:rsid w:val="00F66921"/>
    <w:rsid w:val="00F66A61"/>
    <w:rsid w:val="00F66B15"/>
    <w:rsid w:val="00F66BEB"/>
    <w:rsid w:val="00F66E95"/>
    <w:rsid w:val="00F6759D"/>
    <w:rsid w:val="00F6760F"/>
    <w:rsid w:val="00F676E9"/>
    <w:rsid w:val="00F67CDD"/>
    <w:rsid w:val="00F70062"/>
    <w:rsid w:val="00F70400"/>
    <w:rsid w:val="00F70589"/>
    <w:rsid w:val="00F70679"/>
    <w:rsid w:val="00F70695"/>
    <w:rsid w:val="00F70718"/>
    <w:rsid w:val="00F7087A"/>
    <w:rsid w:val="00F70A96"/>
    <w:rsid w:val="00F70D39"/>
    <w:rsid w:val="00F7105B"/>
    <w:rsid w:val="00F71B68"/>
    <w:rsid w:val="00F71BD5"/>
    <w:rsid w:val="00F71BE8"/>
    <w:rsid w:val="00F71F9F"/>
    <w:rsid w:val="00F7228A"/>
    <w:rsid w:val="00F723FD"/>
    <w:rsid w:val="00F72530"/>
    <w:rsid w:val="00F725B2"/>
    <w:rsid w:val="00F726B1"/>
    <w:rsid w:val="00F729A4"/>
    <w:rsid w:val="00F72B79"/>
    <w:rsid w:val="00F73513"/>
    <w:rsid w:val="00F7365C"/>
    <w:rsid w:val="00F737F3"/>
    <w:rsid w:val="00F73F49"/>
    <w:rsid w:val="00F743FF"/>
    <w:rsid w:val="00F744A7"/>
    <w:rsid w:val="00F74594"/>
    <w:rsid w:val="00F749EB"/>
    <w:rsid w:val="00F74D4A"/>
    <w:rsid w:val="00F74EA3"/>
    <w:rsid w:val="00F74EF4"/>
    <w:rsid w:val="00F74F66"/>
    <w:rsid w:val="00F7505C"/>
    <w:rsid w:val="00F752D1"/>
    <w:rsid w:val="00F7536C"/>
    <w:rsid w:val="00F753DC"/>
    <w:rsid w:val="00F7593F"/>
    <w:rsid w:val="00F75C36"/>
    <w:rsid w:val="00F75DA3"/>
    <w:rsid w:val="00F75E08"/>
    <w:rsid w:val="00F75F07"/>
    <w:rsid w:val="00F76224"/>
    <w:rsid w:val="00F766EA"/>
    <w:rsid w:val="00F766ED"/>
    <w:rsid w:val="00F76739"/>
    <w:rsid w:val="00F76771"/>
    <w:rsid w:val="00F7681B"/>
    <w:rsid w:val="00F77176"/>
    <w:rsid w:val="00F77630"/>
    <w:rsid w:val="00F77683"/>
    <w:rsid w:val="00F77718"/>
    <w:rsid w:val="00F777F7"/>
    <w:rsid w:val="00F7784A"/>
    <w:rsid w:val="00F8003C"/>
    <w:rsid w:val="00F80294"/>
    <w:rsid w:val="00F8044A"/>
    <w:rsid w:val="00F80786"/>
    <w:rsid w:val="00F80D12"/>
    <w:rsid w:val="00F80E73"/>
    <w:rsid w:val="00F80FA1"/>
    <w:rsid w:val="00F81312"/>
    <w:rsid w:val="00F814C8"/>
    <w:rsid w:val="00F81743"/>
    <w:rsid w:val="00F81D4F"/>
    <w:rsid w:val="00F81D5F"/>
    <w:rsid w:val="00F81F09"/>
    <w:rsid w:val="00F8264C"/>
    <w:rsid w:val="00F8292C"/>
    <w:rsid w:val="00F829BE"/>
    <w:rsid w:val="00F82A7E"/>
    <w:rsid w:val="00F82B05"/>
    <w:rsid w:val="00F82C5D"/>
    <w:rsid w:val="00F82E29"/>
    <w:rsid w:val="00F82EAD"/>
    <w:rsid w:val="00F82F75"/>
    <w:rsid w:val="00F83089"/>
    <w:rsid w:val="00F83147"/>
    <w:rsid w:val="00F83347"/>
    <w:rsid w:val="00F834BE"/>
    <w:rsid w:val="00F83A28"/>
    <w:rsid w:val="00F83AF5"/>
    <w:rsid w:val="00F84444"/>
    <w:rsid w:val="00F8497B"/>
    <w:rsid w:val="00F84A11"/>
    <w:rsid w:val="00F84BC4"/>
    <w:rsid w:val="00F84C4E"/>
    <w:rsid w:val="00F84FF0"/>
    <w:rsid w:val="00F851BB"/>
    <w:rsid w:val="00F85389"/>
    <w:rsid w:val="00F85831"/>
    <w:rsid w:val="00F8607D"/>
    <w:rsid w:val="00F860C1"/>
    <w:rsid w:val="00F86524"/>
    <w:rsid w:val="00F86610"/>
    <w:rsid w:val="00F86E6D"/>
    <w:rsid w:val="00F8726A"/>
    <w:rsid w:val="00F909CC"/>
    <w:rsid w:val="00F909D6"/>
    <w:rsid w:val="00F90A37"/>
    <w:rsid w:val="00F90AAF"/>
    <w:rsid w:val="00F90C20"/>
    <w:rsid w:val="00F90D85"/>
    <w:rsid w:val="00F90F9D"/>
    <w:rsid w:val="00F91B32"/>
    <w:rsid w:val="00F91D9B"/>
    <w:rsid w:val="00F91E25"/>
    <w:rsid w:val="00F92280"/>
    <w:rsid w:val="00F9239F"/>
    <w:rsid w:val="00F92681"/>
    <w:rsid w:val="00F9273B"/>
    <w:rsid w:val="00F92842"/>
    <w:rsid w:val="00F92847"/>
    <w:rsid w:val="00F92DFA"/>
    <w:rsid w:val="00F92EB3"/>
    <w:rsid w:val="00F93268"/>
    <w:rsid w:val="00F9338C"/>
    <w:rsid w:val="00F93411"/>
    <w:rsid w:val="00F93CE8"/>
    <w:rsid w:val="00F93E41"/>
    <w:rsid w:val="00F941A0"/>
    <w:rsid w:val="00F942D7"/>
    <w:rsid w:val="00F946A6"/>
    <w:rsid w:val="00F94D5B"/>
    <w:rsid w:val="00F95561"/>
    <w:rsid w:val="00F957C0"/>
    <w:rsid w:val="00F95898"/>
    <w:rsid w:val="00F95925"/>
    <w:rsid w:val="00F95CC1"/>
    <w:rsid w:val="00F95E9B"/>
    <w:rsid w:val="00F9614D"/>
    <w:rsid w:val="00F961BD"/>
    <w:rsid w:val="00F962C6"/>
    <w:rsid w:val="00F9638F"/>
    <w:rsid w:val="00F9645C"/>
    <w:rsid w:val="00F96C58"/>
    <w:rsid w:val="00F96E07"/>
    <w:rsid w:val="00F96EDC"/>
    <w:rsid w:val="00F96FC6"/>
    <w:rsid w:val="00F970C3"/>
    <w:rsid w:val="00F97347"/>
    <w:rsid w:val="00F97383"/>
    <w:rsid w:val="00F973EF"/>
    <w:rsid w:val="00F97598"/>
    <w:rsid w:val="00FA01B3"/>
    <w:rsid w:val="00FA0302"/>
    <w:rsid w:val="00FA03A0"/>
    <w:rsid w:val="00FA045E"/>
    <w:rsid w:val="00FA0AE9"/>
    <w:rsid w:val="00FA0CA9"/>
    <w:rsid w:val="00FA0DB2"/>
    <w:rsid w:val="00FA0E2A"/>
    <w:rsid w:val="00FA0F8B"/>
    <w:rsid w:val="00FA1181"/>
    <w:rsid w:val="00FA1211"/>
    <w:rsid w:val="00FA135A"/>
    <w:rsid w:val="00FA1643"/>
    <w:rsid w:val="00FA16A6"/>
    <w:rsid w:val="00FA1CA4"/>
    <w:rsid w:val="00FA1F6D"/>
    <w:rsid w:val="00FA2407"/>
    <w:rsid w:val="00FA2961"/>
    <w:rsid w:val="00FA2D05"/>
    <w:rsid w:val="00FA2F8F"/>
    <w:rsid w:val="00FA32A8"/>
    <w:rsid w:val="00FA338E"/>
    <w:rsid w:val="00FA37A6"/>
    <w:rsid w:val="00FA3857"/>
    <w:rsid w:val="00FA3C57"/>
    <w:rsid w:val="00FA3C59"/>
    <w:rsid w:val="00FA3D79"/>
    <w:rsid w:val="00FA42E6"/>
    <w:rsid w:val="00FA44F4"/>
    <w:rsid w:val="00FA465A"/>
    <w:rsid w:val="00FA4BE4"/>
    <w:rsid w:val="00FA55A7"/>
    <w:rsid w:val="00FA574C"/>
    <w:rsid w:val="00FA578F"/>
    <w:rsid w:val="00FA580C"/>
    <w:rsid w:val="00FA637A"/>
    <w:rsid w:val="00FA641C"/>
    <w:rsid w:val="00FA6603"/>
    <w:rsid w:val="00FA668A"/>
    <w:rsid w:val="00FA6B6A"/>
    <w:rsid w:val="00FA6CC5"/>
    <w:rsid w:val="00FA6D22"/>
    <w:rsid w:val="00FA75BD"/>
    <w:rsid w:val="00FA773B"/>
    <w:rsid w:val="00FA77D5"/>
    <w:rsid w:val="00FA7D3D"/>
    <w:rsid w:val="00FB0645"/>
    <w:rsid w:val="00FB06B9"/>
    <w:rsid w:val="00FB08FE"/>
    <w:rsid w:val="00FB0B7C"/>
    <w:rsid w:val="00FB0D7A"/>
    <w:rsid w:val="00FB140B"/>
    <w:rsid w:val="00FB1927"/>
    <w:rsid w:val="00FB19E5"/>
    <w:rsid w:val="00FB1F97"/>
    <w:rsid w:val="00FB207D"/>
    <w:rsid w:val="00FB2547"/>
    <w:rsid w:val="00FB25B7"/>
    <w:rsid w:val="00FB26F1"/>
    <w:rsid w:val="00FB2792"/>
    <w:rsid w:val="00FB28CA"/>
    <w:rsid w:val="00FB2C8E"/>
    <w:rsid w:val="00FB2DDA"/>
    <w:rsid w:val="00FB30F7"/>
    <w:rsid w:val="00FB3709"/>
    <w:rsid w:val="00FB3916"/>
    <w:rsid w:val="00FB3B17"/>
    <w:rsid w:val="00FB4298"/>
    <w:rsid w:val="00FB42EF"/>
    <w:rsid w:val="00FB44A5"/>
    <w:rsid w:val="00FB49A9"/>
    <w:rsid w:val="00FB4ACC"/>
    <w:rsid w:val="00FB4B0E"/>
    <w:rsid w:val="00FB4CEC"/>
    <w:rsid w:val="00FB4EFF"/>
    <w:rsid w:val="00FB5259"/>
    <w:rsid w:val="00FB5876"/>
    <w:rsid w:val="00FB5DA7"/>
    <w:rsid w:val="00FB608E"/>
    <w:rsid w:val="00FB6109"/>
    <w:rsid w:val="00FB629D"/>
    <w:rsid w:val="00FB629F"/>
    <w:rsid w:val="00FB6805"/>
    <w:rsid w:val="00FB682C"/>
    <w:rsid w:val="00FB6C35"/>
    <w:rsid w:val="00FB6D33"/>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0A7B"/>
    <w:rsid w:val="00FC19A5"/>
    <w:rsid w:val="00FC1C2D"/>
    <w:rsid w:val="00FC1EEF"/>
    <w:rsid w:val="00FC2312"/>
    <w:rsid w:val="00FC239D"/>
    <w:rsid w:val="00FC25BD"/>
    <w:rsid w:val="00FC2C67"/>
    <w:rsid w:val="00FC312A"/>
    <w:rsid w:val="00FC31C3"/>
    <w:rsid w:val="00FC32C3"/>
    <w:rsid w:val="00FC3443"/>
    <w:rsid w:val="00FC3565"/>
    <w:rsid w:val="00FC36A4"/>
    <w:rsid w:val="00FC38A0"/>
    <w:rsid w:val="00FC39EA"/>
    <w:rsid w:val="00FC3DF1"/>
    <w:rsid w:val="00FC3FBC"/>
    <w:rsid w:val="00FC44B8"/>
    <w:rsid w:val="00FC4556"/>
    <w:rsid w:val="00FC47CB"/>
    <w:rsid w:val="00FC4891"/>
    <w:rsid w:val="00FC4B1E"/>
    <w:rsid w:val="00FC4B49"/>
    <w:rsid w:val="00FC4DDA"/>
    <w:rsid w:val="00FC509A"/>
    <w:rsid w:val="00FC51C3"/>
    <w:rsid w:val="00FC531B"/>
    <w:rsid w:val="00FC5399"/>
    <w:rsid w:val="00FC569F"/>
    <w:rsid w:val="00FC5791"/>
    <w:rsid w:val="00FC5AC6"/>
    <w:rsid w:val="00FC5C94"/>
    <w:rsid w:val="00FC5D53"/>
    <w:rsid w:val="00FC5DF4"/>
    <w:rsid w:val="00FC6193"/>
    <w:rsid w:val="00FC636C"/>
    <w:rsid w:val="00FC6769"/>
    <w:rsid w:val="00FC6B3D"/>
    <w:rsid w:val="00FC6F0E"/>
    <w:rsid w:val="00FC7205"/>
    <w:rsid w:val="00FC7359"/>
    <w:rsid w:val="00FC73A8"/>
    <w:rsid w:val="00FC75F9"/>
    <w:rsid w:val="00FC77D5"/>
    <w:rsid w:val="00FC79CC"/>
    <w:rsid w:val="00FC7A2F"/>
    <w:rsid w:val="00FC7B10"/>
    <w:rsid w:val="00FC7B79"/>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01"/>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6382"/>
    <w:rsid w:val="00FD63D5"/>
    <w:rsid w:val="00FD63EC"/>
    <w:rsid w:val="00FD643E"/>
    <w:rsid w:val="00FD688A"/>
    <w:rsid w:val="00FD69C1"/>
    <w:rsid w:val="00FD6B8A"/>
    <w:rsid w:val="00FD71B3"/>
    <w:rsid w:val="00FD7238"/>
    <w:rsid w:val="00FD724A"/>
    <w:rsid w:val="00FD72C9"/>
    <w:rsid w:val="00FD740B"/>
    <w:rsid w:val="00FD74D7"/>
    <w:rsid w:val="00FD74E2"/>
    <w:rsid w:val="00FD75C2"/>
    <w:rsid w:val="00FD7745"/>
    <w:rsid w:val="00FD7AD7"/>
    <w:rsid w:val="00FD7C20"/>
    <w:rsid w:val="00FD7F04"/>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EF2"/>
    <w:rsid w:val="00FE34FF"/>
    <w:rsid w:val="00FE3BD5"/>
    <w:rsid w:val="00FE4303"/>
    <w:rsid w:val="00FE4673"/>
    <w:rsid w:val="00FE4A86"/>
    <w:rsid w:val="00FE4E8B"/>
    <w:rsid w:val="00FE501C"/>
    <w:rsid w:val="00FE5912"/>
    <w:rsid w:val="00FE5B97"/>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B72"/>
    <w:rsid w:val="00FE7DE4"/>
    <w:rsid w:val="00FE7E51"/>
    <w:rsid w:val="00FF0129"/>
    <w:rsid w:val="00FF01F2"/>
    <w:rsid w:val="00FF0230"/>
    <w:rsid w:val="00FF0682"/>
    <w:rsid w:val="00FF0A8B"/>
    <w:rsid w:val="00FF0F8D"/>
    <w:rsid w:val="00FF173C"/>
    <w:rsid w:val="00FF1A4A"/>
    <w:rsid w:val="00FF1C7B"/>
    <w:rsid w:val="00FF1C91"/>
    <w:rsid w:val="00FF1EAC"/>
    <w:rsid w:val="00FF1F82"/>
    <w:rsid w:val="00FF283F"/>
    <w:rsid w:val="00FF3007"/>
    <w:rsid w:val="00FF3081"/>
    <w:rsid w:val="00FF30D5"/>
    <w:rsid w:val="00FF332E"/>
    <w:rsid w:val="00FF3429"/>
    <w:rsid w:val="00FF3494"/>
    <w:rsid w:val="00FF34E7"/>
    <w:rsid w:val="00FF3A7B"/>
    <w:rsid w:val="00FF3B27"/>
    <w:rsid w:val="00FF3CF3"/>
    <w:rsid w:val="00FF404A"/>
    <w:rsid w:val="00FF43BA"/>
    <w:rsid w:val="00FF4787"/>
    <w:rsid w:val="00FF4A3C"/>
    <w:rsid w:val="00FF4B56"/>
    <w:rsid w:val="00FF5302"/>
    <w:rsid w:val="00FF5760"/>
    <w:rsid w:val="00FF583A"/>
    <w:rsid w:val="00FF5894"/>
    <w:rsid w:val="00FF6234"/>
    <w:rsid w:val="00FF67A7"/>
    <w:rsid w:val="00FF6CDD"/>
    <w:rsid w:val="00FF6FAE"/>
    <w:rsid w:val="00FF6FE7"/>
    <w:rsid w:val="00FF70E4"/>
    <w:rsid w:val="00FF73CE"/>
    <w:rsid w:val="00FF7C43"/>
    <w:rsid w:val="00FF7CE4"/>
    <w:rsid w:val="00FF7D32"/>
    <w:rsid w:val="00FF7D9D"/>
    <w:rsid w:val="00FF7ECF"/>
    <w:rsid w:val="01C34939"/>
    <w:rsid w:val="01F514B4"/>
    <w:rsid w:val="02212EB3"/>
    <w:rsid w:val="02557C87"/>
    <w:rsid w:val="02D22133"/>
    <w:rsid w:val="03823340"/>
    <w:rsid w:val="03B970F0"/>
    <w:rsid w:val="041D51A6"/>
    <w:rsid w:val="052971A9"/>
    <w:rsid w:val="05D435B9"/>
    <w:rsid w:val="061D5B72"/>
    <w:rsid w:val="06A63A2D"/>
    <w:rsid w:val="07190DE4"/>
    <w:rsid w:val="07617E4B"/>
    <w:rsid w:val="077933A8"/>
    <w:rsid w:val="0792362F"/>
    <w:rsid w:val="09143FF4"/>
    <w:rsid w:val="09B56331"/>
    <w:rsid w:val="0A20193A"/>
    <w:rsid w:val="0AC84DDC"/>
    <w:rsid w:val="0BFB0882"/>
    <w:rsid w:val="0C5B233E"/>
    <w:rsid w:val="0D8D4BFE"/>
    <w:rsid w:val="0EA24CE4"/>
    <w:rsid w:val="0EAC61B5"/>
    <w:rsid w:val="0EB67D00"/>
    <w:rsid w:val="0F156474"/>
    <w:rsid w:val="0F6C3C11"/>
    <w:rsid w:val="0FDD12BC"/>
    <w:rsid w:val="10317EDF"/>
    <w:rsid w:val="10C83D1A"/>
    <w:rsid w:val="10D901DA"/>
    <w:rsid w:val="1116646D"/>
    <w:rsid w:val="12A65A60"/>
    <w:rsid w:val="12DE544F"/>
    <w:rsid w:val="13040194"/>
    <w:rsid w:val="13974C96"/>
    <w:rsid w:val="140C27C8"/>
    <w:rsid w:val="154A4EFD"/>
    <w:rsid w:val="15B023D9"/>
    <w:rsid w:val="15E40777"/>
    <w:rsid w:val="16340AC5"/>
    <w:rsid w:val="16400302"/>
    <w:rsid w:val="16437BC1"/>
    <w:rsid w:val="17174C30"/>
    <w:rsid w:val="172E2907"/>
    <w:rsid w:val="177D585E"/>
    <w:rsid w:val="17EC1B01"/>
    <w:rsid w:val="19616BB7"/>
    <w:rsid w:val="19630A84"/>
    <w:rsid w:val="1AEB2E1B"/>
    <w:rsid w:val="1B064123"/>
    <w:rsid w:val="1B1D59FF"/>
    <w:rsid w:val="1BA20A7F"/>
    <w:rsid w:val="1C35495A"/>
    <w:rsid w:val="1C5D7845"/>
    <w:rsid w:val="1C6F14EE"/>
    <w:rsid w:val="1CA622EA"/>
    <w:rsid w:val="1DA449BC"/>
    <w:rsid w:val="1E3B422F"/>
    <w:rsid w:val="1E6F0F9D"/>
    <w:rsid w:val="1E9216C6"/>
    <w:rsid w:val="1F3F10C0"/>
    <w:rsid w:val="1F5555B0"/>
    <w:rsid w:val="1F6D6253"/>
    <w:rsid w:val="1FDE0E64"/>
    <w:rsid w:val="21074137"/>
    <w:rsid w:val="21354019"/>
    <w:rsid w:val="21D50045"/>
    <w:rsid w:val="22C1420A"/>
    <w:rsid w:val="234E6D85"/>
    <w:rsid w:val="249F0D42"/>
    <w:rsid w:val="25305B1A"/>
    <w:rsid w:val="256C6F12"/>
    <w:rsid w:val="259D1BEA"/>
    <w:rsid w:val="26231252"/>
    <w:rsid w:val="267B7DBB"/>
    <w:rsid w:val="279F5601"/>
    <w:rsid w:val="286F3F1D"/>
    <w:rsid w:val="28A569C3"/>
    <w:rsid w:val="28C606E7"/>
    <w:rsid w:val="29306C0D"/>
    <w:rsid w:val="29437F8A"/>
    <w:rsid w:val="298B67B5"/>
    <w:rsid w:val="2A871D28"/>
    <w:rsid w:val="2AC00CEB"/>
    <w:rsid w:val="2B5A4D88"/>
    <w:rsid w:val="2BA67788"/>
    <w:rsid w:val="2BE21CDC"/>
    <w:rsid w:val="2BEB5F10"/>
    <w:rsid w:val="2C387B4E"/>
    <w:rsid w:val="2D10608A"/>
    <w:rsid w:val="2DB54EE2"/>
    <w:rsid w:val="2E3534B6"/>
    <w:rsid w:val="2EFF5794"/>
    <w:rsid w:val="2F7075FF"/>
    <w:rsid w:val="2FAB2D84"/>
    <w:rsid w:val="2FF16992"/>
    <w:rsid w:val="30E43E01"/>
    <w:rsid w:val="31113BBA"/>
    <w:rsid w:val="315A3C75"/>
    <w:rsid w:val="31A57DD0"/>
    <w:rsid w:val="31F673BD"/>
    <w:rsid w:val="32292413"/>
    <w:rsid w:val="328A09D8"/>
    <w:rsid w:val="32B617CD"/>
    <w:rsid w:val="32B73501"/>
    <w:rsid w:val="331F12CB"/>
    <w:rsid w:val="331F3816"/>
    <w:rsid w:val="33D93C6A"/>
    <w:rsid w:val="340D5E53"/>
    <w:rsid w:val="342F775E"/>
    <w:rsid w:val="34D7152B"/>
    <w:rsid w:val="35381848"/>
    <w:rsid w:val="367E4DAB"/>
    <w:rsid w:val="368A15E2"/>
    <w:rsid w:val="36FB371F"/>
    <w:rsid w:val="3770016C"/>
    <w:rsid w:val="382E5249"/>
    <w:rsid w:val="390D6C9F"/>
    <w:rsid w:val="39427657"/>
    <w:rsid w:val="39DE449F"/>
    <w:rsid w:val="3A157721"/>
    <w:rsid w:val="3A797CAF"/>
    <w:rsid w:val="3B053DAA"/>
    <w:rsid w:val="3B7D37CF"/>
    <w:rsid w:val="3BA04F7B"/>
    <w:rsid w:val="3C1D1C42"/>
    <w:rsid w:val="3C8B5A78"/>
    <w:rsid w:val="3CB81A1A"/>
    <w:rsid w:val="3D5B18EE"/>
    <w:rsid w:val="3D9A304F"/>
    <w:rsid w:val="3DC01751"/>
    <w:rsid w:val="3DF35F31"/>
    <w:rsid w:val="3E0962E8"/>
    <w:rsid w:val="3E247F32"/>
    <w:rsid w:val="3E4F4EDF"/>
    <w:rsid w:val="3EE05346"/>
    <w:rsid w:val="3F3348D1"/>
    <w:rsid w:val="3FE66C87"/>
    <w:rsid w:val="401D10DD"/>
    <w:rsid w:val="40A33EBE"/>
    <w:rsid w:val="41943621"/>
    <w:rsid w:val="41B33AA7"/>
    <w:rsid w:val="425374DB"/>
    <w:rsid w:val="42A43E08"/>
    <w:rsid w:val="42B00A68"/>
    <w:rsid w:val="434B7D0F"/>
    <w:rsid w:val="44293594"/>
    <w:rsid w:val="444A1049"/>
    <w:rsid w:val="445C2E1F"/>
    <w:rsid w:val="446C48FA"/>
    <w:rsid w:val="44CF24A6"/>
    <w:rsid w:val="44EE2A48"/>
    <w:rsid w:val="4529041E"/>
    <w:rsid w:val="45782867"/>
    <w:rsid w:val="474D4656"/>
    <w:rsid w:val="481903DC"/>
    <w:rsid w:val="48645AFB"/>
    <w:rsid w:val="48A405ED"/>
    <w:rsid w:val="48D02123"/>
    <w:rsid w:val="490078DD"/>
    <w:rsid w:val="496514AE"/>
    <w:rsid w:val="49DD7E89"/>
    <w:rsid w:val="4A6D2623"/>
    <w:rsid w:val="4AD80720"/>
    <w:rsid w:val="4AEB2504"/>
    <w:rsid w:val="4BBC79FC"/>
    <w:rsid w:val="4BD53352"/>
    <w:rsid w:val="4BEF7DD1"/>
    <w:rsid w:val="4BF42CB2"/>
    <w:rsid w:val="4C4B68D8"/>
    <w:rsid w:val="4D730F77"/>
    <w:rsid w:val="4E260A37"/>
    <w:rsid w:val="4E631F6B"/>
    <w:rsid w:val="4EC40EDF"/>
    <w:rsid w:val="4F8D0FA0"/>
    <w:rsid w:val="4FF82FCD"/>
    <w:rsid w:val="50AA44B5"/>
    <w:rsid w:val="50C30F6B"/>
    <w:rsid w:val="51D87B8B"/>
    <w:rsid w:val="523B637E"/>
    <w:rsid w:val="523B6B55"/>
    <w:rsid w:val="52C942A3"/>
    <w:rsid w:val="533B6E8F"/>
    <w:rsid w:val="536219CD"/>
    <w:rsid w:val="54136627"/>
    <w:rsid w:val="54680721"/>
    <w:rsid w:val="5485313C"/>
    <w:rsid w:val="54CF3B47"/>
    <w:rsid w:val="54EA585A"/>
    <w:rsid w:val="556F2C44"/>
    <w:rsid w:val="561D3097"/>
    <w:rsid w:val="56694C24"/>
    <w:rsid w:val="56A220A1"/>
    <w:rsid w:val="57B07EB2"/>
    <w:rsid w:val="591E5852"/>
    <w:rsid w:val="59417793"/>
    <w:rsid w:val="59872F4E"/>
    <w:rsid w:val="59C32517"/>
    <w:rsid w:val="5A18626A"/>
    <w:rsid w:val="5A8211B5"/>
    <w:rsid w:val="5AAA7829"/>
    <w:rsid w:val="5AF77768"/>
    <w:rsid w:val="5B246756"/>
    <w:rsid w:val="5C292E8C"/>
    <w:rsid w:val="5C2D3FFE"/>
    <w:rsid w:val="5D0B0514"/>
    <w:rsid w:val="5D0E755B"/>
    <w:rsid w:val="5D5522D8"/>
    <w:rsid w:val="5D842285"/>
    <w:rsid w:val="5DE95770"/>
    <w:rsid w:val="5DFB7E00"/>
    <w:rsid w:val="5DFF42F1"/>
    <w:rsid w:val="5E404205"/>
    <w:rsid w:val="5EF86CD7"/>
    <w:rsid w:val="5FD55708"/>
    <w:rsid w:val="60E36F94"/>
    <w:rsid w:val="61866BC2"/>
    <w:rsid w:val="619A2136"/>
    <w:rsid w:val="625D3F67"/>
    <w:rsid w:val="63D46F5A"/>
    <w:rsid w:val="63DC63DB"/>
    <w:rsid w:val="643422A0"/>
    <w:rsid w:val="6453523B"/>
    <w:rsid w:val="64C52D0C"/>
    <w:rsid w:val="64FB113D"/>
    <w:rsid w:val="65104A12"/>
    <w:rsid w:val="656C75B4"/>
    <w:rsid w:val="660202AA"/>
    <w:rsid w:val="661701F9"/>
    <w:rsid w:val="665118F0"/>
    <w:rsid w:val="670F2C7E"/>
    <w:rsid w:val="675471B4"/>
    <w:rsid w:val="67AD7118"/>
    <w:rsid w:val="686514F6"/>
    <w:rsid w:val="689751C8"/>
    <w:rsid w:val="6908399C"/>
    <w:rsid w:val="69413FD0"/>
    <w:rsid w:val="699E04AA"/>
    <w:rsid w:val="6A68435D"/>
    <w:rsid w:val="6A7A7CFD"/>
    <w:rsid w:val="6B6712DB"/>
    <w:rsid w:val="6B7806ED"/>
    <w:rsid w:val="6BAD2BE9"/>
    <w:rsid w:val="6BE60F8E"/>
    <w:rsid w:val="6D0A4613"/>
    <w:rsid w:val="6D517F78"/>
    <w:rsid w:val="6E0111A1"/>
    <w:rsid w:val="6F701D89"/>
    <w:rsid w:val="6FD257C0"/>
    <w:rsid w:val="6FFD6411"/>
    <w:rsid w:val="702316C8"/>
    <w:rsid w:val="70A66BCE"/>
    <w:rsid w:val="70FD60A7"/>
    <w:rsid w:val="71524E6B"/>
    <w:rsid w:val="7162078D"/>
    <w:rsid w:val="71961551"/>
    <w:rsid w:val="7224762D"/>
    <w:rsid w:val="73D6524F"/>
    <w:rsid w:val="74026044"/>
    <w:rsid w:val="74513E69"/>
    <w:rsid w:val="74BA5A22"/>
    <w:rsid w:val="74E4574A"/>
    <w:rsid w:val="74E90FB2"/>
    <w:rsid w:val="750E4BC7"/>
    <w:rsid w:val="758D4034"/>
    <w:rsid w:val="75AD10D5"/>
    <w:rsid w:val="767E39AC"/>
    <w:rsid w:val="76CC293A"/>
    <w:rsid w:val="773F330C"/>
    <w:rsid w:val="776414F4"/>
    <w:rsid w:val="77B71B61"/>
    <w:rsid w:val="77E45F8A"/>
    <w:rsid w:val="78496600"/>
    <w:rsid w:val="78702519"/>
    <w:rsid w:val="78B02B77"/>
    <w:rsid w:val="78E421BD"/>
    <w:rsid w:val="797D1F75"/>
    <w:rsid w:val="79A61220"/>
    <w:rsid w:val="79E93803"/>
    <w:rsid w:val="7A082816"/>
    <w:rsid w:val="7A2367A2"/>
    <w:rsid w:val="7A7E03EF"/>
    <w:rsid w:val="7AEE774C"/>
    <w:rsid w:val="7B8F3F36"/>
    <w:rsid w:val="7BF9014E"/>
    <w:rsid w:val="7C344885"/>
    <w:rsid w:val="7C9A5D4E"/>
    <w:rsid w:val="7DBE5DCD"/>
    <w:rsid w:val="7DC90BCD"/>
    <w:rsid w:val="7E0429B9"/>
    <w:rsid w:val="7EA41AD1"/>
    <w:rsid w:val="7EC3398D"/>
    <w:rsid w:val="7EC804B9"/>
    <w:rsid w:val="7ED85D0A"/>
    <w:rsid w:val="7F277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0"/>
    <w:autoRedefine/>
    <w:qFormat/>
    <w:uiPriority w:val="0"/>
    <w:pPr>
      <w:keepNext/>
      <w:spacing w:line="380" w:lineRule="exact"/>
      <w:jc w:val="center"/>
      <w:outlineLvl w:val="0"/>
    </w:pPr>
    <w:rPr>
      <w:rFonts w:ascii="宋体" w:cs="宋体"/>
      <w:b/>
      <w:bCs/>
      <w:sz w:val="28"/>
      <w:szCs w:val="28"/>
    </w:rPr>
  </w:style>
  <w:style w:type="paragraph" w:styleId="4">
    <w:name w:val="heading 2"/>
    <w:basedOn w:val="1"/>
    <w:next w:val="1"/>
    <w:autoRedefine/>
    <w:qFormat/>
    <w:uiPriority w:val="0"/>
    <w:pPr>
      <w:keepNext/>
      <w:keepLines/>
      <w:tabs>
        <w:tab w:val="left" w:pos="560"/>
      </w:tabs>
      <w:spacing w:beforeLines="50" w:afterLines="50" w:line="420" w:lineRule="atLeast"/>
      <w:outlineLvl w:val="1"/>
    </w:pPr>
    <w:rPr>
      <w:rFonts w:ascii="宋体" w:hAnsi="宋体" w:cs="宋体"/>
      <w:b/>
      <w:bCs/>
    </w:rPr>
  </w:style>
  <w:style w:type="paragraph" w:styleId="5">
    <w:name w:val="heading 3"/>
    <w:basedOn w:val="1"/>
    <w:next w:val="1"/>
    <w:link w:val="147"/>
    <w:autoRedefine/>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6">
    <w:name w:val="heading 4"/>
    <w:basedOn w:val="1"/>
    <w:next w:val="1"/>
    <w:link w:val="125"/>
    <w:autoRedefine/>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7">
    <w:name w:val="heading 5"/>
    <w:basedOn w:val="1"/>
    <w:next w:val="1"/>
    <w:link w:val="162"/>
    <w:autoRedefine/>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autoRedefine/>
    <w:qFormat/>
    <w:uiPriority w:val="0"/>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180"/>
    <w:autoRedefine/>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0">
    <w:name w:val="heading 8"/>
    <w:basedOn w:val="1"/>
    <w:next w:val="1"/>
    <w:link w:val="202"/>
    <w:autoRedefine/>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1">
    <w:name w:val="heading 9"/>
    <w:basedOn w:val="1"/>
    <w:next w:val="1"/>
    <w:link w:val="157"/>
    <w:autoRedefine/>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List Number"/>
    <w:basedOn w:val="1"/>
    <w:next w:val="13"/>
    <w:autoRedefine/>
    <w:qFormat/>
    <w:uiPriority w:val="0"/>
    <w:pPr>
      <w:widowControl/>
      <w:tabs>
        <w:tab w:val="left" w:pos="440"/>
        <w:tab w:val="left" w:pos="720"/>
        <w:tab w:val="left" w:pos="900"/>
      </w:tabs>
      <w:spacing w:afterLines="50"/>
      <w:jc w:val="left"/>
    </w:pPr>
    <w:rPr>
      <w:kern w:val="0"/>
      <w:sz w:val="24"/>
      <w:szCs w:val="20"/>
    </w:rPr>
  </w:style>
  <w:style w:type="paragraph" w:styleId="13">
    <w:name w:val="Balloon Text"/>
    <w:basedOn w:val="1"/>
    <w:next w:val="14"/>
    <w:link w:val="120"/>
    <w:autoRedefine/>
    <w:qFormat/>
    <w:uiPriority w:val="0"/>
    <w:rPr>
      <w:sz w:val="18"/>
      <w:szCs w:val="18"/>
    </w:rPr>
  </w:style>
  <w:style w:type="paragraph" w:styleId="14">
    <w:name w:val="toc 8"/>
    <w:basedOn w:val="1"/>
    <w:next w:val="1"/>
    <w:autoRedefine/>
    <w:qFormat/>
    <w:uiPriority w:val="0"/>
    <w:pPr>
      <w:ind w:left="1680"/>
      <w:jc w:val="left"/>
    </w:pPr>
    <w:rPr>
      <w:rFonts w:ascii="Calibri"/>
      <w:sz w:val="18"/>
      <w:szCs w:val="18"/>
    </w:rPr>
  </w:style>
  <w:style w:type="paragraph" w:styleId="15">
    <w:name w:val="Normal Indent"/>
    <w:basedOn w:val="1"/>
    <w:link w:val="103"/>
    <w:autoRedefine/>
    <w:qFormat/>
    <w:uiPriority w:val="99"/>
    <w:pPr>
      <w:ind w:firstLine="420" w:firstLineChars="200"/>
    </w:pPr>
    <w:rPr>
      <w:sz w:val="24"/>
      <w:szCs w:val="24"/>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181"/>
    <w:autoRedefine/>
    <w:qFormat/>
    <w:uiPriority w:val="0"/>
    <w:pPr>
      <w:shd w:val="clear" w:color="auto" w:fill="000080"/>
    </w:pPr>
  </w:style>
  <w:style w:type="paragraph" w:styleId="18">
    <w:name w:val="annotation text"/>
    <w:basedOn w:val="1"/>
    <w:link w:val="193"/>
    <w:autoRedefine/>
    <w:qFormat/>
    <w:uiPriority w:val="0"/>
    <w:pPr>
      <w:jc w:val="left"/>
    </w:pPr>
  </w:style>
  <w:style w:type="paragraph" w:styleId="19">
    <w:name w:val="Body Text 3"/>
    <w:basedOn w:val="1"/>
    <w:link w:val="86"/>
    <w:autoRedefine/>
    <w:qFormat/>
    <w:uiPriority w:val="0"/>
    <w:pPr>
      <w:spacing w:after="120" w:line="360" w:lineRule="auto"/>
    </w:pPr>
    <w:rPr>
      <w:rFonts w:eastAsia="方正书宋简体"/>
      <w:sz w:val="24"/>
      <w:szCs w:val="24"/>
    </w:rPr>
  </w:style>
  <w:style w:type="paragraph" w:styleId="20">
    <w:name w:val="Body Text"/>
    <w:basedOn w:val="1"/>
    <w:link w:val="114"/>
    <w:autoRedefine/>
    <w:qFormat/>
    <w:uiPriority w:val="0"/>
    <w:rPr>
      <w:i/>
      <w:iCs/>
      <w:sz w:val="18"/>
      <w:szCs w:val="18"/>
    </w:rPr>
  </w:style>
  <w:style w:type="paragraph" w:styleId="21">
    <w:name w:val="Body Text Indent"/>
    <w:basedOn w:val="1"/>
    <w:next w:val="1"/>
    <w:autoRedefine/>
    <w:qFormat/>
    <w:uiPriority w:val="0"/>
    <w:pPr>
      <w:spacing w:line="380" w:lineRule="atLeast"/>
      <w:ind w:firstLine="480"/>
    </w:pPr>
    <w:rPr>
      <w:rFonts w:eastAsia="方正书宋简体"/>
      <w:sz w:val="24"/>
      <w:szCs w:val="24"/>
    </w:rPr>
  </w:style>
  <w:style w:type="paragraph" w:styleId="22">
    <w:name w:val="List Number 3"/>
    <w:basedOn w:val="1"/>
    <w:autoRedefine/>
    <w:qFormat/>
    <w:uiPriority w:val="0"/>
    <w:pPr>
      <w:widowControl/>
      <w:tabs>
        <w:tab w:val="left" w:pos="482"/>
      </w:tabs>
      <w:spacing w:afterLines="50"/>
      <w:ind w:left="482" w:hanging="340"/>
      <w:jc w:val="left"/>
    </w:pPr>
    <w:rPr>
      <w:kern w:val="0"/>
      <w:sz w:val="24"/>
      <w:szCs w:val="24"/>
    </w:rPr>
  </w:style>
  <w:style w:type="paragraph" w:styleId="23">
    <w:name w:val="List 2"/>
    <w:basedOn w:val="1"/>
    <w:autoRedefine/>
    <w:qFormat/>
    <w:uiPriority w:val="0"/>
    <w:pPr>
      <w:ind w:left="100" w:leftChars="200" w:hanging="200" w:hangingChars="200"/>
    </w:pPr>
    <w:rPr>
      <w:sz w:val="28"/>
      <w:szCs w:val="24"/>
    </w:rPr>
  </w:style>
  <w:style w:type="paragraph" w:styleId="24">
    <w:name w:val="List Bullet 2"/>
    <w:basedOn w:val="1"/>
    <w:autoRedefine/>
    <w:qFormat/>
    <w:uiPriority w:val="0"/>
    <w:pPr>
      <w:tabs>
        <w:tab w:val="left" w:pos="2130"/>
      </w:tabs>
      <w:spacing w:line="300" w:lineRule="auto"/>
      <w:ind w:left="200" w:leftChars="200" w:hanging="200" w:hangingChars="200"/>
    </w:pPr>
    <w:rPr>
      <w:spacing w:val="10"/>
      <w:sz w:val="24"/>
      <w:szCs w:val="24"/>
    </w:rPr>
  </w:style>
  <w:style w:type="paragraph" w:styleId="25">
    <w:name w:val="toc 3"/>
    <w:basedOn w:val="1"/>
    <w:next w:val="1"/>
    <w:autoRedefine/>
    <w:qFormat/>
    <w:uiPriority w:val="0"/>
    <w:pPr>
      <w:spacing w:line="360" w:lineRule="auto"/>
      <w:ind w:left="480" w:firstLine="200" w:firstLineChars="200"/>
      <w:jc w:val="left"/>
    </w:pPr>
    <w:rPr>
      <w:i/>
      <w:iCs/>
      <w:sz w:val="20"/>
      <w:szCs w:val="20"/>
    </w:rPr>
  </w:style>
  <w:style w:type="paragraph" w:styleId="26">
    <w:name w:val="Plain Text"/>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27">
    <w:name w:val="Date"/>
    <w:basedOn w:val="1"/>
    <w:next w:val="1"/>
    <w:link w:val="203"/>
    <w:autoRedefine/>
    <w:qFormat/>
    <w:uiPriority w:val="0"/>
    <w:pPr>
      <w:adjustRightInd w:val="0"/>
      <w:spacing w:line="312" w:lineRule="atLeast"/>
      <w:jc w:val="right"/>
      <w:textAlignment w:val="baseline"/>
    </w:pPr>
    <w:rPr>
      <w:rFonts w:ascii="宋体" w:cs="宋体"/>
      <w:kern w:val="0"/>
      <w:sz w:val="24"/>
      <w:szCs w:val="24"/>
    </w:rPr>
  </w:style>
  <w:style w:type="paragraph" w:styleId="28">
    <w:name w:val="Body Text Indent 2"/>
    <w:basedOn w:val="1"/>
    <w:link w:val="156"/>
    <w:autoRedefine/>
    <w:qFormat/>
    <w:uiPriority w:val="0"/>
    <w:pPr>
      <w:spacing w:line="380" w:lineRule="exact"/>
      <w:ind w:left="840" w:hanging="45"/>
    </w:pPr>
    <w:rPr>
      <w:rFonts w:ascii="宋体" w:cs="宋体"/>
      <w:sz w:val="24"/>
      <w:szCs w:val="24"/>
    </w:rPr>
  </w:style>
  <w:style w:type="paragraph" w:styleId="29">
    <w:name w:val="footer"/>
    <w:basedOn w:val="1"/>
    <w:autoRedefine/>
    <w:qFormat/>
    <w:uiPriority w:val="0"/>
    <w:pPr>
      <w:tabs>
        <w:tab w:val="center" w:pos="4140"/>
        <w:tab w:val="right" w:pos="8300"/>
      </w:tabs>
      <w:snapToGrid w:val="0"/>
      <w:jc w:val="left"/>
    </w:pPr>
    <w:rPr>
      <w:sz w:val="18"/>
      <w:szCs w:val="18"/>
    </w:rPr>
  </w:style>
  <w:style w:type="paragraph" w:styleId="30">
    <w:name w:val="header"/>
    <w:basedOn w:val="1"/>
    <w:autoRedefine/>
    <w:qFormat/>
    <w:uiPriority w:val="0"/>
    <w:pPr>
      <w:pBdr>
        <w:bottom w:val="single" w:color="auto" w:sz="6" w:space="1"/>
      </w:pBdr>
      <w:tabs>
        <w:tab w:val="center" w:pos="4140"/>
        <w:tab w:val="right" w:pos="8300"/>
      </w:tabs>
      <w:snapToGrid w:val="0"/>
      <w:jc w:val="center"/>
    </w:pPr>
    <w:rPr>
      <w:sz w:val="18"/>
      <w:szCs w:val="18"/>
    </w:rPr>
  </w:style>
  <w:style w:type="paragraph" w:styleId="31">
    <w:name w:val="toc 1"/>
    <w:basedOn w:val="1"/>
    <w:next w:val="1"/>
    <w:autoRedefine/>
    <w:qFormat/>
    <w:uiPriority w:val="0"/>
  </w:style>
  <w:style w:type="paragraph" w:styleId="32">
    <w:name w:val="Subtitle"/>
    <w:basedOn w:val="1"/>
    <w:next w:val="1"/>
    <w:link w:val="136"/>
    <w:autoRedefine/>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3">
    <w:name w:val="List Number 5"/>
    <w:basedOn w:val="1"/>
    <w:autoRedefine/>
    <w:qFormat/>
    <w:uiPriority w:val="0"/>
    <w:pPr>
      <w:tabs>
        <w:tab w:val="left" w:pos="2608"/>
      </w:tabs>
      <w:spacing w:line="360" w:lineRule="auto"/>
      <w:ind w:left="840" w:hanging="360"/>
    </w:pPr>
    <w:rPr>
      <w:sz w:val="24"/>
      <w:szCs w:val="24"/>
    </w:rPr>
  </w:style>
  <w:style w:type="paragraph" w:styleId="34">
    <w:name w:val="List"/>
    <w:basedOn w:val="1"/>
    <w:autoRedefine/>
    <w:qFormat/>
    <w:uiPriority w:val="0"/>
    <w:pPr>
      <w:ind w:left="200" w:hanging="200" w:hangingChars="200"/>
    </w:pPr>
    <w:rPr>
      <w:sz w:val="28"/>
      <w:szCs w:val="24"/>
    </w:rPr>
  </w:style>
  <w:style w:type="paragraph" w:styleId="35">
    <w:name w:val="footnote text"/>
    <w:basedOn w:val="1"/>
    <w:link w:val="126"/>
    <w:autoRedefine/>
    <w:qFormat/>
    <w:uiPriority w:val="0"/>
    <w:pPr>
      <w:adjustRightInd w:val="0"/>
      <w:snapToGrid w:val="0"/>
      <w:spacing w:before="60" w:line="360" w:lineRule="atLeast"/>
      <w:ind w:firstLine="482"/>
      <w:jc w:val="left"/>
      <w:textAlignment w:val="baseline"/>
    </w:pPr>
    <w:rPr>
      <w:kern w:val="0"/>
      <w:sz w:val="18"/>
      <w:szCs w:val="24"/>
    </w:rPr>
  </w:style>
  <w:style w:type="paragraph" w:styleId="36">
    <w:name w:val="Body Text Indent 3"/>
    <w:basedOn w:val="1"/>
    <w:link w:val="187"/>
    <w:autoRedefine/>
    <w:qFormat/>
    <w:uiPriority w:val="0"/>
    <w:pPr>
      <w:spacing w:line="380" w:lineRule="exact"/>
      <w:ind w:left="525"/>
    </w:pPr>
    <w:rPr>
      <w:rFonts w:ascii="宋体" w:cs="宋体"/>
      <w:sz w:val="24"/>
      <w:szCs w:val="24"/>
    </w:rPr>
  </w:style>
  <w:style w:type="paragraph" w:styleId="37">
    <w:name w:val="toc 2"/>
    <w:basedOn w:val="1"/>
    <w:next w:val="1"/>
    <w:autoRedefine/>
    <w:qFormat/>
    <w:uiPriority w:val="0"/>
    <w:pPr>
      <w:ind w:left="420" w:leftChars="200"/>
    </w:pPr>
    <w:rPr>
      <w:szCs w:val="24"/>
    </w:rPr>
  </w:style>
  <w:style w:type="paragraph" w:styleId="38">
    <w:name w:val="Body Text 2"/>
    <w:basedOn w:val="1"/>
    <w:link w:val="141"/>
    <w:autoRedefine/>
    <w:qFormat/>
    <w:uiPriority w:val="0"/>
    <w:pPr>
      <w:spacing w:after="120" w:line="480" w:lineRule="auto"/>
    </w:pPr>
    <w:rPr>
      <w:kern w:val="0"/>
      <w:sz w:val="24"/>
      <w:szCs w:val="24"/>
    </w:rPr>
  </w:style>
  <w:style w:type="paragraph" w:styleId="39">
    <w:name w:val="HTML Preformatted"/>
    <w:basedOn w:val="1"/>
    <w:link w:val="101"/>
    <w:autoRedefine/>
    <w:qFormat/>
    <w:uiPriority w:val="0"/>
    <w:rPr>
      <w:rFonts w:ascii="Courier New" w:hAnsi="Courier New" w:cs="Courier New"/>
      <w:sz w:val="20"/>
      <w:szCs w:val="20"/>
    </w:rPr>
  </w:style>
  <w:style w:type="paragraph" w:styleId="40">
    <w:name w:val="Normal (Web)"/>
    <w:basedOn w:val="1"/>
    <w:link w:val="118"/>
    <w:autoRedefine/>
    <w:qFormat/>
    <w:uiPriority w:val="0"/>
    <w:pPr>
      <w:widowControl/>
      <w:spacing w:before="100" w:beforeAutospacing="1" w:after="100" w:afterAutospacing="1" w:line="300" w:lineRule="atLeast"/>
      <w:jc w:val="left"/>
    </w:pPr>
    <w:rPr>
      <w:rFonts w:ascii="宋体" w:hAnsi="宋体"/>
      <w:kern w:val="0"/>
      <w:sz w:val="24"/>
      <w:szCs w:val="24"/>
    </w:rPr>
  </w:style>
  <w:style w:type="paragraph" w:styleId="41">
    <w:name w:val="Title"/>
    <w:basedOn w:val="1"/>
    <w:link w:val="500"/>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121"/>
    <w:autoRedefine/>
    <w:qFormat/>
    <w:uiPriority w:val="0"/>
    <w:rPr>
      <w:b/>
      <w:bCs/>
    </w:rPr>
  </w:style>
  <w:style w:type="paragraph" w:styleId="43">
    <w:name w:val="Body Text First Indent"/>
    <w:basedOn w:val="20"/>
    <w:link w:val="85"/>
    <w:autoRedefine/>
    <w:qFormat/>
    <w:uiPriority w:val="0"/>
    <w:pPr>
      <w:spacing w:after="120"/>
      <w:ind w:firstLine="420" w:firstLineChars="100"/>
    </w:pPr>
    <w:rPr>
      <w:sz w:val="21"/>
      <w:szCs w:val="21"/>
    </w:rPr>
  </w:style>
  <w:style w:type="paragraph" w:styleId="44">
    <w:name w:val="Body Text First Indent 2"/>
    <w:basedOn w:val="21"/>
    <w:next w:val="1"/>
    <w:link w:val="119"/>
    <w:autoRedefine/>
    <w:qFormat/>
    <w:uiPriority w:val="0"/>
    <w:pPr>
      <w:spacing w:after="120" w:line="360" w:lineRule="auto"/>
      <w:ind w:left="420" w:leftChars="200" w:firstLine="420" w:firstLineChars="200"/>
    </w:pPr>
    <w:rPr>
      <w:rFonts w:ascii="宋体" w:hAnsi="Courier New" w:eastAsia="宋体"/>
      <w:spacing w:val="-4"/>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rFonts w:ascii="Times New Roman" w:hAnsi="Times New Roman" w:eastAsia="宋体" w:cs="Times New Roman"/>
      <w:b/>
      <w:bCs/>
    </w:rPr>
  </w:style>
  <w:style w:type="character" w:styleId="49">
    <w:name w:val="page number"/>
    <w:autoRedefine/>
    <w:qFormat/>
    <w:uiPriority w:val="0"/>
    <w:rPr>
      <w:rFonts w:ascii="Times New Roman" w:hAnsi="Times New Roman" w:eastAsia="宋体" w:cs="Times New Roman"/>
    </w:rPr>
  </w:style>
  <w:style w:type="character" w:styleId="50">
    <w:name w:val="FollowedHyperlink"/>
    <w:autoRedefine/>
    <w:qFormat/>
    <w:uiPriority w:val="0"/>
    <w:rPr>
      <w:rFonts w:ascii="Times New Roman" w:hAnsi="Times New Roman" w:eastAsia="宋体" w:cs="Times New Roman"/>
      <w:color w:val="800080"/>
      <w:u w:val="single"/>
    </w:rPr>
  </w:style>
  <w:style w:type="character" w:styleId="51">
    <w:name w:val="HTML Typewriter"/>
    <w:autoRedefine/>
    <w:qFormat/>
    <w:uiPriority w:val="0"/>
    <w:rPr>
      <w:rFonts w:ascii="Courier New" w:hAnsi="Courier New" w:eastAsia="宋体" w:cs="Courier New"/>
      <w:sz w:val="20"/>
      <w:szCs w:val="20"/>
    </w:rPr>
  </w:style>
  <w:style w:type="character" w:styleId="52">
    <w:name w:val="Hyperlink"/>
    <w:autoRedefine/>
    <w:qFormat/>
    <w:uiPriority w:val="0"/>
    <w:rPr>
      <w:rFonts w:ascii="Times New Roman" w:hAnsi="Times New Roman" w:eastAsia="宋体" w:cs="Times New Roman"/>
      <w:color w:val="0000FF"/>
      <w:u w:val="single"/>
    </w:rPr>
  </w:style>
  <w:style w:type="character" w:styleId="53">
    <w:name w:val="annotation reference"/>
    <w:autoRedefine/>
    <w:qFormat/>
    <w:uiPriority w:val="0"/>
    <w:rPr>
      <w:rFonts w:ascii="Times New Roman" w:hAnsi="Times New Roman" w:eastAsia="宋体" w:cs="Times New Roman"/>
      <w:sz w:val="21"/>
      <w:szCs w:val="21"/>
    </w:rPr>
  </w:style>
  <w:style w:type="character" w:customStyle="1" w:styleId="54">
    <w:name w:val="图 Char Char"/>
    <w:autoRedefine/>
    <w:qFormat/>
    <w:uiPriority w:val="0"/>
    <w:rPr>
      <w:rFonts w:ascii="Times New Roman" w:hAnsi="Times New Roman" w:eastAsia="黑体" w:cs="Times New Roman"/>
      <w:b/>
      <w:sz w:val="24"/>
    </w:rPr>
  </w:style>
  <w:style w:type="character" w:customStyle="1" w:styleId="55">
    <w:name w:val="样式4 Char"/>
    <w:link w:val="56"/>
    <w:autoRedefine/>
    <w:qFormat/>
    <w:uiPriority w:val="0"/>
    <w:rPr>
      <w:rFonts w:ascii="黑体" w:hAnsi="黑体" w:eastAsia="黑体" w:cs="Times New Roman"/>
      <w:kern w:val="44"/>
      <w:sz w:val="44"/>
      <w:lang w:val="en-US" w:eastAsia="zh-CN" w:bidi="ar-SA"/>
    </w:rPr>
  </w:style>
  <w:style w:type="paragraph" w:customStyle="1" w:styleId="56">
    <w:name w:val="样式4"/>
    <w:basedOn w:val="3"/>
    <w:link w:val="55"/>
    <w:autoRedefine/>
    <w:qFormat/>
    <w:uiPriority w:val="0"/>
    <w:pPr>
      <w:keepLines/>
      <w:spacing w:line="360" w:lineRule="auto"/>
    </w:pPr>
    <w:rPr>
      <w:rFonts w:ascii="黑体" w:hAnsi="黑体" w:eastAsia="黑体" w:cs="Times New Roman"/>
      <w:b w:val="0"/>
      <w:bCs w:val="0"/>
      <w:kern w:val="44"/>
      <w:sz w:val="44"/>
      <w:szCs w:val="20"/>
    </w:rPr>
  </w:style>
  <w:style w:type="character" w:customStyle="1" w:styleId="57">
    <w:name w:val="标题 6 Char"/>
    <w:link w:val="8"/>
    <w:autoRedefine/>
    <w:qFormat/>
    <w:uiPriority w:val="0"/>
    <w:rPr>
      <w:rFonts w:ascii="Cambria" w:hAnsi="Cambria" w:eastAsia="宋体" w:cs="Cambria"/>
      <w:b/>
      <w:bCs/>
      <w:kern w:val="2"/>
      <w:sz w:val="24"/>
      <w:szCs w:val="24"/>
      <w:lang w:val="en-US" w:eastAsia="zh-CN" w:bidi="ar-SA"/>
    </w:rPr>
  </w:style>
  <w:style w:type="character" w:customStyle="1" w:styleId="58">
    <w:name w:val="A5"/>
    <w:autoRedefine/>
    <w:qFormat/>
    <w:uiPriority w:val="0"/>
    <w:rPr>
      <w:rFonts w:ascii="Times New Roman" w:hAnsi="Times New Roman" w:eastAsia="宋体" w:cs="Times New Roman"/>
      <w:color w:val="000000"/>
      <w:sz w:val="10"/>
    </w:rPr>
  </w:style>
  <w:style w:type="character" w:customStyle="1" w:styleId="59">
    <w:name w:val="不明显强调1"/>
    <w:autoRedefine/>
    <w:qFormat/>
    <w:uiPriority w:val="0"/>
    <w:rPr>
      <w:rFonts w:ascii="Times New Roman" w:hAnsi="Times New Roman" w:eastAsia="宋体" w:cs="Times New Roman"/>
      <w:i/>
      <w:iCs/>
      <w:color w:val="808080"/>
    </w:rPr>
  </w:style>
  <w:style w:type="character" w:customStyle="1" w:styleId="60">
    <w:name w:val="Char Char4"/>
    <w:autoRedefine/>
    <w:qFormat/>
    <w:uiPriority w:val="0"/>
    <w:rPr>
      <w:rFonts w:ascii="Times New Roman" w:hAnsi="Times New Roman" w:eastAsia="宋体" w:cs="Times New Roman"/>
      <w:kern w:val="2"/>
      <w:sz w:val="24"/>
      <w:lang w:val="en-US" w:eastAsia="zh-CN" w:bidi="ar-SA"/>
    </w:rPr>
  </w:style>
  <w:style w:type="character" w:customStyle="1" w:styleId="61">
    <w:name w:val="Plain Text Char1"/>
    <w:autoRedefine/>
    <w:qFormat/>
    <w:uiPriority w:val="0"/>
    <w:rPr>
      <w:rFonts w:ascii="宋体" w:hAnsi="Times New Roman" w:eastAsia="宋体" w:cs="Times New Roman"/>
      <w:color w:val="000000"/>
      <w:sz w:val="24"/>
    </w:rPr>
  </w:style>
  <w:style w:type="character" w:customStyle="1" w:styleId="62">
    <w:name w:val="ptt1"/>
    <w:autoRedefine/>
    <w:qFormat/>
    <w:uiPriority w:val="0"/>
    <w:rPr>
      <w:rFonts w:hint="eastAsia" w:ascii="宋体" w:hAnsi="宋体" w:eastAsia="宋体" w:cs="Times New Roman"/>
      <w:sz w:val="18"/>
      <w:szCs w:val="18"/>
    </w:rPr>
  </w:style>
  <w:style w:type="character" w:customStyle="1" w:styleId="63">
    <w:name w:val="正文（缩进） Char"/>
    <w:link w:val="64"/>
    <w:autoRedefine/>
    <w:qFormat/>
    <w:uiPriority w:val="0"/>
    <w:rPr>
      <w:rFonts w:ascii="Times New Roman" w:hAnsi="Times New Roman" w:eastAsia="宋体" w:cs="Times New Roman"/>
      <w:sz w:val="24"/>
      <w:lang w:bidi="ar-SA"/>
    </w:rPr>
  </w:style>
  <w:style w:type="paragraph" w:customStyle="1" w:styleId="64">
    <w:name w:val="正文（缩进）"/>
    <w:basedOn w:val="1"/>
    <w:link w:val="63"/>
    <w:autoRedefine/>
    <w:qFormat/>
    <w:uiPriority w:val="0"/>
    <w:pPr>
      <w:spacing w:beforeLines="50" w:afterLines="50" w:line="360" w:lineRule="auto"/>
      <w:ind w:firstLine="480" w:firstLineChars="200"/>
    </w:pPr>
    <w:rPr>
      <w:kern w:val="0"/>
      <w:sz w:val="24"/>
      <w:szCs w:val="20"/>
    </w:rPr>
  </w:style>
  <w:style w:type="character" w:customStyle="1" w:styleId="65">
    <w:name w:val="List Paragraph Char"/>
    <w:link w:val="66"/>
    <w:autoRedefine/>
    <w:qFormat/>
    <w:uiPriority w:val="0"/>
    <w:rPr>
      <w:rFonts w:ascii="Calibri" w:hAnsi="Calibri" w:eastAsia="宋体" w:cs="Times New Roman"/>
      <w:kern w:val="2"/>
      <w:sz w:val="22"/>
      <w:lang w:val="en-US" w:eastAsia="zh-CN" w:bidi="ar-SA"/>
    </w:rPr>
  </w:style>
  <w:style w:type="paragraph" w:customStyle="1" w:styleId="66">
    <w:name w:val="列出段落1"/>
    <w:basedOn w:val="1"/>
    <w:link w:val="65"/>
    <w:autoRedefine/>
    <w:qFormat/>
    <w:uiPriority w:val="0"/>
    <w:pPr>
      <w:ind w:firstLine="420" w:firstLineChars="200"/>
    </w:pPr>
    <w:rPr>
      <w:rFonts w:ascii="Calibri" w:hAnsi="Calibri"/>
      <w:sz w:val="22"/>
      <w:szCs w:val="20"/>
    </w:rPr>
  </w:style>
  <w:style w:type="character" w:customStyle="1" w:styleId="67">
    <w:name w:val="方案－正文 Char"/>
    <w:link w:val="68"/>
    <w:autoRedefine/>
    <w:qFormat/>
    <w:uiPriority w:val="0"/>
    <w:rPr>
      <w:rFonts w:ascii="仿宋_GB2312" w:hAnsi="宋体" w:eastAsia="宋体" w:cs="Times New Roman"/>
      <w:sz w:val="24"/>
      <w:lang w:bidi="ar-SA"/>
    </w:rPr>
  </w:style>
  <w:style w:type="paragraph" w:customStyle="1" w:styleId="68">
    <w:name w:val="方案－正文"/>
    <w:basedOn w:val="1"/>
    <w:link w:val="67"/>
    <w:autoRedefine/>
    <w:qFormat/>
    <w:uiPriority w:val="0"/>
    <w:pPr>
      <w:spacing w:line="360" w:lineRule="auto"/>
      <w:ind w:firstLine="480" w:firstLineChars="200"/>
    </w:pPr>
    <w:rPr>
      <w:rFonts w:ascii="仿宋_GB2312" w:hAnsi="宋体"/>
      <w:kern w:val="0"/>
      <w:sz w:val="24"/>
      <w:szCs w:val="20"/>
    </w:rPr>
  </w:style>
  <w:style w:type="character" w:customStyle="1" w:styleId="69">
    <w:name w:val="_标题4 Char"/>
    <w:autoRedefine/>
    <w:qFormat/>
    <w:uiPriority w:val="0"/>
    <w:rPr>
      <w:rFonts w:ascii="Tahoma" w:hAnsi="Tahoma" w:eastAsia="黑体" w:cs="Times New Roman"/>
      <w:bCs/>
      <w:kern w:val="2"/>
      <w:sz w:val="28"/>
      <w:szCs w:val="28"/>
      <w:lang w:val="en-US" w:eastAsia="zh-CN" w:bidi="ar-SA"/>
    </w:rPr>
  </w:style>
  <w:style w:type="character" w:customStyle="1" w:styleId="70">
    <w:name w:val="标题2正文 Char Char"/>
    <w:link w:val="71"/>
    <w:autoRedefine/>
    <w:qFormat/>
    <w:uiPriority w:val="0"/>
    <w:rPr>
      <w:rFonts w:ascii="Times New Roman" w:hAnsi="Times New Roman" w:eastAsia="宋体" w:cs="Times New Roman"/>
      <w:sz w:val="24"/>
      <w:lang w:bidi="ar-SA"/>
    </w:rPr>
  </w:style>
  <w:style w:type="paragraph" w:customStyle="1" w:styleId="71">
    <w:name w:val="标题2正文 Char"/>
    <w:basedOn w:val="1"/>
    <w:link w:val="70"/>
    <w:autoRedefine/>
    <w:qFormat/>
    <w:uiPriority w:val="0"/>
    <w:pPr>
      <w:spacing w:beforeLines="50" w:afterLines="50"/>
      <w:ind w:right="38" w:rightChars="18" w:firstLine="420"/>
    </w:pPr>
    <w:rPr>
      <w:kern w:val="0"/>
      <w:sz w:val="24"/>
      <w:szCs w:val="20"/>
    </w:rPr>
  </w:style>
  <w:style w:type="character" w:customStyle="1" w:styleId="72">
    <w:name w:val="标题 1 Char"/>
    <w:autoRedefine/>
    <w:qFormat/>
    <w:uiPriority w:val="0"/>
    <w:rPr>
      <w:rFonts w:ascii="Times New Roman" w:hAnsi="Times New Roman" w:eastAsia="宋体" w:cs="Times New Roman"/>
      <w:b/>
      <w:kern w:val="44"/>
      <w:sz w:val="44"/>
    </w:rPr>
  </w:style>
  <w:style w:type="character" w:customStyle="1" w:styleId="73">
    <w:name w:val="Char Char3"/>
    <w:autoRedefine/>
    <w:qFormat/>
    <w:uiPriority w:val="0"/>
    <w:rPr>
      <w:rFonts w:ascii="Times New Roman" w:hAnsi="Times New Roman" w:eastAsia="方正书宋简体" w:cs="Times New Roman"/>
      <w:kern w:val="2"/>
      <w:sz w:val="24"/>
      <w:lang w:val="en-US" w:eastAsia="zh-CN"/>
    </w:rPr>
  </w:style>
  <w:style w:type="character" w:customStyle="1" w:styleId="74">
    <w:name w:val="_标题3 Char"/>
    <w:autoRedefine/>
    <w:qFormat/>
    <w:uiPriority w:val="0"/>
    <w:rPr>
      <w:rFonts w:ascii="Arial" w:hAnsi="Arial" w:eastAsia="黑体" w:cs="Times New Roman"/>
      <w:bCs/>
      <w:kern w:val="2"/>
      <w:sz w:val="30"/>
      <w:szCs w:val="32"/>
      <w:lang w:val="en-US" w:eastAsia="zh-CN" w:bidi="ar-SA"/>
    </w:rPr>
  </w:style>
  <w:style w:type="character" w:customStyle="1" w:styleId="75">
    <w:name w:val="Char Char"/>
    <w:autoRedefine/>
    <w:qFormat/>
    <w:uiPriority w:val="0"/>
    <w:rPr>
      <w:rFonts w:ascii="宋体" w:hAnsi="Courier New" w:eastAsia="宋体" w:cs="Times New Roman"/>
      <w:kern w:val="2"/>
      <w:sz w:val="21"/>
    </w:rPr>
  </w:style>
  <w:style w:type="character" w:customStyle="1" w:styleId="76">
    <w:name w:val="副标题 Char1"/>
    <w:autoRedefine/>
    <w:qFormat/>
    <w:uiPriority w:val="0"/>
    <w:rPr>
      <w:rFonts w:ascii="Cambria" w:hAnsi="Cambria" w:eastAsia="宋体" w:cs="Times New Roman"/>
      <w:b/>
      <w:bCs/>
      <w:kern w:val="28"/>
      <w:sz w:val="32"/>
      <w:szCs w:val="32"/>
    </w:rPr>
  </w:style>
  <w:style w:type="character" w:customStyle="1" w:styleId="77">
    <w:name w:val="font31"/>
    <w:autoRedefine/>
    <w:qFormat/>
    <w:uiPriority w:val="0"/>
    <w:rPr>
      <w:rFonts w:hint="default" w:ascii="Times New Roman" w:hAnsi="Times New Roman" w:eastAsia="宋体" w:cs="Times New Roman"/>
      <w:color w:val="FF0000"/>
      <w:sz w:val="24"/>
      <w:szCs w:val="24"/>
      <w:u w:val="none"/>
    </w:rPr>
  </w:style>
  <w:style w:type="character" w:customStyle="1" w:styleId="78">
    <w:name w:val="标题 1 Char Char"/>
    <w:autoRedefine/>
    <w:qFormat/>
    <w:uiPriority w:val="0"/>
    <w:rPr>
      <w:rFonts w:ascii="Times New Roman" w:hAnsi="Times New Roman" w:eastAsia="宋体" w:cs="Times New Roman"/>
      <w:b/>
      <w:spacing w:val="-2"/>
      <w:sz w:val="24"/>
      <w:lang w:val="en-US" w:eastAsia="zh-CN"/>
    </w:rPr>
  </w:style>
  <w:style w:type="character" w:customStyle="1" w:styleId="79">
    <w:name w:val="Char Char9"/>
    <w:autoRedefine/>
    <w:qFormat/>
    <w:uiPriority w:val="0"/>
    <w:rPr>
      <w:rFonts w:ascii="Arial" w:hAnsi="Arial" w:eastAsia="宋体" w:cs="Arial"/>
      <w:vanish/>
      <w:sz w:val="16"/>
      <w:szCs w:val="16"/>
    </w:rPr>
  </w:style>
  <w:style w:type="character" w:customStyle="1" w:styleId="80">
    <w:name w:val="A8"/>
    <w:autoRedefine/>
    <w:qFormat/>
    <w:uiPriority w:val="0"/>
    <w:rPr>
      <w:rFonts w:ascii="FrutigerNext LT Light" w:hAnsi="Times New Roman" w:eastAsia="FrutigerNext LT Light" w:cs="Times New Roman"/>
      <w:color w:val="000000"/>
      <w:sz w:val="18"/>
    </w:rPr>
  </w:style>
  <w:style w:type="character" w:customStyle="1" w:styleId="81">
    <w:name w:val="标题5 Char"/>
    <w:autoRedefine/>
    <w:qFormat/>
    <w:uiPriority w:val="0"/>
    <w:rPr>
      <w:rFonts w:ascii="Cambria" w:hAnsi="Cambria" w:eastAsia="黑体" w:cs="Times New Roman"/>
      <w:sz w:val="28"/>
    </w:rPr>
  </w:style>
  <w:style w:type="character" w:customStyle="1" w:styleId="82">
    <w:name w:val="Char Char18"/>
    <w:autoRedefine/>
    <w:qFormat/>
    <w:uiPriority w:val="0"/>
    <w:rPr>
      <w:rFonts w:ascii="Times New Roman" w:hAnsi="Times New Roman" w:eastAsia="宋体" w:cs="Times New Roman"/>
      <w:b/>
      <w:kern w:val="44"/>
      <w:sz w:val="44"/>
    </w:rPr>
  </w:style>
  <w:style w:type="character" w:customStyle="1" w:styleId="83">
    <w:name w:val="orange"/>
    <w:autoRedefine/>
    <w:qFormat/>
    <w:uiPriority w:val="0"/>
    <w:rPr>
      <w:rFonts w:ascii="Times New Roman" w:hAnsi="Times New Roman" w:eastAsia="宋体" w:cs="Times New Roman"/>
    </w:rPr>
  </w:style>
  <w:style w:type="character" w:customStyle="1" w:styleId="84">
    <w:name w:val="正文首行缩进 Char"/>
    <w:autoRedefine/>
    <w:qFormat/>
    <w:uiPriority w:val="0"/>
    <w:rPr>
      <w:rFonts w:ascii="Times New Roman" w:hAnsi="Times New Roman" w:eastAsia="宋体" w:cs="Times New Roman"/>
      <w:sz w:val="24"/>
      <w:szCs w:val="24"/>
    </w:rPr>
  </w:style>
  <w:style w:type="character" w:customStyle="1" w:styleId="85">
    <w:name w:val="正文首行缩进 Char2"/>
    <w:link w:val="43"/>
    <w:autoRedefine/>
    <w:qFormat/>
    <w:uiPriority w:val="0"/>
    <w:rPr>
      <w:rFonts w:ascii="Times New Roman" w:hAnsi="Times New Roman" w:eastAsia="宋体" w:cs="Times New Roman"/>
      <w:i/>
      <w:iCs/>
      <w:kern w:val="2"/>
      <w:sz w:val="21"/>
      <w:szCs w:val="21"/>
      <w:lang w:val="en-US" w:eastAsia="zh-CN" w:bidi="ar-SA"/>
    </w:rPr>
  </w:style>
  <w:style w:type="character" w:customStyle="1" w:styleId="86">
    <w:name w:val="正文文本 3 Char"/>
    <w:link w:val="19"/>
    <w:autoRedefine/>
    <w:qFormat/>
    <w:uiPriority w:val="0"/>
    <w:rPr>
      <w:rFonts w:ascii="Times New Roman" w:hAnsi="Times New Roman" w:eastAsia="方正书宋简体" w:cs="Times New Roman"/>
      <w:kern w:val="2"/>
      <w:sz w:val="24"/>
      <w:szCs w:val="24"/>
      <w:lang w:val="en-US" w:eastAsia="zh-CN" w:bidi="ar-SA"/>
    </w:rPr>
  </w:style>
  <w:style w:type="character" w:customStyle="1" w:styleId="87">
    <w:name w:val="Char Char16"/>
    <w:autoRedefine/>
    <w:qFormat/>
    <w:uiPriority w:val="0"/>
    <w:rPr>
      <w:rFonts w:ascii="Times New Roman" w:hAnsi="Times New Roman" w:eastAsia="宋体" w:cs="Times New Roman"/>
      <w:b/>
      <w:bCs/>
      <w:kern w:val="2"/>
      <w:sz w:val="32"/>
      <w:szCs w:val="32"/>
      <w:lang w:val="en-US" w:eastAsia="zh-CN" w:bidi="ar-SA"/>
    </w:rPr>
  </w:style>
  <w:style w:type="character" w:customStyle="1" w:styleId="88">
    <w:name w:val="正文首行缩进两字符 Char"/>
    <w:autoRedefine/>
    <w:qFormat/>
    <w:uiPriority w:val="0"/>
    <w:rPr>
      <w:rFonts w:ascii="Arial" w:hAnsi="Arial" w:eastAsia="宋体" w:cs="Times New Roman"/>
      <w:kern w:val="2"/>
      <w:sz w:val="24"/>
      <w:szCs w:val="24"/>
    </w:rPr>
  </w:style>
  <w:style w:type="character" w:customStyle="1" w:styleId="89">
    <w:name w:val="无间隔 Char"/>
    <w:link w:val="90"/>
    <w:autoRedefine/>
    <w:qFormat/>
    <w:uiPriority w:val="0"/>
    <w:rPr>
      <w:rFonts w:ascii="Calibri" w:hAnsi="Calibri" w:eastAsia="Times New Roman"/>
      <w:sz w:val="22"/>
      <w:lang w:val="en-US" w:eastAsia="zh-CN" w:bidi="ar-SA"/>
    </w:rPr>
  </w:style>
  <w:style w:type="paragraph" w:customStyle="1" w:styleId="90">
    <w:name w:val="No Spacing1"/>
    <w:link w:val="89"/>
    <w:autoRedefine/>
    <w:qFormat/>
    <w:uiPriority w:val="0"/>
    <w:rPr>
      <w:rFonts w:ascii="Calibri" w:hAnsi="Calibri" w:eastAsia="Times New Roman" w:cs="Times New Roman"/>
      <w:sz w:val="22"/>
      <w:lang w:val="en-US" w:eastAsia="zh-CN" w:bidi="ar-SA"/>
    </w:rPr>
  </w:style>
  <w:style w:type="character" w:customStyle="1" w:styleId="91">
    <w:name w:val="p2"/>
    <w:autoRedefine/>
    <w:qFormat/>
    <w:uiPriority w:val="0"/>
    <w:rPr>
      <w:rFonts w:ascii="Times New Roman" w:hAnsi="Times New Roman" w:eastAsia="宋体" w:cs="Times New Roman"/>
    </w:rPr>
  </w:style>
  <w:style w:type="character" w:customStyle="1" w:styleId="92">
    <w:name w:val="apple-converted-space"/>
    <w:autoRedefine/>
    <w:qFormat/>
    <w:uiPriority w:val="0"/>
    <w:rPr>
      <w:rFonts w:ascii="Times New Roman" w:hAnsi="Times New Roman" w:eastAsia="宋体" w:cs="Times New Roman"/>
    </w:rPr>
  </w:style>
  <w:style w:type="character" w:customStyle="1" w:styleId="93">
    <w:name w:val="页脚 Char"/>
    <w:autoRedefine/>
    <w:qFormat/>
    <w:uiPriority w:val="0"/>
    <w:rPr>
      <w:rFonts w:ascii="Times New Roman" w:hAnsi="Times New Roman" w:eastAsia="宋体" w:cs="Times New Roman"/>
      <w:sz w:val="18"/>
    </w:rPr>
  </w:style>
  <w:style w:type="character" w:customStyle="1" w:styleId="94">
    <w:name w:val="样式1 Char Char"/>
    <w:autoRedefine/>
    <w:qFormat/>
    <w:uiPriority w:val="0"/>
    <w:rPr>
      <w:rFonts w:ascii="Arial" w:hAnsi="Arial" w:eastAsia="宋体" w:cs="Times New Roman"/>
      <w:kern w:val="2"/>
      <w:sz w:val="21"/>
      <w:szCs w:val="24"/>
    </w:rPr>
  </w:style>
  <w:style w:type="character" w:customStyle="1" w:styleId="95">
    <w:name w:val="1正文缩进 Char"/>
    <w:link w:val="96"/>
    <w:autoRedefine/>
    <w:qFormat/>
    <w:uiPriority w:val="0"/>
    <w:rPr>
      <w:rFonts w:ascii="Arial" w:hAnsi="Arial" w:eastAsia="宋体" w:cs="Times New Roman"/>
      <w:color w:val="0000FF"/>
      <w:sz w:val="24"/>
      <w:lang w:bidi="ar-SA"/>
    </w:rPr>
  </w:style>
  <w:style w:type="paragraph" w:customStyle="1" w:styleId="96">
    <w:name w:val="1正文缩进"/>
    <w:basedOn w:val="1"/>
    <w:link w:val="95"/>
    <w:autoRedefine/>
    <w:qFormat/>
    <w:uiPriority w:val="0"/>
    <w:pPr>
      <w:spacing w:line="300" w:lineRule="auto"/>
    </w:pPr>
    <w:rPr>
      <w:rFonts w:ascii="Arial" w:hAnsi="Arial"/>
      <w:color w:val="0000FF"/>
      <w:kern w:val="0"/>
      <w:sz w:val="24"/>
      <w:szCs w:val="20"/>
    </w:rPr>
  </w:style>
  <w:style w:type="character" w:customStyle="1" w:styleId="97">
    <w:name w:val="_表格标题 Char"/>
    <w:autoRedefine/>
    <w:qFormat/>
    <w:uiPriority w:val="0"/>
    <w:rPr>
      <w:rFonts w:ascii="Times New Roman" w:hAnsi="Times New Roman" w:eastAsia="宋体" w:cs="Times New Roman"/>
      <w:b/>
      <w:kern w:val="2"/>
      <w:sz w:val="24"/>
      <w:szCs w:val="24"/>
      <w:lang w:val="en-US" w:eastAsia="zh-CN" w:bidi="ar-SA"/>
    </w:rPr>
  </w:style>
  <w:style w:type="character" w:customStyle="1" w:styleId="98">
    <w:name w:val="编写建议 Char"/>
    <w:link w:val="99"/>
    <w:autoRedefine/>
    <w:qFormat/>
    <w:uiPriority w:val="0"/>
    <w:rPr>
      <w:rFonts w:ascii="Times New Roman" w:hAnsi="Times New Roman" w:eastAsia="宋体" w:cs="Times New Roman"/>
      <w:i/>
      <w:color w:val="0000FF"/>
      <w:sz w:val="21"/>
      <w:lang w:bidi="ar-SA"/>
    </w:rPr>
  </w:style>
  <w:style w:type="paragraph" w:customStyle="1" w:styleId="99">
    <w:name w:val="编写建议"/>
    <w:basedOn w:val="1"/>
    <w:link w:val="98"/>
    <w:autoRedefine/>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0">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01">
    <w:name w:val="HTML 预设格式 Char"/>
    <w:link w:val="39"/>
    <w:autoRedefine/>
    <w:qFormat/>
    <w:uiPriority w:val="0"/>
    <w:rPr>
      <w:rFonts w:ascii="Courier New" w:hAnsi="Courier New" w:eastAsia="宋体" w:cs="Courier New"/>
      <w:kern w:val="2"/>
      <w:lang w:val="en-US" w:eastAsia="zh-CN" w:bidi="ar-SA"/>
    </w:rPr>
  </w:style>
  <w:style w:type="character" w:customStyle="1" w:styleId="102">
    <w:name w:val="fontstyle01"/>
    <w:autoRedefine/>
    <w:qFormat/>
    <w:uiPriority w:val="0"/>
    <w:rPr>
      <w:rFonts w:hint="eastAsia" w:ascii="宋体" w:hAnsi="宋体" w:eastAsia="宋体" w:cs="Times New Roman"/>
      <w:color w:val="000000"/>
      <w:sz w:val="32"/>
      <w:szCs w:val="32"/>
    </w:rPr>
  </w:style>
  <w:style w:type="character" w:customStyle="1" w:styleId="103">
    <w:name w:val="正文缩进 Char"/>
    <w:link w:val="15"/>
    <w:autoRedefine/>
    <w:qFormat/>
    <w:uiPriority w:val="0"/>
    <w:rPr>
      <w:rFonts w:ascii="Times New Roman" w:hAnsi="Times New Roman" w:eastAsia="宋体" w:cs="Times New Roman"/>
      <w:kern w:val="2"/>
      <w:sz w:val="24"/>
      <w:szCs w:val="24"/>
      <w:lang w:val="en-US" w:eastAsia="zh-CN" w:bidi="ar-SA"/>
    </w:rPr>
  </w:style>
  <w:style w:type="character" w:customStyle="1" w:styleId="104">
    <w:name w:val="_标题2 Char"/>
    <w:autoRedefine/>
    <w:qFormat/>
    <w:uiPriority w:val="0"/>
    <w:rPr>
      <w:rFonts w:ascii="Tahoma" w:hAnsi="Tahoma" w:eastAsia="黑体" w:cs="Times New Roman"/>
      <w:bCs/>
      <w:kern w:val="2"/>
      <w:sz w:val="32"/>
      <w:szCs w:val="32"/>
      <w:lang w:val="en-US" w:eastAsia="zh-CN" w:bidi="ar-SA"/>
    </w:rPr>
  </w:style>
  <w:style w:type="character" w:customStyle="1" w:styleId="105">
    <w:name w:val="样式2 Char"/>
    <w:link w:val="106"/>
    <w:autoRedefine/>
    <w:qFormat/>
    <w:uiPriority w:val="0"/>
    <w:rPr>
      <w:rFonts w:ascii="黑体" w:hAnsi="黑体" w:eastAsia="黑体" w:cs="Times New Roman"/>
      <w:color w:val="FF0000"/>
      <w:kern w:val="2"/>
      <w:sz w:val="32"/>
      <w:lang w:val="en-US" w:eastAsia="zh-CN" w:bidi="ar-SA"/>
    </w:rPr>
  </w:style>
  <w:style w:type="paragraph" w:customStyle="1" w:styleId="106">
    <w:name w:val="样式2"/>
    <w:basedOn w:val="5"/>
    <w:link w:val="105"/>
    <w:autoRedefine/>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07">
    <w:name w:val="fontb5"/>
    <w:autoRedefine/>
    <w:qFormat/>
    <w:uiPriority w:val="0"/>
    <w:rPr>
      <w:rFonts w:ascii="Times New Roman" w:hAnsi="Times New Roman" w:eastAsia="宋体" w:cs="Times New Roman"/>
    </w:rPr>
  </w:style>
  <w:style w:type="character" w:customStyle="1" w:styleId="108">
    <w:name w:val="脚注文本 Char1"/>
    <w:autoRedefine/>
    <w:qFormat/>
    <w:uiPriority w:val="0"/>
    <w:rPr>
      <w:rFonts w:ascii="Times New Roman" w:hAnsi="Times New Roman" w:eastAsia="宋体" w:cs="Times New Roman"/>
      <w:kern w:val="2"/>
      <w:sz w:val="18"/>
      <w:szCs w:val="18"/>
    </w:rPr>
  </w:style>
  <w:style w:type="character" w:customStyle="1" w:styleId="109">
    <w:name w:val="正文首行缩进 2 Char1"/>
    <w:autoRedefine/>
    <w:qFormat/>
    <w:uiPriority w:val="0"/>
    <w:rPr>
      <w:rFonts w:ascii="Times New Roman" w:hAnsi="Times New Roman" w:eastAsia="方正书宋简体" w:cs="Times New Roman"/>
      <w:kern w:val="2"/>
      <w:sz w:val="21"/>
      <w:szCs w:val="21"/>
      <w:lang w:val="en-US" w:eastAsia="zh-CN" w:bidi="ar-SA"/>
    </w:rPr>
  </w:style>
  <w:style w:type="character" w:customStyle="1" w:styleId="110">
    <w:name w:val="_正文段落加粗 Char"/>
    <w:autoRedefine/>
    <w:qFormat/>
    <w:uiPriority w:val="0"/>
    <w:rPr>
      <w:rFonts w:ascii="Times New Roman" w:hAnsi="Times New Roman" w:eastAsia="宋体" w:cs="Times New Roman"/>
      <w:b/>
      <w:kern w:val="2"/>
      <w:sz w:val="21"/>
      <w:szCs w:val="24"/>
      <w:lang w:val="en-US" w:eastAsia="zh-CN" w:bidi="ar-SA"/>
    </w:rPr>
  </w:style>
  <w:style w:type="character" w:customStyle="1" w:styleId="111">
    <w:name w:val="*正文 Char"/>
    <w:autoRedefine/>
    <w:qFormat/>
    <w:uiPriority w:val="0"/>
    <w:rPr>
      <w:rFonts w:ascii="宋体" w:hAnsi="宋体" w:eastAsia="宋体" w:cs="Times New Roman"/>
      <w:sz w:val="24"/>
    </w:rPr>
  </w:style>
  <w:style w:type="character" w:customStyle="1" w:styleId="112">
    <w:name w:val="mark13"/>
    <w:autoRedefine/>
    <w:qFormat/>
    <w:uiPriority w:val="0"/>
    <w:rPr>
      <w:rFonts w:ascii="Times New Roman" w:hAnsi="Times New Roman" w:eastAsia="宋体" w:cs="Times New Roman"/>
    </w:rPr>
  </w:style>
  <w:style w:type="character" w:customStyle="1" w:styleId="113">
    <w:name w:val="hover8"/>
    <w:basedOn w:val="47"/>
    <w:autoRedefine/>
    <w:qFormat/>
    <w:uiPriority w:val="0"/>
    <w:rPr>
      <w:rFonts w:ascii="Times New Roman" w:hAnsi="Times New Roman" w:eastAsia="宋体" w:cs="Times New Roman"/>
    </w:rPr>
  </w:style>
  <w:style w:type="character" w:customStyle="1" w:styleId="114">
    <w:name w:val="正文文本 Char1"/>
    <w:link w:val="20"/>
    <w:autoRedefine/>
    <w:qFormat/>
    <w:uiPriority w:val="0"/>
    <w:rPr>
      <w:rFonts w:ascii="Times New Roman" w:hAnsi="Times New Roman" w:eastAsia="宋体" w:cs="Times New Roman"/>
      <w:i/>
      <w:iCs/>
      <w:kern w:val="2"/>
      <w:sz w:val="18"/>
      <w:szCs w:val="18"/>
      <w:lang w:val="en-US" w:eastAsia="zh-CN" w:bidi="ar-SA"/>
    </w:rPr>
  </w:style>
  <w:style w:type="character" w:customStyle="1" w:styleId="115">
    <w:name w:val="样式1 Char"/>
    <w:link w:val="116"/>
    <w:autoRedefine/>
    <w:qFormat/>
    <w:uiPriority w:val="0"/>
    <w:rPr>
      <w:rFonts w:ascii="黑体" w:hAnsi="黑体" w:eastAsia="黑体" w:cs="Times New Roman"/>
      <w:b/>
      <w:kern w:val="2"/>
      <w:sz w:val="32"/>
      <w:lang w:bidi="ar-SA"/>
    </w:rPr>
  </w:style>
  <w:style w:type="paragraph" w:customStyle="1" w:styleId="116">
    <w:name w:val="样式1"/>
    <w:basedOn w:val="4"/>
    <w:link w:val="115"/>
    <w:autoRedefine/>
    <w:qFormat/>
    <w:uiPriority w:val="0"/>
    <w:pPr>
      <w:spacing w:beforeLines="0" w:afterLines="0"/>
    </w:pPr>
    <w:rPr>
      <w:rFonts w:ascii="黑体" w:hAnsi="黑体" w:eastAsia="黑体" w:cs="Times New Roman"/>
      <w:bCs w:val="0"/>
      <w:sz w:val="32"/>
      <w:szCs w:val="20"/>
    </w:rPr>
  </w:style>
  <w:style w:type="character" w:customStyle="1" w:styleId="117">
    <w:name w:val="Char Char5"/>
    <w:autoRedefine/>
    <w:qFormat/>
    <w:uiPriority w:val="0"/>
    <w:rPr>
      <w:rFonts w:ascii="Arial" w:hAnsi="Arial" w:eastAsia="黑体" w:cs="Arial"/>
    </w:rPr>
  </w:style>
  <w:style w:type="character" w:customStyle="1" w:styleId="118">
    <w:name w:val="普通(网站) Char"/>
    <w:link w:val="40"/>
    <w:autoRedefine/>
    <w:qFormat/>
    <w:uiPriority w:val="0"/>
    <w:rPr>
      <w:rFonts w:ascii="宋体" w:hAnsi="宋体" w:eastAsia="宋体" w:cs="宋体"/>
      <w:sz w:val="24"/>
      <w:szCs w:val="24"/>
    </w:rPr>
  </w:style>
  <w:style w:type="character" w:customStyle="1" w:styleId="119">
    <w:name w:val="正文首行缩进 2 Char"/>
    <w:link w:val="44"/>
    <w:autoRedefine/>
    <w:qFormat/>
    <w:uiPriority w:val="0"/>
    <w:rPr>
      <w:rFonts w:ascii="宋体" w:hAnsi="Courier New" w:eastAsia="宋体" w:cs="Times New Roman"/>
      <w:spacing w:val="-4"/>
      <w:kern w:val="2"/>
      <w:sz w:val="24"/>
      <w:szCs w:val="24"/>
    </w:rPr>
  </w:style>
  <w:style w:type="character" w:customStyle="1" w:styleId="120">
    <w:name w:val="批注框文本 Char"/>
    <w:link w:val="13"/>
    <w:autoRedefine/>
    <w:qFormat/>
    <w:uiPriority w:val="0"/>
    <w:rPr>
      <w:rFonts w:ascii="Times New Roman" w:hAnsi="Times New Roman" w:eastAsia="宋体" w:cs="Times New Roman"/>
      <w:kern w:val="2"/>
      <w:sz w:val="18"/>
      <w:szCs w:val="18"/>
      <w:lang w:val="en-US" w:eastAsia="zh-CN" w:bidi="ar-SA"/>
    </w:rPr>
  </w:style>
  <w:style w:type="character" w:customStyle="1" w:styleId="121">
    <w:name w:val="批注主题 Char"/>
    <w:link w:val="42"/>
    <w:autoRedefine/>
    <w:qFormat/>
    <w:uiPriority w:val="0"/>
    <w:rPr>
      <w:rFonts w:ascii="Times New Roman" w:hAnsi="Times New Roman" w:eastAsia="宋体" w:cs="Times New Roman"/>
      <w:b/>
      <w:bCs/>
      <w:kern w:val="2"/>
      <w:sz w:val="21"/>
      <w:szCs w:val="21"/>
      <w:lang w:val="en-US" w:eastAsia="zh-CN" w:bidi="ar-SA"/>
    </w:rPr>
  </w:style>
  <w:style w:type="character" w:customStyle="1" w:styleId="122">
    <w:name w:val="标题 2 Char"/>
    <w:autoRedefine/>
    <w:qFormat/>
    <w:uiPriority w:val="0"/>
    <w:rPr>
      <w:rFonts w:ascii="Arial" w:hAnsi="Arial" w:eastAsia="黑体" w:cs="Times New Roman"/>
      <w:b/>
      <w:sz w:val="32"/>
    </w:rPr>
  </w:style>
  <w:style w:type="character" w:customStyle="1" w:styleId="123">
    <w:name w:val="四级标题 Char"/>
    <w:link w:val="124"/>
    <w:autoRedefine/>
    <w:qFormat/>
    <w:uiPriority w:val="0"/>
    <w:rPr>
      <w:rFonts w:ascii="Arial" w:hAnsi="Arial" w:eastAsia="宋体" w:cs="Times New Roman"/>
      <w:b/>
      <w:sz w:val="28"/>
      <w:lang w:bidi="ar-SA"/>
    </w:rPr>
  </w:style>
  <w:style w:type="paragraph" w:customStyle="1" w:styleId="124">
    <w:name w:val="四级标题"/>
    <w:basedOn w:val="6"/>
    <w:link w:val="123"/>
    <w:autoRedefine/>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5">
    <w:name w:val="标题 4 Char1"/>
    <w:link w:val="6"/>
    <w:autoRedefine/>
    <w:qFormat/>
    <w:uiPriority w:val="0"/>
    <w:rPr>
      <w:rFonts w:ascii="Arial" w:hAnsi="Arial" w:eastAsia="黑体" w:cs="Arial"/>
      <w:b/>
      <w:bCs/>
      <w:kern w:val="2"/>
      <w:sz w:val="28"/>
      <w:szCs w:val="28"/>
      <w:lang w:val="en-US" w:eastAsia="zh-CN" w:bidi="ar-SA"/>
    </w:rPr>
  </w:style>
  <w:style w:type="character" w:customStyle="1" w:styleId="126">
    <w:name w:val="脚注文本 Char"/>
    <w:link w:val="35"/>
    <w:autoRedefine/>
    <w:qFormat/>
    <w:uiPriority w:val="0"/>
    <w:rPr>
      <w:rFonts w:ascii="Times New Roman" w:hAnsi="Times New Roman" w:eastAsia="宋体" w:cs="Times New Roman"/>
      <w:sz w:val="18"/>
      <w:szCs w:val="24"/>
    </w:rPr>
  </w:style>
  <w:style w:type="character" w:customStyle="1" w:styleId="127">
    <w:name w:val="f14b1"/>
    <w:autoRedefine/>
    <w:qFormat/>
    <w:uiPriority w:val="0"/>
    <w:rPr>
      <w:rFonts w:hint="default" w:ascii="??" w:hAnsi="??" w:eastAsia="宋体" w:cs="Times New Roman"/>
      <w:b/>
      <w:bCs/>
      <w:color w:val="333333"/>
      <w:sz w:val="21"/>
      <w:szCs w:val="21"/>
    </w:rPr>
  </w:style>
  <w:style w:type="character" w:customStyle="1" w:styleId="128">
    <w:name w:val="Char Char1"/>
    <w:autoRedefine/>
    <w:qFormat/>
    <w:uiPriority w:val="0"/>
    <w:rPr>
      <w:rFonts w:ascii="Times New Roman" w:hAnsi="Times New Roman" w:eastAsia="宋体" w:cs="Times New Roman"/>
      <w:kern w:val="0"/>
      <w:sz w:val="18"/>
    </w:rPr>
  </w:style>
  <w:style w:type="character" w:customStyle="1" w:styleId="129">
    <w:name w:val="Char Char161"/>
    <w:autoRedefine/>
    <w:qFormat/>
    <w:uiPriority w:val="0"/>
    <w:rPr>
      <w:rFonts w:ascii="Times New Roman" w:hAnsi="Times New Roman" w:eastAsia="方正书宋简体" w:cs="Times New Roman"/>
      <w:kern w:val="2"/>
      <w:sz w:val="24"/>
      <w:lang w:val="en-US" w:eastAsia="zh-CN"/>
    </w:rPr>
  </w:style>
  <w:style w:type="character" w:customStyle="1" w:styleId="130">
    <w:name w:val="h3 Char"/>
    <w:autoRedefine/>
    <w:qFormat/>
    <w:uiPriority w:val="0"/>
    <w:rPr>
      <w:rFonts w:ascii="黑体" w:hAnsi="Times New Roman" w:eastAsia="黑体" w:cs="Times New Roman"/>
      <w:kern w:val="2"/>
      <w:sz w:val="32"/>
    </w:rPr>
  </w:style>
  <w:style w:type="character" w:customStyle="1" w:styleId="131">
    <w:name w:val="font2"/>
    <w:autoRedefine/>
    <w:qFormat/>
    <w:uiPriority w:val="0"/>
    <w:rPr>
      <w:rFonts w:ascii="Times New Roman" w:hAnsi="Times New Roman" w:eastAsia="宋体" w:cs="Times New Roman"/>
    </w:rPr>
  </w:style>
  <w:style w:type="character" w:customStyle="1" w:styleId="132">
    <w:name w:val="投标文件 正文首行缩进 Char"/>
    <w:autoRedefine/>
    <w:qFormat/>
    <w:uiPriority w:val="0"/>
    <w:rPr>
      <w:rFonts w:ascii="Arial" w:hAnsi="Arial" w:eastAsia="宋体" w:cs="Times New Roman"/>
      <w:kern w:val="2"/>
      <w:sz w:val="21"/>
      <w:szCs w:val="24"/>
      <w:lang w:val="en-US" w:eastAsia="zh-CN" w:bidi="ar-SA"/>
    </w:rPr>
  </w:style>
  <w:style w:type="character" w:customStyle="1" w:styleId="133">
    <w:name w:val="a4red1"/>
    <w:autoRedefine/>
    <w:qFormat/>
    <w:uiPriority w:val="0"/>
    <w:rPr>
      <w:rFonts w:hint="default" w:ascii="Tahoma" w:hAnsi="Tahoma" w:eastAsia="宋体" w:cs="Tahoma"/>
      <w:color w:val="FF3300"/>
      <w:sz w:val="18"/>
      <w:szCs w:val="18"/>
      <w:u w:val="single"/>
    </w:rPr>
  </w:style>
  <w:style w:type="character" w:customStyle="1" w:styleId="134">
    <w:name w:val="_表格文字 Char"/>
    <w:autoRedefine/>
    <w:qFormat/>
    <w:uiPriority w:val="0"/>
    <w:rPr>
      <w:rFonts w:ascii="Times New Roman" w:hAnsi="Times New Roman" w:eastAsia="宋体" w:cs="Times New Roman"/>
      <w:kern w:val="2"/>
      <w:sz w:val="21"/>
      <w:szCs w:val="24"/>
      <w:lang w:val="en-US" w:eastAsia="zh-CN" w:bidi="ar-SA"/>
    </w:rPr>
  </w:style>
  <w:style w:type="character" w:customStyle="1" w:styleId="135">
    <w:name w:val="_题注 Char"/>
    <w:autoRedefine/>
    <w:qFormat/>
    <w:uiPriority w:val="0"/>
    <w:rPr>
      <w:rFonts w:ascii="Arial" w:hAnsi="Arial" w:eastAsia="黑体" w:cs="Arial"/>
      <w:kern w:val="2"/>
      <w:sz w:val="21"/>
      <w:lang w:val="en-US" w:eastAsia="zh-CN" w:bidi="ar-SA"/>
    </w:rPr>
  </w:style>
  <w:style w:type="character" w:customStyle="1" w:styleId="136">
    <w:name w:val="副标题 Char"/>
    <w:link w:val="32"/>
    <w:autoRedefine/>
    <w:qFormat/>
    <w:uiPriority w:val="0"/>
    <w:rPr>
      <w:rFonts w:ascii="Cambria" w:hAnsi="Cambria" w:eastAsia="宋体" w:cs="Cambria"/>
      <w:b/>
      <w:bCs/>
      <w:kern w:val="28"/>
      <w:sz w:val="32"/>
      <w:szCs w:val="32"/>
      <w:lang w:val="en-US" w:eastAsia="zh-CN" w:bidi="ar-SA"/>
    </w:rPr>
  </w:style>
  <w:style w:type="character" w:customStyle="1" w:styleId="137">
    <w:name w:val="A0"/>
    <w:autoRedefine/>
    <w:qFormat/>
    <w:uiPriority w:val="0"/>
    <w:rPr>
      <w:rFonts w:ascii="Times New Roman" w:hAnsi="Times New Roman" w:eastAsia="宋体" w:cs="Times New Roman"/>
      <w:color w:val="000000"/>
      <w:sz w:val="42"/>
    </w:rPr>
  </w:style>
  <w:style w:type="character" w:customStyle="1" w:styleId="138">
    <w:name w:val="样式5 Char"/>
    <w:link w:val="139"/>
    <w:autoRedefine/>
    <w:qFormat/>
    <w:uiPriority w:val="0"/>
    <w:rPr>
      <w:rFonts w:ascii="Times New Roman" w:hAnsi="Times New Roman" w:eastAsia="宋体" w:cs="Times New Roman"/>
      <w:b/>
      <w:kern w:val="2"/>
      <w:sz w:val="28"/>
      <w:lang w:val="en-US" w:eastAsia="zh-CN" w:bidi="ar-SA"/>
    </w:rPr>
  </w:style>
  <w:style w:type="paragraph" w:customStyle="1" w:styleId="139">
    <w:name w:val="样式5"/>
    <w:basedOn w:val="1"/>
    <w:link w:val="138"/>
    <w:autoRedefine/>
    <w:qFormat/>
    <w:uiPriority w:val="0"/>
    <w:pPr>
      <w:keepNext/>
      <w:keepLines/>
      <w:spacing w:before="280" w:after="290" w:line="376" w:lineRule="auto"/>
      <w:ind w:left="210" w:leftChars="100" w:right="210" w:rightChars="100"/>
      <w:outlineLvl w:val="4"/>
    </w:pPr>
    <w:rPr>
      <w:b/>
      <w:sz w:val="28"/>
      <w:szCs w:val="20"/>
    </w:rPr>
  </w:style>
  <w:style w:type="character" w:customStyle="1" w:styleId="140">
    <w:name w:val="z-窗体顶端 Char1"/>
    <w:autoRedefine/>
    <w:qFormat/>
    <w:uiPriority w:val="0"/>
    <w:rPr>
      <w:rFonts w:ascii="Arial" w:hAnsi="Arial" w:eastAsia="宋体" w:cs="Arial"/>
      <w:vanish/>
      <w:kern w:val="2"/>
      <w:sz w:val="16"/>
      <w:szCs w:val="16"/>
    </w:rPr>
  </w:style>
  <w:style w:type="character" w:customStyle="1" w:styleId="141">
    <w:name w:val="正文文本 2 Char"/>
    <w:link w:val="38"/>
    <w:autoRedefine/>
    <w:qFormat/>
    <w:uiPriority w:val="0"/>
    <w:rPr>
      <w:rFonts w:ascii="Times New Roman" w:hAnsi="Times New Roman" w:eastAsia="宋体" w:cs="Times New Roman"/>
      <w:sz w:val="24"/>
      <w:szCs w:val="24"/>
      <w:lang w:val="en-US" w:eastAsia="zh-CN" w:bidi="ar-SA"/>
    </w:rPr>
  </w:style>
  <w:style w:type="character" w:customStyle="1" w:styleId="142">
    <w:name w:val="普通正文 Char"/>
    <w:autoRedefine/>
    <w:qFormat/>
    <w:uiPriority w:val="0"/>
    <w:rPr>
      <w:rFonts w:ascii="Arial" w:hAnsi="Arial" w:eastAsia="宋体" w:cs="Times New Roman"/>
      <w:sz w:val="24"/>
      <w:lang w:val="en-US" w:eastAsia="zh-CN" w:bidi="ar-SA"/>
    </w:rPr>
  </w:style>
  <w:style w:type="character" w:customStyle="1" w:styleId="143">
    <w:name w:val="st1"/>
    <w:autoRedefine/>
    <w:qFormat/>
    <w:uiPriority w:val="0"/>
    <w:rPr>
      <w:rFonts w:ascii="Times New Roman" w:hAnsi="Times New Roman" w:eastAsia="宋体" w:cs="Times New Roman"/>
      <w:spacing w:val="240"/>
    </w:rPr>
  </w:style>
  <w:style w:type="character" w:customStyle="1" w:styleId="144">
    <w:name w:val="h6 Char"/>
    <w:autoRedefine/>
    <w:qFormat/>
    <w:uiPriority w:val="0"/>
    <w:rPr>
      <w:rFonts w:ascii="Arial" w:hAnsi="Arial" w:eastAsia="宋体" w:cs="Times New Roman"/>
      <w:b/>
      <w:kern w:val="2"/>
      <w:sz w:val="24"/>
      <w:lang w:val="en-US" w:eastAsia="zh-CN"/>
    </w:rPr>
  </w:style>
  <w:style w:type="character" w:customStyle="1" w:styleId="145">
    <w:name w:val="Blockquote Char Char"/>
    <w:link w:val="146"/>
    <w:autoRedefine/>
    <w:qFormat/>
    <w:uiPriority w:val="0"/>
    <w:rPr>
      <w:rFonts w:ascii="Times New Roman" w:hAnsi="Times New Roman" w:eastAsia="宋体" w:cs="Times New Roman"/>
      <w:sz w:val="24"/>
    </w:rPr>
  </w:style>
  <w:style w:type="paragraph" w:customStyle="1" w:styleId="146">
    <w:name w:val="Blockquote"/>
    <w:basedOn w:val="1"/>
    <w:link w:val="145"/>
    <w:autoRedefine/>
    <w:qFormat/>
    <w:uiPriority w:val="0"/>
    <w:pPr>
      <w:autoSpaceDE w:val="0"/>
      <w:autoSpaceDN w:val="0"/>
      <w:adjustRightInd w:val="0"/>
      <w:spacing w:before="100" w:after="100"/>
      <w:ind w:left="360" w:right="360"/>
      <w:jc w:val="left"/>
    </w:pPr>
    <w:rPr>
      <w:kern w:val="0"/>
      <w:sz w:val="24"/>
      <w:szCs w:val="20"/>
    </w:rPr>
  </w:style>
  <w:style w:type="character" w:customStyle="1" w:styleId="147">
    <w:name w:val="标题 3 Char2"/>
    <w:link w:val="5"/>
    <w:autoRedefine/>
    <w:qFormat/>
    <w:uiPriority w:val="0"/>
    <w:rPr>
      <w:rFonts w:ascii="宋体" w:hAnsi="宋体" w:eastAsia="宋体" w:cs="宋体"/>
      <w:b/>
      <w:bCs/>
      <w:kern w:val="2"/>
      <w:sz w:val="21"/>
      <w:szCs w:val="21"/>
      <w:lang w:val="en-US" w:eastAsia="zh-CN" w:bidi="ar-SA"/>
    </w:rPr>
  </w:style>
  <w:style w:type="character" w:customStyle="1" w:styleId="148">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149">
    <w:name w:val="Char Char12"/>
    <w:autoRedefine/>
    <w:qFormat/>
    <w:uiPriority w:val="0"/>
    <w:rPr>
      <w:rFonts w:ascii="Times New Roman" w:hAnsi="Times New Roman" w:eastAsia="宋体" w:cs="Times New Roman"/>
      <w:b/>
      <w:bCs/>
      <w:sz w:val="24"/>
      <w:szCs w:val="24"/>
      <w:lang w:val="en-US" w:eastAsia="zh-CN" w:bidi="ar-SA"/>
    </w:rPr>
  </w:style>
  <w:style w:type="character" w:customStyle="1" w:styleId="150">
    <w:name w:val="脚注文本 Char2"/>
    <w:autoRedefine/>
    <w:qFormat/>
    <w:uiPriority w:val="0"/>
    <w:rPr>
      <w:rFonts w:ascii="Times New Roman" w:hAnsi="Times New Roman" w:eastAsia="宋体" w:cs="Times New Roman"/>
      <w:kern w:val="2"/>
      <w:sz w:val="18"/>
      <w:szCs w:val="18"/>
    </w:rPr>
  </w:style>
  <w:style w:type="character" w:customStyle="1" w:styleId="151">
    <w:name w:val="页眉 Char"/>
    <w:autoRedefine/>
    <w:qFormat/>
    <w:uiPriority w:val="0"/>
    <w:rPr>
      <w:rFonts w:ascii="Times New Roman" w:hAnsi="Times New Roman" w:eastAsia="宋体" w:cs="Times New Roman"/>
      <w:sz w:val="18"/>
    </w:rPr>
  </w:style>
  <w:style w:type="character" w:customStyle="1" w:styleId="152">
    <w:name w:val="哈哈正文 Char"/>
    <w:link w:val="153"/>
    <w:autoRedefine/>
    <w:qFormat/>
    <w:uiPriority w:val="0"/>
    <w:rPr>
      <w:rFonts w:ascii="宋体" w:hAnsi="宋体" w:eastAsia="宋体" w:cs="Times New Roman"/>
      <w:kern w:val="2"/>
      <w:sz w:val="24"/>
      <w:lang w:val="en-US" w:eastAsia="zh-CN" w:bidi="ar-SA"/>
    </w:rPr>
  </w:style>
  <w:style w:type="paragraph" w:customStyle="1" w:styleId="153">
    <w:name w:val="哈哈正文"/>
    <w:basedOn w:val="1"/>
    <w:link w:val="152"/>
    <w:autoRedefine/>
    <w:qFormat/>
    <w:uiPriority w:val="0"/>
    <w:pPr>
      <w:spacing w:line="360" w:lineRule="auto"/>
      <w:ind w:firstLine="200" w:firstLineChars="200"/>
    </w:pPr>
    <w:rPr>
      <w:rFonts w:ascii="宋体" w:hAnsi="宋体"/>
      <w:sz w:val="24"/>
      <w:szCs w:val="20"/>
    </w:rPr>
  </w:style>
  <w:style w:type="character" w:customStyle="1" w:styleId="154">
    <w:name w:val="even Char1"/>
    <w:autoRedefine/>
    <w:qFormat/>
    <w:uiPriority w:val="0"/>
    <w:rPr>
      <w:rFonts w:ascii="Times New Roman" w:hAnsi="Times New Roman" w:eastAsia="宋体" w:cs="Times New Roman"/>
      <w:kern w:val="2"/>
      <w:sz w:val="18"/>
      <w:lang w:val="en-US" w:eastAsia="zh-CN"/>
    </w:rPr>
  </w:style>
  <w:style w:type="character" w:customStyle="1" w:styleId="155">
    <w:name w:val="标题4 Char"/>
    <w:autoRedefine/>
    <w:qFormat/>
    <w:uiPriority w:val="0"/>
    <w:rPr>
      <w:rFonts w:ascii="Cambria" w:hAnsi="Cambria" w:eastAsia="黑体" w:cs="Times New Roman"/>
      <w:b/>
      <w:sz w:val="28"/>
    </w:rPr>
  </w:style>
  <w:style w:type="character" w:customStyle="1" w:styleId="156">
    <w:name w:val="正文文本缩进 2 Char"/>
    <w:link w:val="28"/>
    <w:autoRedefine/>
    <w:qFormat/>
    <w:uiPriority w:val="0"/>
    <w:rPr>
      <w:rFonts w:ascii="宋体" w:hAnsi="Times New Roman" w:eastAsia="宋体" w:cs="宋体"/>
      <w:kern w:val="2"/>
      <w:sz w:val="24"/>
      <w:szCs w:val="24"/>
      <w:lang w:val="en-US" w:eastAsia="zh-CN" w:bidi="ar-SA"/>
    </w:rPr>
  </w:style>
  <w:style w:type="character" w:customStyle="1" w:styleId="157">
    <w:name w:val="标题 9 Char"/>
    <w:link w:val="11"/>
    <w:autoRedefine/>
    <w:qFormat/>
    <w:uiPriority w:val="0"/>
    <w:rPr>
      <w:rFonts w:ascii="Arial" w:hAnsi="Arial" w:eastAsia="黑体"/>
      <w:kern w:val="2"/>
      <w:sz w:val="21"/>
      <w:szCs w:val="21"/>
    </w:rPr>
  </w:style>
  <w:style w:type="character" w:customStyle="1" w:styleId="158">
    <w:name w:val="4号正文 Char"/>
    <w:link w:val="159"/>
    <w:autoRedefine/>
    <w:qFormat/>
    <w:uiPriority w:val="0"/>
    <w:rPr>
      <w:rFonts w:ascii="Arial" w:hAnsi="Arial" w:eastAsia="宋体" w:cs="Times New Roman"/>
      <w:spacing w:val="6"/>
      <w:sz w:val="28"/>
      <w:lang w:bidi="ar-SA"/>
    </w:rPr>
  </w:style>
  <w:style w:type="paragraph" w:customStyle="1" w:styleId="159">
    <w:name w:val="4号正文"/>
    <w:basedOn w:val="15"/>
    <w:link w:val="158"/>
    <w:autoRedefine/>
    <w:qFormat/>
    <w:uiPriority w:val="0"/>
    <w:pPr>
      <w:widowControl/>
      <w:spacing w:before="30" w:line="360" w:lineRule="auto"/>
      <w:ind w:firstLine="200"/>
    </w:pPr>
    <w:rPr>
      <w:rFonts w:ascii="Arial" w:hAnsi="Arial"/>
      <w:spacing w:val="6"/>
      <w:kern w:val="0"/>
      <w:sz w:val="28"/>
      <w:szCs w:val="20"/>
    </w:rPr>
  </w:style>
  <w:style w:type="character" w:customStyle="1" w:styleId="160">
    <w:name w:val="Plain Text Char"/>
    <w:autoRedefine/>
    <w:qFormat/>
    <w:uiPriority w:val="0"/>
    <w:rPr>
      <w:rFonts w:ascii="宋体" w:hAnsi="Times New Roman" w:eastAsia="宋体" w:cs="宋体"/>
      <w:color w:val="000000"/>
      <w:sz w:val="24"/>
      <w:szCs w:val="24"/>
    </w:rPr>
  </w:style>
  <w:style w:type="character" w:customStyle="1" w:styleId="161">
    <w:name w:val="Char Char6"/>
    <w:autoRedefine/>
    <w:qFormat/>
    <w:uiPriority w:val="0"/>
    <w:rPr>
      <w:rFonts w:ascii="Arial" w:hAnsi="Arial" w:eastAsia="宋体" w:cs="Arial"/>
      <w:vanish/>
      <w:sz w:val="16"/>
      <w:szCs w:val="16"/>
    </w:rPr>
  </w:style>
  <w:style w:type="character" w:customStyle="1" w:styleId="162">
    <w:name w:val="标题 5 Char"/>
    <w:link w:val="7"/>
    <w:autoRedefine/>
    <w:qFormat/>
    <w:uiPriority w:val="0"/>
    <w:rPr>
      <w:rFonts w:ascii="Times New Roman" w:hAnsi="Times New Roman" w:eastAsia="宋体" w:cs="Times New Roman"/>
      <w:b/>
      <w:bCs/>
      <w:kern w:val="2"/>
      <w:sz w:val="28"/>
      <w:szCs w:val="28"/>
      <w:lang w:val="en-US" w:eastAsia="zh-CN" w:bidi="ar-SA"/>
    </w:rPr>
  </w:style>
  <w:style w:type="character" w:customStyle="1" w:styleId="163">
    <w:name w:val="Char Char11"/>
    <w:autoRedefine/>
    <w:qFormat/>
    <w:uiPriority w:val="0"/>
    <w:rPr>
      <w:rFonts w:ascii="Arial" w:hAnsi="Arial" w:eastAsia="黑体" w:cs="Times New Roman"/>
      <w:sz w:val="24"/>
      <w:szCs w:val="24"/>
      <w:lang w:val="en-US" w:eastAsia="zh-CN" w:bidi="ar-SA"/>
    </w:rPr>
  </w:style>
  <w:style w:type="character" w:customStyle="1" w:styleId="164">
    <w:name w:val="z-窗体底端 Char1"/>
    <w:autoRedefine/>
    <w:qFormat/>
    <w:uiPriority w:val="0"/>
    <w:rPr>
      <w:rFonts w:ascii="Arial" w:hAnsi="Arial" w:eastAsia="宋体" w:cs="Arial"/>
      <w:vanish/>
      <w:kern w:val="2"/>
      <w:sz w:val="16"/>
      <w:szCs w:val="16"/>
    </w:rPr>
  </w:style>
  <w:style w:type="character" w:customStyle="1" w:styleId="165">
    <w:name w:val="标题 4 Char1 Char Char"/>
    <w:autoRedefine/>
    <w:qFormat/>
    <w:uiPriority w:val="0"/>
    <w:rPr>
      <w:rFonts w:ascii="宋体" w:hAnsi="宋体" w:eastAsia="宋体" w:cs="Times New Roman"/>
      <w:b/>
      <w:kern w:val="2"/>
      <w:sz w:val="28"/>
      <w:lang w:val="en-US" w:eastAsia="zh-CN"/>
    </w:rPr>
  </w:style>
  <w:style w:type="character" w:customStyle="1" w:styleId="166">
    <w:name w:val="z-窗体底端 Char"/>
    <w:link w:val="167"/>
    <w:autoRedefine/>
    <w:qFormat/>
    <w:uiPriority w:val="0"/>
    <w:rPr>
      <w:rFonts w:ascii="Arial" w:hAnsi="Arial" w:eastAsia="宋体" w:cs="Arial"/>
      <w:vanish/>
      <w:kern w:val="2"/>
      <w:sz w:val="16"/>
      <w:szCs w:val="16"/>
    </w:rPr>
  </w:style>
  <w:style w:type="paragraph" w:customStyle="1" w:styleId="167">
    <w:name w:val="z-窗体底端1"/>
    <w:basedOn w:val="1"/>
    <w:next w:val="1"/>
    <w:link w:val="166"/>
    <w:autoRedefine/>
    <w:qFormat/>
    <w:uiPriority w:val="0"/>
    <w:pPr>
      <w:widowControl/>
      <w:pBdr>
        <w:top w:val="single" w:color="auto" w:sz="6" w:space="1"/>
      </w:pBdr>
      <w:jc w:val="center"/>
    </w:pPr>
    <w:rPr>
      <w:rFonts w:ascii="Arial" w:hAnsi="Arial"/>
      <w:vanish/>
      <w:sz w:val="16"/>
      <w:szCs w:val="16"/>
    </w:rPr>
  </w:style>
  <w:style w:type="character" w:customStyle="1" w:styleId="168">
    <w:name w:val="hui3"/>
    <w:autoRedefine/>
    <w:qFormat/>
    <w:uiPriority w:val="0"/>
    <w:rPr>
      <w:rFonts w:ascii="Times New Roman" w:hAnsi="Times New Roman" w:eastAsia="宋体" w:cs="Times New Roman"/>
      <w:color w:val="auto"/>
    </w:rPr>
  </w:style>
  <w:style w:type="character" w:customStyle="1" w:styleId="169">
    <w:name w:val="Char Char7"/>
    <w:autoRedefine/>
    <w:qFormat/>
    <w:uiPriority w:val="0"/>
    <w:rPr>
      <w:rFonts w:ascii="Times New Roman" w:hAnsi="Times New Roman" w:eastAsia="宋体" w:cs="Times New Roman"/>
      <w:sz w:val="18"/>
    </w:rPr>
  </w:style>
  <w:style w:type="character" w:customStyle="1" w:styleId="170">
    <w:name w:val="标题 1 Char1"/>
    <w:link w:val="3"/>
    <w:autoRedefine/>
    <w:qFormat/>
    <w:uiPriority w:val="0"/>
    <w:rPr>
      <w:rFonts w:ascii="宋体" w:hAnsi="Times New Roman" w:eastAsia="宋体" w:cs="宋体"/>
      <w:b/>
      <w:bCs/>
      <w:kern w:val="2"/>
      <w:sz w:val="28"/>
      <w:szCs w:val="28"/>
      <w:lang w:val="en-US" w:eastAsia="zh-CN" w:bidi="ar-SA"/>
    </w:rPr>
  </w:style>
  <w:style w:type="character" w:customStyle="1" w:styleId="171">
    <w:name w:val="标题 3 Char"/>
    <w:autoRedefine/>
    <w:qFormat/>
    <w:uiPriority w:val="0"/>
    <w:rPr>
      <w:rFonts w:ascii="Times New Roman" w:hAnsi="Times New Roman" w:eastAsia="宋体" w:cs="Times New Roman"/>
      <w:b/>
      <w:sz w:val="32"/>
    </w:rPr>
  </w:style>
  <w:style w:type="character" w:customStyle="1" w:styleId="172">
    <w:name w:val="font61"/>
    <w:autoRedefine/>
    <w:qFormat/>
    <w:uiPriority w:val="0"/>
    <w:rPr>
      <w:rFonts w:hint="eastAsia" w:ascii="宋体" w:hAnsi="宋体" w:eastAsia="宋体" w:cs="宋体"/>
      <w:color w:val="000000"/>
      <w:sz w:val="24"/>
      <w:szCs w:val="24"/>
      <w:u w:val="none"/>
    </w:rPr>
  </w:style>
  <w:style w:type="character" w:customStyle="1" w:styleId="173">
    <w:name w:val="Char Char14"/>
    <w:autoRedefine/>
    <w:qFormat/>
    <w:uiPriority w:val="0"/>
    <w:rPr>
      <w:rFonts w:ascii="Times New Roman" w:hAnsi="Times New Roman" w:eastAsia="宋体" w:cs="Times New Roman"/>
      <w:b/>
      <w:bCs/>
      <w:kern w:val="2"/>
      <w:sz w:val="28"/>
      <w:szCs w:val="28"/>
      <w:lang w:val="en-US" w:eastAsia="zh-CN" w:bidi="ar-SA"/>
    </w:rPr>
  </w:style>
  <w:style w:type="character" w:customStyle="1" w:styleId="174">
    <w:name w:val="Char Char2"/>
    <w:autoRedefine/>
    <w:qFormat/>
    <w:uiPriority w:val="0"/>
    <w:rPr>
      <w:rFonts w:ascii="Times New Roman" w:hAnsi="Times New Roman" w:eastAsia="宋体" w:cs="Times New Roman"/>
      <w:sz w:val="24"/>
    </w:rPr>
  </w:style>
  <w:style w:type="character" w:customStyle="1" w:styleId="175">
    <w:name w:val="HTML 预设格式 Char1"/>
    <w:autoRedefine/>
    <w:qFormat/>
    <w:uiPriority w:val="0"/>
    <w:rPr>
      <w:rFonts w:ascii="Courier New" w:hAnsi="Courier New" w:eastAsia="宋体" w:cs="Times New Roman"/>
      <w:kern w:val="2"/>
    </w:rPr>
  </w:style>
  <w:style w:type="character" w:customStyle="1" w:styleId="176">
    <w:name w:val="标题1 Char"/>
    <w:link w:val="177"/>
    <w:autoRedefine/>
    <w:qFormat/>
    <w:uiPriority w:val="0"/>
    <w:rPr>
      <w:rFonts w:ascii="黑体" w:hAnsi="宋体" w:eastAsia="黑体"/>
      <w:spacing w:val="6"/>
      <w:kern w:val="44"/>
      <w:sz w:val="36"/>
      <w:szCs w:val="36"/>
    </w:rPr>
  </w:style>
  <w:style w:type="paragraph" w:customStyle="1" w:styleId="177">
    <w:name w:val="标题1"/>
    <w:basedOn w:val="3"/>
    <w:link w:val="176"/>
    <w:autoRedefine/>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78">
    <w:name w:val="Char Char15"/>
    <w:autoRedefine/>
    <w:qFormat/>
    <w:uiPriority w:val="0"/>
    <w:rPr>
      <w:rFonts w:ascii="Arial" w:hAnsi="Arial" w:eastAsia="黑体" w:cs="Times New Roman"/>
      <w:b/>
      <w:bCs/>
      <w:kern w:val="2"/>
      <w:sz w:val="28"/>
      <w:szCs w:val="28"/>
      <w:lang w:val="en-US" w:eastAsia="zh-CN" w:bidi="ar-SA"/>
    </w:rPr>
  </w:style>
  <w:style w:type="character" w:customStyle="1" w:styleId="179">
    <w:name w:val="首行缩进2字符 Char"/>
    <w:autoRedefine/>
    <w:qFormat/>
    <w:uiPriority w:val="0"/>
    <w:rPr>
      <w:rFonts w:ascii="Times New Roman" w:hAnsi="Times New Roman" w:eastAsia="宋体" w:cs="Times New Roman"/>
      <w:snapToGrid w:val="0"/>
      <w:sz w:val="21"/>
      <w:szCs w:val="21"/>
      <w:lang w:val="en-US" w:eastAsia="zh-CN" w:bidi="ar-SA"/>
    </w:rPr>
  </w:style>
  <w:style w:type="character" w:customStyle="1" w:styleId="180">
    <w:name w:val="标题 7 Char"/>
    <w:link w:val="9"/>
    <w:autoRedefine/>
    <w:qFormat/>
    <w:uiPriority w:val="0"/>
    <w:rPr>
      <w:b/>
      <w:bCs/>
      <w:kern w:val="2"/>
      <w:sz w:val="24"/>
      <w:szCs w:val="24"/>
    </w:rPr>
  </w:style>
  <w:style w:type="character" w:customStyle="1" w:styleId="181">
    <w:name w:val="文档结构图 Char"/>
    <w:link w:val="17"/>
    <w:autoRedefine/>
    <w:qFormat/>
    <w:uiPriority w:val="0"/>
    <w:rPr>
      <w:rFonts w:ascii="Times New Roman" w:hAnsi="Times New Roman" w:eastAsia="宋体" w:cs="Times New Roman"/>
      <w:kern w:val="2"/>
      <w:sz w:val="21"/>
      <w:szCs w:val="21"/>
      <w:lang w:val="en-US" w:eastAsia="zh-CN" w:bidi="ar-SA"/>
    </w:rPr>
  </w:style>
  <w:style w:type="character" w:customStyle="1" w:styleId="182">
    <w:name w:val="msonormal"/>
    <w:autoRedefine/>
    <w:qFormat/>
    <w:uiPriority w:val="0"/>
    <w:rPr>
      <w:rFonts w:ascii="Times New Roman" w:hAnsi="Times New Roman" w:eastAsia="宋体" w:cs="Times New Roman"/>
    </w:rPr>
  </w:style>
  <w:style w:type="character" w:customStyle="1" w:styleId="183">
    <w:name w:val="列出段落 Char"/>
    <w:link w:val="184"/>
    <w:autoRedefine/>
    <w:qFormat/>
    <w:uiPriority w:val="0"/>
    <w:rPr>
      <w:rFonts w:ascii="Times New Roman" w:hAnsi="Times New Roman" w:eastAsia="宋体" w:cs="Times New Roman"/>
      <w:kern w:val="2"/>
      <w:sz w:val="24"/>
      <w:lang w:val="en-US" w:eastAsia="zh-CN" w:bidi="ar-SA"/>
    </w:rPr>
  </w:style>
  <w:style w:type="paragraph" w:customStyle="1" w:styleId="184">
    <w:name w:val="List Paragraph1"/>
    <w:basedOn w:val="1"/>
    <w:link w:val="183"/>
    <w:autoRedefine/>
    <w:qFormat/>
    <w:uiPriority w:val="0"/>
    <w:pPr>
      <w:spacing w:line="360" w:lineRule="auto"/>
      <w:ind w:firstLine="420" w:firstLineChars="200"/>
    </w:pPr>
    <w:rPr>
      <w:sz w:val="24"/>
      <w:szCs w:val="20"/>
    </w:rPr>
  </w:style>
  <w:style w:type="character" w:customStyle="1" w:styleId="185">
    <w:name w:val="apple-style-span"/>
    <w:autoRedefine/>
    <w:qFormat/>
    <w:uiPriority w:val="0"/>
    <w:rPr>
      <w:rFonts w:ascii="Times New Roman" w:hAnsi="Times New Roman" w:eastAsia="宋体" w:cs="Times New Roman"/>
    </w:rPr>
  </w:style>
  <w:style w:type="character" w:customStyle="1" w:styleId="186">
    <w:name w:val="纯文本 Char"/>
    <w:autoRedefine/>
    <w:qFormat/>
    <w:uiPriority w:val="0"/>
    <w:rPr>
      <w:rFonts w:ascii="宋体" w:hAnsi="宋体" w:eastAsia="宋体" w:cs="Times New Roman"/>
      <w:color w:val="000000"/>
      <w:sz w:val="24"/>
      <w:szCs w:val="24"/>
      <w:lang w:val="en-US" w:eastAsia="zh-CN" w:bidi="ar-SA"/>
    </w:rPr>
  </w:style>
  <w:style w:type="character" w:customStyle="1" w:styleId="187">
    <w:name w:val="正文文本缩进 3 Char"/>
    <w:link w:val="36"/>
    <w:autoRedefine/>
    <w:qFormat/>
    <w:uiPriority w:val="0"/>
    <w:rPr>
      <w:rFonts w:ascii="宋体" w:hAnsi="Times New Roman" w:eastAsia="宋体" w:cs="宋体"/>
      <w:kern w:val="2"/>
      <w:sz w:val="24"/>
      <w:szCs w:val="24"/>
      <w:lang w:val="en-US" w:eastAsia="zh-CN" w:bidi="ar-SA"/>
    </w:rPr>
  </w:style>
  <w:style w:type="character" w:customStyle="1" w:styleId="188">
    <w:name w:val="_列表 Char"/>
    <w:autoRedefine/>
    <w:qFormat/>
    <w:uiPriority w:val="0"/>
    <w:rPr>
      <w:rFonts w:ascii="Times New Roman" w:hAnsi="Times New Roman" w:eastAsia="宋体" w:cs="Times New Roman"/>
      <w:kern w:val="2"/>
      <w:sz w:val="24"/>
      <w:szCs w:val="24"/>
    </w:rPr>
  </w:style>
  <w:style w:type="character" w:customStyle="1" w:styleId="189">
    <w:name w:val="缺省文本 Char"/>
    <w:autoRedefine/>
    <w:qFormat/>
    <w:uiPriority w:val="0"/>
    <w:rPr>
      <w:rFonts w:ascii="Times New Roman" w:hAnsi="Times New Roman" w:eastAsia="宋体" w:cs="Times New Roman"/>
      <w:sz w:val="24"/>
      <w:lang w:val="en-US" w:eastAsia="zh-CN" w:bidi="ar-SA"/>
    </w:rPr>
  </w:style>
  <w:style w:type="character" w:customStyle="1" w:styleId="190">
    <w:name w:val="正文文本 Char"/>
    <w:autoRedefine/>
    <w:qFormat/>
    <w:uiPriority w:val="0"/>
    <w:rPr>
      <w:rFonts w:ascii="Times New Roman" w:hAnsi="Times New Roman" w:eastAsia="宋体" w:cs="Times New Roman"/>
      <w:sz w:val="24"/>
    </w:rPr>
  </w:style>
  <w:style w:type="character" w:customStyle="1" w:styleId="191">
    <w:name w:val="标题 3 Char1"/>
    <w:autoRedefine/>
    <w:qFormat/>
    <w:uiPriority w:val="0"/>
    <w:rPr>
      <w:rFonts w:ascii="Arial" w:hAnsi="Arial" w:eastAsia="黑体" w:cs="Times New Roman"/>
      <w:color w:val="auto"/>
      <w:kern w:val="2"/>
      <w:sz w:val="32"/>
      <w:lang w:val="en-US" w:eastAsia="zh-CN"/>
    </w:rPr>
  </w:style>
  <w:style w:type="character" w:customStyle="1" w:styleId="192">
    <w:name w:val="普通文字 Char2"/>
    <w:autoRedefine/>
    <w:qFormat/>
    <w:uiPriority w:val="0"/>
    <w:rPr>
      <w:rFonts w:ascii="宋体" w:hAnsi="Courier New" w:eastAsia="宋体" w:cs="Times New Roman"/>
      <w:kern w:val="2"/>
      <w:sz w:val="21"/>
    </w:rPr>
  </w:style>
  <w:style w:type="character" w:customStyle="1" w:styleId="193">
    <w:name w:val="批注文字 Char"/>
    <w:link w:val="18"/>
    <w:autoRedefine/>
    <w:qFormat/>
    <w:uiPriority w:val="0"/>
    <w:rPr>
      <w:rFonts w:ascii="Times New Roman" w:hAnsi="Times New Roman" w:eastAsia="宋体" w:cs="Times New Roman"/>
      <w:kern w:val="2"/>
      <w:sz w:val="21"/>
      <w:szCs w:val="21"/>
      <w:lang w:val="en-US" w:eastAsia="zh-CN" w:bidi="ar-SA"/>
    </w:rPr>
  </w:style>
  <w:style w:type="character" w:customStyle="1" w:styleId="194">
    <w:name w:val="z-窗体顶端 Char"/>
    <w:link w:val="195"/>
    <w:autoRedefine/>
    <w:qFormat/>
    <w:uiPriority w:val="0"/>
    <w:rPr>
      <w:rFonts w:ascii="Arial" w:hAnsi="Arial" w:eastAsia="宋体" w:cs="Arial"/>
      <w:vanish/>
      <w:kern w:val="2"/>
      <w:sz w:val="16"/>
      <w:szCs w:val="16"/>
    </w:rPr>
  </w:style>
  <w:style w:type="paragraph" w:customStyle="1" w:styleId="195">
    <w:name w:val="z-窗体顶端1"/>
    <w:basedOn w:val="1"/>
    <w:next w:val="1"/>
    <w:link w:val="194"/>
    <w:autoRedefine/>
    <w:qFormat/>
    <w:uiPriority w:val="0"/>
    <w:pPr>
      <w:widowControl/>
      <w:pBdr>
        <w:bottom w:val="single" w:color="auto" w:sz="6" w:space="1"/>
      </w:pBdr>
      <w:jc w:val="center"/>
    </w:pPr>
    <w:rPr>
      <w:rFonts w:ascii="Arial" w:hAnsi="Arial"/>
      <w:vanish/>
      <w:sz w:val="16"/>
      <w:szCs w:val="16"/>
    </w:rPr>
  </w:style>
  <w:style w:type="character" w:customStyle="1" w:styleId="196">
    <w:name w:val="4级标题 Char"/>
    <w:link w:val="197"/>
    <w:autoRedefine/>
    <w:qFormat/>
    <w:uiPriority w:val="0"/>
    <w:rPr>
      <w:rFonts w:ascii="黑体" w:hAnsi="黑体" w:eastAsia="黑体"/>
      <w:sz w:val="24"/>
      <w:lang w:eastAsia="en-US"/>
    </w:rPr>
  </w:style>
  <w:style w:type="paragraph" w:customStyle="1" w:styleId="197">
    <w:name w:val="4级标题"/>
    <w:basedOn w:val="184"/>
    <w:link w:val="196"/>
    <w:autoRedefine/>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198">
    <w:name w:val="jianju1"/>
    <w:autoRedefine/>
    <w:qFormat/>
    <w:uiPriority w:val="0"/>
    <w:rPr>
      <w:rFonts w:ascii="Times New Roman" w:hAnsi="Times New Roman" w:eastAsia="宋体" w:cs="Times New Roman"/>
      <w:color w:val="000000"/>
      <w:sz w:val="21"/>
      <w:szCs w:val="21"/>
      <w:u w:val="none"/>
    </w:rPr>
  </w:style>
  <w:style w:type="character" w:customStyle="1" w:styleId="199">
    <w:name w:val="表格非标题文字 Char"/>
    <w:link w:val="200"/>
    <w:autoRedefine/>
    <w:qFormat/>
    <w:uiPriority w:val="0"/>
    <w:rPr>
      <w:rFonts w:ascii="Arial" w:hAnsi="Arial" w:eastAsia="Times New Roman"/>
      <w:sz w:val="18"/>
      <w:lang w:val="en-US" w:eastAsia="zh-CN" w:bidi="ar-SA"/>
    </w:rPr>
  </w:style>
  <w:style w:type="paragraph" w:customStyle="1" w:styleId="200">
    <w:name w:val="表格非标题文字"/>
    <w:link w:val="199"/>
    <w:autoRedefine/>
    <w:qFormat/>
    <w:uiPriority w:val="0"/>
    <w:pPr>
      <w:snapToGrid w:val="0"/>
      <w:spacing w:before="80" w:after="40"/>
    </w:pPr>
    <w:rPr>
      <w:rFonts w:ascii="Arial" w:hAnsi="Arial" w:eastAsia="Times New Roman" w:cs="Times New Roman"/>
      <w:sz w:val="18"/>
      <w:lang w:val="en-US" w:eastAsia="zh-CN" w:bidi="ar-SA"/>
    </w:rPr>
  </w:style>
  <w:style w:type="character" w:customStyle="1" w:styleId="201">
    <w:name w:val="方案标题2 Char"/>
    <w:autoRedefine/>
    <w:qFormat/>
    <w:uiPriority w:val="0"/>
    <w:rPr>
      <w:rFonts w:ascii="Arial" w:hAnsi="Arial" w:eastAsia="宋体" w:cs="Times New Roman"/>
      <w:b/>
      <w:snapToGrid w:val="0"/>
      <w:spacing w:val="14"/>
      <w:sz w:val="32"/>
      <w:lang w:val="en-US" w:eastAsia="zh-CN"/>
    </w:rPr>
  </w:style>
  <w:style w:type="character" w:customStyle="1" w:styleId="202">
    <w:name w:val="标题 8 Char"/>
    <w:link w:val="10"/>
    <w:autoRedefine/>
    <w:qFormat/>
    <w:uiPriority w:val="0"/>
    <w:rPr>
      <w:rFonts w:ascii="Arial" w:hAnsi="Arial" w:eastAsia="黑体"/>
      <w:kern w:val="2"/>
      <w:sz w:val="24"/>
      <w:szCs w:val="24"/>
    </w:rPr>
  </w:style>
  <w:style w:type="character" w:customStyle="1" w:styleId="203">
    <w:name w:val="日期 Char"/>
    <w:link w:val="27"/>
    <w:autoRedefine/>
    <w:qFormat/>
    <w:uiPriority w:val="0"/>
    <w:rPr>
      <w:rFonts w:ascii="宋体" w:hAnsi="Times New Roman" w:eastAsia="宋体" w:cs="宋体"/>
      <w:sz w:val="24"/>
      <w:szCs w:val="24"/>
      <w:lang w:val="en-US" w:eastAsia="zh-CN" w:bidi="ar-SA"/>
    </w:rPr>
  </w:style>
  <w:style w:type="character" w:customStyle="1" w:styleId="204">
    <w:name w:val="font01"/>
    <w:autoRedefine/>
    <w:qFormat/>
    <w:uiPriority w:val="0"/>
    <w:rPr>
      <w:rFonts w:hint="eastAsia" w:ascii="宋体" w:hAnsi="宋体" w:eastAsia="宋体" w:cs="宋体"/>
      <w:color w:val="FF0000"/>
      <w:sz w:val="24"/>
      <w:szCs w:val="24"/>
      <w:u w:val="none"/>
    </w:rPr>
  </w:style>
  <w:style w:type="character" w:customStyle="1" w:styleId="205">
    <w:name w:val="图 Char"/>
    <w:autoRedefine/>
    <w:qFormat/>
    <w:uiPriority w:val="0"/>
    <w:rPr>
      <w:rFonts w:ascii="Times New Roman" w:hAnsi="Times New Roman" w:eastAsia="黑体" w:cs="Times New Roman"/>
      <w:b/>
      <w:sz w:val="24"/>
      <w:lang w:val="en-US" w:eastAsia="zh-CN" w:bidi="ar-SA"/>
    </w:rPr>
  </w:style>
  <w:style w:type="character" w:customStyle="1" w:styleId="206">
    <w:name w:val="文档正文 Char"/>
    <w:link w:val="207"/>
    <w:autoRedefine/>
    <w:qFormat/>
    <w:uiPriority w:val="0"/>
    <w:rPr>
      <w:rFonts w:ascii="宋体" w:hAnsi="宋体" w:eastAsia="宋体" w:cs="Times New Roman"/>
      <w:kern w:val="2"/>
      <w:sz w:val="24"/>
      <w:lang w:bidi="ar-SA"/>
    </w:rPr>
  </w:style>
  <w:style w:type="paragraph" w:customStyle="1" w:styleId="207">
    <w:name w:val="文档正文"/>
    <w:basedOn w:val="1"/>
    <w:link w:val="206"/>
    <w:autoRedefine/>
    <w:qFormat/>
    <w:uiPriority w:val="0"/>
    <w:pPr>
      <w:widowControl/>
      <w:spacing w:beforeLines="50" w:afterAutospacing="1" w:line="360" w:lineRule="auto"/>
      <w:jc w:val="left"/>
    </w:pPr>
    <w:rPr>
      <w:rFonts w:ascii="宋体" w:hAnsi="宋体"/>
      <w:sz w:val="24"/>
      <w:szCs w:val="20"/>
    </w:rPr>
  </w:style>
  <w:style w:type="character" w:customStyle="1" w:styleId="208">
    <w:name w:val="Char Char13"/>
    <w:autoRedefine/>
    <w:qFormat/>
    <w:uiPriority w:val="0"/>
    <w:rPr>
      <w:rFonts w:ascii="Arial" w:hAnsi="Arial" w:eastAsia="黑体" w:cs="Times New Roman"/>
      <w:b/>
      <w:bCs/>
      <w:kern w:val="2"/>
      <w:sz w:val="24"/>
      <w:szCs w:val="24"/>
      <w:lang w:val="en-US" w:eastAsia="zh-CN" w:bidi="ar-SA"/>
    </w:rPr>
  </w:style>
  <w:style w:type="character" w:customStyle="1" w:styleId="209">
    <w:name w:val="普通文字1 Char1"/>
    <w:autoRedefine/>
    <w:qFormat/>
    <w:uiPriority w:val="0"/>
    <w:rPr>
      <w:rFonts w:ascii="宋体" w:hAnsi="Courier New" w:eastAsia="宋体" w:cs="Times New Roman"/>
      <w:kern w:val="2"/>
      <w:sz w:val="24"/>
    </w:rPr>
  </w:style>
  <w:style w:type="character" w:customStyle="1" w:styleId="210">
    <w:name w:val="标题 4 Char"/>
    <w:autoRedefine/>
    <w:qFormat/>
    <w:uiPriority w:val="0"/>
    <w:rPr>
      <w:rFonts w:ascii="Cambria" w:hAnsi="Cambria" w:eastAsia="宋体" w:cs="Times New Roman"/>
      <w:b/>
      <w:sz w:val="28"/>
    </w:rPr>
  </w:style>
  <w:style w:type="character" w:customStyle="1" w:styleId="211">
    <w:name w:val="正文文本缩进 Char"/>
    <w:autoRedefine/>
    <w:qFormat/>
    <w:uiPriority w:val="0"/>
    <w:rPr>
      <w:rFonts w:ascii="Times New Roman" w:hAnsi="Times New Roman" w:eastAsia="方正书宋简体" w:cs="Times New Roman"/>
      <w:kern w:val="2"/>
      <w:sz w:val="24"/>
      <w:szCs w:val="24"/>
      <w:lang w:val="en-US" w:eastAsia="zh-CN" w:bidi="ar-SA"/>
    </w:rPr>
  </w:style>
  <w:style w:type="character" w:customStyle="1" w:styleId="212">
    <w:name w:val="普通文字1 Char"/>
    <w:autoRedefine/>
    <w:qFormat/>
    <w:uiPriority w:val="0"/>
    <w:rPr>
      <w:rFonts w:ascii="宋体" w:hAnsi="Courier New" w:eastAsia="宋体" w:cs="Courier New"/>
      <w:kern w:val="2"/>
      <w:sz w:val="21"/>
      <w:szCs w:val="21"/>
      <w:lang w:val="en-US" w:eastAsia="zh-CN" w:bidi="ar-SA"/>
    </w:rPr>
  </w:style>
  <w:style w:type="character" w:customStyle="1" w:styleId="213">
    <w:name w:val="正文首行缩进 Char1"/>
    <w:autoRedefine/>
    <w:qFormat/>
    <w:uiPriority w:val="0"/>
    <w:rPr>
      <w:rFonts w:ascii="仿宋_GB2312" w:hAnsi="Times New Roman" w:eastAsia="仿宋_GB2312" w:cs="Times New Roman"/>
      <w:sz w:val="24"/>
      <w:lang w:val="en-US" w:eastAsia="zh-CN"/>
    </w:rPr>
  </w:style>
  <w:style w:type="character" w:customStyle="1" w:styleId="214">
    <w:name w:val="tw4winMark"/>
    <w:autoRedefine/>
    <w:qFormat/>
    <w:uiPriority w:val="0"/>
    <w:rPr>
      <w:rFonts w:ascii="Courier New" w:hAnsi="Courier New" w:eastAsia="宋体" w:cs="Courier New"/>
      <w:vanish/>
      <w:color w:val="800080"/>
      <w:vertAlign w:val="subscript"/>
    </w:rPr>
  </w:style>
  <w:style w:type="character" w:customStyle="1" w:styleId="215">
    <w:name w:val="_正文段落 Char"/>
    <w:autoRedefine/>
    <w:qFormat/>
    <w:uiPriority w:val="0"/>
    <w:rPr>
      <w:rFonts w:ascii="Times New Roman" w:hAnsi="Times New Roman" w:eastAsia="宋体" w:cs="Times New Roman"/>
      <w:kern w:val="2"/>
      <w:sz w:val="21"/>
      <w:szCs w:val="24"/>
      <w:lang w:val="en-US" w:eastAsia="zh-CN" w:bidi="ar-SA"/>
    </w:rPr>
  </w:style>
  <w:style w:type="character" w:customStyle="1" w:styleId="216">
    <w:name w:val="标题 2 Char1"/>
    <w:autoRedefine/>
    <w:qFormat/>
    <w:uiPriority w:val="0"/>
    <w:rPr>
      <w:rFonts w:ascii="宋体" w:hAnsi="宋体" w:eastAsia="宋体" w:cs="宋体"/>
      <w:b/>
      <w:bCs/>
      <w:kern w:val="2"/>
      <w:sz w:val="21"/>
      <w:szCs w:val="21"/>
      <w:lang w:val="en-US" w:eastAsia="zh-CN" w:bidi="ar-SA"/>
    </w:rPr>
  </w:style>
  <w:style w:type="character" w:customStyle="1" w:styleId="217">
    <w:name w:val="标题2 Char"/>
    <w:autoRedefine/>
    <w:qFormat/>
    <w:uiPriority w:val="0"/>
    <w:rPr>
      <w:rFonts w:ascii="Cambria" w:hAnsi="Cambria" w:eastAsia="黑体" w:cs="Times New Roman"/>
      <w:b/>
      <w:sz w:val="30"/>
    </w:rPr>
  </w:style>
  <w:style w:type="character" w:customStyle="1" w:styleId="218">
    <w:name w:val="Char Char17"/>
    <w:autoRedefine/>
    <w:qFormat/>
    <w:uiPriority w:val="0"/>
    <w:rPr>
      <w:rFonts w:ascii="Arial" w:hAnsi="Arial" w:eastAsia="黑体" w:cs="Times New Roman"/>
      <w:b/>
      <w:sz w:val="32"/>
    </w:rPr>
  </w:style>
  <w:style w:type="character" w:customStyle="1" w:styleId="219">
    <w:name w:val="普通文字 Char Char3"/>
    <w:autoRedefine/>
    <w:qFormat/>
    <w:uiPriority w:val="0"/>
    <w:rPr>
      <w:rFonts w:ascii="宋体" w:hAnsi="宋体" w:eastAsia="宋体" w:cs="Times New Roman"/>
      <w:color w:val="000000"/>
      <w:sz w:val="24"/>
      <w:lang w:val="en-US" w:eastAsia="zh-CN"/>
    </w:rPr>
  </w:style>
  <w:style w:type="character" w:customStyle="1" w:styleId="220">
    <w:name w:val="Char Char8"/>
    <w:autoRedefine/>
    <w:qFormat/>
    <w:uiPriority w:val="0"/>
    <w:rPr>
      <w:rFonts w:ascii="宋体" w:hAnsi="宋体" w:eastAsia="宋体" w:cs="Times New Roman"/>
      <w:color w:val="000000"/>
      <w:sz w:val="24"/>
      <w:lang w:val="en-US" w:eastAsia="zh-CN"/>
    </w:rPr>
  </w:style>
  <w:style w:type="paragraph" w:customStyle="1" w:styleId="221">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2">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3">
    <w:name w:val="postmetadata"/>
    <w:basedOn w:val="1"/>
    <w:autoRedefine/>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4">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5">
    <w:name w:val="_标题5"/>
    <w:basedOn w:val="7"/>
    <w:next w:val="226"/>
    <w:autoRedefine/>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26">
    <w:name w:val="_正文段落"/>
    <w:basedOn w:val="1"/>
    <w:autoRedefine/>
    <w:qFormat/>
    <w:uiPriority w:val="0"/>
    <w:pPr>
      <w:spacing w:beforeLines="15" w:afterLines="15" w:line="360" w:lineRule="auto"/>
      <w:ind w:firstLine="200" w:firstLineChars="200"/>
    </w:pPr>
    <w:rPr>
      <w:szCs w:val="24"/>
    </w:rPr>
  </w:style>
  <w:style w:type="paragraph" w:customStyle="1" w:styleId="227">
    <w:name w:val="Default"/>
    <w:autoRedefine/>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28">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29">
    <w:name w:val="font8"/>
    <w:basedOn w:val="1"/>
    <w:autoRedefine/>
    <w:qFormat/>
    <w:uiPriority w:val="0"/>
    <w:pPr>
      <w:widowControl/>
      <w:spacing w:before="100" w:beforeAutospacing="1" w:after="100" w:afterAutospacing="1"/>
      <w:jc w:val="left"/>
    </w:pPr>
    <w:rPr>
      <w:kern w:val="0"/>
      <w:sz w:val="22"/>
      <w:szCs w:val="22"/>
    </w:rPr>
  </w:style>
  <w:style w:type="paragraph" w:customStyle="1" w:styleId="23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Char11"/>
    <w:basedOn w:val="1"/>
    <w:autoRedefine/>
    <w:qFormat/>
    <w:uiPriority w:val="0"/>
    <w:pPr>
      <w:tabs>
        <w:tab w:val="left" w:pos="1200"/>
      </w:tabs>
      <w:ind w:left="1200" w:hanging="720"/>
    </w:pPr>
    <w:rPr>
      <w:sz w:val="24"/>
      <w:szCs w:val="24"/>
    </w:rPr>
  </w:style>
  <w:style w:type="paragraph" w:customStyle="1" w:styleId="232">
    <w:name w:val="_标题2"/>
    <w:basedOn w:val="4"/>
    <w:next w:val="226"/>
    <w:autoRedefine/>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3">
    <w:name w:val="p19"/>
    <w:basedOn w:val="1"/>
    <w:autoRedefine/>
    <w:qFormat/>
    <w:uiPriority w:val="0"/>
    <w:pPr>
      <w:widowControl/>
      <w:spacing w:line="360" w:lineRule="auto"/>
      <w:ind w:firstLine="420"/>
    </w:pPr>
    <w:rPr>
      <w:kern w:val="0"/>
      <w:sz w:val="24"/>
      <w:szCs w:val="24"/>
    </w:rPr>
  </w:style>
  <w:style w:type="paragraph" w:customStyle="1" w:styleId="234">
    <w:name w:val="Pa10"/>
    <w:basedOn w:val="227"/>
    <w:next w:val="227"/>
    <w:autoRedefine/>
    <w:qFormat/>
    <w:uiPriority w:val="0"/>
    <w:pPr>
      <w:spacing w:line="181" w:lineRule="atLeast"/>
    </w:pPr>
    <w:rPr>
      <w:rFonts w:ascii="文鼎" w:eastAsia="文鼎" w:cs="文鼎"/>
      <w:color w:val="auto"/>
    </w:rPr>
  </w:style>
  <w:style w:type="paragraph" w:customStyle="1" w:styleId="235">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Char Char Char Char Char Char Char Char Char Char Char Char Char Char Char Char"/>
    <w:basedOn w:val="1"/>
    <w:autoRedefine/>
    <w:qFormat/>
    <w:uiPriority w:val="0"/>
    <w:rPr>
      <w:sz w:val="24"/>
      <w:szCs w:val="24"/>
    </w:rPr>
  </w:style>
  <w:style w:type="paragraph" w:customStyle="1" w:styleId="23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38">
    <w:name w:val="正文编码"/>
    <w:basedOn w:val="43"/>
    <w:autoRedefine/>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39">
    <w:name w:val="标题 11"/>
    <w:basedOn w:val="1"/>
    <w:autoRedefine/>
    <w:qFormat/>
    <w:uiPriority w:val="0"/>
    <w:pPr>
      <w:spacing w:afterLines="100" w:line="360" w:lineRule="auto"/>
    </w:pPr>
    <w:rPr>
      <w:sz w:val="24"/>
      <w:szCs w:val="24"/>
    </w:rPr>
  </w:style>
  <w:style w:type="paragraph" w:customStyle="1" w:styleId="240">
    <w:name w:val="图格式"/>
    <w:basedOn w:val="1"/>
    <w:autoRedefine/>
    <w:qFormat/>
    <w:uiPriority w:val="0"/>
    <w:pPr>
      <w:jc w:val="center"/>
    </w:pPr>
    <w:rPr>
      <w:rFonts w:ascii="Arial" w:hAnsi="Arial" w:eastAsia="微软雅黑" w:cs="Arial"/>
    </w:rPr>
  </w:style>
  <w:style w:type="paragraph" w:customStyle="1" w:styleId="241">
    <w:name w:val="_正文段落加粗"/>
    <w:basedOn w:val="226"/>
    <w:autoRedefine/>
    <w:qFormat/>
    <w:uiPriority w:val="0"/>
    <w:pPr>
      <w:spacing w:beforeLines="0" w:afterLines="0"/>
      <w:ind w:firstLine="480"/>
    </w:pPr>
    <w:rPr>
      <w:b/>
    </w:rPr>
  </w:style>
  <w:style w:type="paragraph" w:customStyle="1" w:styleId="242">
    <w:name w:val="正文 居中"/>
    <w:basedOn w:val="1"/>
    <w:autoRedefine/>
    <w:qFormat/>
    <w:uiPriority w:val="0"/>
    <w:pPr>
      <w:spacing w:line="360" w:lineRule="auto"/>
      <w:jc w:val="center"/>
    </w:pPr>
    <w:rPr>
      <w:sz w:val="24"/>
      <w:szCs w:val="24"/>
    </w:rPr>
  </w:style>
  <w:style w:type="paragraph" w:customStyle="1" w:styleId="243">
    <w:name w:val="图题"/>
    <w:basedOn w:val="1"/>
    <w:next w:val="1"/>
    <w:autoRedefine/>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Normal 2"/>
    <w:basedOn w:val="1"/>
    <w:autoRedefine/>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4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48">
    <w:name w:val="Item List"/>
    <w:basedOn w:val="1"/>
    <w:autoRedefine/>
    <w:qFormat/>
    <w:uiPriority w:val="0"/>
    <w:pPr>
      <w:tabs>
        <w:tab w:val="left" w:pos="700"/>
      </w:tabs>
      <w:spacing w:before="120"/>
      <w:ind w:firstLine="340"/>
      <w:jc w:val="left"/>
    </w:pPr>
    <w:rPr>
      <w:kern w:val="0"/>
    </w:rPr>
  </w:style>
  <w:style w:type="paragraph" w:customStyle="1" w:styleId="24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2">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53">
    <w:name w:val="_Style 6"/>
    <w:basedOn w:val="1"/>
    <w:autoRedefine/>
    <w:qFormat/>
    <w:uiPriority w:val="0"/>
    <w:pPr>
      <w:ind w:firstLine="420"/>
    </w:pPr>
  </w:style>
  <w:style w:type="paragraph" w:customStyle="1" w:styleId="254">
    <w:name w:val="CM37"/>
    <w:basedOn w:val="227"/>
    <w:next w:val="227"/>
    <w:autoRedefine/>
    <w:qFormat/>
    <w:uiPriority w:val="0"/>
    <w:pPr>
      <w:spacing w:after="533" w:line="360" w:lineRule="auto"/>
      <w:ind w:firstLine="578"/>
    </w:pPr>
    <w:rPr>
      <w:rFonts w:ascii="宋体" w:eastAsia="宋体" w:cs="Times New Roman"/>
      <w:color w:val="auto"/>
    </w:rPr>
  </w:style>
  <w:style w:type="paragraph" w:customStyle="1" w:styleId="2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56">
    <w:name w:val="*正文"/>
    <w:basedOn w:val="1"/>
    <w:autoRedefine/>
    <w:qFormat/>
    <w:uiPriority w:val="0"/>
    <w:pPr>
      <w:widowControl/>
      <w:ind w:firstLine="200" w:firstLineChars="200"/>
    </w:pPr>
    <w:rPr>
      <w:rFonts w:ascii="仿宋_GB2312" w:eastAsia="仿宋_GB2312" w:cs="仿宋_GB2312"/>
      <w:sz w:val="24"/>
      <w:szCs w:val="24"/>
    </w:rPr>
  </w:style>
  <w:style w:type="paragraph" w:customStyle="1" w:styleId="257">
    <w:name w:val="内容编号"/>
    <w:autoRedefine/>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9">
    <w:name w:val="Figure Description"/>
    <w:basedOn w:val="1"/>
    <w:next w:val="1"/>
    <w:autoRedefine/>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0">
    <w:name w:val="Char Char1 Char Char Char Char"/>
    <w:basedOn w:val="1"/>
    <w:autoRedefine/>
    <w:qFormat/>
    <w:uiPriority w:val="0"/>
    <w:rPr>
      <w:rFonts w:ascii="Tahoma" w:hAnsi="Tahoma" w:cs="Tahoma"/>
      <w:sz w:val="24"/>
      <w:szCs w:val="24"/>
    </w:rPr>
  </w:style>
  <w:style w:type="paragraph" w:customStyle="1" w:styleId="261">
    <w:name w:val="公文行文"/>
    <w:basedOn w:val="1"/>
    <w:autoRedefine/>
    <w:qFormat/>
    <w:uiPriority w:val="0"/>
    <w:pPr>
      <w:spacing w:line="360" w:lineRule="auto"/>
      <w:ind w:firstLine="200" w:firstLineChars="200"/>
    </w:pPr>
    <w:rPr>
      <w:rFonts w:eastAsia="仿宋_GB2312"/>
      <w:sz w:val="28"/>
      <w:szCs w:val="24"/>
    </w:rPr>
  </w:style>
  <w:style w:type="paragraph" w:customStyle="1" w:styleId="262">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3">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4">
    <w:name w:val="列表样式(一级)"/>
    <w:basedOn w:val="1"/>
    <w:autoRedefine/>
    <w:qFormat/>
    <w:uiPriority w:val="0"/>
    <w:pPr>
      <w:spacing w:before="160" w:after="160" w:line="280" w:lineRule="exact"/>
      <w:ind w:left="420" w:hanging="420"/>
      <w:jc w:val="left"/>
    </w:pPr>
    <w:rPr>
      <w:rFonts w:eastAsia="华文细黑"/>
      <w:color w:val="505050"/>
      <w:sz w:val="16"/>
      <w:szCs w:val="16"/>
    </w:rPr>
  </w:style>
  <w:style w:type="paragraph" w:customStyle="1" w:styleId="265">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66">
    <w:name w:val="图表"/>
    <w:basedOn w:val="1"/>
    <w:autoRedefine/>
    <w:qFormat/>
    <w:uiPriority w:val="0"/>
    <w:pPr>
      <w:spacing w:line="360" w:lineRule="auto"/>
      <w:jc w:val="center"/>
    </w:pPr>
    <w:rPr>
      <w:rFonts w:ascii="Calibri" w:hAnsi="Calibri" w:cs="Calibri"/>
    </w:rPr>
  </w:style>
  <w:style w:type="paragraph" w:customStyle="1" w:styleId="267">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68">
    <w:name w:val="Char Char Char Char Char Char Char Char Char Char"/>
    <w:basedOn w:val="1"/>
    <w:autoRedefine/>
    <w:qFormat/>
    <w:uiPriority w:val="0"/>
    <w:pPr>
      <w:widowControl/>
      <w:spacing w:after="160" w:line="240" w:lineRule="exact"/>
      <w:jc w:val="left"/>
    </w:pPr>
  </w:style>
  <w:style w:type="paragraph" w:customStyle="1" w:styleId="26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1">
    <w:name w:val="Char2"/>
    <w:basedOn w:val="17"/>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272">
    <w:name w:val="Pa9"/>
    <w:basedOn w:val="227"/>
    <w:next w:val="227"/>
    <w:autoRedefine/>
    <w:qFormat/>
    <w:uiPriority w:val="0"/>
    <w:pPr>
      <w:spacing w:line="201" w:lineRule="atLeast"/>
    </w:pPr>
    <w:rPr>
      <w:rFonts w:ascii="文鼎" w:eastAsia="文鼎" w:cs="文鼎"/>
      <w:color w:val="auto"/>
    </w:rPr>
  </w:style>
  <w:style w:type="paragraph" w:customStyle="1" w:styleId="273">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75">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7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Body Text First Indent 21"/>
    <w:basedOn w:val="1"/>
    <w:autoRedefine/>
    <w:qFormat/>
    <w:uiPriority w:val="0"/>
    <w:pPr>
      <w:ind w:left="420" w:leftChars="200" w:firstLine="420"/>
    </w:pPr>
  </w:style>
  <w:style w:type="paragraph" w:customStyle="1" w:styleId="278">
    <w:name w:val="图"/>
    <w:basedOn w:val="1"/>
    <w:next w:val="207"/>
    <w:autoRedefine/>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79">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0">
    <w:name w:val="编号，小四"/>
    <w:basedOn w:val="1"/>
    <w:autoRedefine/>
    <w:qFormat/>
    <w:uiPriority w:val="0"/>
    <w:pPr>
      <w:spacing w:line="360" w:lineRule="auto"/>
      <w:ind w:left="420"/>
    </w:pPr>
    <w:rPr>
      <w:rFonts w:ascii="Arial" w:hAnsi="Arial" w:cs="Arial"/>
      <w:sz w:val="24"/>
      <w:szCs w:val="24"/>
    </w:rPr>
  </w:style>
  <w:style w:type="paragraph" w:customStyle="1" w:styleId="281">
    <w:name w:val="列出段落2"/>
    <w:basedOn w:val="1"/>
    <w:autoRedefine/>
    <w:qFormat/>
    <w:uiPriority w:val="0"/>
    <w:pPr>
      <w:ind w:firstLine="420"/>
    </w:pPr>
    <w:rPr>
      <w:kern w:val="0"/>
    </w:rPr>
  </w:style>
  <w:style w:type="paragraph" w:customStyle="1" w:styleId="282">
    <w:name w:val="Table Paragraph"/>
    <w:basedOn w:val="1"/>
    <w:autoRedefine/>
    <w:qFormat/>
    <w:uiPriority w:val="1"/>
    <w:pPr>
      <w:autoSpaceDE w:val="0"/>
      <w:autoSpaceDN w:val="0"/>
      <w:adjustRightInd w:val="0"/>
      <w:jc w:val="left"/>
    </w:pPr>
    <w:rPr>
      <w:kern w:val="0"/>
      <w:sz w:val="24"/>
      <w:szCs w:val="24"/>
    </w:rPr>
  </w:style>
  <w:style w:type="paragraph" w:customStyle="1" w:styleId="283">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4">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8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6">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87">
    <w:name w:val="样式 标题 5口H5PIM 5h5Level 3 - iheading 51.1.1.1.1标题 5标ghfhg..."/>
    <w:basedOn w:val="7"/>
    <w:autoRedefine/>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8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9">
    <w:name w:val="中等深浅网格 2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正文(首行缩进)"/>
    <w:basedOn w:val="1"/>
    <w:autoRedefine/>
    <w:qFormat/>
    <w:uiPriority w:val="0"/>
    <w:pPr>
      <w:spacing w:line="360" w:lineRule="auto"/>
      <w:ind w:firstLine="200" w:firstLineChars="200"/>
    </w:pPr>
    <w:rPr>
      <w:rFonts w:ascii="Arial Narrow" w:hAnsi="Arial Narrow" w:eastAsia="楷体_GB2312"/>
      <w:sz w:val="24"/>
      <w:szCs w:val="24"/>
    </w:rPr>
  </w:style>
  <w:style w:type="paragraph" w:customStyle="1" w:styleId="291">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4">
    <w:name w:val="xl73"/>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95">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6">
    <w:name w:val="默认段落字体 Para Char Char Char Char Char Char Char Char Char Char"/>
    <w:basedOn w:val="1"/>
    <w:autoRedefine/>
    <w:qFormat/>
    <w:uiPriority w:val="0"/>
    <w:rPr>
      <w:rFonts w:ascii="Tahoma" w:hAnsi="Tahoma" w:cs="Tahoma"/>
      <w:sz w:val="24"/>
      <w:szCs w:val="24"/>
    </w:rPr>
  </w:style>
  <w:style w:type="paragraph" w:customStyle="1" w:styleId="297">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Char Char1 Char"/>
    <w:basedOn w:val="1"/>
    <w:autoRedefine/>
    <w:qFormat/>
    <w:uiPriority w:val="0"/>
    <w:pPr>
      <w:spacing w:line="360" w:lineRule="auto"/>
    </w:pPr>
    <w:rPr>
      <w:rFonts w:ascii="Tahoma" w:hAnsi="Tahoma"/>
      <w:sz w:val="24"/>
      <w:szCs w:val="20"/>
    </w:rPr>
  </w:style>
  <w:style w:type="paragraph" w:customStyle="1" w:styleId="299">
    <w:name w:val="四级条标题"/>
    <w:basedOn w:val="300"/>
    <w:next w:val="1"/>
    <w:autoRedefine/>
    <w:qFormat/>
    <w:uiPriority w:val="0"/>
    <w:pPr>
      <w:tabs>
        <w:tab w:val="left" w:pos="360"/>
      </w:tabs>
      <w:outlineLvl w:val="5"/>
    </w:pPr>
  </w:style>
  <w:style w:type="paragraph" w:customStyle="1" w:styleId="300">
    <w:name w:val="三级条标题"/>
    <w:basedOn w:val="301"/>
    <w:next w:val="1"/>
    <w:autoRedefine/>
    <w:qFormat/>
    <w:uiPriority w:val="0"/>
    <w:pPr>
      <w:tabs>
        <w:tab w:val="left" w:pos="360"/>
      </w:tabs>
      <w:outlineLvl w:val="4"/>
    </w:pPr>
  </w:style>
  <w:style w:type="paragraph" w:customStyle="1" w:styleId="301">
    <w:name w:val="二级条标题"/>
    <w:basedOn w:val="302"/>
    <w:next w:val="1"/>
    <w:autoRedefine/>
    <w:qFormat/>
    <w:uiPriority w:val="0"/>
    <w:pPr>
      <w:tabs>
        <w:tab w:val="left" w:pos="360"/>
      </w:tabs>
      <w:outlineLvl w:val="3"/>
    </w:pPr>
  </w:style>
  <w:style w:type="paragraph" w:customStyle="1" w:styleId="302">
    <w:name w:val="一级条标题"/>
    <w:basedOn w:val="262"/>
    <w:next w:val="1"/>
    <w:autoRedefine/>
    <w:qFormat/>
    <w:uiPriority w:val="0"/>
    <w:pPr>
      <w:spacing w:beforeLines="0" w:afterLines="0"/>
      <w:outlineLvl w:val="2"/>
    </w:pPr>
    <w:rPr>
      <w:rFonts w:ascii="Times New Roman" w:eastAsia="宋体"/>
    </w:rPr>
  </w:style>
  <w:style w:type="paragraph" w:customStyle="1" w:styleId="303">
    <w:name w:val="_表格标题"/>
    <w:basedOn w:val="304"/>
    <w:autoRedefine/>
    <w:qFormat/>
    <w:uiPriority w:val="0"/>
    <w:pPr>
      <w:spacing w:beforeLines="30" w:afterLines="30"/>
      <w:jc w:val="center"/>
    </w:pPr>
    <w:rPr>
      <w:b/>
      <w:sz w:val="24"/>
    </w:rPr>
  </w:style>
  <w:style w:type="paragraph" w:customStyle="1" w:styleId="304">
    <w:name w:val="_表格文字"/>
    <w:basedOn w:val="1"/>
    <w:autoRedefine/>
    <w:qFormat/>
    <w:uiPriority w:val="0"/>
    <w:pPr>
      <w:spacing w:beforeLines="10" w:afterLines="10"/>
    </w:pPr>
    <w:rPr>
      <w:szCs w:val="24"/>
    </w:rPr>
  </w:style>
  <w:style w:type="paragraph" w:customStyle="1" w:styleId="30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0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7">
    <w:name w:val="新华社正文"/>
    <w:basedOn w:val="1"/>
    <w:autoRedefine/>
    <w:qFormat/>
    <w:uiPriority w:val="0"/>
    <w:pPr>
      <w:snapToGrid w:val="0"/>
      <w:spacing w:line="360" w:lineRule="auto"/>
      <w:ind w:right="-36" w:firstLine="360" w:firstLineChars="150"/>
      <w:jc w:val="left"/>
    </w:pPr>
    <w:rPr>
      <w:rFonts w:ascii="Arial" w:hAnsi="Arial"/>
      <w:sz w:val="24"/>
      <w:szCs w:val="24"/>
    </w:rPr>
  </w:style>
  <w:style w:type="paragraph" w:customStyle="1" w:styleId="308">
    <w:name w:val="xl34"/>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0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0">
    <w:name w:val="标题 21"/>
    <w:basedOn w:val="1"/>
    <w:autoRedefine/>
    <w:qFormat/>
    <w:uiPriority w:val="0"/>
    <w:pPr>
      <w:spacing w:afterLines="100" w:line="360" w:lineRule="auto"/>
    </w:pPr>
    <w:rPr>
      <w:sz w:val="24"/>
      <w:szCs w:val="24"/>
    </w:rPr>
  </w:style>
  <w:style w:type="paragraph" w:customStyle="1" w:styleId="31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2">
    <w:name w:val="xl7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15">
    <w:name w:val="xl25"/>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1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8">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9">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20">
    <w:name w:val="_标题1"/>
    <w:basedOn w:val="3"/>
    <w:next w:val="226"/>
    <w:autoRedefine/>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1">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2">
    <w:name w:val="List Paragraph"/>
    <w:basedOn w:val="1"/>
    <w:autoRedefine/>
    <w:qFormat/>
    <w:uiPriority w:val="34"/>
    <w:pPr>
      <w:ind w:left="420" w:firstLine="420" w:firstLineChars="200"/>
    </w:pPr>
    <w:rPr>
      <w:rFonts w:ascii="Calibri" w:hAnsi="Calibri"/>
      <w:szCs w:val="22"/>
    </w:rPr>
  </w:style>
  <w:style w:type="paragraph" w:customStyle="1" w:styleId="32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4">
    <w:name w:val="符号 2"/>
    <w:basedOn w:val="325"/>
    <w:autoRedefine/>
    <w:qFormat/>
    <w:uiPriority w:val="0"/>
    <w:pPr>
      <w:tabs>
        <w:tab w:val="left" w:pos="900"/>
        <w:tab w:val="left" w:pos="1320"/>
      </w:tabs>
    </w:pPr>
  </w:style>
  <w:style w:type="paragraph" w:customStyle="1" w:styleId="325">
    <w:name w:val="符号 1"/>
    <w:basedOn w:val="21"/>
    <w:autoRedefine/>
    <w:qFormat/>
    <w:uiPriority w:val="0"/>
    <w:pPr>
      <w:tabs>
        <w:tab w:val="left" w:pos="900"/>
      </w:tabs>
      <w:spacing w:line="360" w:lineRule="auto"/>
      <w:ind w:left="1200" w:hanging="720"/>
    </w:pPr>
    <w:rPr>
      <w:rFonts w:eastAsia="宋体"/>
      <w:kern w:val="28"/>
    </w:rPr>
  </w:style>
  <w:style w:type="paragraph" w:customStyle="1" w:styleId="326">
    <w:name w:val="表"/>
    <w:basedOn w:val="1"/>
    <w:next w:val="207"/>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27">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28">
    <w:name w:val="Figure"/>
    <w:basedOn w:val="1"/>
    <w:next w:val="1"/>
    <w:autoRedefine/>
    <w:qFormat/>
    <w:uiPriority w:val="0"/>
    <w:pPr>
      <w:keepNext/>
      <w:widowControl/>
      <w:snapToGrid w:val="0"/>
      <w:spacing w:before="80" w:after="80" w:line="300" w:lineRule="auto"/>
      <w:ind w:left="1135"/>
      <w:jc w:val="center"/>
    </w:pPr>
    <w:rPr>
      <w:rFonts w:ascii="Arial" w:hAnsi="Arial" w:cs="Arial"/>
      <w:kern w:val="0"/>
    </w:rPr>
  </w:style>
  <w:style w:type="paragraph" w:customStyle="1" w:styleId="329">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0">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31">
    <w:name w:val="样式6"/>
    <w:basedOn w:val="1"/>
    <w:autoRedefine/>
    <w:qFormat/>
    <w:uiPriority w:val="0"/>
    <w:pPr>
      <w:spacing w:line="360" w:lineRule="auto"/>
      <w:ind w:firstLine="200" w:firstLineChars="200"/>
      <w:jc w:val="left"/>
    </w:pPr>
    <w:rPr>
      <w:rFonts w:ascii="Calibri" w:hAnsi="Calibri"/>
      <w:sz w:val="24"/>
      <w:szCs w:val="24"/>
    </w:rPr>
  </w:style>
  <w:style w:type="paragraph" w:customStyle="1" w:styleId="33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4">
    <w:name w:val="默认段落字体 Para Char"/>
    <w:basedOn w:val="1"/>
    <w:autoRedefine/>
    <w:qFormat/>
    <w:uiPriority w:val="0"/>
    <w:rPr>
      <w:rFonts w:ascii="Tahoma" w:hAnsi="Tahoma"/>
      <w:sz w:val="24"/>
      <w:szCs w:val="20"/>
    </w:rPr>
  </w:style>
  <w:style w:type="paragraph" w:customStyle="1" w:styleId="335">
    <w:name w:val="p15"/>
    <w:basedOn w:val="1"/>
    <w:autoRedefine/>
    <w:qFormat/>
    <w:uiPriority w:val="0"/>
    <w:pPr>
      <w:widowControl/>
      <w:snapToGrid w:val="0"/>
      <w:ind w:firstLine="420"/>
      <w:jc w:val="left"/>
    </w:pPr>
    <w:rPr>
      <w:kern w:val="0"/>
    </w:rPr>
  </w:style>
  <w:style w:type="paragraph" w:customStyle="1" w:styleId="336">
    <w:name w:val="图片标注"/>
    <w:autoRedefine/>
    <w:qFormat/>
    <w:uiPriority w:val="0"/>
    <w:rPr>
      <w:rFonts w:ascii="Times New Roman" w:hAnsi="Times New Roman" w:eastAsia="宋体" w:cs="Times New Roman"/>
      <w:lang w:val="en-US" w:eastAsia="zh-CN" w:bidi="ar-SA"/>
    </w:rPr>
  </w:style>
  <w:style w:type="paragraph" w:customStyle="1" w:styleId="337">
    <w:name w:val="列出段落11"/>
    <w:basedOn w:val="1"/>
    <w:autoRedefine/>
    <w:qFormat/>
    <w:uiPriority w:val="0"/>
    <w:pPr>
      <w:ind w:firstLine="420" w:firstLineChars="200"/>
    </w:pPr>
  </w:style>
  <w:style w:type="paragraph" w:customStyle="1" w:styleId="338">
    <w:name w:val="xl58"/>
    <w:basedOn w:val="1"/>
    <w:autoRedefine/>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39">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0">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1">
    <w:name w:val="_标题3"/>
    <w:basedOn w:val="5"/>
    <w:next w:val="226"/>
    <w:autoRedefine/>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2">
    <w:name w:val="大标题"/>
    <w:basedOn w:val="1"/>
    <w:autoRedefine/>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3">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344">
    <w:name w:val="正文-带编号1)"/>
    <w:basedOn w:val="1"/>
    <w:autoRedefine/>
    <w:qFormat/>
    <w:uiPriority w:val="0"/>
    <w:pPr>
      <w:tabs>
        <w:tab w:val="left" w:pos="840"/>
      </w:tabs>
      <w:spacing w:line="400" w:lineRule="exact"/>
      <w:ind w:left="840"/>
    </w:pPr>
    <w:rPr>
      <w:rFonts w:ascii="Arial" w:hAnsi="Arial" w:cs="Arial"/>
    </w:rPr>
  </w:style>
  <w:style w:type="paragraph" w:customStyle="1" w:styleId="3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p18"/>
    <w:basedOn w:val="1"/>
    <w:autoRedefine/>
    <w:qFormat/>
    <w:uiPriority w:val="0"/>
    <w:pPr>
      <w:widowControl/>
      <w:ind w:firstLine="420"/>
    </w:pPr>
    <w:rPr>
      <w:rFonts w:ascii="宋体" w:hAnsi="宋体" w:cs="宋体"/>
      <w:kern w:val="0"/>
    </w:rPr>
  </w:style>
  <w:style w:type="paragraph" w:customStyle="1" w:styleId="34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49">
    <w:name w:val="blockquo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1">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3">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3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5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6">
    <w:name w:val="Char Char Char Char1"/>
    <w:basedOn w:val="1"/>
    <w:autoRedefine/>
    <w:qFormat/>
    <w:uiPriority w:val="0"/>
    <w:pPr>
      <w:widowControl/>
      <w:spacing w:line="400" w:lineRule="exact"/>
      <w:jc w:val="center"/>
    </w:pPr>
    <w:rPr>
      <w:rFonts w:ascii="Verdana" w:hAnsi="Verdana" w:cs="Verdana"/>
      <w:kern w:val="0"/>
      <w:lang w:eastAsia="en-US"/>
    </w:rPr>
  </w:style>
  <w:style w:type="paragraph" w:customStyle="1" w:styleId="357">
    <w:name w:val="bodytext"/>
    <w:basedOn w:val="1"/>
    <w:autoRedefine/>
    <w:qFormat/>
    <w:uiPriority w:val="0"/>
    <w:pPr>
      <w:widowControl/>
      <w:spacing w:before="140" w:line="360" w:lineRule="auto"/>
      <w:ind w:firstLine="420"/>
      <w:jc w:val="left"/>
    </w:pPr>
    <w:rPr>
      <w:rFonts w:ascii="宋体" w:hAnsi="宋体"/>
      <w:kern w:val="0"/>
    </w:rPr>
  </w:style>
  <w:style w:type="paragraph" w:customStyle="1" w:styleId="35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9">
    <w:name w:val="德山-正文"/>
    <w:basedOn w:val="1"/>
    <w:autoRedefine/>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0">
    <w:name w:val="数字条目"/>
    <w:basedOn w:val="1"/>
    <w:autoRedefine/>
    <w:qFormat/>
    <w:uiPriority w:val="0"/>
    <w:pPr>
      <w:tabs>
        <w:tab w:val="left" w:pos="1287"/>
      </w:tabs>
      <w:spacing w:line="360" w:lineRule="auto"/>
      <w:ind w:left="840"/>
    </w:pPr>
    <w:rPr>
      <w:rFonts w:ascii="Arial" w:hAnsi="Arial" w:cs="Arial"/>
    </w:rPr>
  </w:style>
  <w:style w:type="paragraph" w:customStyle="1" w:styleId="3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2">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3">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4">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6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6">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67">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368">
    <w:name w:val="font12"/>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369">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0">
    <w:name w:val="标题 31"/>
    <w:basedOn w:val="1"/>
    <w:autoRedefine/>
    <w:qFormat/>
    <w:uiPriority w:val="0"/>
    <w:pPr>
      <w:spacing w:afterLines="100" w:line="360" w:lineRule="auto"/>
    </w:pPr>
    <w:rPr>
      <w:sz w:val="24"/>
      <w:szCs w:val="24"/>
    </w:rPr>
  </w:style>
  <w:style w:type="paragraph" w:customStyle="1" w:styleId="371">
    <w:name w:val="样式 首行缩进:  0 字符"/>
    <w:basedOn w:val="1"/>
    <w:autoRedefine/>
    <w:qFormat/>
    <w:uiPriority w:val="0"/>
    <w:pPr>
      <w:spacing w:line="360" w:lineRule="auto"/>
      <w:ind w:firstLine="200" w:firstLineChars="200"/>
    </w:pPr>
    <w:rPr>
      <w:rFonts w:ascii="仿宋" w:hAnsi="仿宋" w:eastAsia="仿宋" w:cs="仿宋"/>
      <w:sz w:val="28"/>
      <w:szCs w:val="28"/>
    </w:rPr>
  </w:style>
  <w:style w:type="paragraph" w:customStyle="1" w:styleId="372">
    <w:name w:val="xl59"/>
    <w:basedOn w:val="1"/>
    <w:autoRedefine/>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3">
    <w:name w:val="pt105"/>
    <w:basedOn w:val="1"/>
    <w:autoRedefine/>
    <w:qFormat/>
    <w:uiPriority w:val="0"/>
    <w:pPr>
      <w:widowControl/>
      <w:spacing w:before="100" w:beforeAutospacing="1" w:afterLines="100"/>
      <w:jc w:val="left"/>
    </w:pPr>
    <w:rPr>
      <w:rFonts w:ascii="宋体" w:hAnsi="宋体" w:cs="宋体"/>
      <w:kern w:val="0"/>
      <w:sz w:val="24"/>
      <w:szCs w:val="24"/>
    </w:rPr>
  </w:style>
  <w:style w:type="paragraph" w:customStyle="1" w:styleId="374">
    <w:name w:val="p0"/>
    <w:basedOn w:val="1"/>
    <w:autoRedefine/>
    <w:qFormat/>
    <w:uiPriority w:val="0"/>
    <w:pPr>
      <w:widowControl/>
      <w:adjustRightInd w:val="0"/>
      <w:snapToGrid w:val="0"/>
      <w:spacing w:after="200"/>
      <w:jc w:val="left"/>
    </w:pPr>
    <w:rPr>
      <w:rFonts w:ascii="Tahoma" w:hAnsi="Tahoma" w:cs="Tahoma"/>
      <w:kern w:val="0"/>
      <w:sz w:val="22"/>
      <w:szCs w:val="22"/>
    </w:rPr>
  </w:style>
  <w:style w:type="paragraph" w:customStyle="1" w:styleId="375">
    <w:name w:val="_Style 269"/>
    <w:basedOn w:val="1"/>
    <w:autoRedefine/>
    <w:qFormat/>
    <w:uiPriority w:val="0"/>
  </w:style>
  <w:style w:type="paragraph" w:customStyle="1" w:styleId="376">
    <w:name w:val="默认段落字体 Para Char Char Char Char Char Char Char"/>
    <w:basedOn w:val="17"/>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377">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78">
    <w:name w:val="Pa6"/>
    <w:basedOn w:val="227"/>
    <w:next w:val="227"/>
    <w:autoRedefine/>
    <w:qFormat/>
    <w:uiPriority w:val="0"/>
    <w:pPr>
      <w:spacing w:line="201" w:lineRule="atLeast"/>
    </w:pPr>
    <w:rPr>
      <w:rFonts w:ascii="文鼎" w:eastAsia="文鼎" w:cs="文鼎"/>
      <w:color w:val="auto"/>
    </w:rPr>
  </w:style>
  <w:style w:type="paragraph" w:customStyle="1" w:styleId="37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0">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1">
    <w:name w:val="正文－恩普"/>
    <w:basedOn w:val="15"/>
    <w:autoRedefine/>
    <w:qFormat/>
    <w:uiPriority w:val="0"/>
    <w:pPr>
      <w:widowControl/>
      <w:spacing w:line="360" w:lineRule="auto"/>
      <w:ind w:firstLine="480"/>
      <w:jc w:val="left"/>
    </w:pPr>
    <w:rPr>
      <w:kern w:val="0"/>
    </w:rPr>
  </w:style>
  <w:style w:type="paragraph" w:customStyle="1" w:styleId="382">
    <w:name w:val="font11"/>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383">
    <w:name w:val="_标题6"/>
    <w:basedOn w:val="8"/>
    <w:next w:val="226"/>
    <w:autoRedefine/>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85">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86">
    <w:name w:val="程序段"/>
    <w:basedOn w:val="1"/>
    <w:autoRedefine/>
    <w:qFormat/>
    <w:uiPriority w:val="0"/>
    <w:pPr>
      <w:ind w:firstLine="420" w:firstLineChars="200"/>
    </w:pPr>
    <w:rPr>
      <w:rFonts w:ascii="Courier" w:hAnsi="Courier"/>
      <w:szCs w:val="24"/>
    </w:rPr>
  </w:style>
  <w:style w:type="paragraph" w:customStyle="1" w:styleId="38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88">
    <w:name w:val="缺省文本"/>
    <w:basedOn w:val="1"/>
    <w:autoRedefine/>
    <w:qFormat/>
    <w:uiPriority w:val="0"/>
    <w:pPr>
      <w:autoSpaceDE w:val="0"/>
      <w:autoSpaceDN w:val="0"/>
      <w:adjustRightInd w:val="0"/>
      <w:ind w:firstLine="454"/>
    </w:pPr>
    <w:rPr>
      <w:sz w:val="24"/>
      <w:szCs w:val="24"/>
    </w:rPr>
  </w:style>
  <w:style w:type="paragraph" w:customStyle="1" w:styleId="389">
    <w:name w:val="列出段落3"/>
    <w:basedOn w:val="1"/>
    <w:autoRedefine/>
    <w:qFormat/>
    <w:uiPriority w:val="0"/>
    <w:pPr>
      <w:ind w:firstLine="420" w:firstLineChars="200"/>
    </w:pPr>
    <w:rPr>
      <w:rFonts w:ascii="Calibri" w:hAnsi="Calibri"/>
      <w:szCs w:val="22"/>
    </w:rPr>
  </w:style>
  <w:style w:type="paragraph" w:customStyle="1" w:styleId="39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1">
    <w:name w:val="CM13"/>
    <w:basedOn w:val="227"/>
    <w:next w:val="227"/>
    <w:autoRedefine/>
    <w:qFormat/>
    <w:uiPriority w:val="0"/>
    <w:pPr>
      <w:spacing w:line="468" w:lineRule="atLeast"/>
      <w:ind w:firstLine="578"/>
    </w:pPr>
    <w:rPr>
      <w:rFonts w:ascii="宋体" w:eastAsia="宋体" w:cs="Times New Roman"/>
      <w:color w:val="auto"/>
    </w:rPr>
  </w:style>
  <w:style w:type="paragraph" w:customStyle="1" w:styleId="392">
    <w:name w:val="_标题4"/>
    <w:basedOn w:val="6"/>
    <w:next w:val="226"/>
    <w:autoRedefine/>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3">
    <w:name w:val="标题 2 华文中宋"/>
    <w:basedOn w:val="4"/>
    <w:autoRedefine/>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4">
    <w:name w:val="font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95">
    <w:name w:val="方案标题2"/>
    <w:basedOn w:val="1"/>
    <w:next w:val="1"/>
    <w:autoRedefine/>
    <w:qFormat/>
    <w:uiPriority w:val="0"/>
    <w:pPr>
      <w:keepLines/>
      <w:adjustRightInd w:val="0"/>
      <w:ind w:left="1260" w:hanging="420"/>
      <w:outlineLvl w:val="1"/>
    </w:pPr>
    <w:rPr>
      <w:rFonts w:ascii="宋体" w:hAnsi="宋体" w:cs="宋体"/>
      <w:spacing w:val="14"/>
      <w:kern w:val="0"/>
      <w:sz w:val="28"/>
      <w:szCs w:val="28"/>
    </w:rPr>
  </w:style>
  <w:style w:type="paragraph" w:customStyle="1" w:styleId="39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正文首行缩进两字符"/>
    <w:basedOn w:val="1"/>
    <w:autoRedefine/>
    <w:qFormat/>
    <w:uiPriority w:val="0"/>
    <w:pPr>
      <w:spacing w:line="300" w:lineRule="auto"/>
      <w:ind w:firstLine="200" w:firstLineChars="200"/>
    </w:pPr>
    <w:rPr>
      <w:rFonts w:ascii="Arial" w:hAnsi="Arial"/>
      <w:sz w:val="24"/>
      <w:szCs w:val="24"/>
    </w:rPr>
  </w:style>
  <w:style w:type="paragraph" w:customStyle="1" w:styleId="398">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399">
    <w:name w:val="GW-正文"/>
    <w:autoRedefine/>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1">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2">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403">
    <w:name w:val="图片"/>
    <w:basedOn w:val="1"/>
    <w:autoRedefine/>
    <w:qFormat/>
    <w:uiPriority w:val="0"/>
    <w:pPr>
      <w:jc w:val="center"/>
    </w:pPr>
  </w:style>
  <w:style w:type="paragraph" w:customStyle="1" w:styleId="404">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05">
    <w:name w:val="xl60"/>
    <w:basedOn w:val="1"/>
    <w:autoRedefine/>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7">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408">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09">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0">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4">
    <w:name w:val="List Paragraph11"/>
    <w:basedOn w:val="1"/>
    <w:autoRedefine/>
    <w:qFormat/>
    <w:uiPriority w:val="0"/>
    <w:pPr>
      <w:autoSpaceDE w:val="0"/>
      <w:autoSpaceDN w:val="0"/>
      <w:adjustRightInd w:val="0"/>
      <w:spacing w:line="360" w:lineRule="auto"/>
      <w:ind w:firstLine="420" w:firstLineChars="200"/>
      <w:jc w:val="left"/>
    </w:pPr>
    <w:rPr>
      <w:kern w:val="0"/>
      <w:sz w:val="20"/>
      <w:szCs w:val="20"/>
    </w:rPr>
  </w:style>
  <w:style w:type="paragraph" w:customStyle="1" w:styleId="41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416">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7">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8">
    <w:name w:val="标题 22"/>
    <w:basedOn w:val="1"/>
    <w:autoRedefine/>
    <w:qFormat/>
    <w:uiPriority w:val="0"/>
    <w:pPr>
      <w:spacing w:afterLines="100" w:line="360" w:lineRule="auto"/>
    </w:pPr>
    <w:rPr>
      <w:sz w:val="24"/>
      <w:szCs w:val="24"/>
    </w:rPr>
  </w:style>
  <w:style w:type="paragraph" w:customStyle="1" w:styleId="41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0">
    <w:name w:val="模板普通正文"/>
    <w:basedOn w:val="21"/>
    <w:autoRedefine/>
    <w:qFormat/>
    <w:uiPriority w:val="0"/>
    <w:pPr>
      <w:spacing w:beforeLines="50" w:after="120" w:line="360" w:lineRule="auto"/>
      <w:ind w:firstLine="490" w:firstLineChars="175"/>
      <w:jc w:val="left"/>
    </w:pPr>
    <w:rPr>
      <w:rFonts w:eastAsia="宋体"/>
    </w:rPr>
  </w:style>
  <w:style w:type="paragraph" w:customStyle="1" w:styleId="421">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422">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423">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25">
    <w:name w:val="图名"/>
    <w:basedOn w:val="1"/>
    <w:autoRedefine/>
    <w:qFormat/>
    <w:uiPriority w:val="0"/>
    <w:pPr>
      <w:spacing w:line="360" w:lineRule="auto"/>
      <w:jc w:val="center"/>
    </w:pPr>
    <w:rPr>
      <w:rFonts w:ascii="黑体" w:eastAsia="黑体"/>
      <w:b/>
      <w:sz w:val="32"/>
      <w:szCs w:val="32"/>
    </w:rPr>
  </w:style>
  <w:style w:type="paragraph" w:customStyle="1" w:styleId="4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27">
    <w:name w:val="TOC 标题1"/>
    <w:basedOn w:val="3"/>
    <w:next w:val="1"/>
    <w:autoRedefine/>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28">
    <w:name w:val="font9"/>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29">
    <w:name w:val="中等深浅网格 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0">
    <w:name w:val="小四"/>
    <w:basedOn w:val="1"/>
    <w:autoRedefine/>
    <w:qFormat/>
    <w:uiPriority w:val="0"/>
    <w:pPr>
      <w:spacing w:line="480" w:lineRule="auto"/>
      <w:ind w:firstLine="250" w:firstLineChars="250"/>
    </w:pPr>
    <w:rPr>
      <w:rFonts w:ascii="宋体" w:hAnsi="宋体" w:cs="宋体"/>
      <w:sz w:val="24"/>
      <w:szCs w:val="24"/>
    </w:rPr>
  </w:style>
  <w:style w:type="paragraph" w:customStyle="1" w:styleId="43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3">
    <w:name w:val="标准小四"/>
    <w:basedOn w:val="1"/>
    <w:autoRedefine/>
    <w:qFormat/>
    <w:uiPriority w:val="0"/>
    <w:pPr>
      <w:spacing w:line="360" w:lineRule="auto"/>
      <w:ind w:firstLine="480" w:firstLineChars="200"/>
    </w:pPr>
    <w:rPr>
      <w:rFonts w:ascii="Arial" w:hAnsi="Arial" w:cs="Arial"/>
      <w:sz w:val="24"/>
      <w:szCs w:val="24"/>
    </w:rPr>
  </w:style>
  <w:style w:type="paragraph" w:customStyle="1" w:styleId="43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35">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36">
    <w:name w:val="Proposals body"/>
    <w:basedOn w:val="1"/>
    <w:next w:val="1"/>
    <w:autoRedefine/>
    <w:qFormat/>
    <w:uiPriority w:val="0"/>
    <w:pPr>
      <w:widowControl/>
      <w:spacing w:line="360" w:lineRule="auto"/>
      <w:jc w:val="left"/>
    </w:pPr>
    <w:rPr>
      <w:rFonts w:ascii="宋体" w:cs="宋体"/>
      <w:color w:val="000000"/>
      <w:kern w:val="0"/>
      <w:sz w:val="24"/>
      <w:szCs w:val="24"/>
    </w:rPr>
  </w:style>
  <w:style w:type="paragraph" w:customStyle="1" w:styleId="437">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438">
    <w:name w:val="方案正文"/>
    <w:basedOn w:val="1"/>
    <w:autoRedefine/>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39">
    <w:name w:val="表内文字"/>
    <w:basedOn w:val="1"/>
    <w:autoRedefine/>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0">
    <w:name w:val="图2"/>
    <w:autoRedefine/>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1">
    <w:name w:val="xl62"/>
    <w:basedOn w:val="1"/>
    <w:autoRedefine/>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4">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445">
    <w:name w:val="正文-1"/>
    <w:basedOn w:val="1"/>
    <w:autoRedefine/>
    <w:qFormat/>
    <w:uiPriority w:val="0"/>
    <w:pPr>
      <w:autoSpaceDE w:val="0"/>
      <w:autoSpaceDN w:val="0"/>
      <w:adjustRightInd w:val="0"/>
      <w:ind w:firstLine="420"/>
      <w:jc w:val="left"/>
    </w:pPr>
    <w:rPr>
      <w:kern w:val="0"/>
    </w:rPr>
  </w:style>
  <w:style w:type="paragraph" w:customStyle="1" w:styleId="446">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4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48">
    <w:name w:val="项目"/>
    <w:basedOn w:val="226"/>
    <w:autoRedefine/>
    <w:qFormat/>
    <w:uiPriority w:val="0"/>
    <w:pPr>
      <w:spacing w:beforeLines="0" w:afterLines="0"/>
      <w:ind w:firstLine="0" w:firstLineChars="0"/>
    </w:pPr>
    <w:rPr>
      <w:rFonts w:ascii="宋体" w:hAnsi="宋体"/>
      <w:sz w:val="24"/>
    </w:rPr>
  </w:style>
  <w:style w:type="paragraph" w:customStyle="1" w:styleId="449">
    <w:name w:val="插图"/>
    <w:basedOn w:val="26"/>
    <w:autoRedefine/>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0">
    <w:name w:val="正文段"/>
    <w:basedOn w:val="1"/>
    <w:autoRedefine/>
    <w:qFormat/>
    <w:uiPriority w:val="0"/>
    <w:pPr>
      <w:widowControl/>
      <w:snapToGrid w:val="0"/>
      <w:spacing w:afterLines="50"/>
      <w:ind w:firstLine="200" w:firstLineChars="200"/>
    </w:pPr>
    <w:rPr>
      <w:kern w:val="0"/>
      <w:sz w:val="24"/>
      <w:szCs w:val="24"/>
    </w:rPr>
  </w:style>
  <w:style w:type="paragraph" w:customStyle="1" w:styleId="451">
    <w:name w:val="Char1"/>
    <w:basedOn w:val="1"/>
    <w:autoRedefine/>
    <w:qFormat/>
    <w:uiPriority w:val="0"/>
    <w:rPr>
      <w:rFonts w:ascii="仿宋_GB2312" w:eastAsia="仿宋_GB2312" w:cs="仿宋_GB2312"/>
      <w:b/>
      <w:bCs/>
      <w:sz w:val="32"/>
      <w:szCs w:val="32"/>
    </w:rPr>
  </w:style>
  <w:style w:type="paragraph" w:customStyle="1" w:styleId="45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方案标题3"/>
    <w:basedOn w:val="395"/>
    <w:next w:val="1"/>
    <w:autoRedefine/>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4">
    <w:name w:val="Char Char Char"/>
    <w:basedOn w:val="1"/>
    <w:autoRedefine/>
    <w:qFormat/>
    <w:uiPriority w:val="0"/>
    <w:pPr>
      <w:spacing w:before="120" w:after="120" w:line="360" w:lineRule="auto"/>
      <w:ind w:firstLine="200" w:firstLineChars="200"/>
    </w:pPr>
    <w:rPr>
      <w:rFonts w:ascii="Tahoma" w:hAnsi="Tahoma" w:cs="Tahoma"/>
      <w:sz w:val="24"/>
      <w:szCs w:val="24"/>
    </w:rPr>
  </w:style>
  <w:style w:type="paragraph" w:customStyle="1" w:styleId="455">
    <w:name w:val="正文文本缩进 + 四号"/>
    <w:basedOn w:val="21"/>
    <w:autoRedefine/>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56">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57">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8">
    <w:name w:val="首行缩进2字符"/>
    <w:basedOn w:val="1"/>
    <w:autoRedefine/>
    <w:qFormat/>
    <w:uiPriority w:val="0"/>
    <w:pPr>
      <w:autoSpaceDE w:val="0"/>
      <w:autoSpaceDN w:val="0"/>
      <w:adjustRightInd w:val="0"/>
      <w:spacing w:line="360" w:lineRule="auto"/>
      <w:ind w:firstLine="420" w:firstLineChars="200"/>
      <w:jc w:val="left"/>
    </w:pPr>
    <w:rPr>
      <w:snapToGrid w:val="0"/>
    </w:rPr>
  </w:style>
  <w:style w:type="paragraph" w:customStyle="1" w:styleId="459">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0">
    <w:name w:val="表格标题文字"/>
    <w:autoRedefine/>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1">
    <w:name w:val="Char Char Char Char Char Char Char Char Char Char Char Char1 Char"/>
    <w:basedOn w:val="17"/>
    <w:autoRedefine/>
    <w:qFormat/>
    <w:uiPriority w:val="0"/>
    <w:rPr>
      <w:rFonts w:ascii="Tahoma" w:hAnsi="Tahoma"/>
      <w:sz w:val="24"/>
      <w:szCs w:val="24"/>
    </w:rPr>
  </w:style>
  <w:style w:type="paragraph" w:customStyle="1" w:styleId="462">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4">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65">
    <w:name w:val="五级条标题"/>
    <w:basedOn w:val="299"/>
    <w:next w:val="1"/>
    <w:autoRedefine/>
    <w:qFormat/>
    <w:uiPriority w:val="0"/>
    <w:pPr>
      <w:outlineLvl w:val="6"/>
    </w:pPr>
  </w:style>
  <w:style w:type="paragraph" w:customStyle="1" w:styleId="466">
    <w:name w:val="标题 12"/>
    <w:basedOn w:val="1"/>
    <w:autoRedefine/>
    <w:qFormat/>
    <w:uiPriority w:val="0"/>
    <w:pPr>
      <w:spacing w:afterLines="100" w:line="360" w:lineRule="auto"/>
    </w:pPr>
    <w:rPr>
      <w:sz w:val="24"/>
      <w:szCs w:val="24"/>
    </w:rPr>
  </w:style>
  <w:style w:type="paragraph" w:customStyle="1" w:styleId="467">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68">
    <w:name w:val="正文 + 宋体"/>
    <w:basedOn w:val="1"/>
    <w:autoRedefine/>
    <w:qFormat/>
    <w:uiPriority w:val="0"/>
    <w:pPr>
      <w:adjustRightInd w:val="0"/>
      <w:spacing w:line="360" w:lineRule="auto"/>
      <w:ind w:firstLine="200" w:firstLineChars="200"/>
      <w:textAlignment w:val="baseline"/>
    </w:pPr>
    <w:rPr>
      <w:rFonts w:ascii="宋体"/>
      <w:kern w:val="0"/>
    </w:rPr>
  </w:style>
  <w:style w:type="paragraph" w:customStyle="1" w:styleId="469">
    <w:name w:val="Pa7"/>
    <w:basedOn w:val="227"/>
    <w:next w:val="227"/>
    <w:autoRedefine/>
    <w:qFormat/>
    <w:uiPriority w:val="0"/>
    <w:pPr>
      <w:spacing w:line="181" w:lineRule="atLeast"/>
    </w:pPr>
    <w:rPr>
      <w:rFonts w:ascii="文鼎" w:eastAsia="文鼎" w:cs="文鼎"/>
      <w:color w:val="auto"/>
    </w:rPr>
  </w:style>
  <w:style w:type="paragraph" w:customStyle="1" w:styleId="470">
    <w:name w:val="Char Char Char Char Char Char"/>
    <w:basedOn w:val="1"/>
    <w:autoRedefine/>
    <w:qFormat/>
    <w:uiPriority w:val="0"/>
    <w:rPr>
      <w:rFonts w:ascii="Tahoma" w:hAnsi="Tahoma"/>
      <w:sz w:val="24"/>
      <w:szCs w:val="20"/>
    </w:rPr>
  </w:style>
  <w:style w:type="paragraph" w:customStyle="1" w:styleId="471">
    <w:name w:val="_列表"/>
    <w:basedOn w:val="226"/>
    <w:autoRedefine/>
    <w:qFormat/>
    <w:uiPriority w:val="0"/>
    <w:pPr>
      <w:spacing w:beforeLines="0" w:afterLines="0"/>
    </w:pPr>
    <w:rPr>
      <w:sz w:val="24"/>
    </w:rPr>
  </w:style>
  <w:style w:type="paragraph" w:customStyle="1" w:styleId="472">
    <w:name w:val="Body Text Indent1"/>
    <w:basedOn w:val="1"/>
    <w:autoRedefine/>
    <w:qFormat/>
    <w:uiPriority w:val="0"/>
    <w:pPr>
      <w:spacing w:after="120"/>
      <w:ind w:left="420" w:leftChars="200"/>
    </w:pPr>
  </w:style>
  <w:style w:type="paragraph" w:customStyle="1" w:styleId="473">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75">
    <w:name w:val="标准正文"/>
    <w:basedOn w:val="1"/>
    <w:autoRedefine/>
    <w:qFormat/>
    <w:uiPriority w:val="0"/>
    <w:pPr>
      <w:adjustRightInd w:val="0"/>
      <w:spacing w:line="360" w:lineRule="auto"/>
      <w:ind w:firstLine="480" w:firstLineChars="200"/>
    </w:pPr>
    <w:rPr>
      <w:kern w:val="0"/>
      <w:sz w:val="24"/>
      <w:szCs w:val="24"/>
    </w:rPr>
  </w:style>
  <w:style w:type="paragraph" w:customStyle="1" w:styleId="476">
    <w:name w:val="_图片"/>
    <w:basedOn w:val="1"/>
    <w:next w:val="226"/>
    <w:autoRedefine/>
    <w:qFormat/>
    <w:uiPriority w:val="0"/>
    <w:pPr>
      <w:spacing w:before="46" w:line="360" w:lineRule="auto"/>
      <w:jc w:val="center"/>
    </w:pPr>
    <w:rPr>
      <w:sz w:val="18"/>
      <w:szCs w:val="24"/>
    </w:rPr>
  </w:style>
  <w:style w:type="paragraph" w:customStyle="1" w:styleId="477">
    <w:name w:val="Char Char Char Char Char Char Char"/>
    <w:basedOn w:val="1"/>
    <w:autoRedefine/>
    <w:qFormat/>
    <w:uiPriority w:val="0"/>
    <w:pPr>
      <w:tabs>
        <w:tab w:val="left" w:pos="432"/>
      </w:tabs>
      <w:ind w:left="432" w:hanging="432"/>
    </w:pPr>
    <w:rPr>
      <w:rFonts w:ascii="Tahoma" w:hAnsi="Tahoma" w:cs="Tahoma"/>
      <w:sz w:val="24"/>
      <w:szCs w:val="24"/>
    </w:rPr>
  </w:style>
  <w:style w:type="paragraph" w:customStyle="1" w:styleId="478">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79">
    <w:name w:val="_题注"/>
    <w:basedOn w:val="16"/>
    <w:autoRedefine/>
    <w:qFormat/>
    <w:uiPriority w:val="0"/>
    <w:pPr>
      <w:spacing w:before="0" w:afterLines="100"/>
      <w:jc w:val="center"/>
    </w:pPr>
    <w:rPr>
      <w:rFonts w:ascii="Times New Roman" w:hAnsi="Times New Roman" w:eastAsia="宋体" w:cs="Times New Roman"/>
      <w:sz w:val="21"/>
      <w:szCs w:val="24"/>
    </w:rPr>
  </w:style>
  <w:style w:type="paragraph" w:customStyle="1" w:styleId="4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2">
    <w:name w:val="font10"/>
    <w:basedOn w:val="1"/>
    <w:autoRedefine/>
    <w:qFormat/>
    <w:uiPriority w:val="0"/>
    <w:pPr>
      <w:widowControl/>
      <w:spacing w:before="100" w:beforeAutospacing="1" w:after="100" w:afterAutospacing="1"/>
      <w:jc w:val="left"/>
    </w:pPr>
    <w:rPr>
      <w:kern w:val="0"/>
    </w:rPr>
  </w:style>
  <w:style w:type="paragraph" w:customStyle="1" w:styleId="4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4">
    <w:name w:val="Char"/>
    <w:basedOn w:val="1"/>
    <w:autoRedefine/>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85">
    <w:name w:val="font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486">
    <w:name w:val="我的正文"/>
    <w:autoRedefine/>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8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88">
    <w:name w:val="标题 32"/>
    <w:basedOn w:val="1"/>
    <w:autoRedefine/>
    <w:qFormat/>
    <w:uiPriority w:val="0"/>
    <w:pPr>
      <w:spacing w:afterLines="100" w:line="360" w:lineRule="auto"/>
    </w:pPr>
    <w:rPr>
      <w:sz w:val="24"/>
      <w:szCs w:val="24"/>
    </w:rPr>
  </w:style>
  <w:style w:type="paragraph" w:customStyle="1" w:styleId="489">
    <w:name w:val="普通正文"/>
    <w:basedOn w:val="1"/>
    <w:autoRedefine/>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1">
    <w:name w:val="表格文字"/>
    <w:basedOn w:val="1"/>
    <w:autoRedefine/>
    <w:qFormat/>
    <w:uiPriority w:val="0"/>
    <w:pPr>
      <w:spacing w:beforeLines="25" w:afterLines="25"/>
      <w:jc w:val="left"/>
    </w:pPr>
    <w:rPr>
      <w:spacing w:val="10"/>
      <w:sz w:val="24"/>
      <w:szCs w:val="24"/>
    </w:rPr>
  </w:style>
  <w:style w:type="paragraph" w:customStyle="1" w:styleId="492">
    <w:name w:val="投标文件 正文首行缩进"/>
    <w:basedOn w:val="44"/>
    <w:autoRedefine/>
    <w:qFormat/>
    <w:uiPriority w:val="0"/>
    <w:pPr>
      <w:spacing w:after="220"/>
      <w:ind w:left="0" w:leftChars="0" w:firstLine="200"/>
    </w:pPr>
    <w:rPr>
      <w:rFonts w:ascii="Arial" w:hAnsi="Arial"/>
      <w:sz w:val="21"/>
    </w:rPr>
  </w:style>
  <w:style w:type="paragraph" w:customStyle="1" w:styleId="493">
    <w:name w:val="Char Char Char Char"/>
    <w:basedOn w:val="1"/>
    <w:autoRedefine/>
    <w:qFormat/>
    <w:uiPriority w:val="0"/>
    <w:pPr>
      <w:widowControl/>
      <w:spacing w:after="160" w:line="240" w:lineRule="exact"/>
      <w:jc w:val="left"/>
    </w:pPr>
    <w:rPr>
      <w:rFonts w:ascii="Arial" w:hAnsi="Arial" w:cs="Arial"/>
      <w:b/>
      <w:bCs/>
      <w:kern w:val="0"/>
      <w:sz w:val="24"/>
      <w:szCs w:val="24"/>
      <w:lang w:eastAsia="en-US"/>
    </w:rPr>
  </w:style>
  <w:style w:type="paragraph" w:customStyle="1" w:styleId="49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95">
    <w:name w:val="样式 标题 5 + 右侧:  -0.18 字符"/>
    <w:basedOn w:val="1"/>
    <w:autoRedefine/>
    <w:qFormat/>
    <w:uiPriority w:val="0"/>
    <w:pPr>
      <w:tabs>
        <w:tab w:val="left" w:pos="1008"/>
      </w:tabs>
      <w:ind w:left="1008" w:hanging="1008"/>
    </w:pPr>
    <w:rPr>
      <w:szCs w:val="24"/>
    </w:rPr>
  </w:style>
  <w:style w:type="paragraph" w:customStyle="1" w:styleId="49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97">
    <w:name w:val="No Spacing_666dbedd-7db0-4096-a221-e208fa7684fc"/>
    <w:autoRedefine/>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498">
    <w:name w:val="bookmark-item"/>
    <w:basedOn w:val="47"/>
    <w:autoRedefine/>
    <w:qFormat/>
    <w:uiPriority w:val="0"/>
    <w:rPr>
      <w:rFonts w:ascii="Times New Roman" w:hAnsi="Times New Roman" w:eastAsia="宋体" w:cs="Times New Roman"/>
    </w:rPr>
  </w:style>
  <w:style w:type="character" w:customStyle="1" w:styleId="499">
    <w:name w:val="op-map-singlepoint-info-right"/>
    <w:basedOn w:val="47"/>
    <w:autoRedefine/>
    <w:qFormat/>
    <w:uiPriority w:val="0"/>
    <w:rPr>
      <w:rFonts w:ascii="Times New Roman" w:hAnsi="Times New Roman" w:eastAsia="宋体" w:cs="Times New Roman"/>
    </w:rPr>
  </w:style>
  <w:style w:type="character" w:customStyle="1" w:styleId="500">
    <w:name w:val="标题 Char"/>
    <w:link w:val="41"/>
    <w:autoRedefine/>
    <w:qFormat/>
    <w:uiPriority w:val="0"/>
    <w:rPr>
      <w:rFonts w:ascii="Arial" w:hAnsi="Arial" w:eastAsia="仿宋_GB2312"/>
      <w:b/>
      <w:bCs/>
      <w:sz w:val="36"/>
      <w:szCs w:val="32"/>
    </w:rPr>
  </w:style>
  <w:style w:type="character" w:customStyle="1" w:styleId="501">
    <w:name w:val="标题 Char1"/>
    <w:autoRedefine/>
    <w:qFormat/>
    <w:uiPriority w:val="10"/>
    <w:rPr>
      <w:rFonts w:ascii="Cambria" w:hAnsi="Cambria" w:eastAsia="宋体" w:cs="Times New Roman"/>
      <w:b/>
      <w:bCs/>
      <w:kern w:val="2"/>
      <w:sz w:val="32"/>
      <w:szCs w:val="32"/>
    </w:rPr>
  </w:style>
  <w:style w:type="paragraph" w:customStyle="1" w:styleId="502">
    <w:name w:val="修订1"/>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8D6C-5E78-4DB9-BA61-1CEBC46090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28118</Words>
  <Characters>30501</Characters>
  <Lines>33</Lines>
  <Paragraphs>48</Paragraphs>
  <TotalTime>41</TotalTime>
  <ScaleCrop>false</ScaleCrop>
  <LinksUpToDate>false</LinksUpToDate>
  <CharactersWithSpaces>31455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2021-04-29T01:23:00Z</dcterms:created>
  <dc:creator>LeYJ</dc:creator>
  <cp:lastModifiedBy>Administrator</cp:lastModifiedBy>
  <cp:lastPrinted>2021-04-30T12:03:00Z</cp:lastPrinted>
  <dcterms:modified xsi:type="dcterms:W3CDTF">2024-06-05T09:11:12Z</dcterms:modified>
  <dc:title>宁波市北仑区人民检察院食堂外包项目</dc:title>
  <cp:revision>1594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9F2FD5D5CAA44B36B36FB28261B462B7</vt:lpwstr>
  </property>
</Properties>
</file>