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FD570">
      <w:pPr>
        <w:tabs>
          <w:tab w:val="left" w:pos="426"/>
        </w:tabs>
        <w:spacing w:line="360" w:lineRule="auto"/>
        <w:rPr>
          <w:rFonts w:hint="eastAsia" w:asciiTheme="majorEastAsia" w:hAnsiTheme="majorEastAsia" w:eastAsiaTheme="majorEastAsia"/>
          <w:b/>
          <w:bCs/>
          <w:sz w:val="48"/>
          <w:szCs w:val="48"/>
        </w:rPr>
      </w:pPr>
    </w:p>
    <w:p w14:paraId="0E0BEC87">
      <w:pPr>
        <w:tabs>
          <w:tab w:val="left" w:pos="426"/>
        </w:tabs>
        <w:spacing w:line="360" w:lineRule="auto"/>
        <w:jc w:val="center"/>
        <w:rPr>
          <w:rFonts w:hint="eastAsia" w:asciiTheme="majorEastAsia" w:hAnsiTheme="majorEastAsia" w:eastAsiaTheme="majorEastAsia"/>
          <w:sz w:val="36"/>
          <w:szCs w:val="36"/>
        </w:rPr>
      </w:pPr>
      <w:r>
        <w:rPr>
          <w:rFonts w:hint="eastAsia" w:asciiTheme="majorEastAsia" w:hAnsiTheme="majorEastAsia" w:eastAsiaTheme="majorEastAsia"/>
          <w:sz w:val="36"/>
          <w:szCs w:val="36"/>
        </w:rPr>
        <w:t>浙江大学宁波“五位一体”校区教育发展中心</w:t>
      </w:r>
    </w:p>
    <w:p w14:paraId="7A7DAB6A">
      <w:pPr>
        <w:tabs>
          <w:tab w:val="left" w:pos="426"/>
        </w:tabs>
        <w:spacing w:line="360" w:lineRule="auto"/>
        <w:ind w:left="-210" w:leftChars="-100" w:right="-210" w:rightChars="-100"/>
        <w:jc w:val="center"/>
        <w:rPr>
          <w:rFonts w:hint="eastAsia" w:asciiTheme="majorEastAsia" w:hAnsiTheme="majorEastAsia" w:eastAsiaTheme="majorEastAsia"/>
          <w:sz w:val="36"/>
          <w:szCs w:val="36"/>
        </w:rPr>
      </w:pPr>
      <w:r>
        <w:rPr>
          <w:rFonts w:hint="eastAsia" w:asciiTheme="majorEastAsia" w:hAnsiTheme="majorEastAsia" w:eastAsiaTheme="majorEastAsia"/>
          <w:sz w:val="36"/>
          <w:szCs w:val="36"/>
        </w:rPr>
        <w:t>高压物性综合测试平台采购项目</w:t>
      </w:r>
    </w:p>
    <w:p w14:paraId="42260070">
      <w:pPr>
        <w:spacing w:after="120"/>
        <w:jc w:val="center"/>
        <w:rPr>
          <w:rFonts w:hint="eastAsia" w:cs="宋体" w:asciiTheme="majorEastAsia" w:hAnsiTheme="majorEastAsia" w:eastAsiaTheme="majorEastAsia"/>
          <w:sz w:val="32"/>
          <w:szCs w:val="32"/>
        </w:rPr>
      </w:pPr>
      <w:r>
        <w:rPr>
          <w:rFonts w:hint="eastAsia" w:cs="宋体" w:asciiTheme="majorEastAsia" w:hAnsiTheme="majorEastAsia" w:eastAsiaTheme="majorEastAsia"/>
          <w:sz w:val="32"/>
          <w:szCs w:val="32"/>
        </w:rPr>
        <w:t>项目编号：NBMC-20251020G</w:t>
      </w:r>
    </w:p>
    <w:p w14:paraId="46EB9723">
      <w:pPr>
        <w:spacing w:after="120"/>
        <w:jc w:val="center"/>
        <w:rPr>
          <w:rFonts w:hint="eastAsia" w:cs="宋体" w:asciiTheme="majorEastAsia" w:hAnsiTheme="majorEastAsia" w:eastAsiaTheme="majorEastAsia"/>
          <w:b/>
          <w:bCs/>
          <w:sz w:val="32"/>
          <w:szCs w:val="32"/>
        </w:rPr>
      </w:pPr>
    </w:p>
    <w:p w14:paraId="5711FA5F">
      <w:pPr>
        <w:spacing w:after="120"/>
        <w:jc w:val="center"/>
        <w:rPr>
          <w:rFonts w:hint="eastAsia" w:cs="宋体" w:asciiTheme="majorEastAsia" w:hAnsiTheme="majorEastAsia" w:eastAsiaTheme="majorEastAsia"/>
          <w:b/>
          <w:bCs/>
          <w:sz w:val="32"/>
          <w:szCs w:val="32"/>
        </w:rPr>
      </w:pPr>
    </w:p>
    <w:p w14:paraId="67BEF47D">
      <w:pPr>
        <w:spacing w:after="120"/>
        <w:jc w:val="center"/>
        <w:rPr>
          <w:rFonts w:hint="eastAsia" w:cs="宋体" w:asciiTheme="majorEastAsia" w:hAnsiTheme="majorEastAsia" w:eastAsiaTheme="majorEastAsia"/>
          <w:b/>
          <w:bCs/>
          <w:sz w:val="32"/>
          <w:szCs w:val="32"/>
        </w:rPr>
      </w:pPr>
    </w:p>
    <w:p w14:paraId="23B6416B">
      <w:pPr>
        <w:spacing w:after="120"/>
        <w:jc w:val="center"/>
        <w:rPr>
          <w:rFonts w:hint="eastAsia" w:cs="宋体" w:asciiTheme="majorEastAsia" w:hAnsiTheme="majorEastAsia" w:eastAsiaTheme="majorEastAsia"/>
          <w:b/>
          <w:bCs/>
          <w:sz w:val="32"/>
          <w:szCs w:val="32"/>
        </w:rPr>
      </w:pPr>
    </w:p>
    <w:p w14:paraId="21F86FD4">
      <w:pPr>
        <w:spacing w:after="240"/>
        <w:jc w:val="center"/>
        <w:rPr>
          <w:rFonts w:hint="eastAsia" w:cs="宋体" w:asciiTheme="majorEastAsia" w:hAnsiTheme="majorEastAsia" w:eastAsiaTheme="majorEastAsia"/>
          <w:b/>
          <w:bCs/>
          <w:sz w:val="72"/>
          <w:szCs w:val="72"/>
        </w:rPr>
      </w:pPr>
      <w:r>
        <w:rPr>
          <w:rFonts w:hint="eastAsia" w:cs="宋体" w:asciiTheme="majorEastAsia" w:hAnsiTheme="majorEastAsia" w:eastAsiaTheme="majorEastAsia"/>
          <w:b/>
          <w:bCs/>
          <w:sz w:val="72"/>
          <w:szCs w:val="72"/>
        </w:rPr>
        <w:t>公开招标文件</w:t>
      </w:r>
    </w:p>
    <w:p w14:paraId="52E6D635">
      <w:pPr>
        <w:spacing w:after="240"/>
        <w:jc w:val="cente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（政府采购电子交易项目</w:t>
      </w:r>
      <w:r>
        <w:rPr>
          <w:rFonts w:hint="eastAsia" w:ascii="宋体" w:hAnsi="宋体" w:cs="宋体"/>
          <w:sz w:val="32"/>
          <w:szCs w:val="32"/>
        </w:rPr>
        <w:t>·货物类</w:t>
      </w:r>
      <w:r>
        <w:rPr>
          <w:rFonts w:hint="eastAsia" w:asciiTheme="majorEastAsia" w:hAnsiTheme="majorEastAsia" w:eastAsiaTheme="majorEastAsia"/>
          <w:sz w:val="32"/>
          <w:szCs w:val="32"/>
        </w:rPr>
        <w:t>）</w:t>
      </w:r>
    </w:p>
    <w:p w14:paraId="7CB47FF3">
      <w:pPr>
        <w:spacing w:after="120" w:afterLines="50" w:line="480" w:lineRule="exact"/>
        <w:jc w:val="center"/>
        <w:outlineLvl w:val="0"/>
        <w:rPr>
          <w:rFonts w:hint="eastAsia" w:asciiTheme="majorEastAsia" w:hAnsiTheme="majorEastAsia" w:eastAsiaTheme="majorEastAsia"/>
          <w:b/>
          <w:bCs/>
          <w:sz w:val="44"/>
          <w:szCs w:val="44"/>
        </w:rPr>
      </w:pPr>
    </w:p>
    <w:p w14:paraId="339D7F2B">
      <w:pPr>
        <w:spacing w:after="120" w:afterLines="50" w:line="480" w:lineRule="exact"/>
        <w:outlineLvl w:val="0"/>
        <w:rPr>
          <w:rFonts w:hint="eastAsia" w:asciiTheme="majorEastAsia" w:hAnsiTheme="majorEastAsia" w:eastAsiaTheme="majorEastAsia"/>
          <w:b/>
          <w:bCs/>
          <w:sz w:val="44"/>
          <w:szCs w:val="44"/>
        </w:rPr>
      </w:pPr>
    </w:p>
    <w:p w14:paraId="3C24720F">
      <w:pPr>
        <w:spacing w:after="120" w:afterLines="50" w:line="480" w:lineRule="exact"/>
        <w:jc w:val="center"/>
        <w:outlineLvl w:val="0"/>
        <w:rPr>
          <w:rFonts w:hint="eastAsia" w:asciiTheme="majorEastAsia" w:hAnsiTheme="majorEastAsia" w:eastAsiaTheme="majorEastAsia"/>
          <w:b/>
          <w:bCs/>
          <w:sz w:val="44"/>
          <w:szCs w:val="44"/>
        </w:rPr>
      </w:pPr>
    </w:p>
    <w:p w14:paraId="5D387054">
      <w:pPr>
        <w:spacing w:after="120" w:afterLines="50" w:line="480" w:lineRule="exact"/>
        <w:jc w:val="center"/>
        <w:outlineLvl w:val="0"/>
        <w:rPr>
          <w:rFonts w:hint="eastAsia" w:asciiTheme="majorEastAsia" w:hAnsiTheme="majorEastAsia" w:eastAsiaTheme="majorEastAsia"/>
          <w:b/>
          <w:bCs/>
          <w:sz w:val="44"/>
          <w:szCs w:val="44"/>
        </w:rPr>
      </w:pPr>
    </w:p>
    <w:p w14:paraId="593A4046">
      <w:pPr>
        <w:spacing w:after="120" w:afterLines="50" w:line="480" w:lineRule="exact"/>
        <w:jc w:val="center"/>
        <w:outlineLvl w:val="0"/>
        <w:rPr>
          <w:rFonts w:hint="eastAsia" w:asciiTheme="majorEastAsia" w:hAnsiTheme="majorEastAsia" w:eastAsiaTheme="majorEastAsia"/>
          <w:b/>
          <w:bCs/>
          <w:sz w:val="44"/>
          <w:szCs w:val="44"/>
        </w:rPr>
      </w:pPr>
    </w:p>
    <w:p w14:paraId="2AC09DA4">
      <w:pPr>
        <w:spacing w:after="120" w:afterLines="50" w:line="480" w:lineRule="exact"/>
        <w:outlineLvl w:val="0"/>
        <w:rPr>
          <w:rFonts w:hint="eastAsia" w:asciiTheme="majorEastAsia" w:hAnsiTheme="majorEastAsia" w:eastAsiaTheme="majorEastAsia"/>
          <w:b/>
          <w:bCs/>
          <w:sz w:val="44"/>
          <w:szCs w:val="44"/>
        </w:rPr>
      </w:pPr>
    </w:p>
    <w:p w14:paraId="3A6C58BF">
      <w:pPr>
        <w:spacing w:after="120" w:afterLines="50" w:line="480" w:lineRule="exact"/>
        <w:jc w:val="center"/>
        <w:outlineLvl w:val="0"/>
        <w:rPr>
          <w:rFonts w:hint="eastAsia" w:asciiTheme="majorEastAsia" w:hAnsiTheme="majorEastAsia" w:eastAsiaTheme="majorEastAsia"/>
          <w:b/>
          <w:bCs/>
          <w:sz w:val="44"/>
          <w:szCs w:val="44"/>
        </w:rPr>
      </w:pPr>
    </w:p>
    <w:p w14:paraId="69956BC1">
      <w:pPr>
        <w:spacing w:after="240"/>
        <w:jc w:val="cente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采购人：浙江大学宁波“五位一体”校区教育发展中心</w:t>
      </w:r>
    </w:p>
    <w:p w14:paraId="2453B92F">
      <w:pPr>
        <w:spacing w:after="240"/>
        <w:jc w:val="cente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代理机构：宁波名诚招标代理有限公司</w:t>
      </w:r>
    </w:p>
    <w:p w14:paraId="3AF41365">
      <w:pPr>
        <w:spacing w:after="240"/>
        <w:jc w:val="cente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编制日期：2025年2月</w:t>
      </w:r>
    </w:p>
    <w:p w14:paraId="4098E2EE">
      <w:pPr>
        <w:spacing w:after="240"/>
        <w:jc w:val="center"/>
        <w:rPr>
          <w:rFonts w:hint="eastAsia" w:asciiTheme="majorEastAsia" w:hAnsiTheme="majorEastAsia" w:eastAsiaTheme="majorEastAsia"/>
          <w:sz w:val="32"/>
          <w:szCs w:val="32"/>
        </w:rPr>
      </w:pPr>
    </w:p>
    <w:p w14:paraId="3DC95BFE">
      <w:pPr>
        <w:spacing w:after="240"/>
        <w:rPr>
          <w:rFonts w:hint="eastAsia" w:asciiTheme="majorEastAsia" w:hAnsiTheme="majorEastAsia" w:eastAsiaTheme="majorEastAsia"/>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610" w:header="851" w:footer="851" w:gutter="0"/>
          <w:pgNumType w:chapStyle="1"/>
          <w:cols w:space="720" w:num="1"/>
          <w:titlePg/>
          <w:docGrid w:linePitch="312" w:charSpace="0"/>
        </w:sectPr>
      </w:pPr>
    </w:p>
    <w:p w14:paraId="661F4B87">
      <w:pPr>
        <w:pStyle w:val="279"/>
        <w:spacing w:before="0" w:after="0" w:line="360" w:lineRule="auto"/>
        <w:jc w:val="center"/>
        <w:rPr>
          <w:rFonts w:hint="eastAsia" w:asciiTheme="majorEastAsia" w:hAnsiTheme="majorEastAsia" w:eastAsiaTheme="majorEastAsia"/>
          <w:sz w:val="24"/>
        </w:rPr>
      </w:pPr>
      <w:r>
        <w:rPr>
          <w:rFonts w:asciiTheme="majorEastAsia" w:hAnsiTheme="majorEastAsia" w:eastAsiaTheme="majorEastAsia"/>
          <w:sz w:val="24"/>
        </w:rPr>
        <w:t>目</w:t>
      </w:r>
      <w:r>
        <w:rPr>
          <w:rFonts w:hint="eastAsia" w:asciiTheme="majorEastAsia" w:hAnsiTheme="majorEastAsia" w:eastAsiaTheme="majorEastAsia"/>
          <w:sz w:val="24"/>
        </w:rPr>
        <w:t xml:space="preserve">  </w:t>
      </w:r>
      <w:r>
        <w:rPr>
          <w:rFonts w:asciiTheme="majorEastAsia" w:hAnsiTheme="majorEastAsia" w:eastAsiaTheme="majorEastAsia"/>
          <w:sz w:val="24"/>
        </w:rPr>
        <w:t>录</w:t>
      </w:r>
    </w:p>
    <w:p w14:paraId="59A16BA2">
      <w:pPr>
        <w:pStyle w:val="31"/>
        <w:tabs>
          <w:tab w:val="right" w:leader="dot" w:pos="8846"/>
        </w:tabs>
        <w:spacing w:line="360" w:lineRule="auto"/>
        <w:rPr>
          <w:rFonts w:hint="eastAsia" w:asciiTheme="majorEastAsia" w:hAnsiTheme="majorEastAsia" w:eastAsiaTheme="majorEastAsia"/>
          <w:sz w:val="24"/>
        </w:rPr>
      </w:pPr>
      <w:r>
        <w:rPr>
          <w:rFonts w:asciiTheme="majorEastAsia" w:hAnsiTheme="majorEastAsia" w:eastAsiaTheme="majorEastAsia"/>
        </w:rPr>
        <w:fldChar w:fldCharType="begin"/>
      </w:r>
      <w:r>
        <w:rPr>
          <w:rFonts w:asciiTheme="majorEastAsia" w:hAnsiTheme="majorEastAsia" w:eastAsiaTheme="majorEastAsia"/>
        </w:rPr>
        <w:instrText xml:space="preserve"> TOC \o "1-3" \h \z \u </w:instrText>
      </w:r>
      <w:r>
        <w:rPr>
          <w:rFonts w:asciiTheme="majorEastAsia" w:hAnsiTheme="majorEastAsia" w:eastAsiaTheme="majorEastAsia"/>
        </w:rPr>
        <w:fldChar w:fldCharType="separate"/>
      </w:r>
      <w:r>
        <w:fldChar w:fldCharType="begin"/>
      </w:r>
      <w:r>
        <w:instrText xml:space="preserve"> HYPERLINK \l "_Toc34844741" </w:instrText>
      </w:r>
      <w:r>
        <w:fldChar w:fldCharType="separate"/>
      </w:r>
      <w:r>
        <w:rPr>
          <w:rStyle w:val="51"/>
          <w:rFonts w:hint="eastAsia" w:asciiTheme="majorEastAsia" w:hAnsiTheme="majorEastAsia" w:eastAsiaTheme="majorEastAsia"/>
          <w:color w:val="auto"/>
          <w:sz w:val="24"/>
        </w:rPr>
        <w:t>第一章  投标邀请</w:t>
      </w:r>
      <w:r>
        <w:rPr>
          <w:rFonts w:asciiTheme="majorEastAsia" w:hAnsiTheme="majorEastAsia" w:eastAsiaTheme="majorEastAsia"/>
          <w:sz w:val="24"/>
        </w:rPr>
        <w:tab/>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PAGEREF _Toc34844741 \h </w:instrText>
      </w:r>
      <w:r>
        <w:rPr>
          <w:rFonts w:asciiTheme="majorEastAsia" w:hAnsiTheme="majorEastAsia" w:eastAsiaTheme="majorEastAsia"/>
          <w:sz w:val="24"/>
        </w:rPr>
        <w:fldChar w:fldCharType="separate"/>
      </w:r>
      <w:r>
        <w:rPr>
          <w:rFonts w:asciiTheme="majorEastAsia" w:hAnsiTheme="majorEastAsia" w:eastAsiaTheme="majorEastAsia"/>
          <w:sz w:val="24"/>
        </w:rPr>
        <w:t>3</w:t>
      </w:r>
      <w:r>
        <w:rPr>
          <w:rFonts w:asciiTheme="majorEastAsia" w:hAnsiTheme="majorEastAsia" w:eastAsiaTheme="majorEastAsia"/>
          <w:sz w:val="24"/>
        </w:rPr>
        <w:fldChar w:fldCharType="end"/>
      </w:r>
      <w:r>
        <w:rPr>
          <w:rFonts w:asciiTheme="majorEastAsia" w:hAnsiTheme="majorEastAsia" w:eastAsiaTheme="majorEastAsia"/>
          <w:sz w:val="24"/>
        </w:rPr>
        <w:fldChar w:fldCharType="end"/>
      </w:r>
    </w:p>
    <w:p w14:paraId="20AB0DC8">
      <w:pPr>
        <w:pStyle w:val="31"/>
        <w:tabs>
          <w:tab w:val="right" w:leader="dot" w:pos="8846"/>
        </w:tabs>
        <w:spacing w:line="360" w:lineRule="auto"/>
        <w:rPr>
          <w:rFonts w:hint="eastAsia" w:asciiTheme="majorEastAsia" w:hAnsiTheme="majorEastAsia" w:eastAsiaTheme="majorEastAsia"/>
          <w:sz w:val="24"/>
        </w:rPr>
      </w:pPr>
      <w:r>
        <w:fldChar w:fldCharType="begin"/>
      </w:r>
      <w:r>
        <w:instrText xml:space="preserve"> HYPERLINK \l "_Toc34844742" </w:instrText>
      </w:r>
      <w:r>
        <w:fldChar w:fldCharType="separate"/>
      </w:r>
      <w:r>
        <w:rPr>
          <w:rStyle w:val="51"/>
          <w:rFonts w:hint="eastAsia" w:asciiTheme="majorEastAsia" w:hAnsiTheme="majorEastAsia" w:eastAsiaTheme="majorEastAsia"/>
          <w:color w:val="auto"/>
          <w:sz w:val="24"/>
        </w:rPr>
        <w:t>第二章  采购需求</w:t>
      </w:r>
      <w:r>
        <w:rPr>
          <w:rFonts w:asciiTheme="majorEastAsia" w:hAnsiTheme="majorEastAsia" w:eastAsiaTheme="majorEastAsia"/>
          <w:sz w:val="24"/>
        </w:rPr>
        <w:tab/>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PAGEREF _Toc34844742 \h </w:instrText>
      </w:r>
      <w:r>
        <w:rPr>
          <w:rFonts w:asciiTheme="majorEastAsia" w:hAnsiTheme="majorEastAsia" w:eastAsiaTheme="majorEastAsia"/>
          <w:sz w:val="24"/>
        </w:rPr>
        <w:fldChar w:fldCharType="separate"/>
      </w:r>
      <w:r>
        <w:rPr>
          <w:rFonts w:asciiTheme="majorEastAsia" w:hAnsiTheme="majorEastAsia" w:eastAsiaTheme="majorEastAsia"/>
          <w:sz w:val="24"/>
        </w:rPr>
        <w:t>6</w:t>
      </w:r>
      <w:r>
        <w:rPr>
          <w:rFonts w:asciiTheme="majorEastAsia" w:hAnsiTheme="majorEastAsia" w:eastAsiaTheme="majorEastAsia"/>
          <w:sz w:val="24"/>
        </w:rPr>
        <w:fldChar w:fldCharType="end"/>
      </w:r>
      <w:r>
        <w:rPr>
          <w:rFonts w:asciiTheme="majorEastAsia" w:hAnsiTheme="majorEastAsia" w:eastAsiaTheme="majorEastAsia"/>
          <w:sz w:val="24"/>
        </w:rPr>
        <w:fldChar w:fldCharType="end"/>
      </w:r>
    </w:p>
    <w:p w14:paraId="5D3C62A8">
      <w:pPr>
        <w:pStyle w:val="31"/>
        <w:tabs>
          <w:tab w:val="right" w:leader="dot" w:pos="8846"/>
        </w:tabs>
        <w:spacing w:line="360" w:lineRule="auto"/>
        <w:rPr>
          <w:rFonts w:hint="eastAsia" w:asciiTheme="majorEastAsia" w:hAnsiTheme="majorEastAsia" w:eastAsiaTheme="majorEastAsia"/>
          <w:sz w:val="24"/>
        </w:rPr>
      </w:pPr>
      <w:r>
        <w:fldChar w:fldCharType="begin"/>
      </w:r>
      <w:r>
        <w:instrText xml:space="preserve"> HYPERLINK \l "_Toc34844743" </w:instrText>
      </w:r>
      <w:r>
        <w:fldChar w:fldCharType="separate"/>
      </w:r>
      <w:r>
        <w:rPr>
          <w:rStyle w:val="51"/>
          <w:rFonts w:hint="eastAsia" w:asciiTheme="majorEastAsia" w:hAnsiTheme="majorEastAsia" w:eastAsiaTheme="majorEastAsia"/>
          <w:color w:val="auto"/>
          <w:sz w:val="24"/>
        </w:rPr>
        <w:t>第三章  投标人须知</w:t>
      </w:r>
      <w:r>
        <w:rPr>
          <w:rFonts w:asciiTheme="majorEastAsia" w:hAnsiTheme="majorEastAsia" w:eastAsiaTheme="majorEastAsia"/>
          <w:sz w:val="24"/>
        </w:rPr>
        <w:tab/>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PAGEREF _Toc34844743 \h </w:instrText>
      </w:r>
      <w:r>
        <w:rPr>
          <w:rFonts w:asciiTheme="majorEastAsia" w:hAnsiTheme="majorEastAsia" w:eastAsiaTheme="majorEastAsia"/>
          <w:sz w:val="24"/>
        </w:rPr>
        <w:fldChar w:fldCharType="separate"/>
      </w:r>
      <w:r>
        <w:rPr>
          <w:rFonts w:asciiTheme="majorEastAsia" w:hAnsiTheme="majorEastAsia" w:eastAsiaTheme="majorEastAsia"/>
          <w:sz w:val="24"/>
        </w:rPr>
        <w:t>10</w:t>
      </w:r>
      <w:r>
        <w:rPr>
          <w:rFonts w:asciiTheme="majorEastAsia" w:hAnsiTheme="majorEastAsia" w:eastAsiaTheme="majorEastAsia"/>
          <w:sz w:val="24"/>
        </w:rPr>
        <w:fldChar w:fldCharType="end"/>
      </w:r>
      <w:r>
        <w:rPr>
          <w:rFonts w:asciiTheme="majorEastAsia" w:hAnsiTheme="majorEastAsia" w:eastAsiaTheme="majorEastAsia"/>
          <w:sz w:val="24"/>
        </w:rPr>
        <w:fldChar w:fldCharType="end"/>
      </w:r>
    </w:p>
    <w:p w14:paraId="70A1BF4A">
      <w:pPr>
        <w:pStyle w:val="31"/>
        <w:tabs>
          <w:tab w:val="right" w:leader="dot" w:pos="8846"/>
        </w:tabs>
        <w:spacing w:line="360" w:lineRule="auto"/>
        <w:rPr>
          <w:rFonts w:hint="eastAsia" w:asciiTheme="majorEastAsia" w:hAnsiTheme="majorEastAsia" w:eastAsiaTheme="majorEastAsia"/>
          <w:sz w:val="24"/>
        </w:rPr>
      </w:pPr>
      <w:r>
        <w:fldChar w:fldCharType="begin"/>
      </w:r>
      <w:r>
        <w:instrText xml:space="preserve"> HYPERLINK \l "_Toc34844744" </w:instrText>
      </w:r>
      <w:r>
        <w:fldChar w:fldCharType="separate"/>
      </w:r>
      <w:r>
        <w:rPr>
          <w:rStyle w:val="51"/>
          <w:rFonts w:hint="eastAsia" w:asciiTheme="majorEastAsia" w:hAnsiTheme="majorEastAsia" w:eastAsiaTheme="majorEastAsia"/>
          <w:color w:val="auto"/>
          <w:sz w:val="24"/>
        </w:rPr>
        <w:t>第四章  评标方法及评标标准</w:t>
      </w:r>
      <w:r>
        <w:rPr>
          <w:rFonts w:asciiTheme="majorEastAsia" w:hAnsiTheme="majorEastAsia" w:eastAsiaTheme="majorEastAsia"/>
          <w:sz w:val="24"/>
        </w:rPr>
        <w:tab/>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PAGEREF _Toc34844744 \h </w:instrText>
      </w:r>
      <w:r>
        <w:rPr>
          <w:rFonts w:asciiTheme="majorEastAsia" w:hAnsiTheme="majorEastAsia" w:eastAsiaTheme="majorEastAsia"/>
          <w:sz w:val="24"/>
        </w:rPr>
        <w:fldChar w:fldCharType="separate"/>
      </w:r>
      <w:r>
        <w:rPr>
          <w:rFonts w:asciiTheme="majorEastAsia" w:hAnsiTheme="majorEastAsia" w:eastAsiaTheme="majorEastAsia"/>
          <w:sz w:val="24"/>
        </w:rPr>
        <w:t>22</w:t>
      </w:r>
      <w:r>
        <w:rPr>
          <w:rFonts w:asciiTheme="majorEastAsia" w:hAnsiTheme="majorEastAsia" w:eastAsiaTheme="majorEastAsia"/>
          <w:sz w:val="24"/>
        </w:rPr>
        <w:fldChar w:fldCharType="end"/>
      </w:r>
      <w:r>
        <w:rPr>
          <w:rFonts w:asciiTheme="majorEastAsia" w:hAnsiTheme="majorEastAsia" w:eastAsiaTheme="majorEastAsia"/>
          <w:sz w:val="24"/>
        </w:rPr>
        <w:fldChar w:fldCharType="end"/>
      </w:r>
    </w:p>
    <w:p w14:paraId="0834682E">
      <w:pPr>
        <w:pStyle w:val="31"/>
        <w:tabs>
          <w:tab w:val="right" w:leader="dot" w:pos="8846"/>
        </w:tabs>
        <w:spacing w:line="360" w:lineRule="auto"/>
        <w:rPr>
          <w:rFonts w:hint="eastAsia" w:asciiTheme="majorEastAsia" w:hAnsiTheme="majorEastAsia" w:eastAsiaTheme="majorEastAsia"/>
          <w:sz w:val="24"/>
        </w:rPr>
      </w:pPr>
      <w:r>
        <w:fldChar w:fldCharType="begin"/>
      </w:r>
      <w:r>
        <w:instrText xml:space="preserve"> HYPERLINK \l "_Toc34844745" </w:instrText>
      </w:r>
      <w:r>
        <w:fldChar w:fldCharType="separate"/>
      </w:r>
      <w:r>
        <w:rPr>
          <w:rStyle w:val="51"/>
          <w:rFonts w:hint="eastAsia" w:asciiTheme="majorEastAsia" w:hAnsiTheme="majorEastAsia" w:eastAsiaTheme="majorEastAsia"/>
          <w:color w:val="auto"/>
          <w:sz w:val="24"/>
        </w:rPr>
        <w:t>第五章  合同文本</w:t>
      </w:r>
      <w:r>
        <w:rPr>
          <w:rFonts w:asciiTheme="majorEastAsia" w:hAnsiTheme="majorEastAsia" w:eastAsiaTheme="majorEastAsia"/>
          <w:sz w:val="24"/>
        </w:rPr>
        <w:tab/>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PAGEREF _Toc34844745 \h </w:instrText>
      </w:r>
      <w:r>
        <w:rPr>
          <w:rFonts w:asciiTheme="majorEastAsia" w:hAnsiTheme="majorEastAsia" w:eastAsiaTheme="majorEastAsia"/>
          <w:sz w:val="24"/>
        </w:rPr>
        <w:fldChar w:fldCharType="separate"/>
      </w:r>
      <w:r>
        <w:rPr>
          <w:rFonts w:asciiTheme="majorEastAsia" w:hAnsiTheme="majorEastAsia" w:eastAsiaTheme="majorEastAsia"/>
          <w:sz w:val="24"/>
        </w:rPr>
        <w:t>27</w:t>
      </w:r>
      <w:r>
        <w:rPr>
          <w:rFonts w:asciiTheme="majorEastAsia" w:hAnsiTheme="majorEastAsia" w:eastAsiaTheme="majorEastAsia"/>
          <w:sz w:val="24"/>
        </w:rPr>
        <w:fldChar w:fldCharType="end"/>
      </w:r>
      <w:r>
        <w:rPr>
          <w:rFonts w:asciiTheme="majorEastAsia" w:hAnsiTheme="majorEastAsia" w:eastAsiaTheme="majorEastAsia"/>
          <w:sz w:val="24"/>
        </w:rPr>
        <w:fldChar w:fldCharType="end"/>
      </w:r>
    </w:p>
    <w:p w14:paraId="5D8D6E92">
      <w:pPr>
        <w:pStyle w:val="31"/>
        <w:tabs>
          <w:tab w:val="right" w:leader="dot" w:pos="8846"/>
        </w:tabs>
        <w:spacing w:line="360" w:lineRule="auto"/>
        <w:rPr>
          <w:rFonts w:hint="eastAsia" w:asciiTheme="majorEastAsia" w:hAnsiTheme="majorEastAsia" w:eastAsiaTheme="majorEastAsia"/>
          <w:szCs w:val="22"/>
        </w:rPr>
      </w:pPr>
      <w:r>
        <w:fldChar w:fldCharType="begin"/>
      </w:r>
      <w:r>
        <w:instrText xml:space="preserve"> HYPERLINK \l "投标文件格式" </w:instrText>
      </w:r>
      <w:r>
        <w:fldChar w:fldCharType="separate"/>
      </w:r>
      <w:r>
        <w:rPr>
          <w:rFonts w:hint="eastAsia" w:ascii="宋体" w:hAnsi="宋体" w:cs="宋体"/>
          <w:sz w:val="24"/>
        </w:rPr>
        <w:t>第六章  投标文件格式</w:t>
      </w:r>
      <w:r>
        <w:rPr>
          <w:rFonts w:hint="eastAsia" w:ascii="宋体" w:hAnsi="宋体" w:cs="宋体"/>
          <w:sz w:val="24"/>
        </w:rPr>
        <w:tab/>
      </w:r>
      <w:r>
        <w:rPr>
          <w:rFonts w:hint="eastAsia" w:ascii="宋体" w:hAnsi="宋体" w:cs="宋体"/>
          <w:sz w:val="24"/>
        </w:rPr>
        <w:t>37</w:t>
      </w:r>
      <w:r>
        <w:rPr>
          <w:rFonts w:hint="eastAsia" w:ascii="宋体" w:hAnsi="宋体" w:cs="宋体"/>
          <w:sz w:val="24"/>
        </w:rPr>
        <w:fldChar w:fldCharType="end"/>
      </w:r>
    </w:p>
    <w:p w14:paraId="15D7CA48">
      <w:pPr>
        <w:spacing w:line="360" w:lineRule="auto"/>
        <w:rPr>
          <w:rFonts w:hint="eastAsia" w:asciiTheme="majorEastAsia" w:hAnsiTheme="majorEastAsia" w:eastAsiaTheme="majorEastAsia"/>
          <w:b/>
          <w:bCs/>
          <w:lang w:val="zh-CN"/>
        </w:rPr>
      </w:pPr>
      <w:r>
        <w:rPr>
          <w:rFonts w:asciiTheme="majorEastAsia" w:hAnsiTheme="majorEastAsia" w:eastAsiaTheme="majorEastAsia"/>
          <w:b/>
          <w:bCs/>
          <w:lang w:val="zh-CN"/>
        </w:rPr>
        <w:fldChar w:fldCharType="end"/>
      </w:r>
    </w:p>
    <w:p w14:paraId="2D8CC899">
      <w:pPr>
        <w:widowControl/>
        <w:jc w:val="left"/>
        <w:rPr>
          <w:rFonts w:hint="eastAsia" w:asciiTheme="majorEastAsia" w:hAnsiTheme="majorEastAsia" w:eastAsiaTheme="majorEastAsia"/>
          <w:b/>
          <w:bCs/>
          <w:lang w:val="zh-CN"/>
        </w:rPr>
        <w:sectPr>
          <w:headerReference r:id="rId9" w:type="default"/>
          <w:footerReference r:id="rId10" w:type="even"/>
          <w:pgSz w:w="11906" w:h="16838"/>
          <w:pgMar w:top="1276" w:right="1440" w:bottom="1276" w:left="1610" w:header="851" w:footer="851" w:gutter="0"/>
          <w:pgNumType w:chapStyle="1"/>
          <w:cols w:space="720" w:num="1"/>
          <w:docGrid w:linePitch="312" w:charSpace="0"/>
        </w:sectPr>
      </w:pPr>
      <w:r>
        <w:rPr>
          <w:rFonts w:asciiTheme="majorEastAsia" w:hAnsiTheme="majorEastAsia" w:eastAsiaTheme="majorEastAsia"/>
          <w:b/>
          <w:bCs/>
          <w:lang w:val="zh-CN"/>
        </w:rPr>
        <w:br w:type="page"/>
      </w:r>
    </w:p>
    <w:p w14:paraId="1DE1C379">
      <w:pPr>
        <w:pStyle w:val="279"/>
        <w:spacing w:before="0" w:after="0" w:line="360" w:lineRule="auto"/>
        <w:jc w:val="center"/>
        <w:rPr>
          <w:rFonts w:hint="eastAsia" w:asciiTheme="majorEastAsia" w:hAnsiTheme="majorEastAsia" w:eastAsiaTheme="majorEastAsia"/>
          <w:sz w:val="24"/>
        </w:rPr>
      </w:pPr>
      <w:bookmarkStart w:id="0" w:name="_Toc34844741"/>
      <w:r>
        <w:rPr>
          <w:rFonts w:hint="eastAsia" w:asciiTheme="majorEastAsia" w:hAnsiTheme="majorEastAsia" w:eastAsiaTheme="majorEastAsia"/>
          <w:sz w:val="24"/>
        </w:rPr>
        <w:t>第一章  投标邀请</w:t>
      </w:r>
    </w:p>
    <w:p w14:paraId="7914ACB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ajorEastAsia" w:hAnsiTheme="majorEastAsia" w:eastAsiaTheme="majorEastAsia"/>
          <w:szCs w:val="28"/>
        </w:rPr>
      </w:pPr>
      <w:r>
        <w:rPr>
          <w:rFonts w:hint="eastAsia" w:asciiTheme="majorEastAsia" w:hAnsiTheme="majorEastAsia" w:eastAsiaTheme="majorEastAsia"/>
          <w:szCs w:val="28"/>
        </w:rPr>
        <w:t>项目概况</w:t>
      </w:r>
    </w:p>
    <w:p w14:paraId="29336F7B">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Theme="majorEastAsia" w:hAnsiTheme="majorEastAsia" w:eastAsiaTheme="majorEastAsia"/>
          <w:szCs w:val="28"/>
        </w:rPr>
      </w:pPr>
      <w:bookmarkStart w:id="1" w:name="_Toc28359002"/>
      <w:bookmarkStart w:id="2" w:name="_Toc35393790"/>
      <w:bookmarkStart w:id="3" w:name="_Toc28359079"/>
      <w:bookmarkStart w:id="4" w:name="_Toc35393621"/>
      <w:bookmarkStart w:id="5" w:name="_Hlk24379207"/>
      <w:r>
        <w:rPr>
          <w:rFonts w:hint="eastAsia" w:asciiTheme="majorEastAsia" w:hAnsiTheme="majorEastAsia" w:eastAsiaTheme="majorEastAsia"/>
          <w:szCs w:val="28"/>
          <w:u w:val="single"/>
        </w:rPr>
        <w:t>浙江大学宁波“五位一体”校区教育发展中心高压物性综合测试平台采购项目</w:t>
      </w:r>
      <w:r>
        <w:rPr>
          <w:rFonts w:hint="eastAsia" w:asciiTheme="majorEastAsia" w:hAnsiTheme="majorEastAsia" w:eastAsiaTheme="majorEastAsia"/>
          <w:szCs w:val="28"/>
        </w:rPr>
        <w:t>的潜在投标人应在</w:t>
      </w:r>
      <w:r>
        <w:rPr>
          <w:rFonts w:hint="eastAsia" w:asciiTheme="majorEastAsia" w:hAnsiTheme="majorEastAsia" w:eastAsiaTheme="majorEastAsia"/>
          <w:u w:val="single"/>
        </w:rPr>
        <w:t>政采云平</w:t>
      </w:r>
      <w:r>
        <w:rPr>
          <w:rFonts w:hint="eastAsia" w:asciiTheme="majorEastAsia" w:hAnsiTheme="majorEastAsia" w:eastAsiaTheme="majorEastAsia"/>
          <w:color w:val="000000" w:themeColor="text1"/>
          <w:u w:val="single"/>
          <w14:textFill>
            <w14:solidFill>
              <w14:schemeClr w14:val="tx1"/>
            </w14:solidFill>
          </w14:textFill>
        </w:rPr>
        <w:t>台</w:t>
      </w:r>
      <w:r>
        <w:rPr>
          <w:rFonts w:hint="eastAsia" w:asciiTheme="majorEastAsia" w:hAnsiTheme="majorEastAsia" w:eastAsiaTheme="majorEastAsia"/>
          <w:u w:val="single"/>
        </w:rPr>
        <w:t>（</w:t>
      </w:r>
      <w:r>
        <w:fldChar w:fldCharType="begin"/>
      </w:r>
      <w:r>
        <w:instrText xml:space="preserve"> HYPERLINK "https://www.zcygov.cn）获取招标文件，并于2025年2月" </w:instrText>
      </w:r>
      <w:r>
        <w:fldChar w:fldCharType="separate"/>
      </w:r>
      <w:r>
        <w:rPr>
          <w:rStyle w:val="51"/>
          <w:rFonts w:hint="eastAsia" w:asciiTheme="majorEastAsia" w:hAnsiTheme="majorEastAsia" w:eastAsiaTheme="majorEastAsia"/>
          <w:color w:val="auto"/>
        </w:rPr>
        <w:t>https://www.zcygov.cn）</w:t>
      </w:r>
      <w:r>
        <w:rPr>
          <w:rStyle w:val="51"/>
          <w:rFonts w:hint="eastAsia" w:asciiTheme="majorEastAsia" w:hAnsiTheme="majorEastAsia" w:eastAsiaTheme="majorEastAsia"/>
          <w:color w:val="auto"/>
          <w:szCs w:val="28"/>
        </w:rPr>
        <w:t>获取招标文件，并于2025年</w:t>
      </w:r>
      <w:r>
        <w:rPr>
          <w:rStyle w:val="51"/>
          <w:rFonts w:hint="eastAsia" w:asciiTheme="majorEastAsia" w:hAnsiTheme="majorEastAsia" w:eastAsiaTheme="majorEastAsia"/>
          <w:bCs/>
          <w:color w:val="auto"/>
          <w:szCs w:val="28"/>
          <w:lang w:val="en-US" w:eastAsia="zh-CN"/>
        </w:rPr>
        <w:t>3</w:t>
      </w:r>
      <w:r>
        <w:rPr>
          <w:rStyle w:val="51"/>
          <w:rFonts w:hint="eastAsia" w:asciiTheme="majorEastAsia" w:hAnsiTheme="majorEastAsia" w:eastAsiaTheme="majorEastAsia"/>
          <w:bCs/>
          <w:color w:val="auto"/>
          <w:szCs w:val="28"/>
        </w:rPr>
        <w:t>月</w:t>
      </w:r>
      <w:r>
        <w:rPr>
          <w:rStyle w:val="51"/>
          <w:rFonts w:hint="eastAsia" w:asciiTheme="majorEastAsia" w:hAnsiTheme="majorEastAsia" w:eastAsiaTheme="majorEastAsia"/>
          <w:bCs/>
          <w:color w:val="auto"/>
          <w:szCs w:val="28"/>
        </w:rPr>
        <w:fldChar w:fldCharType="end"/>
      </w:r>
      <w:r>
        <w:rPr>
          <w:rFonts w:hint="eastAsia" w:asciiTheme="majorEastAsia" w:hAnsiTheme="majorEastAsia" w:eastAsiaTheme="majorEastAsia"/>
          <w:bCs/>
          <w:color w:val="000000" w:themeColor="text1"/>
          <w:szCs w:val="28"/>
          <w:u w:val="single"/>
          <w:lang w:val="en-US" w:eastAsia="zh-CN"/>
          <w14:textFill>
            <w14:solidFill>
              <w14:schemeClr w14:val="tx1"/>
            </w14:solidFill>
          </w14:textFill>
        </w:rPr>
        <w:t>14</w:t>
      </w:r>
      <w:r>
        <w:rPr>
          <w:rFonts w:hint="eastAsia" w:asciiTheme="majorEastAsia" w:hAnsiTheme="majorEastAsia" w:eastAsiaTheme="majorEastAsia"/>
          <w:bCs/>
          <w:color w:val="000000" w:themeColor="text1"/>
          <w:szCs w:val="28"/>
          <w:u w:val="single"/>
          <w14:textFill>
            <w14:solidFill>
              <w14:schemeClr w14:val="tx1"/>
            </w14:solidFill>
          </w14:textFill>
        </w:rPr>
        <w:t>日14点00分</w:t>
      </w:r>
      <w:r>
        <w:rPr>
          <w:rFonts w:hint="eastAsia" w:asciiTheme="majorEastAsia" w:hAnsiTheme="majorEastAsia" w:eastAsiaTheme="majorEastAsia"/>
          <w:bCs/>
          <w:szCs w:val="28"/>
        </w:rPr>
        <w:t>（北京时间）前递交投标</w:t>
      </w:r>
      <w:r>
        <w:rPr>
          <w:rFonts w:asciiTheme="majorEastAsia" w:hAnsiTheme="majorEastAsia" w:eastAsiaTheme="majorEastAsia"/>
          <w:bCs/>
          <w:szCs w:val="28"/>
        </w:rPr>
        <w:t>文件</w:t>
      </w:r>
      <w:r>
        <w:rPr>
          <w:rFonts w:hint="eastAsia" w:asciiTheme="majorEastAsia" w:hAnsiTheme="majorEastAsia" w:eastAsiaTheme="majorEastAsia"/>
          <w:szCs w:val="28"/>
        </w:rPr>
        <w:t>。</w:t>
      </w:r>
    </w:p>
    <w:p w14:paraId="35488ABD">
      <w:pPr>
        <w:snapToGrid w:val="0"/>
        <w:spacing w:line="400" w:lineRule="exact"/>
        <w:rPr>
          <w:rFonts w:hint="eastAsia" w:cs="Arial" w:asciiTheme="majorEastAsia" w:hAnsiTheme="majorEastAsia" w:eastAsiaTheme="majorEastAsia"/>
          <w:szCs w:val="21"/>
        </w:rPr>
      </w:pPr>
      <w:r>
        <w:rPr>
          <w:rFonts w:hint="eastAsia" w:cs="Arial" w:asciiTheme="majorEastAsia" w:hAnsiTheme="majorEastAsia" w:eastAsiaTheme="majorEastAsia"/>
          <w:szCs w:val="21"/>
        </w:rPr>
        <w:t>一、项目基本情况</w:t>
      </w:r>
      <w:bookmarkEnd w:id="1"/>
      <w:bookmarkEnd w:id="2"/>
      <w:bookmarkEnd w:id="3"/>
      <w:bookmarkEnd w:id="4"/>
    </w:p>
    <w:p w14:paraId="3AFF5252">
      <w:pPr>
        <w:spacing w:line="400" w:lineRule="exact"/>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项目编号：NBMC-20251020G</w:t>
      </w:r>
    </w:p>
    <w:p w14:paraId="7005EF93">
      <w:pPr>
        <w:spacing w:line="400" w:lineRule="exact"/>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项目名称：浙江大学宁波“五位一体”校区教育发展中心高压物性综合测试平台采购项目</w:t>
      </w:r>
    </w:p>
    <w:bookmarkEnd w:id="5"/>
    <w:p w14:paraId="2EC4C7CD">
      <w:pPr>
        <w:spacing w:line="400" w:lineRule="exact"/>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标项1</w:t>
      </w:r>
    </w:p>
    <w:p w14:paraId="4E31BE71">
      <w:pPr>
        <w:spacing w:line="400" w:lineRule="exact"/>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标的名称: 高压物性综合测试平台</w:t>
      </w:r>
    </w:p>
    <w:p w14:paraId="6563CD04">
      <w:pPr>
        <w:spacing w:line="400" w:lineRule="exact"/>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预算金额：</w:t>
      </w:r>
      <w:r>
        <w:rPr>
          <w:rFonts w:hint="eastAsia" w:asciiTheme="majorEastAsia" w:hAnsiTheme="majorEastAsia" w:eastAsiaTheme="majorEastAsia"/>
          <w:szCs w:val="21"/>
          <w:u w:val="single"/>
        </w:rPr>
        <w:t>160</w:t>
      </w:r>
      <w:r>
        <w:rPr>
          <w:rFonts w:hint="eastAsia" w:asciiTheme="majorEastAsia" w:hAnsiTheme="majorEastAsia" w:eastAsiaTheme="majorEastAsia"/>
          <w:szCs w:val="21"/>
        </w:rPr>
        <w:t>万元</w:t>
      </w:r>
    </w:p>
    <w:p w14:paraId="40BCF5BC">
      <w:pPr>
        <w:spacing w:line="400" w:lineRule="exact"/>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最高限价：</w:t>
      </w:r>
      <w:r>
        <w:rPr>
          <w:rFonts w:hint="eastAsia" w:asciiTheme="majorEastAsia" w:hAnsiTheme="majorEastAsia" w:eastAsiaTheme="majorEastAsia"/>
          <w:szCs w:val="21"/>
          <w:u w:val="single"/>
        </w:rPr>
        <w:t>160</w:t>
      </w:r>
      <w:r>
        <w:rPr>
          <w:rFonts w:hint="eastAsia" w:asciiTheme="majorEastAsia" w:hAnsiTheme="majorEastAsia" w:eastAsiaTheme="majorEastAsia"/>
          <w:szCs w:val="21"/>
        </w:rPr>
        <w:t>万元</w:t>
      </w:r>
    </w:p>
    <w:p w14:paraId="2C2BFAA0">
      <w:pPr>
        <w:spacing w:line="400" w:lineRule="exact"/>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数量：1套</w:t>
      </w:r>
    </w:p>
    <w:p w14:paraId="2E3A90FC">
      <w:pPr>
        <w:spacing w:line="400" w:lineRule="exact"/>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简要技术需求：详见采购文件第二章《采购需求》</w:t>
      </w:r>
      <w:r>
        <w:rPr>
          <w:rFonts w:asciiTheme="majorEastAsia" w:hAnsiTheme="majorEastAsia" w:eastAsiaTheme="majorEastAsia"/>
          <w:szCs w:val="21"/>
        </w:rPr>
        <w:t>。</w:t>
      </w:r>
    </w:p>
    <w:p w14:paraId="17D8EA9E">
      <w:pPr>
        <w:spacing w:line="400" w:lineRule="exact"/>
        <w:ind w:firstLine="420" w:firstLineChars="200"/>
        <w:rPr>
          <w:rFonts w:hint="eastAsia" w:asciiTheme="majorEastAsia" w:hAnsiTheme="majorEastAsia" w:eastAsiaTheme="majorEastAsia"/>
          <w:szCs w:val="21"/>
        </w:rPr>
      </w:pPr>
      <w:r>
        <w:rPr>
          <w:rFonts w:asciiTheme="majorEastAsia" w:hAnsiTheme="majorEastAsia" w:eastAsiaTheme="majorEastAsia"/>
          <w:szCs w:val="21"/>
        </w:rPr>
        <w:t>合同履约期限</w:t>
      </w:r>
      <w:r>
        <w:rPr>
          <w:rFonts w:hint="eastAsia" w:asciiTheme="majorEastAsia" w:hAnsiTheme="majorEastAsia" w:eastAsiaTheme="majorEastAsia"/>
          <w:szCs w:val="21"/>
        </w:rPr>
        <w:t>：</w:t>
      </w:r>
      <w:r>
        <w:rPr>
          <w:rFonts w:hint="eastAsia" w:ascii="宋体" w:hAnsi="宋体"/>
        </w:rPr>
        <w:t>自合同生效之日至合同全部权利义务履行完毕之日止。</w:t>
      </w:r>
    </w:p>
    <w:p w14:paraId="77AD656B">
      <w:pPr>
        <w:spacing w:line="400" w:lineRule="exact"/>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本项目不接受联合体投标。</w:t>
      </w:r>
    </w:p>
    <w:p w14:paraId="5218B8A6">
      <w:pPr>
        <w:spacing w:line="400" w:lineRule="exact"/>
        <w:ind w:firstLine="420" w:firstLineChars="200"/>
        <w:rPr>
          <w:rFonts w:hint="eastAsia" w:asciiTheme="majorEastAsia" w:hAnsiTheme="majorEastAsia" w:eastAsiaTheme="majorEastAsia"/>
          <w:szCs w:val="21"/>
        </w:rPr>
      </w:pPr>
      <w:r>
        <w:rPr>
          <w:rFonts w:hint="eastAsia" w:asciiTheme="minorEastAsia" w:hAnsiTheme="minorEastAsia" w:eastAsiaTheme="minorEastAsia"/>
          <w:szCs w:val="21"/>
        </w:rPr>
        <w:t>备注：允许采购进口产品</w:t>
      </w:r>
    </w:p>
    <w:p w14:paraId="19709F09">
      <w:pPr>
        <w:snapToGrid w:val="0"/>
        <w:spacing w:line="400" w:lineRule="exact"/>
        <w:rPr>
          <w:rFonts w:hint="eastAsia" w:cs="Arial" w:asciiTheme="majorEastAsia" w:hAnsiTheme="majorEastAsia" w:eastAsiaTheme="majorEastAsia"/>
          <w:szCs w:val="21"/>
        </w:rPr>
      </w:pPr>
      <w:bookmarkStart w:id="6" w:name="_Toc35393622"/>
      <w:bookmarkStart w:id="7" w:name="_Toc28359003"/>
      <w:bookmarkStart w:id="8" w:name="_Toc28359080"/>
      <w:bookmarkStart w:id="9" w:name="_Toc35393791"/>
      <w:r>
        <w:rPr>
          <w:rFonts w:hint="eastAsia" w:cs="Arial" w:asciiTheme="majorEastAsia" w:hAnsiTheme="majorEastAsia" w:eastAsiaTheme="majorEastAsia"/>
          <w:szCs w:val="21"/>
        </w:rPr>
        <w:t>二、申请人的资格要求：</w:t>
      </w:r>
      <w:bookmarkEnd w:id="6"/>
      <w:bookmarkEnd w:id="7"/>
      <w:bookmarkEnd w:id="8"/>
      <w:bookmarkEnd w:id="9"/>
    </w:p>
    <w:p w14:paraId="1091D0DF">
      <w:pPr>
        <w:spacing w:line="400" w:lineRule="exact"/>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1.满足《中华人民共和国政府采购法》第二十二条</w:t>
      </w:r>
      <w:r>
        <w:rPr>
          <w:rFonts w:hint="eastAsia" w:asciiTheme="majorEastAsia" w:hAnsiTheme="majorEastAsia" w:eastAsiaTheme="majorEastAsia"/>
        </w:rPr>
        <w:t>第一款的</w:t>
      </w:r>
      <w:r>
        <w:rPr>
          <w:rFonts w:hint="eastAsia" w:asciiTheme="majorEastAsia" w:hAnsiTheme="majorEastAsia" w:eastAsiaTheme="majorEastAsia"/>
          <w:szCs w:val="21"/>
        </w:rPr>
        <w:t>规定；</w:t>
      </w:r>
    </w:p>
    <w:p w14:paraId="4506C21E">
      <w:pPr>
        <w:spacing w:line="400" w:lineRule="exact"/>
        <w:ind w:firstLine="420" w:firstLineChars="200"/>
        <w:rPr>
          <w:rFonts w:hint="eastAsia" w:asciiTheme="majorEastAsia" w:hAnsiTheme="majorEastAsia" w:eastAsiaTheme="majorEastAsia"/>
        </w:rPr>
      </w:pPr>
      <w:r>
        <w:rPr>
          <w:rFonts w:hint="eastAsia" w:asciiTheme="majorEastAsia" w:hAnsiTheme="majorEastAsia" w:eastAsiaTheme="majorEastAsia"/>
          <w:szCs w:val="21"/>
        </w:rPr>
        <w:t>2.</w:t>
      </w:r>
      <w:r>
        <w:rPr>
          <w:rFonts w:hint="eastAsia" w:asciiTheme="majorEastAsia" w:hAnsiTheme="majorEastAsia" w:eastAsiaTheme="majorEastAsia"/>
        </w:rPr>
        <w:t>未被“信用中国”网站</w:t>
      </w:r>
      <w:r>
        <w:rPr>
          <w:rFonts w:asciiTheme="majorEastAsia" w:hAnsiTheme="majorEastAsia" w:eastAsiaTheme="majorEastAsia"/>
        </w:rPr>
        <w:t>(</w:t>
      </w:r>
      <w:r>
        <w:fldChar w:fldCharType="begin"/>
      </w:r>
      <w:r>
        <w:instrText xml:space="preserve"> HYPERLINK "http://www.creditchina" </w:instrText>
      </w:r>
      <w:r>
        <w:fldChar w:fldCharType="separate"/>
      </w:r>
      <w:r>
        <w:rPr>
          <w:rStyle w:val="51"/>
          <w:rFonts w:asciiTheme="majorEastAsia" w:hAnsiTheme="majorEastAsia" w:eastAsiaTheme="majorEastAsia"/>
          <w:color w:val="auto"/>
        </w:rPr>
        <w:t>www.creditchina</w:t>
      </w:r>
      <w:r>
        <w:rPr>
          <w:rStyle w:val="51"/>
          <w:rFonts w:asciiTheme="majorEastAsia" w:hAnsiTheme="majorEastAsia" w:eastAsiaTheme="majorEastAsia"/>
          <w:color w:val="auto"/>
        </w:rPr>
        <w:fldChar w:fldCharType="end"/>
      </w:r>
      <w:r>
        <w:rPr>
          <w:rFonts w:asciiTheme="majorEastAsia" w:hAnsiTheme="majorEastAsia" w:eastAsiaTheme="majorEastAsia"/>
        </w:rPr>
        <w:t xml:space="preserve">. gov.cn) </w:t>
      </w:r>
      <w:r>
        <w:rPr>
          <w:rFonts w:hint="eastAsia" w:asciiTheme="majorEastAsia" w:hAnsiTheme="majorEastAsia" w:eastAsiaTheme="majorEastAsia"/>
        </w:rPr>
        <w:t>列入“失信被执行人或重大税收违法案件当事人名单或政府采购严重违法失信行为记录名单”；未被中国政府采购网</w:t>
      </w:r>
      <w:r>
        <w:rPr>
          <w:rFonts w:asciiTheme="majorEastAsia" w:hAnsiTheme="majorEastAsia" w:eastAsiaTheme="majorEastAsia"/>
        </w:rPr>
        <w:t>(www.ccgp.gov.cn)“政府采购严重违法失信行为信息记录”中列入禁止参加政府采购活动期间。</w:t>
      </w:r>
    </w:p>
    <w:p w14:paraId="2F51E133">
      <w:pPr>
        <w:spacing w:line="400" w:lineRule="exact"/>
        <w:ind w:firstLine="420" w:firstLineChars="200"/>
        <w:rPr>
          <w:rFonts w:hint="eastAsia" w:asciiTheme="majorEastAsia" w:hAnsiTheme="majorEastAsia" w:eastAsiaTheme="majorEastAsia"/>
          <w:szCs w:val="21"/>
        </w:rPr>
      </w:pPr>
      <w:r>
        <w:rPr>
          <w:rFonts w:hint="eastAsia" w:asciiTheme="majorEastAsia" w:hAnsiTheme="majorEastAsia" w:eastAsiaTheme="majorEastAsia"/>
        </w:rPr>
        <w:t>3.单位负责人为同一人或者存在直接控股、管理关系的不同供应商，不得同时参加本项目的政府采购活动；为本项目提供整体设计、规范编制或者项目管理、监理、检测等服务的供应商，不得再参加本项目的投标。</w:t>
      </w:r>
    </w:p>
    <w:p w14:paraId="7339355F">
      <w:pPr>
        <w:spacing w:line="400" w:lineRule="exact"/>
        <w:ind w:firstLine="420" w:firstLineChars="200"/>
        <w:rPr>
          <w:rFonts w:hint="eastAsia" w:asciiTheme="majorEastAsia" w:hAnsiTheme="majorEastAsia" w:eastAsiaTheme="majorEastAsia"/>
        </w:rPr>
      </w:pPr>
      <w:bookmarkStart w:id="10" w:name="_Toc28359004"/>
      <w:bookmarkStart w:id="11" w:name="_Toc28359081"/>
      <w:r>
        <w:rPr>
          <w:rFonts w:hint="eastAsia" w:asciiTheme="majorEastAsia" w:hAnsiTheme="majorEastAsia" w:eastAsiaTheme="majorEastAsia"/>
        </w:rPr>
        <w:t>4.落实政府采购政策需满足的资格要求：/</w:t>
      </w:r>
    </w:p>
    <w:p w14:paraId="74C1612A">
      <w:pPr>
        <w:spacing w:line="400" w:lineRule="exact"/>
        <w:ind w:firstLine="420" w:firstLineChars="200"/>
        <w:rPr>
          <w:rFonts w:hint="eastAsia" w:asciiTheme="majorEastAsia" w:hAnsiTheme="majorEastAsia" w:eastAsiaTheme="majorEastAsia"/>
        </w:rPr>
      </w:pPr>
      <w:r>
        <w:rPr>
          <w:rFonts w:hint="eastAsia" w:asciiTheme="minorEastAsia" w:hAnsiTheme="minorEastAsia" w:eastAsiaTheme="minorEastAsia"/>
          <w:szCs w:val="21"/>
        </w:rPr>
        <w:t>5.本项目的特定资格要求：</w:t>
      </w:r>
      <w:r>
        <w:rPr>
          <w:rFonts w:hint="eastAsia" w:asciiTheme="minorEastAsia" w:hAnsiTheme="minorEastAsia" w:eastAsiaTheme="minorEastAsia"/>
          <w:szCs w:val="21"/>
          <w:u w:val="single"/>
        </w:rPr>
        <w:t>进口产品投标的提供产品制造商或其国内总代理出具的唯一投标授权函。</w:t>
      </w:r>
    </w:p>
    <w:p w14:paraId="39B97893">
      <w:pPr>
        <w:snapToGrid w:val="0"/>
        <w:spacing w:line="400" w:lineRule="exact"/>
        <w:rPr>
          <w:rFonts w:hint="eastAsia" w:cs="Arial" w:asciiTheme="majorEastAsia" w:hAnsiTheme="majorEastAsia" w:eastAsiaTheme="majorEastAsia"/>
          <w:szCs w:val="21"/>
        </w:rPr>
      </w:pPr>
      <w:bookmarkStart w:id="12" w:name="_Toc35393792"/>
      <w:bookmarkStart w:id="13" w:name="_Toc35393623"/>
      <w:r>
        <w:rPr>
          <w:rFonts w:hint="eastAsia" w:cs="Arial" w:asciiTheme="majorEastAsia" w:hAnsiTheme="majorEastAsia" w:eastAsiaTheme="majorEastAsia"/>
          <w:szCs w:val="21"/>
        </w:rPr>
        <w:t>三、获取招标文件</w:t>
      </w:r>
      <w:bookmarkEnd w:id="10"/>
      <w:bookmarkEnd w:id="11"/>
      <w:bookmarkEnd w:id="12"/>
      <w:bookmarkEnd w:id="13"/>
    </w:p>
    <w:p w14:paraId="1B538409">
      <w:pPr>
        <w:snapToGrid w:val="0"/>
        <w:spacing w:line="400" w:lineRule="exact"/>
        <w:ind w:firstLine="411" w:firstLineChars="196"/>
        <w:rPr>
          <w:rFonts w:hint="eastAsia" w:cs="宋体" w:asciiTheme="majorEastAsia" w:hAnsiTheme="majorEastAsia" w:eastAsiaTheme="majorEastAsia"/>
          <w:b/>
          <w:szCs w:val="21"/>
        </w:rPr>
      </w:pPr>
      <w:r>
        <w:rPr>
          <w:rFonts w:hint="eastAsia" w:cs="宋体" w:asciiTheme="majorEastAsia" w:hAnsiTheme="majorEastAsia" w:eastAsiaTheme="majorEastAsia"/>
          <w:szCs w:val="21"/>
        </w:rPr>
        <w:t>时间：2025年</w:t>
      </w:r>
      <w:r>
        <w:rPr>
          <w:rFonts w:hint="eastAsia" w:cs="宋体" w:asciiTheme="majorEastAsia" w:hAnsiTheme="majorEastAsia" w:eastAsiaTheme="majorEastAsia"/>
          <w:szCs w:val="21"/>
          <w:lang w:val="en-US" w:eastAsia="zh-CN"/>
        </w:rPr>
        <w:t>2</w:t>
      </w:r>
      <w:r>
        <w:rPr>
          <w:rFonts w:hint="eastAsia" w:cs="宋体" w:asciiTheme="majorEastAsia" w:hAnsiTheme="majorEastAsia" w:eastAsiaTheme="majorEastAsia"/>
          <w:szCs w:val="21"/>
        </w:rPr>
        <w:t>月</w:t>
      </w:r>
      <w:r>
        <w:rPr>
          <w:rFonts w:hint="eastAsia" w:cs="宋体" w:asciiTheme="majorEastAsia" w:hAnsiTheme="majorEastAsia" w:eastAsiaTheme="majorEastAsia"/>
          <w:szCs w:val="21"/>
          <w:lang w:val="en-US" w:eastAsia="zh-CN"/>
        </w:rPr>
        <w:t>21</w:t>
      </w:r>
      <w:r>
        <w:rPr>
          <w:rFonts w:hint="eastAsia" w:cs="宋体" w:asciiTheme="majorEastAsia" w:hAnsiTheme="majorEastAsia" w:eastAsiaTheme="majorEastAsia"/>
          <w:szCs w:val="21"/>
        </w:rPr>
        <w:t>日至2025年</w:t>
      </w:r>
      <w:r>
        <w:rPr>
          <w:rFonts w:hint="eastAsia" w:cs="宋体" w:asciiTheme="majorEastAsia" w:hAnsiTheme="majorEastAsia" w:eastAsiaTheme="majorEastAsia"/>
          <w:szCs w:val="21"/>
          <w:lang w:val="en-US" w:eastAsia="zh-CN"/>
        </w:rPr>
        <w:t>2</w:t>
      </w:r>
      <w:r>
        <w:rPr>
          <w:rFonts w:hint="eastAsia" w:cs="宋体" w:asciiTheme="majorEastAsia" w:hAnsiTheme="majorEastAsia" w:eastAsiaTheme="majorEastAsia"/>
          <w:szCs w:val="21"/>
        </w:rPr>
        <w:t>月</w:t>
      </w:r>
      <w:r>
        <w:rPr>
          <w:rFonts w:hint="eastAsia" w:cs="宋体" w:asciiTheme="majorEastAsia" w:hAnsiTheme="majorEastAsia" w:eastAsiaTheme="majorEastAsia"/>
          <w:szCs w:val="21"/>
          <w:lang w:val="en-US" w:eastAsia="zh-CN"/>
        </w:rPr>
        <w:t>28</w:t>
      </w:r>
      <w:r>
        <w:rPr>
          <w:rFonts w:hint="eastAsia" w:cs="宋体" w:asciiTheme="majorEastAsia" w:hAnsiTheme="majorEastAsia" w:eastAsiaTheme="majorEastAsia"/>
          <w:szCs w:val="21"/>
        </w:rPr>
        <w:t>日，每天上午</w:t>
      </w:r>
      <w:r>
        <w:rPr>
          <w:rFonts w:hint="eastAsia" w:cs="宋体" w:asciiTheme="majorEastAsia" w:hAnsiTheme="majorEastAsia" w:eastAsiaTheme="majorEastAsia"/>
          <w:szCs w:val="21"/>
          <w:u w:val="single"/>
        </w:rPr>
        <w:t>00：00</w:t>
      </w:r>
      <w:r>
        <w:rPr>
          <w:rFonts w:hint="eastAsia" w:cs="宋体" w:asciiTheme="majorEastAsia" w:hAnsiTheme="majorEastAsia" w:eastAsiaTheme="majorEastAsia"/>
          <w:szCs w:val="21"/>
        </w:rPr>
        <w:t>至</w:t>
      </w:r>
      <w:r>
        <w:rPr>
          <w:rFonts w:hint="eastAsia" w:cs="宋体" w:asciiTheme="majorEastAsia" w:hAnsiTheme="majorEastAsia" w:eastAsiaTheme="majorEastAsia"/>
          <w:szCs w:val="21"/>
          <w:u w:val="single"/>
        </w:rPr>
        <w:t>12：00</w:t>
      </w:r>
      <w:r>
        <w:rPr>
          <w:rFonts w:hint="eastAsia" w:cs="宋体" w:asciiTheme="majorEastAsia" w:hAnsiTheme="majorEastAsia" w:eastAsiaTheme="majorEastAsia"/>
          <w:szCs w:val="21"/>
        </w:rPr>
        <w:t>，下午</w:t>
      </w:r>
      <w:r>
        <w:rPr>
          <w:rFonts w:hint="eastAsia" w:cs="宋体" w:asciiTheme="majorEastAsia" w:hAnsiTheme="majorEastAsia" w:eastAsiaTheme="majorEastAsia"/>
          <w:szCs w:val="21"/>
          <w:u w:val="single"/>
        </w:rPr>
        <w:t>12：00</w:t>
      </w:r>
      <w:r>
        <w:rPr>
          <w:rFonts w:hint="eastAsia" w:cs="宋体" w:asciiTheme="majorEastAsia" w:hAnsiTheme="majorEastAsia" w:eastAsiaTheme="majorEastAsia"/>
          <w:szCs w:val="21"/>
        </w:rPr>
        <w:t>至</w:t>
      </w:r>
      <w:r>
        <w:rPr>
          <w:rFonts w:hint="eastAsia" w:cs="宋体" w:asciiTheme="majorEastAsia" w:hAnsiTheme="majorEastAsia" w:eastAsiaTheme="majorEastAsia"/>
          <w:szCs w:val="21"/>
          <w:u w:val="single"/>
        </w:rPr>
        <w:t>23：59</w:t>
      </w:r>
      <w:r>
        <w:rPr>
          <w:rFonts w:hint="eastAsia" w:cs="宋体" w:asciiTheme="majorEastAsia" w:hAnsiTheme="majorEastAsia" w:eastAsiaTheme="majorEastAsia"/>
          <w:szCs w:val="21"/>
        </w:rPr>
        <w:t>（北京时间）</w:t>
      </w:r>
    </w:p>
    <w:p w14:paraId="6DFCFE92">
      <w:pPr>
        <w:snapToGrid w:val="0"/>
        <w:spacing w:line="400" w:lineRule="exact"/>
        <w:ind w:firstLine="411" w:firstLineChars="196"/>
        <w:rPr>
          <w:rFonts w:hint="eastAsia" w:cs="宋体" w:asciiTheme="majorEastAsia" w:hAnsiTheme="majorEastAsia" w:eastAsiaTheme="majorEastAsia"/>
          <w:szCs w:val="21"/>
          <w:u w:val="single"/>
        </w:rPr>
      </w:pPr>
      <w:r>
        <w:rPr>
          <w:rFonts w:hint="eastAsia" w:cs="宋体" w:asciiTheme="majorEastAsia" w:hAnsiTheme="majorEastAsia" w:eastAsiaTheme="majorEastAsia"/>
          <w:szCs w:val="21"/>
        </w:rPr>
        <w:t>地点：</w:t>
      </w:r>
      <w:r>
        <w:rPr>
          <w:rFonts w:hint="eastAsia" w:asciiTheme="majorEastAsia" w:hAnsiTheme="majorEastAsia" w:eastAsiaTheme="majorEastAsia"/>
          <w:u w:val="single"/>
        </w:rPr>
        <w:t>政采云平台（https://www.zcygov.cn）</w:t>
      </w:r>
    </w:p>
    <w:p w14:paraId="1DBF14D0">
      <w:pPr>
        <w:snapToGrid w:val="0"/>
        <w:spacing w:line="400" w:lineRule="exact"/>
        <w:ind w:firstLine="411" w:firstLineChars="196"/>
        <w:rPr>
          <w:rFonts w:hint="eastAsia" w:asciiTheme="majorEastAsia" w:hAnsiTheme="majorEastAsia" w:eastAsiaTheme="majorEastAsia"/>
          <w:szCs w:val="21"/>
        </w:rPr>
      </w:pPr>
      <w:r>
        <w:rPr>
          <w:rFonts w:hint="eastAsia" w:cs="宋体" w:asciiTheme="majorEastAsia" w:hAnsiTheme="majorEastAsia" w:eastAsiaTheme="majorEastAsia"/>
          <w:szCs w:val="21"/>
        </w:rPr>
        <w:t>方式：</w:t>
      </w:r>
      <w:r>
        <w:rPr>
          <w:rFonts w:hint="eastAsia" w:asciiTheme="majorEastAsia" w:hAnsiTheme="majorEastAsia" w:eastAsiaTheme="majorEastAsia"/>
          <w:szCs w:val="21"/>
        </w:rPr>
        <w:t>依法</w:t>
      </w:r>
      <w:r>
        <w:rPr>
          <w:rFonts w:asciiTheme="majorEastAsia" w:hAnsiTheme="majorEastAsia" w:eastAsiaTheme="majorEastAsia"/>
          <w:szCs w:val="21"/>
        </w:rPr>
        <w:t>获取</w:t>
      </w:r>
      <w:r>
        <w:rPr>
          <w:rFonts w:hint="eastAsia" w:asciiTheme="majorEastAsia" w:hAnsiTheme="majorEastAsia" w:eastAsiaTheme="majorEastAsia"/>
          <w:szCs w:val="21"/>
        </w:rPr>
        <w:t>本项目招标文件的</w:t>
      </w:r>
      <w:r>
        <w:rPr>
          <w:rFonts w:asciiTheme="majorEastAsia" w:hAnsiTheme="majorEastAsia" w:eastAsiaTheme="majorEastAsia"/>
          <w:szCs w:val="21"/>
        </w:rPr>
        <w:t>方式</w:t>
      </w:r>
      <w:r>
        <w:rPr>
          <w:rFonts w:hint="eastAsia" w:asciiTheme="majorEastAsia" w:hAnsiTheme="majorEastAsia" w:eastAsiaTheme="majorEastAsia"/>
          <w:szCs w:val="21"/>
        </w:rPr>
        <w:t>为</w:t>
      </w:r>
      <w:r>
        <w:rPr>
          <w:rFonts w:hint="eastAsia" w:cs="Arial" w:asciiTheme="majorEastAsia" w:hAnsiTheme="majorEastAsia" w:eastAsiaTheme="majorEastAsia"/>
          <w:szCs w:val="21"/>
        </w:rPr>
        <w:t>潜在投标人登陆政采云平台，根据政采云平台的规定步骤进行操作并在线申请获取招标文件。仅需浏览招标文件的只需点击“游客，浏览采购文件”直接下载招标文件进行浏览。</w:t>
      </w:r>
    </w:p>
    <w:p w14:paraId="468E2716">
      <w:pPr>
        <w:snapToGrid w:val="0"/>
        <w:spacing w:line="400" w:lineRule="exact"/>
        <w:ind w:firstLine="411" w:firstLineChars="196"/>
        <w:rPr>
          <w:rFonts w:hint="eastAsia" w:cs="Arial" w:asciiTheme="majorEastAsia" w:hAnsiTheme="majorEastAsia" w:eastAsiaTheme="majorEastAsia"/>
          <w:szCs w:val="21"/>
        </w:rPr>
      </w:pPr>
      <w:r>
        <w:rPr>
          <w:rFonts w:hint="eastAsia" w:cs="Arial" w:asciiTheme="majorEastAsia" w:hAnsiTheme="majorEastAsia" w:eastAsiaTheme="majorEastAsia"/>
          <w:szCs w:val="21"/>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Pr>
          <w:rFonts w:cs="Arial" w:asciiTheme="majorEastAsia" w:hAnsiTheme="majorEastAsia" w:eastAsiaTheme="majorEastAsia"/>
          <w:szCs w:val="21"/>
        </w:rPr>
        <w:t>文件</w:t>
      </w:r>
      <w:r>
        <w:rPr>
          <w:rFonts w:hint="eastAsia" w:cs="Arial" w:asciiTheme="majorEastAsia" w:hAnsiTheme="majorEastAsia" w:eastAsiaTheme="majorEastAsia"/>
          <w:szCs w:val="21"/>
        </w:rPr>
        <w:t>的投标人提交的投标文件。</w:t>
      </w:r>
    </w:p>
    <w:p w14:paraId="567E4152">
      <w:pPr>
        <w:spacing w:line="400" w:lineRule="exact"/>
        <w:ind w:firstLine="540"/>
        <w:rPr>
          <w:rFonts w:hint="eastAsia" w:cs="宋体" w:asciiTheme="majorEastAsia" w:hAnsiTheme="majorEastAsia" w:eastAsiaTheme="majorEastAsia"/>
          <w:szCs w:val="21"/>
        </w:rPr>
      </w:pPr>
      <w:r>
        <w:rPr>
          <w:rFonts w:hint="eastAsia" w:cs="宋体" w:asciiTheme="majorEastAsia" w:hAnsiTheme="majorEastAsia" w:eastAsiaTheme="majorEastAsia"/>
          <w:szCs w:val="21"/>
        </w:rPr>
        <w:t>售价：0元</w:t>
      </w:r>
    </w:p>
    <w:p w14:paraId="449CC7D2">
      <w:pPr>
        <w:snapToGrid w:val="0"/>
        <w:spacing w:line="400" w:lineRule="exact"/>
        <w:rPr>
          <w:rFonts w:hint="eastAsia" w:cs="Arial" w:asciiTheme="majorEastAsia" w:hAnsiTheme="majorEastAsia" w:eastAsiaTheme="majorEastAsia"/>
          <w:szCs w:val="21"/>
        </w:rPr>
      </w:pPr>
      <w:bookmarkStart w:id="14" w:name="_Toc28359005"/>
      <w:bookmarkStart w:id="15" w:name="_Toc28359082"/>
      <w:bookmarkStart w:id="16" w:name="_Toc35393793"/>
      <w:bookmarkStart w:id="17" w:name="_Toc35393624"/>
      <w:r>
        <w:rPr>
          <w:rFonts w:hint="eastAsia" w:cs="Arial" w:asciiTheme="majorEastAsia" w:hAnsiTheme="majorEastAsia" w:eastAsiaTheme="majorEastAsia"/>
          <w:szCs w:val="21"/>
        </w:rPr>
        <w:t>四、提交投标文件</w:t>
      </w:r>
      <w:bookmarkEnd w:id="14"/>
      <w:bookmarkEnd w:id="15"/>
      <w:r>
        <w:rPr>
          <w:rFonts w:hint="eastAsia" w:cs="Arial" w:asciiTheme="majorEastAsia" w:hAnsiTheme="majorEastAsia" w:eastAsiaTheme="majorEastAsia"/>
          <w:szCs w:val="21"/>
        </w:rPr>
        <w:t>截止时间、开标时间和地点</w:t>
      </w:r>
      <w:bookmarkEnd w:id="16"/>
      <w:bookmarkEnd w:id="17"/>
    </w:p>
    <w:p w14:paraId="4DAAA5BF">
      <w:pPr>
        <w:spacing w:line="400" w:lineRule="exact"/>
        <w:ind w:firstLine="420" w:firstLineChars="200"/>
        <w:rPr>
          <w:rFonts w:hint="eastAsia" w:asciiTheme="majorEastAsia" w:hAnsiTheme="majorEastAsia" w:eastAsiaTheme="majorEastAsia"/>
          <w:bCs/>
          <w:szCs w:val="21"/>
        </w:rPr>
      </w:pPr>
      <w:r>
        <w:rPr>
          <w:rFonts w:hint="eastAsia" w:cs="Arial" w:asciiTheme="majorEastAsia" w:hAnsiTheme="majorEastAsia" w:eastAsiaTheme="majorEastAsia"/>
          <w:szCs w:val="21"/>
        </w:rPr>
        <w:t>提交投标文件截止时间：</w:t>
      </w:r>
      <w:r>
        <w:rPr>
          <w:rFonts w:hint="eastAsia" w:asciiTheme="majorEastAsia" w:hAnsiTheme="majorEastAsia" w:eastAsiaTheme="majorEastAsia"/>
          <w:bCs/>
          <w:szCs w:val="21"/>
          <w:u w:val="single"/>
        </w:rPr>
        <w:t>2025年</w:t>
      </w:r>
      <w:r>
        <w:rPr>
          <w:rFonts w:hint="eastAsia" w:asciiTheme="majorEastAsia" w:hAnsiTheme="majorEastAsia" w:eastAsiaTheme="majorEastAsia"/>
          <w:bCs/>
          <w:szCs w:val="21"/>
          <w:u w:val="single"/>
          <w:lang w:val="en-US" w:eastAsia="zh-CN"/>
        </w:rPr>
        <w:t>3</w:t>
      </w:r>
      <w:r>
        <w:rPr>
          <w:rFonts w:hint="eastAsia" w:asciiTheme="majorEastAsia" w:hAnsiTheme="majorEastAsia" w:eastAsiaTheme="majorEastAsia"/>
          <w:bCs/>
          <w:szCs w:val="21"/>
          <w:u w:val="single"/>
        </w:rPr>
        <w:t>月</w:t>
      </w:r>
      <w:r>
        <w:rPr>
          <w:rFonts w:hint="eastAsia" w:asciiTheme="majorEastAsia" w:hAnsiTheme="majorEastAsia" w:eastAsiaTheme="majorEastAsia"/>
          <w:bCs/>
          <w:szCs w:val="21"/>
          <w:u w:val="single"/>
          <w:lang w:val="en-US" w:eastAsia="zh-CN"/>
        </w:rPr>
        <w:t>14</w:t>
      </w:r>
      <w:r>
        <w:rPr>
          <w:rFonts w:hint="eastAsia" w:asciiTheme="majorEastAsia" w:hAnsiTheme="majorEastAsia" w:eastAsiaTheme="majorEastAsia"/>
          <w:bCs/>
          <w:szCs w:val="21"/>
          <w:u w:val="single"/>
        </w:rPr>
        <w:t>日14点00分</w:t>
      </w:r>
      <w:r>
        <w:rPr>
          <w:rFonts w:hint="eastAsia" w:asciiTheme="majorEastAsia" w:hAnsiTheme="majorEastAsia" w:eastAsiaTheme="majorEastAsia"/>
          <w:bCs/>
          <w:szCs w:val="21"/>
        </w:rPr>
        <w:t>（北京时间）</w:t>
      </w:r>
    </w:p>
    <w:p w14:paraId="26A55DCA">
      <w:pPr>
        <w:spacing w:line="400" w:lineRule="exact"/>
        <w:ind w:firstLine="420" w:firstLineChars="200"/>
        <w:rPr>
          <w:rFonts w:hint="eastAsia" w:asciiTheme="majorEastAsia" w:hAnsiTheme="majorEastAsia" w:eastAsiaTheme="majorEastAsia"/>
          <w:bCs/>
          <w:szCs w:val="21"/>
        </w:rPr>
      </w:pPr>
      <w:r>
        <w:rPr>
          <w:rFonts w:hint="eastAsia" w:cs="Arial" w:asciiTheme="majorEastAsia" w:hAnsiTheme="majorEastAsia" w:eastAsiaTheme="majorEastAsia"/>
          <w:szCs w:val="21"/>
        </w:rPr>
        <w:t>提交投标文件</w:t>
      </w:r>
      <w:r>
        <w:rPr>
          <w:rFonts w:hint="eastAsia" w:asciiTheme="majorEastAsia" w:hAnsiTheme="majorEastAsia" w:eastAsiaTheme="majorEastAsia"/>
          <w:bCs/>
          <w:szCs w:val="21"/>
        </w:rPr>
        <w:t>地点（网址）：</w:t>
      </w:r>
    </w:p>
    <w:p w14:paraId="310BDA36">
      <w:pPr>
        <w:spacing w:line="400" w:lineRule="exact"/>
        <w:ind w:firstLine="420" w:firstLineChars="200"/>
        <w:rPr>
          <w:rFonts w:hint="eastAsia" w:asciiTheme="majorEastAsia" w:hAnsiTheme="majorEastAsia" w:eastAsiaTheme="majorEastAsia"/>
          <w:bCs/>
          <w:szCs w:val="21"/>
        </w:rPr>
      </w:pPr>
      <w:r>
        <w:rPr>
          <w:rFonts w:hint="eastAsia" w:asciiTheme="majorEastAsia" w:hAnsiTheme="majorEastAsia" w:eastAsiaTheme="majorEastAsia"/>
          <w:bCs/>
          <w:szCs w:val="21"/>
        </w:rPr>
        <w:t>1）电子加密投标文件：</w:t>
      </w:r>
      <w:r>
        <w:rPr>
          <w:rFonts w:hint="eastAsia" w:asciiTheme="majorEastAsia" w:hAnsiTheme="majorEastAsia" w:eastAsiaTheme="majorEastAsia"/>
          <w:u w:val="single"/>
        </w:rPr>
        <w:t>政采云平台（https://www.zcygov.cn）</w:t>
      </w:r>
      <w:r>
        <w:rPr>
          <w:rFonts w:hint="eastAsia" w:asciiTheme="majorEastAsia" w:hAnsiTheme="majorEastAsia" w:eastAsiaTheme="majorEastAsia"/>
          <w:bCs/>
          <w:szCs w:val="21"/>
        </w:rPr>
        <w:t>在线提交；</w:t>
      </w:r>
    </w:p>
    <w:p w14:paraId="2EBF1C90">
      <w:pPr>
        <w:spacing w:line="400" w:lineRule="exact"/>
        <w:ind w:firstLine="420" w:firstLineChars="200"/>
        <w:rPr>
          <w:rFonts w:hint="eastAsia" w:asciiTheme="majorEastAsia" w:hAnsiTheme="majorEastAsia" w:eastAsiaTheme="majorEastAsia"/>
          <w:bCs/>
          <w:szCs w:val="21"/>
        </w:rPr>
      </w:pPr>
      <w:r>
        <w:rPr>
          <w:rFonts w:hint="eastAsia" w:asciiTheme="majorEastAsia" w:hAnsiTheme="majorEastAsia" w:eastAsiaTheme="majorEastAsia"/>
          <w:bCs/>
          <w:szCs w:val="21"/>
        </w:rPr>
        <w:t>2）备份投标文件：</w:t>
      </w:r>
      <w:r>
        <w:rPr>
          <w:rFonts w:hint="eastAsia" w:cs="Arial" w:asciiTheme="majorEastAsia" w:hAnsiTheme="majorEastAsia" w:eastAsiaTheme="majorEastAsia"/>
          <w:szCs w:val="21"/>
        </w:rPr>
        <w:t>宁波名诚招标代理有限公司开标室(地址：宁波市海曙区江汇城496号姚江时代14幢3楼，详见指示牌公告），拒绝接收</w:t>
      </w:r>
      <w:r>
        <w:rPr>
          <w:rFonts w:cs="Arial" w:asciiTheme="majorEastAsia" w:hAnsiTheme="majorEastAsia" w:eastAsiaTheme="majorEastAsia"/>
          <w:szCs w:val="21"/>
        </w:rPr>
        <w:t>逾期送达或者未按照招标文件要求密封</w:t>
      </w:r>
      <w:r>
        <w:rPr>
          <w:rFonts w:hint="eastAsia" w:cs="Arial" w:asciiTheme="majorEastAsia" w:hAnsiTheme="majorEastAsia" w:eastAsiaTheme="majorEastAsia"/>
          <w:szCs w:val="21"/>
        </w:rPr>
        <w:t>及盖章</w:t>
      </w:r>
      <w:r>
        <w:rPr>
          <w:rFonts w:cs="Arial" w:asciiTheme="majorEastAsia" w:hAnsiTheme="majorEastAsia" w:eastAsiaTheme="majorEastAsia"/>
          <w:szCs w:val="21"/>
        </w:rPr>
        <w:t>的</w:t>
      </w:r>
      <w:r>
        <w:rPr>
          <w:rFonts w:hint="eastAsia" w:cs="Arial" w:asciiTheme="majorEastAsia" w:hAnsiTheme="majorEastAsia" w:eastAsiaTheme="majorEastAsia"/>
          <w:szCs w:val="21"/>
        </w:rPr>
        <w:t>备份投标文件。</w:t>
      </w:r>
    </w:p>
    <w:p w14:paraId="74B79D12">
      <w:pPr>
        <w:spacing w:line="400" w:lineRule="exact"/>
        <w:ind w:firstLine="420" w:firstLineChars="200"/>
        <w:rPr>
          <w:rFonts w:hint="eastAsia" w:asciiTheme="majorEastAsia" w:hAnsiTheme="majorEastAsia" w:eastAsiaTheme="majorEastAsia"/>
          <w:bCs/>
          <w:szCs w:val="21"/>
        </w:rPr>
      </w:pPr>
      <w:r>
        <w:rPr>
          <w:rFonts w:hint="eastAsia" w:asciiTheme="majorEastAsia" w:hAnsiTheme="majorEastAsia" w:eastAsiaTheme="majorEastAsia"/>
          <w:bCs/>
          <w:szCs w:val="21"/>
        </w:rPr>
        <w:t>开标时间：</w:t>
      </w:r>
      <w:r>
        <w:rPr>
          <w:rFonts w:hint="eastAsia" w:asciiTheme="majorEastAsia" w:hAnsiTheme="majorEastAsia" w:eastAsiaTheme="majorEastAsia"/>
          <w:bCs/>
          <w:szCs w:val="21"/>
          <w:u w:val="single"/>
        </w:rPr>
        <w:t>2025年</w:t>
      </w:r>
      <w:r>
        <w:rPr>
          <w:rFonts w:hint="eastAsia" w:asciiTheme="majorEastAsia" w:hAnsiTheme="majorEastAsia" w:eastAsiaTheme="majorEastAsia"/>
          <w:bCs/>
          <w:szCs w:val="21"/>
          <w:u w:val="single"/>
          <w:lang w:val="en-US" w:eastAsia="zh-CN"/>
        </w:rPr>
        <w:t>3</w:t>
      </w:r>
      <w:r>
        <w:rPr>
          <w:rFonts w:hint="eastAsia" w:asciiTheme="majorEastAsia" w:hAnsiTheme="majorEastAsia" w:eastAsiaTheme="majorEastAsia"/>
          <w:bCs/>
          <w:szCs w:val="21"/>
          <w:u w:val="single"/>
        </w:rPr>
        <w:t>月</w:t>
      </w:r>
      <w:r>
        <w:rPr>
          <w:rFonts w:hint="eastAsia" w:asciiTheme="majorEastAsia" w:hAnsiTheme="majorEastAsia" w:eastAsiaTheme="majorEastAsia"/>
          <w:bCs/>
          <w:szCs w:val="21"/>
          <w:u w:val="single"/>
          <w:lang w:val="en-US" w:eastAsia="zh-CN"/>
        </w:rPr>
        <w:t>14</w:t>
      </w:r>
      <w:r>
        <w:rPr>
          <w:rFonts w:hint="eastAsia" w:asciiTheme="majorEastAsia" w:hAnsiTheme="majorEastAsia" w:eastAsiaTheme="majorEastAsia"/>
          <w:bCs/>
          <w:szCs w:val="21"/>
          <w:u w:val="single"/>
        </w:rPr>
        <w:t>日14点00分（北京时间）</w:t>
      </w:r>
    </w:p>
    <w:p w14:paraId="4311B6CC">
      <w:pPr>
        <w:spacing w:line="400" w:lineRule="exact"/>
        <w:ind w:firstLine="420" w:firstLineChars="200"/>
        <w:rPr>
          <w:rFonts w:hint="eastAsia" w:asciiTheme="majorEastAsia" w:hAnsiTheme="majorEastAsia" w:eastAsiaTheme="majorEastAsia"/>
          <w:bCs/>
          <w:szCs w:val="21"/>
        </w:rPr>
      </w:pPr>
      <w:r>
        <w:rPr>
          <w:rFonts w:hint="eastAsia" w:asciiTheme="majorEastAsia" w:hAnsiTheme="majorEastAsia" w:eastAsiaTheme="majorEastAsia"/>
          <w:bCs/>
          <w:szCs w:val="21"/>
        </w:rPr>
        <w:t>开标地点（网址）：</w:t>
      </w:r>
      <w:r>
        <w:rPr>
          <w:rFonts w:hint="eastAsia" w:asciiTheme="majorEastAsia" w:hAnsiTheme="majorEastAsia" w:eastAsiaTheme="majorEastAsia"/>
          <w:u w:val="single"/>
        </w:rPr>
        <w:t>政采云平台（https://www.zcygov.cn）</w:t>
      </w:r>
    </w:p>
    <w:p w14:paraId="199E824F">
      <w:pPr>
        <w:snapToGrid w:val="0"/>
        <w:spacing w:line="400" w:lineRule="exact"/>
        <w:rPr>
          <w:rFonts w:hint="eastAsia" w:cs="Arial" w:asciiTheme="majorEastAsia" w:hAnsiTheme="majorEastAsia" w:eastAsiaTheme="majorEastAsia"/>
          <w:szCs w:val="21"/>
        </w:rPr>
      </w:pPr>
      <w:bookmarkStart w:id="18" w:name="_Toc28359007"/>
      <w:bookmarkStart w:id="19" w:name="_Toc35393625"/>
      <w:bookmarkStart w:id="20" w:name="_Toc35393794"/>
      <w:bookmarkStart w:id="21" w:name="_Toc28359084"/>
      <w:r>
        <w:rPr>
          <w:rFonts w:hint="eastAsia" w:cs="Arial" w:asciiTheme="majorEastAsia" w:hAnsiTheme="majorEastAsia" w:eastAsiaTheme="majorEastAsia"/>
          <w:szCs w:val="21"/>
        </w:rPr>
        <w:t>五、公告期限</w:t>
      </w:r>
      <w:bookmarkEnd w:id="18"/>
      <w:bookmarkEnd w:id="19"/>
      <w:bookmarkEnd w:id="20"/>
      <w:bookmarkEnd w:id="21"/>
    </w:p>
    <w:p w14:paraId="70F9CE23">
      <w:pPr>
        <w:spacing w:line="400" w:lineRule="exact"/>
        <w:ind w:firstLine="420" w:firstLineChars="200"/>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自本公告发布之日起5个工作日。</w:t>
      </w:r>
    </w:p>
    <w:bookmarkEnd w:id="0"/>
    <w:p w14:paraId="3A6612D2">
      <w:pPr>
        <w:snapToGrid w:val="0"/>
        <w:spacing w:line="400" w:lineRule="exact"/>
        <w:rPr>
          <w:rFonts w:hint="eastAsia" w:cs="Arial" w:asciiTheme="majorEastAsia" w:hAnsiTheme="majorEastAsia" w:eastAsiaTheme="majorEastAsia"/>
          <w:szCs w:val="21"/>
        </w:rPr>
      </w:pPr>
      <w:bookmarkStart w:id="22" w:name="_Toc35393795"/>
      <w:bookmarkStart w:id="23" w:name="_Toc35393626"/>
      <w:r>
        <w:rPr>
          <w:rFonts w:hint="eastAsia" w:cs="Arial" w:asciiTheme="majorEastAsia" w:hAnsiTheme="majorEastAsia" w:eastAsiaTheme="majorEastAsia"/>
          <w:szCs w:val="21"/>
        </w:rPr>
        <w:t>六、其他补充事宜</w:t>
      </w:r>
      <w:bookmarkEnd w:id="22"/>
      <w:bookmarkEnd w:id="23"/>
    </w:p>
    <w:p w14:paraId="78ECD0BC">
      <w:pPr>
        <w:snapToGrid w:val="0"/>
        <w:spacing w:line="400" w:lineRule="exact"/>
        <w:ind w:firstLine="411" w:firstLineChars="196"/>
        <w:rPr>
          <w:rFonts w:hint="eastAsia" w:cs="Arial" w:asciiTheme="majorEastAsia" w:hAnsiTheme="majorEastAsia" w:eastAsiaTheme="majorEastAsia"/>
          <w:szCs w:val="21"/>
        </w:rPr>
      </w:pPr>
      <w:r>
        <w:rPr>
          <w:rFonts w:hint="eastAsia" w:cs="Arial" w:asciiTheme="majorEastAsia" w:hAnsiTheme="majorEastAsia" w:eastAsiaTheme="majorEastAsia"/>
          <w:szCs w:val="21"/>
        </w:rPr>
        <w:t>1.为依法获取本项目招标文件及投标响应，潜在投标人应当按照《浙江省政府采购供应商注册及诚信管理暂行办法》的规定在“浙江政府采购网(</w:t>
      </w:r>
      <w:r>
        <w:rPr>
          <w:rFonts w:cs="Arial" w:asciiTheme="majorEastAsia" w:hAnsiTheme="majorEastAsia" w:eastAsiaTheme="majorEastAsia"/>
          <w:szCs w:val="21"/>
        </w:rPr>
        <w:t>http://zfcg.czt.zj.gov.cn/</w:t>
      </w:r>
      <w:r>
        <w:rPr>
          <w:rFonts w:hint="eastAsia" w:cs="Arial" w:asciiTheme="majorEastAsia" w:hAnsiTheme="majorEastAsia" w:eastAsiaTheme="majorEastAsia"/>
          <w:szCs w:val="21"/>
        </w:rPr>
        <w:t>)”政采云平台注册登记。中标人必须成为注册供应商，未注册的投标人，请注意注册所需时间，由此产生的后果自行承担。</w:t>
      </w:r>
    </w:p>
    <w:p w14:paraId="3010C352">
      <w:pPr>
        <w:snapToGrid w:val="0"/>
        <w:spacing w:line="400" w:lineRule="exact"/>
        <w:ind w:firstLine="411" w:firstLineChars="196"/>
        <w:rPr>
          <w:rFonts w:hint="eastAsia" w:cs="Arial" w:asciiTheme="majorEastAsia" w:hAnsiTheme="majorEastAsia" w:eastAsiaTheme="majorEastAsia"/>
          <w:szCs w:val="21"/>
        </w:rPr>
      </w:pPr>
      <w:r>
        <w:rPr>
          <w:rFonts w:hint="eastAsia" w:cs="Arial" w:asciiTheme="majorEastAsia" w:hAnsiTheme="majorEastAsia" w:eastAsiaTheme="majorEastAsia"/>
          <w:szCs w:val="21"/>
        </w:rPr>
        <w:t>2.本项目依据《浙江省政府采购项目电子交易管理暂行办法》，通过政采云平台(</w:t>
      </w:r>
      <w:r>
        <w:rPr>
          <w:rFonts w:hint="eastAsia" w:asciiTheme="majorEastAsia" w:hAnsiTheme="majorEastAsia" w:eastAsiaTheme="majorEastAsia"/>
          <w:u w:val="single"/>
        </w:rPr>
        <w:t>https://www.zcygov.cn</w:t>
      </w:r>
      <w:r>
        <w:rPr>
          <w:rFonts w:hint="eastAsia" w:cs="Arial" w:asciiTheme="majorEastAsia" w:hAnsiTheme="majorEastAsia" w:eastAsiaTheme="majorEastAsia"/>
          <w:szCs w:val="21"/>
        </w:rPr>
        <w:t>）实行电子交易（在线投标响应）。潜在投标人在参与本项目投标前应当完成“政府采购云平台”的账号注册、身份认证（CA数字证书申领）、“政采云电子交易客户端”下载安装，相关操作指南参考如下：</w:t>
      </w:r>
    </w:p>
    <w:p w14:paraId="0E21E08E">
      <w:pPr>
        <w:snapToGrid w:val="0"/>
        <w:spacing w:line="400" w:lineRule="exact"/>
        <w:ind w:firstLine="411" w:firstLineChars="196"/>
        <w:rPr>
          <w:rFonts w:hint="eastAsia" w:cs="Arial" w:asciiTheme="majorEastAsia" w:hAnsiTheme="majorEastAsia" w:eastAsiaTheme="majorEastAsia"/>
          <w:szCs w:val="21"/>
        </w:rPr>
      </w:pPr>
      <w:r>
        <w:rPr>
          <w:rFonts w:hint="eastAsia" w:cs="Arial" w:asciiTheme="majorEastAsia" w:hAnsiTheme="majorEastAsia" w:eastAsiaTheme="majorEastAsia"/>
          <w:szCs w:val="21"/>
        </w:rPr>
        <w:t>1）供应商注册（入驻）：https://middle.zcygov.cn/v-settle-front/registry；</w:t>
      </w:r>
    </w:p>
    <w:p w14:paraId="44B0712A">
      <w:pPr>
        <w:snapToGrid w:val="0"/>
        <w:spacing w:line="400" w:lineRule="exact"/>
        <w:ind w:firstLine="411" w:firstLineChars="196"/>
        <w:rPr>
          <w:rFonts w:hint="eastAsia" w:cs="Arial" w:asciiTheme="majorEastAsia" w:hAnsiTheme="majorEastAsia" w:eastAsiaTheme="majorEastAsia"/>
          <w:szCs w:val="21"/>
        </w:rPr>
      </w:pPr>
      <w:r>
        <w:rPr>
          <w:rFonts w:cs="Arial" w:asciiTheme="majorEastAsia" w:hAnsiTheme="majorEastAsia" w:eastAsiaTheme="majorEastAsia"/>
          <w:szCs w:val="21"/>
        </w:rPr>
        <w:t>2</w:t>
      </w:r>
      <w:r>
        <w:rPr>
          <w:rFonts w:hint="eastAsia" w:cs="Arial" w:asciiTheme="majorEastAsia" w:hAnsiTheme="majorEastAsia" w:eastAsiaTheme="majorEastAsia"/>
          <w:szCs w:val="21"/>
        </w:rPr>
        <w:t>）浙江省“电子交易/不见面开评标”学习专题（网址https://edu.zcygov.cn/luban/e-biding）</w:t>
      </w:r>
    </w:p>
    <w:p w14:paraId="3FF24055">
      <w:pPr>
        <w:snapToGrid w:val="0"/>
        <w:spacing w:line="400" w:lineRule="exact"/>
        <w:ind w:firstLine="411" w:firstLineChars="196"/>
        <w:rPr>
          <w:rFonts w:hint="eastAsia" w:cs="Arial" w:asciiTheme="majorEastAsia" w:hAnsiTheme="majorEastAsia" w:eastAsiaTheme="majorEastAsia"/>
          <w:szCs w:val="21"/>
        </w:rPr>
      </w:pPr>
      <w:r>
        <w:rPr>
          <w:rFonts w:hint="eastAsia" w:cs="Arial" w:asciiTheme="majorEastAsia" w:hAnsiTheme="majorEastAsia" w:eastAsiaTheme="majorEastAsia"/>
          <w:szCs w:val="21"/>
        </w:rPr>
        <w:t>3）“政府采购云平台”服务热线电话：</w:t>
      </w:r>
      <w:r>
        <w:rPr>
          <w:rFonts w:cs="Arial" w:asciiTheme="majorEastAsia" w:hAnsiTheme="majorEastAsia" w:eastAsiaTheme="majorEastAsia"/>
          <w:szCs w:val="21"/>
        </w:rPr>
        <w:t>95763</w:t>
      </w:r>
      <w:r>
        <w:rPr>
          <w:rFonts w:hint="eastAsia" w:cs="Arial" w:asciiTheme="majorEastAsia" w:hAnsiTheme="majorEastAsia" w:eastAsiaTheme="majorEastAsia"/>
          <w:szCs w:val="21"/>
        </w:rPr>
        <w:t>。</w:t>
      </w:r>
    </w:p>
    <w:p w14:paraId="4B9AE22E">
      <w:pPr>
        <w:snapToGrid w:val="0"/>
        <w:spacing w:line="400" w:lineRule="exact"/>
        <w:ind w:firstLine="411" w:firstLineChars="196"/>
        <w:rPr>
          <w:rFonts w:hint="eastAsia" w:cs="Arial" w:asciiTheme="majorEastAsia" w:hAnsiTheme="majorEastAsia" w:eastAsiaTheme="majorEastAsia"/>
          <w:szCs w:val="21"/>
        </w:rPr>
      </w:pPr>
      <w:r>
        <w:rPr>
          <w:rFonts w:hint="eastAsia" w:cs="Arial" w:asciiTheme="majorEastAsia" w:hAnsiTheme="majorEastAsia" w:eastAsiaTheme="majorEastAsia"/>
          <w:szCs w:val="21"/>
        </w:rPr>
        <w:t>3.对符合财政扶持政策的中小企业（小型、微型）、监狱企业、残疾人福利性单位给予价格优惠，执行政府采购节能、环保政策。</w:t>
      </w:r>
    </w:p>
    <w:p w14:paraId="0FE3EEBB">
      <w:pPr>
        <w:snapToGrid w:val="0"/>
        <w:spacing w:line="400" w:lineRule="exact"/>
        <w:ind w:firstLine="411" w:firstLineChars="196"/>
        <w:rPr>
          <w:rFonts w:hint="eastAsia" w:cs="Arial" w:asciiTheme="majorEastAsia" w:hAnsiTheme="majorEastAsia" w:eastAsiaTheme="majorEastAsia"/>
          <w:szCs w:val="21"/>
        </w:rPr>
      </w:pPr>
      <w:r>
        <w:rPr>
          <w:rFonts w:hint="eastAsia" w:cs="Arial" w:asciiTheme="majorEastAsia" w:hAnsiTheme="majorEastAsia" w:eastAsiaTheme="majorEastAsia"/>
          <w:szCs w:val="21"/>
        </w:rPr>
        <w:t>4.电子投标注意事项</w:t>
      </w:r>
    </w:p>
    <w:p w14:paraId="364A449D">
      <w:pPr>
        <w:snapToGrid w:val="0"/>
        <w:spacing w:line="400" w:lineRule="exact"/>
        <w:ind w:firstLine="411" w:firstLineChars="196"/>
        <w:rPr>
          <w:rFonts w:hint="eastAsia" w:cs="宋体" w:asciiTheme="majorEastAsia" w:hAnsiTheme="majorEastAsia" w:eastAsiaTheme="majorEastAsia"/>
          <w:szCs w:val="21"/>
        </w:rPr>
      </w:pPr>
      <w:r>
        <w:rPr>
          <w:rFonts w:hint="eastAsia" w:cs="Arial" w:asciiTheme="majorEastAsia" w:hAnsiTheme="majorEastAsia" w:eastAsiaTheme="majorEastAsia"/>
          <w:szCs w:val="21"/>
        </w:rPr>
        <w:t>1）投标人应于提交投标文件截止时间前将电子加密投标文件上传到政府采购云平台</w:t>
      </w:r>
      <w:r>
        <w:rPr>
          <w:rFonts w:hint="eastAsia" w:cs="宋体" w:asciiTheme="majorEastAsia" w:hAnsiTheme="majorEastAsia" w:eastAsiaTheme="majorEastAsia"/>
          <w:szCs w:val="21"/>
        </w:rPr>
        <w:t>www.zcygov.cn，未按规定上传电子加密投标文件，视为投标人放弃投标。</w:t>
      </w:r>
    </w:p>
    <w:p w14:paraId="5A371C37">
      <w:pPr>
        <w:snapToGrid w:val="0"/>
        <w:spacing w:line="400" w:lineRule="exact"/>
        <w:ind w:firstLine="411" w:firstLineChars="196"/>
        <w:rPr>
          <w:rFonts w:hint="eastAsia" w:cs="宋体" w:asciiTheme="majorEastAsia" w:hAnsiTheme="majorEastAsia" w:eastAsiaTheme="majorEastAsia"/>
          <w:szCs w:val="21"/>
        </w:rPr>
      </w:pPr>
      <w:r>
        <w:rPr>
          <w:rFonts w:hint="eastAsia" w:cs="宋体" w:asciiTheme="majorEastAsia" w:hAnsiTheme="majorEastAsia" w:eastAsiaTheme="majorEastAsia"/>
          <w:szCs w:val="21"/>
        </w:rPr>
        <w:t>2）投标人在“政府采购云平台”完成“电子加密投标文件”的上传提交之外，还可以在投标截止时间前提交以U盘为介质存储的备份投标文件，备份投标文件递交可采用现场或邮寄递交的方式，但此项并非强制要求。</w:t>
      </w:r>
    </w:p>
    <w:p w14:paraId="0F425A60">
      <w:pPr>
        <w:snapToGrid w:val="0"/>
        <w:spacing w:line="400" w:lineRule="exact"/>
        <w:ind w:firstLine="411" w:firstLineChars="196"/>
        <w:rPr>
          <w:rFonts w:hint="eastAsia" w:cs="宋体" w:asciiTheme="majorEastAsia" w:hAnsiTheme="majorEastAsia" w:eastAsiaTheme="majorEastAsia"/>
          <w:szCs w:val="21"/>
        </w:rPr>
      </w:pPr>
      <w:r>
        <w:rPr>
          <w:rFonts w:hint="eastAsia" w:cs="宋体" w:asciiTheme="majorEastAsia" w:hAnsiTheme="majorEastAsia" w:eastAsiaTheme="majorEastAsia"/>
          <w:szCs w:val="21"/>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hint="eastAsia" w:asciiTheme="majorEastAsia" w:hAnsiTheme="majorEastAsia" w:eastAsiaTheme="majorEastAsia"/>
          <w:b/>
          <w:szCs w:val="21"/>
        </w:rPr>
        <w:t>视为投标人放弃投标</w:t>
      </w:r>
      <w:r>
        <w:rPr>
          <w:rFonts w:hint="eastAsia" w:asciiTheme="majorEastAsia" w:hAnsiTheme="majorEastAsia" w:eastAsiaTheme="majorEastAsia"/>
          <w:szCs w:val="21"/>
        </w:rPr>
        <w:t>，因此产生的后果投标人自行承担</w:t>
      </w:r>
      <w:r>
        <w:rPr>
          <w:rFonts w:hint="eastAsia" w:cs="宋体" w:asciiTheme="majorEastAsia" w:hAnsiTheme="majorEastAsia" w:eastAsiaTheme="majorEastAsia"/>
          <w:szCs w:val="21"/>
        </w:rPr>
        <w:t>。</w:t>
      </w:r>
    </w:p>
    <w:p w14:paraId="7F91DA08">
      <w:pPr>
        <w:snapToGrid w:val="0"/>
        <w:spacing w:line="400" w:lineRule="exact"/>
        <w:ind w:firstLine="411" w:firstLineChars="196"/>
        <w:rPr>
          <w:rFonts w:hint="eastAsia" w:cs="宋体" w:asciiTheme="majorEastAsia" w:hAnsiTheme="majorEastAsia" w:eastAsiaTheme="majorEastAsia"/>
          <w:szCs w:val="21"/>
        </w:rPr>
      </w:pPr>
      <w:r>
        <w:rPr>
          <w:rFonts w:hint="eastAsia" w:cs="宋体" w:asciiTheme="majorEastAsia" w:hAnsiTheme="majorEastAsia" w:eastAsiaTheme="majorEastAsia"/>
          <w:szCs w:val="21"/>
        </w:rPr>
        <w:t>电子加密投标文件按时解密的，备份投标文件自动失效。</w:t>
      </w:r>
    </w:p>
    <w:p w14:paraId="196657D9">
      <w:pPr>
        <w:snapToGrid w:val="0"/>
        <w:spacing w:line="400" w:lineRule="exact"/>
        <w:ind w:firstLine="413"/>
        <w:rPr>
          <w:rFonts w:hint="eastAsia" w:cs="Arial" w:asciiTheme="majorEastAsia" w:hAnsiTheme="majorEastAsia" w:eastAsiaTheme="majorEastAsia"/>
          <w:szCs w:val="21"/>
        </w:rPr>
      </w:pPr>
      <w:r>
        <w:rPr>
          <w:rFonts w:hint="eastAsia" w:cs="Arial" w:asciiTheme="majorEastAsia" w:hAnsiTheme="majorEastAsia" w:eastAsiaTheme="majorEastAsia"/>
          <w:szCs w:val="21"/>
        </w:rPr>
        <w:t>5.政府采购行政监管及投诉受理部门</w:t>
      </w:r>
    </w:p>
    <w:p w14:paraId="0644EBE3">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政府采购行政监管及投诉受理部门：宁波市财政局政府采购监管处</w:t>
      </w:r>
    </w:p>
    <w:p w14:paraId="1D1A24F4">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联系人：李老师</w:t>
      </w:r>
    </w:p>
    <w:p w14:paraId="0F08750B">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联系电话：0574-89388042</w:t>
      </w:r>
    </w:p>
    <w:p w14:paraId="527ED6A6">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联系地址：宁波市海曙区中山西路19号</w:t>
      </w:r>
    </w:p>
    <w:p w14:paraId="66FD8C39">
      <w:pPr>
        <w:snapToGrid w:val="0"/>
        <w:spacing w:line="400" w:lineRule="exact"/>
        <w:rPr>
          <w:rFonts w:hint="eastAsia" w:cs="Arial" w:asciiTheme="majorEastAsia" w:hAnsiTheme="majorEastAsia" w:eastAsiaTheme="majorEastAsia"/>
          <w:szCs w:val="21"/>
        </w:rPr>
      </w:pPr>
      <w:bookmarkStart w:id="24" w:name="_Toc35393796"/>
      <w:bookmarkStart w:id="25" w:name="_Toc28359085"/>
      <w:bookmarkStart w:id="26" w:name="_Toc28359008"/>
      <w:bookmarkStart w:id="27" w:name="_Toc35393627"/>
      <w:r>
        <w:rPr>
          <w:rFonts w:hint="eastAsia" w:cs="Arial" w:asciiTheme="majorEastAsia" w:hAnsiTheme="majorEastAsia" w:eastAsiaTheme="majorEastAsia"/>
          <w:szCs w:val="21"/>
        </w:rPr>
        <w:t>七、对本次招标提出询问，请按</w:t>
      </w:r>
      <w:r>
        <w:rPr>
          <w:rFonts w:cs="Arial" w:asciiTheme="majorEastAsia" w:hAnsiTheme="majorEastAsia" w:eastAsiaTheme="majorEastAsia"/>
          <w:szCs w:val="21"/>
        </w:rPr>
        <w:t>以下方式</w:t>
      </w:r>
      <w:r>
        <w:rPr>
          <w:rFonts w:hint="eastAsia" w:cs="Arial" w:asciiTheme="majorEastAsia" w:hAnsiTheme="majorEastAsia" w:eastAsiaTheme="majorEastAsia"/>
          <w:szCs w:val="21"/>
        </w:rPr>
        <w:t>联系。</w:t>
      </w:r>
      <w:bookmarkEnd w:id="24"/>
      <w:bookmarkEnd w:id="25"/>
      <w:bookmarkEnd w:id="26"/>
      <w:bookmarkEnd w:id="27"/>
    </w:p>
    <w:p w14:paraId="27F95275">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1.采购人信息</w:t>
      </w:r>
    </w:p>
    <w:p w14:paraId="22DD0DA0">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名称：浙江大学宁波“五位一体”校区教育发展中心</w:t>
      </w:r>
    </w:p>
    <w:p w14:paraId="156072AB">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地址：</w:t>
      </w:r>
      <w:r>
        <w:rPr>
          <w:rFonts w:ascii="宋体" w:hAnsi="宋体" w:cs="Arial"/>
          <w:color w:val="000000" w:themeColor="text1"/>
          <w:kern w:val="0"/>
          <w14:textFill>
            <w14:solidFill>
              <w14:schemeClr w14:val="tx1"/>
            </w14:solidFill>
          </w14:textFill>
        </w:rPr>
        <w:t>宁波市学府路1号</w:t>
      </w:r>
    </w:p>
    <w:p w14:paraId="301BBECC">
      <w:pPr>
        <w:snapToGrid w:val="0"/>
        <w:spacing w:line="400" w:lineRule="exact"/>
        <w:ind w:firstLine="420"/>
        <w:rPr>
          <w:rFonts w:hint="eastAsia" w:cs="Arial" w:asciiTheme="majorEastAsia" w:hAnsiTheme="majorEastAsia" w:eastAsiaTheme="majorEastAsia"/>
          <w:szCs w:val="21"/>
        </w:rPr>
      </w:pPr>
      <w:bookmarkStart w:id="28" w:name="_Toc28359009"/>
      <w:bookmarkStart w:id="29" w:name="_Toc28359086"/>
      <w:r>
        <w:rPr>
          <w:rFonts w:hint="eastAsia" w:cs="Arial" w:asciiTheme="majorEastAsia" w:hAnsiTheme="majorEastAsia" w:eastAsiaTheme="majorEastAsia"/>
          <w:szCs w:val="21"/>
        </w:rPr>
        <w:t>联系人：</w:t>
      </w:r>
      <w:r>
        <w:rPr>
          <w:rFonts w:hint="eastAsia" w:cs="宋体" w:asciiTheme="minorEastAsia" w:hAnsiTheme="minorEastAsia" w:eastAsiaTheme="minorEastAsia"/>
          <w:color w:val="000000" w:themeColor="text1"/>
          <w14:textFill>
            <w14:solidFill>
              <w14:schemeClr w14:val="tx1"/>
            </w14:solidFill>
          </w14:textFill>
        </w:rPr>
        <w:t>翁老师</w:t>
      </w:r>
    </w:p>
    <w:p w14:paraId="33736630">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联系方式：</w:t>
      </w:r>
      <w:r>
        <w:rPr>
          <w:rFonts w:hint="eastAsia" w:ascii="宋体" w:hAnsi="宋体" w:cs="Arial"/>
          <w:color w:val="000000" w:themeColor="text1"/>
          <w:kern w:val="0"/>
          <w14:textFill>
            <w14:solidFill>
              <w14:schemeClr w14:val="tx1"/>
            </w14:solidFill>
          </w14:textFill>
        </w:rPr>
        <w:t>0574-88229887</w:t>
      </w:r>
    </w:p>
    <w:p w14:paraId="6D23FD40">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质疑联系人：</w:t>
      </w:r>
      <w:r>
        <w:rPr>
          <w:rFonts w:hint="eastAsia" w:cs="宋体" w:asciiTheme="minorEastAsia" w:hAnsiTheme="minorEastAsia" w:eastAsiaTheme="minorEastAsia"/>
          <w:color w:val="000000" w:themeColor="text1"/>
          <w14:textFill>
            <w14:solidFill>
              <w14:schemeClr w14:val="tx1"/>
            </w14:solidFill>
          </w14:textFill>
        </w:rPr>
        <w:t>郑老师</w:t>
      </w:r>
    </w:p>
    <w:p w14:paraId="18B77AD6">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质疑联系人电话：</w:t>
      </w:r>
      <w:r>
        <w:rPr>
          <w:rFonts w:hint="eastAsia" w:ascii="宋体" w:hAnsi="宋体" w:cs="Arial"/>
          <w:color w:val="000000" w:themeColor="text1"/>
          <w:kern w:val="0"/>
          <w14:textFill>
            <w14:solidFill>
              <w14:schemeClr w14:val="tx1"/>
            </w14:solidFill>
          </w14:textFill>
        </w:rPr>
        <w:t>0574-88229887</w:t>
      </w:r>
    </w:p>
    <w:p w14:paraId="51F01D83">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2.采购代理机构信息</w:t>
      </w:r>
      <w:bookmarkEnd w:id="28"/>
      <w:bookmarkEnd w:id="29"/>
    </w:p>
    <w:p w14:paraId="03A90628">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名称：宁波名诚招标代理有限公司</w:t>
      </w:r>
    </w:p>
    <w:p w14:paraId="065DDEAA">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地址：宁波市海曙区江汇城496号姚江时代14幢3楼</w:t>
      </w:r>
    </w:p>
    <w:p w14:paraId="5A33C0BA">
      <w:pPr>
        <w:snapToGrid w:val="0"/>
        <w:spacing w:line="400" w:lineRule="exact"/>
        <w:ind w:firstLine="420"/>
        <w:rPr>
          <w:rFonts w:hint="eastAsia" w:cs="Arial" w:asciiTheme="majorEastAsia" w:hAnsiTheme="majorEastAsia" w:eastAsiaTheme="majorEastAsia"/>
          <w:szCs w:val="21"/>
        </w:rPr>
      </w:pPr>
      <w:bookmarkStart w:id="30" w:name="_Toc28359087"/>
      <w:bookmarkStart w:id="31" w:name="_Toc28359010"/>
      <w:r>
        <w:rPr>
          <w:rFonts w:hint="eastAsia" w:cs="Arial" w:asciiTheme="majorEastAsia" w:hAnsiTheme="majorEastAsia" w:eastAsiaTheme="majorEastAsia"/>
          <w:szCs w:val="21"/>
        </w:rPr>
        <w:t>财务联系电话：0574-87101276</w:t>
      </w:r>
    </w:p>
    <w:p w14:paraId="0E75766A">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质疑联系人：方芳</w:t>
      </w:r>
    </w:p>
    <w:p w14:paraId="4B4C87FD">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质疑联系人电话：0574-87101271</w:t>
      </w:r>
    </w:p>
    <w:p w14:paraId="5209D9B0">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3.项目联系方式</w:t>
      </w:r>
      <w:bookmarkEnd w:id="30"/>
      <w:bookmarkEnd w:id="31"/>
    </w:p>
    <w:p w14:paraId="5EF11A8A">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项目联系人：张啸科、洪心怡、郑菊琴、王裕挺、张林琳</w:t>
      </w:r>
    </w:p>
    <w:p w14:paraId="629405A9">
      <w:pPr>
        <w:snapToGrid w:val="0"/>
        <w:spacing w:line="400" w:lineRule="exact"/>
        <w:ind w:firstLine="420"/>
        <w:rPr>
          <w:rFonts w:hint="eastAsia" w:cs="Arial" w:asciiTheme="majorEastAsia" w:hAnsiTheme="majorEastAsia" w:eastAsiaTheme="majorEastAsia"/>
          <w:szCs w:val="21"/>
        </w:rPr>
      </w:pPr>
      <w:r>
        <w:rPr>
          <w:rFonts w:hint="eastAsia" w:cs="Arial" w:asciiTheme="majorEastAsia" w:hAnsiTheme="majorEastAsia" w:eastAsiaTheme="majorEastAsia"/>
          <w:szCs w:val="21"/>
        </w:rPr>
        <w:t>电话：0574-83863352</w:t>
      </w:r>
    </w:p>
    <w:p w14:paraId="63AA02F4">
      <w:pPr>
        <w:pStyle w:val="41"/>
        <w:spacing w:line="360" w:lineRule="auto"/>
        <w:rPr>
          <w:rFonts w:hint="eastAsia" w:asciiTheme="majorEastAsia" w:hAnsiTheme="majorEastAsia" w:eastAsiaTheme="majorEastAsia"/>
          <w:sz w:val="32"/>
        </w:rPr>
      </w:pPr>
      <w:r>
        <w:rPr>
          <w:rFonts w:asciiTheme="majorEastAsia" w:hAnsiTheme="majorEastAsia" w:eastAsiaTheme="majorEastAsia"/>
        </w:rPr>
        <w:br w:type="page"/>
      </w:r>
      <w:bookmarkStart w:id="32" w:name="_Toc34844742"/>
      <w:bookmarkStart w:id="33" w:name="_Hlk172885610"/>
      <w:r>
        <w:rPr>
          <w:rFonts w:hint="eastAsia" w:asciiTheme="majorEastAsia" w:hAnsiTheme="majorEastAsia" w:eastAsiaTheme="majorEastAsia"/>
          <w:sz w:val="24"/>
        </w:rPr>
        <w:t>第二章  采购需求</w:t>
      </w:r>
      <w:bookmarkEnd w:id="32"/>
    </w:p>
    <w:p w14:paraId="0C402D53">
      <w:pPr>
        <w:pStyle w:val="32"/>
        <w:spacing w:before="300"/>
        <w:jc w:val="both"/>
        <w:rPr>
          <w:rFonts w:hint="eastAsia" w:ascii="宋体" w:hAnsi="宋体"/>
          <w:bCs w:val="0"/>
          <w:kern w:val="1"/>
          <w:sz w:val="21"/>
          <w:szCs w:val="21"/>
        </w:rPr>
      </w:pPr>
      <w:r>
        <w:rPr>
          <w:rFonts w:hint="eastAsia" w:ascii="宋体" w:hAnsi="宋体"/>
          <w:bCs w:val="0"/>
          <w:kern w:val="1"/>
          <w:sz w:val="21"/>
          <w:szCs w:val="21"/>
        </w:rPr>
        <w:t>一、项目概况</w:t>
      </w:r>
    </w:p>
    <w:p w14:paraId="15178519">
      <w:pPr>
        <w:numPr>
          <w:ilvl w:val="0"/>
          <w:numId w:val="2"/>
        </w:numPr>
        <w:spacing w:line="360" w:lineRule="auto"/>
        <w:rPr>
          <w:rFonts w:hint="eastAsia" w:ascii="宋体" w:hAnsi="宋体" w:cs="宋体"/>
          <w:b/>
          <w:bCs/>
          <w:szCs w:val="21"/>
          <w:lang w:eastAsia="zh-Hans"/>
        </w:rPr>
      </w:pPr>
      <w:r>
        <w:rPr>
          <w:rFonts w:hint="eastAsia" w:ascii="宋体" w:hAnsi="宋体" w:cs="宋体"/>
          <w:b/>
          <w:bCs/>
          <w:szCs w:val="21"/>
          <w:lang w:eastAsia="zh-Hans"/>
        </w:rPr>
        <w:t>建设背景</w:t>
      </w:r>
    </w:p>
    <w:p w14:paraId="4259CF8C">
      <w:pPr>
        <w:spacing w:line="360" w:lineRule="auto"/>
        <w:ind w:firstLine="420" w:firstLineChars="200"/>
        <w:jc w:val="left"/>
        <w:rPr>
          <w:rFonts w:hint="eastAsia" w:ascii="宋体" w:hAnsi="宋体" w:cs="宋体"/>
          <w:szCs w:val="21"/>
          <w:highlight w:val="none"/>
        </w:rPr>
      </w:pPr>
      <w:r>
        <w:rPr>
          <w:rFonts w:hint="eastAsia" w:ascii="宋体" w:hAnsi="宋体" w:cs="宋体"/>
          <w:szCs w:val="21"/>
        </w:rPr>
        <w:t>高压物性综合测试平台可开展高温高压苛刻条件下</w:t>
      </w:r>
      <w:r>
        <w:rPr>
          <w:rFonts w:hint="eastAsia" w:ascii="宋体" w:hAnsi="宋体" w:cs="宋体"/>
          <w:szCs w:val="21"/>
          <w:highlight w:val="none"/>
        </w:rPr>
        <w:t>介质的热力学性质和基础物性的科学研究。该设备测试压力达到200MPa以上，测试温度200℃以上，</w:t>
      </w:r>
      <w:r>
        <w:rPr>
          <w:rFonts w:hint="eastAsia" w:ascii="宋体" w:hAnsi="宋体" w:cs="宋体"/>
          <w:szCs w:val="21"/>
          <w:highlight w:val="none"/>
          <w:lang w:val="en-US" w:eastAsia="zh-CN"/>
        </w:rPr>
        <w:t>两</w:t>
      </w:r>
      <w:r>
        <w:rPr>
          <w:rFonts w:hint="eastAsia" w:ascii="宋体" w:hAnsi="宋体" w:cs="宋体"/>
          <w:szCs w:val="21"/>
          <w:highlight w:val="none"/>
        </w:rPr>
        <w:t>侧设置有蓝宝石视窗，可采用光学方法测量介质的相平衡热力学性质和密度等基础物性。</w:t>
      </w:r>
    </w:p>
    <w:p w14:paraId="0A7C01EF">
      <w:pPr>
        <w:numPr>
          <w:ilvl w:val="0"/>
          <w:numId w:val="2"/>
        </w:numPr>
        <w:spacing w:line="360" w:lineRule="auto"/>
        <w:rPr>
          <w:rFonts w:hint="eastAsia" w:ascii="宋体" w:hAnsi="宋体" w:cs="宋体"/>
          <w:b/>
          <w:bCs/>
          <w:szCs w:val="21"/>
          <w:lang w:eastAsia="zh-Hans"/>
        </w:rPr>
      </w:pPr>
      <w:r>
        <w:rPr>
          <w:rFonts w:hint="eastAsia" w:ascii="宋体" w:hAnsi="宋体" w:cs="宋体"/>
          <w:b/>
          <w:bCs/>
          <w:szCs w:val="21"/>
          <w:lang w:eastAsia="zh-Hans"/>
        </w:rPr>
        <w:t>建设目标</w:t>
      </w:r>
    </w:p>
    <w:p w14:paraId="5262D9A8">
      <w:pPr>
        <w:spacing w:line="360" w:lineRule="auto"/>
        <w:ind w:firstLine="420" w:firstLineChars="200"/>
        <w:jc w:val="left"/>
        <w:rPr>
          <w:rFonts w:hint="eastAsia" w:ascii="宋体" w:hAnsi="宋体" w:cs="宋体"/>
          <w:szCs w:val="21"/>
        </w:rPr>
      </w:pPr>
      <w:r>
        <w:rPr>
          <w:rFonts w:hint="eastAsia" w:ascii="宋体" w:hAnsi="宋体" w:cs="宋体"/>
          <w:szCs w:val="21"/>
        </w:rPr>
        <w:t>高压物性综合测试平台主要用于测量 100~200MPa 超高压体系纯物质和混合物的相平衡、密度等基础物性。该设备可以弥补传统的物性测试装置只能测量低压、中压体系的介质物性，无法测量高压/超高压的热力学物性数据，在适用领域相对较窄的问题。目前，特种聚合物乙烯-醋酸乙烯酯共聚物弹性体、乙烯-丙烯酸酯弹性体，高压聚乙烯电缆绝缘专用料、电缆屏蔽专用料等高性能高分子材料均需超高压力下均相聚合反应制备。由于热力学性质和密度等基础物性数据的缺失，导致高压/超高压聚合技术被国外专利商所垄断。因此，开发高压和超高压聚烯烃工艺技术的关键之一是测量超高压下聚合物溶液的热力学相平衡、密度、比热等基础数据</w:t>
      </w:r>
      <w:r>
        <w:rPr>
          <w:rFonts w:ascii="宋体" w:hAnsi="宋体" w:cs="宋体"/>
          <w:szCs w:val="21"/>
        </w:rPr>
        <w:t>。</w:t>
      </w:r>
      <w:r>
        <w:rPr>
          <w:rFonts w:hint="eastAsia" w:ascii="宋体" w:hAnsi="宋体" w:cs="宋体"/>
          <w:szCs w:val="21"/>
        </w:rPr>
        <w:t>通过配备一台高压物性综合测试平台，还可用于高分子、材料、化工、机械等涉及高温高压领域的基础研究，满足教学和科研及为社会服务的要求，追赶国际国内前沿技术。</w:t>
      </w:r>
    </w:p>
    <w:p w14:paraId="3544E5D6">
      <w:pPr>
        <w:spacing w:line="360" w:lineRule="auto"/>
        <w:ind w:firstLine="420" w:firstLineChars="200"/>
        <w:jc w:val="left"/>
        <w:rPr>
          <w:rFonts w:hint="eastAsia" w:ascii="宋体" w:hAnsi="宋体" w:cs="宋体"/>
        </w:rPr>
      </w:pPr>
    </w:p>
    <w:p w14:paraId="2F321A7C">
      <w:pPr>
        <w:widowControl/>
        <w:jc w:val="left"/>
        <w:rPr>
          <w:rFonts w:hint="eastAsia" w:ascii="宋体" w:hAnsi="宋体" w:cs="宋体"/>
          <w:b/>
          <w:bCs/>
        </w:rPr>
      </w:pPr>
      <w:r>
        <w:rPr>
          <w:rFonts w:hint="eastAsia" w:ascii="宋体" w:hAnsi="宋体" w:cs="宋体"/>
          <w:b/>
          <w:bCs/>
        </w:rPr>
        <w:br w:type="page"/>
      </w:r>
    </w:p>
    <w:p w14:paraId="302ED56C">
      <w:pPr>
        <w:spacing w:line="360" w:lineRule="auto"/>
        <w:rPr>
          <w:rFonts w:hint="eastAsia" w:ascii="宋体" w:hAnsi="宋体"/>
          <w:b/>
          <w:kern w:val="1"/>
          <w:szCs w:val="21"/>
        </w:rPr>
      </w:pPr>
      <w:r>
        <w:rPr>
          <w:rFonts w:hint="eastAsia" w:ascii="宋体" w:hAnsi="宋体"/>
          <w:b/>
          <w:kern w:val="1"/>
          <w:szCs w:val="21"/>
        </w:rPr>
        <w:t>二、采购清单</w:t>
      </w:r>
    </w:p>
    <w:tbl>
      <w:tblPr>
        <w:tblStyle w:val="44"/>
        <w:tblW w:w="88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76"/>
        <w:gridCol w:w="6872"/>
        <w:gridCol w:w="1165"/>
      </w:tblGrid>
      <w:tr w14:paraId="32D48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76" w:type="dxa"/>
            <w:tcMar>
              <w:top w:w="0" w:type="dxa"/>
              <w:left w:w="108" w:type="dxa"/>
              <w:bottom w:w="0" w:type="dxa"/>
              <w:right w:w="108" w:type="dxa"/>
            </w:tcMar>
            <w:vAlign w:val="center"/>
          </w:tcPr>
          <w:p w14:paraId="0FBE69ED">
            <w:pPr>
              <w:widowControl/>
              <w:spacing w:before="100" w:beforeAutospacing="1" w:after="100" w:afterAutospacing="1" w:line="240" w:lineRule="exact"/>
              <w:ind w:left="-105" w:leftChars="-50" w:right="-105" w:rightChars="-50"/>
              <w:contextualSpacing/>
              <w:jc w:val="center"/>
              <w:rPr>
                <w:rFonts w:hint="eastAsia" w:ascii="宋体" w:hAnsi="宋体" w:cs="宋体"/>
                <w:kern w:val="0"/>
                <w:szCs w:val="21"/>
              </w:rPr>
            </w:pPr>
            <w:r>
              <w:rPr>
                <w:rFonts w:hint="eastAsia" w:ascii="宋体" w:hAnsi="宋体" w:cs="宋体"/>
                <w:b/>
                <w:bCs/>
                <w:kern w:val="0"/>
                <w:szCs w:val="21"/>
              </w:rPr>
              <w:t>序号</w:t>
            </w:r>
          </w:p>
        </w:tc>
        <w:tc>
          <w:tcPr>
            <w:tcW w:w="6872" w:type="dxa"/>
            <w:tcMar>
              <w:top w:w="0" w:type="dxa"/>
              <w:left w:w="108" w:type="dxa"/>
              <w:bottom w:w="0" w:type="dxa"/>
              <w:right w:w="108" w:type="dxa"/>
            </w:tcMar>
            <w:vAlign w:val="center"/>
          </w:tcPr>
          <w:p w14:paraId="16F26CD6">
            <w:pPr>
              <w:widowControl/>
              <w:spacing w:before="100" w:beforeAutospacing="1" w:after="100" w:afterAutospacing="1" w:line="240" w:lineRule="exact"/>
              <w:ind w:right="-105" w:rightChars="-50" w:firstLine="2951" w:firstLineChars="1400"/>
              <w:contextualSpacing/>
              <w:rPr>
                <w:rFonts w:hint="eastAsia" w:ascii="宋体" w:hAnsi="宋体" w:cs="宋体"/>
                <w:b/>
                <w:bCs/>
                <w:kern w:val="0"/>
                <w:szCs w:val="21"/>
              </w:rPr>
            </w:pPr>
            <w:r>
              <w:rPr>
                <w:rFonts w:hint="eastAsia" w:ascii="宋体" w:hAnsi="宋体" w:cs="宋体"/>
                <w:b/>
                <w:bCs/>
                <w:kern w:val="0"/>
                <w:szCs w:val="21"/>
              </w:rPr>
              <w:t>设备名称</w:t>
            </w:r>
          </w:p>
        </w:tc>
        <w:tc>
          <w:tcPr>
            <w:tcW w:w="1165" w:type="dxa"/>
            <w:vAlign w:val="center"/>
          </w:tcPr>
          <w:p w14:paraId="6D460902">
            <w:pPr>
              <w:widowControl/>
              <w:spacing w:before="100" w:beforeAutospacing="1" w:after="100" w:afterAutospacing="1" w:line="240" w:lineRule="exact"/>
              <w:ind w:left="-105" w:leftChars="-50" w:right="-105" w:rightChars="-50"/>
              <w:contextualSpacing/>
              <w:jc w:val="center"/>
              <w:rPr>
                <w:rFonts w:hint="eastAsia" w:ascii="宋体" w:hAnsi="宋体" w:cs="宋体"/>
                <w:b/>
                <w:bCs/>
                <w:kern w:val="0"/>
                <w:szCs w:val="21"/>
              </w:rPr>
            </w:pPr>
            <w:r>
              <w:rPr>
                <w:rFonts w:hint="eastAsia" w:ascii="宋体" w:hAnsi="宋体" w:cs="宋体"/>
                <w:b/>
                <w:bCs/>
                <w:kern w:val="0"/>
                <w:szCs w:val="21"/>
              </w:rPr>
              <w:t>数量</w:t>
            </w:r>
          </w:p>
        </w:tc>
      </w:tr>
      <w:tr w14:paraId="6C440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0" w:hRule="atLeast"/>
          <w:jc w:val="center"/>
        </w:trPr>
        <w:tc>
          <w:tcPr>
            <w:tcW w:w="776" w:type="dxa"/>
            <w:tcMar>
              <w:top w:w="0" w:type="dxa"/>
              <w:left w:w="108" w:type="dxa"/>
              <w:bottom w:w="0" w:type="dxa"/>
              <w:right w:w="108" w:type="dxa"/>
            </w:tcMar>
            <w:vAlign w:val="center"/>
          </w:tcPr>
          <w:p w14:paraId="1E14DEA0">
            <w:pPr>
              <w:jc w:val="center"/>
              <w:rPr>
                <w:rFonts w:hint="eastAsia" w:ascii="宋体" w:hAnsi="宋体" w:cs="宋体"/>
              </w:rPr>
            </w:pPr>
            <w:r>
              <w:rPr>
                <w:rFonts w:hint="eastAsia" w:ascii="宋体" w:hAnsi="宋体" w:cs="宋体"/>
              </w:rPr>
              <w:t>1</w:t>
            </w:r>
          </w:p>
        </w:tc>
        <w:tc>
          <w:tcPr>
            <w:tcW w:w="6872" w:type="dxa"/>
            <w:tcMar>
              <w:top w:w="0" w:type="dxa"/>
              <w:left w:w="108" w:type="dxa"/>
              <w:bottom w:w="0" w:type="dxa"/>
              <w:right w:w="108" w:type="dxa"/>
            </w:tcMar>
            <w:vAlign w:val="center"/>
          </w:tcPr>
          <w:p w14:paraId="21AD5686">
            <w:pPr>
              <w:jc w:val="center"/>
              <w:rPr>
                <w:rFonts w:hint="eastAsia" w:ascii="宋体" w:hAnsi="宋体" w:cs="宋体"/>
              </w:rPr>
            </w:pPr>
            <w:r>
              <w:rPr>
                <w:rFonts w:hint="eastAsia" w:ascii="宋体" w:hAnsi="宋体" w:cs="宋体"/>
                <w:b/>
                <w:bCs/>
                <w:szCs w:val="21"/>
              </w:rPr>
              <w:t>●</w:t>
            </w:r>
            <w:r>
              <w:rPr>
                <w:rFonts w:hint="eastAsia" w:ascii="宋体" w:hAnsi="宋体" w:cs="宋体"/>
                <w:szCs w:val="21"/>
              </w:rPr>
              <w:t>高压物性综合测试平台</w:t>
            </w:r>
          </w:p>
        </w:tc>
        <w:tc>
          <w:tcPr>
            <w:tcW w:w="1165" w:type="dxa"/>
            <w:vAlign w:val="center"/>
          </w:tcPr>
          <w:p w14:paraId="11DD2794">
            <w:pPr>
              <w:jc w:val="center"/>
              <w:rPr>
                <w:rFonts w:hint="eastAsia" w:ascii="宋体" w:hAnsi="宋体" w:cs="宋体"/>
              </w:rPr>
            </w:pPr>
            <w:r>
              <w:rPr>
                <w:rFonts w:hint="eastAsia" w:ascii="宋体" w:hAnsi="宋体" w:cs="宋体"/>
              </w:rPr>
              <w:t>1套</w:t>
            </w:r>
          </w:p>
        </w:tc>
      </w:tr>
    </w:tbl>
    <w:p w14:paraId="086E6585">
      <w:pPr>
        <w:pStyle w:val="20"/>
        <w:jc w:val="both"/>
        <w:rPr>
          <w:b/>
          <w:bCs/>
        </w:rPr>
      </w:pPr>
      <w:r>
        <w:rPr>
          <w:rFonts w:hint="eastAsia" w:ascii="宋体" w:hAnsi="宋体" w:cs="宋体"/>
          <w:b/>
          <w:bCs/>
          <w:kern w:val="2"/>
          <w:sz w:val="21"/>
        </w:rPr>
        <w:t>备注：上表中打“●”设备为本项目核心产品，作为判断同品牌产品的依据。</w:t>
      </w:r>
    </w:p>
    <w:p w14:paraId="0E3954E5">
      <w:pPr>
        <w:spacing w:line="360" w:lineRule="auto"/>
        <w:rPr>
          <w:rFonts w:hint="eastAsia" w:ascii="宋体" w:hAnsi="宋体"/>
          <w:b/>
          <w:kern w:val="1"/>
          <w:szCs w:val="21"/>
        </w:rPr>
      </w:pPr>
    </w:p>
    <w:p w14:paraId="487A83CC">
      <w:pPr>
        <w:spacing w:line="360" w:lineRule="auto"/>
        <w:rPr>
          <w:rFonts w:hint="eastAsia" w:ascii="宋体" w:hAnsi="宋体"/>
          <w:b/>
          <w:kern w:val="1"/>
          <w:szCs w:val="21"/>
        </w:rPr>
      </w:pPr>
      <w:r>
        <w:rPr>
          <w:rFonts w:hint="eastAsia" w:ascii="宋体" w:hAnsi="宋体"/>
          <w:b/>
          <w:kern w:val="1"/>
          <w:szCs w:val="21"/>
        </w:rPr>
        <w:t>三、技术要求</w:t>
      </w:r>
    </w:p>
    <w:tbl>
      <w:tblPr>
        <w:tblStyle w:val="44"/>
        <w:tblW w:w="88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84"/>
        <w:gridCol w:w="7513"/>
        <w:gridCol w:w="572"/>
      </w:tblGrid>
      <w:tr w14:paraId="606D1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0" w:hRule="atLeast"/>
          <w:jc w:val="center"/>
        </w:trPr>
        <w:tc>
          <w:tcPr>
            <w:tcW w:w="784" w:type="dxa"/>
            <w:tcMar>
              <w:top w:w="0" w:type="dxa"/>
              <w:left w:w="108" w:type="dxa"/>
              <w:bottom w:w="0" w:type="dxa"/>
              <w:right w:w="108" w:type="dxa"/>
            </w:tcMar>
            <w:vAlign w:val="center"/>
          </w:tcPr>
          <w:p w14:paraId="1F1F0234">
            <w:pPr>
              <w:jc w:val="center"/>
              <w:rPr>
                <w:rFonts w:hint="eastAsia" w:ascii="宋体" w:hAnsi="宋体" w:cs="宋体"/>
                <w:b/>
                <w:bCs/>
              </w:rPr>
            </w:pPr>
            <w:r>
              <w:rPr>
                <w:rFonts w:hint="eastAsia" w:ascii="宋体" w:hAnsi="宋体" w:cs="宋体"/>
                <w:b/>
                <w:bCs/>
              </w:rPr>
              <w:t>序号</w:t>
            </w:r>
          </w:p>
        </w:tc>
        <w:tc>
          <w:tcPr>
            <w:tcW w:w="7513" w:type="dxa"/>
            <w:tcMar>
              <w:top w:w="0" w:type="dxa"/>
              <w:left w:w="108" w:type="dxa"/>
              <w:bottom w:w="0" w:type="dxa"/>
              <w:right w:w="108" w:type="dxa"/>
            </w:tcMar>
            <w:vAlign w:val="center"/>
          </w:tcPr>
          <w:p w14:paraId="03A4373F">
            <w:pPr>
              <w:jc w:val="center"/>
              <w:rPr>
                <w:rFonts w:hint="eastAsia" w:ascii="宋体" w:hAnsi="宋体" w:cs="宋体"/>
                <w:b/>
                <w:bCs/>
              </w:rPr>
            </w:pPr>
            <w:r>
              <w:rPr>
                <w:rFonts w:hint="eastAsia" w:ascii="宋体" w:hAnsi="宋体" w:cs="宋体"/>
                <w:b/>
                <w:bCs/>
              </w:rPr>
              <w:t>技术要求</w:t>
            </w:r>
          </w:p>
        </w:tc>
        <w:tc>
          <w:tcPr>
            <w:tcW w:w="572" w:type="dxa"/>
            <w:tcMar>
              <w:top w:w="0" w:type="dxa"/>
              <w:left w:w="108" w:type="dxa"/>
              <w:bottom w:w="0" w:type="dxa"/>
              <w:right w:w="108" w:type="dxa"/>
            </w:tcMar>
            <w:vAlign w:val="center"/>
          </w:tcPr>
          <w:p w14:paraId="4DE821C2">
            <w:pPr>
              <w:ind w:left="-105" w:leftChars="-50" w:right="-105" w:rightChars="-50"/>
              <w:jc w:val="center"/>
              <w:rPr>
                <w:rFonts w:hint="eastAsia" w:ascii="宋体" w:hAnsi="宋体" w:cs="宋体"/>
                <w:b/>
                <w:bCs/>
              </w:rPr>
            </w:pPr>
            <w:r>
              <w:rPr>
                <w:rFonts w:hint="eastAsia" w:ascii="宋体" w:hAnsi="宋体" w:cs="宋体"/>
                <w:b/>
                <w:bCs/>
              </w:rPr>
              <w:t>投标</w:t>
            </w:r>
          </w:p>
          <w:p w14:paraId="5D640051">
            <w:pPr>
              <w:ind w:left="-105" w:leftChars="-50" w:right="-105" w:rightChars="-50"/>
              <w:jc w:val="center"/>
              <w:rPr>
                <w:rFonts w:hint="eastAsia" w:ascii="宋体" w:hAnsi="宋体" w:cs="宋体"/>
                <w:b/>
                <w:bCs/>
              </w:rPr>
            </w:pPr>
            <w:r>
              <w:rPr>
                <w:rFonts w:hint="eastAsia" w:ascii="宋体" w:hAnsi="宋体" w:cs="宋体"/>
                <w:b/>
                <w:bCs/>
              </w:rPr>
              <w:t>响应</w:t>
            </w:r>
          </w:p>
        </w:tc>
      </w:tr>
      <w:tr w14:paraId="2AE2A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 w:hRule="atLeast"/>
          <w:jc w:val="center"/>
        </w:trPr>
        <w:tc>
          <w:tcPr>
            <w:tcW w:w="784" w:type="dxa"/>
            <w:shd w:val="clear" w:color="auto" w:fill="auto"/>
            <w:tcMar>
              <w:top w:w="0" w:type="dxa"/>
              <w:left w:w="108" w:type="dxa"/>
              <w:bottom w:w="0" w:type="dxa"/>
              <w:right w:w="108" w:type="dxa"/>
            </w:tcMar>
            <w:vAlign w:val="center"/>
          </w:tcPr>
          <w:p w14:paraId="536786E7">
            <w:pPr>
              <w:jc w:val="center"/>
              <w:rPr>
                <w:rFonts w:hint="eastAsia" w:ascii="宋体" w:hAnsi="宋体" w:cs="宋体"/>
              </w:rPr>
            </w:pPr>
            <w:r>
              <w:rPr>
                <w:rFonts w:hint="eastAsia" w:ascii="宋体" w:hAnsi="宋体" w:cs="宋体"/>
              </w:rPr>
              <w:t>1</w:t>
            </w:r>
          </w:p>
        </w:tc>
        <w:tc>
          <w:tcPr>
            <w:tcW w:w="7513" w:type="dxa"/>
            <w:shd w:val="clear" w:color="auto" w:fill="auto"/>
            <w:tcMar>
              <w:top w:w="0" w:type="dxa"/>
              <w:left w:w="108" w:type="dxa"/>
              <w:bottom w:w="0" w:type="dxa"/>
              <w:right w:w="108" w:type="dxa"/>
            </w:tcMar>
            <w:vAlign w:val="center"/>
          </w:tcPr>
          <w:p w14:paraId="45AF406E">
            <w:pPr>
              <w:jc w:val="left"/>
              <w:rPr>
                <w:rFonts w:hint="eastAsia" w:ascii="宋体" w:hAnsi="宋体" w:cs="宋体"/>
              </w:rPr>
            </w:pPr>
            <w:r>
              <w:rPr>
                <w:rFonts w:hint="eastAsia" w:ascii="宋体" w:hAnsi="宋体" w:cs="宋体"/>
              </w:rPr>
              <w:t>高压釜</w:t>
            </w:r>
          </w:p>
        </w:tc>
        <w:tc>
          <w:tcPr>
            <w:tcW w:w="572" w:type="dxa"/>
            <w:shd w:val="clear" w:color="auto" w:fill="auto"/>
            <w:tcMar>
              <w:top w:w="0" w:type="dxa"/>
              <w:left w:w="108" w:type="dxa"/>
              <w:bottom w:w="0" w:type="dxa"/>
              <w:right w:w="108" w:type="dxa"/>
            </w:tcMar>
            <w:vAlign w:val="center"/>
          </w:tcPr>
          <w:p w14:paraId="6F47A71B">
            <w:pPr>
              <w:ind w:left="-105" w:leftChars="-50" w:right="-105" w:rightChars="-50"/>
              <w:jc w:val="center"/>
              <w:rPr>
                <w:rFonts w:hint="eastAsia" w:ascii="宋体" w:hAnsi="宋体" w:cs="宋体"/>
                <w:b w:val="0"/>
                <w:bCs w:val="0"/>
              </w:rPr>
            </w:pPr>
            <w:r>
              <w:rPr>
                <w:rFonts w:hint="eastAsia" w:ascii="宋体" w:hAnsi="宋体" w:cs="宋体"/>
                <w:b w:val="0"/>
                <w:bCs w:val="0"/>
              </w:rPr>
              <w:t>/</w:t>
            </w:r>
          </w:p>
        </w:tc>
      </w:tr>
      <w:tr w14:paraId="2A8CD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3" w:hRule="atLeast"/>
          <w:jc w:val="center"/>
        </w:trPr>
        <w:tc>
          <w:tcPr>
            <w:tcW w:w="784" w:type="dxa"/>
            <w:shd w:val="clear" w:color="auto" w:fill="auto"/>
            <w:tcMar>
              <w:top w:w="0" w:type="dxa"/>
              <w:left w:w="108" w:type="dxa"/>
              <w:bottom w:w="0" w:type="dxa"/>
              <w:right w:w="108" w:type="dxa"/>
            </w:tcMar>
            <w:vAlign w:val="center"/>
          </w:tcPr>
          <w:p w14:paraId="551E10A6">
            <w:pPr>
              <w:jc w:val="center"/>
              <w:rPr>
                <w:rFonts w:hint="eastAsia" w:ascii="宋体" w:hAnsi="宋体" w:cs="宋体"/>
              </w:rPr>
            </w:pPr>
            <w:r>
              <w:rPr>
                <w:rFonts w:hint="eastAsia" w:ascii="宋体" w:hAnsi="宋体" w:cs="宋体"/>
              </w:rPr>
              <w:t>1.1</w:t>
            </w:r>
          </w:p>
        </w:tc>
        <w:tc>
          <w:tcPr>
            <w:tcW w:w="7513" w:type="dxa"/>
            <w:shd w:val="clear" w:color="auto" w:fill="auto"/>
            <w:tcMar>
              <w:top w:w="0" w:type="dxa"/>
              <w:left w:w="108" w:type="dxa"/>
              <w:bottom w:w="0" w:type="dxa"/>
              <w:right w:w="108" w:type="dxa"/>
            </w:tcMar>
            <w:vAlign w:val="center"/>
          </w:tcPr>
          <w:p w14:paraId="7D718F4F">
            <w:pPr>
              <w:jc w:val="left"/>
              <w:rPr>
                <w:rFonts w:hint="eastAsia" w:ascii="宋体" w:hAnsi="宋体" w:cs="宋体"/>
              </w:rPr>
            </w:pPr>
            <w:r>
              <w:rPr>
                <w:rFonts w:hint="eastAsia" w:ascii="宋体" w:hAnsi="宋体" w:cs="宋体"/>
              </w:rPr>
              <w:t>工作介质：乙烯、丙烯、醋酸乙烯酯、聚乙烯、聚丙烯等</w:t>
            </w:r>
          </w:p>
        </w:tc>
        <w:tc>
          <w:tcPr>
            <w:tcW w:w="572" w:type="dxa"/>
            <w:shd w:val="clear" w:color="auto" w:fill="auto"/>
            <w:tcMar>
              <w:top w:w="0" w:type="dxa"/>
              <w:left w:w="108" w:type="dxa"/>
              <w:bottom w:w="0" w:type="dxa"/>
              <w:right w:w="108" w:type="dxa"/>
            </w:tcMar>
            <w:vAlign w:val="center"/>
          </w:tcPr>
          <w:p w14:paraId="0893D632">
            <w:pPr>
              <w:ind w:left="-105" w:leftChars="-50" w:right="-105" w:rightChars="-50"/>
              <w:jc w:val="center"/>
              <w:rPr>
                <w:rFonts w:hint="eastAsia" w:ascii="宋体" w:hAnsi="宋体" w:cs="宋体"/>
                <w:b w:val="0"/>
                <w:bCs w:val="0"/>
              </w:rPr>
            </w:pPr>
          </w:p>
        </w:tc>
      </w:tr>
      <w:tr w14:paraId="209C1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84" w:type="dxa"/>
            <w:shd w:val="clear" w:color="auto" w:fill="auto"/>
            <w:tcMar>
              <w:top w:w="0" w:type="dxa"/>
              <w:left w:w="108" w:type="dxa"/>
              <w:bottom w:w="0" w:type="dxa"/>
              <w:right w:w="108" w:type="dxa"/>
            </w:tcMar>
            <w:vAlign w:val="center"/>
          </w:tcPr>
          <w:p w14:paraId="7965542E">
            <w:pPr>
              <w:jc w:val="center"/>
              <w:rPr>
                <w:rFonts w:hint="eastAsia" w:ascii="宋体" w:hAnsi="宋体" w:cs="宋体"/>
              </w:rPr>
            </w:pPr>
            <w:r>
              <w:rPr>
                <w:rFonts w:hint="eastAsia" w:ascii="宋体" w:hAnsi="宋体" w:cs="宋体"/>
              </w:rPr>
              <w:t>1.2</w:t>
            </w:r>
          </w:p>
        </w:tc>
        <w:tc>
          <w:tcPr>
            <w:tcW w:w="7513" w:type="dxa"/>
            <w:shd w:val="clear" w:color="auto" w:fill="auto"/>
            <w:tcMar>
              <w:top w:w="0" w:type="dxa"/>
              <w:left w:w="108" w:type="dxa"/>
              <w:bottom w:w="0" w:type="dxa"/>
              <w:right w:w="108" w:type="dxa"/>
            </w:tcMar>
            <w:vAlign w:val="center"/>
          </w:tcPr>
          <w:p w14:paraId="3F5B7042">
            <w:pPr>
              <w:jc w:val="left"/>
              <w:rPr>
                <w:rFonts w:hint="eastAsia" w:ascii="宋体" w:hAnsi="宋体" w:cs="宋体"/>
              </w:rPr>
            </w:pPr>
            <w:r>
              <w:rPr>
                <w:rFonts w:hint="eastAsia" w:ascii="宋体" w:hAnsi="宋体" w:cs="宋体"/>
              </w:rPr>
              <w:t>★高压釜有效容积：≥</w:t>
            </w:r>
            <w:r>
              <w:rPr>
                <w:rFonts w:ascii="宋体" w:hAnsi="宋体" w:cs="宋体"/>
              </w:rPr>
              <w:t>2</w:t>
            </w:r>
            <w:r>
              <w:rPr>
                <w:rFonts w:hint="eastAsia" w:ascii="宋体" w:hAnsi="宋体" w:cs="宋体"/>
              </w:rPr>
              <w:t>0</w:t>
            </w:r>
            <w:r>
              <w:rPr>
                <w:rFonts w:ascii="宋体" w:hAnsi="宋体" w:cs="宋体"/>
              </w:rPr>
              <w:t xml:space="preserve"> </w:t>
            </w:r>
            <w:r>
              <w:rPr>
                <w:rFonts w:hint="eastAsia" w:ascii="宋体" w:hAnsi="宋体" w:cs="宋体"/>
              </w:rPr>
              <w:t>mL；具有观察窗</w:t>
            </w:r>
            <w:r>
              <w:rPr>
                <w:rFonts w:hint="eastAsia" w:ascii="宋体" w:hAnsi="宋体" w:cs="宋体"/>
                <w:highlight w:val="none"/>
              </w:rPr>
              <w:t>，</w:t>
            </w:r>
            <w:r>
              <w:rPr>
                <w:rFonts w:hint="eastAsia" w:ascii="宋体" w:hAnsi="宋体" w:cs="宋体"/>
                <w:szCs w:val="21"/>
                <w:highlight w:val="none"/>
                <w:lang w:val="en-US" w:eastAsia="zh-CN"/>
              </w:rPr>
              <w:t>两</w:t>
            </w:r>
            <w:r>
              <w:rPr>
                <w:rFonts w:hint="eastAsia" w:ascii="宋体" w:hAnsi="宋体" w:cs="宋体"/>
                <w:szCs w:val="21"/>
                <w:highlight w:val="none"/>
              </w:rPr>
              <w:t>侧设置有蓝宝石视窗</w:t>
            </w:r>
            <w:r>
              <w:rPr>
                <w:rFonts w:hint="eastAsia" w:ascii="宋体" w:hAnsi="宋体" w:cs="宋体"/>
                <w:highlight w:val="none"/>
              </w:rPr>
              <w:t>，观</w:t>
            </w:r>
            <w:r>
              <w:rPr>
                <w:rFonts w:hint="eastAsia" w:ascii="宋体" w:hAnsi="宋体" w:cs="宋体"/>
              </w:rPr>
              <w:t>察直径≥1</w:t>
            </w:r>
            <w:r>
              <w:rPr>
                <w:rFonts w:ascii="宋体" w:hAnsi="宋体" w:cs="宋体"/>
              </w:rPr>
              <w:t xml:space="preserve">5 </w:t>
            </w:r>
            <w:r>
              <w:rPr>
                <w:rFonts w:hint="eastAsia" w:ascii="宋体" w:hAnsi="宋体" w:cs="宋体"/>
              </w:rPr>
              <w:t>mm。</w:t>
            </w:r>
          </w:p>
        </w:tc>
        <w:tc>
          <w:tcPr>
            <w:tcW w:w="572" w:type="dxa"/>
            <w:shd w:val="clear" w:color="auto" w:fill="auto"/>
            <w:tcMar>
              <w:top w:w="0" w:type="dxa"/>
              <w:left w:w="108" w:type="dxa"/>
              <w:bottom w:w="0" w:type="dxa"/>
              <w:right w:w="108" w:type="dxa"/>
            </w:tcMar>
            <w:vAlign w:val="center"/>
          </w:tcPr>
          <w:p w14:paraId="31EE5E15">
            <w:pPr>
              <w:ind w:left="-105" w:leftChars="-50" w:right="-105" w:rightChars="-50"/>
              <w:jc w:val="center"/>
              <w:rPr>
                <w:rFonts w:hint="eastAsia" w:ascii="宋体" w:hAnsi="宋体" w:cs="宋体"/>
                <w:b w:val="0"/>
                <w:bCs w:val="0"/>
              </w:rPr>
            </w:pPr>
          </w:p>
        </w:tc>
      </w:tr>
      <w:tr w14:paraId="00E83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84" w:type="dxa"/>
            <w:shd w:val="clear" w:color="auto" w:fill="auto"/>
            <w:tcMar>
              <w:top w:w="0" w:type="dxa"/>
              <w:left w:w="108" w:type="dxa"/>
              <w:bottom w:w="0" w:type="dxa"/>
              <w:right w:w="108" w:type="dxa"/>
            </w:tcMar>
            <w:vAlign w:val="center"/>
          </w:tcPr>
          <w:p w14:paraId="1F4835EF">
            <w:pPr>
              <w:jc w:val="center"/>
              <w:rPr>
                <w:rFonts w:hint="eastAsia" w:ascii="宋体" w:hAnsi="宋体" w:cs="宋体"/>
              </w:rPr>
            </w:pPr>
            <w:r>
              <w:rPr>
                <w:rFonts w:hint="eastAsia" w:ascii="宋体" w:hAnsi="宋体" w:cs="宋体"/>
              </w:rPr>
              <w:t>1.3</w:t>
            </w:r>
          </w:p>
        </w:tc>
        <w:tc>
          <w:tcPr>
            <w:tcW w:w="7513" w:type="dxa"/>
            <w:shd w:val="clear" w:color="auto" w:fill="auto"/>
            <w:tcMar>
              <w:top w:w="0" w:type="dxa"/>
              <w:left w:w="108" w:type="dxa"/>
              <w:bottom w:w="0" w:type="dxa"/>
              <w:right w:w="108" w:type="dxa"/>
            </w:tcMar>
            <w:vAlign w:val="center"/>
          </w:tcPr>
          <w:p w14:paraId="3049DE1A">
            <w:pPr>
              <w:jc w:val="left"/>
              <w:rPr>
                <w:rFonts w:hint="eastAsia" w:ascii="宋体" w:hAnsi="宋体" w:cs="宋体"/>
              </w:rPr>
            </w:pPr>
            <w:r>
              <w:rPr>
                <w:rFonts w:hint="eastAsia" w:ascii="宋体" w:hAnsi="宋体" w:cs="宋体"/>
              </w:rPr>
              <w:t>高压釜工作温度范围：测试温度</w:t>
            </w:r>
            <w:r>
              <w:rPr>
                <w:rFonts w:ascii="宋体" w:hAnsi="宋体" w:cs="宋体"/>
              </w:rPr>
              <w:t xml:space="preserve">200 </w:t>
            </w:r>
            <w:r>
              <w:rPr>
                <w:rFonts w:hint="eastAsia" w:ascii="宋体" w:hAnsi="宋体" w:cs="宋体"/>
              </w:rPr>
              <w:t>℃，最高可拓展至</w:t>
            </w:r>
            <w:r>
              <w:rPr>
                <w:rFonts w:ascii="宋体" w:hAnsi="宋体" w:cs="宋体"/>
              </w:rPr>
              <w:t>30</w:t>
            </w:r>
            <w:r>
              <w:rPr>
                <w:rFonts w:hint="eastAsia" w:ascii="宋体" w:hAnsi="宋体" w:cs="宋体"/>
              </w:rPr>
              <w:t>0</w:t>
            </w:r>
            <w:r>
              <w:rPr>
                <w:rFonts w:ascii="宋体" w:hAnsi="宋体" w:cs="宋体"/>
              </w:rPr>
              <w:t xml:space="preserve"> </w:t>
            </w:r>
            <w:r>
              <w:rPr>
                <w:rFonts w:hint="eastAsia" w:ascii="宋体" w:hAnsi="宋体" w:cs="宋体"/>
              </w:rPr>
              <w:t>℃，可设定。温度控制精度：≤±</w:t>
            </w:r>
            <w:r>
              <w:rPr>
                <w:rFonts w:ascii="宋体" w:hAnsi="宋体" w:cs="宋体"/>
              </w:rPr>
              <w:t xml:space="preserve">1 </w:t>
            </w:r>
            <w:r>
              <w:rPr>
                <w:rFonts w:hint="eastAsia" w:ascii="宋体" w:hAnsi="宋体" w:cs="宋体"/>
              </w:rPr>
              <w:t>℃，温度一致性：≤</w:t>
            </w:r>
            <w:r>
              <w:rPr>
                <w:rFonts w:ascii="宋体" w:hAnsi="宋体" w:cs="宋体"/>
              </w:rPr>
              <w:t xml:space="preserve">1 </w:t>
            </w:r>
            <w:r>
              <w:rPr>
                <w:rFonts w:hint="eastAsia" w:ascii="宋体" w:hAnsi="宋体" w:cs="宋体"/>
              </w:rPr>
              <w:t>℃。</w:t>
            </w:r>
          </w:p>
        </w:tc>
        <w:tc>
          <w:tcPr>
            <w:tcW w:w="572" w:type="dxa"/>
            <w:shd w:val="clear" w:color="auto" w:fill="auto"/>
            <w:tcMar>
              <w:top w:w="0" w:type="dxa"/>
              <w:left w:w="108" w:type="dxa"/>
              <w:bottom w:w="0" w:type="dxa"/>
              <w:right w:w="108" w:type="dxa"/>
            </w:tcMar>
            <w:vAlign w:val="center"/>
          </w:tcPr>
          <w:p w14:paraId="1CDA61D7">
            <w:pPr>
              <w:ind w:left="-105" w:leftChars="-50" w:right="-105" w:rightChars="-50"/>
              <w:jc w:val="center"/>
              <w:rPr>
                <w:rFonts w:hint="eastAsia" w:ascii="宋体" w:hAnsi="宋体" w:cs="宋体"/>
                <w:b w:val="0"/>
                <w:bCs w:val="0"/>
              </w:rPr>
            </w:pPr>
          </w:p>
        </w:tc>
      </w:tr>
      <w:tr w14:paraId="55E31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0" w:hRule="atLeast"/>
          <w:jc w:val="center"/>
        </w:trPr>
        <w:tc>
          <w:tcPr>
            <w:tcW w:w="784" w:type="dxa"/>
            <w:shd w:val="clear" w:color="auto" w:fill="auto"/>
            <w:tcMar>
              <w:top w:w="0" w:type="dxa"/>
              <w:left w:w="108" w:type="dxa"/>
              <w:bottom w:w="0" w:type="dxa"/>
              <w:right w:w="108" w:type="dxa"/>
            </w:tcMar>
            <w:vAlign w:val="center"/>
          </w:tcPr>
          <w:p w14:paraId="67E4F138">
            <w:pPr>
              <w:jc w:val="center"/>
              <w:rPr>
                <w:rFonts w:hint="eastAsia" w:ascii="宋体" w:hAnsi="宋体" w:cs="宋体"/>
              </w:rPr>
            </w:pPr>
            <w:r>
              <w:rPr>
                <w:rFonts w:hint="eastAsia" w:ascii="宋体" w:hAnsi="宋体" w:cs="宋体"/>
              </w:rPr>
              <w:t>1.4</w:t>
            </w:r>
          </w:p>
        </w:tc>
        <w:tc>
          <w:tcPr>
            <w:tcW w:w="7513" w:type="dxa"/>
            <w:shd w:val="clear" w:color="auto" w:fill="auto"/>
            <w:tcMar>
              <w:top w:w="0" w:type="dxa"/>
              <w:left w:w="108" w:type="dxa"/>
              <w:bottom w:w="0" w:type="dxa"/>
              <w:right w:w="108" w:type="dxa"/>
            </w:tcMar>
            <w:vAlign w:val="center"/>
          </w:tcPr>
          <w:p w14:paraId="5506D4B3">
            <w:pPr>
              <w:jc w:val="left"/>
              <w:rPr>
                <w:rFonts w:hint="eastAsia" w:ascii="宋体" w:hAnsi="宋体" w:cs="宋体"/>
              </w:rPr>
            </w:pPr>
            <w:r>
              <w:rPr>
                <w:rFonts w:hint="eastAsia" w:ascii="宋体" w:hAnsi="宋体" w:cs="宋体"/>
              </w:rPr>
              <w:t>★高压釜工作压力范围：0.1~200 MPa。</w:t>
            </w:r>
          </w:p>
        </w:tc>
        <w:tc>
          <w:tcPr>
            <w:tcW w:w="572" w:type="dxa"/>
            <w:shd w:val="clear" w:color="auto" w:fill="auto"/>
            <w:tcMar>
              <w:top w:w="0" w:type="dxa"/>
              <w:left w:w="108" w:type="dxa"/>
              <w:bottom w:w="0" w:type="dxa"/>
              <w:right w:w="108" w:type="dxa"/>
            </w:tcMar>
            <w:vAlign w:val="center"/>
          </w:tcPr>
          <w:p w14:paraId="021AB6CA">
            <w:pPr>
              <w:ind w:left="-105" w:leftChars="-50" w:right="-105" w:rightChars="-50"/>
              <w:jc w:val="center"/>
              <w:rPr>
                <w:rFonts w:hint="eastAsia" w:ascii="宋体" w:hAnsi="宋体" w:cs="宋体"/>
                <w:b w:val="0"/>
                <w:bCs w:val="0"/>
              </w:rPr>
            </w:pPr>
          </w:p>
        </w:tc>
      </w:tr>
      <w:tr w14:paraId="14D85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84" w:type="dxa"/>
            <w:shd w:val="clear" w:color="auto" w:fill="auto"/>
            <w:tcMar>
              <w:top w:w="0" w:type="dxa"/>
              <w:left w:w="108" w:type="dxa"/>
              <w:bottom w:w="0" w:type="dxa"/>
              <w:right w:w="108" w:type="dxa"/>
            </w:tcMar>
            <w:vAlign w:val="center"/>
          </w:tcPr>
          <w:p w14:paraId="04B9FE8C">
            <w:pPr>
              <w:jc w:val="center"/>
              <w:rPr>
                <w:rFonts w:hint="eastAsia" w:ascii="宋体" w:hAnsi="宋体" w:cs="宋体"/>
              </w:rPr>
            </w:pPr>
            <w:r>
              <w:rPr>
                <w:rFonts w:hint="eastAsia" w:ascii="宋体" w:hAnsi="宋体" w:cs="宋体"/>
              </w:rPr>
              <w:t>1.5</w:t>
            </w:r>
          </w:p>
        </w:tc>
        <w:tc>
          <w:tcPr>
            <w:tcW w:w="7513" w:type="dxa"/>
            <w:shd w:val="clear" w:color="auto" w:fill="auto"/>
            <w:tcMar>
              <w:top w:w="0" w:type="dxa"/>
              <w:left w:w="108" w:type="dxa"/>
              <w:bottom w:w="0" w:type="dxa"/>
              <w:right w:w="108" w:type="dxa"/>
            </w:tcMar>
            <w:vAlign w:val="center"/>
          </w:tcPr>
          <w:p w14:paraId="6E66F6F5">
            <w:pPr>
              <w:jc w:val="left"/>
              <w:rPr>
                <w:rFonts w:hint="eastAsia" w:ascii="宋体" w:hAnsi="宋体" w:cs="宋体"/>
              </w:rPr>
            </w:pPr>
            <w:r>
              <w:rPr>
                <w:rFonts w:hint="eastAsia" w:ascii="宋体" w:hAnsi="宋体" w:cs="宋体"/>
              </w:rPr>
              <w:t>★</w:t>
            </w:r>
            <w:r>
              <w:rPr>
                <w:rFonts w:ascii="宋体" w:hAnsi="宋体" w:cs="宋体"/>
              </w:rPr>
              <w:t>高压釜配置混合器或具备混合功能，可实现高压釜内的物料混合</w:t>
            </w:r>
            <w:r>
              <w:rPr>
                <w:rFonts w:hint="eastAsia" w:ascii="宋体" w:hAnsi="宋体" w:cs="宋体"/>
              </w:rPr>
              <w:t>。</w:t>
            </w:r>
          </w:p>
        </w:tc>
        <w:tc>
          <w:tcPr>
            <w:tcW w:w="572" w:type="dxa"/>
            <w:shd w:val="clear" w:color="auto" w:fill="auto"/>
            <w:tcMar>
              <w:top w:w="0" w:type="dxa"/>
              <w:left w:w="108" w:type="dxa"/>
              <w:bottom w:w="0" w:type="dxa"/>
              <w:right w:w="108" w:type="dxa"/>
            </w:tcMar>
            <w:vAlign w:val="center"/>
          </w:tcPr>
          <w:p w14:paraId="7F1CF462">
            <w:pPr>
              <w:ind w:left="-105" w:leftChars="-50" w:right="-105" w:rightChars="-50"/>
              <w:jc w:val="center"/>
              <w:rPr>
                <w:rFonts w:hint="eastAsia" w:ascii="宋体" w:hAnsi="宋体" w:cs="宋体"/>
                <w:b w:val="0"/>
                <w:bCs w:val="0"/>
              </w:rPr>
            </w:pPr>
          </w:p>
        </w:tc>
      </w:tr>
      <w:tr w14:paraId="70D83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1" w:hRule="atLeast"/>
          <w:jc w:val="center"/>
        </w:trPr>
        <w:tc>
          <w:tcPr>
            <w:tcW w:w="784" w:type="dxa"/>
            <w:shd w:val="clear" w:color="auto" w:fill="auto"/>
            <w:tcMar>
              <w:top w:w="0" w:type="dxa"/>
              <w:left w:w="108" w:type="dxa"/>
              <w:bottom w:w="0" w:type="dxa"/>
              <w:right w:w="108" w:type="dxa"/>
            </w:tcMar>
            <w:vAlign w:val="center"/>
          </w:tcPr>
          <w:p w14:paraId="4B670852">
            <w:pPr>
              <w:jc w:val="center"/>
              <w:rPr>
                <w:rFonts w:hint="eastAsia" w:ascii="宋体" w:hAnsi="宋体" w:cs="宋体"/>
              </w:rPr>
            </w:pPr>
            <w:r>
              <w:rPr>
                <w:rFonts w:hint="eastAsia" w:ascii="宋体" w:hAnsi="宋体" w:cs="宋体"/>
              </w:rPr>
              <w:t>1.6</w:t>
            </w:r>
          </w:p>
        </w:tc>
        <w:tc>
          <w:tcPr>
            <w:tcW w:w="7513" w:type="dxa"/>
            <w:shd w:val="clear" w:color="auto" w:fill="auto"/>
            <w:tcMar>
              <w:top w:w="0" w:type="dxa"/>
              <w:left w:w="108" w:type="dxa"/>
              <w:bottom w:w="0" w:type="dxa"/>
              <w:right w:w="108" w:type="dxa"/>
            </w:tcMar>
            <w:vAlign w:val="center"/>
          </w:tcPr>
          <w:p w14:paraId="4AB71E96">
            <w:pPr>
              <w:jc w:val="left"/>
              <w:rPr>
                <w:rFonts w:hint="eastAsia" w:ascii="宋体" w:hAnsi="宋体" w:cs="宋体"/>
              </w:rPr>
            </w:pPr>
            <w:r>
              <w:rPr>
                <w:rFonts w:hint="eastAsia" w:ascii="宋体" w:hAnsi="宋体" w:cs="宋体"/>
              </w:rPr>
              <w:t>高压釜配置抽真空和卸荷接口。</w:t>
            </w:r>
          </w:p>
        </w:tc>
        <w:tc>
          <w:tcPr>
            <w:tcW w:w="572" w:type="dxa"/>
            <w:shd w:val="clear" w:color="auto" w:fill="auto"/>
            <w:tcMar>
              <w:top w:w="0" w:type="dxa"/>
              <w:left w:w="108" w:type="dxa"/>
              <w:bottom w:w="0" w:type="dxa"/>
              <w:right w:w="108" w:type="dxa"/>
            </w:tcMar>
            <w:vAlign w:val="center"/>
          </w:tcPr>
          <w:p w14:paraId="6E1D3070">
            <w:pPr>
              <w:ind w:left="-105" w:leftChars="-50" w:right="-105" w:rightChars="-50"/>
              <w:jc w:val="center"/>
              <w:rPr>
                <w:rFonts w:hint="eastAsia" w:ascii="宋体" w:hAnsi="宋体" w:cs="宋体"/>
                <w:b w:val="0"/>
                <w:bCs w:val="0"/>
              </w:rPr>
            </w:pPr>
          </w:p>
        </w:tc>
      </w:tr>
      <w:tr w14:paraId="202BE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84" w:type="dxa"/>
            <w:shd w:val="clear" w:color="auto" w:fill="auto"/>
            <w:tcMar>
              <w:top w:w="0" w:type="dxa"/>
              <w:left w:w="108" w:type="dxa"/>
              <w:bottom w:w="0" w:type="dxa"/>
              <w:right w:w="108" w:type="dxa"/>
            </w:tcMar>
            <w:vAlign w:val="center"/>
          </w:tcPr>
          <w:p w14:paraId="30F48132">
            <w:pPr>
              <w:jc w:val="center"/>
              <w:rPr>
                <w:rFonts w:hint="eastAsia" w:ascii="宋体" w:hAnsi="宋体" w:cs="宋体"/>
              </w:rPr>
            </w:pPr>
            <w:r>
              <w:rPr>
                <w:rFonts w:hint="eastAsia" w:ascii="宋体" w:hAnsi="宋体" w:cs="宋体"/>
              </w:rPr>
              <w:t>1.7</w:t>
            </w:r>
          </w:p>
        </w:tc>
        <w:tc>
          <w:tcPr>
            <w:tcW w:w="7513" w:type="dxa"/>
            <w:shd w:val="clear" w:color="auto" w:fill="auto"/>
            <w:tcMar>
              <w:top w:w="0" w:type="dxa"/>
              <w:left w:w="108" w:type="dxa"/>
              <w:bottom w:w="0" w:type="dxa"/>
              <w:right w:w="108" w:type="dxa"/>
            </w:tcMar>
            <w:vAlign w:val="center"/>
          </w:tcPr>
          <w:p w14:paraId="2F0D2C50">
            <w:pPr>
              <w:jc w:val="left"/>
              <w:rPr>
                <w:rFonts w:hint="eastAsia" w:ascii="宋体" w:hAnsi="宋体" w:cs="宋体"/>
              </w:rPr>
            </w:pPr>
            <w:r>
              <w:rPr>
                <w:rFonts w:hint="eastAsia" w:ascii="宋体" w:hAnsi="宋体" w:cs="宋体"/>
              </w:rPr>
              <w:t>高压釜配置适用于ATEX危险区域压力传感器0-400</w:t>
            </w:r>
            <w:r>
              <w:rPr>
                <w:rFonts w:ascii="宋体" w:hAnsi="宋体" w:cs="宋体"/>
              </w:rPr>
              <w:t xml:space="preserve"> </w:t>
            </w:r>
            <w:r>
              <w:rPr>
                <w:rFonts w:hint="eastAsia" w:ascii="宋体" w:hAnsi="宋体" w:cs="宋体"/>
              </w:rPr>
              <w:t>MPa，≤0.5%FS。</w:t>
            </w:r>
          </w:p>
        </w:tc>
        <w:tc>
          <w:tcPr>
            <w:tcW w:w="572" w:type="dxa"/>
            <w:shd w:val="clear" w:color="auto" w:fill="auto"/>
            <w:tcMar>
              <w:top w:w="0" w:type="dxa"/>
              <w:left w:w="108" w:type="dxa"/>
              <w:bottom w:w="0" w:type="dxa"/>
              <w:right w:w="108" w:type="dxa"/>
            </w:tcMar>
            <w:vAlign w:val="center"/>
          </w:tcPr>
          <w:p w14:paraId="2769C80A">
            <w:pPr>
              <w:ind w:left="-105" w:leftChars="-50" w:right="-105" w:rightChars="-50"/>
              <w:jc w:val="center"/>
              <w:rPr>
                <w:rFonts w:hint="eastAsia" w:ascii="宋体" w:hAnsi="宋体" w:cs="宋体"/>
                <w:b w:val="0"/>
                <w:bCs w:val="0"/>
              </w:rPr>
            </w:pPr>
          </w:p>
        </w:tc>
      </w:tr>
      <w:tr w14:paraId="0F4BF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 w:hRule="atLeast"/>
          <w:jc w:val="center"/>
        </w:trPr>
        <w:tc>
          <w:tcPr>
            <w:tcW w:w="784" w:type="dxa"/>
            <w:shd w:val="clear" w:color="auto" w:fill="auto"/>
            <w:tcMar>
              <w:top w:w="0" w:type="dxa"/>
              <w:left w:w="108" w:type="dxa"/>
              <w:bottom w:w="0" w:type="dxa"/>
              <w:right w:w="108" w:type="dxa"/>
            </w:tcMar>
            <w:vAlign w:val="center"/>
          </w:tcPr>
          <w:p w14:paraId="5016B519">
            <w:pPr>
              <w:jc w:val="center"/>
              <w:rPr>
                <w:rFonts w:hint="eastAsia" w:ascii="宋体" w:hAnsi="宋体" w:cs="宋体"/>
              </w:rPr>
            </w:pPr>
            <w:r>
              <w:rPr>
                <w:rFonts w:hint="eastAsia" w:ascii="宋体" w:hAnsi="宋体" w:cs="宋体"/>
              </w:rPr>
              <w:t>1.8</w:t>
            </w:r>
          </w:p>
        </w:tc>
        <w:tc>
          <w:tcPr>
            <w:tcW w:w="7513" w:type="dxa"/>
            <w:shd w:val="clear" w:color="auto" w:fill="auto"/>
            <w:tcMar>
              <w:top w:w="0" w:type="dxa"/>
              <w:left w:w="108" w:type="dxa"/>
              <w:bottom w:w="0" w:type="dxa"/>
              <w:right w:w="108" w:type="dxa"/>
            </w:tcMar>
            <w:vAlign w:val="center"/>
          </w:tcPr>
          <w:p w14:paraId="122E64B7">
            <w:pPr>
              <w:jc w:val="left"/>
              <w:rPr>
                <w:rFonts w:hint="eastAsia" w:ascii="宋体" w:hAnsi="宋体" w:cs="宋体"/>
              </w:rPr>
            </w:pPr>
            <w:r>
              <w:rPr>
                <w:rFonts w:hint="eastAsia" w:ascii="宋体" w:hAnsi="宋体" w:cs="宋体"/>
              </w:rPr>
              <w:t>高压釜具有至少2个热电偶：0-500</w:t>
            </w:r>
            <w:r>
              <w:rPr>
                <w:rFonts w:ascii="宋体" w:hAnsi="宋体" w:cs="宋体"/>
              </w:rPr>
              <w:t xml:space="preserve"> </w:t>
            </w:r>
            <w:r>
              <w:rPr>
                <w:rFonts w:hint="eastAsia" w:ascii="宋体" w:hAnsi="宋体" w:cs="宋体"/>
              </w:rPr>
              <w:t>℃（常规测量300</w:t>
            </w:r>
            <w:r>
              <w:rPr>
                <w:rFonts w:ascii="宋体" w:hAnsi="宋体" w:cs="宋体"/>
              </w:rPr>
              <w:t xml:space="preserve"> </w:t>
            </w:r>
            <w:r>
              <w:rPr>
                <w:rFonts w:hint="eastAsia" w:ascii="宋体" w:hAnsi="宋体" w:cs="宋体"/>
              </w:rPr>
              <w:t>℃）响应时间210</w:t>
            </w:r>
            <w:r>
              <w:rPr>
                <w:rFonts w:ascii="宋体" w:hAnsi="宋体" w:cs="宋体"/>
              </w:rPr>
              <w:t xml:space="preserve"> </w:t>
            </w:r>
            <w:r>
              <w:rPr>
                <w:rFonts w:hint="eastAsia" w:ascii="宋体" w:hAnsi="宋体" w:cs="宋体"/>
              </w:rPr>
              <w:t>ms。</w:t>
            </w:r>
          </w:p>
        </w:tc>
        <w:tc>
          <w:tcPr>
            <w:tcW w:w="572" w:type="dxa"/>
            <w:shd w:val="clear" w:color="auto" w:fill="auto"/>
            <w:tcMar>
              <w:top w:w="0" w:type="dxa"/>
              <w:left w:w="108" w:type="dxa"/>
              <w:bottom w:w="0" w:type="dxa"/>
              <w:right w:w="108" w:type="dxa"/>
            </w:tcMar>
            <w:vAlign w:val="center"/>
          </w:tcPr>
          <w:p w14:paraId="18DA71C9">
            <w:pPr>
              <w:ind w:left="-105" w:leftChars="-50" w:right="-105" w:rightChars="-50"/>
              <w:jc w:val="center"/>
              <w:rPr>
                <w:rFonts w:hint="eastAsia" w:ascii="宋体" w:hAnsi="宋体" w:cs="宋体"/>
                <w:b w:val="0"/>
                <w:bCs w:val="0"/>
              </w:rPr>
            </w:pPr>
          </w:p>
        </w:tc>
      </w:tr>
      <w:tr w14:paraId="1EB48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2" w:hRule="atLeast"/>
          <w:jc w:val="center"/>
        </w:trPr>
        <w:tc>
          <w:tcPr>
            <w:tcW w:w="784" w:type="dxa"/>
            <w:shd w:val="clear" w:color="auto" w:fill="auto"/>
            <w:tcMar>
              <w:top w:w="0" w:type="dxa"/>
              <w:left w:w="108" w:type="dxa"/>
              <w:bottom w:w="0" w:type="dxa"/>
              <w:right w:w="108" w:type="dxa"/>
            </w:tcMar>
            <w:vAlign w:val="center"/>
          </w:tcPr>
          <w:p w14:paraId="6FC67A68">
            <w:pPr>
              <w:jc w:val="center"/>
              <w:rPr>
                <w:rFonts w:hint="eastAsia" w:ascii="宋体" w:hAnsi="宋体" w:cs="宋体"/>
              </w:rPr>
            </w:pPr>
            <w:r>
              <w:rPr>
                <w:rFonts w:hint="eastAsia" w:ascii="宋体" w:hAnsi="宋体" w:cs="宋体"/>
              </w:rPr>
              <w:t>1.9</w:t>
            </w:r>
          </w:p>
        </w:tc>
        <w:tc>
          <w:tcPr>
            <w:tcW w:w="7513" w:type="dxa"/>
            <w:shd w:val="clear" w:color="auto" w:fill="auto"/>
            <w:tcMar>
              <w:top w:w="0" w:type="dxa"/>
              <w:left w:w="108" w:type="dxa"/>
              <w:bottom w:w="0" w:type="dxa"/>
              <w:right w:w="108" w:type="dxa"/>
            </w:tcMar>
            <w:vAlign w:val="center"/>
          </w:tcPr>
          <w:p w14:paraId="2C52D182">
            <w:pPr>
              <w:jc w:val="left"/>
              <w:rPr>
                <w:rFonts w:hint="eastAsia" w:ascii="宋体" w:hAnsi="宋体" w:cs="宋体"/>
              </w:rPr>
            </w:pPr>
            <w:r>
              <w:rPr>
                <w:rFonts w:hint="eastAsia" w:ascii="宋体" w:hAnsi="宋体" w:cs="宋体"/>
              </w:rPr>
              <w:t>高压釜配置安全泄压装置（安全阀或爆破片）。</w:t>
            </w:r>
          </w:p>
        </w:tc>
        <w:tc>
          <w:tcPr>
            <w:tcW w:w="572" w:type="dxa"/>
            <w:shd w:val="clear" w:color="auto" w:fill="auto"/>
            <w:tcMar>
              <w:top w:w="0" w:type="dxa"/>
              <w:left w:w="108" w:type="dxa"/>
              <w:bottom w:w="0" w:type="dxa"/>
              <w:right w:w="108" w:type="dxa"/>
            </w:tcMar>
            <w:vAlign w:val="center"/>
          </w:tcPr>
          <w:p w14:paraId="003C2718">
            <w:pPr>
              <w:ind w:left="-105" w:leftChars="-50" w:right="-105" w:rightChars="-50"/>
              <w:jc w:val="center"/>
              <w:rPr>
                <w:rFonts w:hint="eastAsia" w:ascii="宋体" w:hAnsi="宋体" w:cs="宋体"/>
                <w:b w:val="0"/>
                <w:bCs w:val="0"/>
              </w:rPr>
            </w:pPr>
          </w:p>
        </w:tc>
      </w:tr>
      <w:tr w14:paraId="7338E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84" w:type="dxa"/>
            <w:shd w:val="clear" w:color="auto" w:fill="auto"/>
            <w:tcMar>
              <w:top w:w="0" w:type="dxa"/>
              <w:left w:w="108" w:type="dxa"/>
              <w:bottom w:w="0" w:type="dxa"/>
              <w:right w:w="108" w:type="dxa"/>
            </w:tcMar>
            <w:vAlign w:val="center"/>
          </w:tcPr>
          <w:p w14:paraId="0E951096">
            <w:pPr>
              <w:jc w:val="center"/>
              <w:rPr>
                <w:rFonts w:hint="eastAsia" w:ascii="宋体" w:hAnsi="宋体" w:cs="宋体"/>
              </w:rPr>
            </w:pPr>
            <w:r>
              <w:rPr>
                <w:rFonts w:hint="eastAsia" w:ascii="宋体" w:hAnsi="宋体" w:cs="宋体"/>
              </w:rPr>
              <w:t>1.10</w:t>
            </w:r>
          </w:p>
        </w:tc>
        <w:tc>
          <w:tcPr>
            <w:tcW w:w="7513" w:type="dxa"/>
            <w:shd w:val="clear" w:color="auto" w:fill="auto"/>
            <w:tcMar>
              <w:top w:w="0" w:type="dxa"/>
              <w:left w:w="108" w:type="dxa"/>
              <w:bottom w:w="0" w:type="dxa"/>
              <w:right w:w="108" w:type="dxa"/>
            </w:tcMar>
            <w:vAlign w:val="center"/>
          </w:tcPr>
          <w:p w14:paraId="07AA1354">
            <w:pPr>
              <w:jc w:val="left"/>
              <w:rPr>
                <w:rFonts w:hint="eastAsia" w:ascii="宋体" w:hAnsi="宋体" w:cs="宋体"/>
              </w:rPr>
            </w:pPr>
            <w:r>
              <w:rPr>
                <w:rFonts w:hint="eastAsia" w:ascii="宋体" w:hAnsi="宋体" w:cs="宋体"/>
              </w:rPr>
              <w:t>高压釜配置进料和出料接口。</w:t>
            </w:r>
          </w:p>
        </w:tc>
        <w:tc>
          <w:tcPr>
            <w:tcW w:w="572" w:type="dxa"/>
            <w:shd w:val="clear" w:color="auto" w:fill="auto"/>
            <w:tcMar>
              <w:top w:w="0" w:type="dxa"/>
              <w:left w:w="108" w:type="dxa"/>
              <w:bottom w:w="0" w:type="dxa"/>
              <w:right w:w="108" w:type="dxa"/>
            </w:tcMar>
            <w:vAlign w:val="center"/>
          </w:tcPr>
          <w:p w14:paraId="22B41FE9">
            <w:pPr>
              <w:ind w:left="-105" w:leftChars="-50" w:right="-105" w:rightChars="-50"/>
              <w:jc w:val="center"/>
              <w:rPr>
                <w:rFonts w:hint="eastAsia" w:ascii="宋体" w:hAnsi="宋体" w:cs="宋体"/>
                <w:b w:val="0"/>
                <w:bCs w:val="0"/>
              </w:rPr>
            </w:pPr>
          </w:p>
        </w:tc>
      </w:tr>
      <w:tr w14:paraId="0FFEA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5" w:hRule="atLeast"/>
          <w:jc w:val="center"/>
        </w:trPr>
        <w:tc>
          <w:tcPr>
            <w:tcW w:w="784" w:type="dxa"/>
            <w:tcMar>
              <w:top w:w="0" w:type="dxa"/>
              <w:left w:w="108" w:type="dxa"/>
              <w:bottom w:w="0" w:type="dxa"/>
              <w:right w:w="108" w:type="dxa"/>
            </w:tcMar>
            <w:vAlign w:val="center"/>
          </w:tcPr>
          <w:p w14:paraId="6A463B3B">
            <w:pPr>
              <w:jc w:val="center"/>
              <w:rPr>
                <w:rFonts w:hint="eastAsia" w:ascii="宋体" w:hAnsi="宋体" w:cs="宋体"/>
              </w:rPr>
            </w:pPr>
            <w:r>
              <w:rPr>
                <w:rFonts w:hint="eastAsia" w:ascii="宋体" w:hAnsi="宋体" w:cs="宋体"/>
              </w:rPr>
              <w:t>2</w:t>
            </w:r>
          </w:p>
        </w:tc>
        <w:tc>
          <w:tcPr>
            <w:tcW w:w="7513" w:type="dxa"/>
            <w:tcMar>
              <w:top w:w="0" w:type="dxa"/>
              <w:left w:w="108" w:type="dxa"/>
              <w:bottom w:w="0" w:type="dxa"/>
              <w:right w:w="108" w:type="dxa"/>
            </w:tcMar>
            <w:vAlign w:val="center"/>
          </w:tcPr>
          <w:p w14:paraId="235B3268">
            <w:pPr>
              <w:jc w:val="left"/>
              <w:rPr>
                <w:rFonts w:hint="eastAsia" w:ascii="宋体" w:hAnsi="宋体" w:cs="宋体"/>
              </w:rPr>
            </w:pPr>
            <w:r>
              <w:rPr>
                <w:rFonts w:hint="eastAsia" w:ascii="宋体" w:hAnsi="宋体" w:cs="宋体"/>
              </w:rPr>
              <w:t>温度控制系统：可选高温烘箱空气浴加热、油浴加热等，采用PID控制方式，防止超温。</w:t>
            </w:r>
          </w:p>
        </w:tc>
        <w:tc>
          <w:tcPr>
            <w:tcW w:w="572" w:type="dxa"/>
            <w:tcMar>
              <w:top w:w="0" w:type="dxa"/>
              <w:left w:w="108" w:type="dxa"/>
              <w:bottom w:w="0" w:type="dxa"/>
              <w:right w:w="108" w:type="dxa"/>
            </w:tcMar>
            <w:vAlign w:val="center"/>
          </w:tcPr>
          <w:p w14:paraId="7CA98FCD">
            <w:pPr>
              <w:ind w:left="-105" w:leftChars="-50" w:right="-105" w:rightChars="-50"/>
              <w:jc w:val="center"/>
              <w:rPr>
                <w:rFonts w:hint="eastAsia" w:ascii="宋体" w:hAnsi="宋体" w:cs="宋体"/>
                <w:b w:val="0"/>
                <w:bCs w:val="0"/>
              </w:rPr>
            </w:pPr>
          </w:p>
        </w:tc>
      </w:tr>
      <w:tr w14:paraId="133A0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5" w:hRule="atLeast"/>
          <w:jc w:val="center"/>
        </w:trPr>
        <w:tc>
          <w:tcPr>
            <w:tcW w:w="784" w:type="dxa"/>
            <w:tcMar>
              <w:top w:w="0" w:type="dxa"/>
              <w:left w:w="108" w:type="dxa"/>
              <w:bottom w:w="0" w:type="dxa"/>
              <w:right w:w="108" w:type="dxa"/>
            </w:tcMar>
            <w:vAlign w:val="center"/>
          </w:tcPr>
          <w:p w14:paraId="38015E1D">
            <w:pPr>
              <w:jc w:val="center"/>
              <w:rPr>
                <w:rFonts w:hint="eastAsia" w:ascii="宋体" w:hAnsi="宋体" w:cs="宋体"/>
              </w:rPr>
            </w:pPr>
            <w:r>
              <w:rPr>
                <w:rFonts w:hint="eastAsia" w:ascii="宋体" w:hAnsi="宋体" w:cs="宋体"/>
              </w:rPr>
              <w:t>3</w:t>
            </w:r>
          </w:p>
        </w:tc>
        <w:tc>
          <w:tcPr>
            <w:tcW w:w="7513" w:type="dxa"/>
            <w:tcMar>
              <w:top w:w="0" w:type="dxa"/>
              <w:left w:w="108" w:type="dxa"/>
              <w:bottom w:w="0" w:type="dxa"/>
              <w:right w:w="108" w:type="dxa"/>
            </w:tcMar>
            <w:vAlign w:val="center"/>
          </w:tcPr>
          <w:p w14:paraId="27844904">
            <w:pPr>
              <w:jc w:val="left"/>
              <w:rPr>
                <w:rFonts w:hint="eastAsia" w:ascii="宋体" w:hAnsi="宋体" w:cs="宋体"/>
              </w:rPr>
            </w:pPr>
            <w:r>
              <w:rPr>
                <w:rFonts w:hint="eastAsia" w:ascii="宋体" w:hAnsi="宋体" w:cs="宋体"/>
              </w:rPr>
              <w:t>高压釜压力调控系统</w:t>
            </w:r>
          </w:p>
        </w:tc>
        <w:tc>
          <w:tcPr>
            <w:tcW w:w="572" w:type="dxa"/>
            <w:tcMar>
              <w:top w:w="0" w:type="dxa"/>
              <w:left w:w="108" w:type="dxa"/>
              <w:bottom w:w="0" w:type="dxa"/>
              <w:right w:w="108" w:type="dxa"/>
            </w:tcMar>
            <w:vAlign w:val="center"/>
          </w:tcPr>
          <w:p w14:paraId="18F1E710">
            <w:pPr>
              <w:ind w:left="-105" w:leftChars="-50" w:right="-105" w:rightChars="-50"/>
              <w:jc w:val="center"/>
              <w:rPr>
                <w:rFonts w:hint="eastAsia" w:ascii="宋体" w:hAnsi="宋体" w:cs="宋体"/>
                <w:b w:val="0"/>
                <w:bCs w:val="0"/>
              </w:rPr>
            </w:pPr>
            <w:r>
              <w:rPr>
                <w:rFonts w:hint="eastAsia" w:ascii="宋体" w:hAnsi="宋体" w:cs="宋体"/>
                <w:b w:val="0"/>
                <w:bCs w:val="0"/>
              </w:rPr>
              <w:t>/</w:t>
            </w:r>
          </w:p>
        </w:tc>
      </w:tr>
      <w:tr w14:paraId="69CFC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5" w:hRule="atLeast"/>
          <w:jc w:val="center"/>
        </w:trPr>
        <w:tc>
          <w:tcPr>
            <w:tcW w:w="784" w:type="dxa"/>
            <w:tcMar>
              <w:top w:w="0" w:type="dxa"/>
              <w:left w:w="108" w:type="dxa"/>
              <w:bottom w:w="0" w:type="dxa"/>
              <w:right w:w="108" w:type="dxa"/>
            </w:tcMar>
            <w:vAlign w:val="center"/>
          </w:tcPr>
          <w:p w14:paraId="33D1BBE9">
            <w:pPr>
              <w:jc w:val="center"/>
              <w:rPr>
                <w:rFonts w:hint="eastAsia" w:ascii="宋体" w:hAnsi="宋体" w:cs="宋体"/>
              </w:rPr>
            </w:pPr>
            <w:r>
              <w:rPr>
                <w:rFonts w:hint="eastAsia" w:ascii="宋体" w:hAnsi="宋体" w:cs="宋体"/>
              </w:rPr>
              <w:t>3.1</w:t>
            </w:r>
          </w:p>
        </w:tc>
        <w:tc>
          <w:tcPr>
            <w:tcW w:w="7513" w:type="dxa"/>
            <w:tcMar>
              <w:top w:w="0" w:type="dxa"/>
              <w:left w:w="108" w:type="dxa"/>
              <w:bottom w:w="0" w:type="dxa"/>
              <w:right w:w="108" w:type="dxa"/>
            </w:tcMar>
            <w:vAlign w:val="center"/>
          </w:tcPr>
          <w:p w14:paraId="10229E6F">
            <w:pPr>
              <w:jc w:val="left"/>
              <w:rPr>
                <w:rFonts w:hint="eastAsia" w:ascii="宋体" w:hAnsi="宋体" w:cs="宋体"/>
              </w:rPr>
            </w:pPr>
            <w:r>
              <w:rPr>
                <w:rFonts w:hint="eastAsia" w:ascii="宋体" w:hAnsi="宋体" w:cs="宋体"/>
              </w:rPr>
              <w:t>★高压釜压力调控系统包括压力调节器及其驱动系统，可对高压釜中的压力进行≥1</w:t>
            </w:r>
            <w:r>
              <w:rPr>
                <w:rFonts w:ascii="宋体" w:hAnsi="宋体" w:cs="宋体"/>
              </w:rPr>
              <w:t xml:space="preserve">0% </w:t>
            </w:r>
            <w:r>
              <w:rPr>
                <w:rFonts w:hint="eastAsia" w:ascii="宋体" w:hAnsi="宋体" w:cs="宋体"/>
              </w:rPr>
              <w:t>设定压力的调控。</w:t>
            </w:r>
          </w:p>
        </w:tc>
        <w:tc>
          <w:tcPr>
            <w:tcW w:w="572" w:type="dxa"/>
            <w:tcMar>
              <w:top w:w="0" w:type="dxa"/>
              <w:left w:w="108" w:type="dxa"/>
              <w:bottom w:w="0" w:type="dxa"/>
              <w:right w:w="108" w:type="dxa"/>
            </w:tcMar>
            <w:vAlign w:val="center"/>
          </w:tcPr>
          <w:p w14:paraId="1B24B210">
            <w:pPr>
              <w:ind w:left="-105" w:leftChars="-50" w:right="-105" w:rightChars="-50"/>
              <w:jc w:val="center"/>
              <w:rPr>
                <w:rFonts w:hint="eastAsia" w:ascii="宋体" w:hAnsi="宋体" w:cs="宋体"/>
                <w:b w:val="0"/>
                <w:bCs w:val="0"/>
              </w:rPr>
            </w:pPr>
          </w:p>
        </w:tc>
      </w:tr>
      <w:tr w14:paraId="66B06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5" w:hRule="atLeast"/>
          <w:jc w:val="center"/>
        </w:trPr>
        <w:tc>
          <w:tcPr>
            <w:tcW w:w="784" w:type="dxa"/>
            <w:tcMar>
              <w:top w:w="0" w:type="dxa"/>
              <w:left w:w="108" w:type="dxa"/>
              <w:bottom w:w="0" w:type="dxa"/>
              <w:right w:w="108" w:type="dxa"/>
            </w:tcMar>
            <w:vAlign w:val="center"/>
          </w:tcPr>
          <w:p w14:paraId="6383940B">
            <w:pPr>
              <w:jc w:val="center"/>
              <w:rPr>
                <w:rFonts w:hint="eastAsia" w:ascii="宋体" w:hAnsi="宋体" w:cs="宋体"/>
              </w:rPr>
            </w:pPr>
            <w:r>
              <w:rPr>
                <w:rFonts w:hint="eastAsia" w:ascii="宋体" w:hAnsi="宋体" w:cs="宋体"/>
              </w:rPr>
              <w:t>3.2</w:t>
            </w:r>
          </w:p>
        </w:tc>
        <w:tc>
          <w:tcPr>
            <w:tcW w:w="7513" w:type="dxa"/>
            <w:tcMar>
              <w:top w:w="0" w:type="dxa"/>
              <w:left w:w="108" w:type="dxa"/>
              <w:bottom w:w="0" w:type="dxa"/>
              <w:right w:w="108" w:type="dxa"/>
            </w:tcMar>
            <w:vAlign w:val="center"/>
          </w:tcPr>
          <w:p w14:paraId="49D3543E">
            <w:pPr>
              <w:jc w:val="left"/>
              <w:rPr>
                <w:rFonts w:hint="eastAsia" w:ascii="宋体" w:hAnsi="宋体" w:cs="宋体"/>
              </w:rPr>
            </w:pPr>
            <w:r>
              <w:rPr>
                <w:rFonts w:hint="eastAsia" w:ascii="宋体" w:hAnsi="宋体" w:cs="宋体"/>
              </w:rPr>
              <w:t>工作介质：乙烯、丙烯、醋酸乙烯酯等。</w:t>
            </w:r>
          </w:p>
        </w:tc>
        <w:tc>
          <w:tcPr>
            <w:tcW w:w="572" w:type="dxa"/>
            <w:tcMar>
              <w:top w:w="0" w:type="dxa"/>
              <w:left w:w="108" w:type="dxa"/>
              <w:bottom w:w="0" w:type="dxa"/>
              <w:right w:w="108" w:type="dxa"/>
            </w:tcMar>
            <w:vAlign w:val="center"/>
          </w:tcPr>
          <w:p w14:paraId="4B53BE17">
            <w:pPr>
              <w:ind w:left="-105" w:leftChars="-50" w:right="-105" w:rightChars="-50"/>
              <w:jc w:val="center"/>
              <w:rPr>
                <w:rFonts w:hint="eastAsia" w:ascii="宋体" w:hAnsi="宋体" w:cs="宋体"/>
                <w:b w:val="0"/>
                <w:bCs w:val="0"/>
              </w:rPr>
            </w:pPr>
          </w:p>
        </w:tc>
      </w:tr>
      <w:tr w14:paraId="1980E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5" w:hRule="atLeast"/>
          <w:jc w:val="center"/>
        </w:trPr>
        <w:tc>
          <w:tcPr>
            <w:tcW w:w="784" w:type="dxa"/>
            <w:tcMar>
              <w:top w:w="0" w:type="dxa"/>
              <w:left w:w="108" w:type="dxa"/>
              <w:bottom w:w="0" w:type="dxa"/>
              <w:right w:w="108" w:type="dxa"/>
            </w:tcMar>
            <w:vAlign w:val="center"/>
          </w:tcPr>
          <w:p w14:paraId="17F75B30">
            <w:pPr>
              <w:jc w:val="center"/>
              <w:rPr>
                <w:rFonts w:hint="eastAsia" w:ascii="宋体" w:hAnsi="宋体" w:cs="宋体"/>
              </w:rPr>
            </w:pPr>
            <w:r>
              <w:rPr>
                <w:rFonts w:hint="eastAsia" w:ascii="宋体" w:hAnsi="宋体" w:cs="宋体"/>
              </w:rPr>
              <w:t>4</w:t>
            </w:r>
          </w:p>
        </w:tc>
        <w:tc>
          <w:tcPr>
            <w:tcW w:w="7513" w:type="dxa"/>
            <w:tcMar>
              <w:top w:w="0" w:type="dxa"/>
              <w:left w:w="108" w:type="dxa"/>
              <w:bottom w:w="0" w:type="dxa"/>
              <w:right w:w="108" w:type="dxa"/>
            </w:tcMar>
            <w:vAlign w:val="center"/>
          </w:tcPr>
          <w:p w14:paraId="07720839">
            <w:pPr>
              <w:jc w:val="left"/>
              <w:rPr>
                <w:rFonts w:hint="eastAsia" w:ascii="宋体" w:hAnsi="宋体" w:cs="宋体"/>
              </w:rPr>
            </w:pPr>
            <w:r>
              <w:rPr>
                <w:rFonts w:hint="eastAsia" w:ascii="宋体" w:hAnsi="宋体" w:cs="宋体"/>
              </w:rPr>
              <w:t>数据采集及控制软件</w:t>
            </w:r>
          </w:p>
        </w:tc>
        <w:tc>
          <w:tcPr>
            <w:tcW w:w="572" w:type="dxa"/>
            <w:tcMar>
              <w:top w:w="0" w:type="dxa"/>
              <w:left w:w="108" w:type="dxa"/>
              <w:bottom w:w="0" w:type="dxa"/>
              <w:right w:w="108" w:type="dxa"/>
            </w:tcMar>
            <w:vAlign w:val="center"/>
          </w:tcPr>
          <w:p w14:paraId="3CB226A2">
            <w:pPr>
              <w:ind w:left="-105" w:leftChars="-50" w:right="-105" w:rightChars="-50"/>
              <w:jc w:val="center"/>
              <w:rPr>
                <w:rFonts w:hint="eastAsia" w:ascii="宋体" w:hAnsi="宋体" w:cs="宋体"/>
                <w:b w:val="0"/>
                <w:bCs w:val="0"/>
              </w:rPr>
            </w:pPr>
            <w:r>
              <w:rPr>
                <w:rFonts w:hint="eastAsia" w:ascii="宋体" w:hAnsi="宋体" w:cs="宋体"/>
                <w:b w:val="0"/>
                <w:bCs w:val="0"/>
              </w:rPr>
              <w:t>/</w:t>
            </w:r>
          </w:p>
        </w:tc>
      </w:tr>
      <w:tr w14:paraId="77AB6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5" w:hRule="atLeast"/>
          <w:jc w:val="center"/>
        </w:trPr>
        <w:tc>
          <w:tcPr>
            <w:tcW w:w="784" w:type="dxa"/>
            <w:tcMar>
              <w:top w:w="0" w:type="dxa"/>
              <w:left w:w="108" w:type="dxa"/>
              <w:bottom w:w="0" w:type="dxa"/>
              <w:right w:w="108" w:type="dxa"/>
            </w:tcMar>
            <w:vAlign w:val="center"/>
          </w:tcPr>
          <w:p w14:paraId="019CB620">
            <w:pPr>
              <w:jc w:val="center"/>
              <w:rPr>
                <w:rFonts w:hint="eastAsia" w:ascii="宋体" w:hAnsi="宋体" w:cs="宋体"/>
              </w:rPr>
            </w:pPr>
            <w:r>
              <w:rPr>
                <w:rFonts w:hint="eastAsia" w:ascii="宋体" w:hAnsi="宋体" w:cs="宋体"/>
              </w:rPr>
              <w:t>4.1</w:t>
            </w:r>
          </w:p>
        </w:tc>
        <w:tc>
          <w:tcPr>
            <w:tcW w:w="7513" w:type="dxa"/>
            <w:tcMar>
              <w:top w:w="0" w:type="dxa"/>
              <w:left w:w="108" w:type="dxa"/>
              <w:bottom w:w="0" w:type="dxa"/>
              <w:right w:w="108" w:type="dxa"/>
            </w:tcMar>
          </w:tcPr>
          <w:p w14:paraId="740393BB">
            <w:pPr>
              <w:jc w:val="left"/>
              <w:rPr>
                <w:rFonts w:hint="eastAsia" w:ascii="宋体" w:hAnsi="宋体" w:cs="宋体"/>
              </w:rPr>
            </w:pPr>
            <w:r>
              <w:rPr>
                <w:rFonts w:hint="eastAsia" w:ascii="宋体" w:hAnsi="宋体" w:cs="宋体"/>
              </w:rPr>
              <w:t>采用整体机柜的一体化数据采集控制。</w:t>
            </w:r>
          </w:p>
        </w:tc>
        <w:tc>
          <w:tcPr>
            <w:tcW w:w="572" w:type="dxa"/>
            <w:tcMar>
              <w:top w:w="0" w:type="dxa"/>
              <w:left w:w="108" w:type="dxa"/>
              <w:bottom w:w="0" w:type="dxa"/>
              <w:right w:w="108" w:type="dxa"/>
            </w:tcMar>
            <w:vAlign w:val="center"/>
          </w:tcPr>
          <w:p w14:paraId="48477049">
            <w:pPr>
              <w:ind w:left="-105" w:leftChars="-50" w:right="-105" w:rightChars="-50"/>
              <w:jc w:val="center"/>
              <w:rPr>
                <w:rFonts w:hint="eastAsia" w:ascii="宋体" w:hAnsi="宋体" w:cs="宋体"/>
                <w:b w:val="0"/>
                <w:bCs w:val="0"/>
              </w:rPr>
            </w:pPr>
          </w:p>
        </w:tc>
      </w:tr>
      <w:tr w14:paraId="0D21E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784" w:type="dxa"/>
            <w:tcMar>
              <w:top w:w="0" w:type="dxa"/>
              <w:left w:w="108" w:type="dxa"/>
              <w:bottom w:w="0" w:type="dxa"/>
              <w:right w:w="108" w:type="dxa"/>
            </w:tcMar>
            <w:vAlign w:val="center"/>
          </w:tcPr>
          <w:p w14:paraId="06E3FFB8">
            <w:pPr>
              <w:spacing w:line="300" w:lineRule="exact"/>
              <w:jc w:val="center"/>
              <w:rPr>
                <w:rFonts w:hint="eastAsia" w:ascii="宋体" w:hAnsi="宋体" w:cs="宋体"/>
              </w:rPr>
            </w:pPr>
            <w:r>
              <w:rPr>
                <w:rFonts w:hint="eastAsia" w:ascii="宋体" w:hAnsi="宋体" w:cs="宋体"/>
              </w:rPr>
              <w:t>4.2</w:t>
            </w:r>
          </w:p>
        </w:tc>
        <w:tc>
          <w:tcPr>
            <w:tcW w:w="7513" w:type="dxa"/>
            <w:tcMar>
              <w:top w:w="0" w:type="dxa"/>
              <w:left w:w="108" w:type="dxa"/>
              <w:bottom w:w="0" w:type="dxa"/>
              <w:right w:w="108" w:type="dxa"/>
            </w:tcMar>
          </w:tcPr>
          <w:p w14:paraId="73D5FB00">
            <w:pPr>
              <w:spacing w:line="300" w:lineRule="exact"/>
              <w:rPr>
                <w:rFonts w:hint="eastAsia" w:ascii="宋体" w:hAnsi="宋体" w:cs="宋体"/>
              </w:rPr>
            </w:pPr>
            <w:r>
              <w:rPr>
                <w:rFonts w:hint="eastAsia" w:ascii="宋体" w:hAnsi="宋体" w:cs="宋体"/>
              </w:rPr>
              <w:t>具有高压釜和温度控制系统的状态界面，显示高压釜温度、压力、搅拌转速、搅拌电流等，显示温度控制系统的实时温度等。</w:t>
            </w:r>
          </w:p>
        </w:tc>
        <w:tc>
          <w:tcPr>
            <w:tcW w:w="572" w:type="dxa"/>
            <w:tcMar>
              <w:top w:w="0" w:type="dxa"/>
              <w:left w:w="108" w:type="dxa"/>
              <w:bottom w:w="0" w:type="dxa"/>
              <w:right w:w="108" w:type="dxa"/>
            </w:tcMar>
          </w:tcPr>
          <w:p w14:paraId="730B21F0">
            <w:pPr>
              <w:spacing w:line="300" w:lineRule="exact"/>
              <w:jc w:val="center"/>
              <w:rPr>
                <w:rFonts w:hint="eastAsia" w:ascii="宋体" w:hAnsi="宋体" w:cs="宋体"/>
                <w:b w:val="0"/>
                <w:bCs w:val="0"/>
              </w:rPr>
            </w:pPr>
          </w:p>
        </w:tc>
      </w:tr>
      <w:tr w14:paraId="60929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784" w:type="dxa"/>
            <w:tcMar>
              <w:top w:w="0" w:type="dxa"/>
              <w:left w:w="108" w:type="dxa"/>
              <w:bottom w:w="0" w:type="dxa"/>
              <w:right w:w="108" w:type="dxa"/>
            </w:tcMar>
            <w:vAlign w:val="center"/>
          </w:tcPr>
          <w:p w14:paraId="689889DE">
            <w:pPr>
              <w:spacing w:line="300" w:lineRule="exact"/>
              <w:jc w:val="center"/>
              <w:rPr>
                <w:rFonts w:hint="eastAsia" w:ascii="宋体" w:hAnsi="宋体" w:cs="宋体"/>
              </w:rPr>
            </w:pPr>
            <w:r>
              <w:rPr>
                <w:rFonts w:hint="eastAsia" w:ascii="宋体" w:hAnsi="宋体" w:cs="宋体"/>
              </w:rPr>
              <w:t>4.3</w:t>
            </w:r>
          </w:p>
        </w:tc>
        <w:tc>
          <w:tcPr>
            <w:tcW w:w="7513" w:type="dxa"/>
            <w:tcMar>
              <w:top w:w="0" w:type="dxa"/>
              <w:left w:w="108" w:type="dxa"/>
              <w:bottom w:w="0" w:type="dxa"/>
              <w:right w:w="108" w:type="dxa"/>
            </w:tcMar>
          </w:tcPr>
          <w:p w14:paraId="3EEE0761">
            <w:pPr>
              <w:spacing w:line="300" w:lineRule="exact"/>
              <w:rPr>
                <w:rFonts w:hint="eastAsia" w:ascii="宋体" w:hAnsi="宋体" w:cs="宋体"/>
              </w:rPr>
            </w:pPr>
            <w:r>
              <w:rPr>
                <w:rFonts w:hint="eastAsia" w:ascii="宋体" w:hAnsi="宋体" w:cs="宋体"/>
              </w:rPr>
              <w:t>可通过机柜远程控制高压釜温度、压力、搅拌电流等。</w:t>
            </w:r>
          </w:p>
        </w:tc>
        <w:tc>
          <w:tcPr>
            <w:tcW w:w="572" w:type="dxa"/>
            <w:tcMar>
              <w:top w:w="0" w:type="dxa"/>
              <w:left w:w="108" w:type="dxa"/>
              <w:bottom w:w="0" w:type="dxa"/>
              <w:right w:w="108" w:type="dxa"/>
            </w:tcMar>
          </w:tcPr>
          <w:p w14:paraId="4C9DE622">
            <w:pPr>
              <w:spacing w:line="300" w:lineRule="exact"/>
              <w:jc w:val="center"/>
              <w:rPr>
                <w:rFonts w:hint="eastAsia" w:ascii="宋体" w:hAnsi="宋体" w:cs="宋体"/>
                <w:b w:val="0"/>
                <w:bCs w:val="0"/>
              </w:rPr>
            </w:pPr>
          </w:p>
        </w:tc>
      </w:tr>
      <w:tr w14:paraId="31AE1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784" w:type="dxa"/>
            <w:tcMar>
              <w:top w:w="0" w:type="dxa"/>
              <w:left w:w="108" w:type="dxa"/>
              <w:bottom w:w="0" w:type="dxa"/>
              <w:right w:w="108" w:type="dxa"/>
            </w:tcMar>
            <w:vAlign w:val="center"/>
          </w:tcPr>
          <w:p w14:paraId="725D662A">
            <w:pPr>
              <w:spacing w:line="300" w:lineRule="exact"/>
              <w:jc w:val="center"/>
              <w:rPr>
                <w:rFonts w:hint="eastAsia" w:ascii="宋体" w:hAnsi="宋体" w:cs="宋体"/>
              </w:rPr>
            </w:pPr>
            <w:r>
              <w:rPr>
                <w:rFonts w:hint="eastAsia" w:ascii="宋体" w:hAnsi="宋体" w:cs="宋体"/>
              </w:rPr>
              <w:t>4.4</w:t>
            </w:r>
          </w:p>
        </w:tc>
        <w:tc>
          <w:tcPr>
            <w:tcW w:w="7513" w:type="dxa"/>
            <w:tcMar>
              <w:top w:w="0" w:type="dxa"/>
              <w:left w:w="108" w:type="dxa"/>
              <w:bottom w:w="0" w:type="dxa"/>
              <w:right w:w="108" w:type="dxa"/>
            </w:tcMar>
          </w:tcPr>
          <w:p w14:paraId="04254C80">
            <w:pPr>
              <w:spacing w:line="300" w:lineRule="exact"/>
              <w:rPr>
                <w:rFonts w:hint="eastAsia" w:ascii="宋体" w:hAnsi="宋体" w:cs="宋体"/>
              </w:rPr>
            </w:pPr>
            <w:r>
              <w:rPr>
                <w:rFonts w:hint="eastAsia" w:ascii="宋体" w:hAnsi="宋体" w:cs="宋体"/>
              </w:rPr>
              <w:t>各传感器历史数据曲线显示功能，传感器采集的温度、压力、搅拌电流等数据存储在电脑上，并可实时查看历史数据。</w:t>
            </w:r>
          </w:p>
        </w:tc>
        <w:tc>
          <w:tcPr>
            <w:tcW w:w="572" w:type="dxa"/>
            <w:tcMar>
              <w:top w:w="0" w:type="dxa"/>
              <w:left w:w="108" w:type="dxa"/>
              <w:bottom w:w="0" w:type="dxa"/>
              <w:right w:w="108" w:type="dxa"/>
            </w:tcMar>
          </w:tcPr>
          <w:p w14:paraId="25F48C10">
            <w:pPr>
              <w:spacing w:line="300" w:lineRule="exact"/>
              <w:jc w:val="center"/>
              <w:rPr>
                <w:rFonts w:hint="eastAsia" w:ascii="宋体" w:hAnsi="宋体" w:cs="宋体"/>
                <w:b w:val="0"/>
                <w:bCs w:val="0"/>
              </w:rPr>
            </w:pPr>
          </w:p>
        </w:tc>
      </w:tr>
      <w:tr w14:paraId="523D4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 w:hRule="atLeast"/>
          <w:jc w:val="center"/>
        </w:trPr>
        <w:tc>
          <w:tcPr>
            <w:tcW w:w="784" w:type="dxa"/>
            <w:tcMar>
              <w:top w:w="0" w:type="dxa"/>
              <w:left w:w="108" w:type="dxa"/>
              <w:bottom w:w="0" w:type="dxa"/>
              <w:right w:w="108" w:type="dxa"/>
            </w:tcMar>
            <w:vAlign w:val="center"/>
          </w:tcPr>
          <w:p w14:paraId="7F08CB9B">
            <w:pPr>
              <w:spacing w:line="300" w:lineRule="exact"/>
              <w:jc w:val="center"/>
              <w:rPr>
                <w:rFonts w:hint="eastAsia" w:ascii="宋体" w:hAnsi="宋体" w:cs="宋体"/>
              </w:rPr>
            </w:pPr>
            <w:r>
              <w:rPr>
                <w:rFonts w:hint="eastAsia" w:ascii="宋体" w:hAnsi="宋体" w:cs="宋体"/>
              </w:rPr>
              <w:t>4.5</w:t>
            </w:r>
          </w:p>
        </w:tc>
        <w:tc>
          <w:tcPr>
            <w:tcW w:w="7513" w:type="dxa"/>
            <w:tcMar>
              <w:top w:w="0" w:type="dxa"/>
              <w:left w:w="108" w:type="dxa"/>
              <w:bottom w:w="0" w:type="dxa"/>
              <w:right w:w="108" w:type="dxa"/>
            </w:tcMar>
          </w:tcPr>
          <w:p w14:paraId="0F77E79B">
            <w:pPr>
              <w:spacing w:line="300" w:lineRule="exact"/>
              <w:rPr>
                <w:rFonts w:hint="eastAsia" w:ascii="宋体" w:hAnsi="宋体" w:cs="宋体"/>
              </w:rPr>
            </w:pPr>
            <w:r>
              <w:rPr>
                <w:rFonts w:hint="eastAsia" w:ascii="宋体" w:hAnsi="宋体" w:cs="宋体"/>
              </w:rPr>
              <w:t>具有声光报警、紧急停止功能。</w:t>
            </w:r>
          </w:p>
        </w:tc>
        <w:tc>
          <w:tcPr>
            <w:tcW w:w="572" w:type="dxa"/>
            <w:tcMar>
              <w:top w:w="0" w:type="dxa"/>
              <w:left w:w="108" w:type="dxa"/>
              <w:bottom w:w="0" w:type="dxa"/>
              <w:right w:w="108" w:type="dxa"/>
            </w:tcMar>
          </w:tcPr>
          <w:p w14:paraId="05FCE72D">
            <w:pPr>
              <w:spacing w:line="300" w:lineRule="exact"/>
              <w:jc w:val="center"/>
              <w:rPr>
                <w:rFonts w:hint="eastAsia" w:ascii="宋体" w:hAnsi="宋体" w:cs="宋体"/>
                <w:b w:val="0"/>
                <w:bCs w:val="0"/>
              </w:rPr>
            </w:pPr>
          </w:p>
        </w:tc>
      </w:tr>
      <w:tr w14:paraId="45F47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784" w:type="dxa"/>
            <w:tcMar>
              <w:top w:w="0" w:type="dxa"/>
              <w:left w:w="108" w:type="dxa"/>
              <w:bottom w:w="0" w:type="dxa"/>
              <w:right w:w="108" w:type="dxa"/>
            </w:tcMar>
            <w:vAlign w:val="center"/>
          </w:tcPr>
          <w:p w14:paraId="152D92B3">
            <w:pPr>
              <w:spacing w:line="300" w:lineRule="exact"/>
              <w:jc w:val="center"/>
              <w:rPr>
                <w:rFonts w:hint="eastAsia" w:ascii="宋体" w:hAnsi="宋体" w:cs="宋体"/>
              </w:rPr>
            </w:pPr>
            <w:r>
              <w:rPr>
                <w:rFonts w:hint="eastAsia" w:ascii="宋体" w:hAnsi="宋体" w:cs="宋体"/>
              </w:rPr>
              <w:t>4.6</w:t>
            </w:r>
          </w:p>
        </w:tc>
        <w:tc>
          <w:tcPr>
            <w:tcW w:w="7513" w:type="dxa"/>
            <w:tcMar>
              <w:top w:w="0" w:type="dxa"/>
              <w:left w:w="108" w:type="dxa"/>
              <w:bottom w:w="0" w:type="dxa"/>
              <w:right w:w="108" w:type="dxa"/>
            </w:tcMar>
          </w:tcPr>
          <w:p w14:paraId="1061A676">
            <w:pPr>
              <w:spacing w:line="300" w:lineRule="exact"/>
              <w:rPr>
                <w:rFonts w:hint="eastAsia" w:ascii="宋体" w:hAnsi="宋体" w:cs="宋体"/>
              </w:rPr>
            </w:pPr>
            <w:r>
              <w:rPr>
                <w:rFonts w:hint="eastAsia" w:ascii="宋体" w:hAnsi="宋体" w:cs="宋体"/>
              </w:rPr>
              <w:t>具有超温、超压安全联锁功能。</w:t>
            </w:r>
          </w:p>
        </w:tc>
        <w:tc>
          <w:tcPr>
            <w:tcW w:w="572" w:type="dxa"/>
            <w:tcMar>
              <w:top w:w="0" w:type="dxa"/>
              <w:left w:w="108" w:type="dxa"/>
              <w:bottom w:w="0" w:type="dxa"/>
              <w:right w:w="108" w:type="dxa"/>
            </w:tcMar>
          </w:tcPr>
          <w:p w14:paraId="0D3BB0A5">
            <w:pPr>
              <w:spacing w:line="300" w:lineRule="exact"/>
              <w:jc w:val="center"/>
              <w:rPr>
                <w:rFonts w:hint="eastAsia" w:ascii="宋体" w:hAnsi="宋体" w:cs="宋体"/>
                <w:b w:val="0"/>
                <w:bCs w:val="0"/>
              </w:rPr>
            </w:pPr>
          </w:p>
        </w:tc>
      </w:tr>
    </w:tbl>
    <w:p w14:paraId="4DA4A188">
      <w:pPr>
        <w:spacing w:line="300" w:lineRule="exact"/>
        <w:ind w:firstLine="211" w:firstLineChars="100"/>
        <w:rPr>
          <w:rFonts w:hint="eastAsia" w:cs="仿宋" w:asciiTheme="majorEastAsia" w:hAnsiTheme="majorEastAsia" w:eastAsiaTheme="majorEastAsia"/>
          <w:b/>
          <w:bCs/>
          <w:iCs/>
          <w:szCs w:val="21"/>
        </w:rPr>
      </w:pPr>
      <w:r>
        <w:rPr>
          <w:rFonts w:hint="eastAsia" w:ascii="宋体" w:hAnsi="宋体" w:cs="宋体"/>
          <w:b/>
          <w:bCs/>
        </w:rPr>
        <w:t>备注：上表中打“★”条款为重要技术条款，任何负偏离或未响应的技术评议项将着重扣分。</w:t>
      </w:r>
    </w:p>
    <w:p w14:paraId="3FD5AE21">
      <w:pPr>
        <w:spacing w:line="360" w:lineRule="auto"/>
        <w:rPr>
          <w:rFonts w:hint="eastAsia" w:ascii="宋体" w:hAnsi="宋体"/>
          <w:b/>
          <w:kern w:val="1"/>
          <w:szCs w:val="21"/>
        </w:rPr>
      </w:pPr>
    </w:p>
    <w:p w14:paraId="03860C06">
      <w:pPr>
        <w:spacing w:line="360" w:lineRule="auto"/>
        <w:rPr>
          <w:rFonts w:hint="eastAsia" w:ascii="宋体" w:hAnsi="宋体"/>
          <w:b/>
          <w:kern w:val="1"/>
          <w:szCs w:val="21"/>
        </w:rPr>
      </w:pPr>
      <w:r>
        <w:rPr>
          <w:rFonts w:hint="eastAsia" w:ascii="宋体" w:hAnsi="宋体"/>
          <w:b/>
          <w:kern w:val="1"/>
          <w:szCs w:val="21"/>
        </w:rPr>
        <w:t>四、服务要求</w:t>
      </w:r>
    </w:p>
    <w:tbl>
      <w:tblPr>
        <w:tblStyle w:val="44"/>
        <w:tblW w:w="88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73"/>
        <w:gridCol w:w="7583"/>
        <w:gridCol w:w="539"/>
      </w:tblGrid>
      <w:tr w14:paraId="756A8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73" w:type="dxa"/>
            <w:tcMar>
              <w:top w:w="0" w:type="dxa"/>
              <w:left w:w="108" w:type="dxa"/>
              <w:bottom w:w="0" w:type="dxa"/>
              <w:right w:w="108" w:type="dxa"/>
            </w:tcMar>
            <w:vAlign w:val="center"/>
          </w:tcPr>
          <w:p w14:paraId="4887E219">
            <w:pPr>
              <w:jc w:val="center"/>
              <w:rPr>
                <w:rFonts w:hint="eastAsia" w:ascii="宋体" w:hAnsi="宋体" w:cs="宋体"/>
                <w:b/>
                <w:bCs/>
              </w:rPr>
            </w:pPr>
            <w:r>
              <w:rPr>
                <w:rFonts w:hint="eastAsia" w:ascii="宋体" w:hAnsi="宋体" w:cs="宋体"/>
                <w:b/>
                <w:bCs/>
              </w:rPr>
              <w:t>序号</w:t>
            </w:r>
          </w:p>
        </w:tc>
        <w:tc>
          <w:tcPr>
            <w:tcW w:w="7583" w:type="dxa"/>
            <w:tcMar>
              <w:top w:w="0" w:type="dxa"/>
              <w:left w:w="108" w:type="dxa"/>
              <w:bottom w:w="0" w:type="dxa"/>
              <w:right w:w="108" w:type="dxa"/>
            </w:tcMar>
            <w:vAlign w:val="center"/>
          </w:tcPr>
          <w:p w14:paraId="1FF9C176">
            <w:pPr>
              <w:jc w:val="center"/>
              <w:rPr>
                <w:rFonts w:hint="eastAsia" w:ascii="宋体" w:hAnsi="宋体" w:cs="宋体"/>
                <w:b/>
                <w:bCs/>
              </w:rPr>
            </w:pPr>
            <w:r>
              <w:rPr>
                <w:rFonts w:hint="eastAsia" w:ascii="宋体" w:hAnsi="宋体" w:cs="宋体"/>
                <w:b/>
                <w:bCs/>
              </w:rPr>
              <w:t>服务要求</w:t>
            </w:r>
          </w:p>
        </w:tc>
        <w:tc>
          <w:tcPr>
            <w:tcW w:w="539" w:type="dxa"/>
            <w:vAlign w:val="center"/>
          </w:tcPr>
          <w:p w14:paraId="4B7F8051">
            <w:pPr>
              <w:jc w:val="center"/>
              <w:rPr>
                <w:rFonts w:hint="eastAsia" w:ascii="宋体" w:hAnsi="宋体" w:cs="宋体"/>
                <w:b/>
                <w:bCs/>
              </w:rPr>
            </w:pPr>
            <w:r>
              <w:rPr>
                <w:rFonts w:hint="eastAsia" w:ascii="宋体" w:hAnsi="宋体" w:cs="宋体"/>
                <w:b/>
                <w:bCs/>
              </w:rPr>
              <w:t>投标响应</w:t>
            </w:r>
          </w:p>
        </w:tc>
      </w:tr>
      <w:tr w14:paraId="5377B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122EE18D">
            <w:pPr>
              <w:spacing w:line="300" w:lineRule="exact"/>
              <w:jc w:val="center"/>
              <w:rPr>
                <w:rFonts w:hint="eastAsia" w:ascii="宋体" w:hAnsi="宋体" w:cs="宋体"/>
              </w:rPr>
            </w:pPr>
            <w:r>
              <w:rPr>
                <w:rFonts w:hint="eastAsia" w:ascii="宋体" w:hAnsi="宋体" w:cs="宋体"/>
              </w:rPr>
              <w:t>1</w:t>
            </w:r>
          </w:p>
        </w:tc>
        <w:tc>
          <w:tcPr>
            <w:tcW w:w="7583" w:type="dxa"/>
            <w:tcMar>
              <w:top w:w="0" w:type="dxa"/>
              <w:left w:w="108" w:type="dxa"/>
              <w:bottom w:w="0" w:type="dxa"/>
              <w:right w:w="108" w:type="dxa"/>
            </w:tcMar>
            <w:vAlign w:val="center"/>
          </w:tcPr>
          <w:p w14:paraId="2B8F8B1B">
            <w:pPr>
              <w:spacing w:line="300" w:lineRule="exact"/>
              <w:rPr>
                <w:rFonts w:hint="eastAsia" w:ascii="宋体" w:hAnsi="宋体" w:cs="宋体"/>
              </w:rPr>
            </w:pPr>
            <w:r>
              <w:rPr>
                <w:rFonts w:hint="eastAsia" w:ascii="宋体" w:hAnsi="宋体" w:cs="宋体"/>
              </w:rPr>
              <w:t>安装完成时间：接到采购人通知后指定时间内到达安装现场并完成安装和调试，如在规定的时间内由于中标人的原因不能完成安装和调试，中标人应承担由此给采购人造成的损失；</w:t>
            </w:r>
          </w:p>
        </w:tc>
        <w:tc>
          <w:tcPr>
            <w:tcW w:w="539" w:type="dxa"/>
            <w:vAlign w:val="center"/>
          </w:tcPr>
          <w:p w14:paraId="3CD85D15">
            <w:pPr>
              <w:jc w:val="center"/>
              <w:rPr>
                <w:rFonts w:hint="eastAsia" w:ascii="宋体" w:hAnsi="宋体" w:cs="宋体"/>
                <w:b/>
                <w:bCs/>
              </w:rPr>
            </w:pPr>
          </w:p>
        </w:tc>
      </w:tr>
      <w:tr w14:paraId="1A16A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321C5A41">
            <w:pPr>
              <w:spacing w:line="300" w:lineRule="exact"/>
              <w:jc w:val="center"/>
              <w:rPr>
                <w:rFonts w:hint="eastAsia" w:ascii="宋体" w:hAnsi="宋体" w:cs="宋体"/>
              </w:rPr>
            </w:pPr>
            <w:r>
              <w:rPr>
                <w:rFonts w:hint="eastAsia" w:ascii="宋体" w:hAnsi="宋体" w:cs="宋体"/>
              </w:rPr>
              <w:t>2</w:t>
            </w:r>
          </w:p>
        </w:tc>
        <w:tc>
          <w:tcPr>
            <w:tcW w:w="7583" w:type="dxa"/>
            <w:tcMar>
              <w:top w:w="0" w:type="dxa"/>
              <w:left w:w="108" w:type="dxa"/>
              <w:bottom w:w="0" w:type="dxa"/>
              <w:right w:w="108" w:type="dxa"/>
            </w:tcMar>
            <w:vAlign w:val="center"/>
          </w:tcPr>
          <w:p w14:paraId="04BF3E5E">
            <w:pPr>
              <w:spacing w:line="300" w:lineRule="exact"/>
              <w:rPr>
                <w:rFonts w:hint="eastAsia" w:ascii="宋体" w:hAnsi="宋体" w:cs="宋体"/>
              </w:rPr>
            </w:pPr>
            <w:r>
              <w:rPr>
                <w:rFonts w:asciiTheme="majorEastAsia" w:hAnsiTheme="majorEastAsia" w:eastAsiaTheme="majorEastAsia"/>
              </w:rPr>
              <w:t>包装要求：</w:t>
            </w:r>
            <w:r>
              <w:rPr>
                <w:rFonts w:hint="eastAsia" w:asciiTheme="majorEastAsia" w:hAnsiTheme="majorEastAsia" w:eastAsiaTheme="majorEastAsia"/>
              </w:rPr>
              <w:t>中标人</w:t>
            </w:r>
            <w:r>
              <w:rPr>
                <w:rFonts w:asciiTheme="majorEastAsia" w:hAnsiTheme="majorEastAsia" w:eastAsiaTheme="majorEastAsia"/>
              </w:rPr>
              <w:t>应提供货物运至合同规定的最终目的地所需要的包装，以防止货物在转运过程中损坏或变质。此类包装应采取防潮、防晒、防锈、腐蚀、防震动及防止其它损坏的必要措施，从而保护货物能够经受多次搬运、装卸及远洋和内陆的长途运输。</w:t>
            </w:r>
            <w:r>
              <w:rPr>
                <w:rFonts w:hint="eastAsia" w:asciiTheme="majorEastAsia" w:hAnsiTheme="majorEastAsia" w:eastAsiaTheme="majorEastAsia"/>
              </w:rPr>
              <w:t>中标人</w:t>
            </w:r>
            <w:r>
              <w:rPr>
                <w:rFonts w:asciiTheme="majorEastAsia" w:hAnsiTheme="majorEastAsia" w:eastAsiaTheme="majorEastAsia"/>
              </w:rPr>
              <w:t>应承担由于其包装或防护措施不妥而引起的货物锈蚀、损坏和丢失的任何损失的责任或费用。</w:t>
            </w:r>
          </w:p>
        </w:tc>
        <w:tc>
          <w:tcPr>
            <w:tcW w:w="539" w:type="dxa"/>
            <w:vAlign w:val="center"/>
          </w:tcPr>
          <w:p w14:paraId="37C84BF4">
            <w:pPr>
              <w:jc w:val="center"/>
              <w:rPr>
                <w:rFonts w:hint="eastAsia" w:ascii="宋体" w:hAnsi="宋体" w:cs="宋体"/>
                <w:b/>
                <w:bCs/>
              </w:rPr>
            </w:pPr>
          </w:p>
        </w:tc>
      </w:tr>
      <w:tr w14:paraId="7F773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71C9ECDB">
            <w:pPr>
              <w:spacing w:line="300" w:lineRule="exact"/>
              <w:jc w:val="center"/>
              <w:rPr>
                <w:rFonts w:hint="eastAsia" w:ascii="宋体" w:hAnsi="宋体" w:cs="宋体"/>
              </w:rPr>
            </w:pPr>
            <w:r>
              <w:rPr>
                <w:rFonts w:hint="eastAsia" w:ascii="宋体" w:hAnsi="宋体" w:cs="宋体"/>
              </w:rPr>
              <w:t>3</w:t>
            </w:r>
          </w:p>
        </w:tc>
        <w:tc>
          <w:tcPr>
            <w:tcW w:w="7583" w:type="dxa"/>
            <w:tcMar>
              <w:top w:w="0" w:type="dxa"/>
              <w:left w:w="108" w:type="dxa"/>
              <w:bottom w:w="0" w:type="dxa"/>
              <w:right w:w="108" w:type="dxa"/>
            </w:tcMar>
            <w:vAlign w:val="center"/>
          </w:tcPr>
          <w:p w14:paraId="6A906FCA">
            <w:pPr>
              <w:spacing w:line="300" w:lineRule="exact"/>
              <w:rPr>
                <w:rFonts w:hint="eastAsia" w:ascii="宋体" w:hAnsi="宋体" w:cs="宋体"/>
                <w:b/>
                <w:bCs/>
              </w:rPr>
            </w:pPr>
            <w:r>
              <w:rPr>
                <w:rFonts w:hint="eastAsia" w:ascii="宋体" w:hAnsi="宋体" w:cs="宋体"/>
              </w:rPr>
              <w:t>实施人员要求：中标人针对本项目组建服务团队，委派1名项目负责人，全面负责项目组织实施工作；委派1名及以上人员，负责产品设备的运输、安装调试；委派1名及以上人员，负责技术培训、日常维护服务；</w:t>
            </w:r>
          </w:p>
        </w:tc>
        <w:tc>
          <w:tcPr>
            <w:tcW w:w="539" w:type="dxa"/>
            <w:vAlign w:val="center"/>
          </w:tcPr>
          <w:p w14:paraId="421D7751">
            <w:pPr>
              <w:jc w:val="center"/>
              <w:rPr>
                <w:rFonts w:hint="eastAsia" w:ascii="宋体" w:hAnsi="宋体" w:cs="宋体"/>
                <w:b/>
                <w:bCs/>
              </w:rPr>
            </w:pPr>
          </w:p>
        </w:tc>
      </w:tr>
      <w:tr w14:paraId="77AEB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1C827132">
            <w:pPr>
              <w:spacing w:line="300" w:lineRule="exact"/>
              <w:jc w:val="center"/>
              <w:rPr>
                <w:rFonts w:hint="eastAsia" w:ascii="宋体" w:hAnsi="宋体" w:cs="宋体"/>
              </w:rPr>
            </w:pPr>
            <w:r>
              <w:rPr>
                <w:rFonts w:hint="eastAsia" w:ascii="宋体" w:hAnsi="宋体" w:cs="宋体"/>
              </w:rPr>
              <w:t>4</w:t>
            </w:r>
          </w:p>
        </w:tc>
        <w:tc>
          <w:tcPr>
            <w:tcW w:w="7583" w:type="dxa"/>
            <w:tcMar>
              <w:top w:w="0" w:type="dxa"/>
              <w:left w:w="108" w:type="dxa"/>
              <w:bottom w:w="0" w:type="dxa"/>
              <w:right w:w="108" w:type="dxa"/>
            </w:tcMar>
            <w:vAlign w:val="center"/>
          </w:tcPr>
          <w:p w14:paraId="533D4C93">
            <w:pPr>
              <w:spacing w:line="300" w:lineRule="exact"/>
              <w:rPr>
                <w:rFonts w:hint="eastAsia" w:ascii="宋体" w:hAnsi="宋体" w:cs="宋体"/>
              </w:rPr>
            </w:pPr>
            <w:r>
              <w:rPr>
                <w:rFonts w:hint="eastAsia" w:ascii="宋体" w:hAnsi="宋体" w:cs="宋体"/>
              </w:rPr>
              <w:t>售后服务要求</w:t>
            </w:r>
          </w:p>
        </w:tc>
        <w:tc>
          <w:tcPr>
            <w:tcW w:w="539" w:type="dxa"/>
            <w:vAlign w:val="center"/>
          </w:tcPr>
          <w:p w14:paraId="71AF9331">
            <w:pPr>
              <w:jc w:val="center"/>
              <w:rPr>
                <w:rFonts w:hint="eastAsia" w:ascii="宋体" w:hAnsi="宋体" w:cs="宋体"/>
                <w:b/>
                <w:bCs/>
              </w:rPr>
            </w:pPr>
            <w:r>
              <w:rPr>
                <w:rFonts w:hint="eastAsia" w:ascii="宋体" w:hAnsi="宋体" w:cs="宋体"/>
              </w:rPr>
              <w:t>/</w:t>
            </w:r>
          </w:p>
        </w:tc>
      </w:tr>
      <w:tr w14:paraId="298DB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05EDDA99">
            <w:pPr>
              <w:spacing w:line="300" w:lineRule="exact"/>
              <w:jc w:val="center"/>
              <w:rPr>
                <w:rFonts w:hint="eastAsia" w:ascii="宋体" w:hAnsi="宋体" w:cs="宋体"/>
              </w:rPr>
            </w:pPr>
            <w:r>
              <w:rPr>
                <w:rFonts w:hint="eastAsia" w:ascii="宋体" w:hAnsi="宋体" w:cs="宋体"/>
              </w:rPr>
              <w:t>4.1</w:t>
            </w:r>
          </w:p>
        </w:tc>
        <w:tc>
          <w:tcPr>
            <w:tcW w:w="7583" w:type="dxa"/>
            <w:tcMar>
              <w:top w:w="0" w:type="dxa"/>
              <w:left w:w="108" w:type="dxa"/>
              <w:bottom w:w="0" w:type="dxa"/>
              <w:right w:w="108" w:type="dxa"/>
            </w:tcMar>
            <w:vAlign w:val="center"/>
          </w:tcPr>
          <w:p w14:paraId="10E7C92C">
            <w:pPr>
              <w:spacing w:line="300" w:lineRule="exact"/>
              <w:rPr>
                <w:rFonts w:hint="eastAsia" w:ascii="宋体" w:hAnsi="宋体" w:cs="宋体"/>
              </w:rPr>
            </w:pPr>
            <w:r>
              <w:rPr>
                <w:rFonts w:hint="eastAsia" w:ascii="宋体" w:hAnsi="宋体" w:cs="宋体"/>
              </w:rPr>
              <w:t>响应时间要求：接到采购人</w:t>
            </w:r>
            <w:r>
              <w:rPr>
                <w:rFonts w:ascii="宋体" w:hAnsi="宋体" w:cs="宋体"/>
              </w:rPr>
              <w:t>报告故障后12个小时内技术响应，确认需要维修时工程师48小时内到现场。</w:t>
            </w:r>
          </w:p>
        </w:tc>
        <w:tc>
          <w:tcPr>
            <w:tcW w:w="539" w:type="dxa"/>
            <w:vAlign w:val="center"/>
          </w:tcPr>
          <w:p w14:paraId="271D4932">
            <w:pPr>
              <w:jc w:val="center"/>
              <w:rPr>
                <w:rFonts w:hint="eastAsia" w:ascii="宋体" w:hAnsi="宋体" w:cs="宋体"/>
                <w:b/>
                <w:bCs/>
              </w:rPr>
            </w:pPr>
          </w:p>
        </w:tc>
      </w:tr>
      <w:tr w14:paraId="520AC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3D9BB821">
            <w:pPr>
              <w:spacing w:line="300" w:lineRule="exact"/>
              <w:jc w:val="center"/>
              <w:rPr>
                <w:rFonts w:hint="eastAsia" w:ascii="宋体" w:hAnsi="宋体" w:cs="宋体"/>
              </w:rPr>
            </w:pPr>
            <w:r>
              <w:rPr>
                <w:rFonts w:hint="eastAsia" w:ascii="宋体" w:hAnsi="宋体" w:cs="宋体"/>
              </w:rPr>
              <w:t>4.2</w:t>
            </w:r>
          </w:p>
        </w:tc>
        <w:tc>
          <w:tcPr>
            <w:tcW w:w="7583" w:type="dxa"/>
            <w:tcMar>
              <w:top w:w="0" w:type="dxa"/>
              <w:left w:w="108" w:type="dxa"/>
              <w:bottom w:w="0" w:type="dxa"/>
              <w:right w:w="108" w:type="dxa"/>
            </w:tcMar>
            <w:vAlign w:val="center"/>
          </w:tcPr>
          <w:p w14:paraId="19F39A3D">
            <w:pPr>
              <w:spacing w:line="300" w:lineRule="exact"/>
              <w:rPr>
                <w:rFonts w:hint="eastAsia" w:ascii="宋体" w:hAnsi="宋体"/>
              </w:rPr>
            </w:pPr>
            <w:r>
              <w:rPr>
                <w:rFonts w:hint="eastAsia" w:ascii="宋体" w:hAnsi="宋体"/>
              </w:rPr>
              <w:t>备品备件要求：在质保期内、外应能提供充足的备品备件和专用工具，保证设备正常稳定运行。质保期内备品备件免费更换，投标文件提供质保期满后3年内备品备件清单及价格，3年内备品备件价格不变。质保期届满后，制造商仍对本合同项下货物提供有偿服务，且维修时只收取所需维修部件的市场成本价费用，服务内容与质保期内的要求相一致，提供具有竞争力的维修备件折扣。</w:t>
            </w:r>
          </w:p>
        </w:tc>
        <w:tc>
          <w:tcPr>
            <w:tcW w:w="539" w:type="dxa"/>
            <w:vAlign w:val="center"/>
          </w:tcPr>
          <w:p w14:paraId="3170DE3E">
            <w:pPr>
              <w:jc w:val="center"/>
              <w:rPr>
                <w:rFonts w:hint="eastAsia" w:ascii="宋体" w:hAnsi="宋体" w:cs="宋体"/>
                <w:b/>
                <w:bCs/>
              </w:rPr>
            </w:pPr>
          </w:p>
        </w:tc>
      </w:tr>
      <w:tr w14:paraId="2C7E3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0180F4CA">
            <w:pPr>
              <w:spacing w:line="300" w:lineRule="exact"/>
              <w:jc w:val="center"/>
              <w:rPr>
                <w:rFonts w:hint="eastAsia" w:ascii="宋体" w:hAnsi="宋体" w:cs="宋体"/>
              </w:rPr>
            </w:pPr>
            <w:r>
              <w:rPr>
                <w:rFonts w:hint="eastAsia" w:ascii="宋体" w:hAnsi="宋体" w:cs="宋体"/>
              </w:rPr>
              <w:t>4.3</w:t>
            </w:r>
          </w:p>
        </w:tc>
        <w:tc>
          <w:tcPr>
            <w:tcW w:w="7583" w:type="dxa"/>
            <w:tcMar>
              <w:top w:w="0" w:type="dxa"/>
              <w:left w:w="108" w:type="dxa"/>
              <w:bottom w:w="0" w:type="dxa"/>
              <w:right w:w="108" w:type="dxa"/>
            </w:tcMar>
            <w:vAlign w:val="center"/>
          </w:tcPr>
          <w:p w14:paraId="4B3BAB8B">
            <w:pPr>
              <w:spacing w:line="300" w:lineRule="exact"/>
              <w:rPr>
                <w:rFonts w:hint="eastAsia" w:ascii="宋体" w:hAnsi="宋体" w:cs="宋体"/>
              </w:rPr>
            </w:pPr>
            <w:r>
              <w:rPr>
                <w:rFonts w:hint="eastAsia" w:ascii="宋体" w:hAnsi="宋体"/>
                <w:szCs w:val="21"/>
              </w:rPr>
              <w:t>技术服务要求：</w:t>
            </w:r>
            <w:r>
              <w:rPr>
                <w:rFonts w:hint="eastAsia" w:ascii="宋体" w:hAnsi="宋体"/>
              </w:rPr>
              <w:t>采购人要求供应商修理的，中标人应积极主动提供技术服务。质保期内软件免费升级维护</w:t>
            </w:r>
          </w:p>
        </w:tc>
        <w:tc>
          <w:tcPr>
            <w:tcW w:w="539" w:type="dxa"/>
            <w:vAlign w:val="center"/>
          </w:tcPr>
          <w:p w14:paraId="4B30DC3F">
            <w:pPr>
              <w:jc w:val="center"/>
              <w:rPr>
                <w:rFonts w:hint="eastAsia" w:ascii="宋体" w:hAnsi="宋体" w:cs="宋体"/>
                <w:b/>
                <w:bCs/>
              </w:rPr>
            </w:pPr>
          </w:p>
        </w:tc>
      </w:tr>
      <w:tr w14:paraId="74680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025C5FDB">
            <w:pPr>
              <w:spacing w:line="300" w:lineRule="exact"/>
              <w:jc w:val="center"/>
              <w:rPr>
                <w:rFonts w:hint="eastAsia" w:ascii="宋体" w:hAnsi="宋体" w:cs="宋体"/>
              </w:rPr>
            </w:pPr>
            <w:r>
              <w:rPr>
                <w:rFonts w:hint="eastAsia" w:ascii="宋体" w:hAnsi="宋体" w:cs="宋体"/>
              </w:rPr>
              <w:t>5</w:t>
            </w:r>
          </w:p>
        </w:tc>
        <w:tc>
          <w:tcPr>
            <w:tcW w:w="7583" w:type="dxa"/>
            <w:tcMar>
              <w:top w:w="0" w:type="dxa"/>
              <w:left w:w="108" w:type="dxa"/>
              <w:bottom w:w="0" w:type="dxa"/>
              <w:right w:w="108" w:type="dxa"/>
            </w:tcMar>
            <w:vAlign w:val="center"/>
          </w:tcPr>
          <w:p w14:paraId="2CD60FE7">
            <w:pPr>
              <w:spacing w:line="300" w:lineRule="exact"/>
              <w:rPr>
                <w:rFonts w:hint="eastAsia" w:ascii="宋体" w:hAnsi="宋体" w:cs="宋体"/>
              </w:rPr>
            </w:pPr>
            <w:r>
              <w:rPr>
                <w:rFonts w:hint="eastAsia" w:ascii="宋体" w:hAnsi="宋体" w:cs="宋体"/>
              </w:rPr>
              <w:t>技术培训要求</w:t>
            </w:r>
            <w:r>
              <w:rPr>
                <w:rFonts w:ascii="宋体" w:hAnsi="宋体" w:cs="宋体"/>
              </w:rPr>
              <w:t>：</w:t>
            </w:r>
            <w:r>
              <w:rPr>
                <w:rFonts w:hint="eastAsia" w:ascii="宋体" w:hAnsi="宋体" w:cs="宋体"/>
              </w:rPr>
              <w:t>对浙江大学宁波“五位一体”校区教育发展中心及办学系统内相关人员进行针对性的使用培训，以保障设备能够正常、安全、平稳地运行，操作人员可自由进行流程设置和修改，维护人员能独立处理各类问题。</w:t>
            </w:r>
          </w:p>
        </w:tc>
        <w:tc>
          <w:tcPr>
            <w:tcW w:w="539" w:type="dxa"/>
            <w:vAlign w:val="center"/>
          </w:tcPr>
          <w:p w14:paraId="2B2CE55E">
            <w:pPr>
              <w:jc w:val="center"/>
              <w:rPr>
                <w:rFonts w:hint="eastAsia" w:ascii="宋体" w:hAnsi="宋体" w:cs="宋体"/>
                <w:b/>
                <w:bCs/>
              </w:rPr>
            </w:pPr>
          </w:p>
        </w:tc>
      </w:tr>
      <w:tr w14:paraId="3A533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55CCC95D">
            <w:pPr>
              <w:spacing w:line="300" w:lineRule="exact"/>
              <w:jc w:val="center"/>
              <w:rPr>
                <w:rFonts w:hint="eastAsia" w:ascii="宋体" w:hAnsi="宋体" w:cs="宋体"/>
              </w:rPr>
            </w:pPr>
            <w:r>
              <w:rPr>
                <w:rFonts w:hint="eastAsia" w:ascii="宋体" w:hAnsi="宋体" w:cs="宋体"/>
              </w:rPr>
              <w:t>6</w:t>
            </w:r>
          </w:p>
        </w:tc>
        <w:tc>
          <w:tcPr>
            <w:tcW w:w="7583" w:type="dxa"/>
            <w:tcMar>
              <w:top w:w="0" w:type="dxa"/>
              <w:left w:w="108" w:type="dxa"/>
              <w:bottom w:w="0" w:type="dxa"/>
              <w:right w:w="108" w:type="dxa"/>
            </w:tcMar>
            <w:vAlign w:val="center"/>
          </w:tcPr>
          <w:p w14:paraId="2C55CF3A">
            <w:pPr>
              <w:spacing w:line="300" w:lineRule="exact"/>
              <w:rPr>
                <w:rFonts w:hint="eastAsia" w:ascii="宋体" w:hAnsi="宋体" w:cs="宋体"/>
              </w:rPr>
            </w:pPr>
            <w:r>
              <w:rPr>
                <w:rFonts w:hint="eastAsia" w:ascii="宋体" w:hAnsi="宋体" w:cs="宋体"/>
              </w:rPr>
              <w:t>安全保密要求：</w:t>
            </w:r>
            <w:r>
              <w:rPr>
                <w:rFonts w:ascii="宋体" w:hAnsi="宋体" w:cs="宋体"/>
              </w:rPr>
              <w:t>确保所有操作符合安全规范，保护敏感信息不被泄露或滥用。</w:t>
            </w:r>
          </w:p>
        </w:tc>
        <w:tc>
          <w:tcPr>
            <w:tcW w:w="539" w:type="dxa"/>
            <w:vAlign w:val="center"/>
          </w:tcPr>
          <w:p w14:paraId="72FBA0C2">
            <w:pPr>
              <w:jc w:val="center"/>
              <w:rPr>
                <w:rFonts w:hint="eastAsia" w:ascii="宋体" w:hAnsi="宋体" w:cs="宋体"/>
                <w:b/>
                <w:bCs/>
              </w:rPr>
            </w:pPr>
          </w:p>
        </w:tc>
      </w:tr>
    </w:tbl>
    <w:p w14:paraId="2589C66D">
      <w:pPr>
        <w:widowControl/>
        <w:jc w:val="left"/>
        <w:rPr>
          <w:rFonts w:hint="eastAsia" w:ascii="宋体" w:hAnsi="宋体"/>
          <w:b/>
          <w:kern w:val="1"/>
          <w:szCs w:val="21"/>
        </w:rPr>
      </w:pPr>
    </w:p>
    <w:p w14:paraId="318DFA26">
      <w:pPr>
        <w:spacing w:line="360" w:lineRule="auto"/>
        <w:rPr>
          <w:rFonts w:hint="eastAsia" w:ascii="宋体" w:hAnsi="宋体"/>
          <w:b/>
          <w:kern w:val="1"/>
          <w:szCs w:val="21"/>
        </w:rPr>
      </w:pPr>
      <w:r>
        <w:rPr>
          <w:rFonts w:hint="eastAsia" w:ascii="宋体" w:hAnsi="宋体"/>
          <w:b/>
          <w:kern w:val="1"/>
          <w:szCs w:val="21"/>
        </w:rPr>
        <w:t>▲</w:t>
      </w:r>
      <w:r>
        <w:rPr>
          <w:rFonts w:ascii="宋体" w:hAnsi="宋体"/>
          <w:b/>
          <w:kern w:val="1"/>
          <w:szCs w:val="21"/>
        </w:rPr>
        <w:t>五</w:t>
      </w:r>
      <w:r>
        <w:rPr>
          <w:rFonts w:hint="eastAsia" w:ascii="宋体" w:hAnsi="宋体"/>
          <w:b/>
          <w:kern w:val="1"/>
          <w:szCs w:val="21"/>
        </w:rPr>
        <w:t>、商务要求</w:t>
      </w:r>
    </w:p>
    <w:tbl>
      <w:tblPr>
        <w:tblStyle w:val="44"/>
        <w:tblW w:w="8805"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7566"/>
        <w:gridCol w:w="483"/>
      </w:tblGrid>
      <w:tr w14:paraId="5989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2EC24046">
            <w:pPr>
              <w:jc w:val="center"/>
              <w:rPr>
                <w:rFonts w:hint="eastAsia" w:ascii="宋体" w:hAnsi="宋体"/>
                <w:b/>
              </w:rPr>
            </w:pPr>
            <w:r>
              <w:rPr>
                <w:rFonts w:hint="eastAsia" w:ascii="宋体" w:hAnsi="宋体"/>
                <w:b/>
              </w:rPr>
              <w:t>序号</w:t>
            </w:r>
          </w:p>
        </w:tc>
        <w:tc>
          <w:tcPr>
            <w:tcW w:w="7566" w:type="dxa"/>
            <w:vAlign w:val="center"/>
          </w:tcPr>
          <w:p w14:paraId="6D28874E">
            <w:pPr>
              <w:jc w:val="center"/>
              <w:rPr>
                <w:rFonts w:hint="eastAsia" w:ascii="宋体" w:hAnsi="宋体"/>
                <w:b/>
              </w:rPr>
            </w:pPr>
            <w:r>
              <w:rPr>
                <w:rFonts w:hint="eastAsia" w:ascii="宋体" w:hAnsi="宋体"/>
                <w:b/>
              </w:rPr>
              <w:t>商务要求</w:t>
            </w:r>
          </w:p>
        </w:tc>
        <w:tc>
          <w:tcPr>
            <w:tcW w:w="483" w:type="dxa"/>
            <w:vAlign w:val="center"/>
          </w:tcPr>
          <w:p w14:paraId="46DBBF49">
            <w:pPr>
              <w:ind w:left="-105" w:leftChars="-50" w:right="-105" w:rightChars="-50"/>
              <w:jc w:val="center"/>
              <w:rPr>
                <w:rFonts w:hint="eastAsia" w:ascii="宋体" w:hAnsi="宋体"/>
                <w:b/>
              </w:rPr>
            </w:pPr>
            <w:r>
              <w:rPr>
                <w:rFonts w:hint="eastAsia" w:ascii="宋体" w:hAnsi="宋体"/>
                <w:b/>
              </w:rPr>
              <w:t>投标</w:t>
            </w:r>
          </w:p>
          <w:p w14:paraId="77462869">
            <w:pPr>
              <w:ind w:left="-105" w:leftChars="-50" w:right="-105" w:rightChars="-50"/>
              <w:jc w:val="center"/>
              <w:rPr>
                <w:rFonts w:hint="eastAsia" w:ascii="宋体" w:hAnsi="宋体"/>
                <w:b/>
              </w:rPr>
            </w:pPr>
            <w:r>
              <w:rPr>
                <w:rFonts w:hint="eastAsia" w:ascii="宋体" w:hAnsi="宋体"/>
                <w:b/>
              </w:rPr>
              <w:t>响应</w:t>
            </w:r>
          </w:p>
        </w:tc>
      </w:tr>
      <w:tr w14:paraId="58CE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00E7C954">
            <w:pPr>
              <w:spacing w:line="300" w:lineRule="exact"/>
              <w:jc w:val="center"/>
              <w:rPr>
                <w:rFonts w:hint="eastAsia" w:ascii="宋体" w:hAnsi="宋体"/>
              </w:rPr>
            </w:pPr>
            <w:r>
              <w:rPr>
                <w:rFonts w:hint="eastAsia" w:ascii="宋体" w:hAnsi="宋体"/>
              </w:rPr>
              <w:t>1</w:t>
            </w:r>
          </w:p>
        </w:tc>
        <w:tc>
          <w:tcPr>
            <w:tcW w:w="7566" w:type="dxa"/>
            <w:vAlign w:val="center"/>
          </w:tcPr>
          <w:p w14:paraId="57235103">
            <w:pPr>
              <w:spacing w:line="300" w:lineRule="exact"/>
              <w:rPr>
                <w:rFonts w:hint="eastAsia" w:ascii="宋体" w:hAnsi="宋体"/>
              </w:rPr>
            </w:pPr>
            <w:r>
              <w:rPr>
                <w:rFonts w:ascii="宋体" w:hAnsi="宋体"/>
                <w:szCs w:val="21"/>
              </w:rPr>
              <w:t>合同履约期限</w:t>
            </w:r>
            <w:r>
              <w:rPr>
                <w:rFonts w:hint="eastAsia" w:ascii="宋体" w:hAnsi="宋体"/>
                <w:szCs w:val="21"/>
              </w:rPr>
              <w:t>：</w:t>
            </w:r>
            <w:r>
              <w:rPr>
                <w:rFonts w:hint="eastAsia" w:ascii="宋体" w:hAnsi="宋体"/>
              </w:rPr>
              <w:t>自合同生效之日至合同全部权利义务履行完毕之日止</w:t>
            </w:r>
          </w:p>
        </w:tc>
        <w:tc>
          <w:tcPr>
            <w:tcW w:w="483" w:type="dxa"/>
            <w:vAlign w:val="center"/>
          </w:tcPr>
          <w:p w14:paraId="00E7D475">
            <w:pPr>
              <w:rPr>
                <w:rFonts w:hint="eastAsia" w:ascii="宋体" w:hAnsi="宋体"/>
                <w:szCs w:val="21"/>
              </w:rPr>
            </w:pPr>
          </w:p>
        </w:tc>
      </w:tr>
      <w:tr w14:paraId="29D0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7DB2783F">
            <w:pPr>
              <w:spacing w:line="300" w:lineRule="exact"/>
              <w:jc w:val="center"/>
              <w:rPr>
                <w:rFonts w:hint="eastAsia" w:ascii="宋体" w:hAnsi="宋体"/>
              </w:rPr>
            </w:pPr>
            <w:r>
              <w:rPr>
                <w:rFonts w:hint="eastAsia" w:ascii="宋体" w:hAnsi="宋体"/>
              </w:rPr>
              <w:t>2</w:t>
            </w:r>
          </w:p>
        </w:tc>
        <w:tc>
          <w:tcPr>
            <w:tcW w:w="7566" w:type="dxa"/>
            <w:vAlign w:val="center"/>
          </w:tcPr>
          <w:p w14:paraId="42BC09C3">
            <w:pPr>
              <w:spacing w:line="300" w:lineRule="exact"/>
              <w:rPr>
                <w:rFonts w:hint="eastAsia" w:ascii="宋体" w:hAnsi="宋体"/>
                <w:szCs w:val="21"/>
              </w:rPr>
            </w:pPr>
            <w:r>
              <w:rPr>
                <w:rFonts w:hint="eastAsia" w:ascii="宋体" w:hAnsi="宋体"/>
                <w:szCs w:val="21"/>
              </w:rPr>
              <w:t>交货期：</w:t>
            </w:r>
            <w:r>
              <w:rPr>
                <w:rFonts w:hint="eastAsia" w:ascii="宋体" w:hAnsi="宋体"/>
              </w:rPr>
              <w:t>合同签订生效之日起</w:t>
            </w:r>
            <w:r>
              <w:rPr>
                <w:rFonts w:hint="eastAsia" w:ascii="宋体" w:hAnsi="宋体"/>
                <w:u w:val="single"/>
              </w:rPr>
              <w:t>8</w:t>
            </w:r>
            <w:r>
              <w:rPr>
                <w:rFonts w:hint="eastAsia" w:ascii="宋体" w:hAnsi="宋体"/>
              </w:rPr>
              <w:t>个月内货到指定地点。</w:t>
            </w:r>
          </w:p>
        </w:tc>
        <w:tc>
          <w:tcPr>
            <w:tcW w:w="483" w:type="dxa"/>
            <w:vAlign w:val="center"/>
          </w:tcPr>
          <w:p w14:paraId="42CF67DD">
            <w:pPr>
              <w:jc w:val="center"/>
              <w:rPr>
                <w:rFonts w:hint="eastAsia" w:ascii="宋体" w:hAnsi="宋体"/>
                <w:szCs w:val="21"/>
              </w:rPr>
            </w:pPr>
          </w:p>
        </w:tc>
      </w:tr>
      <w:tr w14:paraId="5840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3A9732E0">
            <w:pPr>
              <w:spacing w:line="300" w:lineRule="exact"/>
              <w:jc w:val="center"/>
              <w:rPr>
                <w:rFonts w:hint="eastAsia" w:ascii="宋体" w:hAnsi="宋体"/>
              </w:rPr>
            </w:pPr>
            <w:r>
              <w:rPr>
                <w:rFonts w:hint="eastAsia" w:ascii="宋体" w:hAnsi="宋体"/>
              </w:rPr>
              <w:t>3</w:t>
            </w:r>
          </w:p>
        </w:tc>
        <w:tc>
          <w:tcPr>
            <w:tcW w:w="7566" w:type="dxa"/>
            <w:vAlign w:val="center"/>
          </w:tcPr>
          <w:p w14:paraId="55878DCC">
            <w:pPr>
              <w:spacing w:line="300" w:lineRule="exact"/>
              <w:rPr>
                <w:rFonts w:hint="eastAsia" w:ascii="宋体" w:hAnsi="宋体"/>
              </w:rPr>
            </w:pPr>
            <w:r>
              <w:rPr>
                <w:rFonts w:hint="eastAsia" w:ascii="宋体" w:hAnsi="宋体"/>
              </w:rPr>
              <w:t>交货地点：采购人指定地点</w:t>
            </w:r>
          </w:p>
        </w:tc>
        <w:tc>
          <w:tcPr>
            <w:tcW w:w="483" w:type="dxa"/>
            <w:vAlign w:val="center"/>
          </w:tcPr>
          <w:p w14:paraId="4C579D75">
            <w:pPr>
              <w:rPr>
                <w:rFonts w:hint="eastAsia" w:ascii="宋体" w:hAnsi="宋体"/>
              </w:rPr>
            </w:pPr>
          </w:p>
        </w:tc>
      </w:tr>
      <w:tr w14:paraId="07C5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3838199A">
            <w:pPr>
              <w:spacing w:line="300" w:lineRule="exact"/>
              <w:jc w:val="center"/>
              <w:rPr>
                <w:rFonts w:hint="eastAsia" w:ascii="宋体" w:hAnsi="宋体"/>
              </w:rPr>
            </w:pPr>
            <w:r>
              <w:rPr>
                <w:rFonts w:hint="eastAsia" w:ascii="宋体" w:hAnsi="宋体"/>
              </w:rPr>
              <w:t>4</w:t>
            </w:r>
          </w:p>
        </w:tc>
        <w:tc>
          <w:tcPr>
            <w:tcW w:w="7566" w:type="dxa"/>
            <w:vAlign w:val="center"/>
          </w:tcPr>
          <w:p w14:paraId="5B3AF811">
            <w:pPr>
              <w:spacing w:line="300" w:lineRule="exact"/>
              <w:rPr>
                <w:rFonts w:hint="eastAsia" w:ascii="宋体" w:hAnsi="宋体"/>
              </w:rPr>
            </w:pPr>
            <w:r>
              <w:rPr>
                <w:rFonts w:hint="eastAsia" w:ascii="宋体" w:hAnsi="宋体"/>
              </w:rPr>
              <w:t>质量标准</w:t>
            </w:r>
          </w:p>
          <w:p w14:paraId="004B9D30">
            <w:pPr>
              <w:pStyle w:val="41"/>
              <w:spacing w:before="0" w:after="0" w:line="300" w:lineRule="exact"/>
              <w:jc w:val="both"/>
              <w:rPr>
                <w:rFonts w:hint="eastAsia" w:ascii="宋体" w:hAnsi="宋体" w:eastAsia="宋体"/>
                <w:b w:val="0"/>
                <w:kern w:val="1"/>
                <w:sz w:val="21"/>
                <w:szCs w:val="21"/>
              </w:rPr>
            </w:pPr>
            <w:r>
              <w:rPr>
                <w:rFonts w:hint="eastAsia" w:ascii="宋体" w:hAnsi="宋体" w:eastAsia="宋体"/>
                <w:b w:val="0"/>
                <w:kern w:val="1"/>
                <w:sz w:val="21"/>
                <w:szCs w:val="21"/>
              </w:rPr>
              <w:t>产品质量必须执行国家相关标准、行业标准、地方标准或者其它标准、规范（从严）：</w:t>
            </w:r>
          </w:p>
          <w:p w14:paraId="6FD9FB53">
            <w:pPr>
              <w:spacing w:line="300" w:lineRule="exact"/>
              <w:rPr>
                <w:rFonts w:hint="eastAsia" w:ascii="宋体" w:hAnsi="宋体"/>
              </w:rPr>
            </w:pPr>
            <w:r>
              <w:rPr>
                <w:rFonts w:hint="eastAsia" w:ascii="宋体" w:hAnsi="宋体"/>
              </w:rPr>
              <w:t>1、具有国家标准及规范的，按最新的标准及规范执行；</w:t>
            </w:r>
          </w:p>
          <w:p w14:paraId="188B8489">
            <w:pPr>
              <w:spacing w:line="300" w:lineRule="exact"/>
              <w:rPr>
                <w:rFonts w:hint="eastAsia" w:ascii="宋体" w:hAnsi="宋体"/>
              </w:rPr>
            </w:pPr>
            <w:r>
              <w:rPr>
                <w:rFonts w:hint="eastAsia" w:ascii="宋体" w:hAnsi="宋体"/>
              </w:rPr>
              <w:t>2、具有行业标准及规范的，按最新的标准及规范执行；</w:t>
            </w:r>
          </w:p>
          <w:p w14:paraId="3B68347E">
            <w:pPr>
              <w:spacing w:line="300" w:lineRule="exact"/>
              <w:rPr>
                <w:rFonts w:hint="eastAsia" w:ascii="宋体" w:hAnsi="宋体"/>
              </w:rPr>
            </w:pPr>
            <w:r>
              <w:rPr>
                <w:rFonts w:hint="eastAsia" w:ascii="宋体" w:hAnsi="宋体"/>
              </w:rPr>
              <w:t>3、具有其他标准及规范的，按照最新的标准及规范执行。</w:t>
            </w:r>
          </w:p>
        </w:tc>
        <w:tc>
          <w:tcPr>
            <w:tcW w:w="483" w:type="dxa"/>
            <w:vAlign w:val="center"/>
          </w:tcPr>
          <w:p w14:paraId="27B28C82">
            <w:pPr>
              <w:rPr>
                <w:rFonts w:hint="eastAsia" w:ascii="宋体" w:hAnsi="宋体"/>
              </w:rPr>
            </w:pPr>
          </w:p>
        </w:tc>
      </w:tr>
      <w:tr w14:paraId="06CA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2FEA4E07">
            <w:pPr>
              <w:spacing w:line="300" w:lineRule="exact"/>
              <w:jc w:val="center"/>
              <w:rPr>
                <w:rFonts w:hint="eastAsia" w:ascii="宋体" w:hAnsi="宋体"/>
              </w:rPr>
            </w:pPr>
            <w:r>
              <w:rPr>
                <w:rFonts w:hint="eastAsia" w:ascii="宋体" w:hAnsi="宋体"/>
              </w:rPr>
              <w:t>5</w:t>
            </w:r>
          </w:p>
        </w:tc>
        <w:tc>
          <w:tcPr>
            <w:tcW w:w="7566" w:type="dxa"/>
            <w:vAlign w:val="center"/>
          </w:tcPr>
          <w:p w14:paraId="4AC01DF6">
            <w:pPr>
              <w:spacing w:line="300" w:lineRule="exact"/>
              <w:rPr>
                <w:rFonts w:hint="eastAsia" w:ascii="宋体" w:hAnsi="宋体"/>
              </w:rPr>
            </w:pPr>
            <w:r>
              <w:rPr>
                <w:rFonts w:hint="eastAsia" w:ascii="宋体" w:hAnsi="宋体"/>
              </w:rPr>
              <w:t>验收要求：</w:t>
            </w:r>
          </w:p>
        </w:tc>
        <w:tc>
          <w:tcPr>
            <w:tcW w:w="483" w:type="dxa"/>
            <w:vAlign w:val="center"/>
          </w:tcPr>
          <w:p w14:paraId="474A41C8">
            <w:pPr>
              <w:jc w:val="center"/>
              <w:rPr>
                <w:rFonts w:hint="eastAsia" w:ascii="宋体" w:hAnsi="宋体"/>
              </w:rPr>
            </w:pPr>
            <w:r>
              <w:rPr>
                <w:rFonts w:hint="eastAsia" w:ascii="宋体" w:hAnsi="宋体"/>
              </w:rPr>
              <w:t>/</w:t>
            </w:r>
          </w:p>
        </w:tc>
      </w:tr>
      <w:tr w14:paraId="6DA9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1CD9C732">
            <w:pPr>
              <w:spacing w:line="300" w:lineRule="exact"/>
              <w:jc w:val="center"/>
              <w:rPr>
                <w:rFonts w:hint="eastAsia" w:ascii="宋体" w:hAnsi="宋体"/>
              </w:rPr>
            </w:pPr>
            <w:r>
              <w:rPr>
                <w:rFonts w:hint="eastAsia" w:ascii="宋体" w:hAnsi="宋体"/>
              </w:rPr>
              <w:t>5.1</w:t>
            </w:r>
          </w:p>
        </w:tc>
        <w:tc>
          <w:tcPr>
            <w:tcW w:w="7566" w:type="dxa"/>
            <w:vAlign w:val="center"/>
          </w:tcPr>
          <w:p w14:paraId="69BB78E4">
            <w:pPr>
              <w:spacing w:line="300" w:lineRule="exact"/>
              <w:rPr>
                <w:rFonts w:hint="eastAsia" w:ascii="宋体" w:hAnsi="宋体"/>
              </w:rPr>
            </w:pPr>
            <w:r>
              <w:rPr>
                <w:rFonts w:hint="eastAsia" w:ascii="宋体" w:hAnsi="宋体" w:cs="宋体"/>
                <w:szCs w:val="21"/>
              </w:rPr>
              <w:t>根据《宁波市政府采购履约验收管理办法》甬财采【2021】1051号文件规定及采购文件有关内容要求组织验收；</w:t>
            </w:r>
          </w:p>
        </w:tc>
        <w:tc>
          <w:tcPr>
            <w:tcW w:w="483" w:type="dxa"/>
            <w:vAlign w:val="center"/>
          </w:tcPr>
          <w:p w14:paraId="5819B7B7">
            <w:pPr>
              <w:rPr>
                <w:rFonts w:hint="eastAsia" w:ascii="宋体" w:hAnsi="宋体" w:cs="宋体"/>
                <w:szCs w:val="21"/>
              </w:rPr>
            </w:pPr>
          </w:p>
        </w:tc>
      </w:tr>
      <w:tr w14:paraId="181A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267B20AB">
            <w:pPr>
              <w:spacing w:line="300" w:lineRule="exact"/>
              <w:jc w:val="center"/>
              <w:rPr>
                <w:rFonts w:hint="eastAsia" w:ascii="宋体" w:hAnsi="宋体"/>
              </w:rPr>
            </w:pPr>
            <w:r>
              <w:rPr>
                <w:rFonts w:hint="eastAsia" w:ascii="宋体" w:hAnsi="宋体"/>
              </w:rPr>
              <w:t>5.2</w:t>
            </w:r>
          </w:p>
        </w:tc>
        <w:tc>
          <w:tcPr>
            <w:tcW w:w="7566" w:type="dxa"/>
            <w:vAlign w:val="center"/>
          </w:tcPr>
          <w:p w14:paraId="5CA0FC49">
            <w:pPr>
              <w:spacing w:line="300" w:lineRule="exact"/>
              <w:rPr>
                <w:rFonts w:hint="eastAsia" w:ascii="宋体" w:hAnsi="宋体" w:cs="宋体"/>
                <w:szCs w:val="21"/>
              </w:rPr>
            </w:pPr>
            <w:r>
              <w:rPr>
                <w:rFonts w:asciiTheme="majorEastAsia" w:hAnsiTheme="majorEastAsia" w:eastAsiaTheme="majorEastAsia"/>
              </w:rPr>
              <w:t>由</w:t>
            </w:r>
            <w:r>
              <w:rPr>
                <w:rFonts w:hint="eastAsia" w:asciiTheme="majorEastAsia" w:hAnsiTheme="majorEastAsia" w:eastAsiaTheme="majorEastAsia"/>
              </w:rPr>
              <w:t>采购人</w:t>
            </w:r>
            <w:r>
              <w:rPr>
                <w:rFonts w:asciiTheme="majorEastAsia" w:hAnsiTheme="majorEastAsia" w:eastAsiaTheme="majorEastAsia"/>
              </w:rPr>
              <w:t>组织专家和用户代表，或第三方机构，按照</w:t>
            </w:r>
            <w:r>
              <w:rPr>
                <w:rFonts w:hint="eastAsia" w:asciiTheme="majorEastAsia" w:hAnsiTheme="majorEastAsia" w:eastAsiaTheme="majorEastAsia"/>
              </w:rPr>
              <w:t>采购</w:t>
            </w:r>
            <w:r>
              <w:rPr>
                <w:rFonts w:asciiTheme="majorEastAsia" w:hAnsiTheme="majorEastAsia" w:eastAsiaTheme="majorEastAsia"/>
              </w:rPr>
              <w:t>文件、合同条款、</w:t>
            </w:r>
            <w:r>
              <w:rPr>
                <w:rFonts w:hint="eastAsia" w:asciiTheme="majorEastAsia" w:hAnsiTheme="majorEastAsia" w:eastAsiaTheme="majorEastAsia"/>
              </w:rPr>
              <w:t>硬件参数、</w:t>
            </w:r>
            <w:r>
              <w:rPr>
                <w:rFonts w:asciiTheme="majorEastAsia" w:hAnsiTheme="majorEastAsia" w:eastAsiaTheme="majorEastAsia"/>
              </w:rPr>
              <w:t>软件要求和实际应用效果对项目进行验收</w:t>
            </w:r>
          </w:p>
        </w:tc>
        <w:tc>
          <w:tcPr>
            <w:tcW w:w="483" w:type="dxa"/>
            <w:vAlign w:val="center"/>
          </w:tcPr>
          <w:p w14:paraId="26FB7741">
            <w:pPr>
              <w:rPr>
                <w:rFonts w:hint="eastAsia" w:ascii="宋体" w:hAnsi="宋体"/>
              </w:rPr>
            </w:pPr>
          </w:p>
        </w:tc>
      </w:tr>
      <w:tr w14:paraId="3D5B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5550DD1C">
            <w:pPr>
              <w:spacing w:line="300" w:lineRule="exact"/>
              <w:jc w:val="center"/>
              <w:rPr>
                <w:rFonts w:hint="eastAsia" w:ascii="宋体" w:hAnsi="宋体"/>
              </w:rPr>
            </w:pPr>
            <w:r>
              <w:rPr>
                <w:rFonts w:hint="eastAsia" w:ascii="宋体" w:hAnsi="宋体"/>
              </w:rPr>
              <w:t>5.3</w:t>
            </w:r>
          </w:p>
        </w:tc>
        <w:tc>
          <w:tcPr>
            <w:tcW w:w="7566" w:type="dxa"/>
            <w:vAlign w:val="center"/>
          </w:tcPr>
          <w:p w14:paraId="1A3F546A">
            <w:pPr>
              <w:spacing w:line="300" w:lineRule="exact"/>
              <w:rPr>
                <w:rFonts w:hint="eastAsia" w:ascii="宋体" w:hAnsi="宋体" w:cs="宋体"/>
                <w:szCs w:val="21"/>
              </w:rPr>
            </w:pPr>
            <w:r>
              <w:rPr>
                <w:rFonts w:hint="eastAsia" w:ascii="宋体" w:hAnsi="宋体" w:cs="宋体"/>
                <w:szCs w:val="21"/>
              </w:rPr>
              <w:t>验收方式：一次性验收；</w:t>
            </w:r>
            <w:r>
              <w:rPr>
                <w:rFonts w:hint="eastAsia" w:asciiTheme="majorEastAsia" w:hAnsiTheme="majorEastAsia" w:eastAsiaTheme="majorEastAsia"/>
              </w:rPr>
              <w:t>中标人技术人员到用户现场安装、调试仪器，仪器公司免费提供所有安装和操作软件及备份，仪器调试合格后由公司和用户同时签署验收报告方可完成仪器验收交接。</w:t>
            </w:r>
          </w:p>
        </w:tc>
        <w:tc>
          <w:tcPr>
            <w:tcW w:w="483" w:type="dxa"/>
            <w:vAlign w:val="center"/>
          </w:tcPr>
          <w:p w14:paraId="0A9626CD">
            <w:pPr>
              <w:rPr>
                <w:rFonts w:hint="eastAsia" w:ascii="宋体" w:hAnsi="宋体"/>
              </w:rPr>
            </w:pPr>
          </w:p>
        </w:tc>
      </w:tr>
      <w:tr w14:paraId="6700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6EEABB09">
            <w:pPr>
              <w:spacing w:line="300" w:lineRule="exact"/>
              <w:jc w:val="center"/>
              <w:rPr>
                <w:rFonts w:hint="eastAsia" w:ascii="宋体" w:hAnsi="宋体"/>
              </w:rPr>
            </w:pPr>
            <w:r>
              <w:rPr>
                <w:rFonts w:hint="eastAsia" w:ascii="宋体" w:hAnsi="宋体"/>
              </w:rPr>
              <w:t>5.4</w:t>
            </w:r>
          </w:p>
        </w:tc>
        <w:tc>
          <w:tcPr>
            <w:tcW w:w="7566" w:type="dxa"/>
            <w:vAlign w:val="center"/>
          </w:tcPr>
          <w:p w14:paraId="3E163032">
            <w:pPr>
              <w:spacing w:line="300" w:lineRule="exact"/>
              <w:rPr>
                <w:rFonts w:hint="eastAsia" w:ascii="宋体" w:hAnsi="宋体" w:cs="宋体"/>
                <w:szCs w:val="21"/>
              </w:rPr>
            </w:pPr>
            <w:r>
              <w:rPr>
                <w:rFonts w:hint="eastAsia" w:ascii="宋体" w:hAnsi="宋体" w:cs="宋体"/>
                <w:szCs w:val="21"/>
              </w:rPr>
              <w:t>验收内容：型号、数量及外观；货物所附技术资料；货物组件及配置；货物功能、性能及各项技术参数指标。</w:t>
            </w:r>
          </w:p>
        </w:tc>
        <w:tc>
          <w:tcPr>
            <w:tcW w:w="483" w:type="dxa"/>
            <w:vAlign w:val="center"/>
          </w:tcPr>
          <w:p w14:paraId="7443C59A">
            <w:pPr>
              <w:rPr>
                <w:rFonts w:hint="eastAsia" w:ascii="宋体" w:hAnsi="宋体"/>
              </w:rPr>
            </w:pPr>
          </w:p>
        </w:tc>
      </w:tr>
      <w:tr w14:paraId="727B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1EA7164F">
            <w:pPr>
              <w:spacing w:line="300" w:lineRule="exact"/>
              <w:jc w:val="center"/>
              <w:rPr>
                <w:rFonts w:hint="eastAsia" w:ascii="宋体" w:hAnsi="宋体"/>
              </w:rPr>
            </w:pPr>
            <w:r>
              <w:rPr>
                <w:rFonts w:hint="eastAsia" w:ascii="宋体" w:hAnsi="宋体"/>
              </w:rPr>
              <w:t>5.5</w:t>
            </w:r>
          </w:p>
        </w:tc>
        <w:tc>
          <w:tcPr>
            <w:tcW w:w="7566" w:type="dxa"/>
            <w:vAlign w:val="center"/>
          </w:tcPr>
          <w:p w14:paraId="0B0FA4E0">
            <w:pPr>
              <w:spacing w:line="300" w:lineRule="exact"/>
              <w:rPr>
                <w:rFonts w:hint="eastAsia" w:ascii="宋体" w:hAnsi="宋体" w:cs="宋体"/>
                <w:szCs w:val="21"/>
              </w:rPr>
            </w:pPr>
            <w:r>
              <w:rPr>
                <w:rFonts w:hint="eastAsia" w:ascii="宋体" w:hAnsi="宋体" w:cs="宋体"/>
                <w:szCs w:val="21"/>
              </w:rPr>
              <w:t>验收标准：设备型号与购销合同相符；设备配置与招标文件的配置要求相符；设备各项指标参数满足招标文件对产品要求，关键指标达到标书指标要求；提供完备的调试、配置及操作手册。</w:t>
            </w:r>
          </w:p>
        </w:tc>
        <w:tc>
          <w:tcPr>
            <w:tcW w:w="483" w:type="dxa"/>
            <w:vAlign w:val="center"/>
          </w:tcPr>
          <w:p w14:paraId="7234E67C">
            <w:pPr>
              <w:rPr>
                <w:rFonts w:hint="eastAsia" w:ascii="宋体" w:hAnsi="宋体"/>
              </w:rPr>
            </w:pPr>
          </w:p>
        </w:tc>
      </w:tr>
      <w:tr w14:paraId="0CB1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78210A23">
            <w:pPr>
              <w:spacing w:line="300" w:lineRule="exact"/>
              <w:jc w:val="center"/>
              <w:rPr>
                <w:rFonts w:hint="eastAsia" w:ascii="宋体" w:hAnsi="宋体"/>
              </w:rPr>
            </w:pPr>
            <w:r>
              <w:rPr>
                <w:rFonts w:hint="eastAsia" w:ascii="宋体" w:hAnsi="宋体"/>
              </w:rPr>
              <w:t>6</w:t>
            </w:r>
          </w:p>
        </w:tc>
        <w:tc>
          <w:tcPr>
            <w:tcW w:w="7566" w:type="dxa"/>
            <w:vAlign w:val="center"/>
          </w:tcPr>
          <w:p w14:paraId="268ECCD7">
            <w:pPr>
              <w:spacing w:line="300" w:lineRule="exact"/>
              <w:rPr>
                <w:rFonts w:hint="eastAsia" w:ascii="宋体" w:hAnsi="宋体"/>
              </w:rPr>
            </w:pPr>
            <w:r>
              <w:rPr>
                <w:rFonts w:hint="eastAsia" w:ascii="宋体" w:hAnsi="宋体"/>
              </w:rPr>
              <w:t>签订合同时间：中标通知书发出之日起30日内签订合同。</w:t>
            </w:r>
          </w:p>
        </w:tc>
        <w:tc>
          <w:tcPr>
            <w:tcW w:w="483" w:type="dxa"/>
            <w:vAlign w:val="center"/>
          </w:tcPr>
          <w:p w14:paraId="4F550BC7">
            <w:pPr>
              <w:rPr>
                <w:rFonts w:hint="eastAsia" w:ascii="宋体" w:hAnsi="宋体"/>
              </w:rPr>
            </w:pPr>
          </w:p>
        </w:tc>
      </w:tr>
      <w:tr w14:paraId="134A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756" w:type="dxa"/>
            <w:vAlign w:val="center"/>
          </w:tcPr>
          <w:p w14:paraId="16C2ABBE">
            <w:pPr>
              <w:spacing w:line="300" w:lineRule="exact"/>
              <w:jc w:val="center"/>
              <w:rPr>
                <w:rFonts w:hint="eastAsia" w:ascii="宋体" w:hAnsi="宋体"/>
              </w:rPr>
            </w:pPr>
            <w:r>
              <w:rPr>
                <w:rFonts w:hint="eastAsia" w:ascii="宋体" w:hAnsi="宋体"/>
              </w:rPr>
              <w:t>7</w:t>
            </w:r>
          </w:p>
        </w:tc>
        <w:tc>
          <w:tcPr>
            <w:tcW w:w="7566" w:type="dxa"/>
            <w:vAlign w:val="center"/>
          </w:tcPr>
          <w:p w14:paraId="454354DD">
            <w:pPr>
              <w:spacing w:line="300" w:lineRule="exact"/>
              <w:rPr>
                <w:rFonts w:hint="eastAsia" w:ascii="宋体" w:hAnsi="宋体"/>
              </w:rPr>
            </w:pPr>
            <w:r>
              <w:rPr>
                <w:rFonts w:hint="eastAsia" w:ascii="宋体" w:hAnsi="宋体"/>
                <w:szCs w:val="21"/>
              </w:rPr>
              <w:t>质保期：</w:t>
            </w:r>
            <w:r>
              <w:rPr>
                <w:rFonts w:hint="eastAsia" w:ascii="宋体" w:hAnsi="宋体"/>
              </w:rPr>
              <w:t>自采购人验收合格之日起1年。</w:t>
            </w:r>
          </w:p>
        </w:tc>
        <w:tc>
          <w:tcPr>
            <w:tcW w:w="483" w:type="dxa"/>
            <w:vAlign w:val="center"/>
          </w:tcPr>
          <w:p w14:paraId="431B8F02">
            <w:pPr>
              <w:jc w:val="center"/>
              <w:rPr>
                <w:rFonts w:hint="eastAsia" w:ascii="宋体" w:hAnsi="宋体"/>
              </w:rPr>
            </w:pPr>
          </w:p>
        </w:tc>
      </w:tr>
      <w:tr w14:paraId="5DF8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756" w:type="dxa"/>
            <w:vAlign w:val="center"/>
          </w:tcPr>
          <w:p w14:paraId="1A3CDE73">
            <w:pPr>
              <w:spacing w:line="300" w:lineRule="exact"/>
              <w:jc w:val="center"/>
              <w:rPr>
                <w:rFonts w:hint="eastAsia" w:ascii="宋体" w:hAnsi="宋体"/>
              </w:rPr>
            </w:pPr>
            <w:r>
              <w:rPr>
                <w:rFonts w:hint="eastAsia" w:ascii="宋体" w:hAnsi="宋体"/>
              </w:rPr>
              <w:t>8</w:t>
            </w:r>
          </w:p>
        </w:tc>
        <w:tc>
          <w:tcPr>
            <w:tcW w:w="7566" w:type="dxa"/>
            <w:vAlign w:val="center"/>
          </w:tcPr>
          <w:p w14:paraId="2C2E9B53">
            <w:pPr>
              <w:spacing w:line="300" w:lineRule="exact"/>
              <w:rPr>
                <w:rFonts w:hint="eastAsia" w:ascii="宋体" w:hAnsi="宋体"/>
                <w:szCs w:val="21"/>
              </w:rPr>
            </w:pPr>
            <w:r>
              <w:rPr>
                <w:rFonts w:hint="eastAsia" w:ascii="宋体" w:hAnsi="宋体"/>
                <w:szCs w:val="21"/>
              </w:rPr>
              <w:t>付款条件及方式</w:t>
            </w:r>
          </w:p>
          <w:p w14:paraId="130985D0">
            <w:pPr>
              <w:spacing w:line="300" w:lineRule="exact"/>
              <w:rPr>
                <w:rFonts w:hint="eastAsia" w:ascii="宋体" w:hAnsi="宋体"/>
                <w:szCs w:val="21"/>
              </w:rPr>
            </w:pPr>
            <w:r>
              <w:rPr>
                <w:rFonts w:hint="eastAsia" w:ascii="宋体" w:hAnsi="宋体"/>
                <w:szCs w:val="21"/>
              </w:rPr>
              <w:t>1、国产设备：</w:t>
            </w:r>
          </w:p>
          <w:p w14:paraId="6F5F3B0D">
            <w:pPr>
              <w:spacing w:line="300" w:lineRule="exact"/>
              <w:ind w:firstLine="420" w:firstLineChars="200"/>
              <w:rPr>
                <w:rFonts w:hint="eastAsia" w:ascii="宋体" w:hAnsi="宋体"/>
                <w:szCs w:val="21"/>
              </w:rPr>
            </w:pPr>
            <w:r>
              <w:rPr>
                <w:rFonts w:hint="eastAsia" w:ascii="宋体" w:hAnsi="宋体"/>
                <w:szCs w:val="21"/>
              </w:rPr>
              <w:t>合同签订生效以及具备实施条件后7个工作日内支付合同总额的40%作为预付款；经采购人验收合格后7个工作日内支付合同金额的60%。</w:t>
            </w:r>
          </w:p>
          <w:p w14:paraId="33694E4B">
            <w:pPr>
              <w:spacing w:line="260" w:lineRule="exact"/>
              <w:jc w:val="left"/>
              <w:rPr>
                <w:rFonts w:hint="eastAsia" w:ascii="宋体" w:hAnsi="宋体"/>
                <w:szCs w:val="21"/>
              </w:rPr>
            </w:pPr>
            <w:r>
              <w:rPr>
                <w:rFonts w:hint="eastAsia" w:ascii="宋体" w:hAnsi="宋体"/>
              </w:rPr>
              <w:t>备注：</w:t>
            </w:r>
            <w:r>
              <w:rPr>
                <w:rFonts w:hint="eastAsia" w:ascii="宋体" w:hAnsi="宋体" w:cs="宋体"/>
                <w:szCs w:val="21"/>
              </w:rPr>
              <w:t>签订合同时，如中标人明确表示无需预付款或者主动要求降低预付款比例的，采购人</w:t>
            </w:r>
            <w:r>
              <w:rPr>
                <w:rFonts w:ascii="宋体" w:hAnsi="宋体" w:cs="宋体"/>
                <w:szCs w:val="21"/>
              </w:rPr>
              <w:t>可不适用上述规定。</w:t>
            </w:r>
          </w:p>
          <w:p w14:paraId="69ED74BA">
            <w:pPr>
              <w:spacing w:line="300" w:lineRule="exact"/>
              <w:rPr>
                <w:rFonts w:hint="eastAsia" w:ascii="宋体" w:hAnsi="宋体"/>
                <w:szCs w:val="21"/>
              </w:rPr>
            </w:pPr>
            <w:r>
              <w:rPr>
                <w:rFonts w:hint="eastAsia" w:ascii="宋体" w:hAnsi="宋体"/>
                <w:szCs w:val="21"/>
              </w:rPr>
              <w:t>2、进口设备：</w:t>
            </w:r>
          </w:p>
          <w:p w14:paraId="55A3E979">
            <w:pPr>
              <w:spacing w:line="300" w:lineRule="exact"/>
              <w:rPr>
                <w:rFonts w:hint="eastAsia" w:ascii="宋体" w:hAnsi="宋体"/>
                <w:szCs w:val="21"/>
              </w:rPr>
            </w:pPr>
            <w:r>
              <w:rPr>
                <w:rFonts w:hint="eastAsia" w:ascii="宋体" w:hAnsi="宋体"/>
                <w:szCs w:val="21"/>
              </w:rPr>
              <w:t>（1）合同生效后，由买方开具合同金额100%不可撤销L/C；</w:t>
            </w:r>
          </w:p>
          <w:p w14:paraId="0C40A200">
            <w:pPr>
              <w:spacing w:line="300" w:lineRule="exact"/>
              <w:rPr>
                <w:rFonts w:hint="eastAsia" w:ascii="宋体" w:hAnsi="宋体"/>
                <w:szCs w:val="21"/>
              </w:rPr>
            </w:pPr>
            <w:r>
              <w:rPr>
                <w:rFonts w:hint="eastAsia" w:ascii="宋体" w:hAnsi="宋体"/>
                <w:szCs w:val="21"/>
              </w:rPr>
              <w:t>（2）凭运单支付至合同金额的90%；</w:t>
            </w:r>
          </w:p>
          <w:p w14:paraId="269381B7">
            <w:pPr>
              <w:spacing w:line="300" w:lineRule="exact"/>
              <w:rPr>
                <w:rFonts w:hint="eastAsia" w:ascii="宋体" w:hAnsi="宋体"/>
                <w:szCs w:val="21"/>
              </w:rPr>
            </w:pPr>
            <w:r>
              <w:rPr>
                <w:rFonts w:hint="eastAsia" w:ascii="宋体" w:hAnsi="宋体"/>
                <w:szCs w:val="21"/>
              </w:rPr>
              <w:t>（3）安装、调试、验收合格后凭盖有招标人公章的验收单支付合同金额的10%。</w:t>
            </w:r>
          </w:p>
        </w:tc>
        <w:tc>
          <w:tcPr>
            <w:tcW w:w="483" w:type="dxa"/>
            <w:vAlign w:val="center"/>
          </w:tcPr>
          <w:p w14:paraId="03E4074D">
            <w:pPr>
              <w:rPr>
                <w:rFonts w:hint="eastAsia" w:ascii="宋体" w:hAnsi="宋体"/>
              </w:rPr>
            </w:pPr>
          </w:p>
        </w:tc>
      </w:tr>
      <w:tr w14:paraId="0FD7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2B571F26">
            <w:pPr>
              <w:spacing w:line="300" w:lineRule="exact"/>
              <w:jc w:val="center"/>
              <w:rPr>
                <w:rFonts w:hint="eastAsia" w:ascii="宋体" w:hAnsi="宋体"/>
              </w:rPr>
            </w:pPr>
            <w:r>
              <w:rPr>
                <w:rFonts w:hint="eastAsia" w:ascii="宋体" w:hAnsi="宋体"/>
              </w:rPr>
              <w:t>9</w:t>
            </w:r>
          </w:p>
        </w:tc>
        <w:tc>
          <w:tcPr>
            <w:tcW w:w="7566" w:type="dxa"/>
            <w:vAlign w:val="center"/>
          </w:tcPr>
          <w:p w14:paraId="4852D05E">
            <w:pPr>
              <w:spacing w:line="300" w:lineRule="exact"/>
              <w:rPr>
                <w:rFonts w:hint="eastAsia" w:ascii="宋体" w:hAnsi="宋体"/>
              </w:rPr>
            </w:pPr>
            <w:r>
              <w:rPr>
                <w:rFonts w:hint="eastAsia" w:ascii="宋体" w:hAnsi="宋体"/>
              </w:rPr>
              <w:t>发票要求</w:t>
            </w:r>
          </w:p>
        </w:tc>
        <w:tc>
          <w:tcPr>
            <w:tcW w:w="483" w:type="dxa"/>
            <w:vAlign w:val="center"/>
          </w:tcPr>
          <w:p w14:paraId="2C107EA4">
            <w:pPr>
              <w:jc w:val="center"/>
              <w:rPr>
                <w:rFonts w:hint="eastAsia" w:ascii="宋体" w:hAnsi="宋体"/>
              </w:rPr>
            </w:pPr>
            <w:r>
              <w:rPr>
                <w:rFonts w:hint="eastAsia" w:ascii="宋体" w:hAnsi="宋体"/>
              </w:rPr>
              <w:t>/</w:t>
            </w:r>
          </w:p>
        </w:tc>
      </w:tr>
      <w:tr w14:paraId="6A65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56" w:type="dxa"/>
            <w:vAlign w:val="center"/>
          </w:tcPr>
          <w:p w14:paraId="4B16617C">
            <w:pPr>
              <w:spacing w:line="300" w:lineRule="exact"/>
              <w:jc w:val="center"/>
              <w:rPr>
                <w:rFonts w:hint="eastAsia" w:ascii="宋体" w:hAnsi="宋体"/>
              </w:rPr>
            </w:pPr>
            <w:r>
              <w:rPr>
                <w:rFonts w:hint="eastAsia" w:ascii="宋体" w:hAnsi="宋体"/>
              </w:rPr>
              <w:t>9.1</w:t>
            </w:r>
          </w:p>
        </w:tc>
        <w:tc>
          <w:tcPr>
            <w:tcW w:w="7566" w:type="dxa"/>
            <w:vAlign w:val="center"/>
          </w:tcPr>
          <w:p w14:paraId="34A6BFE5">
            <w:pPr>
              <w:spacing w:line="300" w:lineRule="exact"/>
              <w:ind w:right="34" w:rightChars="16"/>
              <w:rPr>
                <w:rFonts w:hint="eastAsia" w:ascii="宋体" w:hAnsi="宋体"/>
              </w:rPr>
            </w:pPr>
            <w:r>
              <w:rPr>
                <w:rFonts w:hint="eastAsia" w:asciiTheme="majorEastAsia" w:hAnsiTheme="majorEastAsia" w:eastAsiaTheme="majorEastAsia" w:cstheme="majorEastAsia"/>
              </w:rPr>
              <w:t>中标人应在采购人支付费用前，依据相应的金额，先行向采购人提供足额且符合税法规定的正规发票。采购人在收到中标人提供的正规发票后在合同约定的时间支付相应款项，否则采购人有权延迟支付相应费用而不被视为违约，亦无须承担任何违约责任。</w:t>
            </w:r>
          </w:p>
        </w:tc>
        <w:tc>
          <w:tcPr>
            <w:tcW w:w="483" w:type="dxa"/>
            <w:vAlign w:val="center"/>
          </w:tcPr>
          <w:p w14:paraId="7C1C729A">
            <w:pPr>
              <w:ind w:right="34" w:rightChars="16"/>
              <w:rPr>
                <w:rFonts w:hint="eastAsia" w:ascii="宋体" w:hAnsi="宋体"/>
              </w:rPr>
            </w:pPr>
          </w:p>
        </w:tc>
      </w:tr>
      <w:tr w14:paraId="4B55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756" w:type="dxa"/>
            <w:vAlign w:val="center"/>
          </w:tcPr>
          <w:p w14:paraId="5468952C">
            <w:pPr>
              <w:spacing w:line="300" w:lineRule="exact"/>
              <w:jc w:val="center"/>
              <w:rPr>
                <w:rFonts w:hint="eastAsia" w:ascii="宋体" w:hAnsi="宋体"/>
              </w:rPr>
            </w:pPr>
            <w:r>
              <w:rPr>
                <w:rFonts w:hint="eastAsia" w:ascii="宋体" w:hAnsi="宋体"/>
              </w:rPr>
              <w:t>9.2</w:t>
            </w:r>
          </w:p>
        </w:tc>
        <w:tc>
          <w:tcPr>
            <w:tcW w:w="7566" w:type="dxa"/>
            <w:vAlign w:val="center"/>
          </w:tcPr>
          <w:p w14:paraId="4B2F978B">
            <w:pPr>
              <w:spacing w:line="300" w:lineRule="exact"/>
              <w:ind w:right="34" w:rightChars="16"/>
              <w:rPr>
                <w:rFonts w:hint="eastAsia" w:ascii="宋体" w:hAnsi="宋体"/>
              </w:rPr>
            </w:pPr>
            <w:r>
              <w:rPr>
                <w:rFonts w:hint="eastAsia" w:asciiTheme="majorEastAsia" w:hAnsiTheme="majorEastAsia" w:eastAsiaTheme="majorEastAsia" w:cstheme="majorEastAsia"/>
              </w:rPr>
              <w:t>如因中标人未按期提供发票或发票不合规等原因，自行承担由此对采购人造成的一切损失。</w:t>
            </w:r>
          </w:p>
        </w:tc>
        <w:tc>
          <w:tcPr>
            <w:tcW w:w="483" w:type="dxa"/>
            <w:vAlign w:val="center"/>
          </w:tcPr>
          <w:p w14:paraId="7BD5922C">
            <w:pPr>
              <w:ind w:right="34" w:rightChars="16"/>
              <w:rPr>
                <w:rFonts w:hint="eastAsia" w:ascii="宋体" w:hAnsi="宋体"/>
              </w:rPr>
            </w:pPr>
          </w:p>
        </w:tc>
      </w:tr>
      <w:tr w14:paraId="607E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56" w:type="dxa"/>
            <w:vAlign w:val="center"/>
          </w:tcPr>
          <w:p w14:paraId="3080AE7F">
            <w:pPr>
              <w:spacing w:line="300" w:lineRule="exact"/>
              <w:jc w:val="center"/>
              <w:rPr>
                <w:rFonts w:hint="eastAsia" w:ascii="宋体" w:hAnsi="宋体"/>
              </w:rPr>
            </w:pPr>
            <w:r>
              <w:rPr>
                <w:rFonts w:hint="eastAsia" w:ascii="宋体" w:hAnsi="宋体"/>
              </w:rPr>
              <w:t>9.3</w:t>
            </w:r>
          </w:p>
        </w:tc>
        <w:tc>
          <w:tcPr>
            <w:tcW w:w="7566" w:type="dxa"/>
            <w:vAlign w:val="center"/>
          </w:tcPr>
          <w:p w14:paraId="53B31235">
            <w:pPr>
              <w:spacing w:line="300" w:lineRule="exact"/>
              <w:rPr>
                <w:rFonts w:hint="eastAsia" w:ascii="宋体" w:hAnsi="宋体"/>
                <w:highlight w:val="yellow"/>
              </w:rPr>
            </w:pPr>
            <w:r>
              <w:rPr>
                <w:rFonts w:hint="eastAsia" w:asciiTheme="majorEastAsia" w:hAnsiTheme="majorEastAsia" w:eastAsiaTheme="majorEastAsia" w:cstheme="majorEastAsia"/>
              </w:rPr>
              <w:t>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采购人造成的一切损失。</w:t>
            </w:r>
          </w:p>
        </w:tc>
        <w:tc>
          <w:tcPr>
            <w:tcW w:w="483" w:type="dxa"/>
            <w:vAlign w:val="center"/>
          </w:tcPr>
          <w:p w14:paraId="17CE4D74">
            <w:pPr>
              <w:rPr>
                <w:rFonts w:hint="eastAsia" w:ascii="宋体" w:hAnsi="宋体"/>
              </w:rPr>
            </w:pPr>
          </w:p>
        </w:tc>
      </w:tr>
      <w:tr w14:paraId="036F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6081E3DE">
            <w:pPr>
              <w:spacing w:line="300" w:lineRule="exact"/>
              <w:jc w:val="center"/>
              <w:rPr>
                <w:rFonts w:hint="eastAsia" w:ascii="宋体" w:hAnsi="宋体"/>
              </w:rPr>
            </w:pPr>
            <w:r>
              <w:rPr>
                <w:rFonts w:hint="eastAsia" w:ascii="宋体" w:hAnsi="宋体"/>
              </w:rPr>
              <w:t>10</w:t>
            </w:r>
          </w:p>
        </w:tc>
        <w:tc>
          <w:tcPr>
            <w:tcW w:w="7566" w:type="dxa"/>
            <w:vAlign w:val="center"/>
          </w:tcPr>
          <w:p w14:paraId="720FB062">
            <w:pPr>
              <w:spacing w:line="300" w:lineRule="exact"/>
              <w:rPr>
                <w:rFonts w:hint="eastAsia" w:ascii="宋体" w:hAnsi="宋体"/>
              </w:rPr>
            </w:pPr>
            <w:r>
              <w:rPr>
                <w:rFonts w:hint="eastAsia" w:ascii="宋体" w:hAnsi="宋体"/>
              </w:rPr>
              <w:t>履约保证金：</w:t>
            </w:r>
            <w:r>
              <w:rPr>
                <w:rFonts w:hint="eastAsia" w:ascii="宋体" w:hAnsi="宋体"/>
                <w:szCs w:val="21"/>
              </w:rPr>
              <w:t>无需缴纳</w:t>
            </w:r>
          </w:p>
        </w:tc>
        <w:tc>
          <w:tcPr>
            <w:tcW w:w="483" w:type="dxa"/>
            <w:vAlign w:val="center"/>
          </w:tcPr>
          <w:p w14:paraId="5EEE9FA7">
            <w:pPr>
              <w:rPr>
                <w:rFonts w:hint="eastAsia" w:ascii="宋体" w:hAnsi="宋体"/>
              </w:rPr>
            </w:pPr>
          </w:p>
        </w:tc>
      </w:tr>
      <w:tr w14:paraId="5F7C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6F5327B4">
            <w:pPr>
              <w:spacing w:line="300" w:lineRule="exact"/>
              <w:jc w:val="center"/>
              <w:rPr>
                <w:rFonts w:hint="eastAsia" w:ascii="宋体" w:hAnsi="宋体"/>
              </w:rPr>
            </w:pPr>
            <w:r>
              <w:rPr>
                <w:rFonts w:hint="eastAsia" w:ascii="宋体" w:hAnsi="宋体"/>
              </w:rPr>
              <w:t>11</w:t>
            </w:r>
          </w:p>
        </w:tc>
        <w:tc>
          <w:tcPr>
            <w:tcW w:w="7566" w:type="dxa"/>
            <w:vAlign w:val="center"/>
          </w:tcPr>
          <w:p w14:paraId="6427141B">
            <w:pPr>
              <w:spacing w:line="300" w:lineRule="exact"/>
              <w:rPr>
                <w:rFonts w:hint="eastAsia" w:ascii="宋体" w:hAnsi="宋体"/>
              </w:rPr>
            </w:pPr>
            <w:r>
              <w:rPr>
                <w:rFonts w:hint="eastAsia" w:ascii="宋体" w:hAnsi="宋体"/>
              </w:rPr>
              <w:t>其他</w:t>
            </w:r>
          </w:p>
        </w:tc>
        <w:tc>
          <w:tcPr>
            <w:tcW w:w="483" w:type="dxa"/>
            <w:vAlign w:val="center"/>
          </w:tcPr>
          <w:p w14:paraId="4A3B496B">
            <w:pPr>
              <w:jc w:val="center"/>
              <w:rPr>
                <w:rFonts w:hint="eastAsia" w:ascii="宋体" w:hAnsi="宋体"/>
              </w:rPr>
            </w:pPr>
            <w:r>
              <w:rPr>
                <w:rFonts w:hint="eastAsia" w:ascii="宋体" w:hAnsi="宋体"/>
              </w:rPr>
              <w:t>/</w:t>
            </w:r>
          </w:p>
        </w:tc>
      </w:tr>
      <w:tr w14:paraId="66EA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41812FDA">
            <w:pPr>
              <w:spacing w:line="300" w:lineRule="exact"/>
              <w:jc w:val="center"/>
              <w:rPr>
                <w:rFonts w:hint="eastAsia" w:ascii="宋体" w:hAnsi="宋体"/>
              </w:rPr>
            </w:pPr>
            <w:r>
              <w:rPr>
                <w:rFonts w:hint="eastAsia" w:ascii="宋体" w:hAnsi="宋体"/>
              </w:rPr>
              <w:t>11.1</w:t>
            </w:r>
          </w:p>
        </w:tc>
        <w:tc>
          <w:tcPr>
            <w:tcW w:w="7566" w:type="dxa"/>
            <w:vAlign w:val="center"/>
          </w:tcPr>
          <w:p w14:paraId="141591D1">
            <w:pPr>
              <w:spacing w:line="300" w:lineRule="exact"/>
              <w:rPr>
                <w:rFonts w:hint="eastAsia" w:ascii="宋体" w:hAnsi="宋体"/>
              </w:rPr>
            </w:pPr>
            <w:r>
              <w:rPr>
                <w:rFonts w:hint="eastAsia" w:ascii="宋体" w:hAnsi="宋体"/>
              </w:rPr>
              <w:t>在采购及合同执行过程中，中标人应承担由其过失行为所造成的人身伤害、财产损失或损坏的责任。如果由干浙江大学宁波“五位一体”校区教育发展中心人员操作失误等造成的人身伤害、财产损失或损坏的责任，应由中标人承担。</w:t>
            </w:r>
          </w:p>
        </w:tc>
        <w:tc>
          <w:tcPr>
            <w:tcW w:w="483" w:type="dxa"/>
            <w:vAlign w:val="center"/>
          </w:tcPr>
          <w:p w14:paraId="1A87CDAE">
            <w:pPr>
              <w:rPr>
                <w:rFonts w:hint="eastAsia" w:ascii="宋体" w:hAnsi="宋体"/>
              </w:rPr>
            </w:pPr>
          </w:p>
        </w:tc>
      </w:tr>
      <w:tr w14:paraId="6E68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430D3AF2">
            <w:pPr>
              <w:spacing w:line="300" w:lineRule="exact"/>
              <w:jc w:val="center"/>
              <w:rPr>
                <w:rFonts w:hint="eastAsia" w:ascii="宋体" w:hAnsi="宋体"/>
              </w:rPr>
            </w:pPr>
            <w:r>
              <w:rPr>
                <w:rFonts w:hint="eastAsia" w:ascii="宋体" w:hAnsi="宋体"/>
              </w:rPr>
              <w:t>11.2</w:t>
            </w:r>
          </w:p>
        </w:tc>
        <w:tc>
          <w:tcPr>
            <w:tcW w:w="7566" w:type="dxa"/>
            <w:vAlign w:val="center"/>
          </w:tcPr>
          <w:p w14:paraId="6D9B396B">
            <w:pPr>
              <w:spacing w:line="300" w:lineRule="exact"/>
              <w:rPr>
                <w:rFonts w:hint="eastAsia" w:ascii="宋体" w:hAnsi="宋体"/>
              </w:rPr>
            </w:pPr>
            <w:r>
              <w:rPr>
                <w:rFonts w:hint="eastAsia" w:ascii="宋体" w:hAnsi="宋体"/>
              </w:rPr>
              <w:t>中标人在收到中标通知书至签订合同前，向采购人提供壹套纸质响应文件并加盖中标人公章及壹份电子响应文件（U盘），纸质响应文件应与投标时的电子加密文件内容一致，内容不一致的以电子加密文件为准。</w:t>
            </w:r>
          </w:p>
        </w:tc>
        <w:tc>
          <w:tcPr>
            <w:tcW w:w="483" w:type="dxa"/>
            <w:vAlign w:val="center"/>
          </w:tcPr>
          <w:p w14:paraId="76F6A019">
            <w:pPr>
              <w:rPr>
                <w:rFonts w:hint="eastAsia" w:ascii="宋体" w:hAnsi="宋体"/>
              </w:rPr>
            </w:pPr>
          </w:p>
        </w:tc>
      </w:tr>
    </w:tbl>
    <w:p w14:paraId="490E3C79">
      <w:pPr>
        <w:ind w:firstLine="211" w:firstLineChars="100"/>
      </w:pPr>
      <w:r>
        <w:rPr>
          <w:rFonts w:hint="eastAsia" w:ascii="宋体" w:hAnsi="宋体"/>
          <w:b/>
          <w:kern w:val="1"/>
          <w:szCs w:val="21"/>
        </w:rPr>
        <w:t>备注：上表所有商务内容属于</w:t>
      </w:r>
      <w:r>
        <w:rPr>
          <w:rFonts w:ascii="宋体" w:hAnsi="宋体"/>
          <w:b/>
          <w:kern w:val="1"/>
          <w:szCs w:val="21"/>
        </w:rPr>
        <w:t>实质性要求条款</w:t>
      </w:r>
      <w:r>
        <w:rPr>
          <w:rFonts w:hint="eastAsia" w:ascii="宋体" w:hAnsi="宋体"/>
          <w:b/>
          <w:kern w:val="1"/>
          <w:szCs w:val="21"/>
        </w:rPr>
        <w:t>，任何负偏离或未响应的作无效投标处理。</w:t>
      </w:r>
    </w:p>
    <w:p w14:paraId="4232C2B3">
      <w:pPr>
        <w:pStyle w:val="20"/>
        <w:rPr>
          <w:rFonts w:hint="eastAsia" w:ascii="宋体" w:hAnsi="宋体" w:cs="宋体"/>
          <w:b/>
          <w:bCs/>
          <w:kern w:val="2"/>
          <w:sz w:val="21"/>
        </w:rPr>
      </w:pPr>
    </w:p>
    <w:p w14:paraId="30643794">
      <w:pPr>
        <w:pStyle w:val="20"/>
        <w:rPr>
          <w:rFonts w:hint="eastAsia" w:ascii="宋体" w:hAnsi="宋体" w:cs="宋体"/>
          <w:b/>
          <w:bCs/>
          <w:kern w:val="2"/>
          <w:sz w:val="21"/>
        </w:rPr>
      </w:pPr>
    </w:p>
    <w:p w14:paraId="0FB4E77C">
      <w:pPr>
        <w:widowControl/>
        <w:jc w:val="left"/>
        <w:rPr>
          <w:rFonts w:hint="eastAsia" w:ascii="宋体" w:hAnsi="宋体"/>
          <w:b/>
          <w:kern w:val="1"/>
          <w:szCs w:val="21"/>
        </w:rPr>
      </w:pPr>
    </w:p>
    <w:p w14:paraId="2A2134CC">
      <w:pPr>
        <w:widowControl/>
        <w:jc w:val="left"/>
        <w:rPr>
          <w:rFonts w:hint="eastAsia" w:asciiTheme="majorEastAsia" w:hAnsiTheme="majorEastAsia" w:eastAsiaTheme="majorEastAsia"/>
          <w:b/>
          <w:bCs/>
        </w:rPr>
      </w:pPr>
      <w:r>
        <w:rPr>
          <w:rFonts w:asciiTheme="majorEastAsia" w:hAnsiTheme="majorEastAsia" w:eastAsiaTheme="majorEastAsia"/>
          <w:b/>
          <w:bCs/>
        </w:rPr>
        <w:br w:type="page"/>
      </w:r>
    </w:p>
    <w:bookmarkEnd w:id="33"/>
    <w:p w14:paraId="56F34B27">
      <w:pPr>
        <w:pStyle w:val="41"/>
        <w:spacing w:line="360" w:lineRule="auto"/>
        <w:rPr>
          <w:rFonts w:hint="eastAsia" w:asciiTheme="majorEastAsia" w:hAnsiTheme="majorEastAsia" w:eastAsiaTheme="majorEastAsia"/>
          <w:sz w:val="24"/>
        </w:rPr>
      </w:pPr>
      <w:bookmarkStart w:id="34" w:name="_Toc34844743"/>
      <w:r>
        <w:rPr>
          <w:rFonts w:hint="eastAsia" w:asciiTheme="majorEastAsia" w:hAnsiTheme="majorEastAsia" w:eastAsiaTheme="majorEastAsia"/>
          <w:sz w:val="24"/>
        </w:rPr>
        <w:t>第三章  投标人须知</w:t>
      </w:r>
      <w:bookmarkEnd w:id="34"/>
    </w:p>
    <w:p w14:paraId="4E96F73A">
      <w:pPr>
        <w:spacing w:line="360" w:lineRule="auto"/>
        <w:jc w:val="center"/>
        <w:rPr>
          <w:rFonts w:hint="eastAsia" w:asciiTheme="majorEastAsia" w:hAnsiTheme="majorEastAsia" w:eastAsiaTheme="majorEastAsia"/>
          <w:b/>
          <w:szCs w:val="21"/>
        </w:rPr>
      </w:pPr>
      <w:r>
        <w:rPr>
          <w:rFonts w:hint="eastAsia" w:asciiTheme="majorEastAsia" w:hAnsiTheme="majorEastAsia" w:eastAsiaTheme="majorEastAsia"/>
          <w:b/>
          <w:szCs w:val="21"/>
        </w:rPr>
        <w:t>《投标人须知前附表》</w:t>
      </w:r>
    </w:p>
    <w:p w14:paraId="109740AB">
      <w:pPr>
        <w:spacing w:line="360" w:lineRule="auto"/>
        <w:ind w:firstLine="424" w:firstLineChars="202"/>
        <w:jc w:val="left"/>
        <w:rPr>
          <w:rStyle w:val="389"/>
          <w:rFonts w:hint="default" w:asciiTheme="majorEastAsia" w:hAnsiTheme="majorEastAsia" w:eastAsiaTheme="majorEastAsia"/>
          <w:color w:val="auto"/>
          <w:sz w:val="21"/>
        </w:rPr>
      </w:pPr>
      <w:r>
        <w:rPr>
          <w:rStyle w:val="389"/>
          <w:rFonts w:hint="default" w:asciiTheme="majorEastAsia" w:hAnsiTheme="majorEastAsia" w:eastAsiaTheme="majorEastAsia"/>
          <w:color w:val="auto"/>
          <w:sz w:val="21"/>
        </w:rPr>
        <w:t>说明：投标人应仔细阅读招标文件的《第三章  投标人须知》，下面所列资料是对“投标人须知”的具体补充和说明。如有矛盾，以本表为准。</w:t>
      </w:r>
    </w:p>
    <w:tbl>
      <w:tblPr>
        <w:tblStyle w:val="44"/>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1020"/>
        <w:gridCol w:w="1418"/>
        <w:gridCol w:w="5757"/>
      </w:tblGrid>
      <w:tr w14:paraId="32267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598965F">
            <w:pPr>
              <w:jc w:val="center"/>
              <w:rPr>
                <w:rFonts w:hint="eastAsia" w:asciiTheme="majorEastAsia" w:hAnsiTheme="majorEastAsia" w:eastAsiaTheme="majorEastAsia"/>
                <w:b/>
                <w:szCs w:val="21"/>
              </w:rPr>
            </w:pPr>
            <w:r>
              <w:rPr>
                <w:rFonts w:hint="eastAsia" w:asciiTheme="majorEastAsia" w:hAnsiTheme="majorEastAsia" w:eastAsiaTheme="majorEastAsia"/>
                <w:b/>
                <w:szCs w:val="21"/>
              </w:rPr>
              <w:t>序号</w:t>
            </w:r>
          </w:p>
        </w:tc>
        <w:tc>
          <w:tcPr>
            <w:tcW w:w="1020" w:type="dxa"/>
            <w:tcBorders>
              <w:top w:val="single" w:color="auto" w:sz="4" w:space="0"/>
              <w:left w:val="single" w:color="auto" w:sz="4" w:space="0"/>
              <w:bottom w:val="single" w:color="auto" w:sz="4" w:space="0"/>
              <w:right w:val="single" w:color="auto" w:sz="4" w:space="0"/>
            </w:tcBorders>
            <w:vAlign w:val="center"/>
          </w:tcPr>
          <w:p w14:paraId="19CD8179">
            <w:pPr>
              <w:jc w:val="center"/>
              <w:rPr>
                <w:rFonts w:hint="eastAsia" w:asciiTheme="majorEastAsia" w:hAnsiTheme="majorEastAsia" w:eastAsiaTheme="majorEastAsia"/>
                <w:b/>
                <w:szCs w:val="21"/>
              </w:rPr>
            </w:pPr>
            <w:r>
              <w:rPr>
                <w:rFonts w:hint="eastAsia" w:asciiTheme="majorEastAsia" w:hAnsiTheme="majorEastAsia" w:eastAsiaTheme="majorEastAsia"/>
                <w:b/>
                <w:szCs w:val="21"/>
              </w:rPr>
              <w:t>条款号</w:t>
            </w:r>
          </w:p>
        </w:tc>
        <w:tc>
          <w:tcPr>
            <w:tcW w:w="1418" w:type="dxa"/>
            <w:tcBorders>
              <w:top w:val="single" w:color="auto" w:sz="4" w:space="0"/>
              <w:left w:val="single" w:color="auto" w:sz="4" w:space="0"/>
              <w:bottom w:val="single" w:color="auto" w:sz="4" w:space="0"/>
              <w:right w:val="single" w:color="auto" w:sz="4" w:space="0"/>
            </w:tcBorders>
            <w:vAlign w:val="center"/>
          </w:tcPr>
          <w:p w14:paraId="7BECB2F4">
            <w:pPr>
              <w:jc w:val="center"/>
              <w:rPr>
                <w:rFonts w:hint="eastAsia" w:asciiTheme="majorEastAsia" w:hAnsiTheme="majorEastAsia" w:eastAsiaTheme="majorEastAsia"/>
                <w:b/>
                <w:szCs w:val="21"/>
              </w:rPr>
            </w:pPr>
            <w:r>
              <w:rPr>
                <w:rFonts w:hint="eastAsia" w:asciiTheme="majorEastAsia" w:hAnsiTheme="majorEastAsia" w:eastAsiaTheme="majorEastAsia"/>
                <w:b/>
                <w:szCs w:val="21"/>
              </w:rPr>
              <w:t>条款名称</w:t>
            </w:r>
          </w:p>
        </w:tc>
        <w:tc>
          <w:tcPr>
            <w:tcW w:w="5757" w:type="dxa"/>
            <w:tcBorders>
              <w:top w:val="single" w:color="auto" w:sz="4" w:space="0"/>
              <w:left w:val="single" w:color="auto" w:sz="4" w:space="0"/>
              <w:bottom w:val="single" w:color="auto" w:sz="4" w:space="0"/>
              <w:right w:val="single" w:color="auto" w:sz="4" w:space="0"/>
            </w:tcBorders>
            <w:vAlign w:val="center"/>
          </w:tcPr>
          <w:p w14:paraId="429A3D17">
            <w:pPr>
              <w:jc w:val="center"/>
              <w:rPr>
                <w:rFonts w:hint="eastAsia" w:asciiTheme="majorEastAsia" w:hAnsiTheme="majorEastAsia" w:eastAsiaTheme="majorEastAsia"/>
                <w:b/>
                <w:szCs w:val="21"/>
              </w:rPr>
            </w:pPr>
            <w:r>
              <w:rPr>
                <w:rFonts w:hint="eastAsia" w:asciiTheme="majorEastAsia" w:hAnsiTheme="majorEastAsia" w:eastAsiaTheme="majorEastAsia"/>
                <w:b/>
                <w:szCs w:val="21"/>
              </w:rPr>
              <w:t>内容、要求</w:t>
            </w:r>
          </w:p>
        </w:tc>
      </w:tr>
      <w:tr w14:paraId="63BF0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9C98110">
            <w:pPr>
              <w:jc w:val="center"/>
              <w:rPr>
                <w:rFonts w:hint="eastAsia" w:asciiTheme="majorEastAsia" w:hAnsiTheme="majorEastAsia" w:eastAsiaTheme="majorEastAsia"/>
                <w:szCs w:val="21"/>
              </w:rPr>
            </w:pPr>
            <w:r>
              <w:rPr>
                <w:rFonts w:hint="eastAsia" w:asciiTheme="majorEastAsia" w:hAnsiTheme="majorEastAsia" w:eastAsiaTheme="majorEastAsia"/>
                <w:szCs w:val="21"/>
              </w:rPr>
              <w:t>1</w:t>
            </w:r>
          </w:p>
        </w:tc>
        <w:tc>
          <w:tcPr>
            <w:tcW w:w="1020" w:type="dxa"/>
            <w:tcBorders>
              <w:top w:val="single" w:color="auto" w:sz="4" w:space="0"/>
              <w:left w:val="single" w:color="auto" w:sz="4" w:space="0"/>
              <w:bottom w:val="single" w:color="auto" w:sz="4" w:space="0"/>
              <w:right w:val="single" w:color="auto" w:sz="4" w:space="0"/>
            </w:tcBorders>
            <w:vAlign w:val="center"/>
          </w:tcPr>
          <w:p w14:paraId="1268F1CC">
            <w:pPr>
              <w:jc w:val="center"/>
              <w:rPr>
                <w:rFonts w:hint="eastAsia" w:asciiTheme="majorEastAsia" w:hAnsiTheme="majorEastAsia" w:eastAsiaTheme="majorEastAsia"/>
                <w:szCs w:val="21"/>
              </w:rPr>
            </w:pPr>
            <w:r>
              <w:rPr>
                <w:rFonts w:hint="eastAsia" w:asciiTheme="majorEastAsia" w:hAnsiTheme="majorEastAsia" w:eastAsiaTheme="majorEastAsia"/>
                <w:szCs w:val="21"/>
              </w:rPr>
              <w:t>2.1</w:t>
            </w:r>
          </w:p>
        </w:tc>
        <w:tc>
          <w:tcPr>
            <w:tcW w:w="1418" w:type="dxa"/>
            <w:tcBorders>
              <w:top w:val="single" w:color="auto" w:sz="4" w:space="0"/>
              <w:left w:val="single" w:color="auto" w:sz="4" w:space="0"/>
              <w:bottom w:val="single" w:color="auto" w:sz="4" w:space="0"/>
              <w:right w:val="single" w:color="auto" w:sz="4" w:space="0"/>
            </w:tcBorders>
            <w:vAlign w:val="center"/>
          </w:tcPr>
          <w:p w14:paraId="5F10CE50">
            <w:pPr>
              <w:rPr>
                <w:rFonts w:hint="eastAsia" w:asciiTheme="majorEastAsia" w:hAnsiTheme="majorEastAsia" w:eastAsiaTheme="majorEastAsia"/>
                <w:szCs w:val="21"/>
              </w:rPr>
            </w:pPr>
            <w:r>
              <w:rPr>
                <w:rFonts w:hint="eastAsia" w:asciiTheme="majorEastAsia" w:hAnsiTheme="majorEastAsia" w:eastAsiaTheme="majorEastAsia"/>
                <w:szCs w:val="21"/>
              </w:rPr>
              <w:t>采购人</w:t>
            </w:r>
          </w:p>
        </w:tc>
        <w:tc>
          <w:tcPr>
            <w:tcW w:w="5757" w:type="dxa"/>
            <w:tcBorders>
              <w:top w:val="single" w:color="auto" w:sz="4" w:space="0"/>
              <w:left w:val="single" w:color="auto" w:sz="4" w:space="0"/>
              <w:bottom w:val="single" w:color="auto" w:sz="4" w:space="0"/>
              <w:right w:val="single" w:color="auto" w:sz="4" w:space="0"/>
            </w:tcBorders>
            <w:vAlign w:val="center"/>
          </w:tcPr>
          <w:p w14:paraId="22C7BD8A">
            <w:pPr>
              <w:jc w:val="left"/>
              <w:rPr>
                <w:rFonts w:hint="eastAsia" w:asciiTheme="majorEastAsia" w:hAnsiTheme="majorEastAsia" w:eastAsiaTheme="majorEastAsia"/>
                <w:szCs w:val="21"/>
              </w:rPr>
            </w:pPr>
            <w:r>
              <w:rPr>
                <w:rFonts w:hint="eastAsia" w:asciiTheme="majorEastAsia" w:hAnsiTheme="majorEastAsia" w:eastAsiaTheme="majorEastAsia"/>
                <w:szCs w:val="21"/>
              </w:rPr>
              <w:t>浙江大学宁波“五位一体”校区教育发展中心</w:t>
            </w:r>
          </w:p>
        </w:tc>
      </w:tr>
      <w:tr w14:paraId="71D03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3AAACF9">
            <w:pPr>
              <w:jc w:val="center"/>
              <w:rPr>
                <w:rFonts w:hint="eastAsia" w:asciiTheme="majorEastAsia" w:hAnsiTheme="majorEastAsia" w:eastAsiaTheme="majorEastAsia"/>
                <w:szCs w:val="21"/>
              </w:rPr>
            </w:pPr>
            <w:r>
              <w:rPr>
                <w:rFonts w:hint="eastAsia" w:asciiTheme="majorEastAsia" w:hAnsiTheme="majorEastAsia" w:eastAsiaTheme="majorEastAsia"/>
                <w:szCs w:val="21"/>
              </w:rPr>
              <w:t>2</w:t>
            </w:r>
          </w:p>
        </w:tc>
        <w:tc>
          <w:tcPr>
            <w:tcW w:w="1020" w:type="dxa"/>
            <w:tcBorders>
              <w:top w:val="single" w:color="auto" w:sz="4" w:space="0"/>
              <w:left w:val="single" w:color="auto" w:sz="4" w:space="0"/>
              <w:bottom w:val="single" w:color="auto" w:sz="4" w:space="0"/>
              <w:right w:val="single" w:color="auto" w:sz="4" w:space="0"/>
            </w:tcBorders>
            <w:vAlign w:val="center"/>
          </w:tcPr>
          <w:p w14:paraId="35BAA121">
            <w:pPr>
              <w:jc w:val="center"/>
              <w:rPr>
                <w:rFonts w:hint="eastAsia" w:asciiTheme="majorEastAsia" w:hAnsiTheme="majorEastAsia" w:eastAsiaTheme="majorEastAsia"/>
                <w:szCs w:val="21"/>
              </w:rPr>
            </w:pPr>
            <w:r>
              <w:rPr>
                <w:rFonts w:hint="eastAsia" w:asciiTheme="majorEastAsia" w:hAnsiTheme="majorEastAsia" w:eastAsiaTheme="majorEastAsia"/>
                <w:szCs w:val="21"/>
              </w:rPr>
              <w:t>2.2</w:t>
            </w:r>
          </w:p>
        </w:tc>
        <w:tc>
          <w:tcPr>
            <w:tcW w:w="1418" w:type="dxa"/>
            <w:tcBorders>
              <w:top w:val="single" w:color="auto" w:sz="4" w:space="0"/>
              <w:left w:val="single" w:color="auto" w:sz="4" w:space="0"/>
              <w:bottom w:val="single" w:color="auto" w:sz="4" w:space="0"/>
              <w:right w:val="single" w:color="auto" w:sz="4" w:space="0"/>
            </w:tcBorders>
            <w:vAlign w:val="center"/>
          </w:tcPr>
          <w:p w14:paraId="53C42C34">
            <w:pPr>
              <w:rPr>
                <w:rFonts w:hint="eastAsia" w:asciiTheme="majorEastAsia" w:hAnsiTheme="majorEastAsia" w:eastAsiaTheme="majorEastAsia"/>
                <w:szCs w:val="21"/>
              </w:rPr>
            </w:pPr>
            <w:r>
              <w:rPr>
                <w:rFonts w:hint="eastAsia" w:asciiTheme="majorEastAsia" w:hAnsiTheme="majorEastAsia" w:eastAsiaTheme="majorEastAsia"/>
                <w:szCs w:val="21"/>
              </w:rPr>
              <w:t>采购代理机构</w:t>
            </w:r>
          </w:p>
        </w:tc>
        <w:tc>
          <w:tcPr>
            <w:tcW w:w="5757" w:type="dxa"/>
            <w:tcBorders>
              <w:top w:val="single" w:color="auto" w:sz="4" w:space="0"/>
              <w:left w:val="single" w:color="auto" w:sz="4" w:space="0"/>
              <w:bottom w:val="single" w:color="auto" w:sz="4" w:space="0"/>
              <w:right w:val="single" w:color="auto" w:sz="4" w:space="0"/>
            </w:tcBorders>
            <w:vAlign w:val="center"/>
          </w:tcPr>
          <w:p w14:paraId="27E0B017">
            <w:pPr>
              <w:jc w:val="left"/>
              <w:rPr>
                <w:rFonts w:hint="eastAsia" w:asciiTheme="majorEastAsia" w:hAnsiTheme="majorEastAsia" w:eastAsiaTheme="majorEastAsia"/>
                <w:szCs w:val="21"/>
              </w:rPr>
            </w:pPr>
            <w:r>
              <w:rPr>
                <w:rFonts w:hint="eastAsia" w:asciiTheme="majorEastAsia" w:hAnsiTheme="majorEastAsia" w:eastAsiaTheme="majorEastAsia"/>
                <w:szCs w:val="21"/>
              </w:rPr>
              <w:t>宁波名诚招标代理有限公司</w:t>
            </w:r>
          </w:p>
        </w:tc>
      </w:tr>
      <w:tr w14:paraId="2EBDE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CC49A48">
            <w:pPr>
              <w:jc w:val="center"/>
              <w:rPr>
                <w:rFonts w:hint="eastAsia" w:asciiTheme="majorEastAsia" w:hAnsiTheme="majorEastAsia" w:eastAsiaTheme="majorEastAsia"/>
                <w:szCs w:val="21"/>
              </w:rPr>
            </w:pPr>
            <w:r>
              <w:rPr>
                <w:rFonts w:hint="eastAsia" w:asciiTheme="majorEastAsia" w:hAnsiTheme="majorEastAsia" w:eastAsiaTheme="majorEastAsia"/>
                <w:szCs w:val="21"/>
              </w:rPr>
              <w:t>3</w:t>
            </w:r>
          </w:p>
        </w:tc>
        <w:tc>
          <w:tcPr>
            <w:tcW w:w="1020" w:type="dxa"/>
            <w:tcBorders>
              <w:top w:val="single" w:color="auto" w:sz="4" w:space="0"/>
              <w:left w:val="single" w:color="auto" w:sz="4" w:space="0"/>
              <w:bottom w:val="single" w:color="auto" w:sz="4" w:space="0"/>
              <w:right w:val="single" w:color="auto" w:sz="4" w:space="0"/>
            </w:tcBorders>
            <w:vAlign w:val="center"/>
          </w:tcPr>
          <w:p w14:paraId="7D5FB0F7">
            <w:pPr>
              <w:jc w:val="center"/>
              <w:rPr>
                <w:rFonts w:hint="eastAsia" w:asciiTheme="majorEastAsia" w:hAnsiTheme="majorEastAsia" w:eastAsiaTheme="majorEastAsia"/>
                <w:szCs w:val="21"/>
              </w:rPr>
            </w:pPr>
            <w:r>
              <w:rPr>
                <w:rFonts w:hint="eastAsia" w:asciiTheme="majorEastAsia" w:hAnsiTheme="majorEastAsia" w:eastAsiaTheme="majorEastAsia"/>
                <w:szCs w:val="21"/>
              </w:rPr>
              <w:t>▲5</w:t>
            </w:r>
          </w:p>
        </w:tc>
        <w:tc>
          <w:tcPr>
            <w:tcW w:w="1418" w:type="dxa"/>
            <w:tcBorders>
              <w:top w:val="single" w:color="auto" w:sz="4" w:space="0"/>
              <w:left w:val="single" w:color="auto" w:sz="4" w:space="0"/>
              <w:bottom w:val="single" w:color="auto" w:sz="4" w:space="0"/>
              <w:right w:val="single" w:color="auto" w:sz="4" w:space="0"/>
            </w:tcBorders>
            <w:vAlign w:val="center"/>
          </w:tcPr>
          <w:p w14:paraId="5B14FAC0">
            <w:pPr>
              <w:spacing w:line="300" w:lineRule="exact"/>
              <w:rPr>
                <w:rFonts w:hint="eastAsia" w:asciiTheme="majorEastAsia" w:hAnsiTheme="majorEastAsia" w:eastAsiaTheme="majorEastAsia"/>
                <w:szCs w:val="21"/>
              </w:rPr>
            </w:pPr>
            <w:r>
              <w:rPr>
                <w:rFonts w:cs="Arial" w:asciiTheme="majorEastAsia" w:hAnsiTheme="majorEastAsia" w:eastAsiaTheme="majorEastAsia"/>
                <w:szCs w:val="21"/>
              </w:rPr>
              <w:t>转包</w:t>
            </w:r>
            <w:r>
              <w:rPr>
                <w:rFonts w:hint="eastAsia" w:cs="Arial" w:asciiTheme="majorEastAsia" w:hAnsiTheme="majorEastAsia" w:eastAsiaTheme="majorEastAsia"/>
                <w:szCs w:val="21"/>
              </w:rPr>
              <w:t>与分包</w:t>
            </w:r>
          </w:p>
        </w:tc>
        <w:tc>
          <w:tcPr>
            <w:tcW w:w="5757" w:type="dxa"/>
            <w:tcBorders>
              <w:top w:val="single" w:color="auto" w:sz="4" w:space="0"/>
              <w:left w:val="single" w:color="auto" w:sz="4" w:space="0"/>
              <w:bottom w:val="single" w:color="auto" w:sz="4" w:space="0"/>
              <w:right w:val="single" w:color="auto" w:sz="4" w:space="0"/>
            </w:tcBorders>
            <w:vAlign w:val="center"/>
          </w:tcPr>
          <w:p w14:paraId="4EE47DE0">
            <w:pPr>
              <w:spacing w:line="300" w:lineRule="exact"/>
              <w:ind w:firstLine="29" w:firstLineChars="14"/>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本项目依法不允许转包与分包。</w:t>
            </w:r>
          </w:p>
        </w:tc>
      </w:tr>
      <w:tr w14:paraId="01A77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6D30D80">
            <w:pPr>
              <w:jc w:val="center"/>
              <w:rPr>
                <w:rFonts w:hint="eastAsia" w:asciiTheme="majorEastAsia" w:hAnsiTheme="majorEastAsia" w:eastAsiaTheme="majorEastAsia"/>
                <w:szCs w:val="21"/>
              </w:rPr>
            </w:pPr>
            <w:r>
              <w:rPr>
                <w:rFonts w:hint="eastAsia" w:asciiTheme="majorEastAsia" w:hAnsiTheme="majorEastAsia" w:eastAsiaTheme="majorEastAsia"/>
                <w:szCs w:val="21"/>
              </w:rPr>
              <w:t>4</w:t>
            </w:r>
          </w:p>
        </w:tc>
        <w:tc>
          <w:tcPr>
            <w:tcW w:w="1020" w:type="dxa"/>
            <w:tcBorders>
              <w:top w:val="single" w:color="auto" w:sz="4" w:space="0"/>
              <w:left w:val="single" w:color="auto" w:sz="4" w:space="0"/>
              <w:bottom w:val="single" w:color="auto" w:sz="4" w:space="0"/>
              <w:right w:val="single" w:color="auto" w:sz="4" w:space="0"/>
            </w:tcBorders>
            <w:vAlign w:val="center"/>
          </w:tcPr>
          <w:p w14:paraId="29B9CCCE">
            <w:pPr>
              <w:jc w:val="center"/>
              <w:rPr>
                <w:rFonts w:hint="eastAsia" w:asciiTheme="majorEastAsia" w:hAnsiTheme="majorEastAsia" w:eastAsiaTheme="majorEastAsia"/>
                <w:szCs w:val="21"/>
              </w:rPr>
            </w:pPr>
            <w:r>
              <w:rPr>
                <w:rFonts w:hint="eastAsia" w:asciiTheme="majorEastAsia" w:hAnsiTheme="majorEastAsia" w:eastAsiaTheme="majorEastAsia"/>
                <w:szCs w:val="21"/>
              </w:rPr>
              <w:t>8.3</w:t>
            </w:r>
          </w:p>
        </w:tc>
        <w:tc>
          <w:tcPr>
            <w:tcW w:w="1418" w:type="dxa"/>
            <w:tcBorders>
              <w:top w:val="single" w:color="auto" w:sz="4" w:space="0"/>
              <w:left w:val="single" w:color="auto" w:sz="4" w:space="0"/>
              <w:bottom w:val="single" w:color="auto" w:sz="4" w:space="0"/>
              <w:right w:val="single" w:color="auto" w:sz="4" w:space="0"/>
            </w:tcBorders>
            <w:vAlign w:val="center"/>
          </w:tcPr>
          <w:p w14:paraId="57F2C47D">
            <w:pPr>
              <w:rPr>
                <w:rFonts w:hint="eastAsia" w:asciiTheme="majorEastAsia" w:hAnsiTheme="majorEastAsia" w:eastAsiaTheme="majorEastAsia"/>
                <w:szCs w:val="21"/>
              </w:rPr>
            </w:pPr>
            <w:r>
              <w:rPr>
                <w:rFonts w:hint="eastAsia" w:asciiTheme="majorEastAsia" w:hAnsiTheme="majorEastAsia" w:eastAsiaTheme="majorEastAsia"/>
                <w:szCs w:val="21"/>
              </w:rPr>
              <w:t>质疑函的接收和发送</w:t>
            </w:r>
          </w:p>
        </w:tc>
        <w:tc>
          <w:tcPr>
            <w:tcW w:w="5757" w:type="dxa"/>
            <w:tcBorders>
              <w:top w:val="single" w:color="auto" w:sz="4" w:space="0"/>
              <w:left w:val="single" w:color="auto" w:sz="4" w:space="0"/>
              <w:bottom w:val="single" w:color="auto" w:sz="4" w:space="0"/>
              <w:right w:val="single" w:color="auto" w:sz="4" w:space="0"/>
            </w:tcBorders>
            <w:vAlign w:val="center"/>
          </w:tcPr>
          <w:p w14:paraId="1768DE75">
            <w:pPr>
              <w:ind w:firstLine="29" w:firstLineChars="14"/>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联系人：方芳</w:t>
            </w:r>
          </w:p>
          <w:p w14:paraId="2D2AE953">
            <w:pPr>
              <w:ind w:firstLine="29" w:firstLineChars="14"/>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联系电话：0574-87101271</w:t>
            </w:r>
          </w:p>
          <w:p w14:paraId="6245DF2E">
            <w:pPr>
              <w:ind w:firstLine="29" w:firstLineChars="14"/>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电子邮箱：</w:t>
            </w:r>
            <w:r>
              <w:rPr>
                <w:rFonts w:asciiTheme="majorEastAsia" w:hAnsiTheme="majorEastAsia" w:eastAsiaTheme="majorEastAsia"/>
                <w:bCs/>
                <w:szCs w:val="21"/>
              </w:rPr>
              <w:t>791986246@qq.com</w:t>
            </w:r>
          </w:p>
          <w:p w14:paraId="2D8FD33C">
            <w:pPr>
              <w:ind w:firstLine="29" w:firstLineChars="14"/>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通讯（邮寄）地址：宁波市海曙区江汇城496号姚江时代14幢3楼。</w:t>
            </w:r>
          </w:p>
        </w:tc>
      </w:tr>
      <w:tr w14:paraId="6CBB9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FB53BC8">
            <w:pPr>
              <w:jc w:val="center"/>
              <w:rPr>
                <w:rFonts w:hint="eastAsia" w:asciiTheme="majorEastAsia" w:hAnsiTheme="majorEastAsia" w:eastAsiaTheme="majorEastAsia"/>
                <w:szCs w:val="21"/>
              </w:rPr>
            </w:pPr>
            <w:r>
              <w:rPr>
                <w:rFonts w:hint="eastAsia" w:asciiTheme="majorEastAsia" w:hAnsiTheme="majorEastAsia" w:eastAsiaTheme="majorEastAsia"/>
                <w:szCs w:val="21"/>
              </w:rPr>
              <w:t>5</w:t>
            </w:r>
          </w:p>
        </w:tc>
        <w:tc>
          <w:tcPr>
            <w:tcW w:w="1020" w:type="dxa"/>
            <w:tcBorders>
              <w:top w:val="single" w:color="auto" w:sz="4" w:space="0"/>
              <w:left w:val="single" w:color="auto" w:sz="4" w:space="0"/>
              <w:bottom w:val="single" w:color="auto" w:sz="4" w:space="0"/>
              <w:right w:val="single" w:color="auto" w:sz="4" w:space="0"/>
            </w:tcBorders>
            <w:vAlign w:val="center"/>
          </w:tcPr>
          <w:p w14:paraId="36C31B35">
            <w:pPr>
              <w:jc w:val="center"/>
              <w:rPr>
                <w:rFonts w:hint="eastAsia" w:asciiTheme="majorEastAsia" w:hAnsiTheme="majorEastAsia" w:eastAsiaTheme="majorEastAsia"/>
                <w:szCs w:val="21"/>
              </w:rPr>
            </w:pPr>
            <w:r>
              <w:rPr>
                <w:rFonts w:hint="eastAsia" w:asciiTheme="majorEastAsia" w:hAnsiTheme="majorEastAsia" w:eastAsiaTheme="majorEastAsia"/>
                <w:szCs w:val="21"/>
              </w:rPr>
              <w:t>10</w:t>
            </w:r>
          </w:p>
        </w:tc>
        <w:tc>
          <w:tcPr>
            <w:tcW w:w="1418" w:type="dxa"/>
            <w:tcBorders>
              <w:top w:val="single" w:color="auto" w:sz="4" w:space="0"/>
              <w:left w:val="single" w:color="auto" w:sz="4" w:space="0"/>
              <w:bottom w:val="single" w:color="auto" w:sz="4" w:space="0"/>
              <w:right w:val="single" w:color="auto" w:sz="4" w:space="0"/>
            </w:tcBorders>
            <w:vAlign w:val="center"/>
          </w:tcPr>
          <w:p w14:paraId="75F7A465">
            <w:pPr>
              <w:rPr>
                <w:rFonts w:hint="eastAsia" w:asciiTheme="majorEastAsia" w:hAnsiTheme="majorEastAsia" w:eastAsiaTheme="majorEastAsia"/>
                <w:szCs w:val="21"/>
              </w:rPr>
            </w:pPr>
            <w:r>
              <w:rPr>
                <w:rFonts w:hint="eastAsia" w:asciiTheme="majorEastAsia" w:hAnsiTheme="majorEastAsia" w:eastAsiaTheme="majorEastAsia"/>
                <w:szCs w:val="21"/>
              </w:rPr>
              <w:t>政府采购信息发布媒体</w:t>
            </w:r>
          </w:p>
        </w:tc>
        <w:tc>
          <w:tcPr>
            <w:tcW w:w="5757" w:type="dxa"/>
            <w:tcBorders>
              <w:top w:val="single" w:color="auto" w:sz="4" w:space="0"/>
              <w:left w:val="single" w:color="auto" w:sz="4" w:space="0"/>
              <w:bottom w:val="single" w:color="auto" w:sz="4" w:space="0"/>
              <w:right w:val="single" w:color="auto" w:sz="4" w:space="0"/>
            </w:tcBorders>
            <w:vAlign w:val="center"/>
          </w:tcPr>
          <w:p w14:paraId="386A9AA6">
            <w:pPr>
              <w:ind w:firstLine="29" w:firstLineChars="14"/>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宁波政府采购网、浙江政府采购网。</w:t>
            </w:r>
          </w:p>
        </w:tc>
      </w:tr>
      <w:tr w14:paraId="0543B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2D406A2">
            <w:pPr>
              <w:jc w:val="center"/>
              <w:rPr>
                <w:rFonts w:hint="eastAsia" w:asciiTheme="majorEastAsia" w:hAnsiTheme="majorEastAsia" w:eastAsiaTheme="majorEastAsia"/>
                <w:szCs w:val="21"/>
              </w:rPr>
            </w:pPr>
            <w:r>
              <w:rPr>
                <w:rFonts w:hint="eastAsia" w:asciiTheme="majorEastAsia" w:hAnsiTheme="majorEastAsia" w:eastAsiaTheme="majorEastAsia"/>
                <w:szCs w:val="21"/>
              </w:rPr>
              <w:t>6</w:t>
            </w:r>
          </w:p>
        </w:tc>
        <w:tc>
          <w:tcPr>
            <w:tcW w:w="1020" w:type="dxa"/>
            <w:tcBorders>
              <w:top w:val="single" w:color="auto" w:sz="4" w:space="0"/>
              <w:left w:val="single" w:color="auto" w:sz="4" w:space="0"/>
              <w:bottom w:val="single" w:color="auto" w:sz="4" w:space="0"/>
              <w:right w:val="single" w:color="auto" w:sz="4" w:space="0"/>
            </w:tcBorders>
            <w:vAlign w:val="center"/>
          </w:tcPr>
          <w:p w14:paraId="4B0F6D90">
            <w:pPr>
              <w:jc w:val="center"/>
              <w:rPr>
                <w:rFonts w:hint="eastAsia" w:asciiTheme="majorEastAsia" w:hAnsiTheme="majorEastAsia" w:eastAsiaTheme="majorEastAsia"/>
                <w:szCs w:val="21"/>
              </w:rPr>
            </w:pPr>
            <w:r>
              <w:rPr>
                <w:rFonts w:hint="eastAsia" w:asciiTheme="majorEastAsia" w:hAnsiTheme="majorEastAsia" w:eastAsiaTheme="majorEastAsia"/>
                <w:szCs w:val="21"/>
              </w:rPr>
              <w:t>11.1</w:t>
            </w:r>
          </w:p>
        </w:tc>
        <w:tc>
          <w:tcPr>
            <w:tcW w:w="1418" w:type="dxa"/>
            <w:tcBorders>
              <w:top w:val="single" w:color="auto" w:sz="4" w:space="0"/>
              <w:left w:val="single" w:color="auto" w:sz="4" w:space="0"/>
              <w:bottom w:val="single" w:color="auto" w:sz="4" w:space="0"/>
              <w:right w:val="single" w:color="auto" w:sz="4" w:space="0"/>
            </w:tcBorders>
            <w:vAlign w:val="center"/>
          </w:tcPr>
          <w:p w14:paraId="29EAF8C4">
            <w:pPr>
              <w:rPr>
                <w:rFonts w:hint="eastAsia" w:asciiTheme="majorEastAsia" w:hAnsiTheme="majorEastAsia" w:eastAsiaTheme="majorEastAsia"/>
                <w:szCs w:val="21"/>
              </w:rPr>
            </w:pPr>
            <w:r>
              <w:rPr>
                <w:rFonts w:hint="eastAsia" w:asciiTheme="majorEastAsia" w:hAnsiTheme="majorEastAsia" w:eastAsiaTheme="majorEastAsia"/>
                <w:szCs w:val="21"/>
              </w:rPr>
              <w:t>采购</w:t>
            </w:r>
            <w:r>
              <w:rPr>
                <w:rFonts w:asciiTheme="majorEastAsia" w:hAnsiTheme="majorEastAsia" w:eastAsiaTheme="majorEastAsia"/>
                <w:szCs w:val="21"/>
              </w:rPr>
              <w:t>代理</w:t>
            </w:r>
            <w:r>
              <w:rPr>
                <w:rFonts w:hint="eastAsia" w:asciiTheme="majorEastAsia" w:hAnsiTheme="majorEastAsia" w:eastAsiaTheme="majorEastAsia"/>
                <w:szCs w:val="21"/>
              </w:rPr>
              <w:t>服务</w:t>
            </w:r>
            <w:r>
              <w:rPr>
                <w:rFonts w:asciiTheme="majorEastAsia" w:hAnsiTheme="majorEastAsia" w:eastAsiaTheme="majorEastAsia"/>
                <w:szCs w:val="21"/>
              </w:rPr>
              <w:t>费用的收取标准</w:t>
            </w:r>
          </w:p>
        </w:tc>
        <w:tc>
          <w:tcPr>
            <w:tcW w:w="5757" w:type="dxa"/>
            <w:tcBorders>
              <w:top w:val="single" w:color="auto" w:sz="4" w:space="0"/>
              <w:left w:val="single" w:color="auto" w:sz="4" w:space="0"/>
              <w:bottom w:val="single" w:color="auto" w:sz="4" w:space="0"/>
              <w:right w:val="single" w:color="auto" w:sz="4" w:space="0"/>
            </w:tcBorders>
            <w:vAlign w:val="center"/>
          </w:tcPr>
          <w:p w14:paraId="36564DAC">
            <w:pPr>
              <w:ind w:firstLine="29" w:firstLineChars="14"/>
              <w:jc w:val="left"/>
              <w:rPr>
                <w:rFonts w:hint="eastAsia" w:ascii="宋体" w:hAnsi="宋体"/>
                <w:bCs/>
                <w:szCs w:val="21"/>
              </w:rPr>
            </w:pPr>
            <w:r>
              <w:rPr>
                <w:rFonts w:hint="eastAsia" w:ascii="宋体" w:hAnsi="宋体"/>
                <w:bCs/>
                <w:szCs w:val="21"/>
              </w:rPr>
              <w:t>1）根据国家发改委发改办价格[2003]857号通知和原国家计委计价格[2002]1980号文件规定的收费费率为取费标准。</w:t>
            </w:r>
          </w:p>
          <w:p w14:paraId="27EE8A7D">
            <w:pPr>
              <w:ind w:firstLine="29" w:firstLineChars="14"/>
              <w:jc w:val="left"/>
              <w:rPr>
                <w:rFonts w:hint="eastAsia" w:ascii="宋体" w:hAnsi="宋体"/>
                <w:bCs/>
                <w:szCs w:val="21"/>
              </w:rPr>
            </w:pPr>
            <w:r>
              <w:rPr>
                <w:rFonts w:hint="eastAsia" w:ascii="宋体" w:hAnsi="宋体"/>
                <w:bCs/>
                <w:szCs w:val="21"/>
              </w:rPr>
              <w:t>2）以中标通知书确定的预算总金额为计算基数，结合上述费率标准计算本项目各标项的</w:t>
            </w:r>
            <w:r>
              <w:rPr>
                <w:rFonts w:ascii="宋体" w:hAnsi="宋体"/>
                <w:bCs/>
                <w:szCs w:val="21"/>
              </w:rPr>
              <w:t>代理</w:t>
            </w:r>
            <w:r>
              <w:rPr>
                <w:rFonts w:hint="eastAsia" w:ascii="宋体" w:hAnsi="宋体"/>
                <w:bCs/>
                <w:szCs w:val="21"/>
              </w:rPr>
              <w:t>服务</w:t>
            </w:r>
            <w:r>
              <w:rPr>
                <w:rFonts w:ascii="宋体" w:hAnsi="宋体"/>
                <w:bCs/>
                <w:szCs w:val="21"/>
              </w:rPr>
              <w:t>费用</w:t>
            </w:r>
            <w:r>
              <w:rPr>
                <w:rFonts w:hint="eastAsia" w:ascii="宋体" w:hAnsi="宋体"/>
                <w:bCs/>
                <w:szCs w:val="21"/>
              </w:rPr>
              <w:t>。</w:t>
            </w:r>
          </w:p>
        </w:tc>
      </w:tr>
      <w:tr w14:paraId="08C5D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0D44FB2">
            <w:pPr>
              <w:jc w:val="center"/>
              <w:rPr>
                <w:rFonts w:hint="eastAsia" w:asciiTheme="majorEastAsia" w:hAnsiTheme="majorEastAsia" w:eastAsiaTheme="majorEastAsia"/>
                <w:szCs w:val="21"/>
              </w:rPr>
            </w:pPr>
            <w:r>
              <w:rPr>
                <w:rFonts w:hint="eastAsia" w:asciiTheme="majorEastAsia" w:hAnsiTheme="majorEastAsia" w:eastAsiaTheme="majorEastAsia"/>
                <w:szCs w:val="21"/>
              </w:rPr>
              <w:t>7</w:t>
            </w:r>
          </w:p>
        </w:tc>
        <w:tc>
          <w:tcPr>
            <w:tcW w:w="1020" w:type="dxa"/>
            <w:tcBorders>
              <w:top w:val="single" w:color="auto" w:sz="4" w:space="0"/>
              <w:left w:val="single" w:color="auto" w:sz="4" w:space="0"/>
              <w:bottom w:val="single" w:color="auto" w:sz="4" w:space="0"/>
              <w:right w:val="single" w:color="auto" w:sz="4" w:space="0"/>
            </w:tcBorders>
            <w:vAlign w:val="center"/>
          </w:tcPr>
          <w:p w14:paraId="3C020A13">
            <w:pPr>
              <w:jc w:val="center"/>
              <w:rPr>
                <w:rFonts w:hint="eastAsia" w:asciiTheme="majorEastAsia" w:hAnsiTheme="majorEastAsia" w:eastAsiaTheme="majorEastAsia"/>
                <w:szCs w:val="21"/>
              </w:rPr>
            </w:pPr>
            <w:r>
              <w:rPr>
                <w:rFonts w:hint="eastAsia" w:asciiTheme="majorEastAsia" w:hAnsiTheme="majorEastAsia" w:eastAsiaTheme="majorEastAsia"/>
                <w:szCs w:val="21"/>
              </w:rPr>
              <w:t>11.2</w:t>
            </w:r>
          </w:p>
        </w:tc>
        <w:tc>
          <w:tcPr>
            <w:tcW w:w="1418" w:type="dxa"/>
            <w:tcBorders>
              <w:top w:val="single" w:color="auto" w:sz="4" w:space="0"/>
              <w:left w:val="single" w:color="auto" w:sz="4" w:space="0"/>
              <w:bottom w:val="single" w:color="auto" w:sz="4" w:space="0"/>
              <w:right w:val="single" w:color="auto" w:sz="4" w:space="0"/>
            </w:tcBorders>
            <w:vAlign w:val="center"/>
          </w:tcPr>
          <w:p w14:paraId="35494D66">
            <w:pPr>
              <w:rPr>
                <w:rFonts w:hint="eastAsia" w:asciiTheme="majorEastAsia" w:hAnsiTheme="majorEastAsia" w:eastAsiaTheme="majorEastAsia"/>
                <w:szCs w:val="21"/>
              </w:rPr>
            </w:pPr>
            <w:r>
              <w:rPr>
                <w:rFonts w:hint="eastAsia" w:asciiTheme="majorEastAsia" w:hAnsiTheme="majorEastAsia" w:eastAsiaTheme="majorEastAsia"/>
                <w:szCs w:val="21"/>
              </w:rPr>
              <w:t>采购代理服务费的支付</w:t>
            </w:r>
          </w:p>
        </w:tc>
        <w:tc>
          <w:tcPr>
            <w:tcW w:w="5757" w:type="dxa"/>
            <w:tcBorders>
              <w:top w:val="single" w:color="auto" w:sz="4" w:space="0"/>
              <w:left w:val="single" w:color="auto" w:sz="4" w:space="0"/>
              <w:bottom w:val="single" w:color="auto" w:sz="4" w:space="0"/>
              <w:right w:val="single" w:color="auto" w:sz="4" w:space="0"/>
            </w:tcBorders>
            <w:vAlign w:val="center"/>
          </w:tcPr>
          <w:p w14:paraId="582B1B5E">
            <w:pPr>
              <w:ind w:firstLine="29" w:firstLineChars="14"/>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本项目代理服务费由中标人支付，中标人在领取中标通知书时一次性全额支付，代理服务费不随项目合同金额的增减而浮动。</w:t>
            </w:r>
          </w:p>
        </w:tc>
      </w:tr>
      <w:tr w14:paraId="03C33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28339F71">
            <w:pPr>
              <w:jc w:val="center"/>
              <w:rPr>
                <w:rFonts w:hint="eastAsia" w:asciiTheme="majorEastAsia" w:hAnsiTheme="majorEastAsia" w:eastAsiaTheme="majorEastAsia"/>
                <w:szCs w:val="21"/>
              </w:rPr>
            </w:pPr>
            <w:r>
              <w:rPr>
                <w:rFonts w:hint="eastAsia" w:asciiTheme="majorEastAsia" w:hAnsiTheme="majorEastAsia" w:eastAsiaTheme="majorEastAsia"/>
                <w:szCs w:val="21"/>
              </w:rPr>
              <w:t>8</w:t>
            </w:r>
          </w:p>
        </w:tc>
        <w:tc>
          <w:tcPr>
            <w:tcW w:w="1020" w:type="dxa"/>
            <w:tcBorders>
              <w:top w:val="single" w:color="auto" w:sz="4" w:space="0"/>
              <w:left w:val="single" w:color="auto" w:sz="4" w:space="0"/>
              <w:right w:val="single" w:color="auto" w:sz="4" w:space="0"/>
            </w:tcBorders>
            <w:vAlign w:val="center"/>
          </w:tcPr>
          <w:p w14:paraId="5F787DA7">
            <w:pPr>
              <w:jc w:val="center"/>
              <w:rPr>
                <w:rFonts w:hint="eastAsia" w:asciiTheme="majorEastAsia" w:hAnsiTheme="majorEastAsia" w:eastAsiaTheme="majorEastAsia"/>
                <w:szCs w:val="21"/>
              </w:rPr>
            </w:pPr>
            <w:r>
              <w:rPr>
                <w:rFonts w:hint="eastAsia" w:asciiTheme="majorEastAsia" w:hAnsiTheme="majorEastAsia" w:eastAsiaTheme="majorEastAsia"/>
                <w:szCs w:val="21"/>
              </w:rPr>
              <w:t>18.2</w:t>
            </w:r>
          </w:p>
        </w:tc>
        <w:tc>
          <w:tcPr>
            <w:tcW w:w="1418" w:type="dxa"/>
            <w:tcBorders>
              <w:top w:val="single" w:color="auto" w:sz="4" w:space="0"/>
              <w:left w:val="single" w:color="auto" w:sz="4" w:space="0"/>
              <w:right w:val="single" w:color="auto" w:sz="4" w:space="0"/>
            </w:tcBorders>
            <w:vAlign w:val="center"/>
          </w:tcPr>
          <w:p w14:paraId="2C795413">
            <w:pPr>
              <w:rPr>
                <w:rFonts w:hint="eastAsia" w:asciiTheme="majorEastAsia" w:hAnsiTheme="majorEastAsia" w:eastAsiaTheme="majorEastAsia"/>
                <w:szCs w:val="21"/>
              </w:rPr>
            </w:pPr>
            <w:r>
              <w:rPr>
                <w:rFonts w:hint="eastAsia" w:asciiTheme="majorEastAsia" w:hAnsiTheme="majorEastAsia" w:eastAsiaTheme="majorEastAsia"/>
              </w:rPr>
              <w:t>资格要求响应文件的组成</w:t>
            </w:r>
          </w:p>
        </w:tc>
        <w:tc>
          <w:tcPr>
            <w:tcW w:w="5757" w:type="dxa"/>
            <w:tcBorders>
              <w:top w:val="single" w:color="auto" w:sz="4" w:space="0"/>
              <w:left w:val="single" w:color="auto" w:sz="4" w:space="0"/>
              <w:right w:val="single" w:color="auto" w:sz="4" w:space="0"/>
            </w:tcBorders>
            <w:vAlign w:val="center"/>
          </w:tcPr>
          <w:p w14:paraId="459B1FAA">
            <w:pPr>
              <w:spacing w:line="300" w:lineRule="exact"/>
              <w:rPr>
                <w:rFonts w:hint="eastAsia" w:asciiTheme="majorEastAsia" w:hAnsiTheme="majorEastAsia" w:eastAsiaTheme="majorEastAsia"/>
                <w:szCs w:val="21"/>
              </w:rPr>
            </w:pPr>
            <w:r>
              <w:rPr>
                <w:rFonts w:hint="eastAsia" w:asciiTheme="majorEastAsia" w:hAnsiTheme="majorEastAsia" w:eastAsiaTheme="majorEastAsia"/>
                <w:szCs w:val="21"/>
              </w:rPr>
              <w:t>1）投标人资格声明函；</w:t>
            </w:r>
          </w:p>
          <w:p w14:paraId="6B1A9086">
            <w:pPr>
              <w:spacing w:line="300" w:lineRule="exact"/>
              <w:rPr>
                <w:rFonts w:hint="eastAsia" w:asciiTheme="majorEastAsia" w:hAnsiTheme="majorEastAsia" w:eastAsiaTheme="majorEastAsia"/>
                <w:szCs w:val="21"/>
              </w:rPr>
            </w:pPr>
            <w:r>
              <w:rPr>
                <w:rFonts w:hint="eastAsia" w:asciiTheme="majorEastAsia" w:hAnsiTheme="majorEastAsia" w:eastAsiaTheme="majorEastAsia"/>
                <w:szCs w:val="21"/>
              </w:rPr>
              <w:t>2）法人或者其他组织的营业执照等登记证明文件复印件；</w:t>
            </w:r>
          </w:p>
          <w:p w14:paraId="752767BA">
            <w:pPr>
              <w:spacing w:line="300" w:lineRule="exact"/>
            </w:pPr>
            <w:r>
              <w:rPr>
                <w:rFonts w:hint="eastAsia" w:asciiTheme="majorEastAsia" w:hAnsiTheme="majorEastAsia" w:eastAsiaTheme="majorEastAsia"/>
                <w:szCs w:val="21"/>
              </w:rPr>
              <w:t>3）产品制造商或其国内总代理出具的唯一投标授权函（进口产品提供，格式自拟）。</w:t>
            </w:r>
          </w:p>
        </w:tc>
      </w:tr>
      <w:tr w14:paraId="4F738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14:paraId="7452341B">
            <w:pPr>
              <w:jc w:val="center"/>
              <w:rPr>
                <w:rFonts w:hint="eastAsia" w:asciiTheme="majorEastAsia" w:hAnsiTheme="majorEastAsia" w:eastAsiaTheme="majorEastAsia"/>
                <w:szCs w:val="21"/>
              </w:rPr>
            </w:pPr>
            <w:r>
              <w:rPr>
                <w:rFonts w:hint="eastAsia" w:asciiTheme="majorEastAsia" w:hAnsiTheme="majorEastAsia" w:eastAsiaTheme="majorEastAsia"/>
                <w:szCs w:val="21"/>
              </w:rPr>
              <w:t>9</w:t>
            </w:r>
          </w:p>
        </w:tc>
        <w:tc>
          <w:tcPr>
            <w:tcW w:w="1020" w:type="dxa"/>
            <w:tcBorders>
              <w:top w:val="single" w:color="auto" w:sz="4" w:space="0"/>
              <w:left w:val="single" w:color="auto" w:sz="4" w:space="0"/>
              <w:right w:val="single" w:color="auto" w:sz="4" w:space="0"/>
            </w:tcBorders>
            <w:vAlign w:val="center"/>
          </w:tcPr>
          <w:p w14:paraId="10A5F57C">
            <w:pPr>
              <w:jc w:val="center"/>
              <w:rPr>
                <w:rFonts w:hint="eastAsia" w:asciiTheme="majorEastAsia" w:hAnsiTheme="majorEastAsia" w:eastAsiaTheme="majorEastAsia"/>
                <w:szCs w:val="21"/>
              </w:rPr>
            </w:pPr>
            <w:r>
              <w:rPr>
                <w:rFonts w:hint="eastAsia" w:asciiTheme="majorEastAsia" w:hAnsiTheme="majorEastAsia" w:eastAsiaTheme="majorEastAsia"/>
                <w:szCs w:val="21"/>
              </w:rPr>
              <w:t>18.3</w:t>
            </w:r>
          </w:p>
        </w:tc>
        <w:tc>
          <w:tcPr>
            <w:tcW w:w="1418" w:type="dxa"/>
            <w:tcBorders>
              <w:top w:val="single" w:color="auto" w:sz="4" w:space="0"/>
              <w:left w:val="single" w:color="auto" w:sz="4" w:space="0"/>
              <w:right w:val="single" w:color="auto" w:sz="4" w:space="0"/>
            </w:tcBorders>
            <w:vAlign w:val="center"/>
          </w:tcPr>
          <w:p w14:paraId="49C74B52">
            <w:pPr>
              <w:rPr>
                <w:rFonts w:hint="eastAsia" w:asciiTheme="majorEastAsia" w:hAnsiTheme="majorEastAsia" w:eastAsiaTheme="majorEastAsia"/>
                <w:szCs w:val="21"/>
              </w:rPr>
            </w:pPr>
            <w:r>
              <w:rPr>
                <w:rFonts w:hint="eastAsia" w:asciiTheme="majorEastAsia" w:hAnsiTheme="majorEastAsia" w:eastAsiaTheme="majorEastAsia"/>
              </w:rPr>
              <w:t>商务技术文件的组成</w:t>
            </w:r>
          </w:p>
        </w:tc>
        <w:tc>
          <w:tcPr>
            <w:tcW w:w="5757" w:type="dxa"/>
            <w:tcBorders>
              <w:top w:val="single" w:color="auto" w:sz="4" w:space="0"/>
              <w:left w:val="single" w:color="auto" w:sz="4" w:space="0"/>
              <w:right w:val="single" w:color="auto" w:sz="4" w:space="0"/>
            </w:tcBorders>
            <w:vAlign w:val="center"/>
          </w:tcPr>
          <w:p w14:paraId="7DA1683F">
            <w:pPr>
              <w:rPr>
                <w:rFonts w:hint="eastAsia" w:asciiTheme="majorEastAsia" w:hAnsiTheme="majorEastAsia" w:eastAsiaTheme="majorEastAsia"/>
                <w:szCs w:val="21"/>
              </w:rPr>
            </w:pPr>
            <w:r>
              <w:rPr>
                <w:rFonts w:hint="eastAsia" w:asciiTheme="majorEastAsia" w:hAnsiTheme="majorEastAsia" w:eastAsiaTheme="majorEastAsia"/>
                <w:szCs w:val="21"/>
              </w:rPr>
              <w:t>1）投标函；</w:t>
            </w:r>
          </w:p>
          <w:p w14:paraId="34292276">
            <w:pPr>
              <w:rPr>
                <w:rFonts w:hint="eastAsia" w:asciiTheme="majorEastAsia" w:hAnsiTheme="majorEastAsia" w:eastAsiaTheme="majorEastAsia"/>
                <w:szCs w:val="21"/>
              </w:rPr>
            </w:pPr>
            <w:r>
              <w:rPr>
                <w:rFonts w:hint="eastAsia" w:asciiTheme="majorEastAsia" w:hAnsiTheme="majorEastAsia" w:eastAsiaTheme="majorEastAsia"/>
                <w:szCs w:val="21"/>
              </w:rPr>
              <w:t>2）法定代表人身份证正反面复印件；</w:t>
            </w:r>
          </w:p>
          <w:p w14:paraId="291BE029">
            <w:pPr>
              <w:rPr>
                <w:rFonts w:hint="eastAsia"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w:t>
            </w:r>
            <w:r>
              <w:rPr>
                <w:rFonts w:hint="eastAsia" w:asciiTheme="majorEastAsia" w:hAnsiTheme="majorEastAsia" w:eastAsiaTheme="majorEastAsia"/>
                <w:szCs w:val="21"/>
              </w:rPr>
              <w:t>评委打分索引表；</w:t>
            </w:r>
          </w:p>
          <w:p w14:paraId="2D734FD3">
            <w:pPr>
              <w:rPr>
                <w:rFonts w:hint="eastAsia" w:asciiTheme="majorEastAsia" w:hAnsiTheme="majorEastAsia" w:eastAsiaTheme="majorEastAsia"/>
                <w:szCs w:val="21"/>
              </w:rPr>
            </w:pPr>
            <w:r>
              <w:rPr>
                <w:rFonts w:hint="eastAsia" w:asciiTheme="majorEastAsia" w:hAnsiTheme="majorEastAsia" w:eastAsiaTheme="majorEastAsia"/>
                <w:szCs w:val="21"/>
              </w:rPr>
              <w:t>4）技术要求响应表；</w:t>
            </w:r>
          </w:p>
          <w:p w14:paraId="3BCA1DB5">
            <w:pPr>
              <w:rPr>
                <w:rFonts w:hint="eastAsia" w:asciiTheme="majorEastAsia" w:hAnsiTheme="majorEastAsia" w:eastAsiaTheme="majorEastAsia"/>
                <w:szCs w:val="21"/>
              </w:rPr>
            </w:pPr>
            <w:r>
              <w:rPr>
                <w:rFonts w:hint="eastAsia" w:asciiTheme="majorEastAsia" w:hAnsiTheme="majorEastAsia" w:eastAsiaTheme="majorEastAsia"/>
                <w:szCs w:val="21"/>
              </w:rPr>
              <w:t>5）服务要求响应表；</w:t>
            </w:r>
          </w:p>
          <w:p w14:paraId="53E26A3E">
            <w:pPr>
              <w:rPr>
                <w:rFonts w:hint="eastAsia" w:asciiTheme="majorEastAsia" w:hAnsiTheme="majorEastAsia" w:eastAsiaTheme="majorEastAsia"/>
                <w:szCs w:val="21"/>
              </w:rPr>
            </w:pPr>
            <w:r>
              <w:rPr>
                <w:rFonts w:hint="eastAsia" w:asciiTheme="majorEastAsia" w:hAnsiTheme="majorEastAsia" w:eastAsiaTheme="majorEastAsia"/>
                <w:szCs w:val="21"/>
              </w:rPr>
              <w:t>6）</w:t>
            </w:r>
            <w:r>
              <w:rPr>
                <w:rFonts w:asciiTheme="majorEastAsia" w:hAnsiTheme="majorEastAsia" w:eastAsiaTheme="majorEastAsia"/>
                <w:szCs w:val="21"/>
              </w:rPr>
              <w:t>商务要求</w:t>
            </w:r>
            <w:r>
              <w:rPr>
                <w:rFonts w:hint="eastAsia" w:asciiTheme="majorEastAsia" w:hAnsiTheme="majorEastAsia" w:eastAsiaTheme="majorEastAsia"/>
                <w:szCs w:val="21"/>
              </w:rPr>
              <w:t>响应表；</w:t>
            </w:r>
          </w:p>
          <w:p w14:paraId="30129CEC">
            <w:pPr>
              <w:rPr>
                <w:rFonts w:hint="eastAsia" w:asciiTheme="majorEastAsia" w:hAnsiTheme="majorEastAsia" w:eastAsiaTheme="majorEastAsia"/>
                <w:szCs w:val="21"/>
              </w:rPr>
            </w:pPr>
            <w:r>
              <w:rPr>
                <w:rFonts w:hint="eastAsia" w:asciiTheme="majorEastAsia" w:hAnsiTheme="majorEastAsia" w:eastAsiaTheme="majorEastAsia"/>
                <w:szCs w:val="21"/>
              </w:rPr>
              <w:t>7）项目实施人员情况表；</w:t>
            </w:r>
          </w:p>
          <w:p w14:paraId="551ADFC0">
            <w:pPr>
              <w:rPr>
                <w:rFonts w:hint="eastAsia" w:asciiTheme="majorEastAsia" w:hAnsiTheme="majorEastAsia" w:eastAsiaTheme="majorEastAsia"/>
                <w:szCs w:val="21"/>
              </w:rPr>
            </w:pPr>
            <w:r>
              <w:rPr>
                <w:rFonts w:hint="eastAsia" w:asciiTheme="majorEastAsia" w:hAnsiTheme="majorEastAsia" w:eastAsiaTheme="majorEastAsia"/>
                <w:szCs w:val="21"/>
              </w:rPr>
              <w:t>8）类似项目业绩一览表；</w:t>
            </w:r>
          </w:p>
          <w:p w14:paraId="0306B6AD">
            <w:pPr>
              <w:rPr>
                <w:rFonts w:hint="eastAsia" w:asciiTheme="majorEastAsia" w:hAnsiTheme="majorEastAsia" w:eastAsiaTheme="majorEastAsia"/>
                <w:szCs w:val="21"/>
              </w:rPr>
            </w:pPr>
            <w:r>
              <w:rPr>
                <w:rFonts w:hint="eastAsia" w:asciiTheme="majorEastAsia" w:hAnsiTheme="majorEastAsia" w:eastAsiaTheme="majorEastAsia" w:cstheme="majorEastAsia"/>
              </w:rPr>
              <w:t>9）</w:t>
            </w:r>
            <w:r>
              <w:rPr>
                <w:rFonts w:hint="eastAsia" w:ascii="宋体" w:hAnsi="宋体"/>
              </w:rPr>
              <w:t>保期满后</w:t>
            </w:r>
            <w:r>
              <w:rPr>
                <w:rFonts w:hint="eastAsia" w:ascii="宋体" w:hAnsi="宋体" w:cs="宋体"/>
              </w:rPr>
              <w:t>3年内备品备件清单及价格（格式自拟）；</w:t>
            </w:r>
          </w:p>
          <w:p w14:paraId="339AA9DE">
            <w:pPr>
              <w:rPr>
                <w:rFonts w:hint="eastAsia" w:asciiTheme="majorEastAsia" w:hAnsiTheme="majorEastAsia" w:eastAsiaTheme="majorEastAsia"/>
                <w:szCs w:val="21"/>
              </w:rPr>
            </w:pPr>
            <w:r>
              <w:rPr>
                <w:rFonts w:hint="eastAsia" w:asciiTheme="majorEastAsia" w:hAnsiTheme="majorEastAsia" w:eastAsiaTheme="majorEastAsia"/>
                <w:szCs w:val="21"/>
              </w:rPr>
              <w:t>10）与项目评审及合同实施有关的其他资料（产品彩页、说明书等技术资料）。</w:t>
            </w:r>
          </w:p>
        </w:tc>
      </w:tr>
      <w:tr w14:paraId="3B347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02" w:type="dxa"/>
            <w:tcBorders>
              <w:top w:val="single" w:color="auto" w:sz="4" w:space="0"/>
              <w:left w:val="single" w:color="auto" w:sz="4" w:space="0"/>
              <w:right w:val="single" w:color="auto" w:sz="4" w:space="0"/>
            </w:tcBorders>
            <w:vAlign w:val="center"/>
          </w:tcPr>
          <w:p w14:paraId="1EAD6DE5">
            <w:pPr>
              <w:jc w:val="center"/>
              <w:rPr>
                <w:rFonts w:hint="eastAsia" w:asciiTheme="majorEastAsia" w:hAnsiTheme="majorEastAsia" w:eastAsiaTheme="majorEastAsia"/>
                <w:szCs w:val="21"/>
              </w:rPr>
            </w:pPr>
            <w:r>
              <w:rPr>
                <w:rFonts w:hint="eastAsia" w:asciiTheme="majorEastAsia" w:hAnsiTheme="majorEastAsia" w:eastAsiaTheme="majorEastAsia"/>
                <w:szCs w:val="21"/>
              </w:rPr>
              <w:t>10</w:t>
            </w:r>
          </w:p>
        </w:tc>
        <w:tc>
          <w:tcPr>
            <w:tcW w:w="1020" w:type="dxa"/>
            <w:tcBorders>
              <w:top w:val="single" w:color="auto" w:sz="4" w:space="0"/>
              <w:left w:val="single" w:color="auto" w:sz="4" w:space="0"/>
              <w:right w:val="single" w:color="auto" w:sz="4" w:space="0"/>
            </w:tcBorders>
            <w:vAlign w:val="center"/>
          </w:tcPr>
          <w:p w14:paraId="7E5DBC29">
            <w:pPr>
              <w:jc w:val="center"/>
              <w:rPr>
                <w:rFonts w:hint="eastAsia" w:asciiTheme="majorEastAsia" w:hAnsiTheme="majorEastAsia" w:eastAsiaTheme="majorEastAsia"/>
                <w:szCs w:val="21"/>
              </w:rPr>
            </w:pPr>
            <w:r>
              <w:rPr>
                <w:rFonts w:hint="eastAsia" w:asciiTheme="majorEastAsia" w:hAnsiTheme="majorEastAsia" w:eastAsiaTheme="majorEastAsia"/>
                <w:szCs w:val="21"/>
              </w:rPr>
              <w:t>18.4</w:t>
            </w:r>
          </w:p>
        </w:tc>
        <w:tc>
          <w:tcPr>
            <w:tcW w:w="1418" w:type="dxa"/>
            <w:tcBorders>
              <w:top w:val="single" w:color="auto" w:sz="4" w:space="0"/>
              <w:left w:val="single" w:color="auto" w:sz="4" w:space="0"/>
              <w:right w:val="single" w:color="auto" w:sz="4" w:space="0"/>
            </w:tcBorders>
            <w:vAlign w:val="center"/>
          </w:tcPr>
          <w:p w14:paraId="6D086628">
            <w:pPr>
              <w:rPr>
                <w:rFonts w:hint="eastAsia" w:asciiTheme="majorEastAsia" w:hAnsiTheme="majorEastAsia" w:eastAsiaTheme="majorEastAsia"/>
                <w:szCs w:val="21"/>
              </w:rPr>
            </w:pPr>
            <w:r>
              <w:rPr>
                <w:rFonts w:hint="eastAsia" w:asciiTheme="majorEastAsia" w:hAnsiTheme="majorEastAsia" w:eastAsiaTheme="majorEastAsia"/>
                <w:szCs w:val="21"/>
              </w:rPr>
              <w:t>报价要求响应文件的组成</w:t>
            </w:r>
          </w:p>
        </w:tc>
        <w:tc>
          <w:tcPr>
            <w:tcW w:w="5757" w:type="dxa"/>
            <w:tcBorders>
              <w:top w:val="single" w:color="auto" w:sz="4" w:space="0"/>
              <w:left w:val="single" w:color="auto" w:sz="4" w:space="0"/>
              <w:right w:val="single" w:color="auto" w:sz="4" w:space="0"/>
            </w:tcBorders>
            <w:vAlign w:val="center"/>
          </w:tcPr>
          <w:p w14:paraId="7643F0B5">
            <w:pPr>
              <w:tabs>
                <w:tab w:val="left" w:pos="3870"/>
                <w:tab w:val="left" w:pos="4085"/>
              </w:tabs>
              <w:spacing w:line="300" w:lineRule="exact"/>
              <w:rPr>
                <w:rFonts w:hint="eastAsia" w:asciiTheme="majorEastAsia" w:hAnsiTheme="majorEastAsia" w:eastAsiaTheme="majorEastAsia"/>
                <w:szCs w:val="21"/>
              </w:rPr>
            </w:pPr>
            <w:r>
              <w:rPr>
                <w:rFonts w:hint="eastAsia" w:asciiTheme="majorEastAsia" w:hAnsiTheme="majorEastAsia" w:eastAsiaTheme="majorEastAsia"/>
                <w:szCs w:val="21"/>
              </w:rPr>
              <w:t>1）开标一览表；</w:t>
            </w:r>
          </w:p>
          <w:p w14:paraId="27764A6A">
            <w:pPr>
              <w:tabs>
                <w:tab w:val="left" w:pos="3870"/>
                <w:tab w:val="left" w:pos="4085"/>
              </w:tabs>
              <w:spacing w:line="300" w:lineRule="exact"/>
              <w:rPr>
                <w:rFonts w:hint="eastAsia"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投标报价组成明细表；</w:t>
            </w:r>
          </w:p>
          <w:p w14:paraId="00118553">
            <w:pPr>
              <w:tabs>
                <w:tab w:val="left" w:pos="3870"/>
                <w:tab w:val="left" w:pos="4085"/>
              </w:tabs>
              <w:spacing w:line="300" w:lineRule="exact"/>
              <w:rPr>
                <w:rFonts w:asciiTheme="majorEastAsia" w:hAnsiTheme="majorEastAsia" w:eastAsiaTheme="majorEastAsia"/>
                <w:szCs w:val="21"/>
              </w:rPr>
            </w:pPr>
            <w:r>
              <w:rPr>
                <w:rFonts w:hint="eastAsia" w:asciiTheme="majorEastAsia" w:hAnsiTheme="majorEastAsia" w:eastAsiaTheme="majorEastAsia"/>
                <w:szCs w:val="21"/>
              </w:rPr>
              <w:t>3）中小企业声明函或残疾人福利性单位声明函证明文件。</w:t>
            </w:r>
          </w:p>
        </w:tc>
      </w:tr>
      <w:tr w14:paraId="6EEE6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02" w:type="dxa"/>
            <w:tcBorders>
              <w:top w:val="single" w:color="auto" w:sz="4" w:space="0"/>
              <w:left w:val="single" w:color="auto" w:sz="4" w:space="0"/>
              <w:right w:val="single" w:color="auto" w:sz="4" w:space="0"/>
            </w:tcBorders>
            <w:vAlign w:val="center"/>
          </w:tcPr>
          <w:p w14:paraId="671A6E45">
            <w:pPr>
              <w:jc w:val="center"/>
              <w:rPr>
                <w:rFonts w:hint="eastAsia" w:asciiTheme="majorEastAsia" w:hAnsiTheme="majorEastAsia" w:eastAsiaTheme="majorEastAsia"/>
                <w:szCs w:val="21"/>
              </w:rPr>
            </w:pPr>
            <w:r>
              <w:rPr>
                <w:rFonts w:hint="eastAsia" w:asciiTheme="majorEastAsia" w:hAnsiTheme="majorEastAsia" w:eastAsiaTheme="majorEastAsia"/>
                <w:szCs w:val="21"/>
              </w:rPr>
              <w:t>11</w:t>
            </w:r>
          </w:p>
        </w:tc>
        <w:tc>
          <w:tcPr>
            <w:tcW w:w="1020" w:type="dxa"/>
            <w:tcBorders>
              <w:top w:val="single" w:color="auto" w:sz="4" w:space="0"/>
              <w:left w:val="single" w:color="auto" w:sz="4" w:space="0"/>
              <w:right w:val="single" w:color="auto" w:sz="4" w:space="0"/>
            </w:tcBorders>
            <w:vAlign w:val="center"/>
          </w:tcPr>
          <w:p w14:paraId="7C05453F">
            <w:pPr>
              <w:jc w:val="center"/>
              <w:rPr>
                <w:rFonts w:hint="eastAsia" w:asciiTheme="majorEastAsia" w:hAnsiTheme="majorEastAsia" w:eastAsiaTheme="majorEastAsia"/>
                <w:szCs w:val="21"/>
              </w:rPr>
            </w:pPr>
            <w:r>
              <w:rPr>
                <w:rFonts w:hint="eastAsia" w:asciiTheme="majorEastAsia" w:hAnsiTheme="majorEastAsia" w:eastAsiaTheme="majorEastAsia"/>
                <w:szCs w:val="21"/>
              </w:rPr>
              <w:t>20.1</w:t>
            </w:r>
          </w:p>
        </w:tc>
        <w:tc>
          <w:tcPr>
            <w:tcW w:w="1418" w:type="dxa"/>
            <w:tcBorders>
              <w:top w:val="single" w:color="auto" w:sz="4" w:space="0"/>
              <w:left w:val="single" w:color="auto" w:sz="4" w:space="0"/>
              <w:right w:val="single" w:color="auto" w:sz="4" w:space="0"/>
            </w:tcBorders>
            <w:vAlign w:val="center"/>
          </w:tcPr>
          <w:p w14:paraId="713E8F93">
            <w:pPr>
              <w:rPr>
                <w:rFonts w:hint="eastAsia" w:asciiTheme="majorEastAsia" w:hAnsiTheme="majorEastAsia" w:eastAsiaTheme="majorEastAsia"/>
                <w:szCs w:val="21"/>
              </w:rPr>
            </w:pPr>
            <w:r>
              <w:rPr>
                <w:rFonts w:hint="eastAsia" w:asciiTheme="majorEastAsia" w:hAnsiTheme="majorEastAsia" w:eastAsiaTheme="majorEastAsia"/>
                <w:szCs w:val="21"/>
              </w:rPr>
              <w:t>投标文件的份数</w:t>
            </w:r>
          </w:p>
        </w:tc>
        <w:tc>
          <w:tcPr>
            <w:tcW w:w="5757" w:type="dxa"/>
            <w:tcBorders>
              <w:top w:val="single" w:color="auto" w:sz="4" w:space="0"/>
              <w:left w:val="single" w:color="auto" w:sz="4" w:space="0"/>
              <w:right w:val="single" w:color="auto" w:sz="4" w:space="0"/>
            </w:tcBorders>
            <w:vAlign w:val="center"/>
          </w:tcPr>
          <w:p w14:paraId="0816E6D4">
            <w:pPr>
              <w:spacing w:line="300" w:lineRule="exact"/>
              <w:jc w:val="left"/>
              <w:rPr>
                <w:rFonts w:hint="eastAsia" w:asciiTheme="majorEastAsia" w:hAnsiTheme="majorEastAsia" w:eastAsiaTheme="majorEastAsia"/>
                <w:szCs w:val="21"/>
              </w:rPr>
            </w:pPr>
            <w:r>
              <w:rPr>
                <w:rFonts w:hint="eastAsia" w:asciiTheme="majorEastAsia" w:hAnsiTheme="majorEastAsia" w:eastAsiaTheme="majorEastAsia"/>
                <w:szCs w:val="21"/>
              </w:rPr>
              <w:t>1）电子加密投标文件：1份；</w:t>
            </w:r>
          </w:p>
          <w:p w14:paraId="71A20032">
            <w:pPr>
              <w:jc w:val="left"/>
              <w:rPr>
                <w:rFonts w:hint="eastAsia" w:asciiTheme="majorEastAsia" w:hAnsiTheme="majorEastAsia" w:eastAsiaTheme="majorEastAsia"/>
                <w:szCs w:val="21"/>
              </w:rPr>
            </w:pPr>
            <w:r>
              <w:rPr>
                <w:rFonts w:hint="eastAsia" w:asciiTheme="majorEastAsia" w:hAnsiTheme="majorEastAsia" w:eastAsiaTheme="majorEastAsia"/>
                <w:szCs w:val="21"/>
              </w:rPr>
              <w:t>2）备份投标文件：1份，以U盘存储。</w:t>
            </w:r>
          </w:p>
        </w:tc>
      </w:tr>
      <w:tr w14:paraId="25C7F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 w:hRule="atLeast"/>
          <w:jc w:val="center"/>
        </w:trPr>
        <w:tc>
          <w:tcPr>
            <w:tcW w:w="702" w:type="dxa"/>
            <w:tcBorders>
              <w:top w:val="single" w:color="auto" w:sz="4" w:space="0"/>
              <w:left w:val="single" w:color="auto" w:sz="4" w:space="0"/>
              <w:right w:val="single" w:color="auto" w:sz="4" w:space="0"/>
            </w:tcBorders>
            <w:vAlign w:val="center"/>
          </w:tcPr>
          <w:p w14:paraId="4BBDED23">
            <w:pPr>
              <w:jc w:val="center"/>
              <w:rPr>
                <w:rFonts w:hint="eastAsia" w:asciiTheme="majorEastAsia" w:hAnsiTheme="majorEastAsia" w:eastAsiaTheme="majorEastAsia"/>
                <w:szCs w:val="21"/>
              </w:rPr>
            </w:pPr>
            <w:r>
              <w:rPr>
                <w:rFonts w:hint="eastAsia" w:asciiTheme="majorEastAsia" w:hAnsiTheme="majorEastAsia" w:eastAsiaTheme="majorEastAsia"/>
                <w:szCs w:val="21"/>
              </w:rPr>
              <w:t>12</w:t>
            </w:r>
          </w:p>
        </w:tc>
        <w:tc>
          <w:tcPr>
            <w:tcW w:w="1020" w:type="dxa"/>
            <w:tcBorders>
              <w:top w:val="single" w:color="auto" w:sz="4" w:space="0"/>
              <w:left w:val="single" w:color="auto" w:sz="4" w:space="0"/>
              <w:right w:val="single" w:color="auto" w:sz="4" w:space="0"/>
            </w:tcBorders>
            <w:vAlign w:val="center"/>
          </w:tcPr>
          <w:p w14:paraId="503F3AD8">
            <w:pPr>
              <w:jc w:val="center"/>
              <w:rPr>
                <w:rFonts w:hint="eastAsia" w:asciiTheme="majorEastAsia" w:hAnsiTheme="majorEastAsia" w:eastAsiaTheme="majorEastAsia"/>
                <w:szCs w:val="21"/>
              </w:rPr>
            </w:pPr>
            <w:r>
              <w:rPr>
                <w:rFonts w:hint="eastAsia" w:asciiTheme="majorEastAsia" w:hAnsiTheme="majorEastAsia" w:eastAsiaTheme="majorEastAsia"/>
                <w:szCs w:val="21"/>
              </w:rPr>
              <w:t>21.1</w:t>
            </w:r>
          </w:p>
        </w:tc>
        <w:tc>
          <w:tcPr>
            <w:tcW w:w="1418" w:type="dxa"/>
            <w:tcBorders>
              <w:top w:val="single" w:color="auto" w:sz="4" w:space="0"/>
              <w:left w:val="single" w:color="auto" w:sz="4" w:space="0"/>
              <w:right w:val="single" w:color="auto" w:sz="4" w:space="0"/>
            </w:tcBorders>
            <w:vAlign w:val="center"/>
          </w:tcPr>
          <w:p w14:paraId="24C15639">
            <w:pPr>
              <w:rPr>
                <w:rFonts w:hint="eastAsia" w:asciiTheme="majorEastAsia" w:hAnsiTheme="majorEastAsia" w:eastAsiaTheme="majorEastAsia"/>
                <w:szCs w:val="21"/>
              </w:rPr>
            </w:pPr>
            <w:r>
              <w:rPr>
                <w:rFonts w:hint="eastAsia" w:asciiTheme="majorEastAsia" w:hAnsiTheme="majorEastAsia" w:eastAsiaTheme="majorEastAsia"/>
                <w:szCs w:val="21"/>
              </w:rPr>
              <w:t>投标报价的组成</w:t>
            </w:r>
          </w:p>
        </w:tc>
        <w:tc>
          <w:tcPr>
            <w:tcW w:w="5757" w:type="dxa"/>
            <w:tcBorders>
              <w:top w:val="single" w:color="auto" w:sz="4" w:space="0"/>
              <w:left w:val="single" w:color="auto" w:sz="4" w:space="0"/>
              <w:right w:val="single" w:color="auto" w:sz="4" w:space="0"/>
            </w:tcBorders>
            <w:vAlign w:val="center"/>
          </w:tcPr>
          <w:p w14:paraId="281595CF">
            <w:pPr>
              <w:spacing w:line="300" w:lineRule="exact"/>
              <w:jc w:val="left"/>
              <w:rPr>
                <w:rFonts w:hint="eastAsia" w:asciiTheme="majorEastAsia" w:hAnsiTheme="majorEastAsia" w:eastAsiaTheme="majorEastAsia"/>
              </w:rPr>
            </w:pPr>
            <w:r>
              <w:rPr>
                <w:rFonts w:hint="eastAsia" w:asciiTheme="majorEastAsia" w:hAnsiTheme="majorEastAsia" w:eastAsiaTheme="majorEastAsia"/>
              </w:rPr>
              <w:t>报价要求及其他费用：</w:t>
            </w:r>
          </w:p>
          <w:p w14:paraId="5F20FC84">
            <w:pPr>
              <w:spacing w:line="300" w:lineRule="exact"/>
              <w:jc w:val="left"/>
              <w:rPr>
                <w:rFonts w:hint="eastAsia" w:asciiTheme="majorEastAsia" w:hAnsiTheme="majorEastAsia" w:eastAsiaTheme="majorEastAsia"/>
              </w:rPr>
            </w:pPr>
            <w:r>
              <w:rPr>
                <w:rFonts w:hint="eastAsia" w:asciiTheme="majorEastAsia" w:hAnsiTheme="majorEastAsia" w:eastAsiaTheme="majorEastAsia"/>
              </w:rPr>
              <w:t>1、国内设备</w:t>
            </w:r>
          </w:p>
          <w:p w14:paraId="0F843763">
            <w:pPr>
              <w:spacing w:line="300" w:lineRule="exact"/>
              <w:jc w:val="left"/>
              <w:rPr>
                <w:rFonts w:hint="eastAsia" w:asciiTheme="majorEastAsia" w:hAnsiTheme="majorEastAsia" w:eastAsiaTheme="majorEastAsia"/>
              </w:rPr>
            </w:pPr>
            <w:r>
              <w:rPr>
                <w:rFonts w:hint="eastAsia" w:asciiTheme="majorEastAsia" w:hAnsiTheme="majorEastAsia" w:eastAsiaTheme="majorEastAsia"/>
              </w:rPr>
              <w:t>1.1报价货币：人民币。</w:t>
            </w:r>
          </w:p>
          <w:p w14:paraId="5E4D85DD">
            <w:pPr>
              <w:spacing w:line="300" w:lineRule="exact"/>
              <w:jc w:val="left"/>
              <w:rPr>
                <w:rFonts w:hint="eastAsia" w:asciiTheme="majorEastAsia" w:hAnsiTheme="majorEastAsia" w:eastAsiaTheme="majorEastAsia"/>
              </w:rPr>
            </w:pPr>
            <w:r>
              <w:rPr>
                <w:rFonts w:hint="eastAsia" w:asciiTheme="majorEastAsia" w:hAnsiTheme="majorEastAsia" w:eastAsiaTheme="majorEastAsia"/>
              </w:rPr>
              <w:t>1.2报价方式：含税价。报价中应包含招标范围内所有设备及伴随服务的价格及税费。</w:t>
            </w:r>
          </w:p>
          <w:p w14:paraId="5F155244">
            <w:pPr>
              <w:spacing w:line="300" w:lineRule="exact"/>
              <w:jc w:val="left"/>
              <w:rPr>
                <w:rFonts w:hint="eastAsia" w:asciiTheme="majorEastAsia" w:hAnsiTheme="majorEastAsia" w:eastAsiaTheme="majorEastAsia"/>
              </w:rPr>
            </w:pPr>
            <w:r>
              <w:rPr>
                <w:rFonts w:hint="eastAsia" w:asciiTheme="majorEastAsia" w:hAnsiTheme="majorEastAsia" w:eastAsiaTheme="majorEastAsia"/>
              </w:rPr>
              <w:t>2、进口设备</w:t>
            </w:r>
          </w:p>
          <w:p w14:paraId="5001D285">
            <w:pPr>
              <w:spacing w:line="300" w:lineRule="exact"/>
              <w:jc w:val="left"/>
              <w:rPr>
                <w:rFonts w:hint="eastAsia" w:asciiTheme="majorEastAsia" w:hAnsiTheme="majorEastAsia" w:eastAsiaTheme="majorEastAsia"/>
              </w:rPr>
            </w:pPr>
            <w:r>
              <w:rPr>
                <w:rFonts w:hint="eastAsia" w:asciiTheme="majorEastAsia" w:hAnsiTheme="majorEastAsia" w:eastAsiaTheme="majorEastAsia"/>
              </w:rPr>
              <w:t>2.1报价货币：人民币。</w:t>
            </w:r>
          </w:p>
          <w:p w14:paraId="70F60DA8">
            <w:pPr>
              <w:spacing w:line="300" w:lineRule="exact"/>
              <w:jc w:val="left"/>
              <w:rPr>
                <w:rFonts w:hint="eastAsia" w:asciiTheme="majorEastAsia" w:hAnsiTheme="majorEastAsia" w:eastAsiaTheme="majorEastAsia"/>
              </w:rPr>
            </w:pPr>
            <w:r>
              <w:rPr>
                <w:rFonts w:hint="eastAsia" w:asciiTheme="majorEastAsia" w:hAnsiTheme="majorEastAsia" w:eastAsiaTheme="majorEastAsia"/>
              </w:rPr>
              <w:t>2.2报价方式：</w:t>
            </w:r>
          </w:p>
          <w:p w14:paraId="2A76E1F7">
            <w:pPr>
              <w:spacing w:line="300" w:lineRule="exact"/>
              <w:jc w:val="left"/>
              <w:rPr>
                <w:rFonts w:hint="eastAsia" w:asciiTheme="majorEastAsia" w:hAnsiTheme="majorEastAsia" w:eastAsiaTheme="majorEastAsia"/>
              </w:rPr>
            </w:pPr>
            <w:r>
              <w:rPr>
                <w:rFonts w:hint="eastAsia" w:asciiTheme="majorEastAsia" w:hAnsiTheme="majorEastAsia" w:eastAsiaTheme="majorEastAsia"/>
              </w:rPr>
              <w:t>2.2.1人民币报价：由于本项目采购的设备用于大专院校的研发工作，按国家相关政策，可以减免进口环节税，因此各投标人按以下方式进行人民币报价：人民币报价=CIP美金价×美元与人民币的比值。</w:t>
            </w:r>
          </w:p>
          <w:p w14:paraId="2DC784FE">
            <w:pPr>
              <w:spacing w:line="300" w:lineRule="exact"/>
              <w:jc w:val="left"/>
              <w:rPr>
                <w:rFonts w:hint="eastAsia" w:asciiTheme="majorEastAsia" w:hAnsiTheme="majorEastAsia" w:eastAsiaTheme="majorEastAsia"/>
              </w:rPr>
            </w:pPr>
            <w:r>
              <w:rPr>
                <w:rFonts w:hint="eastAsia" w:asciiTheme="majorEastAsia" w:hAnsiTheme="majorEastAsia" w:eastAsiaTheme="majorEastAsia"/>
              </w:rPr>
              <w:t>美元与人民币的比值统一以1：7.5折算；</w:t>
            </w:r>
          </w:p>
          <w:p w14:paraId="5A45C9F5">
            <w:pPr>
              <w:spacing w:line="300" w:lineRule="exact"/>
              <w:jc w:val="left"/>
              <w:rPr>
                <w:rFonts w:hint="eastAsia" w:asciiTheme="majorEastAsia" w:hAnsiTheme="majorEastAsia" w:eastAsiaTheme="majorEastAsia"/>
              </w:rPr>
            </w:pPr>
            <w:r>
              <w:rPr>
                <w:rFonts w:hint="eastAsia" w:asciiTheme="majorEastAsia" w:hAnsiTheme="majorEastAsia" w:eastAsiaTheme="majorEastAsia"/>
              </w:rPr>
              <w:t>如供应商的CIP美金价按上述要求折算成人民币后，超过供应商的人民币报价，则以人民币报价为基准按上述要求进行折算并调整CIP美金价；如供应商的CIP美金价按上述要求折算成人民币后，低于供应商的人民币报价，则CIP美金价按供应商的报价为准；人民币报价不予调整。</w:t>
            </w:r>
          </w:p>
          <w:p w14:paraId="426192FF">
            <w:pPr>
              <w:spacing w:line="300" w:lineRule="exact"/>
              <w:jc w:val="left"/>
              <w:rPr>
                <w:rFonts w:hint="eastAsia" w:asciiTheme="majorEastAsia" w:hAnsiTheme="majorEastAsia" w:eastAsiaTheme="majorEastAsia"/>
              </w:rPr>
            </w:pPr>
            <w:r>
              <w:rPr>
                <w:rFonts w:hint="eastAsia" w:asciiTheme="majorEastAsia" w:hAnsiTheme="majorEastAsia" w:eastAsiaTheme="majorEastAsia"/>
              </w:rPr>
              <w:t>注：此报价已包含进口环节各类费用，具体已包含外贸代理公司的进口设备外贸代理费用、检验检疫费用、报关费、仓储费、港口堆存费、运费、银行手续费及伴随后期升级、培训费、质保期内的服务费、采购代理服务费等一切与项目相关费用等，以上费用均与供应商结算，合同履行过程中的汇率风险由货物供应商承担。</w:t>
            </w:r>
          </w:p>
          <w:p w14:paraId="3451160E">
            <w:pPr>
              <w:spacing w:line="300" w:lineRule="exact"/>
              <w:jc w:val="left"/>
              <w:rPr>
                <w:rFonts w:hint="eastAsia" w:asciiTheme="majorEastAsia" w:hAnsiTheme="majorEastAsia" w:eastAsiaTheme="majorEastAsia"/>
              </w:rPr>
            </w:pPr>
            <w:r>
              <w:rPr>
                <w:rFonts w:hint="eastAsia" w:asciiTheme="majorEastAsia" w:hAnsiTheme="majorEastAsia" w:eastAsiaTheme="majorEastAsia"/>
              </w:rPr>
              <w:t>2.2.2 CIP美金报价：是指采购范围内所有设备及伴随服务的含税价格。</w:t>
            </w:r>
          </w:p>
        </w:tc>
      </w:tr>
      <w:tr w14:paraId="4C4DB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2DA011E">
            <w:pPr>
              <w:jc w:val="center"/>
              <w:rPr>
                <w:rFonts w:hint="eastAsia" w:asciiTheme="majorEastAsia" w:hAnsiTheme="majorEastAsia" w:eastAsiaTheme="majorEastAsia"/>
                <w:szCs w:val="21"/>
              </w:rPr>
            </w:pPr>
            <w:r>
              <w:rPr>
                <w:rFonts w:hint="eastAsia" w:asciiTheme="majorEastAsia" w:hAnsiTheme="majorEastAsia" w:eastAsiaTheme="majorEastAsia"/>
                <w:szCs w:val="21"/>
              </w:rPr>
              <w:t>13</w:t>
            </w:r>
          </w:p>
        </w:tc>
        <w:tc>
          <w:tcPr>
            <w:tcW w:w="1020" w:type="dxa"/>
            <w:tcBorders>
              <w:top w:val="single" w:color="auto" w:sz="4" w:space="0"/>
              <w:left w:val="single" w:color="auto" w:sz="4" w:space="0"/>
              <w:bottom w:val="single" w:color="auto" w:sz="4" w:space="0"/>
              <w:right w:val="single" w:color="auto" w:sz="4" w:space="0"/>
            </w:tcBorders>
            <w:vAlign w:val="center"/>
          </w:tcPr>
          <w:p w14:paraId="00699406">
            <w:pPr>
              <w:jc w:val="center"/>
              <w:rPr>
                <w:rFonts w:hint="eastAsia" w:asciiTheme="majorEastAsia" w:hAnsiTheme="majorEastAsia" w:eastAsiaTheme="majorEastAsia"/>
                <w:szCs w:val="21"/>
              </w:rPr>
            </w:pPr>
            <w:r>
              <w:rPr>
                <w:rFonts w:hint="eastAsia" w:asciiTheme="majorEastAsia" w:hAnsiTheme="majorEastAsia" w:eastAsiaTheme="majorEastAsia"/>
                <w:szCs w:val="21"/>
              </w:rPr>
              <w:t>▲23.1</w:t>
            </w:r>
          </w:p>
        </w:tc>
        <w:tc>
          <w:tcPr>
            <w:tcW w:w="1418" w:type="dxa"/>
            <w:tcBorders>
              <w:top w:val="single" w:color="auto" w:sz="4" w:space="0"/>
              <w:left w:val="single" w:color="auto" w:sz="4" w:space="0"/>
              <w:bottom w:val="single" w:color="auto" w:sz="4" w:space="0"/>
              <w:right w:val="single" w:color="auto" w:sz="4" w:space="0"/>
            </w:tcBorders>
            <w:vAlign w:val="center"/>
          </w:tcPr>
          <w:p w14:paraId="6D605F87">
            <w:pPr>
              <w:rPr>
                <w:rFonts w:hint="eastAsia" w:asciiTheme="majorEastAsia" w:hAnsiTheme="majorEastAsia" w:eastAsiaTheme="majorEastAsia"/>
                <w:szCs w:val="21"/>
              </w:rPr>
            </w:pPr>
            <w:r>
              <w:rPr>
                <w:rFonts w:hint="eastAsia" w:asciiTheme="majorEastAsia" w:hAnsiTheme="majorEastAsia" w:eastAsiaTheme="majorEastAsia"/>
                <w:szCs w:val="21"/>
              </w:rPr>
              <w:t>投标</w:t>
            </w:r>
            <w:r>
              <w:rPr>
                <w:rFonts w:asciiTheme="majorEastAsia" w:hAnsiTheme="majorEastAsia" w:eastAsiaTheme="majorEastAsia"/>
                <w:szCs w:val="21"/>
              </w:rPr>
              <w:t>有效期</w:t>
            </w:r>
          </w:p>
        </w:tc>
        <w:tc>
          <w:tcPr>
            <w:tcW w:w="5757" w:type="dxa"/>
            <w:tcBorders>
              <w:top w:val="single" w:color="auto" w:sz="4" w:space="0"/>
              <w:left w:val="single" w:color="auto" w:sz="4" w:space="0"/>
              <w:bottom w:val="single" w:color="auto" w:sz="4" w:space="0"/>
              <w:right w:val="single" w:color="auto" w:sz="4" w:space="0"/>
            </w:tcBorders>
            <w:vAlign w:val="center"/>
          </w:tcPr>
          <w:p w14:paraId="253DBB78">
            <w:pPr>
              <w:jc w:val="left"/>
              <w:rPr>
                <w:rFonts w:hint="eastAsia" w:asciiTheme="majorEastAsia" w:hAnsiTheme="majorEastAsia" w:eastAsiaTheme="majorEastAsia"/>
                <w:szCs w:val="21"/>
              </w:rPr>
            </w:pPr>
            <w:r>
              <w:rPr>
                <w:rFonts w:hint="eastAsia" w:cs="Arial" w:asciiTheme="majorEastAsia" w:hAnsiTheme="majorEastAsia" w:eastAsiaTheme="majorEastAsia"/>
                <w:szCs w:val="21"/>
              </w:rPr>
              <w:t>90日历天，</w:t>
            </w:r>
            <w:r>
              <w:rPr>
                <w:rFonts w:hint="eastAsia" w:asciiTheme="majorEastAsia" w:hAnsiTheme="majorEastAsia" w:eastAsiaTheme="majorEastAsia"/>
                <w:szCs w:val="21"/>
              </w:rPr>
              <w:t>自</w:t>
            </w:r>
            <w:r>
              <w:rPr>
                <w:rFonts w:asciiTheme="majorEastAsia" w:hAnsiTheme="majorEastAsia" w:eastAsiaTheme="majorEastAsia"/>
                <w:szCs w:val="21"/>
              </w:rPr>
              <w:t>提交投标文件的截止之日起算</w:t>
            </w:r>
            <w:r>
              <w:rPr>
                <w:rFonts w:hint="eastAsia" w:cs="Arial" w:asciiTheme="majorEastAsia" w:hAnsiTheme="majorEastAsia" w:eastAsiaTheme="majorEastAsia"/>
                <w:szCs w:val="21"/>
              </w:rPr>
              <w:t>。</w:t>
            </w:r>
          </w:p>
        </w:tc>
      </w:tr>
      <w:tr w14:paraId="2C7C9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C6A7F88">
            <w:pPr>
              <w:jc w:val="center"/>
              <w:rPr>
                <w:rFonts w:hint="eastAsia" w:asciiTheme="majorEastAsia" w:hAnsiTheme="majorEastAsia" w:eastAsiaTheme="majorEastAsia"/>
                <w:szCs w:val="21"/>
              </w:rPr>
            </w:pPr>
            <w:r>
              <w:rPr>
                <w:rFonts w:hint="eastAsia" w:asciiTheme="majorEastAsia" w:hAnsiTheme="majorEastAsia" w:eastAsiaTheme="majorEastAsia"/>
                <w:szCs w:val="21"/>
              </w:rPr>
              <w:t>14</w:t>
            </w:r>
          </w:p>
        </w:tc>
        <w:tc>
          <w:tcPr>
            <w:tcW w:w="1020" w:type="dxa"/>
            <w:tcBorders>
              <w:top w:val="single" w:color="auto" w:sz="4" w:space="0"/>
              <w:left w:val="single" w:color="auto" w:sz="4" w:space="0"/>
              <w:bottom w:val="single" w:color="auto" w:sz="4" w:space="0"/>
              <w:right w:val="single" w:color="auto" w:sz="4" w:space="0"/>
            </w:tcBorders>
            <w:vAlign w:val="center"/>
          </w:tcPr>
          <w:p w14:paraId="7CAB72EC">
            <w:pPr>
              <w:jc w:val="center"/>
              <w:rPr>
                <w:rFonts w:hint="eastAsia" w:asciiTheme="majorEastAsia" w:hAnsiTheme="majorEastAsia" w:eastAsiaTheme="majorEastAsia"/>
                <w:szCs w:val="21"/>
              </w:rPr>
            </w:pPr>
            <w:r>
              <w:rPr>
                <w:rFonts w:hint="eastAsia" w:asciiTheme="majorEastAsia" w:hAnsiTheme="majorEastAsia" w:eastAsiaTheme="majorEastAsia"/>
                <w:szCs w:val="21"/>
              </w:rPr>
              <w:t>25.2</w:t>
            </w:r>
          </w:p>
        </w:tc>
        <w:tc>
          <w:tcPr>
            <w:tcW w:w="1418" w:type="dxa"/>
            <w:tcBorders>
              <w:top w:val="single" w:color="auto" w:sz="4" w:space="0"/>
              <w:left w:val="single" w:color="auto" w:sz="4" w:space="0"/>
              <w:bottom w:val="single" w:color="auto" w:sz="4" w:space="0"/>
              <w:right w:val="single" w:color="auto" w:sz="4" w:space="0"/>
            </w:tcBorders>
            <w:vAlign w:val="center"/>
          </w:tcPr>
          <w:p w14:paraId="5864C4DD">
            <w:pPr>
              <w:rPr>
                <w:rFonts w:hint="eastAsia" w:asciiTheme="majorEastAsia" w:hAnsiTheme="majorEastAsia" w:eastAsiaTheme="majorEastAsia"/>
                <w:szCs w:val="21"/>
              </w:rPr>
            </w:pPr>
            <w:r>
              <w:rPr>
                <w:rFonts w:hint="eastAsia" w:asciiTheme="majorEastAsia" w:hAnsiTheme="majorEastAsia" w:eastAsiaTheme="majorEastAsia"/>
              </w:rPr>
              <w:t>备份</w:t>
            </w:r>
            <w:r>
              <w:rPr>
                <w:rFonts w:hint="eastAsia" w:asciiTheme="majorEastAsia" w:hAnsiTheme="majorEastAsia" w:eastAsiaTheme="majorEastAsia"/>
                <w:szCs w:val="21"/>
              </w:rPr>
              <w:t>投标文件密封包装的标注和盖章</w:t>
            </w:r>
          </w:p>
        </w:tc>
        <w:tc>
          <w:tcPr>
            <w:tcW w:w="5757" w:type="dxa"/>
            <w:tcBorders>
              <w:top w:val="single" w:color="auto" w:sz="4" w:space="0"/>
              <w:left w:val="single" w:color="auto" w:sz="4" w:space="0"/>
              <w:bottom w:val="single" w:color="auto" w:sz="4" w:space="0"/>
              <w:right w:val="single" w:color="auto" w:sz="4" w:space="0"/>
            </w:tcBorders>
            <w:vAlign w:val="center"/>
          </w:tcPr>
          <w:p w14:paraId="2CE13950">
            <w:pPr>
              <w:jc w:val="left"/>
              <w:rPr>
                <w:rFonts w:hint="eastAsia" w:asciiTheme="majorEastAsia" w:hAnsiTheme="majorEastAsia" w:eastAsiaTheme="majorEastAsia"/>
                <w:szCs w:val="21"/>
              </w:rPr>
            </w:pPr>
            <w:r>
              <w:rPr>
                <w:rFonts w:hint="eastAsia" w:asciiTheme="majorEastAsia" w:hAnsiTheme="majorEastAsia" w:eastAsiaTheme="majorEastAsia"/>
                <w:szCs w:val="21"/>
              </w:rPr>
              <w:t>1）</w:t>
            </w:r>
            <w:r>
              <w:rPr>
                <w:rFonts w:hint="eastAsia" w:asciiTheme="majorEastAsia" w:hAnsiTheme="majorEastAsia" w:eastAsiaTheme="majorEastAsia"/>
              </w:rPr>
              <w:t>备份</w:t>
            </w:r>
            <w:r>
              <w:rPr>
                <w:rFonts w:hint="eastAsia" w:asciiTheme="majorEastAsia" w:hAnsiTheme="majorEastAsia" w:eastAsiaTheme="majorEastAsia"/>
                <w:szCs w:val="21"/>
              </w:rPr>
              <w:t>投标文件的密封包装封面应当清楚的标明项目名称、项目编号、投标人名称。</w:t>
            </w:r>
          </w:p>
          <w:p w14:paraId="57608289">
            <w:pPr>
              <w:jc w:val="left"/>
              <w:rPr>
                <w:rFonts w:hint="eastAsia" w:asciiTheme="majorEastAsia" w:hAnsiTheme="majorEastAsia" w:eastAsiaTheme="majorEastAsia"/>
                <w:szCs w:val="21"/>
              </w:rPr>
            </w:pPr>
            <w:r>
              <w:rPr>
                <w:rFonts w:hint="eastAsia" w:asciiTheme="majorEastAsia" w:hAnsiTheme="majorEastAsia" w:eastAsiaTheme="majorEastAsia"/>
                <w:szCs w:val="21"/>
              </w:rPr>
              <w:t>2）</w:t>
            </w:r>
            <w:r>
              <w:rPr>
                <w:rFonts w:hint="eastAsia" w:asciiTheme="majorEastAsia" w:hAnsiTheme="majorEastAsia" w:eastAsiaTheme="majorEastAsia"/>
              </w:rPr>
              <w:t>备份</w:t>
            </w:r>
            <w:r>
              <w:rPr>
                <w:rFonts w:hint="eastAsia" w:asciiTheme="majorEastAsia" w:hAnsiTheme="majorEastAsia" w:eastAsiaTheme="majorEastAsia"/>
                <w:szCs w:val="21"/>
              </w:rPr>
              <w:t>投标文件的密封包装封面应当加盖公章。</w:t>
            </w:r>
          </w:p>
        </w:tc>
      </w:tr>
      <w:tr w14:paraId="4FD34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3E33BEA">
            <w:pPr>
              <w:jc w:val="center"/>
              <w:rPr>
                <w:rFonts w:hint="eastAsia" w:asciiTheme="majorEastAsia" w:hAnsiTheme="majorEastAsia" w:eastAsiaTheme="majorEastAsia"/>
                <w:szCs w:val="21"/>
              </w:rPr>
            </w:pPr>
            <w:r>
              <w:rPr>
                <w:rFonts w:hint="eastAsia" w:asciiTheme="majorEastAsia" w:hAnsiTheme="majorEastAsia" w:eastAsiaTheme="majorEastAsia"/>
                <w:szCs w:val="21"/>
              </w:rPr>
              <w:t>15</w:t>
            </w:r>
          </w:p>
        </w:tc>
        <w:tc>
          <w:tcPr>
            <w:tcW w:w="1020" w:type="dxa"/>
            <w:tcBorders>
              <w:top w:val="single" w:color="auto" w:sz="4" w:space="0"/>
              <w:left w:val="single" w:color="auto" w:sz="4" w:space="0"/>
              <w:bottom w:val="single" w:color="auto" w:sz="4" w:space="0"/>
              <w:right w:val="single" w:color="auto" w:sz="4" w:space="0"/>
            </w:tcBorders>
            <w:vAlign w:val="center"/>
          </w:tcPr>
          <w:p w14:paraId="7F7E45C3">
            <w:pPr>
              <w:jc w:val="center"/>
              <w:rPr>
                <w:rFonts w:hint="eastAsia" w:asciiTheme="majorEastAsia" w:hAnsiTheme="majorEastAsia" w:eastAsiaTheme="majorEastAsia"/>
                <w:szCs w:val="21"/>
              </w:rPr>
            </w:pPr>
            <w:r>
              <w:rPr>
                <w:rFonts w:hint="eastAsia" w:asciiTheme="majorEastAsia" w:hAnsiTheme="majorEastAsia" w:eastAsiaTheme="majorEastAsia"/>
                <w:szCs w:val="21"/>
              </w:rPr>
              <w:t>28.2</w:t>
            </w:r>
          </w:p>
        </w:tc>
        <w:tc>
          <w:tcPr>
            <w:tcW w:w="1418" w:type="dxa"/>
            <w:tcBorders>
              <w:top w:val="single" w:color="auto" w:sz="4" w:space="0"/>
              <w:left w:val="single" w:color="auto" w:sz="4" w:space="0"/>
              <w:bottom w:val="single" w:color="auto" w:sz="4" w:space="0"/>
              <w:right w:val="single" w:color="auto" w:sz="4" w:space="0"/>
            </w:tcBorders>
            <w:vAlign w:val="center"/>
          </w:tcPr>
          <w:p w14:paraId="2A474E2A">
            <w:pPr>
              <w:rPr>
                <w:rFonts w:hint="eastAsia" w:asciiTheme="majorEastAsia" w:hAnsiTheme="majorEastAsia" w:eastAsiaTheme="majorEastAsia"/>
                <w:szCs w:val="21"/>
              </w:rPr>
            </w:pPr>
            <w:r>
              <w:rPr>
                <w:rFonts w:hint="eastAsia" w:asciiTheme="majorEastAsia" w:hAnsiTheme="majorEastAsia" w:eastAsiaTheme="majorEastAsia"/>
                <w:szCs w:val="21"/>
              </w:rPr>
              <w:t>投标文件开启步骤</w:t>
            </w:r>
          </w:p>
        </w:tc>
        <w:tc>
          <w:tcPr>
            <w:tcW w:w="5757" w:type="dxa"/>
            <w:tcBorders>
              <w:top w:val="single" w:color="auto" w:sz="4" w:space="0"/>
              <w:left w:val="single" w:color="auto" w:sz="4" w:space="0"/>
              <w:bottom w:val="single" w:color="auto" w:sz="4" w:space="0"/>
              <w:right w:val="single" w:color="auto" w:sz="4" w:space="0"/>
            </w:tcBorders>
            <w:vAlign w:val="center"/>
          </w:tcPr>
          <w:p w14:paraId="0C8E72B5">
            <w:pPr>
              <w:jc w:val="left"/>
              <w:rPr>
                <w:rFonts w:hint="eastAsia" w:asciiTheme="majorEastAsia" w:hAnsiTheme="majorEastAsia" w:eastAsiaTheme="majorEastAsia"/>
                <w:szCs w:val="21"/>
              </w:rPr>
            </w:pPr>
            <w:r>
              <w:rPr>
                <w:rFonts w:hint="eastAsia" w:asciiTheme="majorEastAsia" w:hAnsiTheme="majorEastAsia" w:eastAsiaTheme="majorEastAsia"/>
                <w:szCs w:val="21"/>
              </w:rPr>
              <w:t>所有投标文件（资格要求响应文件、商务技术文件和报价要求响应文件）同时开启；</w:t>
            </w:r>
          </w:p>
        </w:tc>
      </w:tr>
      <w:tr w14:paraId="30AA4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86D54BF">
            <w:pPr>
              <w:jc w:val="center"/>
              <w:rPr>
                <w:rFonts w:hint="eastAsia" w:asciiTheme="majorEastAsia" w:hAnsiTheme="majorEastAsia" w:eastAsiaTheme="majorEastAsia"/>
                <w:szCs w:val="21"/>
              </w:rPr>
            </w:pPr>
            <w:r>
              <w:rPr>
                <w:rFonts w:hint="eastAsia" w:asciiTheme="majorEastAsia" w:hAnsiTheme="majorEastAsia" w:eastAsiaTheme="majorEastAsia"/>
                <w:szCs w:val="21"/>
              </w:rPr>
              <w:t>16</w:t>
            </w:r>
          </w:p>
        </w:tc>
        <w:tc>
          <w:tcPr>
            <w:tcW w:w="1020" w:type="dxa"/>
            <w:tcBorders>
              <w:top w:val="single" w:color="auto" w:sz="4" w:space="0"/>
              <w:left w:val="single" w:color="auto" w:sz="4" w:space="0"/>
              <w:bottom w:val="single" w:color="auto" w:sz="4" w:space="0"/>
              <w:right w:val="single" w:color="auto" w:sz="4" w:space="0"/>
            </w:tcBorders>
            <w:vAlign w:val="center"/>
          </w:tcPr>
          <w:p w14:paraId="15591462">
            <w:pPr>
              <w:jc w:val="center"/>
              <w:rPr>
                <w:rFonts w:hint="eastAsia" w:asciiTheme="majorEastAsia" w:hAnsiTheme="majorEastAsia" w:eastAsiaTheme="majorEastAsia"/>
                <w:szCs w:val="21"/>
              </w:rPr>
            </w:pPr>
            <w:r>
              <w:rPr>
                <w:rFonts w:hint="eastAsia" w:asciiTheme="majorEastAsia" w:hAnsiTheme="majorEastAsia" w:eastAsiaTheme="majorEastAsia"/>
                <w:szCs w:val="21"/>
              </w:rPr>
              <w:t>31.1</w:t>
            </w:r>
          </w:p>
        </w:tc>
        <w:tc>
          <w:tcPr>
            <w:tcW w:w="1418" w:type="dxa"/>
            <w:tcBorders>
              <w:top w:val="single" w:color="auto" w:sz="4" w:space="0"/>
              <w:left w:val="single" w:color="auto" w:sz="4" w:space="0"/>
              <w:bottom w:val="single" w:color="auto" w:sz="4" w:space="0"/>
              <w:right w:val="single" w:color="auto" w:sz="4" w:space="0"/>
            </w:tcBorders>
            <w:vAlign w:val="center"/>
          </w:tcPr>
          <w:p w14:paraId="156FA3C9">
            <w:pPr>
              <w:rPr>
                <w:rFonts w:hint="eastAsia" w:asciiTheme="majorEastAsia" w:hAnsiTheme="majorEastAsia" w:eastAsiaTheme="majorEastAsia"/>
                <w:szCs w:val="21"/>
              </w:rPr>
            </w:pPr>
            <w:r>
              <w:rPr>
                <w:rFonts w:asciiTheme="minorEastAsia" w:hAnsiTheme="minorEastAsia" w:eastAsiaTheme="minorEastAsia"/>
                <w:szCs w:val="21"/>
              </w:rPr>
              <w:t>中标候选</w:t>
            </w:r>
            <w:r>
              <w:rPr>
                <w:rFonts w:hint="eastAsia" w:asciiTheme="minorEastAsia" w:hAnsiTheme="minorEastAsia" w:eastAsiaTheme="minorEastAsia"/>
                <w:szCs w:val="21"/>
              </w:rPr>
              <w:t>人的</w:t>
            </w:r>
            <w:r>
              <w:rPr>
                <w:rFonts w:asciiTheme="minorEastAsia" w:hAnsiTheme="minorEastAsia" w:eastAsiaTheme="minorEastAsia"/>
                <w:szCs w:val="21"/>
              </w:rPr>
              <w:t>数量</w:t>
            </w:r>
          </w:p>
        </w:tc>
        <w:tc>
          <w:tcPr>
            <w:tcW w:w="5757" w:type="dxa"/>
            <w:tcBorders>
              <w:top w:val="single" w:color="auto" w:sz="4" w:space="0"/>
              <w:left w:val="single" w:color="auto" w:sz="4" w:space="0"/>
              <w:bottom w:val="single" w:color="auto" w:sz="4" w:space="0"/>
              <w:right w:val="single" w:color="auto" w:sz="4" w:space="0"/>
            </w:tcBorders>
            <w:vAlign w:val="center"/>
          </w:tcPr>
          <w:p w14:paraId="76EB01A0">
            <w:pPr>
              <w:jc w:val="left"/>
              <w:rPr>
                <w:rFonts w:hint="eastAsia" w:asciiTheme="majorEastAsia" w:hAnsiTheme="majorEastAsia" w:eastAsiaTheme="majorEastAsia"/>
                <w:szCs w:val="21"/>
              </w:rPr>
            </w:pPr>
            <w:r>
              <w:rPr>
                <w:rFonts w:hint="eastAsia" w:asciiTheme="majorEastAsia" w:hAnsiTheme="majorEastAsia" w:eastAsiaTheme="majorEastAsia"/>
                <w:szCs w:val="21"/>
              </w:rPr>
              <w:t>综合得分排名前三的投标人</w:t>
            </w:r>
          </w:p>
        </w:tc>
      </w:tr>
    </w:tbl>
    <w:p w14:paraId="10415626">
      <w:pPr>
        <w:spacing w:line="360" w:lineRule="auto"/>
        <w:rPr>
          <w:rFonts w:hint="eastAsia" w:asciiTheme="majorEastAsia" w:hAnsiTheme="majorEastAsia" w:eastAsiaTheme="majorEastAsia"/>
          <w:b/>
          <w:szCs w:val="21"/>
        </w:rPr>
      </w:pPr>
    </w:p>
    <w:p w14:paraId="35929DA9">
      <w:pPr>
        <w:pStyle w:val="25"/>
        <w:tabs>
          <w:tab w:val="left" w:pos="426"/>
        </w:tabs>
        <w:snapToGrid w:val="0"/>
        <w:spacing w:beforeLines="0" w:afterLines="0" w:line="360" w:lineRule="auto"/>
        <w:jc w:val="center"/>
        <w:rPr>
          <w:rFonts w:hint="eastAsia" w:asciiTheme="majorEastAsia" w:hAnsiTheme="majorEastAsia" w:eastAsiaTheme="majorEastAsia"/>
          <w:b/>
          <w:sz w:val="21"/>
          <w:szCs w:val="21"/>
        </w:rPr>
      </w:pPr>
      <w:r>
        <w:rPr>
          <w:rFonts w:asciiTheme="majorEastAsia" w:hAnsiTheme="majorEastAsia" w:eastAsiaTheme="majorEastAsia"/>
          <w:b/>
          <w:sz w:val="21"/>
          <w:szCs w:val="21"/>
        </w:rPr>
        <w:br w:type="page"/>
      </w:r>
      <w:r>
        <w:rPr>
          <w:rFonts w:hint="eastAsia" w:asciiTheme="majorEastAsia" w:hAnsiTheme="majorEastAsia" w:eastAsiaTheme="majorEastAsia"/>
          <w:b/>
          <w:sz w:val="21"/>
          <w:szCs w:val="21"/>
        </w:rPr>
        <w:t>一、总  则</w:t>
      </w:r>
    </w:p>
    <w:p w14:paraId="54B73C87">
      <w:pPr>
        <w:spacing w:line="360" w:lineRule="auto"/>
        <w:ind w:firstLine="422" w:firstLineChars="200"/>
        <w:jc w:val="left"/>
        <w:rPr>
          <w:rFonts w:hint="eastAsia" w:asciiTheme="majorEastAsia" w:hAnsiTheme="majorEastAsia" w:eastAsiaTheme="majorEastAsia"/>
          <w:b/>
          <w:szCs w:val="21"/>
        </w:rPr>
      </w:pPr>
      <w:r>
        <w:rPr>
          <w:rFonts w:hint="eastAsia" w:asciiTheme="majorEastAsia" w:hAnsiTheme="majorEastAsia" w:eastAsiaTheme="majorEastAsia"/>
          <w:b/>
          <w:szCs w:val="21"/>
        </w:rPr>
        <w:t>1.</w:t>
      </w:r>
      <w:r>
        <w:rPr>
          <w:rFonts w:asciiTheme="majorEastAsia" w:hAnsiTheme="majorEastAsia" w:eastAsiaTheme="majorEastAsia"/>
          <w:b/>
          <w:szCs w:val="21"/>
        </w:rPr>
        <w:t>适用范围</w:t>
      </w:r>
    </w:p>
    <w:p w14:paraId="1499E29C">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本招标文件适用于</w:t>
      </w:r>
      <w:r>
        <w:rPr>
          <w:rFonts w:hint="eastAsia" w:asciiTheme="majorEastAsia" w:hAnsiTheme="majorEastAsia" w:eastAsiaTheme="majorEastAsia"/>
          <w:szCs w:val="21"/>
          <w:u w:val="single"/>
        </w:rPr>
        <w:t>浙江大学宁波“五位一体”校区教育发展中心高压物性综合测试平台采购项目</w:t>
      </w:r>
      <w:r>
        <w:rPr>
          <w:rFonts w:hint="eastAsia" w:asciiTheme="majorEastAsia" w:hAnsiTheme="majorEastAsia" w:eastAsiaTheme="majorEastAsia"/>
          <w:szCs w:val="21"/>
        </w:rPr>
        <w:t>的政府采购。</w:t>
      </w:r>
    </w:p>
    <w:p w14:paraId="6E972CCC">
      <w:pPr>
        <w:spacing w:line="360" w:lineRule="auto"/>
        <w:ind w:firstLine="422" w:firstLineChars="200"/>
        <w:jc w:val="left"/>
        <w:rPr>
          <w:rFonts w:hint="eastAsia" w:asciiTheme="majorEastAsia" w:hAnsiTheme="majorEastAsia" w:eastAsiaTheme="majorEastAsia"/>
          <w:b/>
          <w:szCs w:val="21"/>
        </w:rPr>
      </w:pPr>
      <w:r>
        <w:rPr>
          <w:rFonts w:hint="eastAsia" w:asciiTheme="majorEastAsia" w:hAnsiTheme="majorEastAsia" w:eastAsiaTheme="majorEastAsia"/>
          <w:b/>
          <w:szCs w:val="21"/>
        </w:rPr>
        <w:t>2.定义</w:t>
      </w:r>
    </w:p>
    <w:p w14:paraId="389E7BCE">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2.1采购人：是指依法进行政府采购的国家机关、事业单位、团体组织，详见《投标人须知前附表》。</w:t>
      </w:r>
    </w:p>
    <w:p w14:paraId="330064AE">
      <w:pPr>
        <w:snapToGrid w:val="0"/>
        <w:spacing w:line="360" w:lineRule="auto"/>
        <w:ind w:firstLine="420" w:firstLineChars="200"/>
        <w:jc w:val="left"/>
        <w:rPr>
          <w:rFonts w:hint="eastAsia" w:cs="Arial" w:asciiTheme="majorEastAsia" w:hAnsiTheme="majorEastAsia" w:eastAsiaTheme="majorEastAsia"/>
          <w:szCs w:val="21"/>
        </w:rPr>
      </w:pPr>
      <w:r>
        <w:rPr>
          <w:rFonts w:hint="eastAsia" w:cs="Arial" w:asciiTheme="majorEastAsia" w:hAnsiTheme="majorEastAsia" w:eastAsiaTheme="majorEastAsia"/>
          <w:szCs w:val="21"/>
        </w:rPr>
        <w:t>2.2</w:t>
      </w:r>
      <w:r>
        <w:rPr>
          <w:rFonts w:cs="Arial" w:asciiTheme="majorEastAsia" w:hAnsiTheme="majorEastAsia" w:eastAsiaTheme="majorEastAsia"/>
          <w:szCs w:val="21"/>
        </w:rPr>
        <w:t>采购代理机构：受采购</w:t>
      </w:r>
      <w:r>
        <w:rPr>
          <w:rFonts w:hint="eastAsia" w:cs="Arial" w:asciiTheme="majorEastAsia" w:hAnsiTheme="majorEastAsia" w:eastAsiaTheme="majorEastAsia"/>
          <w:szCs w:val="21"/>
        </w:rPr>
        <w:t>人</w:t>
      </w:r>
      <w:r>
        <w:rPr>
          <w:rFonts w:cs="Arial" w:asciiTheme="majorEastAsia" w:hAnsiTheme="majorEastAsia" w:eastAsiaTheme="majorEastAsia"/>
          <w:szCs w:val="21"/>
        </w:rPr>
        <w:t>委托，在委托的范围内办理政府采购事宜的机构</w:t>
      </w:r>
      <w:r>
        <w:rPr>
          <w:rFonts w:hint="eastAsia" w:asciiTheme="majorEastAsia" w:hAnsiTheme="majorEastAsia" w:eastAsiaTheme="majorEastAsia"/>
          <w:szCs w:val="21"/>
        </w:rPr>
        <w:t>，详见《投标人须知前附表》</w:t>
      </w:r>
      <w:r>
        <w:rPr>
          <w:rFonts w:hint="eastAsia" w:cs="Arial" w:asciiTheme="majorEastAsia" w:hAnsiTheme="majorEastAsia" w:eastAsiaTheme="majorEastAsia"/>
          <w:szCs w:val="21"/>
        </w:rPr>
        <w:t>。</w:t>
      </w:r>
    </w:p>
    <w:p w14:paraId="31232EB2">
      <w:pPr>
        <w:snapToGrid w:val="0"/>
        <w:spacing w:line="360" w:lineRule="auto"/>
        <w:ind w:firstLine="420" w:firstLineChars="200"/>
        <w:jc w:val="left"/>
        <w:rPr>
          <w:rFonts w:hint="eastAsia" w:cs="Arial" w:asciiTheme="majorEastAsia" w:hAnsiTheme="majorEastAsia" w:eastAsiaTheme="majorEastAsia"/>
          <w:szCs w:val="21"/>
        </w:rPr>
      </w:pPr>
      <w:r>
        <w:rPr>
          <w:rFonts w:hint="eastAsia" w:cs="Arial" w:asciiTheme="majorEastAsia" w:hAnsiTheme="majorEastAsia" w:eastAsiaTheme="majorEastAsia"/>
          <w:szCs w:val="21"/>
        </w:rPr>
        <w:t>2.3</w:t>
      </w:r>
      <w:r>
        <w:rPr>
          <w:rFonts w:cs="Arial" w:asciiTheme="majorEastAsia" w:hAnsiTheme="majorEastAsia" w:eastAsiaTheme="majorEastAsia"/>
          <w:szCs w:val="21"/>
        </w:rPr>
        <w:t>投标人</w:t>
      </w:r>
      <w:r>
        <w:rPr>
          <w:rFonts w:hint="eastAsia" w:cs="Arial" w:asciiTheme="majorEastAsia" w:hAnsiTheme="majorEastAsia" w:eastAsiaTheme="majorEastAsia"/>
          <w:szCs w:val="21"/>
        </w:rPr>
        <w:t>/供应商：是</w:t>
      </w:r>
      <w:r>
        <w:rPr>
          <w:rFonts w:cs="Arial" w:asciiTheme="majorEastAsia" w:hAnsiTheme="majorEastAsia" w:eastAsiaTheme="majorEastAsia"/>
          <w:szCs w:val="21"/>
        </w:rPr>
        <w:t>指</w:t>
      </w:r>
      <w:r>
        <w:rPr>
          <w:rFonts w:hint="eastAsia" w:cs="Arial" w:asciiTheme="majorEastAsia" w:hAnsiTheme="majorEastAsia" w:eastAsiaTheme="majorEastAsia"/>
          <w:szCs w:val="21"/>
        </w:rPr>
        <w:t>响应招标、参加投标竞争的法人、其他组织。</w:t>
      </w:r>
    </w:p>
    <w:p w14:paraId="2DC32115">
      <w:pPr>
        <w:snapToGrid w:val="0"/>
        <w:spacing w:line="360" w:lineRule="auto"/>
        <w:ind w:firstLine="420" w:firstLineChars="200"/>
        <w:jc w:val="left"/>
        <w:rPr>
          <w:rFonts w:hint="eastAsia" w:cs="Arial" w:asciiTheme="majorEastAsia" w:hAnsiTheme="majorEastAsia" w:eastAsiaTheme="majorEastAsia"/>
          <w:szCs w:val="21"/>
        </w:rPr>
      </w:pPr>
      <w:r>
        <w:rPr>
          <w:rFonts w:hint="eastAsia" w:cs="Arial" w:asciiTheme="majorEastAsia" w:hAnsiTheme="majorEastAsia" w:eastAsiaTheme="majorEastAsia"/>
          <w:szCs w:val="21"/>
        </w:rPr>
        <w:t>2.4投标人代表：是指参加投标活动的投标人/供应商的法定代表人。</w:t>
      </w:r>
    </w:p>
    <w:p w14:paraId="31D8E1DF">
      <w:pPr>
        <w:snapToGrid w:val="0"/>
        <w:spacing w:line="360" w:lineRule="auto"/>
        <w:ind w:firstLine="420" w:firstLineChars="200"/>
        <w:jc w:val="left"/>
        <w:rPr>
          <w:rFonts w:hint="eastAsia" w:cs="Arial" w:asciiTheme="majorEastAsia" w:hAnsiTheme="majorEastAsia" w:eastAsiaTheme="majorEastAsia"/>
          <w:szCs w:val="21"/>
        </w:rPr>
      </w:pPr>
      <w:r>
        <w:rPr>
          <w:rFonts w:hint="eastAsia" w:cs="Arial" w:asciiTheme="majorEastAsia" w:hAnsiTheme="majorEastAsia" w:eastAsiaTheme="majorEastAsia"/>
          <w:szCs w:val="21"/>
        </w:rPr>
        <w:t>2.5中标人：是指经法定程序确定并授予合同的投标人。</w:t>
      </w:r>
    </w:p>
    <w:p w14:paraId="685DE72D">
      <w:pPr>
        <w:snapToGrid w:val="0"/>
        <w:spacing w:line="360" w:lineRule="auto"/>
        <w:ind w:firstLine="420" w:firstLineChars="200"/>
        <w:jc w:val="left"/>
        <w:rPr>
          <w:rFonts w:hint="eastAsia" w:cs="Arial" w:asciiTheme="majorEastAsia" w:hAnsiTheme="majorEastAsia" w:eastAsiaTheme="majorEastAsia"/>
          <w:szCs w:val="21"/>
        </w:rPr>
      </w:pPr>
      <w:r>
        <w:rPr>
          <w:rFonts w:hint="eastAsia" w:cs="Arial" w:asciiTheme="majorEastAsia" w:hAnsiTheme="majorEastAsia" w:eastAsiaTheme="majorEastAsia"/>
          <w:szCs w:val="21"/>
        </w:rPr>
        <w:t>2.6</w:t>
      </w:r>
      <w:r>
        <w:rPr>
          <w:rFonts w:cs="Arial" w:asciiTheme="majorEastAsia" w:hAnsiTheme="majorEastAsia" w:eastAsiaTheme="majorEastAsia"/>
          <w:szCs w:val="21"/>
        </w:rPr>
        <w:t>书面形式</w:t>
      </w:r>
      <w:r>
        <w:rPr>
          <w:rFonts w:hint="eastAsia" w:cs="Arial" w:asciiTheme="majorEastAsia" w:hAnsiTheme="majorEastAsia" w:eastAsiaTheme="majorEastAsia"/>
          <w:szCs w:val="21"/>
        </w:rPr>
        <w:t>：</w:t>
      </w:r>
      <w:r>
        <w:rPr>
          <w:rFonts w:cs="Arial" w:asciiTheme="majorEastAsia" w:hAnsiTheme="majorEastAsia" w:eastAsiaTheme="majorEastAsia"/>
          <w:szCs w:val="21"/>
        </w:rPr>
        <w:t>包括</w:t>
      </w:r>
      <w:r>
        <w:rPr>
          <w:rFonts w:hint="eastAsia" w:cs="Arial" w:asciiTheme="majorEastAsia" w:hAnsiTheme="majorEastAsia" w:eastAsiaTheme="majorEastAsia"/>
          <w:szCs w:val="21"/>
        </w:rPr>
        <w:t>信件、</w:t>
      </w:r>
      <w:r>
        <w:rPr>
          <w:rFonts w:cs="Arial" w:asciiTheme="majorEastAsia" w:hAnsiTheme="majorEastAsia" w:eastAsiaTheme="majorEastAsia"/>
          <w:szCs w:val="21"/>
        </w:rPr>
        <w:t>电报、电传、传真等可以有形地表现所载内容的形式</w:t>
      </w:r>
      <w:r>
        <w:rPr>
          <w:rFonts w:hint="eastAsia" w:cs="Arial" w:asciiTheme="majorEastAsia" w:hAnsiTheme="majorEastAsia" w:eastAsiaTheme="majorEastAsia"/>
          <w:szCs w:val="21"/>
        </w:rPr>
        <w:t>。以电子数据交换、电子邮件等方式能够有形地表现所载内容，并可以随时调取查用的数据电文，视为书面形式。</w:t>
      </w:r>
    </w:p>
    <w:p w14:paraId="757A87E7">
      <w:pPr>
        <w:snapToGrid w:val="0"/>
        <w:spacing w:line="360" w:lineRule="auto"/>
        <w:ind w:firstLine="420" w:firstLineChars="200"/>
        <w:jc w:val="left"/>
        <w:rPr>
          <w:rFonts w:hint="eastAsia" w:cs="Arial" w:asciiTheme="majorEastAsia" w:hAnsiTheme="majorEastAsia" w:eastAsiaTheme="majorEastAsia"/>
          <w:szCs w:val="21"/>
        </w:rPr>
      </w:pPr>
      <w:r>
        <w:rPr>
          <w:rFonts w:hint="eastAsia" w:cs="Arial" w:asciiTheme="majorEastAsia" w:hAnsiTheme="majorEastAsia" w:eastAsiaTheme="majorEastAsia"/>
          <w:szCs w:val="21"/>
        </w:rPr>
        <w:t>2.7实质性条款：标注</w:t>
      </w:r>
      <w:r>
        <w:rPr>
          <w:rFonts w:cs="Arial" w:asciiTheme="majorEastAsia" w:hAnsiTheme="majorEastAsia" w:eastAsiaTheme="majorEastAsia"/>
          <w:szCs w:val="21"/>
        </w:rPr>
        <w:t>“</w:t>
      </w:r>
      <w:r>
        <w:rPr>
          <w:rFonts w:hint="eastAsia" w:asciiTheme="majorEastAsia" w:hAnsiTheme="majorEastAsia" w:eastAsiaTheme="majorEastAsia"/>
          <w:szCs w:val="21"/>
        </w:rPr>
        <w:t>▲</w:t>
      </w:r>
      <w:r>
        <w:rPr>
          <w:rFonts w:cs="Arial" w:asciiTheme="majorEastAsia" w:hAnsiTheme="majorEastAsia" w:eastAsiaTheme="majorEastAsia"/>
          <w:szCs w:val="21"/>
        </w:rPr>
        <w:t>”</w:t>
      </w:r>
      <w:r>
        <w:rPr>
          <w:rFonts w:hint="eastAsia" w:cs="Arial" w:asciiTheme="majorEastAsia" w:hAnsiTheme="majorEastAsia" w:eastAsiaTheme="majorEastAsia"/>
          <w:szCs w:val="21"/>
        </w:rPr>
        <w:t>的属于招标文件的</w:t>
      </w:r>
      <w:r>
        <w:rPr>
          <w:rFonts w:cs="Arial" w:asciiTheme="majorEastAsia" w:hAnsiTheme="majorEastAsia" w:eastAsiaTheme="majorEastAsia"/>
          <w:szCs w:val="21"/>
        </w:rPr>
        <w:t>实质性要求条款。</w:t>
      </w:r>
    </w:p>
    <w:p w14:paraId="78BCB1F5">
      <w:pPr>
        <w:snapToGrid w:val="0"/>
        <w:spacing w:line="360" w:lineRule="auto"/>
        <w:ind w:firstLine="420" w:firstLineChars="200"/>
        <w:jc w:val="left"/>
        <w:rPr>
          <w:rFonts w:hint="eastAsia" w:cs="Arial" w:asciiTheme="majorEastAsia" w:hAnsiTheme="majorEastAsia" w:eastAsiaTheme="majorEastAsia"/>
          <w:szCs w:val="21"/>
        </w:rPr>
      </w:pPr>
      <w:r>
        <w:rPr>
          <w:rFonts w:hint="eastAsia" w:cs="Arial" w:asciiTheme="majorEastAsia" w:hAnsiTheme="majorEastAsia" w:eastAsiaTheme="majorEastAsia"/>
          <w:szCs w:val="21"/>
        </w:rPr>
        <w:t>2.8核心产品：标注“</w:t>
      </w:r>
      <w:r>
        <w:rPr>
          <w:rFonts w:hint="eastAsia" w:cs="宋体" w:asciiTheme="majorEastAsia" w:hAnsiTheme="majorEastAsia" w:eastAsiaTheme="majorEastAsia"/>
          <w:kern w:val="0"/>
          <w:szCs w:val="21"/>
        </w:rPr>
        <w:t>●</w:t>
      </w:r>
      <w:r>
        <w:rPr>
          <w:rFonts w:hint="eastAsia" w:cs="Arial" w:asciiTheme="majorEastAsia" w:hAnsiTheme="majorEastAsia" w:eastAsiaTheme="majorEastAsia"/>
          <w:szCs w:val="21"/>
        </w:rPr>
        <w:t>”系指本项目核心产品，作为判断同品牌产品的依据。</w:t>
      </w:r>
    </w:p>
    <w:p w14:paraId="7A040CBF">
      <w:pPr>
        <w:snapToGrid w:val="0"/>
        <w:spacing w:line="360" w:lineRule="auto"/>
        <w:ind w:firstLine="420" w:firstLineChars="200"/>
        <w:jc w:val="left"/>
        <w:rPr>
          <w:rFonts w:hint="eastAsia" w:cs="Arial" w:asciiTheme="majorEastAsia" w:hAnsiTheme="majorEastAsia" w:eastAsiaTheme="majorEastAsia"/>
          <w:szCs w:val="21"/>
        </w:rPr>
      </w:pPr>
      <w:r>
        <w:rPr>
          <w:rFonts w:hint="eastAsia" w:cs="Arial" w:asciiTheme="majorEastAsia" w:hAnsiTheme="majorEastAsia" w:eastAsiaTheme="majorEastAsia"/>
          <w:szCs w:val="21"/>
        </w:rPr>
        <w:t>2.9公章:</w:t>
      </w:r>
      <w:r>
        <w:rPr>
          <w:rFonts w:cs="Arial" w:asciiTheme="majorEastAsia" w:hAnsiTheme="majorEastAsia" w:eastAsiaTheme="majorEastAsia"/>
          <w:szCs w:val="21"/>
        </w:rPr>
        <w:t>投标人在投标文件及通知等事项的书面文件中的单位盖章、印章、公章等处，均仅指与投标当事人名称全称相一致的标准公章</w:t>
      </w:r>
      <w:r>
        <w:rPr>
          <w:rFonts w:hint="eastAsia" w:cs="Arial" w:asciiTheme="majorEastAsia" w:hAnsiTheme="majorEastAsia" w:eastAsiaTheme="majorEastAsia"/>
          <w:szCs w:val="21"/>
        </w:rPr>
        <w:t>（行政章）</w:t>
      </w:r>
      <w:r>
        <w:rPr>
          <w:rFonts w:cs="Arial" w:asciiTheme="majorEastAsia" w:hAnsiTheme="majorEastAsia" w:eastAsiaTheme="majorEastAsia"/>
          <w:szCs w:val="21"/>
        </w:rPr>
        <w:t>，不得使用其它形式，如带有“专用章”</w:t>
      </w:r>
      <w:r>
        <w:rPr>
          <w:rFonts w:hint="eastAsia" w:cs="Arial" w:asciiTheme="majorEastAsia" w:hAnsiTheme="majorEastAsia" w:eastAsiaTheme="majorEastAsia"/>
          <w:szCs w:val="21"/>
        </w:rPr>
        <w:t>“业务章”</w:t>
      </w:r>
      <w:r>
        <w:rPr>
          <w:rFonts w:cs="Arial" w:asciiTheme="majorEastAsia" w:hAnsiTheme="majorEastAsia" w:eastAsiaTheme="majorEastAsia"/>
          <w:szCs w:val="21"/>
        </w:rPr>
        <w:t>等字样的印章。</w:t>
      </w:r>
    </w:p>
    <w:p w14:paraId="0869E843">
      <w:pPr>
        <w:snapToGrid w:val="0"/>
        <w:spacing w:line="360" w:lineRule="auto"/>
        <w:ind w:firstLine="420" w:firstLineChars="200"/>
        <w:jc w:val="left"/>
        <w:rPr>
          <w:rFonts w:hint="eastAsia" w:cs="Arial" w:asciiTheme="majorEastAsia" w:hAnsiTheme="majorEastAsia" w:eastAsiaTheme="majorEastAsia"/>
          <w:szCs w:val="21"/>
        </w:rPr>
      </w:pPr>
      <w:r>
        <w:rPr>
          <w:rFonts w:hint="eastAsia" w:cs="Arial" w:asciiTheme="majorEastAsia" w:hAnsiTheme="majorEastAsia" w:eastAsiaTheme="majorEastAsia"/>
        </w:rPr>
        <w:t>2.10电子签章：为投标人单位法定名称电子公章。</w:t>
      </w:r>
    </w:p>
    <w:p w14:paraId="620002F7">
      <w:pPr>
        <w:spacing w:line="360" w:lineRule="auto"/>
        <w:ind w:firstLine="422" w:firstLineChars="200"/>
        <w:jc w:val="left"/>
        <w:rPr>
          <w:rFonts w:hint="eastAsia" w:asciiTheme="majorEastAsia" w:hAnsiTheme="majorEastAsia" w:eastAsiaTheme="majorEastAsia"/>
          <w:b/>
          <w:szCs w:val="21"/>
        </w:rPr>
      </w:pPr>
      <w:r>
        <w:rPr>
          <w:rFonts w:hint="eastAsia" w:asciiTheme="majorEastAsia" w:hAnsiTheme="majorEastAsia" w:eastAsiaTheme="majorEastAsia"/>
          <w:b/>
          <w:szCs w:val="21"/>
        </w:rPr>
        <w:t>3.投标费用</w:t>
      </w:r>
    </w:p>
    <w:p w14:paraId="357EB983">
      <w:pPr>
        <w:pStyle w:val="292"/>
        <w:widowControl w:val="0"/>
        <w:spacing w:afterLines="0" w:line="360" w:lineRule="auto"/>
        <w:ind w:firstLine="42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投标人自行承担准备和参加投标有关的所有费用，不论投标的结果如何，采购人或采购代理机构均无义务和责任承担这些费用。</w:t>
      </w:r>
    </w:p>
    <w:p w14:paraId="599FB320">
      <w:pPr>
        <w:spacing w:line="360" w:lineRule="auto"/>
        <w:ind w:firstLine="422" w:firstLineChars="200"/>
        <w:rPr>
          <w:rFonts w:hint="eastAsia" w:asciiTheme="majorEastAsia" w:hAnsiTheme="majorEastAsia" w:eastAsiaTheme="majorEastAsia"/>
          <w:b/>
          <w:szCs w:val="21"/>
        </w:rPr>
      </w:pPr>
      <w:r>
        <w:rPr>
          <w:rFonts w:hint="eastAsia" w:asciiTheme="majorEastAsia" w:hAnsiTheme="majorEastAsia" w:eastAsiaTheme="majorEastAsia"/>
          <w:b/>
          <w:szCs w:val="21"/>
        </w:rPr>
        <w:t>4.知识产权</w:t>
      </w:r>
    </w:p>
    <w:p w14:paraId="5EA7B8FA">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w:t>
      </w:r>
      <w:r>
        <w:rPr>
          <w:rFonts w:asciiTheme="majorEastAsia" w:hAnsiTheme="majorEastAsia" w:eastAsiaTheme="majorEastAsia"/>
          <w:sz w:val="21"/>
          <w:szCs w:val="21"/>
        </w:rPr>
        <w:t>.1投标人应保证在本项目使用的任何产品（包括部分使用），不会产生因第三方提出侵犯其专利权、商标权或其它知识产权而引起</w:t>
      </w:r>
      <w:r>
        <w:rPr>
          <w:rFonts w:hint="eastAsia" w:asciiTheme="majorEastAsia" w:hAnsiTheme="majorEastAsia" w:eastAsiaTheme="majorEastAsia"/>
          <w:sz w:val="21"/>
          <w:szCs w:val="21"/>
        </w:rPr>
        <w:t>法律或经济纠纷。如因专利权、商标权或其它知识产权原因引起法律或经济纠纷的，所有相关责任及赔偿均由投标人独自承担。</w:t>
      </w:r>
    </w:p>
    <w:p w14:paraId="63702D4E">
      <w:pPr>
        <w:pStyle w:val="292"/>
        <w:widowControl w:val="0"/>
        <w:spacing w:afterLines="0" w:line="360" w:lineRule="auto"/>
        <w:ind w:firstLine="42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4.2投标人如采用自身所不拥有的知识产权，则在投标报价中必须包括投标人合法获得该知识产权的相关费用，无论投标人是否在投标报价中单独列明，采购人均视为投标报价已包含该部分费用。</w:t>
      </w:r>
    </w:p>
    <w:p w14:paraId="6186E50C">
      <w:pPr>
        <w:spacing w:line="360" w:lineRule="auto"/>
        <w:ind w:firstLine="420" w:firstLineChars="200"/>
        <w:jc w:val="left"/>
        <w:rPr>
          <w:rFonts w:hint="eastAsia" w:asciiTheme="majorEastAsia" w:hAnsiTheme="majorEastAsia" w:eastAsiaTheme="majorEastAsia"/>
          <w:b/>
          <w:szCs w:val="21"/>
        </w:rPr>
      </w:pPr>
      <w:r>
        <w:rPr>
          <w:rFonts w:hint="eastAsia" w:asciiTheme="majorEastAsia" w:hAnsiTheme="majorEastAsia" w:eastAsiaTheme="majorEastAsia"/>
          <w:szCs w:val="21"/>
        </w:rPr>
        <w:t>▲</w:t>
      </w:r>
      <w:r>
        <w:rPr>
          <w:rFonts w:hint="eastAsia" w:asciiTheme="majorEastAsia" w:hAnsiTheme="majorEastAsia" w:eastAsiaTheme="majorEastAsia"/>
          <w:b/>
          <w:szCs w:val="21"/>
        </w:rPr>
        <w:t>5.转包与分包</w:t>
      </w:r>
    </w:p>
    <w:p w14:paraId="0F0DE3CA">
      <w:pPr>
        <w:snapToGrid w:val="0"/>
        <w:spacing w:line="360" w:lineRule="auto"/>
        <w:ind w:firstLine="420" w:firstLineChars="200"/>
        <w:jc w:val="left"/>
        <w:rPr>
          <w:rFonts w:hint="eastAsia" w:cs="Arial" w:asciiTheme="majorEastAsia" w:hAnsiTheme="majorEastAsia" w:eastAsiaTheme="majorEastAsia"/>
          <w:szCs w:val="21"/>
        </w:rPr>
      </w:pPr>
      <w:r>
        <w:rPr>
          <w:rFonts w:hint="eastAsia" w:asciiTheme="majorEastAsia" w:hAnsiTheme="majorEastAsia" w:eastAsiaTheme="majorEastAsia"/>
          <w:bCs/>
          <w:szCs w:val="21"/>
        </w:rPr>
        <w:t>本项目依法不允许转包与分包。</w:t>
      </w:r>
    </w:p>
    <w:p w14:paraId="22E87B79">
      <w:pPr>
        <w:spacing w:line="360" w:lineRule="auto"/>
        <w:ind w:firstLine="420" w:firstLineChars="200"/>
        <w:rPr>
          <w:rFonts w:hint="eastAsia" w:asciiTheme="majorEastAsia" w:hAnsiTheme="majorEastAsia" w:eastAsiaTheme="majorEastAsia"/>
          <w:b/>
          <w:szCs w:val="21"/>
        </w:rPr>
      </w:pPr>
      <w:r>
        <w:rPr>
          <w:rFonts w:hint="eastAsia" w:asciiTheme="majorEastAsia" w:hAnsiTheme="majorEastAsia" w:eastAsiaTheme="majorEastAsia"/>
          <w:szCs w:val="21"/>
        </w:rPr>
        <w:t>▲</w:t>
      </w:r>
      <w:r>
        <w:rPr>
          <w:rFonts w:hint="eastAsia" w:asciiTheme="majorEastAsia" w:hAnsiTheme="majorEastAsia" w:eastAsiaTheme="majorEastAsia"/>
          <w:b/>
          <w:szCs w:val="21"/>
        </w:rPr>
        <w:t>6.联合体投标</w:t>
      </w:r>
    </w:p>
    <w:p w14:paraId="4BD5A88C">
      <w:pPr>
        <w:snapToGrid w:val="0"/>
        <w:spacing w:line="360" w:lineRule="auto"/>
        <w:ind w:firstLine="420" w:firstLineChars="200"/>
        <w:jc w:val="left"/>
        <w:rPr>
          <w:rFonts w:hint="eastAsia" w:cs="Arial" w:asciiTheme="majorEastAsia" w:hAnsiTheme="majorEastAsia" w:eastAsiaTheme="majorEastAsia"/>
          <w:szCs w:val="21"/>
        </w:rPr>
      </w:pPr>
      <w:r>
        <w:rPr>
          <w:rFonts w:cs="Arial" w:asciiTheme="majorEastAsia" w:hAnsiTheme="majorEastAsia" w:eastAsiaTheme="majorEastAsia"/>
          <w:szCs w:val="21"/>
        </w:rPr>
        <w:t>本项目不</w:t>
      </w:r>
      <w:r>
        <w:rPr>
          <w:rFonts w:hint="eastAsia" w:cs="Arial" w:asciiTheme="majorEastAsia" w:hAnsiTheme="majorEastAsia" w:eastAsiaTheme="majorEastAsia"/>
          <w:szCs w:val="21"/>
        </w:rPr>
        <w:t>接受联合体投标。</w:t>
      </w:r>
    </w:p>
    <w:p w14:paraId="5EAFE9A9">
      <w:pPr>
        <w:spacing w:line="360" w:lineRule="auto"/>
        <w:ind w:firstLine="422" w:firstLineChars="200"/>
        <w:jc w:val="left"/>
        <w:rPr>
          <w:rFonts w:hint="eastAsia" w:asciiTheme="majorEastAsia" w:hAnsiTheme="majorEastAsia" w:eastAsiaTheme="majorEastAsia"/>
          <w:b/>
          <w:szCs w:val="21"/>
        </w:rPr>
      </w:pPr>
      <w:r>
        <w:rPr>
          <w:rFonts w:hint="eastAsia" w:asciiTheme="majorEastAsia" w:hAnsiTheme="majorEastAsia" w:eastAsiaTheme="majorEastAsia"/>
          <w:b/>
          <w:szCs w:val="21"/>
        </w:rPr>
        <w:t>7.</w:t>
      </w:r>
      <w:r>
        <w:rPr>
          <w:rFonts w:asciiTheme="majorEastAsia" w:hAnsiTheme="majorEastAsia" w:eastAsiaTheme="majorEastAsia"/>
          <w:b/>
          <w:szCs w:val="21"/>
        </w:rPr>
        <w:t>提供相同品牌产品</w:t>
      </w:r>
      <w:r>
        <w:rPr>
          <w:rFonts w:hint="eastAsia" w:asciiTheme="majorEastAsia" w:hAnsiTheme="majorEastAsia" w:eastAsiaTheme="majorEastAsia"/>
          <w:b/>
          <w:szCs w:val="21"/>
        </w:rPr>
        <w:t>投标的处理原则</w:t>
      </w:r>
    </w:p>
    <w:p w14:paraId="1DA3DA54">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本项目采用综合评分法，提供相同品牌产品且通过资格审查、符合性审查的不同投标人参加本项目投标的，按一家投标人计算。评审后得分最高的同品牌投标人获得中标人推荐资格，评审得分相同的，按投标报价由低到高顺序排列并推荐；得分且投标报价相同的，按技术商务得分顺序排列并推荐；均相同时，由得分相同的投标人采取随机抽取方式确定，其</w:t>
      </w:r>
      <w:r>
        <w:rPr>
          <w:rFonts w:hint="eastAsia" w:cs="Arial" w:asciiTheme="majorEastAsia" w:hAnsiTheme="majorEastAsia" w:eastAsiaTheme="majorEastAsia"/>
          <w:szCs w:val="21"/>
        </w:rPr>
        <w:t>他同品牌投标人不</w:t>
      </w:r>
      <w:r>
        <w:rPr>
          <w:rFonts w:hint="eastAsia" w:asciiTheme="majorEastAsia" w:hAnsiTheme="majorEastAsia" w:eastAsiaTheme="majorEastAsia"/>
          <w:szCs w:val="21"/>
        </w:rPr>
        <w:t>作为中标候选人，抽取的顺序按照投标文件提交的先后排序进行。</w:t>
      </w:r>
    </w:p>
    <w:p w14:paraId="31FB8B81">
      <w:pPr>
        <w:pStyle w:val="20"/>
        <w:ind w:firstLine="420" w:firstLineChars="200"/>
        <w:jc w:val="both"/>
        <w:rPr>
          <w:rFonts w:hint="eastAsia" w:asciiTheme="majorEastAsia" w:hAnsiTheme="majorEastAsia" w:eastAsiaTheme="majorEastAsia"/>
          <w:kern w:val="2"/>
          <w:sz w:val="21"/>
          <w:szCs w:val="21"/>
        </w:rPr>
      </w:pPr>
      <w:r>
        <w:rPr>
          <w:rFonts w:asciiTheme="majorEastAsia" w:hAnsiTheme="majorEastAsia" w:eastAsiaTheme="majorEastAsia"/>
          <w:kern w:val="2"/>
          <w:sz w:val="21"/>
          <w:szCs w:val="21"/>
        </w:rPr>
        <w:t>非单一产品采购项目，多家投标人提供的核心产品品牌相同的，按</w:t>
      </w:r>
      <w:r>
        <w:rPr>
          <w:rFonts w:hint="eastAsia" w:asciiTheme="majorEastAsia" w:hAnsiTheme="majorEastAsia" w:eastAsiaTheme="majorEastAsia"/>
          <w:kern w:val="2"/>
          <w:sz w:val="21"/>
          <w:szCs w:val="21"/>
        </w:rPr>
        <w:t>前</w:t>
      </w:r>
      <w:r>
        <w:rPr>
          <w:rFonts w:asciiTheme="majorEastAsia" w:hAnsiTheme="majorEastAsia" w:eastAsiaTheme="majorEastAsia"/>
          <w:kern w:val="2"/>
          <w:sz w:val="21"/>
          <w:szCs w:val="21"/>
        </w:rPr>
        <w:t>款规定处理。</w:t>
      </w:r>
    </w:p>
    <w:p w14:paraId="1A23962D">
      <w:pPr>
        <w:tabs>
          <w:tab w:val="left" w:pos="426"/>
        </w:tabs>
        <w:snapToGrid w:val="0"/>
        <w:spacing w:line="360" w:lineRule="auto"/>
        <w:ind w:firstLine="422" w:firstLineChars="200"/>
        <w:rPr>
          <w:rFonts w:hint="eastAsia"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8.</w:t>
      </w:r>
      <w:r>
        <w:rPr>
          <w:rFonts w:cs="宋体" w:asciiTheme="majorEastAsia" w:hAnsiTheme="majorEastAsia" w:eastAsiaTheme="majorEastAsia"/>
          <w:b/>
          <w:kern w:val="0"/>
          <w:szCs w:val="21"/>
        </w:rPr>
        <w:t>质疑和投诉</w:t>
      </w:r>
    </w:p>
    <w:p w14:paraId="62450CAB">
      <w:pPr>
        <w:snapToGrid w:val="0"/>
        <w:spacing w:line="360" w:lineRule="auto"/>
        <w:ind w:firstLine="420" w:firstLineChars="200"/>
        <w:jc w:val="left"/>
        <w:rPr>
          <w:rFonts w:hint="eastAsia" w:cs="Arial" w:asciiTheme="majorEastAsia" w:hAnsiTheme="majorEastAsia" w:eastAsiaTheme="majorEastAsia"/>
          <w:szCs w:val="21"/>
        </w:rPr>
      </w:pPr>
      <w:r>
        <w:rPr>
          <w:rFonts w:hint="eastAsia" w:cs="Arial" w:asciiTheme="majorEastAsia" w:hAnsiTheme="majorEastAsia" w:eastAsiaTheme="majorEastAsia"/>
          <w:szCs w:val="21"/>
        </w:rPr>
        <w:t>8.1供应商认为招标文件、招标过程和中标结果使自己的权益受到损害的，可以在知道或者应知其权益受到损害之日起七个工作日内，以书面形式向采购人或采购代理机构提出质疑。</w:t>
      </w:r>
    </w:p>
    <w:p w14:paraId="0E03F189">
      <w:pPr>
        <w:snapToGrid w:val="0"/>
        <w:spacing w:line="360" w:lineRule="auto"/>
        <w:ind w:firstLine="420" w:firstLineChars="200"/>
        <w:jc w:val="left"/>
        <w:rPr>
          <w:rFonts w:hint="eastAsia" w:cs="Arial" w:asciiTheme="majorEastAsia" w:hAnsiTheme="majorEastAsia" w:eastAsiaTheme="majorEastAsia"/>
          <w:szCs w:val="21"/>
        </w:rPr>
      </w:pPr>
      <w:r>
        <w:rPr>
          <w:rFonts w:hint="eastAsia" w:cs="Arial" w:asciiTheme="majorEastAsia" w:hAnsiTheme="majorEastAsia" w:eastAsiaTheme="majorEastAsia"/>
          <w:szCs w:val="21"/>
        </w:rPr>
        <w:t>8.2供应商应在法定质疑期内一次性提出针对同一采购程序环节的质疑。</w:t>
      </w:r>
    </w:p>
    <w:p w14:paraId="4855E072">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8.3质疑函的接收和发送：联系人及联系方式等信息详见《投标人须知前附表》。</w:t>
      </w:r>
    </w:p>
    <w:p w14:paraId="219060CA">
      <w:pPr>
        <w:snapToGrid w:val="0"/>
        <w:spacing w:line="360" w:lineRule="auto"/>
        <w:ind w:firstLine="420" w:firstLineChars="200"/>
        <w:jc w:val="left"/>
        <w:rPr>
          <w:rFonts w:hint="eastAsia" w:cs="Arial" w:asciiTheme="majorEastAsia" w:hAnsiTheme="majorEastAsia" w:eastAsiaTheme="majorEastAsia"/>
          <w:szCs w:val="21"/>
        </w:rPr>
      </w:pPr>
      <w:r>
        <w:rPr>
          <w:rFonts w:hint="eastAsia" w:cs="Arial" w:asciiTheme="majorEastAsia" w:hAnsiTheme="majorEastAsia" w:eastAsiaTheme="majorEastAsia"/>
          <w:szCs w:val="21"/>
        </w:rPr>
        <w:t>8.4质疑供应商对采购人或采购代理机构的答复不满意或者采购人或采购代理机构未在规定的时间内作出答复的，可以在答复期满后十五个工作日内向同级政府采购监督管理部门投诉。</w:t>
      </w:r>
    </w:p>
    <w:p w14:paraId="3ADDE406">
      <w:pPr>
        <w:snapToGrid w:val="0"/>
        <w:spacing w:line="360" w:lineRule="auto"/>
        <w:ind w:firstLine="420" w:firstLineChars="200"/>
        <w:jc w:val="left"/>
        <w:rPr>
          <w:rFonts w:hint="eastAsia" w:cs="Arial" w:asciiTheme="majorEastAsia" w:hAnsiTheme="majorEastAsia" w:eastAsiaTheme="majorEastAsia"/>
          <w:szCs w:val="21"/>
        </w:rPr>
      </w:pPr>
      <w:r>
        <w:rPr>
          <w:rFonts w:hint="eastAsia" w:cs="Arial" w:asciiTheme="majorEastAsia" w:hAnsiTheme="majorEastAsia" w:eastAsiaTheme="majorEastAsia"/>
          <w:szCs w:val="21"/>
        </w:rPr>
        <w:t>8.5</w:t>
      </w:r>
      <w:r>
        <w:rPr>
          <w:rFonts w:cs="Arial" w:asciiTheme="majorEastAsia" w:hAnsiTheme="majorEastAsia" w:eastAsiaTheme="majorEastAsia"/>
          <w:szCs w:val="21"/>
        </w:rPr>
        <w:t>质疑、投诉</w:t>
      </w:r>
      <w:r>
        <w:rPr>
          <w:rFonts w:hint="eastAsia" w:cs="Arial" w:asciiTheme="majorEastAsia" w:hAnsiTheme="majorEastAsia" w:eastAsiaTheme="majorEastAsia"/>
          <w:szCs w:val="21"/>
        </w:rPr>
        <w:t>均须</w:t>
      </w:r>
      <w:r>
        <w:rPr>
          <w:rFonts w:cs="Arial" w:asciiTheme="majorEastAsia" w:hAnsiTheme="majorEastAsia" w:eastAsiaTheme="majorEastAsia"/>
          <w:szCs w:val="21"/>
        </w:rPr>
        <w:t>采用书面形式，质疑、投诉</w:t>
      </w:r>
      <w:r>
        <w:rPr>
          <w:rFonts w:hint="eastAsia" w:cs="Arial" w:asciiTheme="majorEastAsia" w:hAnsiTheme="majorEastAsia" w:eastAsiaTheme="majorEastAsia"/>
          <w:szCs w:val="21"/>
        </w:rPr>
        <w:t>资料</w:t>
      </w:r>
      <w:r>
        <w:rPr>
          <w:rFonts w:cs="Arial" w:asciiTheme="majorEastAsia" w:hAnsiTheme="majorEastAsia" w:eastAsiaTheme="majorEastAsia"/>
          <w:szCs w:val="21"/>
        </w:rPr>
        <w:t>均应明确阐述</w:t>
      </w:r>
      <w:r>
        <w:rPr>
          <w:rFonts w:hint="eastAsia" w:cs="Arial" w:asciiTheme="majorEastAsia" w:hAnsiTheme="majorEastAsia" w:eastAsiaTheme="majorEastAsia"/>
          <w:szCs w:val="21"/>
        </w:rPr>
        <w:t>自身</w:t>
      </w:r>
      <w:r>
        <w:rPr>
          <w:rFonts w:cs="Arial" w:asciiTheme="majorEastAsia" w:hAnsiTheme="majorEastAsia" w:eastAsiaTheme="majorEastAsia"/>
          <w:szCs w:val="21"/>
        </w:rPr>
        <w:t>合法权益受到损害的实质性内容，提供相关事实、依据和证据及其来源或线索，便于调查、答复和处理</w:t>
      </w:r>
      <w:r>
        <w:rPr>
          <w:rFonts w:hint="eastAsia" w:cs="Arial" w:asciiTheme="majorEastAsia" w:hAnsiTheme="majorEastAsia" w:eastAsiaTheme="majorEastAsia"/>
          <w:szCs w:val="21"/>
        </w:rPr>
        <w:t>，</w:t>
      </w:r>
      <w:r>
        <w:rPr>
          <w:rFonts w:cs="Arial" w:asciiTheme="majorEastAsia" w:hAnsiTheme="majorEastAsia" w:eastAsiaTheme="majorEastAsia"/>
          <w:szCs w:val="21"/>
        </w:rPr>
        <w:t>质疑、投诉</w:t>
      </w:r>
      <w:r>
        <w:rPr>
          <w:rFonts w:hint="eastAsia" w:cs="Arial" w:asciiTheme="majorEastAsia" w:hAnsiTheme="majorEastAsia" w:eastAsiaTheme="majorEastAsia"/>
          <w:szCs w:val="21"/>
        </w:rPr>
        <w:t>文件具体要求详见《政府采购质疑和投诉办法》（财政部令第94号）。</w:t>
      </w:r>
    </w:p>
    <w:p w14:paraId="6D818E52">
      <w:pPr>
        <w:spacing w:line="360" w:lineRule="auto"/>
        <w:ind w:firstLine="422" w:firstLineChars="200"/>
        <w:rPr>
          <w:rFonts w:hint="eastAsia" w:asciiTheme="majorEastAsia" w:hAnsiTheme="majorEastAsia" w:eastAsiaTheme="majorEastAsia"/>
          <w:b/>
          <w:szCs w:val="21"/>
        </w:rPr>
      </w:pPr>
      <w:r>
        <w:rPr>
          <w:rFonts w:hint="eastAsia" w:asciiTheme="majorEastAsia" w:hAnsiTheme="majorEastAsia" w:eastAsiaTheme="majorEastAsia"/>
          <w:b/>
          <w:szCs w:val="21"/>
        </w:rPr>
        <w:t>9.信用记录查询及使用</w:t>
      </w:r>
    </w:p>
    <w:p w14:paraId="1E3DDF52">
      <w:pPr>
        <w:pStyle w:val="3"/>
        <w:snapToGrid w:val="0"/>
        <w:spacing w:after="0" w:line="360" w:lineRule="auto"/>
        <w:ind w:left="0" w:leftChars="0" w:firstLine="420" w:firstLineChars="20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9.1</w:t>
      </w:r>
      <w:r>
        <w:rPr>
          <w:rFonts w:asciiTheme="majorEastAsia" w:hAnsiTheme="majorEastAsia" w:eastAsiaTheme="majorEastAsia"/>
          <w:sz w:val="21"/>
          <w:szCs w:val="21"/>
        </w:rPr>
        <w:t>投标人信用信息查询渠道</w:t>
      </w:r>
      <w:r>
        <w:rPr>
          <w:rFonts w:hint="eastAsia" w:asciiTheme="majorEastAsia" w:hAnsiTheme="majorEastAsia" w:eastAsiaTheme="majorEastAsia"/>
          <w:sz w:val="21"/>
          <w:szCs w:val="21"/>
        </w:rPr>
        <w:t>：通过“信用中国”网站（www.creditchina.gov.cn）、中国政府采购网（www.ccgp.gov.cn）查询本项目投标人的信用记录。</w:t>
      </w:r>
    </w:p>
    <w:p w14:paraId="46AD0642">
      <w:pPr>
        <w:pStyle w:val="3"/>
        <w:snapToGrid w:val="0"/>
        <w:spacing w:after="0" w:line="360" w:lineRule="auto"/>
        <w:ind w:left="0" w:leftChars="0" w:firstLine="420" w:firstLineChars="20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9.2</w:t>
      </w:r>
      <w:r>
        <w:rPr>
          <w:rFonts w:asciiTheme="majorEastAsia" w:hAnsiTheme="majorEastAsia" w:eastAsiaTheme="majorEastAsia"/>
          <w:sz w:val="21"/>
          <w:szCs w:val="21"/>
        </w:rPr>
        <w:t>信息查询截止时点</w:t>
      </w:r>
      <w:r>
        <w:rPr>
          <w:rFonts w:hint="eastAsia" w:asciiTheme="majorEastAsia" w:hAnsiTheme="majorEastAsia" w:eastAsiaTheme="majorEastAsia"/>
          <w:sz w:val="21"/>
          <w:szCs w:val="21"/>
        </w:rPr>
        <w:t>：投标截止时间后。</w:t>
      </w:r>
    </w:p>
    <w:p w14:paraId="76D5F807">
      <w:pPr>
        <w:pStyle w:val="3"/>
        <w:snapToGrid w:val="0"/>
        <w:spacing w:after="0" w:line="360" w:lineRule="auto"/>
        <w:ind w:left="0" w:leftChars="0" w:firstLine="420" w:firstLineChars="20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9.3</w:t>
      </w:r>
      <w:r>
        <w:rPr>
          <w:rFonts w:asciiTheme="majorEastAsia" w:hAnsiTheme="majorEastAsia" w:eastAsiaTheme="majorEastAsia"/>
          <w:sz w:val="21"/>
          <w:szCs w:val="21"/>
        </w:rPr>
        <w:t>信用信息查询记录和证据留存的具体方式</w:t>
      </w:r>
      <w:r>
        <w:rPr>
          <w:rFonts w:hint="eastAsia" w:asciiTheme="majorEastAsia" w:hAnsiTheme="majorEastAsia" w:eastAsiaTheme="majorEastAsia"/>
          <w:sz w:val="21"/>
          <w:szCs w:val="21"/>
        </w:rPr>
        <w:t>：信用</w:t>
      </w:r>
      <w:r>
        <w:rPr>
          <w:rFonts w:asciiTheme="majorEastAsia" w:hAnsiTheme="majorEastAsia" w:eastAsiaTheme="majorEastAsia"/>
          <w:sz w:val="21"/>
          <w:szCs w:val="21"/>
        </w:rPr>
        <w:t>信息</w:t>
      </w:r>
      <w:r>
        <w:rPr>
          <w:rFonts w:hint="eastAsia" w:asciiTheme="majorEastAsia" w:hAnsiTheme="majorEastAsia" w:eastAsiaTheme="majorEastAsia"/>
          <w:sz w:val="21"/>
          <w:szCs w:val="21"/>
        </w:rPr>
        <w:t>查询结果以网页打印件的方式与其他采购文件一并保存。</w:t>
      </w:r>
    </w:p>
    <w:p w14:paraId="09990D85">
      <w:pPr>
        <w:pStyle w:val="3"/>
        <w:snapToGrid w:val="0"/>
        <w:spacing w:after="0" w:line="360" w:lineRule="auto"/>
        <w:ind w:left="0" w:leftChars="0" w:firstLine="420" w:firstLineChars="20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9.4</w:t>
      </w:r>
      <w:r>
        <w:rPr>
          <w:rFonts w:asciiTheme="majorEastAsia" w:hAnsiTheme="majorEastAsia" w:eastAsiaTheme="majorEastAsia"/>
          <w:sz w:val="21"/>
          <w:szCs w:val="21"/>
        </w:rPr>
        <w:t>信用信息的使用规则</w:t>
      </w:r>
      <w:r>
        <w:rPr>
          <w:rFonts w:hint="eastAsia" w:asciiTheme="majorEastAsia" w:hAnsiTheme="majorEastAsia" w:eastAsiaTheme="majorEastAsia"/>
          <w:sz w:val="21"/>
          <w:szCs w:val="21"/>
        </w:rPr>
        <w:t>：</w:t>
      </w:r>
    </w:p>
    <w:p w14:paraId="4FA86D39">
      <w:pPr>
        <w:pStyle w:val="3"/>
        <w:snapToGrid w:val="0"/>
        <w:spacing w:after="0" w:line="360" w:lineRule="auto"/>
        <w:ind w:left="0" w:leftChars="0" w:firstLine="420" w:firstLineChars="20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14:paraId="0B730F9B">
      <w:pPr>
        <w:pStyle w:val="3"/>
        <w:snapToGrid w:val="0"/>
        <w:spacing w:after="0" w:line="360" w:lineRule="auto"/>
        <w:ind w:left="0" w:leftChars="0" w:firstLine="422" w:firstLineChars="200"/>
        <w:jc w:val="left"/>
        <w:rPr>
          <w:rFonts w:hint="eastAsia" w:asciiTheme="majorEastAsia" w:hAnsiTheme="majorEastAsia" w:eastAsiaTheme="majorEastAsia"/>
          <w:b/>
          <w:kern w:val="2"/>
          <w:sz w:val="21"/>
          <w:szCs w:val="21"/>
        </w:rPr>
      </w:pPr>
      <w:r>
        <w:rPr>
          <w:rFonts w:hint="eastAsia" w:asciiTheme="majorEastAsia" w:hAnsiTheme="majorEastAsia" w:eastAsiaTheme="majorEastAsia"/>
          <w:b/>
          <w:kern w:val="2"/>
          <w:sz w:val="21"/>
          <w:szCs w:val="21"/>
        </w:rPr>
        <w:t>10.政府采购信息发布媒体</w:t>
      </w:r>
    </w:p>
    <w:p w14:paraId="582A765D">
      <w:pPr>
        <w:pStyle w:val="3"/>
        <w:snapToGrid w:val="0"/>
        <w:spacing w:after="0" w:line="360" w:lineRule="auto"/>
        <w:ind w:left="0" w:leftChars="0"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本项目政府采购信息发布媒体详见《投标人须知前附表》。</w:t>
      </w:r>
    </w:p>
    <w:p w14:paraId="700BAB71">
      <w:pPr>
        <w:spacing w:line="360" w:lineRule="auto"/>
        <w:ind w:firstLine="422" w:firstLineChars="200"/>
        <w:jc w:val="left"/>
        <w:rPr>
          <w:rFonts w:hint="eastAsia" w:asciiTheme="majorEastAsia" w:hAnsiTheme="majorEastAsia" w:eastAsiaTheme="majorEastAsia"/>
          <w:b/>
          <w:szCs w:val="21"/>
        </w:rPr>
      </w:pPr>
      <w:r>
        <w:rPr>
          <w:rFonts w:hint="eastAsia" w:asciiTheme="majorEastAsia" w:hAnsiTheme="majorEastAsia" w:eastAsiaTheme="majorEastAsia"/>
          <w:b/>
          <w:szCs w:val="21"/>
        </w:rPr>
        <w:t>11.</w:t>
      </w:r>
      <w:r>
        <w:rPr>
          <w:rFonts w:asciiTheme="majorEastAsia" w:hAnsiTheme="majorEastAsia" w:eastAsiaTheme="majorEastAsia"/>
          <w:b/>
          <w:szCs w:val="21"/>
        </w:rPr>
        <w:t>采购代理</w:t>
      </w:r>
      <w:r>
        <w:rPr>
          <w:rFonts w:hint="eastAsia" w:asciiTheme="majorEastAsia" w:hAnsiTheme="majorEastAsia" w:eastAsiaTheme="majorEastAsia"/>
          <w:b/>
          <w:szCs w:val="21"/>
        </w:rPr>
        <w:t>服务</w:t>
      </w:r>
      <w:r>
        <w:rPr>
          <w:rFonts w:asciiTheme="majorEastAsia" w:hAnsiTheme="majorEastAsia" w:eastAsiaTheme="majorEastAsia"/>
          <w:b/>
          <w:szCs w:val="21"/>
        </w:rPr>
        <w:t>费用的收取标准和方式</w:t>
      </w:r>
    </w:p>
    <w:p w14:paraId="0ABD1034">
      <w:pPr>
        <w:pStyle w:val="3"/>
        <w:snapToGrid w:val="0"/>
        <w:spacing w:after="0" w:line="360" w:lineRule="auto"/>
        <w:ind w:left="0" w:leftChars="0" w:firstLine="420" w:firstLineChars="20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11.1</w:t>
      </w:r>
      <w:r>
        <w:rPr>
          <w:rFonts w:asciiTheme="majorEastAsia" w:hAnsiTheme="majorEastAsia" w:eastAsiaTheme="majorEastAsia"/>
          <w:sz w:val="21"/>
          <w:szCs w:val="21"/>
        </w:rPr>
        <w:t>采购</w:t>
      </w:r>
      <w:r>
        <w:rPr>
          <w:rFonts w:hint="eastAsia" w:asciiTheme="majorEastAsia" w:hAnsiTheme="majorEastAsia" w:eastAsiaTheme="majorEastAsia"/>
          <w:sz w:val="21"/>
          <w:szCs w:val="21"/>
        </w:rPr>
        <w:t>代理服务费用的收取标准：详见《投标人须知前附表》。</w:t>
      </w:r>
    </w:p>
    <w:p w14:paraId="12236200">
      <w:pPr>
        <w:pStyle w:val="3"/>
        <w:snapToGrid w:val="0"/>
        <w:spacing w:after="0" w:line="360" w:lineRule="auto"/>
        <w:ind w:left="0" w:leftChars="0" w:firstLine="420" w:firstLineChars="20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11.2</w:t>
      </w:r>
      <w:r>
        <w:rPr>
          <w:rFonts w:asciiTheme="majorEastAsia" w:hAnsiTheme="majorEastAsia" w:eastAsiaTheme="majorEastAsia"/>
          <w:sz w:val="21"/>
          <w:szCs w:val="21"/>
        </w:rPr>
        <w:t>采购</w:t>
      </w:r>
      <w:r>
        <w:rPr>
          <w:rFonts w:hint="eastAsia" w:asciiTheme="majorEastAsia" w:hAnsiTheme="majorEastAsia" w:eastAsiaTheme="majorEastAsia"/>
          <w:sz w:val="21"/>
          <w:szCs w:val="21"/>
        </w:rPr>
        <w:t>代理服务费的支付：详见《投标人须知前附表》。</w:t>
      </w:r>
    </w:p>
    <w:p w14:paraId="72735BEF">
      <w:pPr>
        <w:pStyle w:val="3"/>
        <w:snapToGrid w:val="0"/>
        <w:spacing w:after="0" w:line="360" w:lineRule="auto"/>
        <w:ind w:left="0" w:leftChars="0" w:firstLine="420" w:firstLineChars="20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11.3</w:t>
      </w:r>
      <w:r>
        <w:rPr>
          <w:rFonts w:asciiTheme="majorEastAsia" w:hAnsiTheme="majorEastAsia" w:eastAsiaTheme="majorEastAsia"/>
          <w:sz w:val="21"/>
          <w:szCs w:val="21"/>
        </w:rPr>
        <w:t>采购</w:t>
      </w:r>
      <w:r>
        <w:rPr>
          <w:rFonts w:hint="eastAsia" w:asciiTheme="majorEastAsia" w:hAnsiTheme="majorEastAsia" w:eastAsiaTheme="majorEastAsia"/>
          <w:sz w:val="21"/>
          <w:szCs w:val="21"/>
        </w:rPr>
        <w:t>代理服务费收款账户信息：</w:t>
      </w:r>
    </w:p>
    <w:p w14:paraId="4E9ADA08">
      <w:pPr>
        <w:spacing w:line="360" w:lineRule="auto"/>
        <w:ind w:firstLine="420" w:firstLineChars="200"/>
        <w:rPr>
          <w:rFonts w:hint="eastAsia" w:cs="宋体" w:asciiTheme="minorEastAsia" w:hAnsiTheme="minorEastAsia" w:eastAsiaTheme="minorEastAsia"/>
          <w:bCs/>
        </w:rPr>
      </w:pPr>
      <w:r>
        <w:rPr>
          <w:rFonts w:hint="eastAsia" w:cs="宋体" w:asciiTheme="minorEastAsia" w:hAnsiTheme="minorEastAsia" w:eastAsiaTheme="minorEastAsia"/>
          <w:bCs/>
        </w:rPr>
        <w:t>开户银行：中国工商银行宁波市鼓楼支行</w:t>
      </w:r>
    </w:p>
    <w:p w14:paraId="25AB48A3">
      <w:pPr>
        <w:spacing w:line="360" w:lineRule="auto"/>
        <w:ind w:firstLine="420" w:firstLineChars="200"/>
        <w:rPr>
          <w:rFonts w:hint="eastAsia" w:cs="宋体" w:asciiTheme="minorEastAsia" w:hAnsiTheme="minorEastAsia" w:eastAsiaTheme="minorEastAsia"/>
          <w:bCs/>
        </w:rPr>
      </w:pPr>
      <w:r>
        <w:rPr>
          <w:rFonts w:hint="eastAsia" w:cs="宋体" w:asciiTheme="minorEastAsia" w:hAnsiTheme="minorEastAsia" w:eastAsiaTheme="minorEastAsia"/>
          <w:bCs/>
        </w:rPr>
        <w:t>户    名：宁波名诚招标代理有限公司</w:t>
      </w:r>
    </w:p>
    <w:p w14:paraId="370E65FD">
      <w:pPr>
        <w:pStyle w:val="3"/>
        <w:snapToGrid w:val="0"/>
        <w:spacing w:after="0" w:line="360" w:lineRule="auto"/>
        <w:ind w:left="0" w:leftChars="0" w:firstLine="420" w:firstLineChars="200"/>
        <w:jc w:val="left"/>
        <w:rPr>
          <w:rFonts w:hint="eastAsia" w:cs="宋体" w:asciiTheme="minorEastAsia" w:hAnsiTheme="minorEastAsia" w:eastAsiaTheme="minorEastAsia"/>
          <w:bCs/>
          <w:kern w:val="2"/>
          <w:sz w:val="21"/>
        </w:rPr>
      </w:pPr>
      <w:r>
        <w:rPr>
          <w:rFonts w:hint="eastAsia" w:cs="宋体" w:asciiTheme="minorEastAsia" w:hAnsiTheme="minorEastAsia" w:eastAsiaTheme="minorEastAsia"/>
          <w:bCs/>
          <w:kern w:val="2"/>
          <w:sz w:val="21"/>
        </w:rPr>
        <w:t>账    号：3901110019200459750</w:t>
      </w:r>
    </w:p>
    <w:p w14:paraId="3E6B6D68">
      <w:pPr>
        <w:pStyle w:val="25"/>
        <w:snapToGrid w:val="0"/>
        <w:spacing w:beforeLines="0" w:afterLines="0" w:line="360" w:lineRule="auto"/>
        <w:ind w:firstLine="422" w:firstLineChars="200"/>
        <w:rPr>
          <w:rFonts w:hint="eastAsia" w:asciiTheme="majorEastAsia" w:hAnsiTheme="majorEastAsia" w:eastAsiaTheme="majorEastAsia"/>
          <w:b/>
          <w:sz w:val="21"/>
          <w:szCs w:val="21"/>
        </w:rPr>
      </w:pPr>
      <w:r>
        <w:rPr>
          <w:rFonts w:hint="eastAsia" w:asciiTheme="majorEastAsia" w:hAnsiTheme="majorEastAsia" w:eastAsiaTheme="majorEastAsia"/>
          <w:b/>
          <w:sz w:val="21"/>
          <w:szCs w:val="21"/>
        </w:rPr>
        <w:t>12.其他</w:t>
      </w:r>
    </w:p>
    <w:p w14:paraId="3A510819">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12.1招标文件的标题和序号只是为了查阅方便，不影响对招标文件的理解。</w:t>
      </w:r>
    </w:p>
    <w:p w14:paraId="51B06E57">
      <w:pPr>
        <w:snapToGrid w:val="0"/>
        <w:spacing w:line="360" w:lineRule="auto"/>
        <w:ind w:firstLine="420" w:firstLineChars="200"/>
        <w:jc w:val="left"/>
        <w:rPr>
          <w:rFonts w:hint="eastAsia" w:cs="Arial" w:asciiTheme="majorEastAsia" w:hAnsiTheme="majorEastAsia" w:eastAsiaTheme="majorEastAsia"/>
          <w:szCs w:val="21"/>
        </w:rPr>
      </w:pPr>
      <w:r>
        <w:rPr>
          <w:rFonts w:hint="eastAsia" w:cs="Arial" w:asciiTheme="majorEastAsia" w:hAnsiTheme="majorEastAsia" w:eastAsiaTheme="majorEastAsia"/>
          <w:szCs w:val="21"/>
        </w:rPr>
        <w:t>12.2招标文件的采购需求内容如出现某品牌、型号的内容是为了更好的描述产品的性能、规格及要求，并无任何指定产品品牌、型号的意思表达，投标人可选择其他品牌、型号的产品参加投标。</w:t>
      </w:r>
    </w:p>
    <w:p w14:paraId="7885CF7A">
      <w:pPr>
        <w:snapToGrid w:val="0"/>
        <w:spacing w:line="360" w:lineRule="auto"/>
        <w:ind w:firstLine="420" w:firstLineChars="200"/>
        <w:jc w:val="left"/>
        <w:rPr>
          <w:rFonts w:hint="eastAsia" w:cs="Arial" w:asciiTheme="majorEastAsia" w:hAnsiTheme="majorEastAsia" w:eastAsiaTheme="majorEastAsia"/>
          <w:szCs w:val="21"/>
        </w:rPr>
      </w:pPr>
      <w:r>
        <w:rPr>
          <w:rFonts w:hint="eastAsia" w:cs="Arial" w:asciiTheme="majorEastAsia" w:hAnsiTheme="majorEastAsia" w:eastAsiaTheme="majorEastAsia"/>
          <w:szCs w:val="21"/>
        </w:rPr>
        <w:t>12.3</w:t>
      </w:r>
      <w:r>
        <w:rPr>
          <w:rFonts w:cs="Arial" w:asciiTheme="majorEastAsia" w:hAnsiTheme="majorEastAsia" w:eastAsiaTheme="majorEastAsia"/>
          <w:szCs w:val="21"/>
        </w:rPr>
        <w:t>单位负责人为同一人或者存在直接控股、管理关系的不同供应商，</w:t>
      </w:r>
      <w:r>
        <w:rPr>
          <w:rFonts w:hint="eastAsia" w:cs="Arial" w:asciiTheme="majorEastAsia" w:hAnsiTheme="majorEastAsia" w:eastAsiaTheme="majorEastAsia"/>
          <w:szCs w:val="21"/>
        </w:rPr>
        <w:t>同时</w:t>
      </w:r>
      <w:r>
        <w:rPr>
          <w:rFonts w:cs="Arial" w:asciiTheme="majorEastAsia" w:hAnsiTheme="majorEastAsia" w:eastAsiaTheme="majorEastAsia"/>
          <w:szCs w:val="21"/>
        </w:rPr>
        <w:t>参加同一合同项下</w:t>
      </w:r>
      <w:r>
        <w:rPr>
          <w:rFonts w:hint="eastAsia" w:cs="Arial" w:asciiTheme="majorEastAsia" w:hAnsiTheme="majorEastAsia" w:eastAsiaTheme="majorEastAsia"/>
          <w:szCs w:val="21"/>
        </w:rPr>
        <w:t>（指同一标项）</w:t>
      </w:r>
      <w:r>
        <w:rPr>
          <w:rFonts w:cs="Arial" w:asciiTheme="majorEastAsia" w:hAnsiTheme="majorEastAsia" w:eastAsiaTheme="majorEastAsia"/>
          <w:szCs w:val="21"/>
        </w:rPr>
        <w:t>的政府采购活动</w:t>
      </w:r>
      <w:r>
        <w:rPr>
          <w:rFonts w:hint="eastAsia" w:cs="Arial" w:asciiTheme="majorEastAsia" w:hAnsiTheme="majorEastAsia" w:eastAsiaTheme="majorEastAsia"/>
          <w:szCs w:val="21"/>
        </w:rPr>
        <w:t>，相关单位的投标均无效</w:t>
      </w:r>
      <w:r>
        <w:rPr>
          <w:rFonts w:cs="Arial" w:asciiTheme="majorEastAsia" w:hAnsiTheme="majorEastAsia" w:eastAsiaTheme="majorEastAsia"/>
          <w:szCs w:val="21"/>
        </w:rPr>
        <w:t>。</w:t>
      </w:r>
    </w:p>
    <w:p w14:paraId="40756D49">
      <w:pPr>
        <w:snapToGrid w:val="0"/>
        <w:spacing w:line="360" w:lineRule="auto"/>
        <w:ind w:firstLine="420" w:firstLineChars="200"/>
        <w:jc w:val="left"/>
        <w:rPr>
          <w:rFonts w:hint="eastAsia" w:cs="Arial" w:asciiTheme="majorEastAsia" w:hAnsiTheme="majorEastAsia" w:eastAsiaTheme="majorEastAsia"/>
          <w:szCs w:val="21"/>
        </w:rPr>
      </w:pPr>
      <w:r>
        <w:rPr>
          <w:rFonts w:hint="eastAsia" w:cs="Arial" w:asciiTheme="majorEastAsia" w:hAnsiTheme="majorEastAsia" w:eastAsiaTheme="majorEastAsia"/>
          <w:szCs w:val="21"/>
        </w:rPr>
        <w:t>12.4招标文件要求携带原件备查的资料，如果该资料可以通过互联网或者相关信息系统查询的，投标人能够当场提供账号、网址等信息进行查询、核实资料真伪及数据的，视同提供了原件。</w:t>
      </w:r>
    </w:p>
    <w:p w14:paraId="73EE6DFF">
      <w:pPr>
        <w:snapToGrid w:val="0"/>
        <w:spacing w:line="360" w:lineRule="auto"/>
        <w:ind w:firstLine="420" w:firstLineChars="200"/>
        <w:jc w:val="left"/>
        <w:rPr>
          <w:rFonts w:hint="eastAsia" w:cs="Arial" w:asciiTheme="majorEastAsia" w:hAnsiTheme="majorEastAsia" w:eastAsiaTheme="majorEastAsia"/>
          <w:szCs w:val="21"/>
        </w:rPr>
      </w:pPr>
      <w:r>
        <w:rPr>
          <w:rFonts w:hint="eastAsia" w:cs="Arial" w:asciiTheme="majorEastAsia" w:hAnsiTheme="majorEastAsia" w:eastAsiaTheme="majorEastAsia"/>
          <w:szCs w:val="21"/>
        </w:rPr>
        <w:t>12.5依据《</w:t>
      </w:r>
      <w:r>
        <w:rPr>
          <w:rFonts w:asciiTheme="majorEastAsia" w:hAnsiTheme="majorEastAsia" w:eastAsiaTheme="majorEastAsia"/>
        </w:rPr>
        <w:t>政府采购促进中小企业发展管理办法</w:t>
      </w:r>
      <w:r>
        <w:rPr>
          <w:rFonts w:hint="eastAsia" w:cs="Arial" w:asciiTheme="majorEastAsia" w:hAnsiTheme="majorEastAsia" w:eastAsiaTheme="majorEastAsia"/>
          <w:szCs w:val="21"/>
        </w:rPr>
        <w:t>》规定享受扶持政策获得政府采购合同的，小微企业不得将合同分包给大中型企业，中型企业不得将合同分包给大型企业。</w:t>
      </w:r>
    </w:p>
    <w:p w14:paraId="1CFEBFBB">
      <w:pPr>
        <w:pStyle w:val="14"/>
        <w:widowControl w:val="0"/>
        <w:numPr>
          <w:ilvl w:val="0"/>
          <w:numId w:val="0"/>
        </w:numPr>
        <w:tabs>
          <w:tab w:val="clear" w:pos="454"/>
        </w:tabs>
        <w:snapToGrid w:val="0"/>
        <w:spacing w:afterLines="0" w:line="360" w:lineRule="auto"/>
        <w:ind w:left="454" w:firstLine="422" w:firstLineChars="200"/>
        <w:jc w:val="center"/>
        <w:rPr>
          <w:rFonts w:hint="eastAsia" w:asciiTheme="majorEastAsia" w:hAnsiTheme="majorEastAsia" w:eastAsiaTheme="majorEastAsia"/>
          <w:b/>
          <w:sz w:val="21"/>
          <w:szCs w:val="21"/>
        </w:rPr>
      </w:pPr>
      <w:r>
        <w:rPr>
          <w:rFonts w:asciiTheme="majorEastAsia" w:hAnsiTheme="majorEastAsia" w:eastAsiaTheme="majorEastAsia"/>
          <w:b/>
          <w:sz w:val="21"/>
          <w:szCs w:val="21"/>
        </w:rPr>
        <w:t>二</w:t>
      </w:r>
      <w:r>
        <w:rPr>
          <w:rFonts w:hint="eastAsia" w:asciiTheme="majorEastAsia" w:hAnsiTheme="majorEastAsia" w:eastAsiaTheme="majorEastAsia"/>
          <w:b/>
          <w:sz w:val="21"/>
          <w:szCs w:val="21"/>
        </w:rPr>
        <w:t>、招标</w:t>
      </w:r>
      <w:r>
        <w:rPr>
          <w:rFonts w:asciiTheme="majorEastAsia" w:hAnsiTheme="majorEastAsia" w:eastAsiaTheme="majorEastAsia"/>
          <w:b/>
          <w:sz w:val="21"/>
          <w:szCs w:val="21"/>
        </w:rPr>
        <w:t>文件</w:t>
      </w:r>
    </w:p>
    <w:p w14:paraId="740E3894">
      <w:pPr>
        <w:pStyle w:val="25"/>
        <w:snapToGrid w:val="0"/>
        <w:spacing w:beforeLines="0" w:afterLines="0" w:line="360" w:lineRule="auto"/>
        <w:ind w:firstLine="422" w:firstLineChars="200"/>
        <w:rPr>
          <w:rFonts w:hint="eastAsia" w:asciiTheme="majorEastAsia" w:hAnsiTheme="majorEastAsia" w:eastAsiaTheme="majorEastAsia"/>
          <w:b/>
          <w:sz w:val="21"/>
          <w:szCs w:val="21"/>
        </w:rPr>
      </w:pPr>
      <w:r>
        <w:rPr>
          <w:rFonts w:hint="eastAsia" w:asciiTheme="majorEastAsia" w:hAnsiTheme="majorEastAsia" w:eastAsiaTheme="majorEastAsia"/>
          <w:b/>
          <w:sz w:val="21"/>
          <w:szCs w:val="21"/>
        </w:rPr>
        <w:t>13.招标文件的编制依据与构成</w:t>
      </w:r>
    </w:p>
    <w:p w14:paraId="609D8930">
      <w:pPr>
        <w:pStyle w:val="25"/>
        <w:snapToGrid w:val="0"/>
        <w:spacing w:beforeLines="0" w:afterLines="0" w:line="360" w:lineRule="auto"/>
        <w:ind w:firstLine="420" w:firstLineChars="200"/>
        <w:rPr>
          <w:rFonts w:hint="eastAsia" w:asciiTheme="majorEastAsia" w:hAnsiTheme="majorEastAsia" w:eastAsiaTheme="majorEastAsia"/>
          <w:b/>
          <w:sz w:val="21"/>
          <w:szCs w:val="21"/>
        </w:rPr>
      </w:pPr>
      <w:r>
        <w:rPr>
          <w:rFonts w:hint="eastAsia" w:asciiTheme="majorEastAsia" w:hAnsiTheme="majorEastAsia" w:eastAsiaTheme="majorEastAsia"/>
          <w:sz w:val="21"/>
          <w:szCs w:val="21"/>
        </w:rPr>
        <w:t>13.1招标文件根据《中华人民共和国政府采购法》《中华人民共和国政府采购法实施条例》《政府采购货物和服务招标投标管理办法》等政府采购法律法规的规定编制。</w:t>
      </w:r>
    </w:p>
    <w:p w14:paraId="16A4E75B">
      <w:pPr>
        <w:pStyle w:val="25"/>
        <w:snapToGrid w:val="0"/>
        <w:spacing w:beforeLines="0" w:afterLines="0" w:line="360" w:lineRule="auto"/>
        <w:ind w:firstLine="420" w:firstLineChars="200"/>
        <w:rPr>
          <w:rFonts w:hint="eastAsia" w:asciiTheme="majorEastAsia" w:hAnsiTheme="majorEastAsia" w:eastAsiaTheme="majorEastAsia"/>
          <w:bCs/>
          <w:sz w:val="21"/>
          <w:szCs w:val="21"/>
        </w:rPr>
      </w:pPr>
      <w:r>
        <w:rPr>
          <w:rFonts w:hint="eastAsia" w:asciiTheme="majorEastAsia" w:hAnsiTheme="majorEastAsia" w:eastAsiaTheme="majorEastAsia"/>
          <w:bCs/>
          <w:sz w:val="21"/>
          <w:szCs w:val="21"/>
        </w:rPr>
        <w:t>13.2项目要求提供的产品、招标过程和合同条件在招标文件中均有说明。</w:t>
      </w:r>
    </w:p>
    <w:p w14:paraId="4F4C5DA2">
      <w:pPr>
        <w:pStyle w:val="25"/>
        <w:snapToGrid w:val="0"/>
        <w:spacing w:beforeLines="0" w:afterLines="0" w:line="360" w:lineRule="auto"/>
        <w:ind w:firstLine="420" w:firstLineChars="200"/>
        <w:rPr>
          <w:rFonts w:hint="eastAsia" w:asciiTheme="majorEastAsia" w:hAnsiTheme="majorEastAsia" w:eastAsiaTheme="majorEastAsia"/>
          <w:bCs/>
          <w:sz w:val="21"/>
          <w:szCs w:val="21"/>
        </w:rPr>
      </w:pPr>
      <w:r>
        <w:rPr>
          <w:rFonts w:hint="eastAsia" w:asciiTheme="majorEastAsia" w:hAnsiTheme="majorEastAsia" w:eastAsiaTheme="majorEastAsia"/>
          <w:bCs/>
          <w:sz w:val="21"/>
          <w:szCs w:val="21"/>
        </w:rPr>
        <w:t>13.3招标文件以中文文字编写，共六章。由下列文件以及在招标过程中发出的澄清或修改文件和补充文件组成，内容如下：</w:t>
      </w:r>
    </w:p>
    <w:p w14:paraId="3FB0E5F2">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第一章  投标邀请</w:t>
      </w:r>
    </w:p>
    <w:p w14:paraId="00724371">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第二章  </w:t>
      </w:r>
      <w:r>
        <w:rPr>
          <w:rFonts w:asciiTheme="majorEastAsia" w:hAnsiTheme="majorEastAsia" w:eastAsiaTheme="majorEastAsia"/>
          <w:sz w:val="21"/>
          <w:szCs w:val="21"/>
        </w:rPr>
        <w:t>采购需求</w:t>
      </w:r>
    </w:p>
    <w:p w14:paraId="3A920750">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第三章  </w:t>
      </w:r>
      <w:r>
        <w:rPr>
          <w:rFonts w:asciiTheme="majorEastAsia" w:hAnsiTheme="majorEastAsia" w:eastAsiaTheme="majorEastAsia"/>
          <w:sz w:val="21"/>
          <w:szCs w:val="21"/>
        </w:rPr>
        <w:t>投标人须知</w:t>
      </w:r>
    </w:p>
    <w:p w14:paraId="0F2F69EC">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第四章  </w:t>
      </w:r>
      <w:r>
        <w:rPr>
          <w:rFonts w:asciiTheme="majorEastAsia" w:hAnsiTheme="majorEastAsia" w:eastAsiaTheme="majorEastAsia"/>
          <w:sz w:val="21"/>
          <w:szCs w:val="21"/>
        </w:rPr>
        <w:t>评标</w:t>
      </w:r>
      <w:r>
        <w:rPr>
          <w:rFonts w:hint="eastAsia" w:asciiTheme="majorEastAsia" w:hAnsiTheme="majorEastAsia" w:eastAsiaTheme="majorEastAsia"/>
          <w:sz w:val="21"/>
          <w:szCs w:val="21"/>
        </w:rPr>
        <w:t>方法</w:t>
      </w:r>
      <w:r>
        <w:rPr>
          <w:rFonts w:asciiTheme="majorEastAsia" w:hAnsiTheme="majorEastAsia" w:eastAsiaTheme="majorEastAsia"/>
          <w:sz w:val="21"/>
          <w:szCs w:val="21"/>
        </w:rPr>
        <w:t>及</w:t>
      </w:r>
      <w:r>
        <w:rPr>
          <w:rFonts w:hint="eastAsia" w:asciiTheme="majorEastAsia" w:hAnsiTheme="majorEastAsia" w:eastAsiaTheme="majorEastAsia"/>
          <w:sz w:val="21"/>
          <w:szCs w:val="21"/>
        </w:rPr>
        <w:t>评标</w:t>
      </w:r>
      <w:r>
        <w:rPr>
          <w:rFonts w:asciiTheme="majorEastAsia" w:hAnsiTheme="majorEastAsia" w:eastAsiaTheme="majorEastAsia"/>
          <w:sz w:val="21"/>
          <w:szCs w:val="21"/>
        </w:rPr>
        <w:t>标准</w:t>
      </w:r>
    </w:p>
    <w:p w14:paraId="28FF4A38">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第五章  </w:t>
      </w:r>
      <w:r>
        <w:rPr>
          <w:rFonts w:asciiTheme="majorEastAsia" w:hAnsiTheme="majorEastAsia" w:eastAsiaTheme="majorEastAsia"/>
          <w:sz w:val="21"/>
          <w:szCs w:val="21"/>
        </w:rPr>
        <w:t>合同文本</w:t>
      </w:r>
    </w:p>
    <w:p w14:paraId="64CF04C2">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第六章  </w:t>
      </w:r>
      <w:r>
        <w:rPr>
          <w:rFonts w:asciiTheme="majorEastAsia" w:hAnsiTheme="majorEastAsia" w:eastAsiaTheme="majorEastAsia"/>
          <w:sz w:val="21"/>
          <w:szCs w:val="21"/>
        </w:rPr>
        <w:t>投标文件格式</w:t>
      </w:r>
    </w:p>
    <w:p w14:paraId="74F66C14">
      <w:pPr>
        <w:pStyle w:val="14"/>
        <w:widowControl w:val="0"/>
        <w:numPr>
          <w:ilvl w:val="0"/>
          <w:numId w:val="0"/>
        </w:numPr>
        <w:tabs>
          <w:tab w:val="clear" w:pos="454"/>
        </w:tabs>
        <w:snapToGrid w:val="0"/>
        <w:spacing w:afterLines="0" w:line="360" w:lineRule="auto"/>
        <w:ind w:firstLine="422" w:firstLineChars="200"/>
        <w:rPr>
          <w:rFonts w:hint="eastAsia" w:cs="宋体" w:asciiTheme="majorEastAsia" w:hAnsiTheme="majorEastAsia" w:eastAsiaTheme="majorEastAsia"/>
          <w:b/>
          <w:sz w:val="21"/>
          <w:szCs w:val="21"/>
        </w:rPr>
      </w:pPr>
      <w:r>
        <w:rPr>
          <w:rFonts w:hint="eastAsia" w:cs="宋体" w:asciiTheme="majorEastAsia" w:hAnsiTheme="majorEastAsia" w:eastAsiaTheme="majorEastAsia"/>
          <w:b/>
          <w:sz w:val="21"/>
          <w:szCs w:val="21"/>
        </w:rPr>
        <w:t>14.招标文件的询问、澄清和修改</w:t>
      </w:r>
    </w:p>
    <w:p w14:paraId="2C9D20CC">
      <w:pPr>
        <w:pStyle w:val="25"/>
        <w:snapToGrid w:val="0"/>
        <w:spacing w:beforeLines="0" w:afterLines="0" w:line="360" w:lineRule="auto"/>
        <w:ind w:firstLine="420" w:firstLineChars="200"/>
        <w:rPr>
          <w:rFonts w:hint="eastAsia" w:asciiTheme="majorEastAsia" w:hAnsiTheme="majorEastAsia" w:eastAsiaTheme="majorEastAsia"/>
          <w:bCs/>
          <w:sz w:val="21"/>
          <w:szCs w:val="21"/>
        </w:rPr>
      </w:pPr>
      <w:r>
        <w:rPr>
          <w:rFonts w:hint="eastAsia" w:asciiTheme="majorEastAsia" w:hAnsiTheme="majorEastAsia" w:eastAsiaTheme="majorEastAsia"/>
          <w:bCs/>
          <w:sz w:val="21"/>
          <w:szCs w:val="21"/>
        </w:rPr>
        <w:t>14.</w:t>
      </w:r>
      <w:r>
        <w:rPr>
          <w:rFonts w:asciiTheme="majorEastAsia" w:hAnsiTheme="majorEastAsia" w:eastAsiaTheme="majorEastAsia"/>
          <w:bCs/>
          <w:sz w:val="21"/>
          <w:szCs w:val="21"/>
        </w:rPr>
        <w:t>1</w:t>
      </w:r>
      <w:r>
        <w:rPr>
          <w:rFonts w:hint="eastAsia" w:asciiTheme="majorEastAsia" w:hAnsiTheme="majorEastAsia" w:eastAsiaTheme="majorEastAsia"/>
          <w:bCs/>
          <w:sz w:val="21"/>
          <w:szCs w:val="21"/>
        </w:rPr>
        <w:t>询问</w:t>
      </w:r>
    </w:p>
    <w:p w14:paraId="22FFEA62">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asciiTheme="majorEastAsia" w:hAnsiTheme="majorEastAsia" w:eastAsiaTheme="majorEastAsia"/>
          <w:bCs/>
          <w:sz w:val="21"/>
          <w:szCs w:val="21"/>
        </w:rPr>
        <w:t>投标人</w:t>
      </w:r>
      <w:r>
        <w:rPr>
          <w:rFonts w:hint="eastAsia" w:asciiTheme="majorEastAsia" w:hAnsiTheme="majorEastAsia" w:eastAsiaTheme="majorEastAsia"/>
          <w:bCs/>
          <w:sz w:val="21"/>
          <w:szCs w:val="21"/>
        </w:rPr>
        <w:t>对招标文件有疑问之处可向</w:t>
      </w:r>
      <w:r>
        <w:rPr>
          <w:rFonts w:hint="eastAsia" w:asciiTheme="majorEastAsia" w:hAnsiTheme="majorEastAsia" w:eastAsiaTheme="majorEastAsia"/>
          <w:sz w:val="21"/>
          <w:szCs w:val="21"/>
        </w:rPr>
        <w:t>采购人或采购代理机构</w:t>
      </w:r>
      <w:r>
        <w:rPr>
          <w:rFonts w:hint="eastAsia" w:asciiTheme="majorEastAsia" w:hAnsiTheme="majorEastAsia" w:eastAsiaTheme="majorEastAsia"/>
          <w:bCs/>
          <w:sz w:val="21"/>
          <w:szCs w:val="21"/>
        </w:rPr>
        <w:t>询问，</w:t>
      </w:r>
      <w:r>
        <w:rPr>
          <w:rFonts w:hint="eastAsia" w:asciiTheme="majorEastAsia" w:hAnsiTheme="majorEastAsia" w:eastAsiaTheme="majorEastAsia"/>
          <w:sz w:val="21"/>
          <w:szCs w:val="21"/>
        </w:rPr>
        <w:t>采购人或采购代理机构将依法</w:t>
      </w:r>
      <w:r>
        <w:rPr>
          <w:rFonts w:hint="eastAsia" w:asciiTheme="majorEastAsia" w:hAnsiTheme="majorEastAsia" w:eastAsiaTheme="majorEastAsia"/>
          <w:bCs/>
          <w:sz w:val="21"/>
          <w:szCs w:val="21"/>
        </w:rPr>
        <w:t>对潜在投标人</w:t>
      </w:r>
      <w:r>
        <w:rPr>
          <w:rFonts w:hint="eastAsia" w:asciiTheme="majorEastAsia" w:hAnsiTheme="majorEastAsia" w:eastAsiaTheme="majorEastAsia"/>
          <w:sz w:val="21"/>
          <w:szCs w:val="21"/>
        </w:rPr>
        <w:t>的询问作出答复。</w:t>
      </w:r>
    </w:p>
    <w:p w14:paraId="4ECF74E3">
      <w:pPr>
        <w:pStyle w:val="25"/>
        <w:snapToGrid w:val="0"/>
        <w:spacing w:beforeLines="0" w:afterLines="0" w:line="360" w:lineRule="auto"/>
        <w:ind w:firstLine="420" w:firstLineChars="200"/>
        <w:rPr>
          <w:rFonts w:hint="eastAsia" w:asciiTheme="majorEastAsia" w:hAnsiTheme="majorEastAsia" w:eastAsiaTheme="majorEastAsia"/>
          <w:bCs/>
          <w:sz w:val="21"/>
          <w:szCs w:val="21"/>
        </w:rPr>
      </w:pPr>
      <w:r>
        <w:rPr>
          <w:rFonts w:hint="eastAsia" w:asciiTheme="majorEastAsia" w:hAnsiTheme="majorEastAsia" w:eastAsiaTheme="majorEastAsia"/>
          <w:bCs/>
          <w:sz w:val="21"/>
          <w:szCs w:val="21"/>
        </w:rPr>
        <w:t>14.2澄清和修改</w:t>
      </w:r>
    </w:p>
    <w:p w14:paraId="07C406A7">
      <w:pPr>
        <w:pStyle w:val="25"/>
        <w:snapToGrid w:val="0"/>
        <w:spacing w:beforeLines="0" w:afterLines="0" w:line="360" w:lineRule="auto"/>
        <w:ind w:firstLine="420" w:firstLineChars="200"/>
        <w:rPr>
          <w:rFonts w:hint="eastAsia" w:asciiTheme="majorEastAsia" w:hAnsiTheme="majorEastAsia" w:eastAsiaTheme="majorEastAsia"/>
          <w:bCs/>
          <w:sz w:val="21"/>
          <w:szCs w:val="21"/>
        </w:rPr>
      </w:pPr>
      <w:r>
        <w:rPr>
          <w:rFonts w:hint="eastAsia" w:asciiTheme="majorEastAsia" w:hAnsiTheme="majorEastAsia" w:eastAsiaTheme="majorEastAsia"/>
          <w:bCs/>
          <w:sz w:val="21"/>
          <w:szCs w:val="21"/>
        </w:rPr>
        <w:t>1）</w:t>
      </w:r>
      <w:r>
        <w:rPr>
          <w:rFonts w:hint="eastAsia" w:asciiTheme="majorEastAsia" w:hAnsiTheme="majorEastAsia" w:eastAsiaTheme="majorEastAsia"/>
          <w:sz w:val="21"/>
          <w:szCs w:val="21"/>
        </w:rPr>
        <w:t>采购人或采购代理机构</w:t>
      </w:r>
      <w:r>
        <w:rPr>
          <w:rFonts w:asciiTheme="majorEastAsia" w:hAnsiTheme="majorEastAsia" w:eastAsiaTheme="majorEastAsia"/>
          <w:bCs/>
          <w:sz w:val="21"/>
          <w:szCs w:val="21"/>
        </w:rPr>
        <w:t>可以对已发出的招标文件进行必要的澄清或者修改。澄清或者修改</w:t>
      </w:r>
      <w:r>
        <w:rPr>
          <w:rFonts w:hint="eastAsia" w:asciiTheme="majorEastAsia" w:hAnsiTheme="majorEastAsia" w:eastAsiaTheme="majorEastAsia"/>
          <w:bCs/>
          <w:sz w:val="21"/>
          <w:szCs w:val="21"/>
        </w:rPr>
        <w:t>将</w:t>
      </w:r>
      <w:r>
        <w:rPr>
          <w:rFonts w:asciiTheme="majorEastAsia" w:hAnsiTheme="majorEastAsia" w:eastAsiaTheme="majorEastAsia"/>
          <w:bCs/>
          <w:sz w:val="21"/>
          <w:szCs w:val="21"/>
        </w:rPr>
        <w:t>在原公告发布媒体上发布澄清</w:t>
      </w:r>
      <w:r>
        <w:rPr>
          <w:rFonts w:hint="eastAsia" w:asciiTheme="majorEastAsia" w:hAnsiTheme="majorEastAsia" w:eastAsiaTheme="majorEastAsia"/>
          <w:bCs/>
          <w:sz w:val="21"/>
          <w:szCs w:val="21"/>
        </w:rPr>
        <w:t>或更正</w:t>
      </w:r>
      <w:r>
        <w:rPr>
          <w:rFonts w:asciiTheme="majorEastAsia" w:hAnsiTheme="majorEastAsia" w:eastAsiaTheme="majorEastAsia"/>
          <w:bCs/>
          <w:sz w:val="21"/>
          <w:szCs w:val="21"/>
        </w:rPr>
        <w:t>公告。澄清或者修改的内容为招标文件的组成部分。</w:t>
      </w:r>
    </w:p>
    <w:p w14:paraId="063FF483">
      <w:pPr>
        <w:pStyle w:val="25"/>
        <w:snapToGrid w:val="0"/>
        <w:spacing w:beforeLines="0" w:afterLines="0" w:line="360" w:lineRule="auto"/>
        <w:ind w:firstLine="420" w:firstLineChars="200"/>
        <w:rPr>
          <w:rFonts w:hint="eastAsia" w:asciiTheme="majorEastAsia" w:hAnsiTheme="majorEastAsia" w:eastAsiaTheme="majorEastAsia"/>
          <w:bCs/>
          <w:sz w:val="21"/>
          <w:szCs w:val="21"/>
        </w:rPr>
      </w:pPr>
      <w:r>
        <w:rPr>
          <w:rFonts w:hint="eastAsia" w:asciiTheme="majorEastAsia" w:hAnsiTheme="majorEastAsia" w:eastAsiaTheme="majorEastAsia"/>
          <w:bCs/>
          <w:sz w:val="21"/>
          <w:szCs w:val="21"/>
        </w:rPr>
        <w:t>2）</w:t>
      </w:r>
      <w:r>
        <w:rPr>
          <w:rFonts w:asciiTheme="majorEastAsia" w:hAnsiTheme="majorEastAsia" w:eastAsiaTheme="majorEastAsia"/>
          <w:bCs/>
          <w:sz w:val="21"/>
          <w:szCs w:val="21"/>
        </w:rPr>
        <w:t>采购人原则上不改变</w:t>
      </w:r>
      <w:r>
        <w:rPr>
          <w:rFonts w:hint="eastAsia" w:asciiTheme="majorEastAsia" w:hAnsiTheme="majorEastAsia" w:eastAsiaTheme="majorEastAsia"/>
          <w:bCs/>
          <w:sz w:val="21"/>
          <w:szCs w:val="21"/>
        </w:rPr>
        <w:t>招标</w:t>
      </w:r>
      <w:r>
        <w:rPr>
          <w:rFonts w:asciiTheme="majorEastAsia" w:hAnsiTheme="majorEastAsia" w:eastAsiaTheme="majorEastAsia"/>
          <w:bCs/>
          <w:sz w:val="21"/>
          <w:szCs w:val="21"/>
        </w:rPr>
        <w:t>文件规定的提交投标文件的截止时间。</w:t>
      </w:r>
      <w:r>
        <w:rPr>
          <w:rFonts w:hint="eastAsia" w:asciiTheme="majorEastAsia" w:hAnsiTheme="majorEastAsia" w:eastAsiaTheme="majorEastAsia"/>
          <w:bCs/>
          <w:sz w:val="21"/>
          <w:szCs w:val="21"/>
        </w:rPr>
        <w:t>潜在</w:t>
      </w:r>
      <w:r>
        <w:rPr>
          <w:rFonts w:asciiTheme="majorEastAsia" w:hAnsiTheme="majorEastAsia" w:eastAsiaTheme="majorEastAsia"/>
          <w:bCs/>
          <w:sz w:val="21"/>
          <w:szCs w:val="21"/>
        </w:rPr>
        <w:t>投标人在收到书面形式通知后，</w:t>
      </w:r>
      <w:r>
        <w:rPr>
          <w:rFonts w:hint="eastAsia" w:asciiTheme="majorEastAsia" w:hAnsiTheme="majorEastAsia" w:eastAsiaTheme="majorEastAsia"/>
          <w:bCs/>
          <w:sz w:val="21"/>
          <w:szCs w:val="21"/>
        </w:rPr>
        <w:t>认为</w:t>
      </w:r>
      <w:r>
        <w:rPr>
          <w:rFonts w:asciiTheme="majorEastAsia" w:hAnsiTheme="majorEastAsia" w:eastAsiaTheme="majorEastAsia"/>
          <w:bCs/>
          <w:sz w:val="21"/>
          <w:szCs w:val="21"/>
        </w:rPr>
        <w:t>招标文件</w:t>
      </w:r>
      <w:r>
        <w:rPr>
          <w:rFonts w:hint="eastAsia" w:asciiTheme="majorEastAsia" w:hAnsiTheme="majorEastAsia" w:eastAsiaTheme="majorEastAsia"/>
          <w:bCs/>
          <w:sz w:val="21"/>
          <w:szCs w:val="21"/>
        </w:rPr>
        <w:t>的</w:t>
      </w:r>
      <w:r>
        <w:rPr>
          <w:rFonts w:asciiTheme="majorEastAsia" w:hAnsiTheme="majorEastAsia" w:eastAsiaTheme="majorEastAsia"/>
          <w:bCs/>
          <w:sz w:val="21"/>
          <w:szCs w:val="21"/>
        </w:rPr>
        <w:t>澄清或者修改的</w:t>
      </w:r>
      <w:r>
        <w:rPr>
          <w:rFonts w:hint="eastAsia" w:asciiTheme="majorEastAsia" w:hAnsiTheme="majorEastAsia" w:eastAsiaTheme="majorEastAsia"/>
          <w:bCs/>
          <w:sz w:val="21"/>
          <w:szCs w:val="21"/>
        </w:rPr>
        <w:t>内容</w:t>
      </w:r>
      <w:r>
        <w:rPr>
          <w:rFonts w:asciiTheme="majorEastAsia" w:hAnsiTheme="majorEastAsia" w:eastAsiaTheme="majorEastAsia"/>
          <w:bCs/>
          <w:sz w:val="21"/>
          <w:szCs w:val="21"/>
        </w:rPr>
        <w:t>影响投标文件编制</w:t>
      </w:r>
      <w:r>
        <w:rPr>
          <w:rFonts w:hint="eastAsia" w:asciiTheme="majorEastAsia" w:hAnsiTheme="majorEastAsia" w:eastAsiaTheme="majorEastAsia"/>
          <w:bCs/>
          <w:sz w:val="21"/>
          <w:szCs w:val="21"/>
        </w:rPr>
        <w:t>的</w:t>
      </w:r>
      <w:r>
        <w:rPr>
          <w:rFonts w:asciiTheme="majorEastAsia" w:hAnsiTheme="majorEastAsia" w:eastAsiaTheme="majorEastAsia"/>
          <w:bCs/>
          <w:sz w:val="21"/>
          <w:szCs w:val="21"/>
        </w:rPr>
        <w:t>，</w:t>
      </w:r>
      <w:r>
        <w:rPr>
          <w:rFonts w:hint="eastAsia" w:asciiTheme="majorEastAsia" w:hAnsiTheme="majorEastAsia" w:eastAsiaTheme="majorEastAsia"/>
          <w:bCs/>
          <w:sz w:val="21"/>
          <w:szCs w:val="21"/>
        </w:rPr>
        <w:t>应当</w:t>
      </w:r>
      <w:r>
        <w:rPr>
          <w:rFonts w:asciiTheme="majorEastAsia" w:hAnsiTheme="majorEastAsia" w:eastAsiaTheme="majorEastAsia"/>
          <w:bCs/>
          <w:sz w:val="21"/>
          <w:szCs w:val="21"/>
        </w:rPr>
        <w:t>在收到</w:t>
      </w:r>
      <w:r>
        <w:rPr>
          <w:rFonts w:hint="eastAsia" w:asciiTheme="majorEastAsia" w:hAnsiTheme="majorEastAsia" w:eastAsiaTheme="majorEastAsia"/>
          <w:bCs/>
          <w:sz w:val="21"/>
          <w:szCs w:val="21"/>
        </w:rPr>
        <w:t>书面通知</w:t>
      </w:r>
      <w:r>
        <w:rPr>
          <w:rFonts w:asciiTheme="majorEastAsia" w:hAnsiTheme="majorEastAsia" w:eastAsiaTheme="majorEastAsia"/>
          <w:bCs/>
          <w:sz w:val="21"/>
          <w:szCs w:val="21"/>
        </w:rPr>
        <w:t>后</w:t>
      </w:r>
      <w:r>
        <w:rPr>
          <w:rFonts w:hint="eastAsia" w:asciiTheme="majorEastAsia" w:hAnsiTheme="majorEastAsia" w:eastAsiaTheme="majorEastAsia"/>
          <w:bCs/>
          <w:sz w:val="21"/>
          <w:szCs w:val="21"/>
        </w:rPr>
        <w:t>及时</w:t>
      </w:r>
      <w:r>
        <w:rPr>
          <w:rFonts w:asciiTheme="majorEastAsia" w:hAnsiTheme="majorEastAsia" w:eastAsiaTheme="majorEastAsia"/>
          <w:bCs/>
          <w:sz w:val="21"/>
          <w:szCs w:val="21"/>
        </w:rPr>
        <w:t>将</w:t>
      </w:r>
      <w:r>
        <w:rPr>
          <w:rFonts w:hint="eastAsia" w:asciiTheme="majorEastAsia" w:hAnsiTheme="majorEastAsia" w:eastAsiaTheme="majorEastAsia"/>
          <w:bCs/>
          <w:sz w:val="21"/>
          <w:szCs w:val="21"/>
        </w:rPr>
        <w:t>有关</w:t>
      </w:r>
      <w:r>
        <w:rPr>
          <w:rFonts w:asciiTheme="majorEastAsia" w:hAnsiTheme="majorEastAsia" w:eastAsiaTheme="majorEastAsia"/>
          <w:bCs/>
          <w:sz w:val="21"/>
          <w:szCs w:val="21"/>
        </w:rPr>
        <w:t>意见和理由以书面形式向</w:t>
      </w:r>
      <w:r>
        <w:rPr>
          <w:rFonts w:hint="eastAsia" w:asciiTheme="majorEastAsia" w:hAnsiTheme="majorEastAsia" w:eastAsiaTheme="majorEastAsia"/>
          <w:sz w:val="21"/>
          <w:szCs w:val="21"/>
        </w:rPr>
        <w:t>采购人或采购代理机构</w:t>
      </w:r>
      <w:r>
        <w:rPr>
          <w:rFonts w:asciiTheme="majorEastAsia" w:hAnsiTheme="majorEastAsia" w:eastAsiaTheme="majorEastAsia"/>
          <w:bCs/>
          <w:sz w:val="21"/>
          <w:szCs w:val="21"/>
        </w:rPr>
        <w:t>提出，否则，</w:t>
      </w:r>
      <w:r>
        <w:rPr>
          <w:rFonts w:hint="eastAsia" w:asciiTheme="majorEastAsia" w:hAnsiTheme="majorEastAsia" w:eastAsiaTheme="majorEastAsia"/>
          <w:sz w:val="21"/>
          <w:szCs w:val="21"/>
        </w:rPr>
        <w:t>采购人或采购代理机构</w:t>
      </w:r>
      <w:r>
        <w:rPr>
          <w:rFonts w:asciiTheme="majorEastAsia" w:hAnsiTheme="majorEastAsia" w:eastAsiaTheme="majorEastAsia"/>
          <w:bCs/>
          <w:sz w:val="21"/>
          <w:szCs w:val="21"/>
        </w:rPr>
        <w:t>视</w:t>
      </w:r>
      <w:r>
        <w:rPr>
          <w:rFonts w:hint="eastAsia" w:asciiTheme="majorEastAsia" w:hAnsiTheme="majorEastAsia" w:eastAsiaTheme="majorEastAsia"/>
          <w:bCs/>
          <w:sz w:val="21"/>
          <w:szCs w:val="21"/>
        </w:rPr>
        <w:t>为潜在</w:t>
      </w:r>
      <w:r>
        <w:rPr>
          <w:rFonts w:asciiTheme="majorEastAsia" w:hAnsiTheme="majorEastAsia" w:eastAsiaTheme="majorEastAsia"/>
          <w:bCs/>
          <w:sz w:val="21"/>
          <w:szCs w:val="21"/>
        </w:rPr>
        <w:t>投标人完全接受澄清或者修改的</w:t>
      </w:r>
      <w:r>
        <w:rPr>
          <w:rFonts w:hint="eastAsia" w:asciiTheme="majorEastAsia" w:hAnsiTheme="majorEastAsia" w:eastAsiaTheme="majorEastAsia"/>
          <w:bCs/>
          <w:sz w:val="21"/>
          <w:szCs w:val="21"/>
        </w:rPr>
        <w:t>内容，</w:t>
      </w:r>
      <w:r>
        <w:rPr>
          <w:rFonts w:asciiTheme="majorEastAsia" w:hAnsiTheme="majorEastAsia" w:eastAsiaTheme="majorEastAsia"/>
          <w:bCs/>
          <w:sz w:val="21"/>
          <w:szCs w:val="21"/>
        </w:rPr>
        <w:t>且</w:t>
      </w:r>
      <w:r>
        <w:rPr>
          <w:rFonts w:hint="eastAsia" w:asciiTheme="majorEastAsia" w:hAnsiTheme="majorEastAsia" w:eastAsiaTheme="majorEastAsia"/>
          <w:bCs/>
          <w:sz w:val="21"/>
          <w:szCs w:val="21"/>
        </w:rPr>
        <w:t>不</w:t>
      </w:r>
      <w:r>
        <w:rPr>
          <w:rFonts w:asciiTheme="majorEastAsia" w:hAnsiTheme="majorEastAsia" w:eastAsiaTheme="majorEastAsia"/>
          <w:bCs/>
          <w:sz w:val="21"/>
          <w:szCs w:val="21"/>
        </w:rPr>
        <w:t>影响</w:t>
      </w:r>
      <w:r>
        <w:rPr>
          <w:rFonts w:hint="eastAsia" w:asciiTheme="majorEastAsia" w:hAnsiTheme="majorEastAsia" w:eastAsiaTheme="majorEastAsia"/>
          <w:bCs/>
          <w:sz w:val="21"/>
          <w:szCs w:val="21"/>
        </w:rPr>
        <w:t>投标应</w:t>
      </w:r>
      <w:r>
        <w:rPr>
          <w:rFonts w:asciiTheme="majorEastAsia" w:hAnsiTheme="majorEastAsia" w:eastAsiaTheme="majorEastAsia"/>
          <w:bCs/>
          <w:sz w:val="21"/>
          <w:szCs w:val="21"/>
        </w:rPr>
        <w:t>文件编制。</w:t>
      </w:r>
    </w:p>
    <w:p w14:paraId="5E93EFC6">
      <w:pPr>
        <w:pStyle w:val="25"/>
        <w:snapToGrid w:val="0"/>
        <w:spacing w:beforeLines="0" w:afterLines="0" w:line="360" w:lineRule="auto"/>
        <w:ind w:firstLine="420" w:firstLineChars="200"/>
        <w:rPr>
          <w:rFonts w:hint="eastAsia" w:asciiTheme="majorEastAsia" w:hAnsiTheme="majorEastAsia" w:eastAsiaTheme="majorEastAsia"/>
          <w:bCs/>
          <w:sz w:val="21"/>
          <w:szCs w:val="21"/>
        </w:rPr>
      </w:pPr>
      <w:r>
        <w:rPr>
          <w:rFonts w:hint="eastAsia" w:asciiTheme="majorEastAsia" w:hAnsiTheme="majorEastAsia" w:eastAsiaTheme="majorEastAsia"/>
          <w:bCs/>
          <w:sz w:val="21"/>
          <w:szCs w:val="21"/>
        </w:rPr>
        <w:t>3）潜在</w:t>
      </w:r>
      <w:r>
        <w:rPr>
          <w:rFonts w:asciiTheme="majorEastAsia" w:hAnsiTheme="majorEastAsia" w:eastAsiaTheme="majorEastAsia"/>
          <w:bCs/>
          <w:sz w:val="21"/>
          <w:szCs w:val="21"/>
        </w:rPr>
        <w:t>投标人要求澄清</w:t>
      </w:r>
      <w:r>
        <w:rPr>
          <w:rFonts w:hint="eastAsia" w:asciiTheme="majorEastAsia" w:hAnsiTheme="majorEastAsia" w:eastAsiaTheme="majorEastAsia"/>
          <w:bCs/>
          <w:sz w:val="21"/>
          <w:szCs w:val="21"/>
        </w:rPr>
        <w:t>和回复的书面材料</w:t>
      </w:r>
      <w:r>
        <w:rPr>
          <w:rFonts w:asciiTheme="majorEastAsia" w:hAnsiTheme="majorEastAsia" w:eastAsiaTheme="majorEastAsia"/>
          <w:bCs/>
          <w:sz w:val="21"/>
          <w:szCs w:val="21"/>
        </w:rPr>
        <w:t>应加盖单位公章</w:t>
      </w:r>
      <w:r>
        <w:rPr>
          <w:rFonts w:hint="eastAsia" w:asciiTheme="majorEastAsia" w:hAnsiTheme="majorEastAsia" w:eastAsiaTheme="majorEastAsia"/>
          <w:bCs/>
          <w:sz w:val="21"/>
          <w:szCs w:val="21"/>
        </w:rPr>
        <w:t>并注明</w:t>
      </w:r>
      <w:r>
        <w:rPr>
          <w:rFonts w:asciiTheme="majorEastAsia" w:hAnsiTheme="majorEastAsia" w:eastAsiaTheme="majorEastAsia"/>
          <w:bCs/>
          <w:sz w:val="21"/>
          <w:szCs w:val="21"/>
        </w:rPr>
        <w:t>日期。</w:t>
      </w:r>
    </w:p>
    <w:p w14:paraId="6C6262E2">
      <w:pPr>
        <w:pStyle w:val="25"/>
        <w:snapToGrid w:val="0"/>
        <w:spacing w:beforeLines="0" w:afterLines="0" w:line="360" w:lineRule="auto"/>
        <w:ind w:firstLine="420" w:firstLineChars="200"/>
        <w:rPr>
          <w:rFonts w:hint="eastAsia" w:asciiTheme="majorEastAsia" w:hAnsiTheme="majorEastAsia" w:eastAsiaTheme="majorEastAsia"/>
          <w:bCs/>
          <w:sz w:val="21"/>
          <w:szCs w:val="21"/>
        </w:rPr>
      </w:pPr>
      <w:r>
        <w:rPr>
          <w:rFonts w:hint="eastAsia" w:asciiTheme="majorEastAsia" w:hAnsiTheme="majorEastAsia" w:eastAsiaTheme="majorEastAsia"/>
          <w:bCs/>
          <w:sz w:val="21"/>
          <w:szCs w:val="21"/>
        </w:rPr>
        <w:t>4）</w:t>
      </w:r>
      <w:r>
        <w:rPr>
          <w:rFonts w:asciiTheme="majorEastAsia" w:hAnsiTheme="majorEastAsia" w:eastAsiaTheme="majorEastAsia"/>
          <w:bCs/>
          <w:sz w:val="21"/>
          <w:szCs w:val="21"/>
        </w:rPr>
        <w:t>当招标文件与</w:t>
      </w:r>
      <w:r>
        <w:rPr>
          <w:rFonts w:hint="eastAsia" w:asciiTheme="majorEastAsia" w:hAnsiTheme="majorEastAsia" w:eastAsiaTheme="majorEastAsia"/>
          <w:bCs/>
          <w:sz w:val="21"/>
          <w:szCs w:val="21"/>
        </w:rPr>
        <w:t>补充文件</w:t>
      </w:r>
      <w:r>
        <w:rPr>
          <w:rFonts w:asciiTheme="majorEastAsia" w:hAnsiTheme="majorEastAsia" w:eastAsiaTheme="majorEastAsia"/>
          <w:bCs/>
          <w:sz w:val="21"/>
          <w:szCs w:val="21"/>
        </w:rPr>
        <w:t>就同一内容的表述不一致时，以最后发出的</w:t>
      </w:r>
      <w:r>
        <w:rPr>
          <w:rFonts w:hint="eastAsia" w:asciiTheme="majorEastAsia" w:hAnsiTheme="majorEastAsia" w:eastAsiaTheme="majorEastAsia"/>
          <w:bCs/>
          <w:sz w:val="21"/>
          <w:szCs w:val="21"/>
        </w:rPr>
        <w:t>补充</w:t>
      </w:r>
      <w:r>
        <w:rPr>
          <w:rFonts w:asciiTheme="majorEastAsia" w:hAnsiTheme="majorEastAsia" w:eastAsiaTheme="majorEastAsia"/>
          <w:bCs/>
          <w:sz w:val="21"/>
          <w:szCs w:val="21"/>
        </w:rPr>
        <w:t>文件为准。</w:t>
      </w:r>
    </w:p>
    <w:p w14:paraId="15785DC8">
      <w:pPr>
        <w:pStyle w:val="25"/>
        <w:snapToGrid w:val="0"/>
        <w:spacing w:beforeLines="0" w:afterLines="0" w:line="360" w:lineRule="auto"/>
        <w:ind w:firstLine="420" w:firstLineChars="200"/>
        <w:rPr>
          <w:rFonts w:hint="eastAsia" w:asciiTheme="majorEastAsia" w:hAnsiTheme="majorEastAsia" w:eastAsiaTheme="majorEastAsia"/>
          <w:bCs/>
          <w:sz w:val="21"/>
          <w:szCs w:val="21"/>
        </w:rPr>
      </w:pPr>
      <w:r>
        <w:rPr>
          <w:rFonts w:hint="eastAsia" w:asciiTheme="majorEastAsia" w:hAnsiTheme="majorEastAsia" w:eastAsiaTheme="majorEastAsia"/>
          <w:bCs/>
          <w:sz w:val="21"/>
          <w:szCs w:val="21"/>
        </w:rPr>
        <w:t>5）潜在投标人必须保证获取招标文件时提供资料的真实性、准确性及联系方式的畅通性，否则，由此导致采购人或采购代理机构无法及时通知有关事项造成的后果由投标人自行承担责任。</w:t>
      </w:r>
    </w:p>
    <w:p w14:paraId="45B287DD">
      <w:pPr>
        <w:pStyle w:val="25"/>
        <w:snapToGrid w:val="0"/>
        <w:spacing w:beforeLines="0" w:afterLines="0" w:line="360" w:lineRule="auto"/>
        <w:ind w:firstLine="422" w:firstLineChars="200"/>
        <w:rPr>
          <w:rFonts w:hint="eastAsia" w:asciiTheme="majorEastAsia" w:hAnsiTheme="majorEastAsia" w:eastAsiaTheme="majorEastAsia"/>
          <w:b/>
          <w:bCs/>
          <w:sz w:val="21"/>
          <w:szCs w:val="21"/>
        </w:rPr>
      </w:pPr>
      <w:r>
        <w:rPr>
          <w:rFonts w:hint="eastAsia" w:asciiTheme="majorEastAsia" w:hAnsiTheme="majorEastAsia" w:eastAsiaTheme="majorEastAsia"/>
          <w:b/>
          <w:bCs/>
          <w:sz w:val="21"/>
          <w:szCs w:val="21"/>
        </w:rPr>
        <w:t>15.现场考察及标前答疑会</w:t>
      </w:r>
    </w:p>
    <w:p w14:paraId="6D130AB1">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15.1采购人或者采购代理机构在招标文件提供期限截止后，不组织已获取招标文件的潜在投标人现场考察或者召开开标前答疑会。</w:t>
      </w:r>
    </w:p>
    <w:p w14:paraId="0E8E073D">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15.2如投标人认为需要对本项目实施地点及周围环境进行现场考察的，由投标人自行组织。</w:t>
      </w:r>
    </w:p>
    <w:p w14:paraId="79B86807">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15.3</w:t>
      </w:r>
      <w:r>
        <w:rPr>
          <w:rFonts w:asciiTheme="majorEastAsia" w:hAnsiTheme="majorEastAsia" w:eastAsiaTheme="majorEastAsia"/>
          <w:sz w:val="21"/>
          <w:szCs w:val="21"/>
        </w:rPr>
        <w:t>潜在投标人</w:t>
      </w:r>
      <w:r>
        <w:rPr>
          <w:rFonts w:hint="eastAsia" w:asciiTheme="majorEastAsia" w:hAnsiTheme="majorEastAsia" w:eastAsiaTheme="majorEastAsia"/>
          <w:sz w:val="21"/>
          <w:szCs w:val="21"/>
        </w:rPr>
        <w:t>参加现场考察或答疑会的费用自理。除采购人的原因外，投标人自行负责现场考察或参加开标前答疑会造成的自身或第三人的人身伤害、财产损失或损坏的责任。</w:t>
      </w:r>
    </w:p>
    <w:p w14:paraId="327BCF94">
      <w:pPr>
        <w:spacing w:line="360" w:lineRule="auto"/>
        <w:ind w:firstLine="422" w:firstLineChars="200"/>
        <w:jc w:val="center"/>
        <w:rPr>
          <w:rFonts w:hint="eastAsia" w:asciiTheme="majorEastAsia" w:hAnsiTheme="majorEastAsia" w:eastAsiaTheme="majorEastAsia"/>
          <w:b/>
          <w:szCs w:val="21"/>
        </w:rPr>
      </w:pPr>
      <w:r>
        <w:rPr>
          <w:rFonts w:asciiTheme="majorEastAsia" w:hAnsiTheme="majorEastAsia" w:eastAsiaTheme="majorEastAsia"/>
          <w:b/>
          <w:szCs w:val="21"/>
        </w:rPr>
        <w:t>三、投标文件的编制</w:t>
      </w:r>
    </w:p>
    <w:p w14:paraId="52D71E22">
      <w:pPr>
        <w:spacing w:line="360" w:lineRule="auto"/>
        <w:ind w:firstLine="422" w:firstLineChars="200"/>
        <w:rPr>
          <w:rFonts w:hint="eastAsia" w:asciiTheme="majorEastAsia" w:hAnsiTheme="majorEastAsia" w:eastAsiaTheme="majorEastAsia"/>
          <w:b/>
          <w:szCs w:val="21"/>
        </w:rPr>
      </w:pPr>
      <w:r>
        <w:rPr>
          <w:rFonts w:hint="eastAsia" w:asciiTheme="majorEastAsia" w:hAnsiTheme="majorEastAsia" w:eastAsiaTheme="majorEastAsia"/>
          <w:b/>
          <w:szCs w:val="21"/>
        </w:rPr>
        <w:t>16.投标的语言和计量单位</w:t>
      </w:r>
    </w:p>
    <w:p w14:paraId="21ABCF20">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16.1投标人提交的投标文件以及投标人与采购人或采购代理机构就有关投标的所有来往函电均应使用中文。投标人提交的支持文件或印刷的文献可以用另一种语言，但相应内容应附有中文翻译本，在解释投标文件时以中文翻译本为准。</w:t>
      </w:r>
    </w:p>
    <w:p w14:paraId="5735D11F">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16.2除非招标文件中另有规定，所使用的计量单位均以《中华人民共和国法定计量单位》为准，时间均为24小时制北京时间，货币单位均为人民币元。</w:t>
      </w:r>
    </w:p>
    <w:p w14:paraId="46A46B93">
      <w:pPr>
        <w:pStyle w:val="25"/>
        <w:snapToGrid w:val="0"/>
        <w:spacing w:beforeLines="0" w:afterLines="0" w:line="360" w:lineRule="auto"/>
        <w:ind w:firstLine="422" w:firstLineChars="200"/>
        <w:rPr>
          <w:rFonts w:hint="eastAsia" w:asciiTheme="majorEastAsia" w:hAnsiTheme="majorEastAsia" w:eastAsiaTheme="majorEastAsia"/>
          <w:sz w:val="21"/>
          <w:szCs w:val="21"/>
        </w:rPr>
      </w:pPr>
      <w:r>
        <w:rPr>
          <w:rFonts w:hint="eastAsia" w:asciiTheme="majorEastAsia" w:hAnsiTheme="majorEastAsia" w:eastAsiaTheme="majorEastAsia"/>
          <w:b/>
          <w:sz w:val="21"/>
          <w:szCs w:val="21"/>
        </w:rPr>
        <w:t>17.投标文件的形式</w:t>
      </w:r>
    </w:p>
    <w:p w14:paraId="2CBFD406">
      <w:pPr>
        <w:pStyle w:val="25"/>
        <w:snapToGrid w:val="0"/>
        <w:spacing w:beforeLines="0" w:afterLines="0" w:line="360" w:lineRule="auto"/>
        <w:ind w:firstLine="422" w:firstLineChars="200"/>
        <w:rPr>
          <w:rFonts w:hint="eastAsia" w:asciiTheme="majorEastAsia" w:hAnsiTheme="majorEastAsia" w:eastAsiaTheme="majorEastAsia"/>
          <w:sz w:val="21"/>
          <w:szCs w:val="21"/>
        </w:rPr>
      </w:pPr>
      <w:r>
        <w:rPr>
          <w:rFonts w:hint="eastAsia" w:asciiTheme="majorEastAsia" w:hAnsiTheme="majorEastAsia" w:eastAsiaTheme="majorEastAsia"/>
          <w:b/>
          <w:sz w:val="21"/>
          <w:szCs w:val="21"/>
        </w:rPr>
        <w:t>本项目投标文件为电子投标文件形式，为在政采云系统上编制生成的电子加密投标文件及其备份投标文件。</w:t>
      </w:r>
    </w:p>
    <w:p w14:paraId="5635BA0D">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17.1电子加密投标文件是指通过“政采云电子投标客户端”完成投标文件编制后生成并加密的数据电文形式的加密标书，后缀名为【.jmbs】。</w:t>
      </w:r>
    </w:p>
    <w:p w14:paraId="662F76B0">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17.2备份投标文件是指与电子加密投标文件同时生成的数据电文形式的备份标书，后缀名为【.bfbs】。</w:t>
      </w:r>
    </w:p>
    <w:p w14:paraId="45E92257">
      <w:pPr>
        <w:spacing w:line="360" w:lineRule="auto"/>
        <w:ind w:firstLine="422" w:firstLineChars="200"/>
        <w:rPr>
          <w:rFonts w:hint="eastAsia" w:asciiTheme="majorEastAsia" w:hAnsiTheme="majorEastAsia" w:eastAsiaTheme="majorEastAsia"/>
          <w:b/>
          <w:szCs w:val="21"/>
        </w:rPr>
      </w:pPr>
      <w:r>
        <w:rPr>
          <w:rFonts w:hint="eastAsia" w:asciiTheme="majorEastAsia" w:hAnsiTheme="majorEastAsia" w:eastAsiaTheme="majorEastAsia"/>
          <w:b/>
          <w:szCs w:val="21"/>
        </w:rPr>
        <w:t>18.投标文件内容的组成</w:t>
      </w:r>
    </w:p>
    <w:p w14:paraId="1BD74CBB">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18.1投标人编写的投标文件应包含资格要求响应文件、商务技术文件和报价要求响应文件。</w:t>
      </w:r>
    </w:p>
    <w:p w14:paraId="2DA775B4">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18.2资格要求响应文件的组成:详见《供应商须知前附表》，未列入的内容，投标人认为需要的可以自行选择提供相关材料。</w:t>
      </w:r>
    </w:p>
    <w:p w14:paraId="0C5B5715">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18.3商务技术文件的组成:详见《供应商须知前附表》，未列入的内容，投标人认为需要的可以自行选择提供相关材料。</w:t>
      </w:r>
    </w:p>
    <w:p w14:paraId="27286831">
      <w:pPr>
        <w:pStyle w:val="25"/>
        <w:snapToGrid w:val="0"/>
        <w:spacing w:beforeLines="0" w:afterLines="0"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18.4报价要求响应文件的组成：详见《供应商须知前附表》，未列入的内容，投标人认为需要的可以自行选择提供相关材料。</w:t>
      </w:r>
    </w:p>
    <w:p w14:paraId="5431F60B">
      <w:pPr>
        <w:spacing w:line="360" w:lineRule="auto"/>
        <w:ind w:firstLine="422" w:firstLineChars="200"/>
        <w:rPr>
          <w:rFonts w:hint="eastAsia" w:asciiTheme="majorEastAsia" w:hAnsiTheme="majorEastAsia" w:eastAsiaTheme="majorEastAsia"/>
          <w:b/>
          <w:szCs w:val="21"/>
        </w:rPr>
      </w:pPr>
      <w:r>
        <w:rPr>
          <w:rFonts w:hint="eastAsia" w:asciiTheme="majorEastAsia" w:hAnsiTheme="majorEastAsia" w:eastAsiaTheme="majorEastAsia"/>
          <w:b/>
          <w:szCs w:val="21"/>
        </w:rPr>
        <w:t>19.投标文件的编写</w:t>
      </w:r>
    </w:p>
    <w:p w14:paraId="1BB8E076">
      <w:pPr>
        <w:spacing w:line="360" w:lineRule="auto"/>
        <w:ind w:firstLine="422" w:firstLineChars="200"/>
        <w:rPr>
          <w:rFonts w:hint="eastAsia" w:asciiTheme="majorEastAsia" w:hAnsiTheme="majorEastAsia" w:eastAsiaTheme="majorEastAsia"/>
          <w:b/>
          <w:szCs w:val="21"/>
        </w:rPr>
      </w:pPr>
      <w:r>
        <w:rPr>
          <w:rFonts w:hint="eastAsia" w:cs="Arial" w:asciiTheme="majorEastAsia" w:hAnsiTheme="majorEastAsia" w:eastAsiaTheme="majorEastAsia"/>
          <w:b/>
          <w:kern w:val="0"/>
        </w:rPr>
        <w:t>本项目通过“政府采购云平台”实行在线投标响应（电子交易）。投标人应安装“政采云电子投标客户端”，按照招标文件和“政府采购云平台”的要求编制并加密投标文件。</w:t>
      </w:r>
    </w:p>
    <w:p w14:paraId="1E87C7E4">
      <w:pPr>
        <w:snapToGrid w:val="0"/>
        <w:spacing w:line="360" w:lineRule="auto"/>
        <w:ind w:firstLine="420" w:firstLineChars="200"/>
        <w:jc w:val="left"/>
        <w:rPr>
          <w:rFonts w:hint="eastAsia" w:asciiTheme="majorEastAsia" w:hAnsiTheme="majorEastAsia" w:eastAsiaTheme="majorEastAsia"/>
        </w:rPr>
      </w:pPr>
      <w:r>
        <w:rPr>
          <w:rFonts w:hint="eastAsia" w:asciiTheme="majorEastAsia" w:hAnsiTheme="majorEastAsia" w:eastAsiaTheme="majorEastAsia"/>
        </w:rPr>
        <w:t>19.1</w:t>
      </w:r>
      <w:r>
        <w:rPr>
          <w:rFonts w:hint="eastAsia" w:asciiTheme="majorEastAsia" w:hAnsiTheme="majorEastAsia" w:eastAsiaTheme="majorEastAsia"/>
          <w:bCs/>
        </w:rPr>
        <w:t>投标人应认真阅读招标文件所有的事项、格式、条款和技术规格等内容，按照招标文件的要求编制投标文件，</w:t>
      </w:r>
      <w:r>
        <w:rPr>
          <w:rFonts w:hint="eastAsia" w:asciiTheme="majorEastAsia" w:hAnsiTheme="majorEastAsia" w:eastAsiaTheme="majorEastAsia"/>
          <w:szCs w:val="21"/>
        </w:rPr>
        <w:t>并根据自身的商务能力、技术水平等对招标文件提出的要求和条件作出真实的响应。</w:t>
      </w:r>
    </w:p>
    <w:p w14:paraId="5A0C3212">
      <w:pPr>
        <w:spacing w:line="360" w:lineRule="auto"/>
        <w:ind w:firstLine="420" w:firstLineChars="200"/>
        <w:rPr>
          <w:rFonts w:hint="eastAsia" w:asciiTheme="majorEastAsia" w:hAnsiTheme="majorEastAsia" w:eastAsiaTheme="majorEastAsia"/>
          <w:b/>
          <w:szCs w:val="21"/>
        </w:rPr>
      </w:pPr>
      <w:r>
        <w:rPr>
          <w:rFonts w:hint="eastAsia" w:cs="Arial" w:asciiTheme="majorEastAsia" w:hAnsiTheme="majorEastAsia" w:eastAsiaTheme="majorEastAsia"/>
        </w:rPr>
        <w:t>投标人</w:t>
      </w:r>
      <w:r>
        <w:rPr>
          <w:rFonts w:cs="Arial" w:asciiTheme="majorEastAsia" w:hAnsiTheme="majorEastAsia" w:eastAsiaTheme="majorEastAsia"/>
        </w:rPr>
        <w:t>应当对其提交的</w:t>
      </w:r>
      <w:r>
        <w:rPr>
          <w:rFonts w:hint="eastAsia" w:cs="Arial" w:asciiTheme="majorEastAsia" w:hAnsiTheme="majorEastAsia" w:eastAsiaTheme="majorEastAsia"/>
        </w:rPr>
        <w:t>投标</w:t>
      </w:r>
      <w:r>
        <w:rPr>
          <w:rFonts w:cs="Arial" w:asciiTheme="majorEastAsia" w:hAnsiTheme="majorEastAsia" w:eastAsiaTheme="majorEastAsia"/>
        </w:rPr>
        <w:t>文件的真实性、合法性承担法律责任。</w:t>
      </w:r>
      <w:r>
        <w:rPr>
          <w:rFonts w:hint="eastAsia" w:asciiTheme="majorEastAsia" w:hAnsiTheme="majorEastAsia" w:eastAsiaTheme="majorEastAsia"/>
        </w:rPr>
        <w:t>投标人必须无条件接受采购人或采购代理机构或者政府采购监督管理部门对其中任何资料进行核实的要求。</w:t>
      </w:r>
    </w:p>
    <w:p w14:paraId="20E9B7E1">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rPr>
        <w:t>19</w:t>
      </w:r>
      <w:r>
        <w:rPr>
          <w:rFonts w:hint="eastAsia" w:asciiTheme="majorEastAsia" w:hAnsiTheme="majorEastAsia" w:eastAsiaTheme="majorEastAsia"/>
          <w:szCs w:val="21"/>
        </w:rPr>
        <w:t>.2投标人应按照</w:t>
      </w:r>
      <w:r>
        <w:rPr>
          <w:rFonts w:hint="eastAsia" w:cs="Arial" w:asciiTheme="majorEastAsia" w:hAnsiTheme="majorEastAsia" w:eastAsiaTheme="majorEastAsia"/>
        </w:rPr>
        <w:t>《第六章  投标文件格式》</w:t>
      </w:r>
      <w:r>
        <w:rPr>
          <w:rFonts w:hint="eastAsia" w:asciiTheme="majorEastAsia" w:hAnsiTheme="majorEastAsia" w:eastAsiaTheme="majorEastAsia"/>
          <w:szCs w:val="21"/>
        </w:rPr>
        <w:t>的要求，完整地填写投标函、开标一览表，以及招标文件规定的其它内容，招标文件未提供文件格式的，由投标人自行拟定。</w:t>
      </w:r>
    </w:p>
    <w:p w14:paraId="413FF653">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rPr>
        <w:t>19</w:t>
      </w:r>
      <w:r>
        <w:rPr>
          <w:rFonts w:hint="eastAsia" w:asciiTheme="majorEastAsia" w:hAnsiTheme="majorEastAsia" w:eastAsiaTheme="majorEastAsia"/>
          <w:szCs w:val="21"/>
        </w:rPr>
        <w:t>.3因投标人的投标文件只填写和提供了招标文件要求的部分内容和附件，或没有提供招标文件所要求的资料及数据，由此造成的后果和责任由投标人承担。</w:t>
      </w:r>
    </w:p>
    <w:p w14:paraId="4DD9A1D9">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rPr>
        <w:t>19</w:t>
      </w:r>
      <w:r>
        <w:rPr>
          <w:rFonts w:hint="eastAsia" w:asciiTheme="majorEastAsia" w:hAnsiTheme="majorEastAsia" w:eastAsiaTheme="majorEastAsia"/>
          <w:szCs w:val="21"/>
        </w:rPr>
        <w:t>.4招标文件明确要求在投标文件中附（提交）证明材料而投标人未在投标文件中提供的不被认定为作出响应。</w:t>
      </w:r>
      <w:r>
        <w:rPr>
          <w:rFonts w:hint="eastAsia" w:asciiTheme="majorEastAsia" w:hAnsiTheme="majorEastAsia" w:eastAsiaTheme="majorEastAsia"/>
          <w:b/>
          <w:szCs w:val="21"/>
        </w:rPr>
        <w:t>提供的合同等证明材料应当是原始文件的复印件，否则因提供的证明材料缺少评审所需的关键或必要的信息导致不予认可的风险和责任由投标人承担。</w:t>
      </w:r>
    </w:p>
    <w:p w14:paraId="3122D78D">
      <w:pPr>
        <w:snapToGrid w:val="0"/>
        <w:spacing w:line="360" w:lineRule="auto"/>
        <w:ind w:firstLine="420" w:firstLineChars="200"/>
        <w:jc w:val="left"/>
        <w:rPr>
          <w:rFonts w:hint="eastAsia" w:asciiTheme="majorEastAsia" w:hAnsiTheme="majorEastAsia" w:eastAsiaTheme="majorEastAsia"/>
          <w:b/>
        </w:rPr>
      </w:pPr>
      <w:r>
        <w:rPr>
          <w:rFonts w:hint="eastAsia" w:asciiTheme="majorEastAsia" w:hAnsiTheme="majorEastAsia" w:eastAsiaTheme="majorEastAsia"/>
        </w:rPr>
        <w:t>19</w:t>
      </w:r>
      <w:r>
        <w:rPr>
          <w:rFonts w:hint="eastAsia" w:asciiTheme="majorEastAsia" w:hAnsiTheme="majorEastAsia" w:eastAsiaTheme="majorEastAsia"/>
          <w:b/>
        </w:rPr>
        <w:t>.5投标人应准确设置评审关联定位，避免未设置或设置错误导致投标文件被误读、漏读或者查找不到相关内容的。</w:t>
      </w:r>
    </w:p>
    <w:p w14:paraId="20B40E45">
      <w:pPr>
        <w:spacing w:line="360" w:lineRule="auto"/>
        <w:ind w:firstLine="422" w:firstLineChars="200"/>
        <w:rPr>
          <w:rFonts w:hint="eastAsia" w:asciiTheme="majorEastAsia" w:hAnsiTheme="majorEastAsia" w:eastAsiaTheme="majorEastAsia"/>
          <w:b/>
          <w:szCs w:val="21"/>
        </w:rPr>
      </w:pPr>
      <w:r>
        <w:rPr>
          <w:rFonts w:hint="eastAsia" w:asciiTheme="majorEastAsia" w:hAnsiTheme="majorEastAsia" w:eastAsiaTheme="majorEastAsia"/>
          <w:b/>
          <w:szCs w:val="21"/>
        </w:rPr>
        <w:t>20.投标文件的份数盖章</w:t>
      </w:r>
    </w:p>
    <w:p w14:paraId="369442EF">
      <w:pPr>
        <w:snapToGrid w:val="0"/>
        <w:spacing w:line="360" w:lineRule="auto"/>
        <w:ind w:firstLine="422" w:firstLineChars="200"/>
        <w:jc w:val="left"/>
        <w:rPr>
          <w:rFonts w:hint="eastAsia" w:asciiTheme="majorEastAsia" w:hAnsiTheme="majorEastAsia" w:eastAsiaTheme="majorEastAsia"/>
          <w:b/>
          <w:szCs w:val="21"/>
        </w:rPr>
      </w:pPr>
      <w:r>
        <w:rPr>
          <w:rFonts w:hint="eastAsia" w:asciiTheme="majorEastAsia" w:hAnsiTheme="majorEastAsia" w:eastAsiaTheme="majorEastAsia"/>
          <w:b/>
          <w:szCs w:val="21"/>
        </w:rPr>
        <w:t>20.1投标文件的份数</w:t>
      </w:r>
    </w:p>
    <w:p w14:paraId="70D8AACE">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投标文件的数量要求详见《投标人须知前附表》。</w:t>
      </w:r>
    </w:p>
    <w:p w14:paraId="431D94D3">
      <w:pPr>
        <w:snapToGrid w:val="0"/>
        <w:spacing w:line="360" w:lineRule="auto"/>
        <w:ind w:firstLine="422" w:firstLineChars="200"/>
        <w:jc w:val="left"/>
        <w:rPr>
          <w:rFonts w:hint="eastAsia" w:asciiTheme="majorEastAsia" w:hAnsiTheme="majorEastAsia" w:eastAsiaTheme="majorEastAsia"/>
          <w:b/>
          <w:szCs w:val="21"/>
        </w:rPr>
      </w:pPr>
      <w:r>
        <w:rPr>
          <w:rFonts w:hint="eastAsia" w:asciiTheme="majorEastAsia" w:hAnsiTheme="majorEastAsia" w:eastAsiaTheme="majorEastAsia"/>
          <w:b/>
          <w:szCs w:val="21"/>
        </w:rPr>
        <w:t>20.2投标文件的盖章</w:t>
      </w:r>
    </w:p>
    <w:p w14:paraId="60E34362">
      <w:pPr>
        <w:snapToGrid w:val="0"/>
        <w:spacing w:line="360" w:lineRule="auto"/>
        <w:ind w:firstLine="420" w:firstLineChars="200"/>
        <w:jc w:val="left"/>
        <w:rPr>
          <w:rFonts w:hint="eastAsia" w:asciiTheme="majorEastAsia" w:hAnsiTheme="majorEastAsia" w:eastAsiaTheme="majorEastAsia"/>
        </w:rPr>
      </w:pPr>
      <w:r>
        <w:rPr>
          <w:rFonts w:hint="eastAsia" w:asciiTheme="majorEastAsia" w:hAnsiTheme="majorEastAsia" w:eastAsiaTheme="majorEastAsia"/>
        </w:rPr>
        <w:t>1）招标文件明示或要求盖公章处应盖投标人公章，可使用电子公章在线签章或线下盖单位公章扫描后上传。</w:t>
      </w:r>
    </w:p>
    <w:p w14:paraId="099CF38D">
      <w:pPr>
        <w:snapToGrid w:val="0"/>
        <w:spacing w:line="360" w:lineRule="auto"/>
        <w:ind w:firstLine="420" w:firstLineChars="200"/>
        <w:jc w:val="left"/>
        <w:rPr>
          <w:rFonts w:hint="eastAsia" w:asciiTheme="majorEastAsia" w:hAnsiTheme="majorEastAsia" w:eastAsiaTheme="majorEastAsia"/>
          <w:b/>
        </w:rPr>
      </w:pPr>
      <w:r>
        <w:rPr>
          <w:rFonts w:hint="eastAsia" w:asciiTheme="majorEastAsia" w:hAnsiTheme="majorEastAsia" w:eastAsiaTheme="majorEastAsia"/>
        </w:rPr>
        <w:t>电子签章操作指南详见《政府采购项目电子交易管理操作指南-供应商》,</w:t>
      </w:r>
      <w:r>
        <w:rPr>
          <w:rFonts w:hint="eastAsia" w:asciiTheme="majorEastAsia" w:hAnsiTheme="majorEastAsia" w:eastAsiaTheme="majorEastAsia"/>
          <w:b/>
        </w:rPr>
        <w:t>系统要求进行电子签章的，按系统要求签章。</w:t>
      </w:r>
    </w:p>
    <w:p w14:paraId="65381FBE">
      <w:pPr>
        <w:snapToGrid w:val="0"/>
        <w:spacing w:line="360" w:lineRule="auto"/>
        <w:ind w:firstLine="420" w:firstLineChars="200"/>
        <w:jc w:val="left"/>
        <w:rPr>
          <w:rFonts w:hint="eastAsia" w:asciiTheme="majorEastAsia" w:hAnsiTheme="majorEastAsia" w:eastAsiaTheme="majorEastAsia"/>
        </w:rPr>
      </w:pPr>
      <w:r>
        <w:rPr>
          <w:rFonts w:hint="eastAsia" w:asciiTheme="majorEastAsia" w:hAnsiTheme="majorEastAsia" w:eastAsiaTheme="majorEastAsia"/>
        </w:rPr>
        <w:t>2）投标</w:t>
      </w:r>
      <w:r>
        <w:rPr>
          <w:rFonts w:asciiTheme="majorEastAsia" w:hAnsiTheme="majorEastAsia" w:eastAsiaTheme="majorEastAsia"/>
        </w:rPr>
        <w:t>文件若有错</w:t>
      </w:r>
      <w:r>
        <w:rPr>
          <w:rFonts w:hint="eastAsia" w:asciiTheme="majorEastAsia" w:hAnsiTheme="majorEastAsia" w:eastAsiaTheme="majorEastAsia"/>
        </w:rPr>
        <w:t>、</w:t>
      </w:r>
      <w:r>
        <w:rPr>
          <w:rFonts w:asciiTheme="majorEastAsia" w:hAnsiTheme="majorEastAsia" w:eastAsiaTheme="majorEastAsia"/>
        </w:rPr>
        <w:t>漏处</w:t>
      </w:r>
      <w:r>
        <w:rPr>
          <w:rFonts w:hint="eastAsia" w:asciiTheme="majorEastAsia" w:hAnsiTheme="majorEastAsia" w:eastAsiaTheme="majorEastAsia"/>
        </w:rPr>
        <w:t>等必须修改的，修改处必须</w:t>
      </w:r>
      <w:r>
        <w:rPr>
          <w:rFonts w:asciiTheme="majorEastAsia" w:hAnsiTheme="majorEastAsia" w:eastAsiaTheme="majorEastAsia"/>
        </w:rPr>
        <w:t>加盖</w:t>
      </w:r>
      <w:r>
        <w:rPr>
          <w:rFonts w:hint="eastAsia" w:asciiTheme="majorEastAsia" w:hAnsiTheme="majorEastAsia" w:eastAsiaTheme="majorEastAsia"/>
        </w:rPr>
        <w:t>投标人</w:t>
      </w:r>
      <w:r>
        <w:rPr>
          <w:rFonts w:asciiTheme="majorEastAsia" w:hAnsiTheme="majorEastAsia" w:eastAsiaTheme="majorEastAsia"/>
        </w:rPr>
        <w:t>公章</w:t>
      </w:r>
      <w:r>
        <w:rPr>
          <w:rFonts w:hint="eastAsia" w:asciiTheme="majorEastAsia" w:hAnsiTheme="majorEastAsia" w:eastAsiaTheme="majorEastAsia"/>
        </w:rPr>
        <w:t>，</w:t>
      </w:r>
      <w:r>
        <w:rPr>
          <w:rFonts w:hint="eastAsia" w:cs="宋体" w:asciiTheme="majorEastAsia" w:hAnsiTheme="majorEastAsia" w:eastAsiaTheme="majorEastAsia"/>
        </w:rPr>
        <w:t>否则评标委员会将不接受该修改内容</w:t>
      </w:r>
      <w:r>
        <w:rPr>
          <w:rFonts w:asciiTheme="majorEastAsia" w:hAnsiTheme="majorEastAsia" w:eastAsiaTheme="majorEastAsia"/>
        </w:rPr>
        <w:t>。</w:t>
      </w:r>
    </w:p>
    <w:p w14:paraId="3526ACB7">
      <w:pPr>
        <w:spacing w:line="360" w:lineRule="auto"/>
        <w:ind w:firstLine="420" w:firstLineChars="200"/>
        <w:rPr>
          <w:rFonts w:hint="eastAsia" w:asciiTheme="majorEastAsia" w:hAnsiTheme="majorEastAsia" w:eastAsiaTheme="majorEastAsia"/>
          <w:b/>
          <w:szCs w:val="21"/>
        </w:rPr>
      </w:pPr>
      <w:r>
        <w:rPr>
          <w:rFonts w:hint="eastAsia" w:asciiTheme="majorEastAsia" w:hAnsiTheme="majorEastAsia" w:eastAsiaTheme="majorEastAsia"/>
          <w:szCs w:val="21"/>
        </w:rPr>
        <w:t>▲</w:t>
      </w:r>
      <w:r>
        <w:rPr>
          <w:rFonts w:asciiTheme="majorEastAsia" w:hAnsiTheme="majorEastAsia" w:eastAsiaTheme="majorEastAsia"/>
          <w:b/>
          <w:szCs w:val="21"/>
        </w:rPr>
        <w:t>2</w:t>
      </w:r>
      <w:r>
        <w:rPr>
          <w:rFonts w:hint="eastAsia" w:asciiTheme="majorEastAsia" w:hAnsiTheme="majorEastAsia" w:eastAsiaTheme="majorEastAsia"/>
          <w:b/>
          <w:szCs w:val="21"/>
        </w:rPr>
        <w:t>1</w:t>
      </w:r>
      <w:r>
        <w:rPr>
          <w:rFonts w:asciiTheme="majorEastAsia" w:hAnsiTheme="majorEastAsia" w:eastAsiaTheme="majorEastAsia"/>
          <w:b/>
          <w:szCs w:val="21"/>
        </w:rPr>
        <w:t>.投标报价要求</w:t>
      </w:r>
    </w:p>
    <w:p w14:paraId="27BCC984">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21.1</w:t>
      </w:r>
      <w:r>
        <w:rPr>
          <w:rFonts w:hint="eastAsia" w:asciiTheme="majorEastAsia" w:hAnsiTheme="majorEastAsia" w:eastAsiaTheme="majorEastAsia"/>
          <w:b/>
          <w:szCs w:val="21"/>
        </w:rPr>
        <w:t>投标报价的组成</w:t>
      </w:r>
      <w:r>
        <w:rPr>
          <w:rFonts w:hint="eastAsia" w:asciiTheme="majorEastAsia" w:hAnsiTheme="majorEastAsia" w:eastAsiaTheme="majorEastAsia"/>
          <w:szCs w:val="21"/>
        </w:rPr>
        <w:t>：详见《投标人须知前附表》。</w:t>
      </w:r>
      <w:r>
        <w:rPr>
          <w:rFonts w:hint="eastAsia" w:asciiTheme="minorEastAsia" w:hAnsiTheme="minorEastAsia" w:eastAsiaTheme="minorEastAsia"/>
          <w:szCs w:val="21"/>
        </w:rPr>
        <w:t>最高限价为预算金额或等额美元，投标报价超过投标标项的最高限价的作无效投标处理。</w:t>
      </w:r>
    </w:p>
    <w:p w14:paraId="108B890D">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21.2所有投标或结算货币为人民币</w:t>
      </w:r>
      <w:r>
        <w:rPr>
          <w:rFonts w:hint="eastAsia" w:asciiTheme="minorEastAsia" w:hAnsiTheme="minorEastAsia" w:eastAsiaTheme="minorEastAsia"/>
          <w:szCs w:val="21"/>
        </w:rPr>
        <w:t>（进口设备需报出DAP美元价并据此结算）</w:t>
      </w:r>
      <w:r>
        <w:rPr>
          <w:rFonts w:hint="eastAsia" w:asciiTheme="majorEastAsia" w:hAnsiTheme="majorEastAsia" w:eastAsiaTheme="majorEastAsia"/>
          <w:szCs w:val="21"/>
        </w:rPr>
        <w:t>，针对具体报价项目</w:t>
      </w:r>
      <w:r>
        <w:rPr>
          <w:rFonts w:asciiTheme="majorEastAsia" w:hAnsiTheme="majorEastAsia" w:eastAsiaTheme="majorEastAsia"/>
          <w:szCs w:val="21"/>
        </w:rPr>
        <w:t>只允许有一个报价，</w:t>
      </w:r>
      <w:r>
        <w:rPr>
          <w:rFonts w:hint="eastAsia" w:asciiTheme="majorEastAsia" w:hAnsiTheme="majorEastAsia" w:eastAsiaTheme="majorEastAsia"/>
          <w:szCs w:val="21"/>
        </w:rPr>
        <w:t>不接受</w:t>
      </w:r>
      <w:r>
        <w:rPr>
          <w:rFonts w:asciiTheme="majorEastAsia" w:hAnsiTheme="majorEastAsia" w:eastAsiaTheme="majorEastAsia"/>
          <w:szCs w:val="21"/>
        </w:rPr>
        <w:t>有选择的</w:t>
      </w:r>
      <w:r>
        <w:rPr>
          <w:rFonts w:hint="eastAsia" w:asciiTheme="majorEastAsia" w:hAnsiTheme="majorEastAsia" w:eastAsiaTheme="majorEastAsia"/>
          <w:szCs w:val="21"/>
        </w:rPr>
        <w:t>或有附加条件的投标</w:t>
      </w:r>
      <w:r>
        <w:rPr>
          <w:rFonts w:asciiTheme="majorEastAsia" w:hAnsiTheme="majorEastAsia" w:eastAsiaTheme="majorEastAsia"/>
          <w:szCs w:val="21"/>
        </w:rPr>
        <w:t>报价。</w:t>
      </w:r>
      <w:r>
        <w:rPr>
          <w:rFonts w:hint="eastAsia" w:asciiTheme="minorEastAsia" w:hAnsiTheme="minorEastAsia" w:eastAsiaTheme="minorEastAsia"/>
          <w:szCs w:val="21"/>
        </w:rPr>
        <w:t>报价评审以人民币报价作为依据，根据招标文件规定的折算方式，人民币报价和DAP美元价不一致的，以人民币报价为准并修正DAP美元价。</w:t>
      </w:r>
    </w:p>
    <w:p w14:paraId="54155EC2">
      <w:pPr>
        <w:snapToGrid w:val="0"/>
        <w:spacing w:line="360" w:lineRule="auto"/>
        <w:ind w:firstLine="420" w:firstLineChars="200"/>
        <w:jc w:val="left"/>
        <w:rPr>
          <w:rFonts w:hint="eastAsia" w:asciiTheme="majorEastAsia" w:hAnsiTheme="majorEastAsia" w:eastAsiaTheme="majorEastAsia"/>
          <w:b/>
        </w:rPr>
      </w:pPr>
      <w:r>
        <w:rPr>
          <w:rFonts w:hint="eastAsia" w:asciiTheme="majorEastAsia" w:hAnsiTheme="majorEastAsia" w:eastAsiaTheme="majorEastAsia"/>
          <w:szCs w:val="21"/>
        </w:rPr>
        <w:t>21.3</w:t>
      </w:r>
      <w:r>
        <w:rPr>
          <w:rFonts w:hint="eastAsia" w:asciiTheme="majorEastAsia" w:hAnsiTheme="majorEastAsia" w:eastAsiaTheme="majorEastAsia"/>
          <w:b/>
        </w:rPr>
        <w:t>投标报价不允许为0元（即赠送），否则视同赠送，采购人不予接受，其投标将被拒绝，按照投标无效处理。</w:t>
      </w:r>
    </w:p>
    <w:p w14:paraId="52E12AAB">
      <w:pPr>
        <w:spacing w:line="360" w:lineRule="auto"/>
        <w:ind w:firstLine="422" w:firstLineChars="200"/>
        <w:rPr>
          <w:rFonts w:hint="eastAsia" w:asciiTheme="majorEastAsia" w:hAnsiTheme="majorEastAsia" w:eastAsiaTheme="majorEastAsia"/>
          <w:b/>
          <w:szCs w:val="21"/>
        </w:rPr>
      </w:pPr>
      <w:r>
        <w:rPr>
          <w:rFonts w:hint="eastAsia" w:asciiTheme="majorEastAsia" w:hAnsiTheme="majorEastAsia" w:eastAsiaTheme="majorEastAsia"/>
          <w:b/>
          <w:szCs w:val="21"/>
        </w:rPr>
        <w:t>22.投标有效期</w:t>
      </w:r>
    </w:p>
    <w:p w14:paraId="232EB512">
      <w:pPr>
        <w:pStyle w:val="25"/>
        <w:snapToGrid w:val="0"/>
        <w:spacing w:beforeLines="0" w:afterLines="0" w:line="360" w:lineRule="auto"/>
        <w:ind w:firstLine="480" w:firstLineChars="200"/>
        <w:jc w:val="left"/>
        <w:rPr>
          <w:rFonts w:hint="eastAsia" w:asciiTheme="majorEastAsia" w:hAnsiTheme="majorEastAsia" w:eastAsiaTheme="majorEastAsia"/>
          <w:sz w:val="21"/>
          <w:szCs w:val="21"/>
        </w:rPr>
      </w:pPr>
      <w:r>
        <w:rPr>
          <w:rFonts w:hint="eastAsia" w:asciiTheme="majorEastAsia" w:hAnsiTheme="majorEastAsia" w:eastAsiaTheme="majorEastAsia"/>
          <w:szCs w:val="21"/>
        </w:rPr>
        <w:t>▲</w:t>
      </w:r>
      <w:r>
        <w:rPr>
          <w:rFonts w:hint="eastAsia" w:asciiTheme="majorEastAsia" w:hAnsiTheme="majorEastAsia" w:eastAsiaTheme="majorEastAsia"/>
          <w:sz w:val="21"/>
          <w:szCs w:val="21"/>
        </w:rPr>
        <w:t>22.</w:t>
      </w:r>
      <w:r>
        <w:rPr>
          <w:rFonts w:asciiTheme="majorEastAsia" w:hAnsiTheme="majorEastAsia" w:eastAsiaTheme="majorEastAsia"/>
          <w:sz w:val="21"/>
          <w:szCs w:val="21"/>
        </w:rPr>
        <w:t>1</w:t>
      </w:r>
      <w:r>
        <w:rPr>
          <w:rFonts w:hint="eastAsia" w:asciiTheme="majorEastAsia" w:hAnsiTheme="majorEastAsia" w:eastAsiaTheme="majorEastAsia"/>
          <w:sz w:val="21"/>
          <w:szCs w:val="21"/>
        </w:rPr>
        <w:t>投标有效期：详见《投标人须知前附表》。</w:t>
      </w:r>
    </w:p>
    <w:p w14:paraId="51E529F0">
      <w:pPr>
        <w:pStyle w:val="25"/>
        <w:snapToGrid w:val="0"/>
        <w:spacing w:beforeLines="0" w:afterLines="0" w:line="360" w:lineRule="auto"/>
        <w:ind w:firstLine="420" w:firstLineChars="20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22.2特殊情况下，在原投标有效期截止之前，采购人或采购代理机构可要求投标人延长投标有效期。这种要求与答复均应以书面形式提交。投标人可拒绝采购人或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14:paraId="5F86B114">
      <w:pPr>
        <w:spacing w:line="360" w:lineRule="auto"/>
        <w:ind w:firstLine="422" w:firstLineChars="200"/>
        <w:jc w:val="center"/>
        <w:rPr>
          <w:rFonts w:hint="eastAsia" w:asciiTheme="majorEastAsia" w:hAnsiTheme="majorEastAsia" w:eastAsiaTheme="majorEastAsia"/>
          <w:b/>
          <w:szCs w:val="21"/>
        </w:rPr>
      </w:pPr>
      <w:r>
        <w:rPr>
          <w:rFonts w:hint="eastAsia" w:asciiTheme="majorEastAsia" w:hAnsiTheme="majorEastAsia" w:eastAsiaTheme="majorEastAsia"/>
          <w:b/>
          <w:szCs w:val="21"/>
        </w:rPr>
        <w:t>四、投标文件的提交</w:t>
      </w:r>
    </w:p>
    <w:p w14:paraId="4D4444C0">
      <w:pPr>
        <w:pStyle w:val="25"/>
        <w:snapToGrid w:val="0"/>
        <w:spacing w:beforeLines="0" w:afterLines="0" w:line="360" w:lineRule="auto"/>
        <w:ind w:firstLine="422" w:firstLineChars="200"/>
        <w:jc w:val="left"/>
        <w:rPr>
          <w:rFonts w:hint="eastAsia" w:cs="宋体" w:asciiTheme="majorEastAsia" w:hAnsiTheme="majorEastAsia" w:eastAsiaTheme="majorEastAsia"/>
          <w:b/>
          <w:sz w:val="21"/>
          <w:szCs w:val="21"/>
        </w:rPr>
      </w:pPr>
      <w:r>
        <w:rPr>
          <w:rFonts w:hint="eastAsia" w:cs="宋体" w:asciiTheme="majorEastAsia" w:hAnsiTheme="majorEastAsia" w:eastAsiaTheme="majorEastAsia"/>
          <w:b/>
          <w:sz w:val="21"/>
          <w:szCs w:val="21"/>
        </w:rPr>
        <w:t>23.电子加密投标文件的提交</w:t>
      </w:r>
    </w:p>
    <w:p w14:paraId="4F0E5696">
      <w:pPr>
        <w:pStyle w:val="25"/>
        <w:snapToGrid w:val="0"/>
        <w:spacing w:beforeLines="0" w:afterLines="0" w:line="360" w:lineRule="auto"/>
        <w:ind w:firstLine="420" w:firstLineChars="200"/>
        <w:jc w:val="left"/>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投标人应当在投标截止时间前将电子加密投标文件上传至“政府采购云平台”，成功上传后，投标人可自行打印投标文件接收回执。</w:t>
      </w:r>
    </w:p>
    <w:p w14:paraId="741C945A">
      <w:pPr>
        <w:pStyle w:val="25"/>
        <w:snapToGrid w:val="0"/>
        <w:spacing w:beforeLines="0" w:afterLines="0" w:line="360" w:lineRule="auto"/>
        <w:ind w:firstLine="422" w:firstLineChars="200"/>
        <w:jc w:val="left"/>
        <w:rPr>
          <w:rFonts w:hint="eastAsia" w:cs="宋体" w:asciiTheme="majorEastAsia" w:hAnsiTheme="majorEastAsia" w:eastAsiaTheme="majorEastAsia"/>
          <w:b/>
          <w:sz w:val="21"/>
          <w:szCs w:val="21"/>
        </w:rPr>
      </w:pPr>
      <w:r>
        <w:rPr>
          <w:rFonts w:hint="eastAsia" w:asciiTheme="majorEastAsia" w:hAnsiTheme="majorEastAsia" w:eastAsiaTheme="majorEastAsia"/>
          <w:b/>
          <w:sz w:val="21"/>
          <w:szCs w:val="21"/>
        </w:rPr>
        <w:t>24.</w:t>
      </w:r>
      <w:r>
        <w:rPr>
          <w:rFonts w:hint="eastAsia" w:cs="宋体" w:asciiTheme="majorEastAsia" w:hAnsiTheme="majorEastAsia" w:eastAsiaTheme="majorEastAsia"/>
          <w:b/>
          <w:sz w:val="21"/>
          <w:szCs w:val="21"/>
        </w:rPr>
        <w:t>备份投标文件的提交</w:t>
      </w:r>
    </w:p>
    <w:p w14:paraId="07743510">
      <w:pPr>
        <w:snapToGrid w:val="0"/>
        <w:spacing w:line="360" w:lineRule="auto"/>
        <w:ind w:firstLine="422" w:firstLineChars="200"/>
        <w:jc w:val="left"/>
        <w:rPr>
          <w:rFonts w:hint="eastAsia" w:asciiTheme="majorEastAsia" w:hAnsiTheme="majorEastAsia" w:eastAsiaTheme="majorEastAsia"/>
          <w:b/>
          <w:szCs w:val="21"/>
        </w:rPr>
      </w:pPr>
      <w:r>
        <w:rPr>
          <w:rFonts w:hint="eastAsia" w:asciiTheme="majorEastAsia" w:hAnsiTheme="majorEastAsia" w:eastAsiaTheme="majorEastAsia"/>
          <w:b/>
          <w:szCs w:val="21"/>
        </w:rPr>
        <w:t>投标人在“政府采购云平台”完成电子加密投标文件的上传后，还可以在投标截止时间前提交以U盘存储的备份投标文件，但采购人、采购机构不强制投标人提交备份投标文件。</w:t>
      </w:r>
    </w:p>
    <w:p w14:paraId="10245DBD">
      <w:pPr>
        <w:snapToGrid w:val="0"/>
        <w:spacing w:line="360" w:lineRule="auto"/>
        <w:ind w:firstLine="422" w:firstLineChars="200"/>
        <w:jc w:val="left"/>
        <w:rPr>
          <w:rFonts w:hint="eastAsia" w:asciiTheme="majorEastAsia" w:hAnsiTheme="majorEastAsia" w:eastAsiaTheme="majorEastAsia"/>
          <w:b/>
          <w:szCs w:val="21"/>
        </w:rPr>
      </w:pPr>
      <w:r>
        <w:rPr>
          <w:rFonts w:hint="eastAsia" w:asciiTheme="majorEastAsia" w:hAnsiTheme="majorEastAsia" w:eastAsiaTheme="majorEastAsia"/>
          <w:b/>
          <w:szCs w:val="21"/>
        </w:rPr>
        <w:t>采购人或采购代理机构拒绝接收未按要求密封、标注、盖章及投标截止时间后提交的备份投标文件。</w:t>
      </w:r>
    </w:p>
    <w:p w14:paraId="5E2CD49B">
      <w:pPr>
        <w:snapToGrid w:val="0"/>
        <w:spacing w:line="360" w:lineRule="auto"/>
        <w:ind w:firstLine="422" w:firstLineChars="200"/>
        <w:jc w:val="left"/>
        <w:rPr>
          <w:rFonts w:hint="eastAsia" w:asciiTheme="majorEastAsia" w:hAnsiTheme="majorEastAsia" w:eastAsiaTheme="majorEastAsia"/>
          <w:b/>
          <w:szCs w:val="21"/>
        </w:rPr>
      </w:pPr>
      <w:r>
        <w:rPr>
          <w:rFonts w:hint="eastAsia" w:asciiTheme="majorEastAsia" w:hAnsiTheme="majorEastAsia" w:eastAsiaTheme="majorEastAsia"/>
          <w:b/>
          <w:szCs w:val="21"/>
        </w:rPr>
        <w:t>24.1备份投标文件的密封</w:t>
      </w:r>
    </w:p>
    <w:p w14:paraId="78E519F1">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备份投标文件的载体必须密封包装。密封包装的封口处应保证严密，不足以造成备份投标文件载体从包装内漏出而导致备份投标文件内容泄密的，不被认定为未密封。</w:t>
      </w:r>
    </w:p>
    <w:p w14:paraId="08213860">
      <w:pPr>
        <w:snapToGrid w:val="0"/>
        <w:spacing w:line="360" w:lineRule="auto"/>
        <w:ind w:firstLine="422" w:firstLineChars="200"/>
        <w:jc w:val="left"/>
        <w:rPr>
          <w:rFonts w:hint="eastAsia" w:asciiTheme="majorEastAsia" w:hAnsiTheme="majorEastAsia" w:eastAsiaTheme="majorEastAsia"/>
          <w:b/>
          <w:szCs w:val="21"/>
        </w:rPr>
      </w:pPr>
      <w:r>
        <w:rPr>
          <w:rFonts w:hint="eastAsia" w:asciiTheme="majorEastAsia" w:hAnsiTheme="majorEastAsia" w:eastAsiaTheme="majorEastAsia"/>
          <w:b/>
          <w:szCs w:val="21"/>
        </w:rPr>
        <w:t>24.2备份投标文件密封包装的标注和盖章</w:t>
      </w:r>
    </w:p>
    <w:p w14:paraId="7D7C7E3B">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备份投标文件的密封包装应当进行标注及盖章，具体要求详见《投标人须知前附表》。</w:t>
      </w:r>
    </w:p>
    <w:p w14:paraId="2C03A8F4">
      <w:pPr>
        <w:spacing w:line="360" w:lineRule="auto"/>
        <w:ind w:firstLine="422" w:firstLineChars="200"/>
        <w:rPr>
          <w:rFonts w:hint="eastAsia" w:asciiTheme="majorEastAsia" w:hAnsiTheme="majorEastAsia" w:eastAsiaTheme="majorEastAsia"/>
          <w:b/>
          <w:szCs w:val="21"/>
        </w:rPr>
      </w:pPr>
      <w:r>
        <w:rPr>
          <w:rFonts w:hint="eastAsia" w:asciiTheme="majorEastAsia" w:hAnsiTheme="majorEastAsia" w:eastAsiaTheme="majorEastAsia"/>
          <w:b/>
          <w:szCs w:val="21"/>
        </w:rPr>
        <w:t>25.投标截止时间及地点</w:t>
      </w:r>
    </w:p>
    <w:p w14:paraId="23755483">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25.1投标人应当在招标文件要求提交投标文件的截止时间前，将投标文件送达投标地点（电子加密投标文件上传到“政府采购云平台”并成功），具体时间及地点详见《第一章  投标邀请》。</w:t>
      </w:r>
    </w:p>
    <w:p w14:paraId="6737DE15">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25.2采购人或采购代理机构可以按有关规定推迟投标截止时间。在此情况下采购人或采购代理机构和投标人受投标截止时间约束的所有权利和义务均应延长至新的投标截止时间。</w:t>
      </w:r>
    </w:p>
    <w:p w14:paraId="654FCA2E">
      <w:pPr>
        <w:snapToGrid w:val="0"/>
        <w:spacing w:line="360" w:lineRule="auto"/>
        <w:ind w:firstLine="422" w:firstLineChars="200"/>
        <w:jc w:val="left"/>
        <w:rPr>
          <w:rFonts w:hint="eastAsia" w:asciiTheme="majorEastAsia" w:hAnsiTheme="majorEastAsia" w:eastAsiaTheme="majorEastAsia"/>
          <w:szCs w:val="21"/>
        </w:rPr>
      </w:pPr>
      <w:r>
        <w:rPr>
          <w:rFonts w:hint="eastAsia" w:asciiTheme="majorEastAsia" w:hAnsiTheme="majorEastAsia" w:eastAsiaTheme="majorEastAsia"/>
          <w:b/>
          <w:szCs w:val="21"/>
        </w:rPr>
        <w:t>26.投标文件的修改和撤回</w:t>
      </w:r>
    </w:p>
    <w:p w14:paraId="410C3EE5">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26.1</w:t>
      </w:r>
      <w:r>
        <w:rPr>
          <w:rFonts w:asciiTheme="majorEastAsia" w:hAnsiTheme="majorEastAsia" w:eastAsiaTheme="majorEastAsia"/>
          <w:szCs w:val="21"/>
        </w:rPr>
        <w:t>投标人在投标截止时间前，可以对</w:t>
      </w:r>
      <w:r>
        <w:rPr>
          <w:rFonts w:hint="eastAsia" w:asciiTheme="majorEastAsia" w:hAnsiTheme="majorEastAsia" w:eastAsiaTheme="majorEastAsia"/>
          <w:szCs w:val="21"/>
        </w:rPr>
        <w:t>已经提交</w:t>
      </w:r>
      <w:r>
        <w:rPr>
          <w:rFonts w:asciiTheme="majorEastAsia" w:hAnsiTheme="majorEastAsia" w:eastAsiaTheme="majorEastAsia"/>
          <w:szCs w:val="21"/>
        </w:rPr>
        <w:t>的投标文件进行补充、修改或者撤回。</w:t>
      </w:r>
    </w:p>
    <w:p w14:paraId="0DD5BE85">
      <w:pPr>
        <w:snapToGrid w:val="0"/>
        <w:spacing w:line="360" w:lineRule="auto"/>
        <w:ind w:firstLine="420" w:firstLineChars="200"/>
        <w:jc w:val="left"/>
        <w:rPr>
          <w:rFonts w:hint="eastAsia" w:cs="Helvetica" w:asciiTheme="majorEastAsia" w:hAnsiTheme="majorEastAsia" w:eastAsiaTheme="majorEastAsia"/>
          <w:kern w:val="0"/>
          <w:szCs w:val="21"/>
        </w:rPr>
      </w:pPr>
      <w:r>
        <w:rPr>
          <w:rFonts w:hint="eastAsia" w:asciiTheme="majorEastAsia" w:hAnsiTheme="majorEastAsia" w:eastAsiaTheme="majorEastAsia"/>
          <w:szCs w:val="21"/>
        </w:rPr>
        <w:t>对已经完成传输递交的</w:t>
      </w:r>
      <w:r>
        <w:rPr>
          <w:rFonts w:hint="eastAsia" w:cs="宋体" w:asciiTheme="majorEastAsia" w:hAnsiTheme="majorEastAsia" w:eastAsiaTheme="majorEastAsia"/>
          <w:szCs w:val="21"/>
        </w:rPr>
        <w:t>电子加密投标文件进行</w:t>
      </w:r>
      <w:r>
        <w:rPr>
          <w:rFonts w:hint="eastAsia" w:cs="Helvetica" w:asciiTheme="majorEastAsia" w:hAnsiTheme="majorEastAsia" w:eastAsiaTheme="majorEastAsia"/>
          <w:kern w:val="0"/>
          <w:szCs w:val="21"/>
        </w:rPr>
        <w:t>补充或者修改的，应当先行撤回原文件，补充、修改后重新传输递交。投标人在投标截止时间前未重新完成传输递交的，视为撤回投标文件。投标截止时间后递交的电子加密投标文件，电子交易平台将拒收。</w:t>
      </w:r>
    </w:p>
    <w:p w14:paraId="5BFABA4C">
      <w:pPr>
        <w:snapToGrid w:val="0"/>
        <w:spacing w:line="360" w:lineRule="auto"/>
        <w:ind w:firstLine="420" w:firstLineChars="200"/>
        <w:jc w:val="left"/>
        <w:rPr>
          <w:rFonts w:hint="eastAsia" w:cs="Helvetica" w:asciiTheme="majorEastAsia" w:hAnsiTheme="majorEastAsia" w:eastAsiaTheme="majorEastAsia"/>
          <w:kern w:val="0"/>
          <w:szCs w:val="21"/>
        </w:rPr>
      </w:pPr>
      <w:r>
        <w:rPr>
          <w:rFonts w:hint="eastAsia" w:cs="Arial" w:asciiTheme="majorEastAsia" w:hAnsiTheme="majorEastAsia" w:eastAsiaTheme="majorEastAsia"/>
        </w:rPr>
        <w:t>投标人在投标截止时间前</w:t>
      </w:r>
      <w:r>
        <w:rPr>
          <w:rFonts w:cs="Arial" w:asciiTheme="majorEastAsia" w:hAnsiTheme="majorEastAsia" w:eastAsiaTheme="majorEastAsia"/>
        </w:rPr>
        <w:t>递交</w:t>
      </w:r>
      <w:r>
        <w:rPr>
          <w:rFonts w:hint="eastAsia" w:cs="Arial" w:asciiTheme="majorEastAsia" w:hAnsiTheme="majorEastAsia" w:eastAsiaTheme="majorEastAsia"/>
        </w:rPr>
        <w:t>了需要补充或修改的</w:t>
      </w:r>
      <w:r>
        <w:rPr>
          <w:rFonts w:hint="eastAsia" w:cs="宋体" w:asciiTheme="majorEastAsia" w:hAnsiTheme="majorEastAsia" w:eastAsiaTheme="majorEastAsia"/>
          <w:szCs w:val="21"/>
        </w:rPr>
        <w:t>电子加密投标文件的</w:t>
      </w:r>
      <w:r>
        <w:rPr>
          <w:rFonts w:cs="Arial" w:asciiTheme="majorEastAsia" w:hAnsiTheme="majorEastAsia" w:eastAsiaTheme="majorEastAsia"/>
        </w:rPr>
        <w:t>备份投标文件</w:t>
      </w:r>
      <w:r>
        <w:rPr>
          <w:rFonts w:hint="eastAsia" w:cs="Arial" w:asciiTheme="majorEastAsia" w:hAnsiTheme="majorEastAsia" w:eastAsiaTheme="majorEastAsia"/>
        </w:rPr>
        <w:t>，可以</w:t>
      </w:r>
      <w:r>
        <w:rPr>
          <w:rFonts w:cs="Arial" w:asciiTheme="majorEastAsia" w:hAnsiTheme="majorEastAsia" w:eastAsiaTheme="majorEastAsia"/>
        </w:rPr>
        <w:t>重新</w:t>
      </w:r>
      <w:r>
        <w:rPr>
          <w:rFonts w:hint="eastAsia" w:cs="Arial" w:asciiTheme="majorEastAsia" w:hAnsiTheme="majorEastAsia" w:eastAsiaTheme="majorEastAsia"/>
        </w:rPr>
        <w:t>提交补充或修改后的</w:t>
      </w:r>
      <w:r>
        <w:rPr>
          <w:rFonts w:cs="Arial" w:asciiTheme="majorEastAsia" w:hAnsiTheme="majorEastAsia" w:eastAsiaTheme="majorEastAsia"/>
        </w:rPr>
        <w:t>备份投标文件</w:t>
      </w:r>
      <w:r>
        <w:rPr>
          <w:rFonts w:hint="eastAsia" w:cs="Arial" w:asciiTheme="majorEastAsia" w:hAnsiTheme="majorEastAsia" w:eastAsiaTheme="majorEastAsia"/>
        </w:rPr>
        <w:t>。</w:t>
      </w:r>
    </w:p>
    <w:p w14:paraId="3CC9E87A">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26.2</w:t>
      </w:r>
      <w:r>
        <w:rPr>
          <w:rFonts w:asciiTheme="majorEastAsia" w:hAnsiTheme="majorEastAsia" w:eastAsiaTheme="majorEastAsia"/>
          <w:szCs w:val="21"/>
        </w:rPr>
        <w:t>投标截止时间后</w:t>
      </w:r>
      <w:r>
        <w:rPr>
          <w:rFonts w:hint="eastAsia" w:asciiTheme="majorEastAsia" w:hAnsiTheme="majorEastAsia" w:eastAsiaTheme="majorEastAsia"/>
          <w:szCs w:val="21"/>
        </w:rPr>
        <w:t>，投标人不得对其投标文件进行补充、修改</w:t>
      </w:r>
      <w:r>
        <w:rPr>
          <w:rFonts w:asciiTheme="majorEastAsia" w:hAnsiTheme="majorEastAsia" w:eastAsiaTheme="majorEastAsia"/>
          <w:szCs w:val="21"/>
        </w:rPr>
        <w:t>。</w:t>
      </w:r>
    </w:p>
    <w:p w14:paraId="28E85542">
      <w:pPr>
        <w:spacing w:line="360" w:lineRule="auto"/>
        <w:ind w:firstLine="422" w:firstLineChars="200"/>
        <w:jc w:val="center"/>
        <w:rPr>
          <w:rFonts w:hint="eastAsia" w:asciiTheme="majorEastAsia" w:hAnsiTheme="majorEastAsia" w:eastAsiaTheme="majorEastAsia"/>
          <w:b/>
          <w:szCs w:val="21"/>
        </w:rPr>
      </w:pPr>
      <w:r>
        <w:rPr>
          <w:rFonts w:hint="eastAsia" w:asciiTheme="majorEastAsia" w:hAnsiTheme="majorEastAsia" w:eastAsiaTheme="majorEastAsia"/>
          <w:b/>
          <w:szCs w:val="21"/>
        </w:rPr>
        <w:t>五、开标与评标</w:t>
      </w:r>
    </w:p>
    <w:p w14:paraId="741B7CA5">
      <w:pPr>
        <w:snapToGrid w:val="0"/>
        <w:spacing w:line="360" w:lineRule="auto"/>
        <w:ind w:firstLine="422" w:firstLineChars="200"/>
        <w:jc w:val="left"/>
        <w:rPr>
          <w:rFonts w:hint="eastAsia" w:asciiTheme="majorEastAsia" w:hAnsiTheme="majorEastAsia" w:eastAsiaTheme="majorEastAsia"/>
          <w:b/>
          <w:szCs w:val="21"/>
        </w:rPr>
      </w:pPr>
      <w:r>
        <w:rPr>
          <w:rFonts w:hint="eastAsia" w:asciiTheme="majorEastAsia" w:hAnsiTheme="majorEastAsia" w:eastAsiaTheme="majorEastAsia"/>
          <w:b/>
          <w:szCs w:val="21"/>
        </w:rPr>
        <w:t>27.开标</w:t>
      </w:r>
    </w:p>
    <w:p w14:paraId="5D89C492">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27.1采购代理机构按照招标文件规定的时间通过电子交易平台组织开标，所有投标人均应当准时在线参加</w:t>
      </w:r>
      <w:r>
        <w:rPr>
          <w:rFonts w:asciiTheme="majorEastAsia" w:hAnsiTheme="majorEastAsia" w:eastAsiaTheme="majorEastAsia"/>
          <w:szCs w:val="21"/>
        </w:rPr>
        <w:t>。</w:t>
      </w:r>
    </w:p>
    <w:p w14:paraId="0946EDFC">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投标截止后，投标人不足3家的不得开标。</w:t>
      </w:r>
    </w:p>
    <w:p w14:paraId="012480F7">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27.2投标文件（资格要求响应文件、商务技术文件和报价要求响应文件）的开启步骤：详见《投标人须知前附表》。</w:t>
      </w:r>
    </w:p>
    <w:p w14:paraId="707441D8">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27.3开标时，电子交易平台按开标时间自动提取所有电子加密投标文件。采购代理机构依托电子交易平台发起开始解密指令，投标人按照平台提示和招标文件的规定在30分钟内完成在线解密。</w:t>
      </w:r>
    </w:p>
    <w:p w14:paraId="370EEB90">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投标人如未在线参加开标的，视同认可开标结果，事后不得对开标结果提出异议。同时，投标人因未在线参加开标而导致电子加密投标文件无法按时解密等一切后果由投标人自己承担。</w:t>
      </w:r>
    </w:p>
    <w:p w14:paraId="526FCE80">
      <w:pPr>
        <w:snapToGrid w:val="0"/>
        <w:spacing w:line="360" w:lineRule="auto"/>
        <w:ind w:firstLine="420" w:firstLineChars="200"/>
        <w:jc w:val="left"/>
        <w:rPr>
          <w:rFonts w:hint="eastAsia" w:cs="Arial" w:asciiTheme="majorEastAsia" w:hAnsiTheme="majorEastAsia" w:eastAsiaTheme="majorEastAsia"/>
          <w:kern w:val="0"/>
          <w:szCs w:val="21"/>
        </w:rPr>
      </w:pPr>
      <w:r>
        <w:rPr>
          <w:rFonts w:hint="eastAsia" w:asciiTheme="majorEastAsia" w:hAnsiTheme="majorEastAsia" w:eastAsiaTheme="majorEastAsia"/>
          <w:szCs w:val="21"/>
        </w:rPr>
        <w:t>27.4</w:t>
      </w:r>
      <w:r>
        <w:rPr>
          <w:rFonts w:hint="eastAsia" w:asciiTheme="majorEastAsia" w:hAnsiTheme="majorEastAsia" w:eastAsiaTheme="majorEastAsia"/>
        </w:rPr>
        <w:t>发生投标人在规定时间内解密电子加密投标文件但解密失败的情形，如投标人已按招标文件规定提交了备份投标文件文件的，将由采购代理机构按“政府采购云平台”操作规范将备份投标文件上传至“政府采购云平台”异常端口处理，上传成功后，电子加密投标文件自动失效；</w:t>
      </w:r>
      <w:r>
        <w:rPr>
          <w:rFonts w:hint="eastAsia" w:asciiTheme="majorEastAsia" w:hAnsiTheme="majorEastAsia" w:eastAsiaTheme="majorEastAsia"/>
          <w:szCs w:val="21"/>
        </w:rPr>
        <w:t>投标人</w:t>
      </w:r>
      <w:r>
        <w:rPr>
          <w:rFonts w:hint="eastAsia" w:cs="Arial" w:asciiTheme="majorEastAsia" w:hAnsiTheme="majorEastAsia" w:eastAsiaTheme="majorEastAsia"/>
          <w:kern w:val="0"/>
          <w:szCs w:val="21"/>
        </w:rPr>
        <w:t>未按规定提交备份投标文件的</w:t>
      </w:r>
      <w:r>
        <w:rPr>
          <w:rFonts w:hint="eastAsia" w:asciiTheme="majorEastAsia" w:hAnsiTheme="majorEastAsia" w:eastAsiaTheme="majorEastAsia"/>
          <w:szCs w:val="21"/>
        </w:rPr>
        <w:t>，</w:t>
      </w:r>
      <w:r>
        <w:rPr>
          <w:rFonts w:hint="eastAsia" w:asciiTheme="majorEastAsia" w:hAnsiTheme="majorEastAsia" w:eastAsiaTheme="majorEastAsia"/>
          <w:b/>
          <w:szCs w:val="21"/>
        </w:rPr>
        <w:t>视为撤回投标文件</w:t>
      </w:r>
      <w:r>
        <w:rPr>
          <w:rFonts w:hint="eastAsia" w:asciiTheme="majorEastAsia" w:hAnsiTheme="majorEastAsia" w:eastAsiaTheme="majorEastAsia"/>
          <w:szCs w:val="21"/>
        </w:rPr>
        <w:t>。</w:t>
      </w:r>
    </w:p>
    <w:p w14:paraId="2651E084">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电子加密投标文件已按时解密的，备份投标文件自动失效。</w:t>
      </w:r>
    </w:p>
    <w:p w14:paraId="2E1EDD87">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27.5</w:t>
      </w:r>
      <w:r>
        <w:rPr>
          <w:rFonts w:asciiTheme="majorEastAsia" w:hAnsiTheme="majorEastAsia" w:eastAsiaTheme="majorEastAsia"/>
          <w:szCs w:val="21"/>
        </w:rPr>
        <w:t>开标过程由采购代理机构负责记录，由参加开标的投标人代表和相关工作人员签字确认后随采购文件一并存档。</w:t>
      </w:r>
    </w:p>
    <w:p w14:paraId="71255902">
      <w:pPr>
        <w:snapToGrid w:val="0"/>
        <w:spacing w:line="360" w:lineRule="auto"/>
        <w:ind w:firstLine="420" w:firstLineChars="200"/>
        <w:jc w:val="left"/>
        <w:rPr>
          <w:rFonts w:hint="eastAsia" w:asciiTheme="majorEastAsia" w:hAnsiTheme="majorEastAsia" w:eastAsiaTheme="majorEastAsia"/>
          <w:szCs w:val="21"/>
        </w:rPr>
      </w:pPr>
      <w:r>
        <w:rPr>
          <w:rFonts w:asciiTheme="majorEastAsia" w:hAnsiTheme="majorEastAsia" w:eastAsiaTheme="majorEastAsia"/>
          <w:szCs w:val="21"/>
        </w:rPr>
        <w:t>投标人代表对开标过程和开标记录有疑义，以及认为</w:t>
      </w:r>
      <w:r>
        <w:rPr>
          <w:rFonts w:hint="eastAsia" w:asciiTheme="majorEastAsia" w:hAnsiTheme="majorEastAsia" w:eastAsiaTheme="majorEastAsia"/>
          <w:szCs w:val="21"/>
        </w:rPr>
        <w:t>采购人或采购代理机构</w:t>
      </w:r>
      <w:r>
        <w:rPr>
          <w:rFonts w:asciiTheme="majorEastAsia" w:hAnsiTheme="majorEastAsia" w:eastAsiaTheme="majorEastAsia"/>
          <w:szCs w:val="21"/>
        </w:rPr>
        <w:t>相关工作人员有需要回避的情形的，应当场提出询问或者回避申请。</w:t>
      </w:r>
    </w:p>
    <w:p w14:paraId="40D4A12E">
      <w:pPr>
        <w:snapToGrid w:val="0"/>
        <w:spacing w:line="360" w:lineRule="auto"/>
        <w:ind w:firstLine="422" w:firstLineChars="200"/>
        <w:jc w:val="left"/>
        <w:rPr>
          <w:rFonts w:hint="eastAsia" w:asciiTheme="majorEastAsia" w:hAnsiTheme="majorEastAsia" w:eastAsiaTheme="majorEastAsia"/>
          <w:b/>
          <w:szCs w:val="21"/>
        </w:rPr>
      </w:pPr>
      <w:r>
        <w:rPr>
          <w:rFonts w:hint="eastAsia" w:asciiTheme="majorEastAsia" w:hAnsiTheme="majorEastAsia" w:eastAsiaTheme="majorEastAsia"/>
          <w:b/>
          <w:szCs w:val="21"/>
        </w:rPr>
        <w:t>28.评标</w:t>
      </w:r>
    </w:p>
    <w:p w14:paraId="38383A80">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28.1开标结束后，采购人或采购代理机构依法对投标人的资格进行审查。采购代理机构负责组织评标工作。</w:t>
      </w:r>
    </w:p>
    <w:p w14:paraId="602923B4">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28.2评标委员会负责具体评标事务。</w:t>
      </w:r>
    </w:p>
    <w:p w14:paraId="254B9D1D">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28.3评标委员会由采购人代表和评审专家组成，成员人数为5人以上单数，其中评审专家不得少于成员总数的三分之二。</w:t>
      </w:r>
    </w:p>
    <w:p w14:paraId="60D72A83">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评标委员会成员名单在评标结果公告前应当保密。评标委员会成员与供应商有下列利害关系之一的，应当回避：</w:t>
      </w:r>
    </w:p>
    <w:p w14:paraId="3986E0A5">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1）参加采购活动前3年内与供应商存在劳动关系；</w:t>
      </w:r>
    </w:p>
    <w:p w14:paraId="0664F9DA">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2）参加采购活动前3年内担任供应商的董事、监事；</w:t>
      </w:r>
    </w:p>
    <w:p w14:paraId="6AD1E6DA">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3）参加采购活动前3年内是供应商的控股股东或者实际控制人；</w:t>
      </w:r>
    </w:p>
    <w:p w14:paraId="11921E0D">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4）与供应商的法定代表人或者负责人有夫妻、直系血亲、三代以内旁系血亲或者近姻亲关系；</w:t>
      </w:r>
    </w:p>
    <w:p w14:paraId="2D979F15">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5）与供应商有其他可能影响政府采购活动公平、公正进行的关系。</w:t>
      </w:r>
    </w:p>
    <w:p w14:paraId="2CBEB19C">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28.4评标委员会应当对符合资格的投标人的投标文件进行符合性审查，以确定其是否满足招标文件的实质性要求。</w:t>
      </w:r>
    </w:p>
    <w:p w14:paraId="2AB0845E">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28.5对于投标文件中含义不明确、同类问题表述不一致或者有明显文字和计算错误的内容，评标委员会应当以书面形式要求投标人作出必要的澄清、说明或者补正。</w:t>
      </w:r>
    </w:p>
    <w:p w14:paraId="50D2C3B1">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投标人的澄清、说明或者补正应当采用书面形式，并加盖公章。投标人的澄清、说明或者补正不得超出投标文件的范围或者改变投标文件的实质性内容。</w:t>
      </w:r>
    </w:p>
    <w:p w14:paraId="40AA4A52">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上述书面方式为通过电子交易平台交换数据电文。给予投标人提交澄清、说明或补正的时间不少于30分钟，投标人已经明确表示澄清说明或补正完毕的除外。</w:t>
      </w:r>
    </w:p>
    <w:p w14:paraId="5FF210A4">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28.6评标委员会应当按照招标文件中规定的评标方法和标准，对符合性审查合格的投标文件进行商务和技术评估，综合比较与评价。</w:t>
      </w:r>
    </w:p>
    <w:p w14:paraId="64755026">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28.7本项目采用综合评分法，评分标准的设置详见《第四章  评标方法及评标标准》。</w:t>
      </w:r>
    </w:p>
    <w:p w14:paraId="0390A337">
      <w:pPr>
        <w:snapToGrid w:val="0"/>
        <w:spacing w:line="360" w:lineRule="auto"/>
        <w:ind w:firstLine="422" w:firstLineChars="200"/>
        <w:jc w:val="left"/>
        <w:rPr>
          <w:rFonts w:hint="eastAsia" w:asciiTheme="majorEastAsia" w:hAnsiTheme="majorEastAsia" w:eastAsiaTheme="majorEastAsia"/>
          <w:b/>
          <w:szCs w:val="21"/>
        </w:rPr>
      </w:pPr>
      <w:r>
        <w:rPr>
          <w:rFonts w:hint="eastAsia" w:asciiTheme="majorEastAsia" w:hAnsiTheme="majorEastAsia" w:eastAsiaTheme="majorEastAsia"/>
          <w:b/>
          <w:szCs w:val="21"/>
        </w:rPr>
        <w:t>评标结果按评审后得分由高到低顺序排列。得分相同的，按投标报价由低到高顺序排列。</w:t>
      </w:r>
    </w:p>
    <w:p w14:paraId="5ED22D8D">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28.8投标文件报价出现前后不一致的，按照下列规定修正：</w:t>
      </w:r>
    </w:p>
    <w:p w14:paraId="402A5962">
      <w:pPr>
        <w:snapToGrid w:val="0"/>
        <w:spacing w:line="360" w:lineRule="auto"/>
        <w:ind w:firstLine="420" w:firstLineChars="200"/>
        <w:jc w:val="left"/>
        <w:rPr>
          <w:rFonts w:hint="eastAsia" w:asciiTheme="majorEastAsia" w:hAnsiTheme="majorEastAsia" w:eastAsiaTheme="majorEastAsia"/>
        </w:rPr>
      </w:pPr>
      <w:r>
        <w:rPr>
          <w:rFonts w:hint="eastAsia" w:asciiTheme="majorEastAsia" w:hAnsiTheme="majorEastAsia" w:eastAsiaTheme="majorEastAsia"/>
        </w:rPr>
        <w:t>1）电子交易平台客户端里开标一览表录入的投标报价与报价要求响应文件中的开标一览表投标报价不一致的，以报价要求响应文件中的投标报价为准。</w:t>
      </w:r>
    </w:p>
    <w:p w14:paraId="33B3D24E">
      <w:pPr>
        <w:snapToGrid w:val="0"/>
        <w:spacing w:line="360" w:lineRule="auto"/>
        <w:ind w:firstLine="420" w:firstLineChars="200"/>
        <w:jc w:val="left"/>
        <w:rPr>
          <w:rFonts w:hint="eastAsia" w:asciiTheme="majorEastAsia" w:hAnsiTheme="majorEastAsia" w:eastAsiaTheme="majorEastAsia"/>
        </w:rPr>
      </w:pPr>
      <w:r>
        <w:rPr>
          <w:rFonts w:hint="eastAsia" w:asciiTheme="majorEastAsia" w:hAnsiTheme="majorEastAsia" w:eastAsiaTheme="majorEastAsia"/>
        </w:rPr>
        <w:t>2）投标文件中开标一览表（报价表）内容与投标文件中相应内容不一致的，以开标一览表（报价表）为准；</w:t>
      </w:r>
    </w:p>
    <w:p w14:paraId="1497BBAD">
      <w:pPr>
        <w:snapToGrid w:val="0"/>
        <w:spacing w:line="360" w:lineRule="auto"/>
        <w:ind w:firstLine="420" w:firstLineChars="200"/>
        <w:jc w:val="left"/>
        <w:rPr>
          <w:rFonts w:hint="eastAsia" w:asciiTheme="majorEastAsia" w:hAnsiTheme="majorEastAsia" w:eastAsiaTheme="majorEastAsia"/>
        </w:rPr>
      </w:pPr>
      <w:r>
        <w:rPr>
          <w:rFonts w:hint="eastAsia" w:asciiTheme="majorEastAsia" w:hAnsiTheme="majorEastAsia" w:eastAsiaTheme="majorEastAsia"/>
        </w:rPr>
        <w:t>3）大写金额和小写金额不一致的，以大写金额为准；</w:t>
      </w:r>
    </w:p>
    <w:p w14:paraId="1C079E50">
      <w:pPr>
        <w:snapToGrid w:val="0"/>
        <w:spacing w:line="360" w:lineRule="auto"/>
        <w:ind w:firstLine="420" w:firstLineChars="200"/>
        <w:jc w:val="left"/>
        <w:rPr>
          <w:rFonts w:hint="eastAsia" w:asciiTheme="majorEastAsia" w:hAnsiTheme="majorEastAsia" w:eastAsiaTheme="majorEastAsia"/>
        </w:rPr>
      </w:pPr>
      <w:r>
        <w:rPr>
          <w:rFonts w:hint="eastAsia" w:asciiTheme="majorEastAsia" w:hAnsiTheme="majorEastAsia" w:eastAsiaTheme="majorEastAsia"/>
        </w:rPr>
        <w:t>4）单价金额小数点或者百分比有明显错位的，以开标一览表的总价为准，并修改单价；</w:t>
      </w:r>
    </w:p>
    <w:p w14:paraId="6B511AF5">
      <w:pPr>
        <w:snapToGrid w:val="0"/>
        <w:spacing w:line="360" w:lineRule="auto"/>
        <w:ind w:firstLine="420" w:firstLineChars="200"/>
        <w:jc w:val="left"/>
        <w:rPr>
          <w:rFonts w:hint="eastAsia" w:asciiTheme="majorEastAsia" w:hAnsiTheme="majorEastAsia" w:eastAsiaTheme="majorEastAsia"/>
        </w:rPr>
      </w:pPr>
      <w:r>
        <w:rPr>
          <w:rFonts w:hint="eastAsia" w:asciiTheme="majorEastAsia" w:hAnsiTheme="majorEastAsia" w:eastAsiaTheme="majorEastAsia"/>
        </w:rPr>
        <w:t>5）总价金额与按单价汇总金额不一致的，以单价金额计算结果为准。</w:t>
      </w:r>
    </w:p>
    <w:p w14:paraId="2184162D">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同时出现两种以上不一致的，按照前款规定的顺序修正。修正后的报价由投标人确认，采用书面形式，并加盖公章。经投标人确认后产生约束力，投标人不确认的，其投标无效。</w:t>
      </w:r>
    </w:p>
    <w:p w14:paraId="635388D9">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28.9</w:t>
      </w:r>
      <w:r>
        <w:rPr>
          <w:rFonts w:asciiTheme="majorEastAsia" w:hAnsiTheme="majorEastAsia" w:eastAsiaTheme="major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6B5D822">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28.10</w:t>
      </w:r>
      <w:r>
        <w:rPr>
          <w:rFonts w:asciiTheme="majorEastAsia" w:hAnsiTheme="majorEastAsia" w:eastAsiaTheme="majorEastAsia"/>
          <w:szCs w:val="21"/>
        </w:rPr>
        <w:t>评标委员会成员对需要共同认定的事项存在争议的，应当按照少数服从多数的原则作出结论。持不同意见的评标委员会成员应当在评标报告上签署不同意见及理由，否则视为同意评标报告。</w:t>
      </w:r>
    </w:p>
    <w:p w14:paraId="59314806">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28.11投标人存在下列情况之一的，投标无效:</w:t>
      </w:r>
    </w:p>
    <w:p w14:paraId="52A4E672">
      <w:pPr>
        <w:snapToGrid w:val="0"/>
        <w:spacing w:line="360" w:lineRule="auto"/>
        <w:ind w:firstLine="420" w:firstLineChars="200"/>
        <w:jc w:val="left"/>
        <w:rPr>
          <w:rFonts w:hint="eastAsia" w:ascii="宋体" w:hAnsi="宋体"/>
          <w:szCs w:val="21"/>
        </w:rPr>
      </w:pPr>
      <w:r>
        <w:rPr>
          <w:rFonts w:hint="eastAsia" w:ascii="宋体" w:hAnsi="宋体"/>
          <w:szCs w:val="21"/>
        </w:rPr>
        <w:t>1）投标文件未按招标文件要求盖章的；</w:t>
      </w:r>
    </w:p>
    <w:p w14:paraId="1B297C35">
      <w:pPr>
        <w:snapToGrid w:val="0"/>
        <w:spacing w:line="360" w:lineRule="auto"/>
        <w:ind w:firstLine="420" w:firstLineChars="200"/>
        <w:jc w:val="left"/>
        <w:rPr>
          <w:rFonts w:hint="eastAsia" w:ascii="宋体" w:hAnsi="宋体"/>
          <w:szCs w:val="21"/>
        </w:rPr>
      </w:pPr>
      <w:r>
        <w:rPr>
          <w:rFonts w:hint="eastAsia" w:ascii="宋体" w:hAnsi="宋体"/>
          <w:szCs w:val="21"/>
        </w:rPr>
        <w:t>2）不具备招标文件中规定的资格要求的（包括未提交有效的符合招标文件要求的资格证明文件）；</w:t>
      </w:r>
    </w:p>
    <w:p w14:paraId="218EBA19">
      <w:pPr>
        <w:snapToGrid w:val="0"/>
        <w:spacing w:line="360" w:lineRule="auto"/>
        <w:ind w:firstLine="420" w:firstLineChars="200"/>
        <w:jc w:val="left"/>
        <w:rPr>
          <w:rFonts w:hint="eastAsia" w:ascii="宋体" w:hAnsi="宋体"/>
          <w:szCs w:val="21"/>
        </w:rPr>
      </w:pPr>
      <w:r>
        <w:rPr>
          <w:rFonts w:hint="eastAsia" w:ascii="宋体" w:hAnsi="宋体"/>
          <w:szCs w:val="21"/>
        </w:rPr>
        <w:t>3）未对招标文件的实质性条款作出响应的；</w:t>
      </w:r>
    </w:p>
    <w:p w14:paraId="7B861770">
      <w:pPr>
        <w:snapToGrid w:val="0"/>
        <w:spacing w:line="360" w:lineRule="auto"/>
        <w:ind w:firstLine="420" w:firstLineChars="200"/>
        <w:jc w:val="left"/>
        <w:rPr>
          <w:rFonts w:hint="eastAsia" w:ascii="宋体" w:hAnsi="宋体"/>
          <w:szCs w:val="21"/>
        </w:rPr>
      </w:pPr>
      <w:r>
        <w:rPr>
          <w:rFonts w:hint="eastAsia" w:ascii="宋体" w:hAnsi="宋体"/>
          <w:szCs w:val="21"/>
        </w:rPr>
        <w:t>4）报价超过招标文件中规定的预算金额或者最高限价的；</w:t>
      </w:r>
    </w:p>
    <w:p w14:paraId="623E1307">
      <w:pPr>
        <w:snapToGrid w:val="0"/>
        <w:spacing w:line="360" w:lineRule="auto"/>
        <w:ind w:firstLine="420" w:firstLineChars="200"/>
        <w:jc w:val="left"/>
        <w:rPr>
          <w:rFonts w:hint="eastAsia" w:ascii="宋体" w:hAnsi="宋体"/>
          <w:szCs w:val="21"/>
        </w:rPr>
      </w:pPr>
      <w:r>
        <w:rPr>
          <w:rFonts w:hint="eastAsia" w:ascii="宋体" w:hAnsi="宋体"/>
          <w:szCs w:val="21"/>
        </w:rPr>
        <w:t>5）投标文件含有采购人不能接受的附加条件的；</w:t>
      </w:r>
    </w:p>
    <w:p w14:paraId="026CF0C1">
      <w:pPr>
        <w:snapToGrid w:val="0"/>
        <w:spacing w:line="360" w:lineRule="auto"/>
        <w:ind w:firstLine="420" w:firstLineChars="200"/>
        <w:jc w:val="left"/>
        <w:rPr>
          <w:rFonts w:hint="eastAsia" w:ascii="宋体" w:hAnsi="宋体"/>
          <w:szCs w:val="21"/>
        </w:rPr>
      </w:pPr>
      <w:r>
        <w:rPr>
          <w:rFonts w:hint="eastAsia" w:ascii="宋体" w:hAnsi="宋体"/>
          <w:szCs w:val="21"/>
        </w:rPr>
        <w:t>6）采购人拟采购的产品属于政府强制采购的节能产品品目清单范围的，投标人未按招标文件要求提供国家确定的认证机构出具的、处于有效期之内的节能产品认证证书的；</w:t>
      </w:r>
    </w:p>
    <w:p w14:paraId="285CBD3C">
      <w:pPr>
        <w:snapToGrid w:val="0"/>
        <w:spacing w:line="360" w:lineRule="auto"/>
        <w:ind w:firstLine="420" w:firstLineChars="200"/>
        <w:jc w:val="left"/>
        <w:rPr>
          <w:rFonts w:hint="eastAsia" w:ascii="宋体" w:hAnsi="宋体"/>
          <w:szCs w:val="21"/>
        </w:rPr>
      </w:pPr>
      <w:r>
        <w:rPr>
          <w:rFonts w:hint="eastAsia" w:ascii="宋体" w:hAnsi="宋体"/>
          <w:szCs w:val="21"/>
        </w:rPr>
        <w:t>7）投标文件中含有虚假材料的；</w:t>
      </w:r>
    </w:p>
    <w:p w14:paraId="08D46538">
      <w:pPr>
        <w:snapToGrid w:val="0"/>
        <w:spacing w:line="360" w:lineRule="auto"/>
        <w:ind w:firstLine="420" w:firstLineChars="200"/>
        <w:jc w:val="left"/>
        <w:rPr>
          <w:rFonts w:hint="eastAsia" w:ascii="宋体" w:hAnsi="宋体"/>
          <w:szCs w:val="21"/>
        </w:rPr>
      </w:pPr>
      <w:r>
        <w:rPr>
          <w:rFonts w:hint="eastAsia" w:ascii="宋体" w:hAnsi="宋体"/>
          <w:szCs w:val="21"/>
        </w:rPr>
        <w:t>8）不同供应商的电子投标(文件传计算机的网卡MAC地址、CPU序列号和便盘序列号等响应)硬件信息相同的；</w:t>
      </w:r>
    </w:p>
    <w:p w14:paraId="573BC539">
      <w:pPr>
        <w:snapToGrid w:val="0"/>
        <w:spacing w:line="360" w:lineRule="auto"/>
        <w:ind w:firstLine="420" w:firstLineChars="200"/>
        <w:jc w:val="left"/>
        <w:rPr>
          <w:rFonts w:hint="eastAsia" w:ascii="宋体" w:hAnsi="宋体"/>
          <w:szCs w:val="21"/>
        </w:rPr>
      </w:pPr>
      <w:r>
        <w:rPr>
          <w:rFonts w:hint="eastAsia" w:ascii="宋体" w:hAnsi="宋体"/>
          <w:szCs w:val="21"/>
        </w:rPr>
        <w:t>9）上传的电子投标（响应）文件若出现使用本项目其他投标（响应）供应商的数字证书加密的，或者加盖本项目其他投标（响应）供应商的电子印章的；</w:t>
      </w:r>
    </w:p>
    <w:p w14:paraId="2B09F82C">
      <w:pPr>
        <w:snapToGrid w:val="0"/>
        <w:spacing w:line="360" w:lineRule="auto"/>
        <w:ind w:firstLine="420" w:firstLineChars="200"/>
        <w:jc w:val="left"/>
        <w:rPr>
          <w:rFonts w:hint="eastAsia" w:ascii="宋体" w:hAnsi="宋体"/>
          <w:szCs w:val="21"/>
        </w:rPr>
      </w:pPr>
      <w:r>
        <w:rPr>
          <w:rFonts w:hint="eastAsia" w:ascii="宋体" w:hAnsi="宋体"/>
          <w:szCs w:val="21"/>
        </w:rPr>
        <w:t>10）不同供应商的投标响应文件的内容存在三处(含)以上错误一致的；</w:t>
      </w:r>
    </w:p>
    <w:p w14:paraId="38826901">
      <w:pPr>
        <w:snapToGrid w:val="0"/>
        <w:spacing w:line="360" w:lineRule="auto"/>
        <w:ind w:firstLine="420" w:firstLineChars="200"/>
        <w:jc w:val="left"/>
        <w:rPr>
          <w:rFonts w:hint="eastAsia" w:ascii="宋体" w:hAnsi="宋体"/>
          <w:szCs w:val="21"/>
        </w:rPr>
      </w:pPr>
      <w:r>
        <w:rPr>
          <w:rFonts w:hint="eastAsia" w:ascii="宋体" w:hAnsi="宋体"/>
          <w:szCs w:val="21"/>
        </w:rPr>
        <w:t>11）不同供应商联系人为同一人或不同联系人的联系电话一致的；</w:t>
      </w:r>
    </w:p>
    <w:p w14:paraId="7E032DF7">
      <w:pPr>
        <w:snapToGrid w:val="0"/>
        <w:spacing w:line="360" w:lineRule="auto"/>
        <w:ind w:firstLine="420" w:firstLineChars="200"/>
        <w:jc w:val="left"/>
        <w:rPr>
          <w:rFonts w:hint="eastAsia" w:ascii="宋体" w:hAnsi="宋体"/>
          <w:szCs w:val="21"/>
        </w:rPr>
      </w:pPr>
      <w:r>
        <w:rPr>
          <w:rFonts w:hint="eastAsia" w:ascii="宋体" w:hAnsi="宋体"/>
          <w:szCs w:val="21"/>
        </w:rPr>
        <w:t>12）仅提交备份投标文件的；</w:t>
      </w:r>
    </w:p>
    <w:p w14:paraId="5B075E6E">
      <w:pPr>
        <w:snapToGrid w:val="0"/>
        <w:spacing w:line="360" w:lineRule="auto"/>
        <w:ind w:firstLine="420" w:firstLineChars="200"/>
        <w:jc w:val="left"/>
        <w:rPr>
          <w:rFonts w:hint="eastAsia" w:ascii="宋体" w:hAnsi="宋体"/>
          <w:szCs w:val="21"/>
        </w:rPr>
      </w:pPr>
      <w:r>
        <w:rPr>
          <w:rFonts w:hint="eastAsia" w:ascii="宋体" w:hAnsi="宋体"/>
          <w:szCs w:val="21"/>
        </w:rPr>
        <w:t>13）投标文件关键内容缺失导致评标活动无法正常进行的；</w:t>
      </w:r>
    </w:p>
    <w:p w14:paraId="44BE8BFC">
      <w:pPr>
        <w:snapToGrid w:val="0"/>
        <w:spacing w:line="360" w:lineRule="auto"/>
        <w:ind w:firstLine="420" w:firstLineChars="200"/>
        <w:jc w:val="left"/>
        <w:rPr>
          <w:rFonts w:hint="eastAsia" w:ascii="宋体" w:hAnsi="宋体"/>
          <w:szCs w:val="21"/>
        </w:rPr>
      </w:pPr>
      <w:r>
        <w:rPr>
          <w:rFonts w:hint="eastAsia" w:ascii="宋体" w:hAnsi="宋体"/>
          <w:szCs w:val="21"/>
        </w:rPr>
        <w:t>14）投标人违背诚实信用原则的；</w:t>
      </w:r>
    </w:p>
    <w:p w14:paraId="5D0D1D35">
      <w:pPr>
        <w:snapToGrid w:val="0"/>
        <w:spacing w:line="360" w:lineRule="auto"/>
        <w:ind w:firstLine="420" w:firstLineChars="200"/>
        <w:jc w:val="left"/>
        <w:rPr>
          <w:rFonts w:hint="eastAsia" w:ascii="宋体" w:hAnsi="宋体"/>
          <w:szCs w:val="21"/>
        </w:rPr>
      </w:pPr>
      <w:r>
        <w:rPr>
          <w:rFonts w:hint="eastAsia" w:ascii="宋体" w:hAnsi="宋体"/>
          <w:szCs w:val="21"/>
        </w:rPr>
        <w:t>15）法律、法规和招标文件规定的其他无效情形。</w:t>
      </w:r>
    </w:p>
    <w:p w14:paraId="5B267236">
      <w:pPr>
        <w:snapToGrid w:val="0"/>
        <w:spacing w:line="36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28.12有关人员对评标情况以及在评标过程中获悉的国家秘密、商业秘密负有保密责任。</w:t>
      </w:r>
    </w:p>
    <w:p w14:paraId="6CF87A66">
      <w:pPr>
        <w:pStyle w:val="25"/>
        <w:snapToGrid w:val="0"/>
        <w:spacing w:beforeLines="0" w:afterLines="0" w:line="360" w:lineRule="auto"/>
        <w:ind w:firstLine="422" w:firstLineChars="200"/>
        <w:rPr>
          <w:rFonts w:hint="eastAsia" w:asciiTheme="majorEastAsia" w:hAnsiTheme="majorEastAsia" w:eastAsiaTheme="majorEastAsia"/>
          <w:b/>
          <w:sz w:val="21"/>
          <w:szCs w:val="21"/>
        </w:rPr>
      </w:pPr>
      <w:r>
        <w:rPr>
          <w:rFonts w:hint="eastAsia" w:asciiTheme="majorEastAsia" w:hAnsiTheme="majorEastAsia" w:eastAsiaTheme="majorEastAsia"/>
          <w:b/>
          <w:sz w:val="21"/>
          <w:szCs w:val="21"/>
        </w:rPr>
        <w:t>29.废标的情形</w:t>
      </w:r>
    </w:p>
    <w:p w14:paraId="137C93C4">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在本项目招标采购中，出现下列情形之一的，应予废标：</w:t>
      </w:r>
    </w:p>
    <w:p w14:paraId="2D3D91A8">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1）符合资格要求的投标人或者对招标文件作实质响应的投标人不足三家的；</w:t>
      </w:r>
    </w:p>
    <w:p w14:paraId="2E09B080">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2）出现影响采购公正的违法、违规行为的；</w:t>
      </w:r>
    </w:p>
    <w:p w14:paraId="44C4E981">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3）投标人的报价均超过了采购预算，采购人不能支付的；</w:t>
      </w:r>
    </w:p>
    <w:p w14:paraId="513ECCE2">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4）因重大变故，采购任务取消的。</w:t>
      </w:r>
    </w:p>
    <w:p w14:paraId="7146DDD4">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5）电子交易平台无法正常运行，无法保证电子交易的公平、公正和安全的情况。</w:t>
      </w:r>
    </w:p>
    <w:p w14:paraId="46B90527">
      <w:pPr>
        <w:pStyle w:val="25"/>
        <w:snapToGrid w:val="0"/>
        <w:spacing w:beforeLines="0" w:afterLines="0" w:line="360" w:lineRule="auto"/>
        <w:ind w:firstLine="422" w:firstLineChars="200"/>
        <w:rPr>
          <w:rFonts w:hint="eastAsia" w:asciiTheme="majorEastAsia" w:hAnsiTheme="majorEastAsia" w:eastAsiaTheme="majorEastAsia"/>
          <w:b/>
          <w:sz w:val="21"/>
          <w:szCs w:val="21"/>
        </w:rPr>
      </w:pPr>
      <w:r>
        <w:rPr>
          <w:rFonts w:hint="eastAsia" w:asciiTheme="majorEastAsia" w:hAnsiTheme="majorEastAsia" w:eastAsiaTheme="majorEastAsia"/>
          <w:b/>
          <w:sz w:val="21"/>
          <w:szCs w:val="21"/>
        </w:rPr>
        <w:t>30.中止电子交易活动的情形</w:t>
      </w:r>
    </w:p>
    <w:p w14:paraId="43077BD0">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采购过程中出现以下情形，导致电子交易平台无法正常运行，或者无法保证电子交易的公平、公正和安全时，采购组织机构可中止电子交易活动：</w:t>
      </w:r>
    </w:p>
    <w:p w14:paraId="1125C1D1">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1）电子交易平台发生故障而无法登录访问的；</w:t>
      </w:r>
    </w:p>
    <w:p w14:paraId="70892DF0">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2）电子交易平台应用或数据库出现错误，不能进行正常操作的；</w:t>
      </w:r>
    </w:p>
    <w:p w14:paraId="59B4472C">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3）电子交易平台发现严重安全漏洞，有潜在泄密危险的；</w:t>
      </w:r>
    </w:p>
    <w:p w14:paraId="741B4DE7">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4）病毒发作导致不能进行正常操作的；</w:t>
      </w:r>
    </w:p>
    <w:p w14:paraId="56889ED6">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5）其他无法保证电子交易的公平、公正和安全的情况。</w:t>
      </w:r>
    </w:p>
    <w:p w14:paraId="524264C3">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14:paraId="582071B1">
      <w:pPr>
        <w:spacing w:line="360" w:lineRule="auto"/>
        <w:ind w:firstLine="422" w:firstLineChars="200"/>
        <w:jc w:val="center"/>
        <w:rPr>
          <w:rFonts w:hint="eastAsia" w:asciiTheme="majorEastAsia" w:hAnsiTheme="majorEastAsia" w:eastAsiaTheme="majorEastAsia"/>
          <w:b/>
          <w:szCs w:val="21"/>
        </w:rPr>
      </w:pPr>
      <w:r>
        <w:rPr>
          <w:rFonts w:hint="eastAsia" w:asciiTheme="majorEastAsia" w:hAnsiTheme="majorEastAsia" w:eastAsiaTheme="majorEastAsia"/>
          <w:b/>
          <w:szCs w:val="21"/>
        </w:rPr>
        <w:t>六、授予合同</w:t>
      </w:r>
    </w:p>
    <w:p w14:paraId="6FB67FDF">
      <w:pPr>
        <w:spacing w:line="360" w:lineRule="auto"/>
        <w:ind w:firstLine="422" w:firstLineChars="200"/>
        <w:rPr>
          <w:rFonts w:hint="eastAsia" w:asciiTheme="majorEastAsia" w:hAnsiTheme="majorEastAsia" w:eastAsiaTheme="majorEastAsia"/>
          <w:b/>
          <w:szCs w:val="21"/>
        </w:rPr>
      </w:pPr>
      <w:r>
        <w:rPr>
          <w:rFonts w:hint="eastAsia" w:asciiTheme="majorEastAsia" w:hAnsiTheme="majorEastAsia" w:eastAsiaTheme="majorEastAsia"/>
          <w:b/>
          <w:szCs w:val="21"/>
        </w:rPr>
        <w:t>31.中标人的确定</w:t>
      </w:r>
    </w:p>
    <w:p w14:paraId="47546F6B">
      <w:pPr>
        <w:spacing w:line="360" w:lineRule="auto"/>
        <w:ind w:firstLine="420" w:firstLineChars="200"/>
        <w:rPr>
          <w:rFonts w:hint="eastAsia" w:ascii="宋体" w:hAnsi="宋体"/>
          <w:szCs w:val="21"/>
        </w:rPr>
      </w:pPr>
      <w:r>
        <w:rPr>
          <w:rFonts w:hint="eastAsia" w:ascii="宋体" w:hAnsi="宋体"/>
          <w:szCs w:val="21"/>
        </w:rPr>
        <w:t>31.1</w:t>
      </w:r>
      <w:r>
        <w:rPr>
          <w:rFonts w:ascii="宋体" w:hAnsi="宋体"/>
          <w:szCs w:val="21"/>
        </w:rPr>
        <w:t>本项目</w:t>
      </w:r>
      <w:r>
        <w:rPr>
          <w:rFonts w:hint="eastAsia" w:ascii="宋体" w:hAnsi="宋体"/>
          <w:szCs w:val="21"/>
        </w:rPr>
        <w:t>采购人按评标报告推荐的中标候选人顺序确定排名第一的中标候选人为中标人。</w:t>
      </w:r>
    </w:p>
    <w:p w14:paraId="0D433ACF">
      <w:pPr>
        <w:spacing w:line="360" w:lineRule="auto"/>
        <w:rPr>
          <w:rFonts w:hint="eastAsia" w:ascii="宋体" w:hAnsi="宋体"/>
          <w:szCs w:val="21"/>
        </w:rPr>
      </w:pPr>
      <w:r>
        <w:rPr>
          <w:rFonts w:ascii="宋体" w:hAnsi="宋体"/>
          <w:szCs w:val="21"/>
        </w:rPr>
        <w:t>得分相同的，按投标报价由低到高顺序排列。</w:t>
      </w:r>
    </w:p>
    <w:p w14:paraId="6733CFFE">
      <w:pPr>
        <w:spacing w:line="360" w:lineRule="auto"/>
        <w:ind w:firstLine="420" w:firstLineChars="200"/>
        <w:rPr>
          <w:rFonts w:hint="eastAsia" w:asciiTheme="majorEastAsia" w:hAnsiTheme="majorEastAsia" w:eastAsiaTheme="majorEastAsia"/>
          <w:szCs w:val="21"/>
        </w:rPr>
      </w:pPr>
      <w:r>
        <w:rPr>
          <w:rFonts w:hint="eastAsia" w:ascii="宋体" w:hAnsi="宋体"/>
          <w:szCs w:val="21"/>
        </w:rPr>
        <w:t>31.2自中标人确定之日起2个工作日内，在省级以上财政部门指定的媒体上公告中标结果。在公告中标结果的同时，向中标人发出中标通知书。</w:t>
      </w:r>
    </w:p>
    <w:p w14:paraId="49BF3756">
      <w:pPr>
        <w:spacing w:line="360" w:lineRule="auto"/>
        <w:ind w:firstLine="422" w:firstLineChars="200"/>
        <w:rPr>
          <w:rFonts w:hint="eastAsia" w:asciiTheme="majorEastAsia" w:hAnsiTheme="majorEastAsia" w:eastAsiaTheme="majorEastAsia"/>
          <w:b/>
          <w:szCs w:val="21"/>
        </w:rPr>
      </w:pPr>
      <w:r>
        <w:rPr>
          <w:rFonts w:hint="eastAsia" w:asciiTheme="majorEastAsia" w:hAnsiTheme="majorEastAsia" w:eastAsiaTheme="majorEastAsia"/>
          <w:b/>
          <w:szCs w:val="21"/>
        </w:rPr>
        <w:t>32.签订合同</w:t>
      </w:r>
    </w:p>
    <w:p w14:paraId="47BAC5F1">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32.1采购人按照招标文件和中标人投标文件的规定，与中标人签订书面合同。所签订的合同不得对招标文件确定的事项和中标人投标文件作实质性修改。</w:t>
      </w:r>
    </w:p>
    <w:p w14:paraId="63489760">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32.2采购人和中标人可以按照招标文件提供的合同文本签订合同，也可以由双方商议后重新拟定，但正式签订的合同应当包括招标文件提供的合同文本中已经确定的实质性条款。</w:t>
      </w:r>
    </w:p>
    <w:p w14:paraId="72E41C22">
      <w:pPr>
        <w:pStyle w:val="41"/>
        <w:spacing w:line="360" w:lineRule="auto"/>
        <w:rPr>
          <w:rFonts w:hint="eastAsia" w:asciiTheme="majorEastAsia" w:hAnsiTheme="majorEastAsia" w:eastAsiaTheme="majorEastAsia"/>
          <w:sz w:val="32"/>
        </w:rPr>
      </w:pPr>
      <w:r>
        <w:rPr>
          <w:rFonts w:asciiTheme="majorEastAsia" w:hAnsiTheme="majorEastAsia" w:eastAsiaTheme="majorEastAsia"/>
          <w:sz w:val="21"/>
          <w:szCs w:val="21"/>
        </w:rPr>
        <w:br w:type="page"/>
      </w:r>
      <w:bookmarkStart w:id="35" w:name="_Toc34844744"/>
      <w:r>
        <w:rPr>
          <w:rFonts w:hint="eastAsia" w:asciiTheme="majorEastAsia" w:hAnsiTheme="majorEastAsia" w:eastAsiaTheme="majorEastAsia"/>
          <w:sz w:val="24"/>
        </w:rPr>
        <w:t xml:space="preserve">第四章  </w:t>
      </w:r>
      <w:r>
        <w:rPr>
          <w:rFonts w:asciiTheme="majorEastAsia" w:hAnsiTheme="majorEastAsia" w:eastAsiaTheme="majorEastAsia"/>
          <w:sz w:val="24"/>
        </w:rPr>
        <w:t>评标</w:t>
      </w:r>
      <w:r>
        <w:rPr>
          <w:rFonts w:hint="eastAsia" w:asciiTheme="majorEastAsia" w:hAnsiTheme="majorEastAsia" w:eastAsiaTheme="majorEastAsia"/>
          <w:sz w:val="24"/>
        </w:rPr>
        <w:t>方法</w:t>
      </w:r>
      <w:r>
        <w:rPr>
          <w:rFonts w:asciiTheme="majorEastAsia" w:hAnsiTheme="majorEastAsia" w:eastAsiaTheme="majorEastAsia"/>
          <w:sz w:val="24"/>
        </w:rPr>
        <w:t>及</w:t>
      </w:r>
      <w:r>
        <w:rPr>
          <w:rFonts w:hint="eastAsia" w:asciiTheme="majorEastAsia" w:hAnsiTheme="majorEastAsia" w:eastAsiaTheme="majorEastAsia"/>
          <w:sz w:val="24"/>
        </w:rPr>
        <w:t>评标</w:t>
      </w:r>
      <w:r>
        <w:rPr>
          <w:rFonts w:asciiTheme="majorEastAsia" w:hAnsiTheme="majorEastAsia" w:eastAsiaTheme="majorEastAsia"/>
          <w:sz w:val="24"/>
        </w:rPr>
        <w:t>标准</w:t>
      </w:r>
      <w:bookmarkEnd w:id="35"/>
    </w:p>
    <w:p w14:paraId="34183186">
      <w:pPr>
        <w:spacing w:line="360" w:lineRule="auto"/>
        <w:ind w:firstLine="422" w:firstLineChars="200"/>
        <w:rPr>
          <w:rFonts w:hint="eastAsia" w:asciiTheme="majorEastAsia" w:hAnsiTheme="majorEastAsia" w:eastAsiaTheme="majorEastAsia"/>
          <w:b/>
          <w:szCs w:val="21"/>
        </w:rPr>
      </w:pPr>
      <w:r>
        <w:rPr>
          <w:rFonts w:hint="eastAsia" w:asciiTheme="majorEastAsia" w:hAnsiTheme="majorEastAsia" w:eastAsiaTheme="majorEastAsia"/>
          <w:b/>
          <w:szCs w:val="21"/>
        </w:rPr>
        <w:t>一、总则</w:t>
      </w:r>
    </w:p>
    <w:p w14:paraId="1F30AE2F">
      <w:pPr>
        <w:spacing w:line="360" w:lineRule="auto"/>
        <w:ind w:firstLine="420" w:firstLineChars="200"/>
        <w:rPr>
          <w:rFonts w:hint="eastAsia" w:asciiTheme="majorEastAsia" w:hAnsiTheme="majorEastAsia" w:eastAsiaTheme="majorEastAsia"/>
          <w:szCs w:val="21"/>
        </w:rPr>
      </w:pPr>
      <w:r>
        <w:rPr>
          <w:rFonts w:asciiTheme="majorEastAsia" w:hAnsiTheme="majorEastAsia" w:eastAsiaTheme="majorEastAsia"/>
          <w:szCs w:val="21"/>
        </w:rPr>
        <w:t>遵循公开、公正、公平、择优和诚实信用的原则，评标人员应本着认真、公正、诚实、廉洁的精神进行评标工作，择优推荐中标候选人。</w:t>
      </w:r>
      <w:r>
        <w:rPr>
          <w:rFonts w:hint="eastAsia" w:asciiTheme="majorEastAsia" w:hAnsiTheme="majorEastAsia" w:eastAsiaTheme="majorEastAsia"/>
          <w:szCs w:val="21"/>
        </w:rPr>
        <w:t>评标委员会成员</w:t>
      </w:r>
      <w:r>
        <w:rPr>
          <w:rFonts w:asciiTheme="majorEastAsia" w:hAnsiTheme="majorEastAsia" w:eastAsiaTheme="majorEastAsia"/>
          <w:szCs w:val="21"/>
        </w:rPr>
        <w:t>必须严格遵守保密规定，不得泄露评标的有关情况。</w:t>
      </w:r>
    </w:p>
    <w:p w14:paraId="29970603">
      <w:pPr>
        <w:spacing w:line="360" w:lineRule="auto"/>
        <w:ind w:firstLine="422" w:firstLineChars="200"/>
        <w:rPr>
          <w:rFonts w:hint="eastAsia" w:asciiTheme="majorEastAsia" w:hAnsiTheme="majorEastAsia" w:eastAsiaTheme="majorEastAsia"/>
          <w:b/>
          <w:szCs w:val="21"/>
        </w:rPr>
      </w:pPr>
      <w:r>
        <w:rPr>
          <w:rFonts w:hint="eastAsia" w:asciiTheme="majorEastAsia" w:hAnsiTheme="majorEastAsia" w:eastAsiaTheme="majorEastAsia"/>
          <w:b/>
          <w:szCs w:val="21"/>
        </w:rPr>
        <w:t>二、评标方法</w:t>
      </w:r>
    </w:p>
    <w:p w14:paraId="21CE58C4">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评标时，评标委员会各成员独立对每个投标人的投标文件进行评价，根据评委打分表的</w:t>
      </w:r>
      <w:r>
        <w:rPr>
          <w:rFonts w:asciiTheme="majorEastAsia" w:hAnsiTheme="majorEastAsia" w:eastAsiaTheme="majorEastAsia"/>
          <w:szCs w:val="21"/>
        </w:rPr>
        <w:t>评分标准</w:t>
      </w:r>
      <w:r>
        <w:rPr>
          <w:rFonts w:hint="eastAsia" w:asciiTheme="majorEastAsia" w:hAnsiTheme="majorEastAsia" w:eastAsiaTheme="majorEastAsia"/>
          <w:szCs w:val="21"/>
        </w:rPr>
        <w:t>和评分</w:t>
      </w:r>
      <w:r>
        <w:rPr>
          <w:rFonts w:asciiTheme="majorEastAsia" w:hAnsiTheme="majorEastAsia" w:eastAsiaTheme="majorEastAsia"/>
          <w:szCs w:val="21"/>
        </w:rPr>
        <w:t>范围</w:t>
      </w:r>
      <w:r>
        <w:rPr>
          <w:rFonts w:hint="eastAsia" w:asciiTheme="majorEastAsia" w:hAnsiTheme="majorEastAsia" w:eastAsiaTheme="majorEastAsia"/>
          <w:szCs w:val="21"/>
        </w:rPr>
        <w:t>，逐栏打分并汇总。评分均为小数点后四舍五入保留一位小数。</w:t>
      </w:r>
      <w:r>
        <w:rPr>
          <w:rFonts w:asciiTheme="majorEastAsia" w:hAnsiTheme="majorEastAsia" w:eastAsiaTheme="majorEastAsia"/>
          <w:szCs w:val="21"/>
        </w:rPr>
        <w:t>各投标人的</w:t>
      </w:r>
      <w:r>
        <w:rPr>
          <w:rFonts w:hint="eastAsia" w:asciiTheme="majorEastAsia" w:hAnsiTheme="majorEastAsia" w:eastAsiaTheme="majorEastAsia"/>
          <w:szCs w:val="21"/>
        </w:rPr>
        <w:t>最终评标</w:t>
      </w:r>
      <w:r>
        <w:rPr>
          <w:rFonts w:asciiTheme="majorEastAsia" w:hAnsiTheme="majorEastAsia" w:eastAsiaTheme="majorEastAsia"/>
          <w:szCs w:val="21"/>
        </w:rPr>
        <w:t>得分为所有评委</w:t>
      </w:r>
      <w:r>
        <w:rPr>
          <w:rFonts w:hint="eastAsia" w:asciiTheme="majorEastAsia" w:hAnsiTheme="majorEastAsia" w:eastAsiaTheme="majorEastAsia"/>
          <w:szCs w:val="21"/>
        </w:rPr>
        <w:t>评</w:t>
      </w:r>
      <w:r>
        <w:rPr>
          <w:rFonts w:asciiTheme="majorEastAsia" w:hAnsiTheme="majorEastAsia" w:eastAsiaTheme="majorEastAsia"/>
          <w:szCs w:val="21"/>
        </w:rPr>
        <w:t>分的算术平均数</w:t>
      </w:r>
      <w:r>
        <w:rPr>
          <w:rFonts w:hint="eastAsia" w:asciiTheme="majorEastAsia" w:hAnsiTheme="majorEastAsia" w:eastAsiaTheme="majorEastAsia"/>
          <w:szCs w:val="21"/>
        </w:rPr>
        <w:t>，小数点后四舍五入保留二位小数。</w:t>
      </w:r>
    </w:p>
    <w:p w14:paraId="0430091C">
      <w:pPr>
        <w:spacing w:line="360" w:lineRule="auto"/>
        <w:ind w:firstLine="422" w:firstLineChars="200"/>
        <w:rPr>
          <w:rFonts w:hint="eastAsia" w:ascii="宋体" w:hAnsi="宋体"/>
          <w:b/>
          <w:szCs w:val="21"/>
        </w:rPr>
      </w:pPr>
      <w:r>
        <w:rPr>
          <w:rFonts w:hint="eastAsia" w:ascii="宋体" w:hAnsi="宋体"/>
          <w:b/>
          <w:szCs w:val="21"/>
        </w:rPr>
        <w:t>2.价格扣除（价格优惠）</w:t>
      </w:r>
    </w:p>
    <w:p w14:paraId="41DA2999">
      <w:pPr>
        <w:spacing w:line="360" w:lineRule="auto"/>
        <w:ind w:firstLine="420" w:firstLineChars="200"/>
        <w:rPr>
          <w:rFonts w:hint="eastAsia" w:ascii="宋体" w:hAnsi="宋体"/>
          <w:szCs w:val="21"/>
        </w:rPr>
      </w:pPr>
      <w:r>
        <w:rPr>
          <w:rFonts w:hint="eastAsia" w:ascii="宋体" w:hAnsi="宋体"/>
          <w:szCs w:val="21"/>
        </w:rPr>
        <w:t>（1）根据《政府采购促进中小企业发展管理办法》（财库〔</w:t>
      </w:r>
      <w:r>
        <w:rPr>
          <w:rFonts w:ascii="宋体" w:hAnsi="宋体"/>
          <w:szCs w:val="21"/>
        </w:rPr>
        <w:t>2020〕46号</w:t>
      </w:r>
      <w:r>
        <w:rPr>
          <w:rFonts w:hint="eastAsia" w:ascii="宋体" w:hAnsi="宋体"/>
          <w:szCs w:val="21"/>
        </w:rPr>
        <w:t>）、《</w:t>
      </w:r>
      <w:r>
        <w:rPr>
          <w:rFonts w:ascii="宋体" w:hAnsi="宋体"/>
          <w:szCs w:val="21"/>
        </w:rPr>
        <w:t>财政部</w:t>
      </w:r>
      <w:r>
        <w:rPr>
          <w:rFonts w:hint="eastAsia" w:ascii="宋体" w:hAnsi="宋体"/>
          <w:szCs w:val="21"/>
        </w:rPr>
        <w:t xml:space="preserve"> </w:t>
      </w:r>
      <w:r>
        <w:rPr>
          <w:rFonts w:ascii="宋体" w:hAnsi="宋体"/>
          <w:szCs w:val="21"/>
        </w:rPr>
        <w:t>司法部关于政府采购支持监狱企业发展有关问题的通知</w:t>
      </w:r>
      <w:r>
        <w:rPr>
          <w:rFonts w:hint="eastAsia" w:ascii="宋体" w:hAnsi="宋体"/>
          <w:szCs w:val="21"/>
        </w:rPr>
        <w:t>》（财库〔2014〕68号）和《三部门联合发布关于促进残疾人就业政府采购政策的通知》（财库〔2017〕141号）的规定，对满足价格扣除条件且在投标文件中提交了</w:t>
      </w:r>
      <w:r>
        <w:rPr>
          <w:rFonts w:ascii="宋体" w:hAnsi="宋体"/>
          <w:szCs w:val="21"/>
        </w:rPr>
        <w:t>《中小企业声明函》《残疾人福利性单位声明函》</w:t>
      </w:r>
      <w:r>
        <w:rPr>
          <w:rFonts w:hint="eastAsia" w:ascii="宋体" w:hAnsi="宋体"/>
          <w:szCs w:val="21"/>
        </w:rPr>
        <w:t>或省级以上监狱管理局、戒毒管理局（含新疆生产建设兵团）出具的属于监狱企业的证明文件的投标人，</w:t>
      </w:r>
      <w:r>
        <w:rPr>
          <w:rFonts w:ascii="宋体" w:hAnsi="宋体"/>
          <w:szCs w:val="21"/>
        </w:rPr>
        <w:t>对</w:t>
      </w:r>
      <w:r>
        <w:rPr>
          <w:rFonts w:hint="eastAsia" w:ascii="宋体" w:hAnsi="宋体"/>
          <w:szCs w:val="21"/>
        </w:rPr>
        <w:t>其投标报价给予</w:t>
      </w:r>
      <w:r>
        <w:rPr>
          <w:rFonts w:hint="eastAsia" w:ascii="宋体" w:hAnsi="宋体" w:cs="Arial"/>
          <w:szCs w:val="21"/>
          <w:u w:val="single"/>
        </w:rPr>
        <w:t xml:space="preserve"> 10 </w:t>
      </w:r>
      <w:r>
        <w:rPr>
          <w:rFonts w:hint="eastAsia" w:ascii="宋体" w:hAnsi="宋体" w:cs="Arial"/>
          <w:szCs w:val="21"/>
        </w:rPr>
        <w:t>%</w:t>
      </w:r>
      <w:r>
        <w:rPr>
          <w:rFonts w:ascii="宋体" w:hAnsi="宋体"/>
          <w:szCs w:val="21"/>
        </w:rPr>
        <w:t>的</w:t>
      </w:r>
      <w:r>
        <w:rPr>
          <w:rFonts w:hint="eastAsia" w:ascii="宋体" w:hAnsi="宋体"/>
          <w:szCs w:val="21"/>
        </w:rPr>
        <w:t>扣除。</w:t>
      </w:r>
    </w:p>
    <w:p w14:paraId="697AB5C9">
      <w:pPr>
        <w:spacing w:line="360" w:lineRule="auto"/>
        <w:ind w:firstLine="422" w:firstLineChars="200"/>
        <w:rPr>
          <w:rFonts w:hint="eastAsia" w:ascii="宋体" w:hAnsi="宋体"/>
          <w:b/>
        </w:rPr>
      </w:pPr>
      <w:r>
        <w:rPr>
          <w:rFonts w:hint="eastAsia" w:ascii="宋体" w:hAnsi="宋体"/>
          <w:b/>
        </w:rPr>
        <w:t>（2）符合</w:t>
      </w:r>
      <w:r>
        <w:rPr>
          <w:rFonts w:ascii="宋体" w:hAnsi="宋体"/>
          <w:b/>
        </w:rPr>
        <w:t>采购标的对应的中小企业划分标准所属行业</w:t>
      </w:r>
      <w:r>
        <w:rPr>
          <w:rFonts w:hint="eastAsia" w:ascii="宋体" w:hAnsi="宋体"/>
          <w:b/>
        </w:rPr>
        <w:t>：</w:t>
      </w:r>
    </w:p>
    <w:p w14:paraId="239CCCBE">
      <w:pPr>
        <w:spacing w:line="360" w:lineRule="auto"/>
        <w:ind w:firstLine="422" w:firstLineChars="200"/>
        <w:rPr>
          <w:rFonts w:hint="eastAsia" w:ascii="宋体" w:hAnsi="宋体"/>
          <w:b/>
        </w:rPr>
      </w:pPr>
      <w:r>
        <w:rPr>
          <w:rFonts w:hint="eastAsia" w:ascii="宋体" w:hAnsi="宋体"/>
          <w:b/>
          <w:u w:val="single"/>
        </w:rPr>
        <w:t>高压物性综合测试平台</w:t>
      </w:r>
      <w:r>
        <w:rPr>
          <w:rFonts w:ascii="宋体" w:hAnsi="宋体"/>
          <w:b/>
        </w:rPr>
        <w:t>，</w:t>
      </w:r>
      <w:r>
        <w:rPr>
          <w:rFonts w:ascii="宋体" w:hAnsi="宋体"/>
        </w:rPr>
        <w:t>属于</w:t>
      </w:r>
      <w:r>
        <w:rPr>
          <w:rFonts w:ascii="宋体" w:hAnsi="宋体"/>
          <w:b/>
          <w:u w:val="single"/>
        </w:rPr>
        <w:t>工业</w:t>
      </w:r>
      <w:r>
        <w:rPr>
          <w:rFonts w:hint="eastAsia" w:ascii="宋体" w:hAnsi="宋体"/>
          <w:b/>
        </w:rPr>
        <w:t>；</w:t>
      </w:r>
    </w:p>
    <w:p w14:paraId="51675E01">
      <w:pPr>
        <w:spacing w:line="360" w:lineRule="auto"/>
        <w:ind w:firstLine="420" w:firstLineChars="200"/>
        <w:rPr>
          <w:rFonts w:hint="eastAsia" w:asciiTheme="majorEastAsia" w:hAnsiTheme="majorEastAsia" w:eastAsiaTheme="majorEastAsia"/>
          <w:szCs w:val="21"/>
        </w:rPr>
      </w:pPr>
      <w:r>
        <w:rPr>
          <w:rFonts w:hint="eastAsia" w:ascii="宋体" w:hAnsi="宋体"/>
          <w:szCs w:val="21"/>
        </w:rPr>
        <w:t>中小企业划分标准以《租赁和商务服务业和信息化部、国家统计局、国家发展和改革委员会、财政部关于印发中小企业划型标准规定的通知》（工信部联企业[2011]300号）规定的划分标准为准。</w:t>
      </w:r>
    </w:p>
    <w:p w14:paraId="058E230F">
      <w:pPr>
        <w:spacing w:line="360" w:lineRule="auto"/>
        <w:ind w:firstLine="422" w:firstLineChars="200"/>
        <w:rPr>
          <w:rFonts w:hint="eastAsia" w:asciiTheme="majorEastAsia" w:hAnsiTheme="majorEastAsia" w:eastAsiaTheme="majorEastAsia"/>
          <w:b/>
          <w:szCs w:val="21"/>
        </w:rPr>
      </w:pPr>
      <w:r>
        <w:rPr>
          <w:rFonts w:hint="eastAsia" w:asciiTheme="majorEastAsia" w:hAnsiTheme="majorEastAsia" w:eastAsiaTheme="majorEastAsia"/>
          <w:b/>
          <w:szCs w:val="21"/>
        </w:rPr>
        <w:t>三、评审程序</w:t>
      </w:r>
    </w:p>
    <w:p w14:paraId="38E3AFFF">
      <w:pPr>
        <w:spacing w:line="360" w:lineRule="auto"/>
        <w:ind w:firstLine="435"/>
        <w:rPr>
          <w:rFonts w:hint="eastAsia" w:asciiTheme="majorEastAsia" w:hAnsiTheme="majorEastAsia" w:eastAsiaTheme="majorEastAsia"/>
          <w:b/>
          <w:szCs w:val="21"/>
        </w:rPr>
      </w:pPr>
      <w:r>
        <w:rPr>
          <w:rFonts w:hint="eastAsia" w:asciiTheme="majorEastAsia" w:hAnsiTheme="majorEastAsia" w:eastAsiaTheme="majorEastAsia"/>
          <w:b/>
          <w:szCs w:val="21"/>
        </w:rPr>
        <w:t>1.资格审查</w:t>
      </w:r>
    </w:p>
    <w:p w14:paraId="11E3904C">
      <w:pPr>
        <w:spacing w:line="360" w:lineRule="auto"/>
        <w:ind w:firstLine="435"/>
        <w:rPr>
          <w:rFonts w:hint="eastAsia" w:asciiTheme="majorEastAsia" w:hAnsiTheme="majorEastAsia" w:eastAsiaTheme="majorEastAsia"/>
          <w:szCs w:val="21"/>
        </w:rPr>
      </w:pPr>
      <w:r>
        <w:rPr>
          <w:rFonts w:asciiTheme="majorEastAsia" w:hAnsiTheme="majorEastAsia" w:eastAsiaTheme="majorEastAsia"/>
          <w:szCs w:val="21"/>
        </w:rPr>
        <w:t>由采购人或采购代理机构对</w:t>
      </w:r>
      <w:r>
        <w:rPr>
          <w:rFonts w:hint="eastAsia" w:asciiTheme="majorEastAsia" w:hAnsiTheme="majorEastAsia" w:eastAsiaTheme="majorEastAsia"/>
          <w:szCs w:val="21"/>
        </w:rPr>
        <w:t>投标人进行资格审查</w:t>
      </w:r>
      <w:r>
        <w:rPr>
          <w:rFonts w:asciiTheme="majorEastAsia" w:hAnsiTheme="majorEastAsia" w:eastAsiaTheme="majorEastAsia"/>
          <w:szCs w:val="21"/>
        </w:rPr>
        <w:t>。资格审查</w:t>
      </w:r>
      <w:r>
        <w:rPr>
          <w:rFonts w:hint="eastAsia" w:asciiTheme="majorEastAsia" w:hAnsiTheme="majorEastAsia" w:eastAsiaTheme="majorEastAsia"/>
          <w:szCs w:val="21"/>
        </w:rPr>
        <w:t>内容</w:t>
      </w:r>
      <w:r>
        <w:rPr>
          <w:rFonts w:asciiTheme="majorEastAsia" w:hAnsiTheme="majorEastAsia" w:eastAsiaTheme="majorEastAsia"/>
          <w:szCs w:val="21"/>
        </w:rPr>
        <w:t>如下：</w:t>
      </w:r>
    </w:p>
    <w:tbl>
      <w:tblPr>
        <w:tblStyle w:val="44"/>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4"/>
        <w:gridCol w:w="1843"/>
        <w:gridCol w:w="4479"/>
      </w:tblGrid>
      <w:tr w14:paraId="49D0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62237219">
            <w:pPr>
              <w:adjustRightInd w:val="0"/>
              <w:snapToGrid w:val="0"/>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序号</w:t>
            </w:r>
          </w:p>
        </w:tc>
        <w:tc>
          <w:tcPr>
            <w:tcW w:w="1844" w:type="dxa"/>
            <w:tcBorders>
              <w:bottom w:val="single" w:color="auto" w:sz="4" w:space="0"/>
            </w:tcBorders>
            <w:vAlign w:val="center"/>
          </w:tcPr>
          <w:p w14:paraId="04DD15A8">
            <w:pPr>
              <w:pStyle w:val="393"/>
              <w:pBdr>
                <w:bottom w:val="none" w:color="auto" w:sz="0" w:space="0"/>
              </w:pBdr>
              <w:tabs>
                <w:tab w:val="clear" w:pos="4153"/>
                <w:tab w:val="clear" w:pos="8306"/>
              </w:tabs>
              <w:snapToGrid w:val="0"/>
              <w:spacing w:line="240" w:lineRule="auto"/>
              <w:ind w:right="-10"/>
              <w:textAlignment w:val="auto"/>
              <w:rPr>
                <w:rFonts w:hint="eastAsia" w:asciiTheme="majorEastAsia" w:hAnsiTheme="majorEastAsia" w:eastAsiaTheme="majorEastAsia"/>
                <w:kern w:val="2"/>
                <w:sz w:val="21"/>
                <w:szCs w:val="21"/>
              </w:rPr>
            </w:pPr>
            <w:r>
              <w:rPr>
                <w:rFonts w:hint="eastAsia" w:asciiTheme="majorEastAsia" w:hAnsiTheme="majorEastAsia" w:eastAsiaTheme="majorEastAsia"/>
                <w:kern w:val="2"/>
                <w:sz w:val="21"/>
                <w:szCs w:val="21"/>
              </w:rPr>
              <w:t>评审指标</w:t>
            </w:r>
          </w:p>
        </w:tc>
        <w:tc>
          <w:tcPr>
            <w:tcW w:w="1843" w:type="dxa"/>
            <w:tcBorders>
              <w:bottom w:val="single" w:color="auto" w:sz="4" w:space="0"/>
            </w:tcBorders>
            <w:vAlign w:val="center"/>
          </w:tcPr>
          <w:p w14:paraId="30948913">
            <w:pPr>
              <w:adjustRightInd w:val="0"/>
              <w:snapToGrid w:val="0"/>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评审标准</w:t>
            </w:r>
          </w:p>
        </w:tc>
        <w:tc>
          <w:tcPr>
            <w:tcW w:w="4479" w:type="dxa"/>
            <w:tcBorders>
              <w:bottom w:val="single" w:color="auto" w:sz="4" w:space="0"/>
            </w:tcBorders>
            <w:vAlign w:val="center"/>
          </w:tcPr>
          <w:p w14:paraId="4D5B7CD6">
            <w:pPr>
              <w:adjustRightInd w:val="0"/>
              <w:snapToGrid w:val="0"/>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格式及材料要求</w:t>
            </w:r>
          </w:p>
        </w:tc>
      </w:tr>
      <w:tr w14:paraId="5A45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09" w:type="dxa"/>
            <w:tcBorders>
              <w:bottom w:val="single" w:color="auto" w:sz="4" w:space="0"/>
            </w:tcBorders>
            <w:vAlign w:val="center"/>
          </w:tcPr>
          <w:p w14:paraId="7182F79E">
            <w:pPr>
              <w:adjustRightInd w:val="0"/>
              <w:snapToGrid w:val="0"/>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1</w:t>
            </w:r>
          </w:p>
        </w:tc>
        <w:tc>
          <w:tcPr>
            <w:tcW w:w="1844" w:type="dxa"/>
            <w:tcBorders>
              <w:bottom w:val="single" w:color="auto" w:sz="4" w:space="0"/>
            </w:tcBorders>
            <w:vAlign w:val="center"/>
          </w:tcPr>
          <w:p w14:paraId="48625019">
            <w:pPr>
              <w:ind w:right="-10"/>
              <w:jc w:val="left"/>
              <w:rPr>
                <w:rFonts w:hint="eastAsia" w:asciiTheme="majorEastAsia" w:hAnsiTheme="majorEastAsia" w:eastAsiaTheme="majorEastAsia"/>
                <w:szCs w:val="21"/>
              </w:rPr>
            </w:pPr>
            <w:r>
              <w:rPr>
                <w:rFonts w:hint="eastAsia" w:asciiTheme="majorEastAsia" w:hAnsiTheme="majorEastAsia" w:eastAsiaTheme="majorEastAsia"/>
                <w:szCs w:val="21"/>
              </w:rPr>
              <w:t>营业执照</w:t>
            </w:r>
          </w:p>
        </w:tc>
        <w:tc>
          <w:tcPr>
            <w:tcW w:w="1843" w:type="dxa"/>
            <w:tcBorders>
              <w:bottom w:val="single" w:color="auto" w:sz="4" w:space="0"/>
            </w:tcBorders>
            <w:vAlign w:val="center"/>
          </w:tcPr>
          <w:p w14:paraId="7EA7B7E7">
            <w:pPr>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合法有效</w:t>
            </w:r>
          </w:p>
        </w:tc>
        <w:tc>
          <w:tcPr>
            <w:tcW w:w="4479" w:type="dxa"/>
            <w:vMerge w:val="restart"/>
            <w:vAlign w:val="center"/>
          </w:tcPr>
          <w:p w14:paraId="03471D8C">
            <w:pPr>
              <w:jc w:val="left"/>
              <w:rPr>
                <w:rFonts w:hint="eastAsia" w:asciiTheme="majorEastAsia" w:hAnsiTheme="majorEastAsia" w:eastAsiaTheme="majorEastAsia"/>
                <w:szCs w:val="21"/>
              </w:rPr>
            </w:pPr>
            <w:r>
              <w:rPr>
                <w:rFonts w:hint="eastAsia" w:asciiTheme="majorEastAsia" w:hAnsiTheme="majorEastAsia" w:eastAsiaTheme="majorEastAsia"/>
                <w:szCs w:val="21"/>
              </w:rPr>
              <w:t>提供有效的投标人营业执照（或事业单位法人登记证书）、税务登记证的扫描件，应完整的体现出营业执照（或事业单位法人登记证书）和税务登记证的全部内容。已办理“多证合一”登记的，投标文件中提供营业执照（或事业单位法人登记证书）复制件（包括拍照、复印、扫描等）即可。产品制造商或其国内总代理出具的唯一投标授权函（进口产品提供，格式自拟）。</w:t>
            </w:r>
          </w:p>
        </w:tc>
      </w:tr>
      <w:tr w14:paraId="6661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29945082">
            <w:pPr>
              <w:adjustRightInd w:val="0"/>
              <w:snapToGrid w:val="0"/>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2</w:t>
            </w:r>
          </w:p>
        </w:tc>
        <w:tc>
          <w:tcPr>
            <w:tcW w:w="1844" w:type="dxa"/>
            <w:tcBorders>
              <w:bottom w:val="single" w:color="auto" w:sz="4" w:space="0"/>
            </w:tcBorders>
            <w:vAlign w:val="center"/>
          </w:tcPr>
          <w:p w14:paraId="39E157F4">
            <w:pPr>
              <w:ind w:right="-10"/>
              <w:jc w:val="left"/>
              <w:rPr>
                <w:rFonts w:hint="eastAsia" w:asciiTheme="majorEastAsia" w:hAnsiTheme="majorEastAsia" w:eastAsiaTheme="majorEastAsia"/>
                <w:szCs w:val="21"/>
              </w:rPr>
            </w:pPr>
            <w:r>
              <w:rPr>
                <w:rFonts w:hint="eastAsia" w:asciiTheme="majorEastAsia" w:hAnsiTheme="majorEastAsia" w:eastAsiaTheme="majorEastAsia"/>
                <w:szCs w:val="21"/>
              </w:rPr>
              <w:t>税务登记证</w:t>
            </w:r>
          </w:p>
        </w:tc>
        <w:tc>
          <w:tcPr>
            <w:tcW w:w="1843" w:type="dxa"/>
            <w:tcBorders>
              <w:bottom w:val="single" w:color="auto" w:sz="4" w:space="0"/>
            </w:tcBorders>
            <w:vAlign w:val="center"/>
          </w:tcPr>
          <w:p w14:paraId="14F8057C">
            <w:pPr>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合法有效</w:t>
            </w:r>
          </w:p>
        </w:tc>
        <w:tc>
          <w:tcPr>
            <w:tcW w:w="4479" w:type="dxa"/>
            <w:vMerge w:val="continue"/>
            <w:vAlign w:val="center"/>
          </w:tcPr>
          <w:p w14:paraId="09F7115C">
            <w:pPr>
              <w:adjustRightInd w:val="0"/>
              <w:snapToGrid w:val="0"/>
              <w:ind w:right="-10"/>
              <w:jc w:val="left"/>
              <w:rPr>
                <w:rFonts w:hint="eastAsia" w:asciiTheme="majorEastAsia" w:hAnsiTheme="majorEastAsia" w:eastAsiaTheme="majorEastAsia"/>
                <w:szCs w:val="21"/>
              </w:rPr>
            </w:pPr>
          </w:p>
        </w:tc>
      </w:tr>
      <w:tr w14:paraId="0C7F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4BAE6F01">
            <w:pPr>
              <w:adjustRightInd w:val="0"/>
              <w:snapToGrid w:val="0"/>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3</w:t>
            </w:r>
          </w:p>
        </w:tc>
        <w:tc>
          <w:tcPr>
            <w:tcW w:w="1844" w:type="dxa"/>
            <w:tcBorders>
              <w:bottom w:val="single" w:color="auto" w:sz="4" w:space="0"/>
            </w:tcBorders>
            <w:vAlign w:val="center"/>
          </w:tcPr>
          <w:p w14:paraId="7DE5451D">
            <w:pPr>
              <w:ind w:right="-10"/>
              <w:jc w:val="left"/>
              <w:rPr>
                <w:rFonts w:hint="eastAsia" w:asciiTheme="majorEastAsia" w:hAnsiTheme="majorEastAsia" w:eastAsiaTheme="majorEastAsia"/>
                <w:szCs w:val="21"/>
              </w:rPr>
            </w:pPr>
            <w:r>
              <w:rPr>
                <w:rFonts w:hint="eastAsia" w:asciiTheme="majorEastAsia" w:hAnsiTheme="majorEastAsia" w:eastAsiaTheme="majorEastAsia"/>
                <w:szCs w:val="21"/>
              </w:rPr>
              <w:t>产品制造商或其国内总代理出具的唯一投标授权函（进口产品提供，格式自拟）。</w:t>
            </w:r>
          </w:p>
        </w:tc>
        <w:tc>
          <w:tcPr>
            <w:tcW w:w="1843" w:type="dxa"/>
            <w:tcBorders>
              <w:bottom w:val="single" w:color="auto" w:sz="4" w:space="0"/>
            </w:tcBorders>
            <w:vAlign w:val="center"/>
          </w:tcPr>
          <w:p w14:paraId="5F995BE0">
            <w:pPr>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合法有效</w:t>
            </w:r>
          </w:p>
        </w:tc>
        <w:tc>
          <w:tcPr>
            <w:tcW w:w="4479" w:type="dxa"/>
            <w:vMerge w:val="continue"/>
            <w:vAlign w:val="center"/>
          </w:tcPr>
          <w:p w14:paraId="19668169">
            <w:pPr>
              <w:adjustRightInd w:val="0"/>
              <w:snapToGrid w:val="0"/>
              <w:ind w:right="-10"/>
              <w:jc w:val="left"/>
              <w:rPr>
                <w:rFonts w:hint="eastAsia" w:asciiTheme="majorEastAsia" w:hAnsiTheme="majorEastAsia" w:eastAsiaTheme="majorEastAsia"/>
                <w:szCs w:val="21"/>
              </w:rPr>
            </w:pPr>
          </w:p>
        </w:tc>
      </w:tr>
      <w:tr w14:paraId="647F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0BF5D291">
            <w:pPr>
              <w:adjustRightInd w:val="0"/>
              <w:snapToGrid w:val="0"/>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4</w:t>
            </w:r>
          </w:p>
        </w:tc>
        <w:tc>
          <w:tcPr>
            <w:tcW w:w="1844" w:type="dxa"/>
            <w:tcBorders>
              <w:bottom w:val="single" w:color="auto" w:sz="4" w:space="0"/>
            </w:tcBorders>
            <w:vAlign w:val="center"/>
          </w:tcPr>
          <w:p w14:paraId="709BAA23">
            <w:pPr>
              <w:ind w:right="-107"/>
              <w:jc w:val="left"/>
              <w:rPr>
                <w:rFonts w:hint="eastAsia" w:asciiTheme="majorEastAsia" w:hAnsiTheme="majorEastAsia" w:eastAsiaTheme="majorEastAsia"/>
                <w:szCs w:val="21"/>
              </w:rPr>
            </w:pPr>
            <w:r>
              <w:rPr>
                <w:rFonts w:hint="eastAsia" w:asciiTheme="majorEastAsia" w:hAnsiTheme="majorEastAsia" w:eastAsiaTheme="majorEastAsia"/>
                <w:szCs w:val="21"/>
              </w:rPr>
              <w:t>不良信用记录查询</w:t>
            </w:r>
          </w:p>
        </w:tc>
        <w:tc>
          <w:tcPr>
            <w:tcW w:w="1843" w:type="dxa"/>
            <w:tcBorders>
              <w:bottom w:val="single" w:color="auto" w:sz="4" w:space="0"/>
            </w:tcBorders>
            <w:vAlign w:val="center"/>
          </w:tcPr>
          <w:p w14:paraId="1EDAFA07">
            <w:pPr>
              <w:ind w:right="-107"/>
              <w:jc w:val="left"/>
              <w:rPr>
                <w:rFonts w:hint="eastAsia" w:asciiTheme="majorEastAsia" w:hAnsiTheme="majorEastAsia" w:eastAsiaTheme="majorEastAsia"/>
                <w:szCs w:val="21"/>
              </w:rPr>
            </w:pPr>
            <w:r>
              <w:rPr>
                <w:rFonts w:hint="eastAsia" w:asciiTheme="majorEastAsia" w:hAnsiTheme="majorEastAsia" w:eastAsiaTheme="majorEastAsia"/>
                <w:szCs w:val="21"/>
              </w:rPr>
              <w:t>投标人不得存在不良信用记录情形</w:t>
            </w:r>
          </w:p>
        </w:tc>
        <w:tc>
          <w:tcPr>
            <w:tcW w:w="4479" w:type="dxa"/>
            <w:tcBorders>
              <w:bottom w:val="single" w:color="auto" w:sz="4" w:space="0"/>
            </w:tcBorders>
            <w:vAlign w:val="center"/>
          </w:tcPr>
          <w:p w14:paraId="51B69504">
            <w:pPr>
              <w:jc w:val="left"/>
              <w:rPr>
                <w:rFonts w:hint="eastAsia" w:asciiTheme="majorEastAsia" w:hAnsiTheme="majorEastAsia" w:eastAsiaTheme="majorEastAsia"/>
                <w:szCs w:val="21"/>
              </w:rPr>
            </w:pPr>
            <w:r>
              <w:rPr>
                <w:rFonts w:hint="eastAsia" w:asciiTheme="majorEastAsia" w:hAnsiTheme="majorEastAsia" w:eastAsiaTheme="majorEastAsia"/>
                <w:szCs w:val="21"/>
              </w:rPr>
              <w:t>详见投标人须知正文第9条要求，无需提供材料</w:t>
            </w:r>
          </w:p>
        </w:tc>
      </w:tr>
      <w:tr w14:paraId="1122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14:paraId="0DB66F6E">
            <w:pPr>
              <w:adjustRightInd w:val="0"/>
              <w:snapToGrid w:val="0"/>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5</w:t>
            </w:r>
          </w:p>
        </w:tc>
        <w:tc>
          <w:tcPr>
            <w:tcW w:w="1844" w:type="dxa"/>
            <w:vAlign w:val="center"/>
          </w:tcPr>
          <w:p w14:paraId="2ADD85CF">
            <w:pPr>
              <w:ind w:right="-10"/>
              <w:jc w:val="left"/>
              <w:rPr>
                <w:rFonts w:hint="eastAsia" w:asciiTheme="majorEastAsia" w:hAnsiTheme="majorEastAsia" w:eastAsiaTheme="majorEastAsia"/>
                <w:szCs w:val="21"/>
              </w:rPr>
            </w:pPr>
            <w:r>
              <w:rPr>
                <w:rFonts w:hint="eastAsia" w:asciiTheme="majorEastAsia" w:hAnsiTheme="majorEastAsia" w:eastAsiaTheme="majorEastAsia"/>
                <w:szCs w:val="21"/>
              </w:rPr>
              <w:t>无重大违法记录</w:t>
            </w:r>
          </w:p>
        </w:tc>
        <w:tc>
          <w:tcPr>
            <w:tcW w:w="1843" w:type="dxa"/>
            <w:vAlign w:val="center"/>
          </w:tcPr>
          <w:p w14:paraId="0F632E8B">
            <w:pPr>
              <w:ind w:right="-107"/>
              <w:jc w:val="left"/>
              <w:rPr>
                <w:rFonts w:hint="eastAsia" w:asciiTheme="majorEastAsia" w:hAnsiTheme="majorEastAsia" w:eastAsiaTheme="majorEastAsia"/>
                <w:szCs w:val="21"/>
              </w:rPr>
            </w:pPr>
            <w:r>
              <w:rPr>
                <w:rFonts w:hint="eastAsia" w:asciiTheme="majorEastAsia" w:hAnsiTheme="majorEastAsia" w:eastAsiaTheme="majorEastAsia"/>
                <w:szCs w:val="21"/>
              </w:rPr>
              <w:t>格式、填写符合招标文件要求并加盖公章</w:t>
            </w:r>
          </w:p>
        </w:tc>
        <w:tc>
          <w:tcPr>
            <w:tcW w:w="4479" w:type="dxa"/>
            <w:vAlign w:val="center"/>
          </w:tcPr>
          <w:p w14:paraId="6AFD43E4">
            <w:pPr>
              <w:adjustRightInd w:val="0"/>
              <w:snapToGrid w:val="0"/>
              <w:ind w:right="-10"/>
              <w:jc w:val="left"/>
              <w:rPr>
                <w:rFonts w:hint="eastAsia" w:asciiTheme="majorEastAsia" w:hAnsiTheme="majorEastAsia" w:eastAsiaTheme="majorEastAsia"/>
                <w:szCs w:val="21"/>
              </w:rPr>
            </w:pPr>
            <w:r>
              <w:rPr>
                <w:rFonts w:hint="eastAsia" w:asciiTheme="majorEastAsia" w:hAnsiTheme="majorEastAsia" w:eastAsiaTheme="majorEastAsia"/>
                <w:szCs w:val="21"/>
              </w:rPr>
              <w:t>提供投标人资格声明函</w:t>
            </w:r>
          </w:p>
        </w:tc>
      </w:tr>
    </w:tbl>
    <w:p w14:paraId="6EECB7D0">
      <w:pPr>
        <w:spacing w:line="360" w:lineRule="auto"/>
        <w:ind w:firstLine="437"/>
        <w:rPr>
          <w:rFonts w:hint="eastAsia" w:asciiTheme="majorEastAsia" w:hAnsiTheme="majorEastAsia" w:eastAsiaTheme="majorEastAsia"/>
          <w:szCs w:val="21"/>
        </w:rPr>
      </w:pPr>
      <w:r>
        <w:rPr>
          <w:rFonts w:hint="eastAsia" w:asciiTheme="majorEastAsia" w:hAnsiTheme="majorEastAsia" w:eastAsiaTheme="majorEastAsia"/>
          <w:b/>
          <w:bCs/>
          <w:szCs w:val="21"/>
        </w:rPr>
        <w:t>资格审查指标通过标准：</w:t>
      </w:r>
      <w:r>
        <w:rPr>
          <w:rFonts w:hint="eastAsia" w:asciiTheme="majorEastAsia" w:hAnsiTheme="majorEastAsia" w:eastAsiaTheme="majorEastAsia"/>
          <w:szCs w:val="21"/>
        </w:rPr>
        <w:t>投标人必须通过资格审查表中的全部评审指标。</w:t>
      </w:r>
    </w:p>
    <w:p w14:paraId="0A54995B">
      <w:pPr>
        <w:spacing w:line="360" w:lineRule="auto"/>
        <w:ind w:firstLine="435"/>
        <w:rPr>
          <w:rFonts w:hint="eastAsia" w:asciiTheme="majorEastAsia" w:hAnsiTheme="majorEastAsia" w:eastAsiaTheme="majorEastAsia"/>
          <w:b/>
          <w:szCs w:val="21"/>
        </w:rPr>
      </w:pPr>
      <w:r>
        <w:rPr>
          <w:rFonts w:hint="eastAsia" w:asciiTheme="majorEastAsia" w:hAnsiTheme="majorEastAsia" w:eastAsiaTheme="majorEastAsia"/>
          <w:b/>
          <w:szCs w:val="21"/>
        </w:rPr>
        <w:t>2.符合性审查</w:t>
      </w:r>
    </w:p>
    <w:p w14:paraId="6A8BF606">
      <w:pPr>
        <w:spacing w:line="360" w:lineRule="auto"/>
        <w:ind w:firstLine="437"/>
        <w:rPr>
          <w:rFonts w:hint="eastAsia" w:asciiTheme="majorEastAsia" w:hAnsiTheme="majorEastAsia" w:eastAsiaTheme="majorEastAsia"/>
          <w:szCs w:val="21"/>
        </w:rPr>
      </w:pPr>
      <w:r>
        <w:rPr>
          <w:rFonts w:hint="eastAsia" w:asciiTheme="majorEastAsia" w:hAnsiTheme="majorEastAsia" w:eastAsiaTheme="majorEastAsia"/>
          <w:szCs w:val="21"/>
        </w:rPr>
        <w:t>评标委员会对通过资格审查的投标人的投标文件进行符合性审查，以确定其是否满足招标文件的实质性要求。符合性</w:t>
      </w:r>
      <w:r>
        <w:rPr>
          <w:rFonts w:asciiTheme="majorEastAsia" w:hAnsiTheme="majorEastAsia" w:eastAsiaTheme="majorEastAsia"/>
          <w:szCs w:val="21"/>
        </w:rPr>
        <w:t>审查</w:t>
      </w:r>
      <w:r>
        <w:rPr>
          <w:rFonts w:hint="eastAsia" w:asciiTheme="majorEastAsia" w:hAnsiTheme="majorEastAsia" w:eastAsiaTheme="majorEastAsia"/>
          <w:szCs w:val="21"/>
        </w:rPr>
        <w:t>内容</w:t>
      </w:r>
      <w:r>
        <w:rPr>
          <w:rFonts w:asciiTheme="majorEastAsia" w:hAnsiTheme="majorEastAsia" w:eastAsiaTheme="majorEastAsia"/>
          <w:szCs w:val="21"/>
        </w:rPr>
        <w:t>如下</w:t>
      </w:r>
      <w:r>
        <w:rPr>
          <w:rFonts w:hint="eastAsia" w:asciiTheme="majorEastAsia" w:hAnsiTheme="majorEastAsia" w:eastAsiaTheme="majorEastAsia"/>
          <w:szCs w:val="21"/>
        </w:rPr>
        <w:t>：</w:t>
      </w:r>
    </w:p>
    <w:tbl>
      <w:tblPr>
        <w:tblStyle w:val="44"/>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75"/>
        <w:gridCol w:w="3624"/>
        <w:gridCol w:w="2556"/>
      </w:tblGrid>
      <w:tr w14:paraId="39E8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14:paraId="166A2657">
            <w:pPr>
              <w:adjustRightInd w:val="0"/>
              <w:snapToGrid w:val="0"/>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序号</w:t>
            </w:r>
          </w:p>
        </w:tc>
        <w:tc>
          <w:tcPr>
            <w:tcW w:w="1975" w:type="dxa"/>
            <w:tcBorders>
              <w:bottom w:val="single" w:color="auto" w:sz="4" w:space="0"/>
            </w:tcBorders>
            <w:vAlign w:val="center"/>
          </w:tcPr>
          <w:p w14:paraId="014D8923">
            <w:pPr>
              <w:pStyle w:val="393"/>
              <w:pBdr>
                <w:bottom w:val="none" w:color="auto" w:sz="0" w:space="0"/>
              </w:pBdr>
              <w:tabs>
                <w:tab w:val="clear" w:pos="4153"/>
                <w:tab w:val="clear" w:pos="8306"/>
              </w:tabs>
              <w:snapToGrid w:val="0"/>
              <w:spacing w:line="240" w:lineRule="auto"/>
              <w:ind w:right="-10"/>
              <w:textAlignment w:val="auto"/>
              <w:rPr>
                <w:rFonts w:hint="eastAsia" w:asciiTheme="majorEastAsia" w:hAnsiTheme="majorEastAsia" w:eastAsiaTheme="majorEastAsia"/>
                <w:kern w:val="2"/>
                <w:sz w:val="21"/>
                <w:szCs w:val="21"/>
              </w:rPr>
            </w:pPr>
            <w:r>
              <w:rPr>
                <w:rFonts w:hint="eastAsia" w:asciiTheme="majorEastAsia" w:hAnsiTheme="majorEastAsia" w:eastAsiaTheme="majorEastAsia"/>
                <w:kern w:val="2"/>
                <w:sz w:val="21"/>
                <w:szCs w:val="21"/>
              </w:rPr>
              <w:t>评审指标</w:t>
            </w:r>
          </w:p>
        </w:tc>
        <w:tc>
          <w:tcPr>
            <w:tcW w:w="3624" w:type="dxa"/>
            <w:tcBorders>
              <w:bottom w:val="single" w:color="auto" w:sz="4" w:space="0"/>
            </w:tcBorders>
            <w:vAlign w:val="center"/>
          </w:tcPr>
          <w:p w14:paraId="1692B9AB">
            <w:pPr>
              <w:adjustRightInd w:val="0"/>
              <w:snapToGrid w:val="0"/>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评审标准</w:t>
            </w:r>
          </w:p>
        </w:tc>
        <w:tc>
          <w:tcPr>
            <w:tcW w:w="2556" w:type="dxa"/>
            <w:tcBorders>
              <w:bottom w:val="single" w:color="auto" w:sz="4" w:space="0"/>
            </w:tcBorders>
            <w:vAlign w:val="center"/>
          </w:tcPr>
          <w:p w14:paraId="15E98035">
            <w:pPr>
              <w:adjustRightInd w:val="0"/>
              <w:snapToGrid w:val="0"/>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格式及材料要求</w:t>
            </w:r>
          </w:p>
        </w:tc>
      </w:tr>
      <w:tr w14:paraId="43FD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E1BAA66">
            <w:pPr>
              <w:adjustRightInd w:val="0"/>
              <w:snapToGrid w:val="0"/>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1</w:t>
            </w:r>
          </w:p>
        </w:tc>
        <w:tc>
          <w:tcPr>
            <w:tcW w:w="1975" w:type="dxa"/>
            <w:vAlign w:val="center"/>
          </w:tcPr>
          <w:p w14:paraId="2664D622">
            <w:pPr>
              <w:ind w:right="-10"/>
              <w:jc w:val="left"/>
              <w:rPr>
                <w:rFonts w:hint="eastAsia" w:asciiTheme="majorEastAsia" w:hAnsiTheme="majorEastAsia" w:eastAsiaTheme="majorEastAsia"/>
                <w:szCs w:val="21"/>
              </w:rPr>
            </w:pPr>
            <w:r>
              <w:rPr>
                <w:rFonts w:hint="eastAsia" w:asciiTheme="minorEastAsia" w:hAnsiTheme="minorEastAsia" w:eastAsiaTheme="minorEastAsia"/>
                <w:szCs w:val="21"/>
              </w:rPr>
              <w:t>报价</w:t>
            </w:r>
          </w:p>
        </w:tc>
        <w:tc>
          <w:tcPr>
            <w:tcW w:w="3624" w:type="dxa"/>
            <w:vAlign w:val="center"/>
          </w:tcPr>
          <w:p w14:paraId="0577B058">
            <w:pPr>
              <w:ind w:right="-10"/>
              <w:jc w:val="left"/>
              <w:rPr>
                <w:rFonts w:hint="eastAsia" w:asciiTheme="majorEastAsia" w:hAnsiTheme="majorEastAsia" w:eastAsiaTheme="majorEastAsia"/>
                <w:szCs w:val="21"/>
              </w:rPr>
            </w:pPr>
            <w:r>
              <w:rPr>
                <w:rFonts w:hint="eastAsia" w:asciiTheme="minorEastAsia" w:hAnsiTheme="minorEastAsia" w:eastAsiaTheme="minorEastAsia"/>
                <w:szCs w:val="21"/>
              </w:rPr>
              <w:t>投标报价未超过最高限价</w:t>
            </w:r>
          </w:p>
        </w:tc>
        <w:tc>
          <w:tcPr>
            <w:tcW w:w="2556" w:type="dxa"/>
            <w:vAlign w:val="center"/>
          </w:tcPr>
          <w:p w14:paraId="5BB4D936">
            <w:pPr>
              <w:adjustRightInd w:val="0"/>
              <w:snapToGrid w:val="0"/>
              <w:ind w:right="-10"/>
              <w:jc w:val="left"/>
              <w:rPr>
                <w:rFonts w:hint="eastAsia" w:asciiTheme="majorEastAsia" w:hAnsiTheme="majorEastAsia" w:eastAsiaTheme="majorEastAsia"/>
                <w:szCs w:val="21"/>
              </w:rPr>
            </w:pPr>
            <w:r>
              <w:rPr>
                <w:rFonts w:hint="eastAsia" w:asciiTheme="minorEastAsia" w:hAnsiTheme="minorEastAsia" w:eastAsiaTheme="minorEastAsia"/>
                <w:szCs w:val="21"/>
              </w:rPr>
              <w:t>报价内容</w:t>
            </w:r>
          </w:p>
        </w:tc>
      </w:tr>
      <w:tr w14:paraId="3206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E2594F6">
            <w:pPr>
              <w:adjustRightInd w:val="0"/>
              <w:snapToGrid w:val="0"/>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2</w:t>
            </w:r>
          </w:p>
        </w:tc>
        <w:tc>
          <w:tcPr>
            <w:tcW w:w="1975" w:type="dxa"/>
            <w:vAlign w:val="center"/>
          </w:tcPr>
          <w:p w14:paraId="02D08C72">
            <w:pPr>
              <w:ind w:right="-10"/>
              <w:jc w:val="left"/>
              <w:rPr>
                <w:rFonts w:hint="eastAsia" w:asciiTheme="majorEastAsia" w:hAnsiTheme="majorEastAsia" w:eastAsiaTheme="majorEastAsia"/>
                <w:szCs w:val="21"/>
              </w:rPr>
            </w:pPr>
            <w:r>
              <w:rPr>
                <w:rFonts w:hint="eastAsia" w:asciiTheme="majorEastAsia" w:hAnsiTheme="majorEastAsia" w:eastAsiaTheme="majorEastAsia"/>
                <w:szCs w:val="21"/>
              </w:rPr>
              <w:t>投标函</w:t>
            </w:r>
          </w:p>
        </w:tc>
        <w:tc>
          <w:tcPr>
            <w:tcW w:w="3624" w:type="dxa"/>
            <w:vAlign w:val="center"/>
          </w:tcPr>
          <w:p w14:paraId="15A89442">
            <w:pPr>
              <w:ind w:right="-10"/>
              <w:jc w:val="left"/>
              <w:rPr>
                <w:rFonts w:hint="eastAsia" w:asciiTheme="majorEastAsia" w:hAnsiTheme="majorEastAsia" w:eastAsiaTheme="majorEastAsia"/>
                <w:szCs w:val="21"/>
              </w:rPr>
            </w:pPr>
            <w:r>
              <w:rPr>
                <w:rFonts w:hint="eastAsia" w:asciiTheme="majorEastAsia" w:hAnsiTheme="majorEastAsia" w:eastAsiaTheme="majorEastAsia"/>
                <w:szCs w:val="21"/>
              </w:rPr>
              <w:t>格式、填写符合招标文件要求并加盖公章</w:t>
            </w:r>
          </w:p>
        </w:tc>
        <w:tc>
          <w:tcPr>
            <w:tcW w:w="2556" w:type="dxa"/>
            <w:vAlign w:val="center"/>
          </w:tcPr>
          <w:p w14:paraId="7F4C6D36">
            <w:pPr>
              <w:adjustRightInd w:val="0"/>
              <w:snapToGrid w:val="0"/>
              <w:ind w:right="-10"/>
              <w:jc w:val="left"/>
              <w:rPr>
                <w:rFonts w:hint="eastAsia" w:asciiTheme="majorEastAsia" w:hAnsiTheme="majorEastAsia" w:eastAsiaTheme="majorEastAsia"/>
                <w:szCs w:val="21"/>
              </w:rPr>
            </w:pPr>
            <w:r>
              <w:rPr>
                <w:rFonts w:hint="eastAsia" w:asciiTheme="majorEastAsia" w:hAnsiTheme="majorEastAsia" w:eastAsiaTheme="majorEastAsia"/>
                <w:szCs w:val="21"/>
              </w:rPr>
              <w:t>提供投标函</w:t>
            </w:r>
          </w:p>
        </w:tc>
      </w:tr>
      <w:tr w14:paraId="69F4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27B7F7C">
            <w:pPr>
              <w:adjustRightInd w:val="0"/>
              <w:snapToGrid w:val="0"/>
              <w:ind w:right="-10"/>
              <w:jc w:val="center"/>
              <w:rPr>
                <w:rFonts w:hint="eastAsia" w:asciiTheme="majorEastAsia" w:hAnsiTheme="majorEastAsia" w:eastAsiaTheme="majorEastAsia"/>
                <w:szCs w:val="21"/>
              </w:rPr>
            </w:pPr>
            <w:r>
              <w:rPr>
                <w:rFonts w:asciiTheme="majorEastAsia" w:hAnsiTheme="majorEastAsia" w:eastAsiaTheme="majorEastAsia"/>
                <w:szCs w:val="21"/>
              </w:rPr>
              <w:t>3</w:t>
            </w:r>
          </w:p>
        </w:tc>
        <w:tc>
          <w:tcPr>
            <w:tcW w:w="1975" w:type="dxa"/>
            <w:vAlign w:val="center"/>
          </w:tcPr>
          <w:p w14:paraId="16D6A119">
            <w:pPr>
              <w:ind w:right="-10"/>
              <w:jc w:val="left"/>
              <w:rPr>
                <w:rFonts w:hint="eastAsia" w:asciiTheme="majorEastAsia" w:hAnsiTheme="majorEastAsia" w:eastAsiaTheme="majorEastAsia"/>
                <w:szCs w:val="21"/>
              </w:rPr>
            </w:pPr>
            <w:r>
              <w:rPr>
                <w:rFonts w:hint="eastAsia" w:asciiTheme="majorEastAsia" w:hAnsiTheme="majorEastAsia" w:eastAsiaTheme="majorEastAsia"/>
                <w:szCs w:val="21"/>
              </w:rPr>
              <w:t>法定代表人身份证正反面复印件</w:t>
            </w:r>
          </w:p>
        </w:tc>
        <w:tc>
          <w:tcPr>
            <w:tcW w:w="3624" w:type="dxa"/>
            <w:vAlign w:val="center"/>
          </w:tcPr>
          <w:p w14:paraId="42EF08E2">
            <w:pPr>
              <w:ind w:right="-10"/>
              <w:jc w:val="left"/>
              <w:rPr>
                <w:rFonts w:hint="eastAsia" w:asciiTheme="majorEastAsia" w:hAnsiTheme="majorEastAsia" w:eastAsiaTheme="majorEastAsia"/>
                <w:szCs w:val="21"/>
              </w:rPr>
            </w:pPr>
            <w:r>
              <w:rPr>
                <w:rFonts w:hint="eastAsia" w:asciiTheme="majorEastAsia" w:hAnsiTheme="majorEastAsia" w:eastAsiaTheme="majorEastAsia"/>
                <w:szCs w:val="21"/>
              </w:rPr>
              <w:t>法定代表人身份证正反面复印件（加盖公章）</w:t>
            </w:r>
          </w:p>
        </w:tc>
        <w:tc>
          <w:tcPr>
            <w:tcW w:w="2556" w:type="dxa"/>
            <w:vAlign w:val="center"/>
          </w:tcPr>
          <w:p w14:paraId="6734A6E8">
            <w:pPr>
              <w:adjustRightInd w:val="0"/>
              <w:snapToGrid w:val="0"/>
              <w:ind w:right="-10"/>
              <w:jc w:val="left"/>
              <w:rPr>
                <w:rFonts w:hint="eastAsia" w:asciiTheme="majorEastAsia" w:hAnsiTheme="majorEastAsia" w:eastAsiaTheme="majorEastAsia"/>
                <w:szCs w:val="21"/>
              </w:rPr>
            </w:pPr>
            <w:r>
              <w:rPr>
                <w:rFonts w:hint="eastAsia" w:asciiTheme="majorEastAsia" w:hAnsiTheme="majorEastAsia" w:eastAsiaTheme="majorEastAsia"/>
                <w:szCs w:val="21"/>
              </w:rPr>
              <w:t>法定代表人参加投标提供身份证正反面复印件</w:t>
            </w:r>
          </w:p>
        </w:tc>
      </w:tr>
      <w:tr w14:paraId="5CA9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19E85ED">
            <w:pPr>
              <w:adjustRightInd w:val="0"/>
              <w:snapToGrid w:val="0"/>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4</w:t>
            </w:r>
          </w:p>
        </w:tc>
        <w:tc>
          <w:tcPr>
            <w:tcW w:w="1975" w:type="dxa"/>
            <w:vAlign w:val="center"/>
          </w:tcPr>
          <w:p w14:paraId="4984C62A">
            <w:pPr>
              <w:ind w:right="-10"/>
              <w:jc w:val="left"/>
              <w:rPr>
                <w:rFonts w:hint="eastAsia" w:asciiTheme="majorEastAsia" w:hAnsiTheme="majorEastAsia" w:eastAsiaTheme="majorEastAsia"/>
                <w:szCs w:val="21"/>
              </w:rPr>
            </w:pPr>
            <w:r>
              <w:rPr>
                <w:rFonts w:hint="eastAsia" w:asciiTheme="majorEastAsia" w:hAnsiTheme="majorEastAsia" w:eastAsiaTheme="majorEastAsia"/>
                <w:szCs w:val="21"/>
              </w:rPr>
              <w:t>商务要求响应情况</w:t>
            </w:r>
          </w:p>
        </w:tc>
        <w:tc>
          <w:tcPr>
            <w:tcW w:w="3624" w:type="dxa"/>
            <w:vAlign w:val="center"/>
          </w:tcPr>
          <w:p w14:paraId="05B316C6">
            <w:pPr>
              <w:ind w:right="-10"/>
              <w:jc w:val="left"/>
              <w:rPr>
                <w:rFonts w:hint="eastAsia" w:asciiTheme="majorEastAsia" w:hAnsiTheme="majorEastAsia" w:eastAsiaTheme="majorEastAsia"/>
                <w:szCs w:val="21"/>
              </w:rPr>
            </w:pPr>
            <w:r>
              <w:rPr>
                <w:rFonts w:hint="eastAsia" w:asciiTheme="majorEastAsia" w:hAnsiTheme="majorEastAsia" w:eastAsiaTheme="majorEastAsia"/>
                <w:szCs w:val="21"/>
              </w:rPr>
              <w:t>符合招标文件采购需求中明确的实质性商务要求。</w:t>
            </w:r>
          </w:p>
        </w:tc>
        <w:tc>
          <w:tcPr>
            <w:tcW w:w="2556" w:type="dxa"/>
            <w:vAlign w:val="center"/>
          </w:tcPr>
          <w:p w14:paraId="427D516B">
            <w:pPr>
              <w:adjustRightInd w:val="0"/>
              <w:snapToGrid w:val="0"/>
              <w:ind w:right="-10"/>
              <w:jc w:val="left"/>
              <w:rPr>
                <w:rFonts w:hint="eastAsia" w:asciiTheme="majorEastAsia" w:hAnsiTheme="majorEastAsia" w:eastAsiaTheme="majorEastAsia"/>
                <w:szCs w:val="21"/>
              </w:rPr>
            </w:pPr>
            <w:r>
              <w:rPr>
                <w:rFonts w:hint="eastAsia" w:asciiTheme="majorEastAsia" w:hAnsiTheme="majorEastAsia" w:eastAsiaTheme="majorEastAsia"/>
                <w:szCs w:val="21"/>
              </w:rPr>
              <w:t>提供商务要求响应表</w:t>
            </w:r>
          </w:p>
        </w:tc>
      </w:tr>
      <w:tr w14:paraId="0005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4CE7D06">
            <w:pPr>
              <w:adjustRightInd w:val="0"/>
              <w:snapToGrid w:val="0"/>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5</w:t>
            </w:r>
          </w:p>
        </w:tc>
        <w:tc>
          <w:tcPr>
            <w:tcW w:w="1975" w:type="dxa"/>
            <w:vAlign w:val="center"/>
          </w:tcPr>
          <w:p w14:paraId="609F2E30">
            <w:pPr>
              <w:ind w:right="-10"/>
              <w:jc w:val="left"/>
              <w:rPr>
                <w:rFonts w:hint="eastAsia" w:asciiTheme="majorEastAsia" w:hAnsiTheme="majorEastAsia" w:eastAsiaTheme="majorEastAsia"/>
                <w:szCs w:val="21"/>
              </w:rPr>
            </w:pPr>
            <w:r>
              <w:rPr>
                <w:rFonts w:hint="eastAsia" w:asciiTheme="majorEastAsia" w:hAnsiTheme="majorEastAsia" w:eastAsiaTheme="majorEastAsia"/>
                <w:szCs w:val="21"/>
              </w:rPr>
              <w:t>其他要求</w:t>
            </w:r>
          </w:p>
        </w:tc>
        <w:tc>
          <w:tcPr>
            <w:tcW w:w="3624" w:type="dxa"/>
            <w:vAlign w:val="center"/>
          </w:tcPr>
          <w:p w14:paraId="55BBCD90">
            <w:pPr>
              <w:ind w:right="-10"/>
              <w:jc w:val="left"/>
              <w:rPr>
                <w:rFonts w:hint="eastAsia" w:asciiTheme="majorEastAsia" w:hAnsiTheme="majorEastAsia" w:eastAsiaTheme="majorEastAsia"/>
                <w:szCs w:val="21"/>
              </w:rPr>
            </w:pPr>
            <w:r>
              <w:rPr>
                <w:rFonts w:hint="eastAsia" w:asciiTheme="majorEastAsia" w:hAnsiTheme="majorEastAsia" w:eastAsiaTheme="majorEastAsia"/>
                <w:szCs w:val="21"/>
              </w:rPr>
              <w:t>符合法律、行政法规规定的其他条件或不存在招标文件列明的拒绝投标、不允许存在的其他要求</w:t>
            </w:r>
          </w:p>
        </w:tc>
        <w:tc>
          <w:tcPr>
            <w:tcW w:w="2556" w:type="dxa"/>
            <w:vAlign w:val="center"/>
          </w:tcPr>
          <w:p w14:paraId="20C9FD42">
            <w:pPr>
              <w:adjustRightInd w:val="0"/>
              <w:snapToGrid w:val="0"/>
              <w:ind w:right="-10"/>
              <w:jc w:val="center"/>
              <w:rPr>
                <w:rFonts w:hint="eastAsia" w:asciiTheme="majorEastAsia" w:hAnsiTheme="majorEastAsia" w:eastAsiaTheme="majorEastAsia"/>
                <w:szCs w:val="21"/>
              </w:rPr>
            </w:pPr>
            <w:r>
              <w:rPr>
                <w:rFonts w:hint="eastAsia" w:asciiTheme="majorEastAsia" w:hAnsiTheme="majorEastAsia" w:eastAsiaTheme="majorEastAsia"/>
                <w:szCs w:val="21"/>
              </w:rPr>
              <w:t>/</w:t>
            </w:r>
          </w:p>
        </w:tc>
      </w:tr>
    </w:tbl>
    <w:p w14:paraId="703FDB3D">
      <w:pPr>
        <w:spacing w:line="360" w:lineRule="auto"/>
        <w:ind w:firstLine="437"/>
        <w:rPr>
          <w:rFonts w:hint="eastAsia" w:asciiTheme="majorEastAsia" w:hAnsiTheme="majorEastAsia" w:eastAsiaTheme="majorEastAsia"/>
          <w:szCs w:val="21"/>
        </w:rPr>
      </w:pPr>
      <w:r>
        <w:rPr>
          <w:rFonts w:hint="eastAsia" w:asciiTheme="majorEastAsia" w:hAnsiTheme="majorEastAsia" w:eastAsiaTheme="majorEastAsia"/>
          <w:b/>
          <w:bCs/>
          <w:szCs w:val="21"/>
        </w:rPr>
        <w:t>符合性审查指标通过标准：</w:t>
      </w:r>
      <w:r>
        <w:rPr>
          <w:rFonts w:hint="eastAsia" w:asciiTheme="majorEastAsia" w:hAnsiTheme="majorEastAsia" w:eastAsiaTheme="majorEastAsia"/>
          <w:szCs w:val="21"/>
        </w:rPr>
        <w:t>投标人必须通过符合性审查表中的全部评审指标。</w:t>
      </w:r>
    </w:p>
    <w:p w14:paraId="5CCAA32E">
      <w:pPr>
        <w:spacing w:line="360" w:lineRule="auto"/>
        <w:rPr>
          <w:rFonts w:hint="eastAsia" w:asciiTheme="majorEastAsia" w:hAnsiTheme="majorEastAsia" w:eastAsiaTheme="majorEastAsia"/>
          <w:b/>
          <w:szCs w:val="21"/>
        </w:rPr>
      </w:pPr>
    </w:p>
    <w:p w14:paraId="64E2F240">
      <w:pPr>
        <w:widowControl/>
        <w:jc w:val="left"/>
        <w:rPr>
          <w:rFonts w:hint="eastAsia" w:asciiTheme="majorEastAsia" w:hAnsiTheme="majorEastAsia" w:eastAsiaTheme="majorEastAsia"/>
          <w:b/>
          <w:szCs w:val="21"/>
        </w:rPr>
      </w:pPr>
      <w:r>
        <w:rPr>
          <w:rFonts w:asciiTheme="majorEastAsia" w:hAnsiTheme="majorEastAsia" w:eastAsiaTheme="majorEastAsia"/>
          <w:b/>
          <w:szCs w:val="21"/>
        </w:rPr>
        <w:br w:type="page"/>
      </w:r>
    </w:p>
    <w:p w14:paraId="71747995">
      <w:pPr>
        <w:spacing w:line="360" w:lineRule="auto"/>
        <w:ind w:firstLine="422" w:firstLineChars="200"/>
        <w:rPr>
          <w:rFonts w:hint="eastAsia" w:asciiTheme="majorEastAsia" w:hAnsiTheme="majorEastAsia" w:eastAsiaTheme="majorEastAsia"/>
          <w:b/>
          <w:szCs w:val="21"/>
        </w:rPr>
      </w:pPr>
      <w:r>
        <w:rPr>
          <w:rFonts w:hint="eastAsia" w:asciiTheme="majorEastAsia" w:hAnsiTheme="majorEastAsia" w:eastAsiaTheme="majorEastAsia"/>
          <w:b/>
          <w:szCs w:val="21"/>
        </w:rPr>
        <w:t>3.详细审查和评分（评标标准兼评委打分表）</w:t>
      </w:r>
    </w:p>
    <w:tbl>
      <w:tblPr>
        <w:tblStyle w:val="4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308"/>
        <w:gridCol w:w="5216"/>
        <w:gridCol w:w="567"/>
        <w:gridCol w:w="851"/>
      </w:tblGrid>
      <w:tr w14:paraId="377B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55" w:type="dxa"/>
            <w:vAlign w:val="center"/>
          </w:tcPr>
          <w:p w14:paraId="1C693E65">
            <w:pPr>
              <w:adjustRightInd w:val="0"/>
              <w:spacing w:line="240" w:lineRule="exact"/>
              <w:jc w:val="center"/>
              <w:textAlignment w:val="baseline"/>
              <w:rPr>
                <w:rFonts w:hint="eastAsia" w:asciiTheme="majorEastAsia" w:hAnsiTheme="majorEastAsia" w:eastAsiaTheme="majorEastAsia"/>
                <w:b/>
                <w:kern w:val="0"/>
                <w:szCs w:val="21"/>
              </w:rPr>
            </w:pPr>
            <w:r>
              <w:rPr>
                <w:rFonts w:hint="eastAsia" w:asciiTheme="majorEastAsia" w:hAnsiTheme="majorEastAsia" w:eastAsiaTheme="majorEastAsia"/>
                <w:b/>
                <w:kern w:val="0"/>
                <w:szCs w:val="21"/>
              </w:rPr>
              <w:t>项目</w:t>
            </w:r>
          </w:p>
        </w:tc>
        <w:tc>
          <w:tcPr>
            <w:tcW w:w="6524" w:type="dxa"/>
            <w:gridSpan w:val="2"/>
            <w:vAlign w:val="center"/>
          </w:tcPr>
          <w:p w14:paraId="0C8B6683">
            <w:pPr>
              <w:adjustRightInd w:val="0"/>
              <w:spacing w:line="240" w:lineRule="exact"/>
              <w:jc w:val="center"/>
              <w:textAlignment w:val="baseline"/>
              <w:rPr>
                <w:rFonts w:hint="eastAsia" w:asciiTheme="majorEastAsia" w:hAnsiTheme="majorEastAsia" w:eastAsiaTheme="majorEastAsia"/>
                <w:b/>
                <w:kern w:val="0"/>
                <w:szCs w:val="21"/>
              </w:rPr>
            </w:pPr>
            <w:r>
              <w:rPr>
                <w:rFonts w:hint="eastAsia" w:asciiTheme="majorEastAsia" w:hAnsiTheme="majorEastAsia" w:eastAsiaTheme="majorEastAsia"/>
                <w:b/>
                <w:kern w:val="0"/>
                <w:szCs w:val="21"/>
              </w:rPr>
              <w:t>评标要点及说明</w:t>
            </w:r>
          </w:p>
        </w:tc>
        <w:tc>
          <w:tcPr>
            <w:tcW w:w="567" w:type="dxa"/>
            <w:vAlign w:val="center"/>
          </w:tcPr>
          <w:p w14:paraId="5AE85D72">
            <w:pPr>
              <w:adjustRightInd w:val="0"/>
              <w:spacing w:line="240" w:lineRule="exact"/>
              <w:ind w:left="-105" w:leftChars="-50" w:right="-105" w:rightChars="-50"/>
              <w:jc w:val="center"/>
              <w:textAlignment w:val="baseline"/>
              <w:rPr>
                <w:rFonts w:hint="eastAsia" w:asciiTheme="majorEastAsia" w:hAnsiTheme="majorEastAsia" w:eastAsiaTheme="majorEastAsia"/>
                <w:b/>
                <w:kern w:val="0"/>
                <w:szCs w:val="21"/>
              </w:rPr>
            </w:pPr>
            <w:r>
              <w:rPr>
                <w:rFonts w:asciiTheme="majorEastAsia" w:hAnsiTheme="majorEastAsia" w:eastAsiaTheme="majorEastAsia"/>
                <w:b/>
                <w:kern w:val="0"/>
                <w:szCs w:val="21"/>
              </w:rPr>
              <w:t>分值</w:t>
            </w:r>
          </w:p>
        </w:tc>
        <w:tc>
          <w:tcPr>
            <w:tcW w:w="851" w:type="dxa"/>
            <w:vAlign w:val="center"/>
          </w:tcPr>
          <w:p w14:paraId="1F55BE8D">
            <w:pPr>
              <w:adjustRightInd w:val="0"/>
              <w:spacing w:line="240" w:lineRule="exact"/>
              <w:jc w:val="center"/>
              <w:textAlignment w:val="baseline"/>
              <w:rPr>
                <w:rFonts w:hint="eastAsia" w:asciiTheme="majorEastAsia" w:hAnsiTheme="majorEastAsia" w:eastAsiaTheme="majorEastAsia"/>
                <w:b/>
                <w:kern w:val="0"/>
                <w:szCs w:val="21"/>
              </w:rPr>
            </w:pPr>
            <w:r>
              <w:rPr>
                <w:rFonts w:hint="eastAsia" w:asciiTheme="majorEastAsia" w:hAnsiTheme="majorEastAsia" w:eastAsiaTheme="majorEastAsia"/>
                <w:b/>
                <w:kern w:val="0"/>
                <w:szCs w:val="21"/>
              </w:rPr>
              <w:t>主观分/客观分属性</w:t>
            </w:r>
          </w:p>
        </w:tc>
      </w:tr>
      <w:tr w14:paraId="03EC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55" w:type="dxa"/>
            <w:vAlign w:val="center"/>
          </w:tcPr>
          <w:p w14:paraId="25C3F3BA">
            <w:pPr>
              <w:adjustRightInd w:val="0"/>
              <w:spacing w:line="280" w:lineRule="exact"/>
              <w:jc w:val="center"/>
              <w:textAlignment w:val="baseline"/>
              <w:rPr>
                <w:rFonts w:hint="eastAsia" w:asciiTheme="majorEastAsia" w:hAnsiTheme="majorEastAsia" w:eastAsiaTheme="majorEastAsia"/>
                <w:kern w:val="0"/>
                <w:szCs w:val="21"/>
              </w:rPr>
            </w:pPr>
            <w:r>
              <w:rPr>
                <w:rFonts w:hint="eastAsia" w:asciiTheme="majorEastAsia" w:hAnsiTheme="majorEastAsia" w:eastAsiaTheme="majorEastAsia"/>
                <w:kern w:val="0"/>
                <w:szCs w:val="21"/>
              </w:rPr>
              <w:t>价格</w:t>
            </w:r>
          </w:p>
          <w:p w14:paraId="6969EDE6">
            <w:pPr>
              <w:adjustRightInd w:val="0"/>
              <w:spacing w:line="280" w:lineRule="exact"/>
              <w:jc w:val="center"/>
              <w:textAlignment w:val="baseline"/>
              <w:rPr>
                <w:rFonts w:hint="eastAsia" w:asciiTheme="majorEastAsia" w:hAnsiTheme="majorEastAsia" w:eastAsiaTheme="majorEastAsia"/>
                <w:kern w:val="0"/>
                <w:szCs w:val="21"/>
              </w:rPr>
            </w:pPr>
            <w:r>
              <w:rPr>
                <w:rFonts w:hint="eastAsia" w:asciiTheme="majorEastAsia" w:hAnsiTheme="majorEastAsia" w:eastAsiaTheme="majorEastAsia"/>
                <w:kern w:val="0"/>
                <w:szCs w:val="21"/>
              </w:rPr>
              <w:t>(30分)</w:t>
            </w:r>
          </w:p>
        </w:tc>
        <w:tc>
          <w:tcPr>
            <w:tcW w:w="6524" w:type="dxa"/>
            <w:gridSpan w:val="2"/>
            <w:vAlign w:val="center"/>
          </w:tcPr>
          <w:p w14:paraId="1FD88DC3">
            <w:pPr>
              <w:spacing w:line="300" w:lineRule="exact"/>
              <w:rPr>
                <w:rFonts w:hint="eastAsia" w:ascii="宋体" w:hAnsi="宋体"/>
                <w:szCs w:val="21"/>
              </w:rPr>
            </w:pPr>
            <w:r>
              <w:rPr>
                <w:rFonts w:hint="eastAsia" w:ascii="宋体" w:hAnsi="宋体"/>
                <w:szCs w:val="21"/>
              </w:rPr>
              <w:t>满足招标文件要求且投标价格最低的投标报价为评标基准价，其价格分为满分。</w:t>
            </w:r>
          </w:p>
          <w:p w14:paraId="51C33952">
            <w:pPr>
              <w:spacing w:line="300" w:lineRule="exact"/>
              <w:rPr>
                <w:rFonts w:hint="eastAsia" w:ascii="宋体" w:hAnsi="宋体"/>
                <w:szCs w:val="21"/>
              </w:rPr>
            </w:pPr>
            <w:r>
              <w:rPr>
                <w:rFonts w:hint="eastAsia" w:ascii="宋体" w:hAnsi="宋体"/>
                <w:szCs w:val="21"/>
              </w:rPr>
              <w:t>其他投标人的价格分统一按照下列公式计算：</w:t>
            </w:r>
          </w:p>
          <w:p w14:paraId="497AE391">
            <w:pPr>
              <w:spacing w:line="300" w:lineRule="exact"/>
              <w:contextualSpacing/>
              <w:rPr>
                <w:rFonts w:hint="eastAsia" w:ascii="宋体" w:hAnsi="宋体"/>
                <w:szCs w:val="21"/>
              </w:rPr>
            </w:pPr>
            <w:r>
              <w:rPr>
                <w:rFonts w:hint="eastAsia" w:ascii="宋体" w:hAnsi="宋体"/>
                <w:szCs w:val="21"/>
              </w:rPr>
              <w:t>投标报价得分=(评标基准价／投标报价)×</w:t>
            </w:r>
            <w:r>
              <w:rPr>
                <w:rFonts w:hint="eastAsia" w:ascii="宋体" w:hAnsi="宋体"/>
                <w:szCs w:val="21"/>
                <w:u w:val="single"/>
              </w:rPr>
              <w:t>30</w:t>
            </w:r>
          </w:p>
        </w:tc>
        <w:tc>
          <w:tcPr>
            <w:tcW w:w="567" w:type="dxa"/>
            <w:vAlign w:val="center"/>
          </w:tcPr>
          <w:p w14:paraId="0A791748">
            <w:pPr>
              <w:spacing w:line="300" w:lineRule="exact"/>
              <w:contextualSpacing/>
              <w:jc w:val="center"/>
              <w:rPr>
                <w:rFonts w:hint="eastAsia" w:ascii="宋体" w:hAnsi="宋体"/>
                <w:szCs w:val="21"/>
              </w:rPr>
            </w:pPr>
            <w:r>
              <w:rPr>
                <w:rFonts w:hint="eastAsia" w:ascii="宋体" w:hAnsi="宋体"/>
                <w:szCs w:val="21"/>
              </w:rPr>
              <w:t>30</w:t>
            </w:r>
          </w:p>
        </w:tc>
        <w:tc>
          <w:tcPr>
            <w:tcW w:w="851" w:type="dxa"/>
            <w:vAlign w:val="center"/>
          </w:tcPr>
          <w:p w14:paraId="627EE452">
            <w:pPr>
              <w:widowControl/>
              <w:spacing w:line="300" w:lineRule="exact"/>
              <w:jc w:val="left"/>
              <w:rPr>
                <w:rFonts w:hint="eastAsia" w:asciiTheme="majorEastAsia" w:hAnsiTheme="majorEastAsia" w:eastAsiaTheme="majorEastAsia"/>
              </w:rPr>
            </w:pPr>
          </w:p>
          <w:p w14:paraId="3909FC59">
            <w:pPr>
              <w:widowControl/>
              <w:spacing w:line="300" w:lineRule="exact"/>
              <w:jc w:val="center"/>
              <w:rPr>
                <w:rFonts w:hint="eastAsia" w:asciiTheme="majorEastAsia" w:hAnsiTheme="majorEastAsia" w:eastAsiaTheme="majorEastAsia"/>
              </w:rPr>
            </w:pPr>
            <w:r>
              <w:rPr>
                <w:rFonts w:asciiTheme="majorEastAsia" w:hAnsiTheme="majorEastAsia" w:eastAsiaTheme="majorEastAsia"/>
              </w:rPr>
              <w:t>客观</w:t>
            </w:r>
          </w:p>
          <w:p w14:paraId="4F22C503">
            <w:pPr>
              <w:spacing w:line="300" w:lineRule="exact"/>
              <w:rPr>
                <w:rFonts w:hint="eastAsia" w:asciiTheme="majorEastAsia" w:hAnsiTheme="majorEastAsia" w:eastAsiaTheme="majorEastAsia"/>
              </w:rPr>
            </w:pPr>
          </w:p>
        </w:tc>
      </w:tr>
      <w:tr w14:paraId="7C02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55" w:type="dxa"/>
            <w:vMerge w:val="restart"/>
            <w:vAlign w:val="center"/>
          </w:tcPr>
          <w:p w14:paraId="324F9685">
            <w:pPr>
              <w:adjustRightInd w:val="0"/>
              <w:spacing w:line="280" w:lineRule="exact"/>
              <w:jc w:val="center"/>
              <w:textAlignment w:val="baseline"/>
              <w:rPr>
                <w:rFonts w:hint="eastAsia" w:asciiTheme="majorEastAsia" w:hAnsiTheme="majorEastAsia" w:eastAsiaTheme="majorEastAsia"/>
                <w:kern w:val="0"/>
                <w:szCs w:val="21"/>
              </w:rPr>
            </w:pPr>
            <w:r>
              <w:rPr>
                <w:rFonts w:hint="eastAsia" w:asciiTheme="majorEastAsia" w:hAnsiTheme="majorEastAsia" w:eastAsiaTheme="majorEastAsia"/>
                <w:kern w:val="0"/>
                <w:szCs w:val="21"/>
              </w:rPr>
              <w:t>商务</w:t>
            </w:r>
          </w:p>
          <w:p w14:paraId="324E4063">
            <w:pPr>
              <w:adjustRightInd w:val="0"/>
              <w:spacing w:line="280" w:lineRule="exact"/>
              <w:jc w:val="center"/>
              <w:textAlignment w:val="baseline"/>
              <w:rPr>
                <w:rFonts w:hint="eastAsia" w:asciiTheme="majorEastAsia" w:hAnsiTheme="majorEastAsia" w:eastAsiaTheme="majorEastAsia"/>
                <w:kern w:val="0"/>
                <w:szCs w:val="21"/>
              </w:rPr>
            </w:pPr>
            <w:r>
              <w:rPr>
                <w:rFonts w:hint="eastAsia" w:asciiTheme="majorEastAsia" w:hAnsiTheme="majorEastAsia" w:eastAsiaTheme="majorEastAsia"/>
                <w:kern w:val="0"/>
                <w:szCs w:val="21"/>
              </w:rPr>
              <w:t>技术</w:t>
            </w:r>
          </w:p>
          <w:p w14:paraId="7F08E828">
            <w:pPr>
              <w:adjustRightInd w:val="0"/>
              <w:spacing w:line="280" w:lineRule="exact"/>
              <w:jc w:val="center"/>
              <w:textAlignment w:val="baseline"/>
              <w:rPr>
                <w:rFonts w:hint="eastAsia" w:asciiTheme="majorEastAsia" w:hAnsiTheme="majorEastAsia" w:eastAsiaTheme="majorEastAsia"/>
                <w:kern w:val="0"/>
                <w:szCs w:val="21"/>
              </w:rPr>
            </w:pPr>
            <w:r>
              <w:rPr>
                <w:rFonts w:hint="eastAsia" w:asciiTheme="majorEastAsia" w:hAnsiTheme="majorEastAsia" w:eastAsiaTheme="majorEastAsia"/>
                <w:kern w:val="0"/>
                <w:szCs w:val="21"/>
              </w:rPr>
              <w:t>(69分)</w:t>
            </w:r>
          </w:p>
        </w:tc>
        <w:tc>
          <w:tcPr>
            <w:tcW w:w="1308" w:type="dxa"/>
            <w:vAlign w:val="center"/>
          </w:tcPr>
          <w:p w14:paraId="13BF50B4">
            <w:pPr>
              <w:spacing w:line="300" w:lineRule="exact"/>
              <w:jc w:val="center"/>
              <w:rPr>
                <w:rFonts w:hint="eastAsia" w:ascii="宋体" w:hAnsi="宋体" w:cs="宋体"/>
                <w:kern w:val="0"/>
                <w:szCs w:val="21"/>
              </w:rPr>
            </w:pPr>
            <w:r>
              <w:rPr>
                <w:rFonts w:hint="eastAsia" w:ascii="宋体" w:hAnsi="宋体" w:cs="宋体"/>
                <w:kern w:val="0"/>
                <w:szCs w:val="21"/>
              </w:rPr>
              <w:t>1、招标文件响应情况（32分）</w:t>
            </w:r>
          </w:p>
        </w:tc>
        <w:tc>
          <w:tcPr>
            <w:tcW w:w="5216" w:type="dxa"/>
            <w:vAlign w:val="center"/>
          </w:tcPr>
          <w:p w14:paraId="2D87BAC5">
            <w:pPr>
              <w:spacing w:line="300" w:lineRule="exact"/>
              <w:jc w:val="left"/>
              <w:rPr>
                <w:rFonts w:hint="eastAsia" w:ascii="宋体" w:hAnsi="宋体" w:cs="宋体"/>
                <w:kern w:val="0"/>
                <w:szCs w:val="21"/>
              </w:rPr>
            </w:pPr>
            <w:r>
              <w:rPr>
                <w:rFonts w:hint="eastAsia" w:ascii="宋体" w:hAnsi="宋体" w:cs="宋体"/>
                <w:kern w:val="0"/>
                <w:szCs w:val="21"/>
              </w:rPr>
              <w:t>完全响应招标文件“技术要求”及“服务要求”的得32分；负偏离或未响应一条打“</w:t>
            </w:r>
            <w:r>
              <w:rPr>
                <w:rFonts w:hint="eastAsia" w:ascii="宋体" w:hAnsi="宋体" w:cs="宋体"/>
                <w:sz w:val="24"/>
              </w:rPr>
              <w:t>★</w:t>
            </w:r>
            <w:r>
              <w:rPr>
                <w:rFonts w:hint="eastAsia" w:ascii="宋体" w:hAnsi="宋体" w:cs="宋体"/>
                <w:kern w:val="0"/>
                <w:szCs w:val="21"/>
              </w:rPr>
              <w:t>”技术要求条款扣1.8分，负偏离或未响应一条其他技术及服务要求条款扣1</w:t>
            </w:r>
            <w:r>
              <w:rPr>
                <w:rFonts w:hint="eastAsia" w:ascii="宋体" w:hAnsi="宋体" w:cs="宋体"/>
                <w:kern w:val="0"/>
                <w:szCs w:val="21"/>
                <w:lang w:val="en-US" w:eastAsia="zh-CN"/>
              </w:rPr>
              <w:t>.2</w:t>
            </w:r>
            <w:r>
              <w:rPr>
                <w:rFonts w:hint="eastAsia" w:ascii="宋体" w:hAnsi="宋体" w:cs="宋体"/>
                <w:kern w:val="0"/>
                <w:szCs w:val="21"/>
              </w:rPr>
              <w:t>分，本项评议最终得分≤0分的视为投标人无法满足招标人基本招标要求，作无效响应处理。</w:t>
            </w:r>
          </w:p>
        </w:tc>
        <w:tc>
          <w:tcPr>
            <w:tcW w:w="567" w:type="dxa"/>
            <w:vAlign w:val="center"/>
          </w:tcPr>
          <w:p w14:paraId="4B14E5F1">
            <w:pPr>
              <w:spacing w:line="300" w:lineRule="exact"/>
              <w:jc w:val="center"/>
              <w:rPr>
                <w:rFonts w:hint="eastAsia" w:asciiTheme="majorEastAsia" w:hAnsiTheme="majorEastAsia" w:eastAsiaTheme="majorEastAsia"/>
              </w:rPr>
            </w:pPr>
            <w:r>
              <w:rPr>
                <w:rFonts w:hint="eastAsia" w:asciiTheme="majorEastAsia" w:hAnsiTheme="majorEastAsia" w:eastAsiaTheme="majorEastAsia"/>
              </w:rPr>
              <w:t>32</w:t>
            </w:r>
          </w:p>
        </w:tc>
        <w:tc>
          <w:tcPr>
            <w:tcW w:w="851" w:type="dxa"/>
            <w:vAlign w:val="center"/>
          </w:tcPr>
          <w:p w14:paraId="7BC6283D">
            <w:pPr>
              <w:widowControl/>
              <w:spacing w:line="300" w:lineRule="exact"/>
              <w:jc w:val="center"/>
              <w:rPr>
                <w:rFonts w:hint="eastAsia" w:asciiTheme="majorEastAsia" w:hAnsiTheme="majorEastAsia" w:eastAsiaTheme="majorEastAsia"/>
              </w:rPr>
            </w:pPr>
            <w:r>
              <w:rPr>
                <w:rFonts w:asciiTheme="majorEastAsia" w:hAnsiTheme="majorEastAsia" w:eastAsiaTheme="majorEastAsia"/>
              </w:rPr>
              <w:t>客观</w:t>
            </w:r>
          </w:p>
        </w:tc>
      </w:tr>
      <w:tr w14:paraId="4A27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55" w:type="dxa"/>
            <w:vMerge w:val="continue"/>
            <w:vAlign w:val="center"/>
          </w:tcPr>
          <w:p w14:paraId="0A4B439D">
            <w:pPr>
              <w:adjustRightInd w:val="0"/>
              <w:spacing w:line="280" w:lineRule="exact"/>
              <w:jc w:val="center"/>
              <w:textAlignment w:val="baseline"/>
              <w:rPr>
                <w:rFonts w:hint="eastAsia" w:asciiTheme="majorEastAsia" w:hAnsiTheme="majorEastAsia" w:eastAsiaTheme="majorEastAsia"/>
                <w:kern w:val="0"/>
                <w:szCs w:val="21"/>
              </w:rPr>
            </w:pPr>
          </w:p>
        </w:tc>
        <w:tc>
          <w:tcPr>
            <w:tcW w:w="1308" w:type="dxa"/>
            <w:vAlign w:val="center"/>
          </w:tcPr>
          <w:p w14:paraId="046D853A">
            <w:pPr>
              <w:spacing w:line="300" w:lineRule="exact"/>
              <w:jc w:val="center"/>
              <w:rPr>
                <w:rFonts w:hint="eastAsia" w:ascii="宋体" w:hAnsi="宋体" w:cs="宋体"/>
                <w:kern w:val="0"/>
                <w:szCs w:val="21"/>
              </w:rPr>
            </w:pPr>
            <w:r>
              <w:rPr>
                <w:rFonts w:hint="eastAsia" w:ascii="宋体" w:hAnsi="宋体" w:cs="宋体"/>
                <w:kern w:val="0"/>
                <w:szCs w:val="21"/>
              </w:rPr>
              <w:t>2、供货方案（6分）</w:t>
            </w:r>
          </w:p>
        </w:tc>
        <w:tc>
          <w:tcPr>
            <w:tcW w:w="5216" w:type="dxa"/>
            <w:vAlign w:val="center"/>
          </w:tcPr>
          <w:p w14:paraId="789CB578">
            <w:pPr>
              <w:spacing w:line="300" w:lineRule="exact"/>
              <w:jc w:val="left"/>
              <w:rPr>
                <w:rFonts w:hint="eastAsia" w:ascii="宋体" w:hAnsi="宋体" w:cs="宋体"/>
                <w:kern w:val="0"/>
                <w:szCs w:val="21"/>
              </w:rPr>
            </w:pPr>
            <w:r>
              <w:rPr>
                <w:rFonts w:hint="eastAsia" w:ascii="宋体" w:hAnsi="宋体" w:cs="宋体"/>
                <w:kern w:val="0"/>
                <w:szCs w:val="21"/>
              </w:rPr>
              <w:t>根据投标人提供的供货方案（含供货期限、交货方式、供货保障、供货流程）进行评议。</w:t>
            </w:r>
          </w:p>
          <w:p w14:paraId="2EEAADA9">
            <w:pPr>
              <w:spacing w:line="300" w:lineRule="exact"/>
              <w:jc w:val="left"/>
              <w:rPr>
                <w:rFonts w:hint="eastAsia" w:ascii="宋体" w:hAnsi="宋体" w:cs="宋体"/>
                <w:kern w:val="0"/>
                <w:szCs w:val="21"/>
              </w:rPr>
            </w:pPr>
            <w:r>
              <w:rPr>
                <w:rFonts w:hint="eastAsia" w:ascii="宋体" w:hAnsi="宋体" w:cs="宋体"/>
                <w:kern w:val="0"/>
                <w:szCs w:val="21"/>
              </w:rPr>
              <w:t>①产品供货到采购人安装地点的各阶段时间节点明确，工作内容清晰明确，具有可靠的保障措施，能够确保按期供货到位的得6分；</w:t>
            </w:r>
          </w:p>
          <w:p w14:paraId="7C1509FA">
            <w:pPr>
              <w:spacing w:line="300" w:lineRule="exact"/>
              <w:jc w:val="left"/>
              <w:rPr>
                <w:rFonts w:hint="eastAsia" w:ascii="宋体" w:hAnsi="宋体" w:cs="宋体"/>
                <w:kern w:val="0"/>
                <w:szCs w:val="21"/>
              </w:rPr>
            </w:pPr>
            <w:r>
              <w:rPr>
                <w:rFonts w:hint="eastAsia" w:ascii="宋体" w:hAnsi="宋体" w:cs="宋体"/>
                <w:kern w:val="0"/>
                <w:szCs w:val="21"/>
              </w:rPr>
              <w:t>②产品供货到采购人安装地点的各阶段时间节点基本明确，工作安排比较妥当，具有比较可靠的保障措施，基本能够保障按期供货到位的得4分；</w:t>
            </w:r>
          </w:p>
          <w:p w14:paraId="4E2CB700">
            <w:pPr>
              <w:spacing w:line="300" w:lineRule="exact"/>
              <w:jc w:val="left"/>
              <w:rPr>
                <w:rFonts w:hint="eastAsia" w:ascii="宋体" w:hAnsi="宋体" w:cs="宋体"/>
                <w:kern w:val="0"/>
                <w:szCs w:val="21"/>
              </w:rPr>
            </w:pPr>
            <w:r>
              <w:rPr>
                <w:rFonts w:hint="eastAsia" w:ascii="宋体" w:hAnsi="宋体" w:cs="宋体"/>
                <w:kern w:val="0"/>
                <w:szCs w:val="21"/>
              </w:rPr>
              <w:t>③产品供货到采购人安装地点的各阶段时间节点不够明确，工作安排不够妥当，保障措施不足的得2分；</w:t>
            </w:r>
          </w:p>
          <w:p w14:paraId="24756C85">
            <w:pPr>
              <w:spacing w:line="300" w:lineRule="exact"/>
              <w:jc w:val="left"/>
              <w:rPr>
                <w:rFonts w:hint="eastAsia" w:ascii="宋体" w:hAnsi="宋体" w:cs="宋体"/>
                <w:kern w:val="0"/>
                <w:szCs w:val="21"/>
              </w:rPr>
            </w:pPr>
            <w:r>
              <w:rPr>
                <w:rFonts w:hint="eastAsia" w:ascii="宋体" w:hAnsi="宋体" w:cs="宋体"/>
                <w:kern w:val="0"/>
                <w:szCs w:val="21"/>
              </w:rPr>
              <w:t>④未提供方案不得分。</w:t>
            </w:r>
          </w:p>
        </w:tc>
        <w:tc>
          <w:tcPr>
            <w:tcW w:w="567" w:type="dxa"/>
            <w:vAlign w:val="center"/>
          </w:tcPr>
          <w:p w14:paraId="47D0E4E9">
            <w:pPr>
              <w:spacing w:line="300" w:lineRule="exact"/>
              <w:jc w:val="center"/>
              <w:rPr>
                <w:rFonts w:hint="eastAsia" w:asciiTheme="majorEastAsia" w:hAnsiTheme="majorEastAsia" w:eastAsiaTheme="majorEastAsia"/>
              </w:rPr>
            </w:pPr>
            <w:r>
              <w:rPr>
                <w:rFonts w:hint="eastAsia" w:asciiTheme="majorEastAsia" w:hAnsiTheme="majorEastAsia" w:eastAsiaTheme="majorEastAsia"/>
              </w:rPr>
              <w:t>6</w:t>
            </w:r>
          </w:p>
        </w:tc>
        <w:tc>
          <w:tcPr>
            <w:tcW w:w="851" w:type="dxa"/>
            <w:vAlign w:val="center"/>
          </w:tcPr>
          <w:p w14:paraId="33EA9A22">
            <w:pPr>
              <w:widowControl/>
              <w:spacing w:line="300" w:lineRule="exact"/>
              <w:jc w:val="center"/>
              <w:rPr>
                <w:rFonts w:hint="eastAsia" w:asciiTheme="majorEastAsia" w:hAnsiTheme="majorEastAsia" w:eastAsiaTheme="majorEastAsia"/>
              </w:rPr>
            </w:pPr>
            <w:r>
              <w:rPr>
                <w:rFonts w:asciiTheme="majorEastAsia" w:hAnsiTheme="majorEastAsia" w:eastAsiaTheme="majorEastAsia"/>
                <w:kern w:val="0"/>
                <w:szCs w:val="21"/>
              </w:rPr>
              <w:t>主观</w:t>
            </w:r>
          </w:p>
        </w:tc>
      </w:tr>
      <w:tr w14:paraId="3F8E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5" w:type="dxa"/>
            <w:vMerge w:val="continue"/>
            <w:vAlign w:val="center"/>
          </w:tcPr>
          <w:p w14:paraId="762AEBD3">
            <w:pPr>
              <w:adjustRightInd w:val="0"/>
              <w:spacing w:line="280" w:lineRule="exact"/>
              <w:jc w:val="center"/>
              <w:textAlignment w:val="baseline"/>
              <w:rPr>
                <w:rFonts w:hint="eastAsia" w:asciiTheme="majorEastAsia" w:hAnsiTheme="majorEastAsia" w:eastAsiaTheme="majorEastAsia"/>
                <w:kern w:val="0"/>
                <w:szCs w:val="21"/>
              </w:rPr>
            </w:pPr>
          </w:p>
        </w:tc>
        <w:tc>
          <w:tcPr>
            <w:tcW w:w="1308" w:type="dxa"/>
            <w:vAlign w:val="center"/>
          </w:tcPr>
          <w:p w14:paraId="67A5FA7B">
            <w:pPr>
              <w:spacing w:line="300" w:lineRule="exact"/>
              <w:jc w:val="center"/>
              <w:rPr>
                <w:rFonts w:hint="eastAsia" w:ascii="宋体" w:hAnsi="宋体" w:cs="宋体"/>
                <w:kern w:val="0"/>
                <w:szCs w:val="21"/>
              </w:rPr>
            </w:pPr>
            <w:r>
              <w:rPr>
                <w:rFonts w:hint="eastAsia" w:ascii="宋体" w:hAnsi="宋体" w:cs="宋体"/>
                <w:kern w:val="0"/>
                <w:szCs w:val="21"/>
              </w:rPr>
              <w:t>3、安装调试方案（6分）</w:t>
            </w:r>
          </w:p>
        </w:tc>
        <w:tc>
          <w:tcPr>
            <w:tcW w:w="5216" w:type="dxa"/>
            <w:vAlign w:val="center"/>
          </w:tcPr>
          <w:p w14:paraId="65873233">
            <w:pPr>
              <w:spacing w:line="300" w:lineRule="exact"/>
              <w:jc w:val="left"/>
              <w:rPr>
                <w:rFonts w:hint="eastAsia" w:ascii="宋体" w:hAnsi="宋体" w:cs="宋体"/>
                <w:kern w:val="0"/>
                <w:szCs w:val="21"/>
              </w:rPr>
            </w:pPr>
            <w:r>
              <w:rPr>
                <w:rFonts w:hint="eastAsia" w:ascii="宋体" w:hAnsi="宋体" w:cs="宋体"/>
                <w:kern w:val="0"/>
                <w:szCs w:val="21"/>
              </w:rPr>
              <w:t>根据投标人提供的安装调试方案（含人员配置方案、安装方案、调试方式、故障处理预案）进行评议。</w:t>
            </w:r>
          </w:p>
          <w:p w14:paraId="0E9DAF7D">
            <w:pPr>
              <w:spacing w:line="300" w:lineRule="exact"/>
              <w:jc w:val="left"/>
              <w:rPr>
                <w:rFonts w:hint="eastAsia" w:ascii="宋体" w:hAnsi="宋体" w:cs="宋体"/>
                <w:kern w:val="0"/>
                <w:szCs w:val="21"/>
              </w:rPr>
            </w:pPr>
            <w:r>
              <w:rPr>
                <w:rFonts w:hint="eastAsia" w:ascii="宋体" w:hAnsi="宋体" w:cs="宋体"/>
                <w:kern w:val="0"/>
                <w:szCs w:val="21"/>
              </w:rPr>
              <w:t>①安装调试方案完整，能提供详细的安装人员配置、调试方案，能确保产品安装调试完成，故障处理预案完整有效的得6分；</w:t>
            </w:r>
          </w:p>
          <w:p w14:paraId="52620389">
            <w:pPr>
              <w:spacing w:line="300" w:lineRule="exact"/>
              <w:jc w:val="left"/>
              <w:rPr>
                <w:rFonts w:hint="eastAsia" w:ascii="宋体" w:hAnsi="宋体" w:cs="宋体"/>
                <w:kern w:val="0"/>
                <w:szCs w:val="21"/>
              </w:rPr>
            </w:pPr>
            <w:r>
              <w:rPr>
                <w:rFonts w:hint="eastAsia" w:ascii="宋体" w:hAnsi="宋体" w:cs="宋体"/>
                <w:kern w:val="0"/>
                <w:szCs w:val="21"/>
              </w:rPr>
              <w:t>②安装调试方案中涉及安装人员配置、调试方案，但内容笼统细节不完善，安装调试方案有待补充，故障处理预案基本有效、略有欠缺的得4分；</w:t>
            </w:r>
          </w:p>
          <w:p w14:paraId="152E704B">
            <w:pPr>
              <w:spacing w:line="300" w:lineRule="exact"/>
              <w:jc w:val="left"/>
              <w:rPr>
                <w:rFonts w:hint="eastAsia" w:ascii="宋体" w:hAnsi="宋体" w:cs="宋体"/>
                <w:kern w:val="0"/>
                <w:szCs w:val="21"/>
              </w:rPr>
            </w:pPr>
            <w:r>
              <w:rPr>
                <w:rFonts w:hint="eastAsia" w:ascii="宋体" w:hAnsi="宋体" w:cs="宋体"/>
                <w:kern w:val="0"/>
                <w:szCs w:val="21"/>
              </w:rPr>
              <w:t>③安装调试方案不完整有缺漏，故障处理预案有效性差的得2分；</w:t>
            </w:r>
          </w:p>
          <w:p w14:paraId="3196B8B3">
            <w:pPr>
              <w:spacing w:line="300" w:lineRule="exact"/>
              <w:jc w:val="left"/>
              <w:rPr>
                <w:rFonts w:hint="eastAsia" w:ascii="宋体" w:hAnsi="宋体" w:cs="宋体"/>
                <w:kern w:val="0"/>
                <w:szCs w:val="21"/>
              </w:rPr>
            </w:pPr>
            <w:r>
              <w:rPr>
                <w:rFonts w:hint="eastAsia" w:ascii="宋体" w:hAnsi="宋体" w:cs="宋体"/>
                <w:kern w:val="0"/>
                <w:szCs w:val="21"/>
              </w:rPr>
              <w:t>④未提供方案不得分。</w:t>
            </w:r>
          </w:p>
        </w:tc>
        <w:tc>
          <w:tcPr>
            <w:tcW w:w="567" w:type="dxa"/>
            <w:vAlign w:val="center"/>
          </w:tcPr>
          <w:p w14:paraId="7E38817E">
            <w:pPr>
              <w:spacing w:line="300" w:lineRule="exact"/>
              <w:jc w:val="center"/>
              <w:rPr>
                <w:rFonts w:hint="eastAsia" w:asciiTheme="majorEastAsia" w:hAnsiTheme="majorEastAsia" w:eastAsiaTheme="majorEastAsia"/>
              </w:rPr>
            </w:pPr>
            <w:r>
              <w:rPr>
                <w:rFonts w:hint="eastAsia" w:asciiTheme="majorEastAsia" w:hAnsiTheme="majorEastAsia" w:eastAsiaTheme="majorEastAsia"/>
              </w:rPr>
              <w:t>6</w:t>
            </w:r>
          </w:p>
        </w:tc>
        <w:tc>
          <w:tcPr>
            <w:tcW w:w="851" w:type="dxa"/>
            <w:vAlign w:val="center"/>
          </w:tcPr>
          <w:p w14:paraId="58CCB024">
            <w:pPr>
              <w:spacing w:line="300" w:lineRule="exact"/>
              <w:jc w:val="center"/>
              <w:rPr>
                <w:rFonts w:hint="eastAsia" w:asciiTheme="majorEastAsia" w:hAnsiTheme="majorEastAsia" w:eastAsiaTheme="majorEastAsia"/>
                <w:kern w:val="1"/>
              </w:rPr>
            </w:pPr>
            <w:r>
              <w:rPr>
                <w:rFonts w:asciiTheme="majorEastAsia" w:hAnsiTheme="majorEastAsia" w:eastAsiaTheme="majorEastAsia"/>
                <w:kern w:val="0"/>
                <w:szCs w:val="21"/>
              </w:rPr>
              <w:t>主观</w:t>
            </w:r>
          </w:p>
        </w:tc>
      </w:tr>
      <w:tr w14:paraId="74F8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5" w:type="dxa"/>
            <w:vMerge w:val="continue"/>
            <w:vAlign w:val="center"/>
          </w:tcPr>
          <w:p w14:paraId="4BA80AAF">
            <w:pPr>
              <w:adjustRightInd w:val="0"/>
              <w:spacing w:line="280" w:lineRule="exact"/>
              <w:jc w:val="center"/>
              <w:textAlignment w:val="baseline"/>
              <w:rPr>
                <w:rFonts w:hint="eastAsia" w:asciiTheme="majorEastAsia" w:hAnsiTheme="majorEastAsia" w:eastAsiaTheme="majorEastAsia"/>
                <w:kern w:val="0"/>
                <w:szCs w:val="21"/>
              </w:rPr>
            </w:pPr>
          </w:p>
        </w:tc>
        <w:tc>
          <w:tcPr>
            <w:tcW w:w="1308" w:type="dxa"/>
            <w:vAlign w:val="center"/>
          </w:tcPr>
          <w:p w14:paraId="08AEA83B">
            <w:pPr>
              <w:spacing w:line="300" w:lineRule="exact"/>
              <w:jc w:val="center"/>
              <w:rPr>
                <w:rFonts w:hint="eastAsia" w:ascii="宋体" w:hAnsi="宋体" w:cs="宋体"/>
                <w:kern w:val="0"/>
                <w:szCs w:val="21"/>
                <w:highlight w:val="yellow"/>
              </w:rPr>
            </w:pPr>
            <w:r>
              <w:rPr>
                <w:rFonts w:hint="eastAsia" w:ascii="宋体" w:hAnsi="宋体" w:cs="宋体"/>
                <w:kern w:val="0"/>
                <w:szCs w:val="21"/>
              </w:rPr>
              <w:t>4、售后服务方案（6分）</w:t>
            </w:r>
          </w:p>
        </w:tc>
        <w:tc>
          <w:tcPr>
            <w:tcW w:w="5216" w:type="dxa"/>
            <w:vAlign w:val="center"/>
          </w:tcPr>
          <w:p w14:paraId="6B3A59FA">
            <w:pPr>
              <w:spacing w:line="300" w:lineRule="exact"/>
              <w:jc w:val="left"/>
              <w:rPr>
                <w:rFonts w:hint="eastAsia" w:ascii="宋体" w:hAnsi="宋体" w:cs="宋体"/>
                <w:kern w:val="0"/>
                <w:szCs w:val="21"/>
              </w:rPr>
            </w:pPr>
            <w:r>
              <w:rPr>
                <w:rFonts w:hint="eastAsia" w:ascii="宋体" w:hAnsi="宋体" w:cs="宋体"/>
                <w:kern w:val="0"/>
                <w:szCs w:val="21"/>
              </w:rPr>
              <w:t>根据投标人针对本次项目的售后服务方案（含</w:t>
            </w:r>
            <w:r>
              <w:rPr>
                <w:rFonts w:ascii="宋体" w:hAnsi="宋体" w:cs="宋体"/>
                <w:kern w:val="0"/>
                <w:szCs w:val="21"/>
              </w:rPr>
              <w:t>售后服务机构</w:t>
            </w:r>
            <w:r>
              <w:rPr>
                <w:rFonts w:hint="eastAsia" w:ascii="宋体" w:hAnsi="宋体" w:cs="宋体"/>
                <w:kern w:val="0"/>
                <w:szCs w:val="21"/>
              </w:rPr>
              <w:t>、</w:t>
            </w:r>
            <w:r>
              <w:rPr>
                <w:rFonts w:ascii="宋体" w:hAnsi="宋体" w:cs="宋体"/>
                <w:kern w:val="0"/>
                <w:szCs w:val="21"/>
              </w:rPr>
              <w:t>售后服务人员配置</w:t>
            </w:r>
            <w:r>
              <w:rPr>
                <w:rFonts w:hint="eastAsia" w:ascii="宋体" w:hAnsi="宋体" w:cs="宋体"/>
                <w:kern w:val="0"/>
                <w:szCs w:val="21"/>
              </w:rPr>
              <w:t>、</w:t>
            </w:r>
            <w:r>
              <w:rPr>
                <w:rFonts w:ascii="宋体" w:hAnsi="宋体" w:cs="宋体"/>
                <w:kern w:val="0"/>
                <w:szCs w:val="21"/>
              </w:rPr>
              <w:t>服务响应时效</w:t>
            </w:r>
            <w:r>
              <w:rPr>
                <w:rFonts w:hint="eastAsia" w:ascii="宋体" w:hAnsi="宋体" w:cs="宋体"/>
                <w:kern w:val="0"/>
                <w:szCs w:val="21"/>
              </w:rPr>
              <w:t>）进行评议。</w:t>
            </w:r>
          </w:p>
          <w:p w14:paraId="389AC9B3">
            <w:pPr>
              <w:spacing w:line="300" w:lineRule="exact"/>
              <w:jc w:val="left"/>
              <w:rPr>
                <w:rFonts w:hint="eastAsia" w:ascii="宋体" w:hAnsi="宋体" w:cs="宋体"/>
                <w:kern w:val="0"/>
                <w:szCs w:val="21"/>
              </w:rPr>
            </w:pPr>
            <w:r>
              <w:rPr>
                <w:rFonts w:hint="eastAsia" w:ascii="宋体" w:hAnsi="宋体" w:cs="宋体"/>
                <w:kern w:val="0"/>
                <w:szCs w:val="21"/>
              </w:rPr>
              <w:t>①</w:t>
            </w:r>
            <w:r>
              <w:t>售后服务有保障且有相应的售后服务机构，能有效提高货物使用体验，服务目标明确清晰，响应时效优于采购要求的得</w:t>
            </w:r>
            <w:r>
              <w:rPr>
                <w:rFonts w:hint="eastAsia" w:ascii="宋体" w:hAnsi="宋体" w:cs="宋体"/>
                <w:kern w:val="0"/>
                <w:szCs w:val="21"/>
              </w:rPr>
              <w:t>6</w:t>
            </w:r>
            <w:r>
              <w:rPr>
                <w:rFonts w:ascii="宋体" w:hAnsi="宋体" w:cs="宋体"/>
                <w:kern w:val="0"/>
                <w:szCs w:val="21"/>
              </w:rPr>
              <w:t>分；</w:t>
            </w:r>
          </w:p>
          <w:p w14:paraId="2538B7DD">
            <w:pPr>
              <w:spacing w:line="300" w:lineRule="exact"/>
              <w:jc w:val="left"/>
              <w:rPr>
                <w:rFonts w:hint="eastAsia" w:ascii="宋体" w:hAnsi="宋体" w:cs="宋体"/>
                <w:kern w:val="0"/>
                <w:szCs w:val="21"/>
              </w:rPr>
            </w:pPr>
            <w:r>
              <w:rPr>
                <w:rFonts w:hint="eastAsia" w:ascii="宋体" w:hAnsi="宋体" w:cs="宋体"/>
                <w:kern w:val="0"/>
                <w:szCs w:val="21"/>
              </w:rPr>
              <w:t>②</w:t>
            </w:r>
            <w:r>
              <w:rPr>
                <w:rFonts w:ascii="宋体" w:hAnsi="宋体" w:cs="宋体"/>
                <w:kern w:val="0"/>
                <w:szCs w:val="21"/>
              </w:rPr>
              <w:t>方案内容符合采购需求，不影响服务质量，服务响应时效满足采购需求的得</w:t>
            </w:r>
            <w:r>
              <w:rPr>
                <w:rFonts w:hint="eastAsia" w:ascii="宋体" w:hAnsi="宋体" w:cs="宋体"/>
                <w:kern w:val="0"/>
                <w:szCs w:val="21"/>
              </w:rPr>
              <w:t>4</w:t>
            </w:r>
            <w:r>
              <w:rPr>
                <w:rFonts w:ascii="宋体" w:hAnsi="宋体" w:cs="宋体"/>
                <w:kern w:val="0"/>
                <w:szCs w:val="21"/>
              </w:rPr>
              <w:t>分；</w:t>
            </w:r>
          </w:p>
          <w:p w14:paraId="0BF258FA">
            <w:pPr>
              <w:spacing w:line="300" w:lineRule="exact"/>
              <w:jc w:val="left"/>
              <w:rPr>
                <w:rFonts w:hint="eastAsia" w:ascii="宋体" w:hAnsi="宋体" w:cs="宋体"/>
                <w:kern w:val="0"/>
                <w:szCs w:val="21"/>
              </w:rPr>
            </w:pPr>
            <w:r>
              <w:rPr>
                <w:rFonts w:hint="eastAsia" w:ascii="宋体" w:hAnsi="宋体" w:cs="宋体"/>
                <w:kern w:val="0"/>
                <w:szCs w:val="21"/>
              </w:rPr>
              <w:t>③</w:t>
            </w:r>
            <w:r>
              <w:rPr>
                <w:rFonts w:ascii="宋体" w:hAnsi="宋体" w:cs="宋体"/>
                <w:kern w:val="0"/>
                <w:szCs w:val="21"/>
              </w:rPr>
              <w:t>方案内容不够符合项目实际要求，响应滞后，可能影响服务质量的得</w:t>
            </w:r>
            <w:r>
              <w:rPr>
                <w:rFonts w:hint="eastAsia" w:ascii="宋体" w:hAnsi="宋体" w:cs="宋体"/>
                <w:kern w:val="0"/>
                <w:szCs w:val="21"/>
              </w:rPr>
              <w:t>2</w:t>
            </w:r>
            <w:r>
              <w:rPr>
                <w:rFonts w:ascii="宋体" w:hAnsi="宋体" w:cs="宋体"/>
                <w:kern w:val="0"/>
                <w:szCs w:val="21"/>
              </w:rPr>
              <w:t>分；</w:t>
            </w:r>
          </w:p>
          <w:p w14:paraId="2611C09B">
            <w:pPr>
              <w:spacing w:line="300" w:lineRule="exact"/>
              <w:jc w:val="left"/>
              <w:rPr>
                <w:rFonts w:hint="eastAsia" w:ascii="宋体" w:hAnsi="宋体" w:cs="宋体"/>
                <w:kern w:val="0"/>
                <w:szCs w:val="21"/>
                <w:highlight w:val="yellow"/>
              </w:rPr>
            </w:pPr>
            <w:r>
              <w:rPr>
                <w:rFonts w:hint="eastAsia" w:ascii="宋体" w:hAnsi="宋体" w:cs="宋体"/>
                <w:kern w:val="0"/>
                <w:szCs w:val="21"/>
              </w:rPr>
              <w:t>④未提供方案不得分。</w:t>
            </w:r>
          </w:p>
        </w:tc>
        <w:tc>
          <w:tcPr>
            <w:tcW w:w="567" w:type="dxa"/>
            <w:vAlign w:val="center"/>
          </w:tcPr>
          <w:p w14:paraId="1216C46A">
            <w:pPr>
              <w:spacing w:line="300" w:lineRule="exact"/>
              <w:jc w:val="center"/>
              <w:rPr>
                <w:rFonts w:hint="eastAsia" w:asciiTheme="majorEastAsia" w:hAnsiTheme="majorEastAsia" w:eastAsiaTheme="majorEastAsia"/>
              </w:rPr>
            </w:pPr>
            <w:r>
              <w:rPr>
                <w:rFonts w:hint="eastAsia" w:asciiTheme="majorEastAsia" w:hAnsiTheme="majorEastAsia" w:eastAsiaTheme="majorEastAsia"/>
              </w:rPr>
              <w:t>6</w:t>
            </w:r>
          </w:p>
        </w:tc>
        <w:tc>
          <w:tcPr>
            <w:tcW w:w="851" w:type="dxa"/>
            <w:vAlign w:val="center"/>
          </w:tcPr>
          <w:p w14:paraId="0E79E2A3">
            <w:pPr>
              <w:spacing w:line="300" w:lineRule="exact"/>
              <w:jc w:val="center"/>
              <w:rPr>
                <w:rFonts w:hint="eastAsia" w:asciiTheme="majorEastAsia" w:hAnsiTheme="majorEastAsia" w:eastAsiaTheme="majorEastAsia"/>
                <w:kern w:val="0"/>
                <w:szCs w:val="21"/>
              </w:rPr>
            </w:pPr>
            <w:r>
              <w:rPr>
                <w:rFonts w:asciiTheme="majorEastAsia" w:hAnsiTheme="majorEastAsia" w:eastAsiaTheme="majorEastAsia"/>
                <w:kern w:val="0"/>
                <w:szCs w:val="21"/>
              </w:rPr>
              <w:t>主观</w:t>
            </w:r>
          </w:p>
        </w:tc>
      </w:tr>
      <w:tr w14:paraId="33EE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955" w:type="dxa"/>
            <w:vMerge w:val="continue"/>
            <w:vAlign w:val="center"/>
          </w:tcPr>
          <w:p w14:paraId="751545C2">
            <w:pPr>
              <w:adjustRightInd w:val="0"/>
              <w:spacing w:line="280" w:lineRule="exact"/>
              <w:jc w:val="center"/>
              <w:textAlignment w:val="baseline"/>
              <w:rPr>
                <w:rFonts w:hint="eastAsia" w:asciiTheme="majorEastAsia" w:hAnsiTheme="majorEastAsia" w:eastAsiaTheme="majorEastAsia"/>
                <w:kern w:val="0"/>
                <w:szCs w:val="21"/>
              </w:rPr>
            </w:pPr>
          </w:p>
        </w:tc>
        <w:tc>
          <w:tcPr>
            <w:tcW w:w="1308" w:type="dxa"/>
            <w:vAlign w:val="center"/>
          </w:tcPr>
          <w:p w14:paraId="4C222062">
            <w:pPr>
              <w:spacing w:line="300" w:lineRule="exact"/>
              <w:jc w:val="center"/>
              <w:rPr>
                <w:rFonts w:hint="eastAsia" w:ascii="宋体" w:hAnsi="宋体" w:cs="宋体"/>
                <w:kern w:val="0"/>
                <w:szCs w:val="21"/>
              </w:rPr>
            </w:pPr>
            <w:r>
              <w:rPr>
                <w:rFonts w:hint="eastAsia" w:ascii="宋体" w:hAnsi="宋体" w:cs="宋体"/>
                <w:kern w:val="0"/>
                <w:szCs w:val="21"/>
              </w:rPr>
              <w:t>5、售后服务承诺（6分）</w:t>
            </w:r>
          </w:p>
        </w:tc>
        <w:tc>
          <w:tcPr>
            <w:tcW w:w="5216" w:type="dxa"/>
            <w:vAlign w:val="center"/>
          </w:tcPr>
          <w:p w14:paraId="544121A6">
            <w:pPr>
              <w:spacing w:line="300" w:lineRule="exact"/>
              <w:jc w:val="left"/>
              <w:rPr>
                <w:rFonts w:hint="eastAsia" w:ascii="宋体" w:hAnsi="宋体" w:cs="宋体"/>
                <w:kern w:val="0"/>
                <w:szCs w:val="21"/>
              </w:rPr>
            </w:pPr>
            <w:r>
              <w:rPr>
                <w:rFonts w:hint="eastAsia" w:ascii="宋体" w:hAnsi="宋体" w:cs="宋体"/>
                <w:kern w:val="0"/>
                <w:szCs w:val="21"/>
              </w:rPr>
              <w:t>根据投标人针对本次项目的售后服务承诺（含</w:t>
            </w:r>
            <w:r>
              <w:rPr>
                <w:rFonts w:ascii="宋体" w:hAnsi="宋体" w:cs="宋体"/>
                <w:kern w:val="0"/>
                <w:szCs w:val="21"/>
              </w:rPr>
              <w:t>服务承诺落实的保障措施</w:t>
            </w:r>
            <w:r>
              <w:rPr>
                <w:rFonts w:hint="eastAsia" w:ascii="宋体" w:hAnsi="宋体" w:cs="宋体"/>
                <w:kern w:val="0"/>
                <w:szCs w:val="21"/>
              </w:rPr>
              <w:t>、</w:t>
            </w:r>
            <w:r>
              <w:rPr>
                <w:rFonts w:ascii="宋体" w:hAnsi="宋体" w:cs="宋体"/>
                <w:kern w:val="0"/>
                <w:szCs w:val="21"/>
              </w:rPr>
              <w:t>质保期内外的后续技术支持服务</w:t>
            </w:r>
            <w:r>
              <w:rPr>
                <w:rFonts w:hint="eastAsia" w:ascii="宋体" w:hAnsi="宋体" w:cs="宋体"/>
                <w:kern w:val="0"/>
                <w:szCs w:val="21"/>
              </w:rPr>
              <w:t>、</w:t>
            </w:r>
            <w:r>
              <w:rPr>
                <w:rFonts w:ascii="宋体" w:hAnsi="宋体" w:cs="宋体"/>
                <w:kern w:val="0"/>
                <w:szCs w:val="21"/>
              </w:rPr>
              <w:t>维护能力情况</w:t>
            </w:r>
            <w:r>
              <w:rPr>
                <w:rFonts w:hint="eastAsia" w:ascii="宋体" w:hAnsi="宋体" w:cs="宋体"/>
                <w:kern w:val="0"/>
                <w:szCs w:val="21"/>
              </w:rPr>
              <w:t>、</w:t>
            </w:r>
            <w:r>
              <w:rPr>
                <w:rFonts w:ascii="宋体" w:hAnsi="宋体" w:cs="宋体"/>
                <w:kern w:val="0"/>
                <w:szCs w:val="21"/>
              </w:rPr>
              <w:t>设备故障时应急处理方案服务体系</w:t>
            </w:r>
            <w:r>
              <w:rPr>
                <w:rFonts w:hint="eastAsia" w:ascii="宋体" w:hAnsi="宋体" w:cs="宋体"/>
                <w:kern w:val="0"/>
                <w:szCs w:val="21"/>
              </w:rPr>
              <w:t>、</w:t>
            </w:r>
            <w:r>
              <w:rPr>
                <w:rFonts w:ascii="宋体" w:hAnsi="宋体" w:cs="宋体"/>
                <w:kern w:val="0"/>
                <w:szCs w:val="21"/>
              </w:rPr>
              <w:t>退换货品承诺</w:t>
            </w:r>
            <w:r>
              <w:rPr>
                <w:rFonts w:hint="eastAsia" w:ascii="宋体" w:hAnsi="宋体" w:cs="宋体"/>
                <w:kern w:val="0"/>
                <w:szCs w:val="21"/>
              </w:rPr>
              <w:t>）进行评议。</w:t>
            </w:r>
          </w:p>
          <w:p w14:paraId="61B4B32C">
            <w:pPr>
              <w:spacing w:line="300" w:lineRule="exact"/>
              <w:jc w:val="left"/>
              <w:rPr>
                <w:rFonts w:hint="eastAsia" w:ascii="宋体" w:hAnsi="宋体" w:cs="宋体"/>
                <w:kern w:val="0"/>
                <w:szCs w:val="21"/>
              </w:rPr>
            </w:pPr>
            <w:r>
              <w:rPr>
                <w:rFonts w:hint="eastAsia" w:ascii="宋体" w:hAnsi="宋体" w:cs="宋体"/>
                <w:kern w:val="0"/>
                <w:szCs w:val="21"/>
              </w:rPr>
              <w:t>①</w:t>
            </w:r>
            <w:r>
              <w:t>各项服务承诺能与采购需求相结合，能提供实质性承诺及保障措施，能有效保证货物正常使用的得</w:t>
            </w:r>
            <w:r>
              <w:rPr>
                <w:rFonts w:hint="eastAsia" w:asciiTheme="majorEastAsia" w:hAnsiTheme="majorEastAsia" w:eastAsiaTheme="majorEastAsia"/>
              </w:rPr>
              <w:t>6</w:t>
            </w:r>
            <w:r>
              <w:t>分；</w:t>
            </w:r>
          </w:p>
          <w:p w14:paraId="6C4A7EF7">
            <w:pPr>
              <w:spacing w:line="300" w:lineRule="exact"/>
              <w:jc w:val="left"/>
              <w:rPr>
                <w:rFonts w:hint="eastAsia" w:ascii="宋体" w:hAnsi="宋体" w:cs="宋体"/>
                <w:kern w:val="0"/>
                <w:szCs w:val="21"/>
              </w:rPr>
            </w:pPr>
            <w:r>
              <w:rPr>
                <w:rFonts w:hint="eastAsia" w:ascii="宋体" w:hAnsi="宋体" w:cs="宋体"/>
                <w:kern w:val="0"/>
                <w:szCs w:val="21"/>
              </w:rPr>
              <w:t>②</w:t>
            </w:r>
            <w:r>
              <w:rPr>
                <w:rFonts w:ascii="宋体" w:hAnsi="宋体" w:cs="宋体"/>
                <w:kern w:val="0"/>
                <w:szCs w:val="21"/>
              </w:rPr>
              <w:t>各项服务承诺与采购需求基本相结合，但承诺及保障基本符合货物实际使用情况，基 本满足采购人使用要求的得</w:t>
            </w:r>
            <w:r>
              <w:rPr>
                <w:rFonts w:hint="eastAsia" w:ascii="宋体" w:hAnsi="宋体" w:cs="宋体"/>
                <w:kern w:val="0"/>
                <w:szCs w:val="21"/>
              </w:rPr>
              <w:t>4</w:t>
            </w:r>
            <w:r>
              <w:rPr>
                <w:rFonts w:ascii="宋体" w:hAnsi="宋体" w:cs="宋体"/>
                <w:kern w:val="0"/>
                <w:szCs w:val="21"/>
              </w:rPr>
              <w:t>分；</w:t>
            </w:r>
          </w:p>
          <w:p w14:paraId="00F5BDB9">
            <w:pPr>
              <w:spacing w:line="300" w:lineRule="exact"/>
              <w:jc w:val="left"/>
              <w:rPr>
                <w:rFonts w:hint="eastAsia" w:ascii="宋体" w:hAnsi="宋体" w:cs="宋体"/>
                <w:kern w:val="0"/>
                <w:szCs w:val="21"/>
              </w:rPr>
            </w:pPr>
            <w:r>
              <w:rPr>
                <w:rFonts w:hint="eastAsia" w:ascii="宋体" w:hAnsi="宋体" w:cs="宋体"/>
                <w:kern w:val="0"/>
                <w:szCs w:val="21"/>
              </w:rPr>
              <w:t>③</w:t>
            </w:r>
            <w:r>
              <w:rPr>
                <w:rFonts w:ascii="宋体" w:hAnsi="宋体" w:cs="宋体"/>
                <w:kern w:val="0"/>
                <w:szCs w:val="21"/>
              </w:rPr>
              <w:t>各项服务承诺和保障措施影响项目实际要求，且会影响货物正常使用的得</w:t>
            </w:r>
            <w:r>
              <w:rPr>
                <w:rFonts w:hint="eastAsia" w:ascii="宋体" w:hAnsi="宋体" w:cs="宋体"/>
                <w:kern w:val="0"/>
                <w:szCs w:val="21"/>
              </w:rPr>
              <w:t>2</w:t>
            </w:r>
            <w:r>
              <w:rPr>
                <w:rFonts w:ascii="宋体" w:hAnsi="宋体" w:cs="宋体"/>
                <w:kern w:val="0"/>
                <w:szCs w:val="21"/>
              </w:rPr>
              <w:t>分。</w:t>
            </w:r>
          </w:p>
          <w:p w14:paraId="6E7C1C93">
            <w:pPr>
              <w:spacing w:line="300" w:lineRule="exact"/>
              <w:jc w:val="left"/>
              <w:rPr>
                <w:rFonts w:hint="eastAsia" w:ascii="宋体" w:hAnsi="宋体" w:cs="宋体"/>
                <w:kern w:val="0"/>
                <w:szCs w:val="21"/>
              </w:rPr>
            </w:pPr>
            <w:r>
              <w:rPr>
                <w:rFonts w:hint="eastAsia" w:ascii="宋体" w:hAnsi="宋体" w:cs="宋体"/>
                <w:kern w:val="0"/>
                <w:szCs w:val="21"/>
              </w:rPr>
              <w:t>④未提供方案不得分。</w:t>
            </w:r>
          </w:p>
        </w:tc>
        <w:tc>
          <w:tcPr>
            <w:tcW w:w="567" w:type="dxa"/>
            <w:vAlign w:val="center"/>
          </w:tcPr>
          <w:p w14:paraId="2A61205A">
            <w:pPr>
              <w:spacing w:line="300" w:lineRule="exact"/>
              <w:jc w:val="center"/>
              <w:rPr>
                <w:rFonts w:hint="eastAsia" w:asciiTheme="majorEastAsia" w:hAnsiTheme="majorEastAsia" w:eastAsiaTheme="majorEastAsia"/>
              </w:rPr>
            </w:pPr>
            <w:r>
              <w:rPr>
                <w:rFonts w:hint="eastAsia" w:asciiTheme="majorEastAsia" w:hAnsiTheme="majorEastAsia" w:eastAsiaTheme="majorEastAsia"/>
              </w:rPr>
              <w:t>6</w:t>
            </w:r>
          </w:p>
        </w:tc>
        <w:tc>
          <w:tcPr>
            <w:tcW w:w="851" w:type="dxa"/>
            <w:vAlign w:val="center"/>
          </w:tcPr>
          <w:p w14:paraId="6B22DFC1">
            <w:pPr>
              <w:spacing w:line="300" w:lineRule="exact"/>
              <w:jc w:val="center"/>
              <w:rPr>
                <w:rFonts w:hint="eastAsia" w:asciiTheme="majorEastAsia" w:hAnsiTheme="majorEastAsia" w:eastAsiaTheme="majorEastAsia"/>
                <w:kern w:val="1"/>
              </w:rPr>
            </w:pPr>
            <w:r>
              <w:rPr>
                <w:rFonts w:asciiTheme="majorEastAsia" w:hAnsiTheme="majorEastAsia" w:eastAsiaTheme="majorEastAsia"/>
                <w:kern w:val="0"/>
                <w:szCs w:val="21"/>
              </w:rPr>
              <w:t>主观</w:t>
            </w:r>
          </w:p>
        </w:tc>
      </w:tr>
      <w:tr w14:paraId="777D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5" w:type="dxa"/>
            <w:vMerge w:val="continue"/>
            <w:vAlign w:val="center"/>
          </w:tcPr>
          <w:p w14:paraId="6DE484D3">
            <w:pPr>
              <w:adjustRightInd w:val="0"/>
              <w:spacing w:line="280" w:lineRule="exact"/>
              <w:jc w:val="center"/>
              <w:textAlignment w:val="baseline"/>
              <w:rPr>
                <w:rFonts w:hint="eastAsia" w:asciiTheme="majorEastAsia" w:hAnsiTheme="majorEastAsia" w:eastAsiaTheme="majorEastAsia"/>
                <w:kern w:val="0"/>
                <w:szCs w:val="21"/>
              </w:rPr>
            </w:pPr>
          </w:p>
        </w:tc>
        <w:tc>
          <w:tcPr>
            <w:tcW w:w="1308" w:type="dxa"/>
            <w:vAlign w:val="center"/>
          </w:tcPr>
          <w:p w14:paraId="72C89660">
            <w:pPr>
              <w:spacing w:line="300" w:lineRule="exact"/>
              <w:jc w:val="center"/>
              <w:rPr>
                <w:rFonts w:hint="eastAsia" w:ascii="宋体" w:hAnsi="宋体" w:cs="宋体"/>
                <w:kern w:val="0"/>
                <w:szCs w:val="21"/>
              </w:rPr>
            </w:pPr>
            <w:r>
              <w:rPr>
                <w:rFonts w:hint="eastAsia" w:ascii="宋体" w:hAnsi="宋体" w:cs="宋体"/>
                <w:kern w:val="0"/>
                <w:szCs w:val="21"/>
              </w:rPr>
              <w:t>6、培训方案（5分）</w:t>
            </w:r>
          </w:p>
        </w:tc>
        <w:tc>
          <w:tcPr>
            <w:tcW w:w="5216" w:type="dxa"/>
            <w:vAlign w:val="center"/>
          </w:tcPr>
          <w:p w14:paraId="143DC74E">
            <w:pPr>
              <w:spacing w:line="300" w:lineRule="exact"/>
              <w:rPr>
                <w:rFonts w:hint="eastAsia" w:ascii="宋体" w:hAnsi="宋体" w:eastAsia="宋体"/>
                <w:szCs w:val="21"/>
                <w:lang w:eastAsia="zh-CN"/>
              </w:rPr>
            </w:pPr>
            <w:r>
              <w:rPr>
                <w:rFonts w:hint="eastAsia" w:ascii="宋体" w:hAnsi="宋体"/>
                <w:szCs w:val="21"/>
              </w:rPr>
              <w:t>根据投标人所提供的技术培训服务内容（含培训时间安排、培训内容、培训次数和培训场地安排）进行评议</w:t>
            </w:r>
            <w:r>
              <w:rPr>
                <w:rFonts w:hint="eastAsia" w:ascii="宋体" w:hAnsi="宋体"/>
                <w:szCs w:val="21"/>
                <w:lang w:eastAsia="zh-CN"/>
              </w:rPr>
              <w:t>。</w:t>
            </w:r>
          </w:p>
          <w:p w14:paraId="2113BA81">
            <w:pPr>
              <w:spacing w:line="300" w:lineRule="exact"/>
              <w:rPr>
                <w:rFonts w:hint="eastAsia" w:ascii="宋体" w:hAnsi="宋体"/>
                <w:szCs w:val="21"/>
              </w:rPr>
            </w:pPr>
            <w:r>
              <w:rPr>
                <w:rFonts w:hint="eastAsia" w:ascii="宋体" w:hAnsi="宋体" w:cs="宋体"/>
                <w:kern w:val="0"/>
                <w:szCs w:val="21"/>
              </w:rPr>
              <w:t>①</w:t>
            </w:r>
            <w:r>
              <w:rPr>
                <w:rFonts w:hint="eastAsia" w:ascii="宋体" w:hAnsi="宋体"/>
                <w:szCs w:val="21"/>
              </w:rPr>
              <w:t>培训时间安排合理、培训内容涵盖本次产品所需技术需求、培训方式多样的得5分；</w:t>
            </w:r>
          </w:p>
          <w:p w14:paraId="0CE69F10">
            <w:pPr>
              <w:spacing w:line="300" w:lineRule="exact"/>
              <w:rPr>
                <w:rFonts w:hint="eastAsia" w:ascii="宋体" w:hAnsi="宋体"/>
                <w:szCs w:val="21"/>
              </w:rPr>
            </w:pPr>
            <w:r>
              <w:rPr>
                <w:rFonts w:hint="eastAsia" w:ascii="宋体" w:hAnsi="宋体" w:cs="宋体"/>
                <w:kern w:val="0"/>
                <w:szCs w:val="21"/>
              </w:rPr>
              <w:t>②</w:t>
            </w:r>
            <w:r>
              <w:rPr>
                <w:rFonts w:hint="eastAsia" w:ascii="宋体" w:hAnsi="宋体"/>
                <w:szCs w:val="21"/>
              </w:rPr>
              <w:t>培训时间安排基本可行但细节部分欠完整、培训内容基本可覆盖本次产品所需技术需求的得3分；</w:t>
            </w:r>
          </w:p>
          <w:p w14:paraId="0670E522">
            <w:pPr>
              <w:spacing w:line="300" w:lineRule="exact"/>
              <w:jc w:val="left"/>
              <w:rPr>
                <w:rFonts w:hint="eastAsia" w:ascii="宋体" w:hAnsi="宋体"/>
                <w:szCs w:val="21"/>
              </w:rPr>
            </w:pPr>
            <w:r>
              <w:rPr>
                <w:rFonts w:hint="eastAsia" w:ascii="宋体" w:hAnsi="宋体" w:cs="宋体"/>
                <w:kern w:val="0"/>
                <w:szCs w:val="21"/>
              </w:rPr>
              <w:t>③</w:t>
            </w:r>
            <w:r>
              <w:rPr>
                <w:rFonts w:hint="eastAsia" w:ascii="宋体" w:hAnsi="宋体"/>
                <w:szCs w:val="21"/>
              </w:rPr>
              <w:t>培训时间安排与本项目实际操作有冲突、培训内容基本能满足本次培训目标的得1分；</w:t>
            </w:r>
          </w:p>
          <w:p w14:paraId="3413054C">
            <w:pPr>
              <w:spacing w:line="300" w:lineRule="exact"/>
              <w:jc w:val="left"/>
              <w:rPr>
                <w:rFonts w:hint="eastAsia" w:ascii="宋体" w:hAnsi="宋体" w:cs="宋体"/>
                <w:kern w:val="0"/>
                <w:szCs w:val="21"/>
              </w:rPr>
            </w:pPr>
            <w:r>
              <w:rPr>
                <w:rFonts w:hint="eastAsia" w:ascii="宋体" w:hAnsi="宋体" w:cs="宋体"/>
                <w:kern w:val="0"/>
                <w:szCs w:val="21"/>
              </w:rPr>
              <w:t>④</w:t>
            </w:r>
            <w:r>
              <w:rPr>
                <w:rFonts w:hint="eastAsia" w:ascii="宋体" w:hAnsi="宋体"/>
                <w:szCs w:val="21"/>
              </w:rPr>
              <w:t>未提供方案不得分。</w:t>
            </w:r>
          </w:p>
        </w:tc>
        <w:tc>
          <w:tcPr>
            <w:tcW w:w="567" w:type="dxa"/>
            <w:vAlign w:val="center"/>
          </w:tcPr>
          <w:p w14:paraId="58BEF413">
            <w:pPr>
              <w:spacing w:line="300" w:lineRule="exact"/>
              <w:jc w:val="center"/>
              <w:rPr>
                <w:rFonts w:hint="eastAsia" w:asciiTheme="majorEastAsia" w:hAnsiTheme="majorEastAsia" w:eastAsiaTheme="majorEastAsia"/>
              </w:rPr>
            </w:pPr>
            <w:r>
              <w:rPr>
                <w:rFonts w:hint="eastAsia" w:asciiTheme="majorEastAsia" w:hAnsiTheme="majorEastAsia" w:eastAsiaTheme="majorEastAsia"/>
              </w:rPr>
              <w:t>5</w:t>
            </w:r>
          </w:p>
        </w:tc>
        <w:tc>
          <w:tcPr>
            <w:tcW w:w="851" w:type="dxa"/>
            <w:vAlign w:val="center"/>
          </w:tcPr>
          <w:p w14:paraId="30A650F9">
            <w:pPr>
              <w:spacing w:line="300" w:lineRule="exact"/>
              <w:jc w:val="center"/>
              <w:rPr>
                <w:rFonts w:hint="eastAsia" w:asciiTheme="majorEastAsia" w:hAnsiTheme="majorEastAsia" w:eastAsiaTheme="majorEastAsia"/>
              </w:rPr>
            </w:pPr>
            <w:r>
              <w:rPr>
                <w:rFonts w:asciiTheme="majorEastAsia" w:hAnsiTheme="majorEastAsia" w:eastAsiaTheme="majorEastAsia"/>
                <w:kern w:val="0"/>
                <w:szCs w:val="21"/>
              </w:rPr>
              <w:t>主观</w:t>
            </w:r>
          </w:p>
        </w:tc>
      </w:tr>
      <w:tr w14:paraId="1000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55" w:type="dxa"/>
            <w:vMerge w:val="continue"/>
            <w:vAlign w:val="center"/>
          </w:tcPr>
          <w:p w14:paraId="190D147A">
            <w:pPr>
              <w:adjustRightInd w:val="0"/>
              <w:spacing w:line="280" w:lineRule="exact"/>
              <w:jc w:val="center"/>
              <w:textAlignment w:val="baseline"/>
              <w:rPr>
                <w:rFonts w:hint="eastAsia" w:asciiTheme="majorEastAsia" w:hAnsiTheme="majorEastAsia" w:eastAsiaTheme="majorEastAsia"/>
                <w:kern w:val="0"/>
                <w:szCs w:val="21"/>
              </w:rPr>
            </w:pPr>
          </w:p>
        </w:tc>
        <w:tc>
          <w:tcPr>
            <w:tcW w:w="1308" w:type="dxa"/>
            <w:vAlign w:val="center"/>
          </w:tcPr>
          <w:p w14:paraId="25D73DB3">
            <w:pPr>
              <w:spacing w:line="300" w:lineRule="exact"/>
              <w:jc w:val="center"/>
              <w:rPr>
                <w:rFonts w:hint="eastAsia" w:ascii="宋体" w:hAnsi="宋体" w:cs="宋体"/>
                <w:kern w:val="0"/>
                <w:szCs w:val="21"/>
                <w:highlight w:val="yellow"/>
              </w:rPr>
            </w:pPr>
            <w:r>
              <w:rPr>
                <w:rFonts w:hint="eastAsia" w:ascii="宋体" w:hAnsi="宋体" w:cs="宋体"/>
                <w:kern w:val="0"/>
                <w:szCs w:val="21"/>
              </w:rPr>
              <w:t>7、质量控制方案（5分）</w:t>
            </w:r>
          </w:p>
        </w:tc>
        <w:tc>
          <w:tcPr>
            <w:tcW w:w="5216" w:type="dxa"/>
            <w:vAlign w:val="center"/>
          </w:tcPr>
          <w:p w14:paraId="4D66CA67">
            <w:pPr>
              <w:spacing w:line="300" w:lineRule="exact"/>
              <w:rPr>
                <w:rFonts w:hint="eastAsia" w:ascii="宋体" w:hAnsi="宋体" w:eastAsia="宋体"/>
                <w:szCs w:val="21"/>
                <w:lang w:eastAsia="zh-CN"/>
              </w:rPr>
            </w:pPr>
            <w:r>
              <w:rPr>
                <w:rFonts w:hint="eastAsia" w:ascii="宋体" w:hAnsi="宋体"/>
                <w:szCs w:val="21"/>
              </w:rPr>
              <w:t>根据投标人提供的质量控制方案（含质量标准、</w:t>
            </w:r>
            <w:r>
              <w:rPr>
                <w:rFonts w:ascii="宋体" w:hAnsi="宋体"/>
                <w:szCs w:val="21"/>
              </w:rPr>
              <w:t>质量控制要点和步骤</w:t>
            </w:r>
            <w:r>
              <w:rPr>
                <w:rFonts w:hint="eastAsia" w:ascii="宋体" w:hAnsi="宋体"/>
                <w:szCs w:val="21"/>
              </w:rPr>
              <w:t>、</w:t>
            </w:r>
            <w:r>
              <w:rPr>
                <w:rFonts w:ascii="宋体" w:hAnsi="宋体"/>
                <w:szCs w:val="21"/>
              </w:rPr>
              <w:t>投标产品质量保证措施</w:t>
            </w:r>
            <w:r>
              <w:rPr>
                <w:rFonts w:hint="eastAsia" w:ascii="宋体" w:hAnsi="宋体"/>
                <w:szCs w:val="21"/>
              </w:rPr>
              <w:t>）进行评议</w:t>
            </w:r>
            <w:r>
              <w:rPr>
                <w:rFonts w:hint="eastAsia" w:ascii="宋体" w:hAnsi="宋体"/>
                <w:szCs w:val="21"/>
                <w:lang w:eastAsia="zh-CN"/>
              </w:rPr>
              <w:t>。</w:t>
            </w:r>
          </w:p>
          <w:p w14:paraId="7B6FAB1B">
            <w:pPr>
              <w:spacing w:line="300" w:lineRule="exact"/>
              <w:rPr>
                <w:rFonts w:hint="eastAsia" w:ascii="宋体" w:hAnsi="宋体"/>
                <w:szCs w:val="21"/>
              </w:rPr>
            </w:pPr>
            <w:r>
              <w:rPr>
                <w:rFonts w:hint="eastAsia" w:ascii="宋体" w:hAnsi="宋体"/>
                <w:szCs w:val="21"/>
              </w:rPr>
              <w:t>①</w:t>
            </w:r>
            <w:r>
              <w:rPr>
                <w:rFonts w:ascii="宋体" w:hAnsi="宋体"/>
                <w:szCs w:val="21"/>
              </w:rPr>
              <w:t>质量标准完全满足招标文件要求，质量控制要点明确，步骤清晰，投标产品质量保证措施内容详细合理，对项目实施全过程实行质量控制，完全满足项目实施要求的得</w:t>
            </w:r>
            <w:r>
              <w:rPr>
                <w:rFonts w:hint="eastAsia" w:ascii="宋体" w:hAnsi="宋体"/>
                <w:szCs w:val="21"/>
              </w:rPr>
              <w:t>5</w:t>
            </w:r>
            <w:r>
              <w:rPr>
                <w:rFonts w:ascii="宋体" w:hAnsi="宋体"/>
                <w:szCs w:val="21"/>
              </w:rPr>
              <w:t>分；</w:t>
            </w:r>
          </w:p>
          <w:p w14:paraId="060414E9">
            <w:pPr>
              <w:spacing w:line="300" w:lineRule="exact"/>
              <w:rPr>
                <w:rFonts w:hint="eastAsia" w:ascii="宋体" w:hAnsi="宋体"/>
                <w:szCs w:val="21"/>
              </w:rPr>
            </w:pPr>
            <w:r>
              <w:rPr>
                <w:rFonts w:hint="eastAsia" w:ascii="宋体" w:hAnsi="宋体"/>
                <w:szCs w:val="21"/>
              </w:rPr>
              <w:t>②</w:t>
            </w:r>
            <w:r>
              <w:rPr>
                <w:rFonts w:ascii="宋体" w:hAnsi="宋体"/>
                <w:szCs w:val="21"/>
              </w:rPr>
              <w:t>质量标准基本符合招标文件要求，质量控制要点基本明确，步骤较清晰，投标产品质量保证措施内容较合理，对项目实施大部分过程实行质量控制，基本满足项目实施要求的得</w:t>
            </w:r>
            <w:r>
              <w:rPr>
                <w:rFonts w:hint="eastAsia" w:ascii="宋体" w:hAnsi="宋体"/>
                <w:szCs w:val="21"/>
              </w:rPr>
              <w:t>3</w:t>
            </w:r>
            <w:r>
              <w:rPr>
                <w:rFonts w:ascii="宋体" w:hAnsi="宋体"/>
                <w:szCs w:val="21"/>
              </w:rPr>
              <w:t>分；</w:t>
            </w:r>
          </w:p>
          <w:p w14:paraId="65A2E9E9">
            <w:pPr>
              <w:spacing w:line="300" w:lineRule="exact"/>
              <w:rPr>
                <w:rFonts w:hint="eastAsia" w:ascii="宋体" w:hAnsi="宋体"/>
                <w:szCs w:val="21"/>
              </w:rPr>
            </w:pPr>
            <w:r>
              <w:rPr>
                <w:rFonts w:hint="eastAsia" w:ascii="宋体" w:hAnsi="宋体"/>
                <w:szCs w:val="21"/>
              </w:rPr>
              <w:t>③</w:t>
            </w:r>
            <w:r>
              <w:rPr>
                <w:rFonts w:ascii="宋体" w:hAnsi="宋体"/>
                <w:szCs w:val="21"/>
              </w:rPr>
              <w:t>方案内容不完整，内容不充分，对项目实施小部分过程实行质量控制，与项目实施要求有差距的得1分；</w:t>
            </w:r>
          </w:p>
          <w:p w14:paraId="35F4837C">
            <w:pPr>
              <w:spacing w:line="300" w:lineRule="exact"/>
              <w:rPr>
                <w:rFonts w:hint="eastAsia" w:ascii="宋体" w:hAnsi="宋体"/>
                <w:szCs w:val="21"/>
                <w:highlight w:val="yellow"/>
              </w:rPr>
            </w:pPr>
            <w:r>
              <w:rPr>
                <w:rFonts w:hint="eastAsia" w:ascii="宋体" w:hAnsi="宋体"/>
                <w:szCs w:val="21"/>
              </w:rPr>
              <w:t>④未提供方案不得分。</w:t>
            </w:r>
          </w:p>
        </w:tc>
        <w:tc>
          <w:tcPr>
            <w:tcW w:w="567" w:type="dxa"/>
            <w:vAlign w:val="center"/>
          </w:tcPr>
          <w:p w14:paraId="0064FED9">
            <w:pPr>
              <w:spacing w:line="300" w:lineRule="exact"/>
              <w:jc w:val="center"/>
              <w:rPr>
                <w:rFonts w:hint="eastAsia" w:asciiTheme="majorEastAsia" w:hAnsiTheme="majorEastAsia" w:eastAsiaTheme="majorEastAsia"/>
              </w:rPr>
            </w:pPr>
            <w:r>
              <w:rPr>
                <w:rFonts w:hint="eastAsia" w:asciiTheme="majorEastAsia" w:hAnsiTheme="majorEastAsia" w:eastAsiaTheme="majorEastAsia"/>
              </w:rPr>
              <w:t>5</w:t>
            </w:r>
          </w:p>
        </w:tc>
        <w:tc>
          <w:tcPr>
            <w:tcW w:w="851" w:type="dxa"/>
            <w:vAlign w:val="center"/>
          </w:tcPr>
          <w:p w14:paraId="3D91734B">
            <w:pPr>
              <w:spacing w:line="300" w:lineRule="exact"/>
              <w:jc w:val="center"/>
              <w:rPr>
                <w:rFonts w:hint="eastAsia" w:asciiTheme="majorEastAsia" w:hAnsiTheme="majorEastAsia" w:eastAsiaTheme="majorEastAsia"/>
                <w:kern w:val="0"/>
                <w:szCs w:val="21"/>
              </w:rPr>
            </w:pPr>
            <w:r>
              <w:rPr>
                <w:rFonts w:hint="eastAsia" w:asciiTheme="majorEastAsia" w:hAnsiTheme="majorEastAsia" w:eastAsiaTheme="majorEastAsia"/>
                <w:kern w:val="0"/>
                <w:szCs w:val="21"/>
              </w:rPr>
              <w:t>主观</w:t>
            </w:r>
          </w:p>
        </w:tc>
      </w:tr>
      <w:tr w14:paraId="1558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5" w:type="dxa"/>
            <w:vMerge w:val="continue"/>
            <w:vAlign w:val="center"/>
          </w:tcPr>
          <w:p w14:paraId="0CD34C5D">
            <w:pPr>
              <w:adjustRightInd w:val="0"/>
              <w:spacing w:line="280" w:lineRule="exact"/>
              <w:jc w:val="center"/>
              <w:textAlignment w:val="baseline"/>
              <w:rPr>
                <w:rFonts w:hint="eastAsia" w:asciiTheme="majorEastAsia" w:hAnsiTheme="majorEastAsia" w:eastAsiaTheme="majorEastAsia"/>
                <w:kern w:val="0"/>
                <w:szCs w:val="21"/>
              </w:rPr>
            </w:pPr>
          </w:p>
        </w:tc>
        <w:tc>
          <w:tcPr>
            <w:tcW w:w="1308" w:type="dxa"/>
            <w:vAlign w:val="center"/>
          </w:tcPr>
          <w:p w14:paraId="21254482">
            <w:pPr>
              <w:widowControl/>
              <w:spacing w:line="300" w:lineRule="exact"/>
              <w:jc w:val="center"/>
              <w:rPr>
                <w:rFonts w:hint="eastAsia" w:asciiTheme="majorEastAsia" w:hAnsiTheme="majorEastAsia" w:eastAsiaTheme="majorEastAsia"/>
              </w:rPr>
            </w:pPr>
            <w:r>
              <w:rPr>
                <w:rFonts w:hint="eastAsia" w:asciiTheme="majorEastAsia" w:hAnsiTheme="majorEastAsia" w:eastAsiaTheme="majorEastAsia"/>
              </w:rPr>
              <w:t>8、业绩分</w:t>
            </w:r>
          </w:p>
          <w:p w14:paraId="2DC1F5F6">
            <w:pPr>
              <w:widowControl/>
              <w:spacing w:line="300" w:lineRule="exact"/>
              <w:jc w:val="center"/>
              <w:rPr>
                <w:rFonts w:hint="eastAsia" w:asciiTheme="majorEastAsia" w:hAnsiTheme="majorEastAsia" w:eastAsiaTheme="majorEastAsia"/>
              </w:rPr>
            </w:pPr>
            <w:r>
              <w:rPr>
                <w:rFonts w:hint="eastAsia" w:asciiTheme="majorEastAsia" w:hAnsiTheme="majorEastAsia" w:eastAsiaTheme="majorEastAsia"/>
              </w:rPr>
              <w:t>（3分）</w:t>
            </w:r>
          </w:p>
        </w:tc>
        <w:tc>
          <w:tcPr>
            <w:tcW w:w="5216" w:type="dxa"/>
            <w:vAlign w:val="center"/>
          </w:tcPr>
          <w:p w14:paraId="0505A3D4">
            <w:pPr>
              <w:spacing w:line="300" w:lineRule="exact"/>
              <w:rPr>
                <w:rFonts w:hint="eastAsia" w:ascii="宋体" w:hAnsi="宋体"/>
                <w:kern w:val="1"/>
                <w:highlight w:val="none"/>
              </w:rPr>
            </w:pPr>
            <w:r>
              <w:rPr>
                <w:rFonts w:hint="eastAsia" w:ascii="宋体" w:hAnsi="宋体"/>
                <w:kern w:val="1"/>
                <w:highlight w:val="none"/>
              </w:rPr>
              <w:t>投标人自2021年1月1日以来</w:t>
            </w:r>
            <w:r>
              <w:rPr>
                <w:rFonts w:hint="eastAsia"/>
                <w:highlight w:val="none"/>
              </w:rPr>
              <w:t>（以业绩合同签订时间为准）</w:t>
            </w:r>
            <w:r>
              <w:rPr>
                <w:rFonts w:hint="eastAsia" w:ascii="宋体" w:hAnsi="宋体"/>
                <w:kern w:val="1"/>
                <w:highlight w:val="none"/>
              </w:rPr>
              <w:t>具</w:t>
            </w:r>
            <w:r>
              <w:rPr>
                <w:rFonts w:hint="eastAsia" w:ascii="宋体" w:hAnsi="宋体" w:eastAsia="宋体" w:cs="Times New Roman"/>
                <w:kern w:val="1"/>
                <w:highlight w:val="none"/>
              </w:rPr>
              <w:t>有同类设备供货业绩，每提</w:t>
            </w:r>
            <w:r>
              <w:rPr>
                <w:rFonts w:hint="eastAsia" w:ascii="宋体" w:hAnsi="宋体"/>
                <w:kern w:val="1"/>
                <w:highlight w:val="none"/>
              </w:rPr>
              <w:t>供1个业绩得1分，最高3分。</w:t>
            </w:r>
          </w:p>
          <w:p w14:paraId="27D29EF4">
            <w:pPr>
              <w:widowControl/>
              <w:spacing w:line="300" w:lineRule="exact"/>
              <w:jc w:val="left"/>
              <w:rPr>
                <w:rFonts w:hint="eastAsia" w:ascii="宋体" w:hAnsi="宋体"/>
                <w:kern w:val="1"/>
                <w:highlight w:val="none"/>
              </w:rPr>
            </w:pPr>
            <w:r>
              <w:rPr>
                <w:rFonts w:hint="eastAsia" w:ascii="宋体" w:hAnsi="宋体"/>
                <w:kern w:val="1"/>
                <w:highlight w:val="none"/>
              </w:rPr>
              <w:t>备注：投标文件提供业绩合同（必须体现签订日期及供货清单）复印件并加盖投标人公章。</w:t>
            </w:r>
          </w:p>
          <w:p w14:paraId="7F36DAD0">
            <w:pPr>
              <w:widowControl/>
              <w:spacing w:line="300" w:lineRule="exact"/>
              <w:jc w:val="left"/>
              <w:rPr>
                <w:rFonts w:hint="eastAsia" w:eastAsia="宋体"/>
                <w:highlight w:val="none"/>
                <w:lang w:val="en-US" w:eastAsia="zh-CN"/>
              </w:rPr>
            </w:pPr>
            <w:r>
              <w:rPr>
                <w:rFonts w:hint="eastAsia" w:ascii="宋体" w:hAnsi="宋体"/>
                <w:kern w:val="1"/>
                <w:highlight w:val="none"/>
                <w:lang w:val="en-US" w:eastAsia="zh-CN"/>
              </w:rPr>
              <w:t>释义：“同类设备”指</w:t>
            </w:r>
            <w:r>
              <w:rPr>
                <w:rFonts w:hint="eastAsia" w:ascii="宋体" w:hAnsi="宋体"/>
                <w:kern w:val="1"/>
                <w:highlight w:val="none"/>
              </w:rPr>
              <w:t>高压或超高压设备</w:t>
            </w:r>
            <w:r>
              <w:rPr>
                <w:rFonts w:hint="eastAsia" w:ascii="宋体" w:hAnsi="宋体"/>
                <w:kern w:val="1"/>
                <w:highlight w:val="none"/>
                <w:lang w:eastAsia="zh-CN"/>
              </w:rPr>
              <w:t>，</w:t>
            </w:r>
            <w:r>
              <w:rPr>
                <w:rFonts w:hint="eastAsia" w:ascii="宋体" w:hAnsi="宋体"/>
                <w:kern w:val="1"/>
                <w:highlight w:val="none"/>
                <w:lang w:val="en-US" w:eastAsia="zh-CN"/>
              </w:rPr>
              <w:t>例如：</w:t>
            </w:r>
            <w:r>
              <w:rPr>
                <w:rFonts w:hint="eastAsia" w:ascii="宋体" w:hAnsi="宋体"/>
                <w:kern w:val="1"/>
                <w:highlight w:val="none"/>
              </w:rPr>
              <w:t>容器或物性测试装置</w:t>
            </w:r>
            <w:r>
              <w:rPr>
                <w:rFonts w:hint="eastAsia" w:ascii="宋体" w:hAnsi="宋体"/>
                <w:kern w:val="1"/>
                <w:highlight w:val="none"/>
                <w:lang w:eastAsia="zh-CN"/>
              </w:rPr>
              <w:t>。</w:t>
            </w:r>
          </w:p>
        </w:tc>
        <w:tc>
          <w:tcPr>
            <w:tcW w:w="567" w:type="dxa"/>
            <w:vAlign w:val="center"/>
          </w:tcPr>
          <w:p w14:paraId="4E0BCD3A">
            <w:pPr>
              <w:widowControl/>
              <w:spacing w:line="300" w:lineRule="exact"/>
              <w:jc w:val="center"/>
              <w:rPr>
                <w:rFonts w:hint="eastAsia" w:asciiTheme="majorEastAsia" w:hAnsiTheme="majorEastAsia" w:eastAsiaTheme="majorEastAsia"/>
              </w:rPr>
            </w:pPr>
            <w:r>
              <w:rPr>
                <w:rFonts w:hint="eastAsia" w:asciiTheme="majorEastAsia" w:hAnsiTheme="majorEastAsia" w:eastAsiaTheme="majorEastAsia"/>
              </w:rPr>
              <w:t>3</w:t>
            </w:r>
          </w:p>
        </w:tc>
        <w:tc>
          <w:tcPr>
            <w:tcW w:w="851" w:type="dxa"/>
            <w:vAlign w:val="center"/>
          </w:tcPr>
          <w:p w14:paraId="35CD057C">
            <w:pPr>
              <w:adjustRightInd w:val="0"/>
              <w:spacing w:line="300" w:lineRule="exact"/>
              <w:jc w:val="center"/>
              <w:textAlignment w:val="baseline"/>
              <w:rPr>
                <w:rFonts w:hint="eastAsia" w:asciiTheme="majorEastAsia" w:hAnsiTheme="majorEastAsia" w:eastAsiaTheme="majorEastAsia"/>
                <w:kern w:val="0"/>
                <w:szCs w:val="21"/>
              </w:rPr>
            </w:pPr>
            <w:r>
              <w:rPr>
                <w:rFonts w:hint="eastAsia" w:asciiTheme="majorEastAsia" w:hAnsiTheme="majorEastAsia" w:eastAsiaTheme="majorEastAsia"/>
                <w:kern w:val="0"/>
                <w:szCs w:val="21"/>
              </w:rPr>
              <w:t>客观</w:t>
            </w:r>
          </w:p>
        </w:tc>
      </w:tr>
      <w:tr w14:paraId="5EAE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955" w:type="dxa"/>
            <w:vAlign w:val="center"/>
          </w:tcPr>
          <w:p w14:paraId="734D5384">
            <w:pPr>
              <w:adjustRightInd w:val="0"/>
              <w:spacing w:line="280" w:lineRule="exact"/>
              <w:jc w:val="center"/>
              <w:textAlignment w:val="baseline"/>
              <w:rPr>
                <w:rFonts w:hint="eastAsia" w:asciiTheme="majorEastAsia" w:hAnsiTheme="majorEastAsia" w:eastAsiaTheme="majorEastAsia"/>
                <w:kern w:val="0"/>
                <w:szCs w:val="21"/>
              </w:rPr>
            </w:pPr>
            <w:r>
              <w:rPr>
                <w:rFonts w:asciiTheme="majorEastAsia" w:hAnsiTheme="majorEastAsia" w:eastAsiaTheme="majorEastAsia"/>
                <w:kern w:val="0"/>
                <w:szCs w:val="21"/>
              </w:rPr>
              <w:t>政策分（</w:t>
            </w:r>
            <w:r>
              <w:rPr>
                <w:rFonts w:hint="eastAsia" w:asciiTheme="majorEastAsia" w:hAnsiTheme="majorEastAsia" w:eastAsiaTheme="majorEastAsia"/>
                <w:kern w:val="0"/>
                <w:szCs w:val="21"/>
              </w:rPr>
              <w:t>1分</w:t>
            </w:r>
            <w:r>
              <w:rPr>
                <w:rFonts w:asciiTheme="majorEastAsia" w:hAnsiTheme="majorEastAsia" w:eastAsiaTheme="majorEastAsia"/>
                <w:kern w:val="0"/>
                <w:szCs w:val="21"/>
              </w:rPr>
              <w:t>）</w:t>
            </w:r>
          </w:p>
        </w:tc>
        <w:tc>
          <w:tcPr>
            <w:tcW w:w="1308" w:type="dxa"/>
            <w:vAlign w:val="center"/>
          </w:tcPr>
          <w:p w14:paraId="7889EB68">
            <w:pPr>
              <w:spacing w:line="300" w:lineRule="exact"/>
              <w:jc w:val="center"/>
              <w:rPr>
                <w:rFonts w:hint="eastAsia" w:ascii="宋体" w:hAnsi="宋体"/>
                <w:kern w:val="1"/>
              </w:rPr>
            </w:pPr>
            <w:r>
              <w:rPr>
                <w:rFonts w:hint="eastAsia" w:ascii="宋体" w:hAnsi="宋体"/>
                <w:kern w:val="1"/>
              </w:rPr>
              <w:t>9、节能环保（1分）</w:t>
            </w:r>
          </w:p>
        </w:tc>
        <w:tc>
          <w:tcPr>
            <w:tcW w:w="5216" w:type="dxa"/>
            <w:vAlign w:val="center"/>
          </w:tcPr>
          <w:p w14:paraId="5E18E9BE">
            <w:pPr>
              <w:spacing w:line="300" w:lineRule="exact"/>
              <w:jc w:val="left"/>
              <w:rPr>
                <w:rFonts w:hint="eastAsia" w:ascii="宋体" w:hAnsi="宋体"/>
                <w:kern w:val="1"/>
                <w:szCs w:val="21"/>
              </w:rPr>
            </w:pPr>
            <w:r>
              <w:rPr>
                <w:rFonts w:hint="eastAsia" w:ascii="宋体" w:hAnsi="宋体"/>
                <w:kern w:val="1"/>
                <w:szCs w:val="21"/>
              </w:rPr>
              <w:t>投标产品属于《节能产品政府采购品目清单》范围的且具有国家确定的认证机构出具的、处于有效期之内的节能产品认证证书的得</w:t>
            </w:r>
            <w:r>
              <w:rPr>
                <w:rFonts w:ascii="宋体" w:hAnsi="宋体"/>
                <w:kern w:val="1"/>
                <w:szCs w:val="21"/>
              </w:rPr>
              <w:t>0.5</w:t>
            </w:r>
            <w:r>
              <w:rPr>
                <w:rFonts w:hint="eastAsia" w:ascii="宋体" w:hAnsi="宋体"/>
                <w:kern w:val="1"/>
                <w:szCs w:val="21"/>
              </w:rPr>
              <w:t>分；</w:t>
            </w:r>
          </w:p>
          <w:p w14:paraId="7CCC0CB0">
            <w:pPr>
              <w:spacing w:line="300" w:lineRule="exact"/>
              <w:jc w:val="left"/>
              <w:rPr>
                <w:rFonts w:hint="eastAsia" w:ascii="宋体" w:hAnsi="宋体"/>
                <w:kern w:val="1"/>
                <w:szCs w:val="21"/>
              </w:rPr>
            </w:pPr>
            <w:r>
              <w:rPr>
                <w:rFonts w:hint="eastAsia" w:ascii="宋体" w:hAnsi="宋体"/>
                <w:kern w:val="1"/>
                <w:szCs w:val="21"/>
              </w:rPr>
              <w:t>投标产品属于《环境标志产品政府采购品目清单》范围的且具有国家确定的认证机构出具的、处于有效期之内的环境标志产品认证证书的得</w:t>
            </w:r>
            <w:r>
              <w:rPr>
                <w:rFonts w:ascii="宋体" w:hAnsi="宋体"/>
                <w:kern w:val="1"/>
                <w:szCs w:val="21"/>
              </w:rPr>
              <w:t>0.5</w:t>
            </w:r>
            <w:r>
              <w:rPr>
                <w:rFonts w:hint="eastAsia" w:ascii="宋体" w:hAnsi="宋体"/>
                <w:kern w:val="1"/>
                <w:szCs w:val="21"/>
              </w:rPr>
              <w:t>分。</w:t>
            </w:r>
          </w:p>
          <w:p w14:paraId="3B0FC701">
            <w:pPr>
              <w:spacing w:line="300" w:lineRule="exact"/>
              <w:jc w:val="left"/>
              <w:rPr>
                <w:rFonts w:hint="eastAsia" w:ascii="宋体" w:hAnsi="宋体"/>
                <w:kern w:val="1"/>
                <w:szCs w:val="21"/>
              </w:rPr>
            </w:pPr>
            <w:r>
              <w:rPr>
                <w:rFonts w:hint="eastAsia" w:ascii="宋体" w:hAnsi="宋体"/>
                <w:kern w:val="1"/>
                <w:szCs w:val="21"/>
              </w:rPr>
              <w:t>注：投标文件“商务技术”文件中必须同时提供以下资料：</w:t>
            </w:r>
          </w:p>
          <w:p w14:paraId="67524FFF">
            <w:pPr>
              <w:spacing w:line="300" w:lineRule="exact"/>
              <w:jc w:val="left"/>
              <w:rPr>
                <w:rFonts w:hint="eastAsia" w:ascii="宋体" w:hAnsi="宋体"/>
                <w:kern w:val="1"/>
                <w:szCs w:val="21"/>
              </w:rPr>
            </w:pPr>
            <w:r>
              <w:rPr>
                <w:rFonts w:hint="eastAsia" w:ascii="宋体" w:hAnsi="宋体"/>
                <w:kern w:val="1"/>
                <w:szCs w:val="21"/>
              </w:rPr>
              <w:t>（</w:t>
            </w:r>
            <w:r>
              <w:rPr>
                <w:rFonts w:ascii="宋体" w:hAnsi="宋体"/>
                <w:kern w:val="1"/>
                <w:szCs w:val="21"/>
              </w:rPr>
              <w:t>1</w:t>
            </w:r>
            <w:r>
              <w:rPr>
                <w:rFonts w:hint="eastAsia" w:ascii="宋体" w:hAnsi="宋体"/>
                <w:kern w:val="1"/>
                <w:szCs w:val="21"/>
              </w:rPr>
              <w:t>）提供政府采购品目清单相关内容页（并对相关内容作圈记），采购品目清单详见《关于印发环境标志产品政府采购品目清单的通知》（财库〔</w:t>
            </w:r>
            <w:r>
              <w:rPr>
                <w:rFonts w:ascii="宋体" w:hAnsi="宋体"/>
                <w:kern w:val="1"/>
                <w:szCs w:val="21"/>
              </w:rPr>
              <w:t>2019</w:t>
            </w:r>
            <w:r>
              <w:rPr>
                <w:rFonts w:hint="eastAsia" w:ascii="宋体" w:hAnsi="宋体"/>
                <w:kern w:val="1"/>
                <w:szCs w:val="21"/>
              </w:rPr>
              <w:t>〕</w:t>
            </w:r>
            <w:r>
              <w:rPr>
                <w:rFonts w:ascii="宋体" w:hAnsi="宋体"/>
                <w:kern w:val="1"/>
                <w:szCs w:val="21"/>
              </w:rPr>
              <w:t xml:space="preserve">18 </w:t>
            </w:r>
            <w:r>
              <w:rPr>
                <w:rFonts w:hint="eastAsia" w:ascii="宋体" w:hAnsi="宋体"/>
                <w:kern w:val="1"/>
                <w:szCs w:val="21"/>
              </w:rPr>
              <w:t xml:space="preserve">号）和《关于印发节能产品政府采购品目清单的通知》（财 </w:t>
            </w:r>
          </w:p>
          <w:p w14:paraId="5BD3D349">
            <w:pPr>
              <w:spacing w:line="300" w:lineRule="exact"/>
              <w:jc w:val="left"/>
              <w:rPr>
                <w:rFonts w:hint="eastAsia" w:ascii="宋体" w:hAnsi="宋体"/>
                <w:kern w:val="1"/>
                <w:szCs w:val="21"/>
              </w:rPr>
            </w:pPr>
            <w:r>
              <w:rPr>
                <w:rFonts w:hint="eastAsia" w:ascii="宋体" w:hAnsi="宋体"/>
                <w:kern w:val="1"/>
                <w:szCs w:val="21"/>
              </w:rPr>
              <w:t>库〔</w:t>
            </w:r>
            <w:r>
              <w:rPr>
                <w:rFonts w:ascii="宋体" w:hAnsi="宋体"/>
                <w:kern w:val="1"/>
                <w:szCs w:val="21"/>
              </w:rPr>
              <w:t>2019</w:t>
            </w:r>
            <w:r>
              <w:rPr>
                <w:rFonts w:hint="eastAsia" w:ascii="宋体" w:hAnsi="宋体"/>
                <w:kern w:val="1"/>
                <w:szCs w:val="21"/>
              </w:rPr>
              <w:t>〕</w:t>
            </w:r>
            <w:r>
              <w:rPr>
                <w:rFonts w:ascii="宋体" w:hAnsi="宋体"/>
                <w:kern w:val="1"/>
                <w:szCs w:val="21"/>
              </w:rPr>
              <w:t>19</w:t>
            </w:r>
            <w:r>
              <w:rPr>
                <w:rFonts w:hint="eastAsia" w:ascii="宋体" w:hAnsi="宋体"/>
                <w:kern w:val="1"/>
                <w:szCs w:val="21"/>
              </w:rPr>
              <w:t>号）。</w:t>
            </w:r>
          </w:p>
          <w:p w14:paraId="685D75B4">
            <w:pPr>
              <w:spacing w:line="300" w:lineRule="exact"/>
              <w:rPr>
                <w:rFonts w:hint="eastAsia" w:ascii="宋体" w:hAnsi="宋体"/>
                <w:kern w:val="1"/>
              </w:rPr>
            </w:pPr>
            <w:r>
              <w:rPr>
                <w:rFonts w:hint="eastAsia" w:ascii="宋体" w:hAnsi="宋体"/>
                <w:kern w:val="1"/>
                <w:szCs w:val="21"/>
              </w:rPr>
              <w:t>（</w:t>
            </w:r>
            <w:r>
              <w:rPr>
                <w:rFonts w:ascii="宋体" w:hAnsi="宋体"/>
                <w:kern w:val="1"/>
                <w:szCs w:val="21"/>
              </w:rPr>
              <w:t>2</w:t>
            </w:r>
            <w:r>
              <w:rPr>
                <w:rFonts w:hint="eastAsia" w:ascii="宋体" w:hAnsi="宋体"/>
                <w:kern w:val="1"/>
                <w:szCs w:val="21"/>
              </w:rPr>
              <w:t>）《市场监管总局关于发布参与实施政府采购节能产品、环境标志产品认证机构名录的公告》中的认证机构出具的、处于有效期之内的节能产品</w:t>
            </w:r>
            <w:r>
              <w:rPr>
                <w:rFonts w:ascii="宋体" w:hAnsi="宋体"/>
                <w:kern w:val="1"/>
                <w:szCs w:val="21"/>
              </w:rPr>
              <w:t>/</w:t>
            </w:r>
            <w:r>
              <w:rPr>
                <w:rFonts w:hint="eastAsia" w:ascii="宋体" w:hAnsi="宋体"/>
                <w:kern w:val="1"/>
                <w:szCs w:val="21"/>
              </w:rPr>
              <w:t>环境标志产品认证证书复印件并加盖制造商公章。</w:t>
            </w:r>
          </w:p>
        </w:tc>
        <w:tc>
          <w:tcPr>
            <w:tcW w:w="567" w:type="dxa"/>
            <w:vAlign w:val="center"/>
          </w:tcPr>
          <w:p w14:paraId="64796097">
            <w:pPr>
              <w:spacing w:line="300" w:lineRule="exact"/>
              <w:jc w:val="center"/>
              <w:rPr>
                <w:rFonts w:hint="eastAsia" w:ascii="宋体" w:hAnsi="宋体"/>
                <w:kern w:val="1"/>
              </w:rPr>
            </w:pPr>
            <w:r>
              <w:rPr>
                <w:rFonts w:hint="eastAsia" w:ascii="宋体" w:hAnsi="宋体"/>
                <w:kern w:val="1"/>
              </w:rPr>
              <w:t>1</w:t>
            </w:r>
          </w:p>
        </w:tc>
        <w:tc>
          <w:tcPr>
            <w:tcW w:w="851" w:type="dxa"/>
            <w:vAlign w:val="center"/>
          </w:tcPr>
          <w:p w14:paraId="1F7B77C5">
            <w:pPr>
              <w:spacing w:line="300" w:lineRule="exact"/>
              <w:jc w:val="center"/>
              <w:rPr>
                <w:rFonts w:hint="eastAsia" w:ascii="宋体" w:hAnsi="宋体"/>
              </w:rPr>
            </w:pPr>
            <w:r>
              <w:rPr>
                <w:rFonts w:ascii="宋体" w:hAnsi="宋体"/>
              </w:rPr>
              <w:t>客观</w:t>
            </w:r>
          </w:p>
        </w:tc>
      </w:tr>
    </w:tbl>
    <w:p w14:paraId="672AAA35">
      <w:pPr>
        <w:widowControl/>
        <w:jc w:val="left"/>
        <w:rPr>
          <w:rFonts w:hint="eastAsia" w:asciiTheme="majorEastAsia" w:hAnsiTheme="majorEastAsia" w:eastAsiaTheme="majorEastAsia"/>
          <w:sz w:val="28"/>
        </w:rPr>
      </w:pPr>
    </w:p>
    <w:p w14:paraId="6AD09FBF">
      <w:pPr>
        <w:widowControl/>
        <w:jc w:val="left"/>
        <w:rPr>
          <w:rFonts w:hint="eastAsia" w:asciiTheme="majorEastAsia" w:hAnsiTheme="majorEastAsia" w:eastAsiaTheme="majorEastAsia"/>
          <w:sz w:val="28"/>
        </w:rPr>
      </w:pPr>
      <w:r>
        <w:rPr>
          <w:rFonts w:hint="eastAsia" w:asciiTheme="majorEastAsia" w:hAnsiTheme="majorEastAsia" w:eastAsiaTheme="majorEastAsia"/>
          <w:sz w:val="28"/>
        </w:rPr>
        <w:br w:type="page"/>
      </w:r>
    </w:p>
    <w:p w14:paraId="608D6330">
      <w:pPr>
        <w:pStyle w:val="41"/>
        <w:spacing w:line="360" w:lineRule="auto"/>
        <w:rPr>
          <w:rFonts w:hint="eastAsia" w:asciiTheme="majorEastAsia" w:hAnsiTheme="majorEastAsia" w:eastAsiaTheme="majorEastAsia"/>
          <w:sz w:val="32"/>
        </w:rPr>
      </w:pPr>
      <w:bookmarkStart w:id="36" w:name="_Toc34844745"/>
      <w:r>
        <w:rPr>
          <w:rFonts w:hint="eastAsia" w:asciiTheme="majorEastAsia" w:hAnsiTheme="majorEastAsia" w:eastAsiaTheme="majorEastAsia"/>
          <w:sz w:val="24"/>
        </w:rPr>
        <w:t>第五章  合同文本</w:t>
      </w:r>
      <w:bookmarkEnd w:id="36"/>
    </w:p>
    <w:p w14:paraId="2B230B92">
      <w:pPr>
        <w:spacing w:before="120" w:beforeLines="50" w:line="440" w:lineRule="exact"/>
        <w:ind w:firstLine="723"/>
        <w:rPr>
          <w:rFonts w:cs="宋体"/>
        </w:rPr>
      </w:pPr>
      <w:bookmarkStart w:id="37" w:name="_Toc34844746"/>
      <w:r>
        <w:rPr>
          <w:rFonts w:cs="宋体"/>
        </w:rPr>
        <w:t>说明：以下为</w:t>
      </w:r>
      <w:r>
        <w:rPr>
          <w:rFonts w:hint="eastAsia" w:cs="宋体"/>
        </w:rPr>
        <w:t>合同</w:t>
      </w:r>
      <w:r>
        <w:rPr>
          <w:rFonts w:cs="宋体"/>
        </w:rPr>
        <w:t>格式，</w:t>
      </w:r>
      <w:r>
        <w:rPr>
          <w:rFonts w:hint="eastAsia" w:cs="宋体"/>
        </w:rPr>
        <w:t>有关条款和招标文件其他部分要求不一致的，以其他部分要求为准，</w:t>
      </w:r>
      <w:r>
        <w:rPr>
          <w:rFonts w:cs="宋体"/>
        </w:rPr>
        <w:t>最终协议将依据中标结果</w:t>
      </w:r>
      <w:r>
        <w:rPr>
          <w:rFonts w:hint="eastAsia" w:cs="宋体"/>
        </w:rPr>
        <w:t>（中标人的投标响应及承诺）</w:t>
      </w:r>
      <w:r>
        <w:rPr>
          <w:rFonts w:cs="宋体"/>
        </w:rPr>
        <w:t>进行相应调整。</w:t>
      </w:r>
    </w:p>
    <w:p w14:paraId="7A7F9F6D">
      <w:pPr>
        <w:ind w:firstLine="420" w:firstLineChars="200"/>
        <w:rPr>
          <w:rFonts w:hint="eastAsia" w:cs="仿宋" w:asciiTheme="minorEastAsia" w:hAnsiTheme="minorEastAsia" w:eastAsiaTheme="minorEastAsia"/>
          <w:szCs w:val="21"/>
          <w:u w:val="single"/>
        </w:rPr>
      </w:pPr>
    </w:p>
    <w:p w14:paraId="0D140C11">
      <w:pPr>
        <w:widowControl/>
        <w:jc w:val="left"/>
        <w:rPr>
          <w:rFonts w:hint="eastAsia" w:ascii="宋体" w:hAnsi="宋体"/>
        </w:rPr>
      </w:pPr>
      <w:r>
        <w:rPr>
          <w:rFonts w:hint="eastAsia" w:ascii="宋体" w:hAnsi="宋体"/>
        </w:rPr>
        <w:br w:type="page"/>
      </w:r>
    </w:p>
    <w:p w14:paraId="551F9834">
      <w:pPr>
        <w:spacing w:before="120" w:beforeLines="50" w:line="440" w:lineRule="exact"/>
        <w:ind w:firstLine="723"/>
        <w:jc w:val="center"/>
        <w:rPr>
          <w:rFonts w:ascii="黑体" w:eastAsia="黑体"/>
          <w:b/>
          <w:bCs/>
          <w:sz w:val="36"/>
          <w:szCs w:val="32"/>
        </w:rPr>
      </w:pPr>
      <w:r>
        <w:rPr>
          <w:rFonts w:hint="eastAsia" w:ascii="黑体" w:eastAsia="黑体"/>
          <w:b/>
          <w:bCs/>
          <w:sz w:val="36"/>
          <w:szCs w:val="32"/>
        </w:rPr>
        <w:t xml:space="preserve">浙江大学宁波“五位一体”校区教育发展中心 </w:t>
      </w:r>
      <w:r>
        <w:rPr>
          <w:rFonts w:ascii="黑体" w:eastAsia="黑体"/>
          <w:b/>
          <w:bCs/>
          <w:sz w:val="36"/>
          <w:szCs w:val="32"/>
        </w:rPr>
        <w:t xml:space="preserve">     </w:t>
      </w:r>
      <w:r>
        <w:rPr>
          <w:rFonts w:hint="eastAsia" w:ascii="黑体" w:eastAsia="黑体"/>
          <w:b/>
          <w:bCs/>
          <w:sz w:val="36"/>
          <w:szCs w:val="32"/>
        </w:rPr>
        <w:t>设备采购合同</w:t>
      </w:r>
    </w:p>
    <w:p w14:paraId="381EED4A">
      <w:pPr>
        <w:spacing w:before="120" w:beforeLines="50" w:after="120" w:afterLines="50" w:line="440" w:lineRule="exact"/>
        <w:ind w:firstLine="5460" w:firstLineChars="2600"/>
        <w:rPr>
          <w:rFonts w:cs="宋体"/>
        </w:rPr>
      </w:pPr>
      <w:r>
        <w:rPr>
          <w:rFonts w:hint="eastAsia" w:cs="宋体"/>
        </w:rPr>
        <w:t>合同编号：</w:t>
      </w:r>
      <w:r>
        <w:rPr>
          <w:rFonts w:cs="宋体"/>
          <w:u w:val="single"/>
        </w:rPr>
        <w:t xml:space="preserve">     </w:t>
      </w:r>
      <w:r>
        <w:rPr>
          <w:rFonts w:hint="eastAsia" w:cs="宋体"/>
          <w:u w:val="single"/>
        </w:rPr>
        <w:t>（采购编号）</w:t>
      </w:r>
      <w:r>
        <w:rPr>
          <w:rFonts w:cs="宋体"/>
          <w:u w:val="single"/>
        </w:rPr>
        <w:t xml:space="preserve">      </w:t>
      </w:r>
    </w:p>
    <w:p w14:paraId="15820707">
      <w:pPr>
        <w:spacing w:before="240" w:beforeLines="100" w:after="240" w:afterLines="100" w:line="440" w:lineRule="exact"/>
        <w:ind w:firstLine="420" w:firstLineChars="200"/>
        <w:rPr>
          <w:rFonts w:eastAsia="黑体"/>
          <w:b/>
          <w:bCs/>
          <w:sz w:val="32"/>
        </w:rPr>
      </w:pPr>
      <w:r>
        <w:rPr>
          <w:rFonts w:hint="eastAsia" w:cs="宋体"/>
        </w:rPr>
        <w:t>甲方（采购方）：</w:t>
      </w:r>
      <w:r>
        <w:rPr>
          <w:u w:val="single"/>
        </w:rPr>
        <w:t xml:space="preserve"> </w:t>
      </w:r>
      <w:r>
        <w:rPr>
          <w:rFonts w:hint="eastAsia"/>
          <w:u w:val="single"/>
        </w:rPr>
        <w:t>浙江大学</w:t>
      </w:r>
      <w:r>
        <w:rPr>
          <w:u w:val="single"/>
        </w:rPr>
        <w:t>宁波</w:t>
      </w:r>
      <w:r>
        <w:rPr>
          <w:rFonts w:hint="eastAsia"/>
          <w:u w:val="single"/>
        </w:rPr>
        <w:t xml:space="preserve">“五位一体”校区教育发展中心 </w:t>
      </w:r>
      <w:r>
        <w:rPr>
          <w:u w:val="single"/>
        </w:rPr>
        <w:t xml:space="preserve">   </w:t>
      </w:r>
      <w:r>
        <w:t xml:space="preserve">  </w:t>
      </w:r>
    </w:p>
    <w:p w14:paraId="38545489">
      <w:pPr>
        <w:spacing w:before="240" w:beforeLines="100" w:after="240" w:afterLines="100" w:line="440" w:lineRule="exact"/>
        <w:ind w:firstLine="420" w:firstLineChars="200"/>
      </w:pPr>
      <w:r>
        <w:rPr>
          <w:rFonts w:hint="eastAsia" w:cs="宋体"/>
        </w:rPr>
        <w:t>乙方（供应商）：</w:t>
      </w:r>
      <w:r>
        <w:rPr>
          <w:u w:val="single"/>
        </w:rPr>
        <w:t xml:space="preserve">                   </w:t>
      </w:r>
      <w:r>
        <w:rPr>
          <w:rFonts w:hint="eastAsia"/>
          <w:u w:val="single"/>
        </w:rPr>
        <w:t xml:space="preserve"> </w:t>
      </w:r>
      <w:r>
        <w:rPr>
          <w:u w:val="single"/>
        </w:rPr>
        <w:t xml:space="preserve">           </w:t>
      </w:r>
      <w:r>
        <w:t xml:space="preserve"> </w:t>
      </w:r>
    </w:p>
    <w:p w14:paraId="163BE011">
      <w:pPr>
        <w:spacing w:before="120" w:beforeLines="50" w:line="440" w:lineRule="exact"/>
        <w:ind w:firstLine="420" w:firstLineChars="200"/>
        <w:rPr>
          <w:rFonts w:hint="eastAsia" w:ascii="宋体" w:hAnsi="宋体"/>
        </w:rPr>
      </w:pPr>
      <w:r>
        <w:t xml:space="preserve">     </w:t>
      </w:r>
      <w:r>
        <w:rPr>
          <w:rFonts w:hint="eastAsia" w:ascii="宋体" w:hAnsi="宋体"/>
        </w:rPr>
        <w:t xml:space="preserve">基于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（公开招标、邀请招标、谈判、竞争性磋商、单一来源、询价采购和其他方式）采购结果（项目名称：</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），本合同甲方向乙方采购一批仪器设备（下称“设备”）。甲乙双方就有关事宜，经平等协商，在真实、充分地表达各自意愿的基础上 ，根据《中华人民共和国民法典》的规定，订立本合同，并由双方共同恪守。</w:t>
      </w:r>
    </w:p>
    <w:p w14:paraId="120FACEB">
      <w:pPr>
        <w:pStyle w:val="3"/>
        <w:tabs>
          <w:tab w:val="left" w:pos="720"/>
        </w:tabs>
        <w:spacing w:line="440" w:lineRule="exact"/>
        <w:rPr>
          <w:rFonts w:ascii="黑体" w:eastAsia="黑体"/>
          <w:b/>
          <w:bCs/>
          <w:sz w:val="21"/>
        </w:rPr>
      </w:pPr>
      <w:r>
        <w:rPr>
          <w:rFonts w:hint="eastAsia" w:ascii="黑体" w:eastAsia="黑体"/>
          <w:b/>
          <w:bCs/>
          <w:sz w:val="21"/>
        </w:rPr>
        <w:t>一、合同标的设备</w:t>
      </w:r>
    </w:p>
    <w:tbl>
      <w:tblPr>
        <w:tblStyle w:val="44"/>
        <w:tblW w:w="9454"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16"/>
        <w:gridCol w:w="1066"/>
        <w:gridCol w:w="806"/>
        <w:gridCol w:w="1178"/>
        <w:gridCol w:w="851"/>
        <w:gridCol w:w="850"/>
        <w:gridCol w:w="881"/>
        <w:gridCol w:w="1104"/>
        <w:gridCol w:w="876"/>
      </w:tblGrid>
      <w:tr w14:paraId="3CA5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6" w:type="dxa"/>
            <w:tcBorders>
              <w:top w:val="single" w:color="auto" w:sz="4" w:space="0"/>
              <w:left w:val="single" w:color="auto" w:sz="4" w:space="0"/>
              <w:bottom w:val="single" w:color="auto" w:sz="4" w:space="0"/>
              <w:right w:val="single" w:color="auto" w:sz="4" w:space="0"/>
            </w:tcBorders>
            <w:vAlign w:val="center"/>
          </w:tcPr>
          <w:p w14:paraId="7E696472">
            <w:pPr>
              <w:spacing w:line="400" w:lineRule="exact"/>
              <w:jc w:val="center"/>
            </w:pPr>
            <w:r>
              <w:rPr>
                <w:rFonts w:hint="eastAsia" w:cs="宋体"/>
              </w:rPr>
              <w:t>序号</w:t>
            </w:r>
          </w:p>
        </w:tc>
        <w:tc>
          <w:tcPr>
            <w:tcW w:w="1116" w:type="dxa"/>
            <w:tcBorders>
              <w:top w:val="single" w:color="auto" w:sz="4" w:space="0"/>
              <w:left w:val="single" w:color="auto" w:sz="4" w:space="0"/>
              <w:bottom w:val="single" w:color="auto" w:sz="4" w:space="0"/>
              <w:right w:val="single" w:color="auto" w:sz="4" w:space="0"/>
            </w:tcBorders>
            <w:vAlign w:val="center"/>
          </w:tcPr>
          <w:p w14:paraId="2C3F68A5">
            <w:pPr>
              <w:spacing w:line="400" w:lineRule="exact"/>
              <w:jc w:val="center"/>
            </w:pPr>
            <w:r>
              <w:rPr>
                <w:rFonts w:hint="eastAsia" w:cs="宋体"/>
              </w:rPr>
              <w:t>设备名称</w:t>
            </w:r>
          </w:p>
        </w:tc>
        <w:tc>
          <w:tcPr>
            <w:tcW w:w="1066" w:type="dxa"/>
            <w:tcBorders>
              <w:top w:val="single" w:color="auto" w:sz="4" w:space="0"/>
              <w:left w:val="single" w:color="auto" w:sz="4" w:space="0"/>
              <w:bottom w:val="single" w:color="auto" w:sz="4" w:space="0"/>
              <w:right w:val="single" w:color="auto" w:sz="4" w:space="0"/>
            </w:tcBorders>
            <w:vAlign w:val="center"/>
          </w:tcPr>
          <w:p w14:paraId="179E45E7">
            <w:pPr>
              <w:spacing w:line="400" w:lineRule="exact"/>
              <w:jc w:val="center"/>
            </w:pPr>
            <w:r>
              <w:rPr>
                <w:rFonts w:hint="eastAsia" w:cs="宋体"/>
              </w:rPr>
              <w:t>商标品牌</w:t>
            </w:r>
          </w:p>
        </w:tc>
        <w:tc>
          <w:tcPr>
            <w:tcW w:w="806" w:type="dxa"/>
            <w:tcBorders>
              <w:top w:val="single" w:color="auto" w:sz="4" w:space="0"/>
              <w:left w:val="single" w:color="auto" w:sz="4" w:space="0"/>
              <w:bottom w:val="single" w:color="auto" w:sz="4" w:space="0"/>
              <w:right w:val="single" w:color="auto" w:sz="4" w:space="0"/>
            </w:tcBorders>
            <w:vAlign w:val="center"/>
          </w:tcPr>
          <w:p w14:paraId="2DEC7F18">
            <w:pPr>
              <w:spacing w:line="400" w:lineRule="exact"/>
              <w:jc w:val="center"/>
            </w:pPr>
            <w:r>
              <w:rPr>
                <w:rFonts w:hint="eastAsia" w:cs="宋体"/>
              </w:rPr>
              <w:t>规格型号</w:t>
            </w:r>
          </w:p>
        </w:tc>
        <w:tc>
          <w:tcPr>
            <w:tcW w:w="1178" w:type="dxa"/>
            <w:tcBorders>
              <w:top w:val="single" w:color="auto" w:sz="4" w:space="0"/>
              <w:left w:val="single" w:color="auto" w:sz="4" w:space="0"/>
              <w:bottom w:val="single" w:color="auto" w:sz="4" w:space="0"/>
              <w:right w:val="single" w:color="auto" w:sz="4" w:space="0"/>
            </w:tcBorders>
            <w:vAlign w:val="center"/>
          </w:tcPr>
          <w:p w14:paraId="64D47CD4">
            <w:pPr>
              <w:spacing w:line="400" w:lineRule="exact"/>
              <w:jc w:val="center"/>
            </w:pPr>
            <w:r>
              <w:rPr>
                <w:rFonts w:hint="eastAsia" w:cs="宋体"/>
              </w:rPr>
              <w:t>生产厂家</w:t>
            </w:r>
          </w:p>
        </w:tc>
        <w:tc>
          <w:tcPr>
            <w:tcW w:w="851" w:type="dxa"/>
            <w:tcBorders>
              <w:top w:val="single" w:color="auto" w:sz="4" w:space="0"/>
              <w:left w:val="single" w:color="auto" w:sz="4" w:space="0"/>
              <w:bottom w:val="single" w:color="auto" w:sz="4" w:space="0"/>
              <w:right w:val="single" w:color="auto" w:sz="4" w:space="0"/>
            </w:tcBorders>
            <w:vAlign w:val="center"/>
          </w:tcPr>
          <w:p w14:paraId="46C5CB4C">
            <w:pPr>
              <w:spacing w:line="400" w:lineRule="exact"/>
              <w:jc w:val="center"/>
            </w:pPr>
            <w:r>
              <w:rPr>
                <w:rFonts w:hint="eastAsia" w:cs="宋体"/>
              </w:rPr>
              <w:t>数</w:t>
            </w:r>
            <w:r>
              <w:t xml:space="preserve"> </w:t>
            </w:r>
            <w:r>
              <w:rPr>
                <w:rFonts w:hint="eastAsia" w:cs="宋体"/>
              </w:rPr>
              <w:t>量</w:t>
            </w:r>
          </w:p>
        </w:tc>
        <w:tc>
          <w:tcPr>
            <w:tcW w:w="850" w:type="dxa"/>
            <w:tcBorders>
              <w:top w:val="single" w:color="auto" w:sz="4" w:space="0"/>
              <w:left w:val="single" w:color="auto" w:sz="4" w:space="0"/>
              <w:bottom w:val="single" w:color="auto" w:sz="4" w:space="0"/>
              <w:right w:val="single" w:color="auto" w:sz="4" w:space="0"/>
            </w:tcBorders>
            <w:vAlign w:val="center"/>
          </w:tcPr>
          <w:p w14:paraId="2D150D3C">
            <w:pPr>
              <w:spacing w:line="400" w:lineRule="exact"/>
              <w:jc w:val="center"/>
            </w:pPr>
            <w:r>
              <w:rPr>
                <w:rFonts w:hint="eastAsia" w:cs="宋体"/>
              </w:rPr>
              <w:t>单价（元）</w:t>
            </w:r>
          </w:p>
        </w:tc>
        <w:tc>
          <w:tcPr>
            <w:tcW w:w="881" w:type="dxa"/>
            <w:tcBorders>
              <w:top w:val="single" w:color="auto" w:sz="4" w:space="0"/>
              <w:left w:val="single" w:color="auto" w:sz="4" w:space="0"/>
              <w:bottom w:val="single" w:color="auto" w:sz="4" w:space="0"/>
              <w:right w:val="single" w:color="auto" w:sz="4" w:space="0"/>
            </w:tcBorders>
            <w:vAlign w:val="center"/>
          </w:tcPr>
          <w:p w14:paraId="1BA97C7C">
            <w:pPr>
              <w:spacing w:line="400" w:lineRule="exact"/>
              <w:jc w:val="center"/>
            </w:pPr>
            <w:r>
              <w:rPr>
                <w:rFonts w:hint="eastAsia" w:cs="宋体"/>
              </w:rPr>
              <w:t>总金额（元）</w:t>
            </w:r>
          </w:p>
        </w:tc>
        <w:tc>
          <w:tcPr>
            <w:tcW w:w="1104" w:type="dxa"/>
            <w:tcBorders>
              <w:top w:val="single" w:color="auto" w:sz="4" w:space="0"/>
              <w:left w:val="single" w:color="auto" w:sz="4" w:space="0"/>
              <w:bottom w:val="single" w:color="auto" w:sz="4" w:space="0"/>
              <w:right w:val="single" w:color="auto" w:sz="4" w:space="0"/>
            </w:tcBorders>
            <w:vAlign w:val="center"/>
          </w:tcPr>
          <w:p w14:paraId="501951AD">
            <w:pPr>
              <w:spacing w:line="400" w:lineRule="exact"/>
              <w:jc w:val="center"/>
              <w:rPr>
                <w:rFonts w:cs="宋体"/>
              </w:rPr>
            </w:pPr>
            <w:r>
              <w:rPr>
                <w:rFonts w:hint="eastAsia" w:cs="宋体"/>
              </w:rPr>
              <w:t>质保期</w:t>
            </w:r>
          </w:p>
        </w:tc>
        <w:tc>
          <w:tcPr>
            <w:tcW w:w="876" w:type="dxa"/>
            <w:tcBorders>
              <w:top w:val="single" w:color="auto" w:sz="4" w:space="0"/>
              <w:left w:val="single" w:color="auto" w:sz="4" w:space="0"/>
              <w:bottom w:val="single" w:color="auto" w:sz="4" w:space="0"/>
              <w:right w:val="single" w:color="auto" w:sz="4" w:space="0"/>
            </w:tcBorders>
            <w:vAlign w:val="center"/>
          </w:tcPr>
          <w:p w14:paraId="765F2F43">
            <w:pPr>
              <w:spacing w:line="400" w:lineRule="exact"/>
              <w:jc w:val="center"/>
              <w:rPr>
                <w:rFonts w:cs="宋体"/>
              </w:rPr>
            </w:pPr>
            <w:r>
              <w:rPr>
                <w:rFonts w:hint="eastAsia" w:cs="宋体"/>
              </w:rPr>
              <w:t>备注</w:t>
            </w:r>
          </w:p>
        </w:tc>
      </w:tr>
      <w:tr w14:paraId="4894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6" w:type="dxa"/>
            <w:tcBorders>
              <w:top w:val="single" w:color="auto" w:sz="4" w:space="0"/>
              <w:left w:val="single" w:color="auto" w:sz="4" w:space="0"/>
              <w:bottom w:val="single" w:color="auto" w:sz="4" w:space="0"/>
              <w:right w:val="single" w:color="auto" w:sz="4" w:space="0"/>
            </w:tcBorders>
            <w:vAlign w:val="center"/>
          </w:tcPr>
          <w:p w14:paraId="25D2AA97">
            <w:pPr>
              <w:spacing w:line="400" w:lineRule="exact"/>
              <w:ind w:firstLine="300" w:firstLineChars="200"/>
              <w:jc w:val="center"/>
              <w:rPr>
                <w:sz w:val="15"/>
                <w:szCs w:val="15"/>
              </w:rPr>
            </w:pPr>
          </w:p>
        </w:tc>
        <w:tc>
          <w:tcPr>
            <w:tcW w:w="1116" w:type="dxa"/>
            <w:tcBorders>
              <w:top w:val="single" w:color="auto" w:sz="4" w:space="0"/>
              <w:left w:val="single" w:color="auto" w:sz="4" w:space="0"/>
              <w:bottom w:val="single" w:color="auto" w:sz="4" w:space="0"/>
              <w:right w:val="single" w:color="auto" w:sz="4" w:space="0"/>
            </w:tcBorders>
            <w:vAlign w:val="center"/>
          </w:tcPr>
          <w:p w14:paraId="1DE721F3">
            <w:pPr>
              <w:spacing w:line="400" w:lineRule="exact"/>
              <w:ind w:firstLine="300" w:firstLineChars="200"/>
              <w:jc w:val="center"/>
              <w:rPr>
                <w:sz w:val="15"/>
                <w:szCs w:val="15"/>
              </w:rPr>
            </w:pPr>
          </w:p>
        </w:tc>
        <w:tc>
          <w:tcPr>
            <w:tcW w:w="1066" w:type="dxa"/>
            <w:tcBorders>
              <w:top w:val="single" w:color="auto" w:sz="4" w:space="0"/>
              <w:left w:val="single" w:color="auto" w:sz="4" w:space="0"/>
              <w:bottom w:val="single" w:color="auto" w:sz="4" w:space="0"/>
              <w:right w:val="single" w:color="auto" w:sz="4" w:space="0"/>
            </w:tcBorders>
            <w:vAlign w:val="center"/>
          </w:tcPr>
          <w:p w14:paraId="470E1881">
            <w:pPr>
              <w:spacing w:line="400" w:lineRule="exact"/>
              <w:ind w:firstLine="300" w:firstLineChars="200"/>
              <w:jc w:val="center"/>
              <w:rPr>
                <w:sz w:val="15"/>
                <w:szCs w:val="15"/>
              </w:rPr>
            </w:pPr>
          </w:p>
        </w:tc>
        <w:tc>
          <w:tcPr>
            <w:tcW w:w="806" w:type="dxa"/>
            <w:tcBorders>
              <w:top w:val="single" w:color="auto" w:sz="4" w:space="0"/>
              <w:left w:val="single" w:color="auto" w:sz="4" w:space="0"/>
              <w:bottom w:val="single" w:color="auto" w:sz="4" w:space="0"/>
              <w:right w:val="single" w:color="auto" w:sz="4" w:space="0"/>
            </w:tcBorders>
            <w:vAlign w:val="center"/>
          </w:tcPr>
          <w:p w14:paraId="02CEF3AB">
            <w:pPr>
              <w:spacing w:line="400" w:lineRule="exact"/>
              <w:ind w:firstLine="300" w:firstLineChars="200"/>
              <w:jc w:val="center"/>
              <w:rPr>
                <w:sz w:val="15"/>
                <w:szCs w:val="15"/>
              </w:rPr>
            </w:pPr>
          </w:p>
        </w:tc>
        <w:tc>
          <w:tcPr>
            <w:tcW w:w="1178" w:type="dxa"/>
            <w:tcBorders>
              <w:top w:val="single" w:color="auto" w:sz="4" w:space="0"/>
              <w:left w:val="single" w:color="auto" w:sz="4" w:space="0"/>
              <w:bottom w:val="single" w:color="auto" w:sz="4" w:space="0"/>
              <w:right w:val="single" w:color="auto" w:sz="4" w:space="0"/>
            </w:tcBorders>
            <w:vAlign w:val="center"/>
          </w:tcPr>
          <w:p w14:paraId="5866A2B0">
            <w:pPr>
              <w:spacing w:line="400" w:lineRule="exact"/>
              <w:ind w:firstLine="300" w:firstLineChars="200"/>
              <w:jc w:val="center"/>
              <w:rPr>
                <w:sz w:val="15"/>
                <w:szCs w:val="15"/>
              </w:rPr>
            </w:pPr>
          </w:p>
        </w:tc>
        <w:tc>
          <w:tcPr>
            <w:tcW w:w="851" w:type="dxa"/>
            <w:tcBorders>
              <w:top w:val="single" w:color="auto" w:sz="4" w:space="0"/>
              <w:left w:val="single" w:color="auto" w:sz="4" w:space="0"/>
              <w:bottom w:val="single" w:color="auto" w:sz="4" w:space="0"/>
              <w:right w:val="single" w:color="auto" w:sz="4" w:space="0"/>
            </w:tcBorders>
            <w:vAlign w:val="center"/>
          </w:tcPr>
          <w:p w14:paraId="747C2349">
            <w:pPr>
              <w:spacing w:line="400" w:lineRule="exact"/>
              <w:ind w:firstLine="300" w:firstLineChars="200"/>
              <w:jc w:val="center"/>
              <w:rPr>
                <w:sz w:val="15"/>
                <w:szCs w:val="15"/>
              </w:rPr>
            </w:pPr>
          </w:p>
        </w:tc>
        <w:tc>
          <w:tcPr>
            <w:tcW w:w="850" w:type="dxa"/>
            <w:tcBorders>
              <w:top w:val="single" w:color="auto" w:sz="4" w:space="0"/>
              <w:left w:val="single" w:color="auto" w:sz="4" w:space="0"/>
              <w:bottom w:val="single" w:color="auto" w:sz="4" w:space="0"/>
              <w:right w:val="single" w:color="auto" w:sz="4" w:space="0"/>
            </w:tcBorders>
            <w:vAlign w:val="center"/>
          </w:tcPr>
          <w:p w14:paraId="5962A732">
            <w:pPr>
              <w:widowControl/>
              <w:spacing w:line="400" w:lineRule="exact"/>
              <w:ind w:firstLine="300" w:firstLineChars="200"/>
              <w:jc w:val="center"/>
              <w:rPr>
                <w:sz w:val="15"/>
                <w:szCs w:val="15"/>
              </w:rPr>
            </w:pPr>
          </w:p>
        </w:tc>
        <w:tc>
          <w:tcPr>
            <w:tcW w:w="881" w:type="dxa"/>
            <w:tcBorders>
              <w:top w:val="single" w:color="auto" w:sz="4" w:space="0"/>
              <w:left w:val="single" w:color="auto" w:sz="4" w:space="0"/>
              <w:bottom w:val="single" w:color="auto" w:sz="4" w:space="0"/>
              <w:right w:val="single" w:color="auto" w:sz="4" w:space="0"/>
            </w:tcBorders>
            <w:vAlign w:val="center"/>
          </w:tcPr>
          <w:p w14:paraId="38B516C9">
            <w:pPr>
              <w:widowControl/>
              <w:spacing w:line="400" w:lineRule="exact"/>
              <w:ind w:firstLine="300" w:firstLineChars="200"/>
              <w:jc w:val="center"/>
              <w:rPr>
                <w:sz w:val="15"/>
                <w:szCs w:val="15"/>
              </w:rPr>
            </w:pPr>
          </w:p>
        </w:tc>
        <w:tc>
          <w:tcPr>
            <w:tcW w:w="1104" w:type="dxa"/>
            <w:tcBorders>
              <w:top w:val="single" w:color="auto" w:sz="4" w:space="0"/>
              <w:left w:val="single" w:color="auto" w:sz="4" w:space="0"/>
              <w:bottom w:val="single" w:color="auto" w:sz="4" w:space="0"/>
              <w:right w:val="single" w:color="auto" w:sz="4" w:space="0"/>
            </w:tcBorders>
            <w:vAlign w:val="center"/>
          </w:tcPr>
          <w:p w14:paraId="1637ECE5">
            <w:pPr>
              <w:widowControl/>
              <w:spacing w:line="400" w:lineRule="exact"/>
              <w:rPr>
                <w:sz w:val="15"/>
                <w:szCs w:val="15"/>
              </w:rPr>
            </w:pPr>
          </w:p>
        </w:tc>
        <w:tc>
          <w:tcPr>
            <w:tcW w:w="876" w:type="dxa"/>
            <w:tcBorders>
              <w:top w:val="single" w:color="auto" w:sz="4" w:space="0"/>
              <w:left w:val="single" w:color="auto" w:sz="4" w:space="0"/>
              <w:bottom w:val="single" w:color="auto" w:sz="4" w:space="0"/>
              <w:right w:val="single" w:color="auto" w:sz="4" w:space="0"/>
            </w:tcBorders>
            <w:vAlign w:val="center"/>
          </w:tcPr>
          <w:p w14:paraId="7A87D8CA">
            <w:pPr>
              <w:widowControl/>
              <w:spacing w:line="400" w:lineRule="exact"/>
              <w:rPr>
                <w:sz w:val="15"/>
                <w:szCs w:val="15"/>
              </w:rPr>
            </w:pPr>
          </w:p>
        </w:tc>
      </w:tr>
      <w:tr w14:paraId="4686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6" w:type="dxa"/>
            <w:tcBorders>
              <w:top w:val="single" w:color="auto" w:sz="4" w:space="0"/>
              <w:left w:val="single" w:color="auto" w:sz="4" w:space="0"/>
              <w:bottom w:val="single" w:color="auto" w:sz="4" w:space="0"/>
              <w:right w:val="single" w:color="auto" w:sz="4" w:space="0"/>
            </w:tcBorders>
            <w:vAlign w:val="center"/>
          </w:tcPr>
          <w:p w14:paraId="0ECF42EF">
            <w:pPr>
              <w:spacing w:line="400" w:lineRule="exact"/>
              <w:ind w:firstLine="300" w:firstLineChars="200"/>
              <w:jc w:val="center"/>
              <w:rPr>
                <w:sz w:val="15"/>
                <w:szCs w:val="15"/>
              </w:rPr>
            </w:pPr>
          </w:p>
        </w:tc>
        <w:tc>
          <w:tcPr>
            <w:tcW w:w="1116" w:type="dxa"/>
            <w:tcBorders>
              <w:top w:val="single" w:color="auto" w:sz="4" w:space="0"/>
              <w:left w:val="single" w:color="auto" w:sz="4" w:space="0"/>
              <w:bottom w:val="single" w:color="auto" w:sz="4" w:space="0"/>
              <w:right w:val="single" w:color="auto" w:sz="4" w:space="0"/>
            </w:tcBorders>
            <w:vAlign w:val="center"/>
          </w:tcPr>
          <w:p w14:paraId="4047783B">
            <w:pPr>
              <w:spacing w:line="400" w:lineRule="exact"/>
              <w:ind w:firstLine="300" w:firstLineChars="200"/>
              <w:jc w:val="center"/>
              <w:rPr>
                <w:sz w:val="15"/>
                <w:szCs w:val="15"/>
              </w:rPr>
            </w:pPr>
          </w:p>
        </w:tc>
        <w:tc>
          <w:tcPr>
            <w:tcW w:w="1066" w:type="dxa"/>
            <w:tcBorders>
              <w:top w:val="single" w:color="auto" w:sz="4" w:space="0"/>
              <w:left w:val="single" w:color="auto" w:sz="4" w:space="0"/>
              <w:bottom w:val="single" w:color="auto" w:sz="4" w:space="0"/>
              <w:right w:val="single" w:color="auto" w:sz="4" w:space="0"/>
            </w:tcBorders>
            <w:vAlign w:val="center"/>
          </w:tcPr>
          <w:p w14:paraId="10DC4C20">
            <w:pPr>
              <w:spacing w:line="400" w:lineRule="exact"/>
              <w:ind w:firstLine="300" w:firstLineChars="200"/>
              <w:jc w:val="center"/>
              <w:rPr>
                <w:sz w:val="15"/>
                <w:szCs w:val="15"/>
              </w:rPr>
            </w:pPr>
          </w:p>
        </w:tc>
        <w:tc>
          <w:tcPr>
            <w:tcW w:w="806" w:type="dxa"/>
            <w:tcBorders>
              <w:top w:val="single" w:color="auto" w:sz="4" w:space="0"/>
              <w:left w:val="single" w:color="auto" w:sz="4" w:space="0"/>
              <w:bottom w:val="single" w:color="auto" w:sz="4" w:space="0"/>
              <w:right w:val="single" w:color="auto" w:sz="4" w:space="0"/>
            </w:tcBorders>
            <w:vAlign w:val="center"/>
          </w:tcPr>
          <w:p w14:paraId="6E610F2F">
            <w:pPr>
              <w:spacing w:line="400" w:lineRule="exact"/>
              <w:ind w:firstLine="300" w:firstLineChars="200"/>
              <w:jc w:val="center"/>
              <w:rPr>
                <w:sz w:val="15"/>
                <w:szCs w:val="15"/>
              </w:rPr>
            </w:pPr>
          </w:p>
        </w:tc>
        <w:tc>
          <w:tcPr>
            <w:tcW w:w="1178" w:type="dxa"/>
            <w:tcBorders>
              <w:top w:val="single" w:color="auto" w:sz="4" w:space="0"/>
              <w:left w:val="single" w:color="auto" w:sz="4" w:space="0"/>
              <w:bottom w:val="single" w:color="auto" w:sz="4" w:space="0"/>
              <w:right w:val="single" w:color="auto" w:sz="4" w:space="0"/>
            </w:tcBorders>
            <w:vAlign w:val="center"/>
          </w:tcPr>
          <w:p w14:paraId="1C907AAF">
            <w:pPr>
              <w:spacing w:line="400" w:lineRule="exact"/>
              <w:ind w:firstLine="300" w:firstLineChars="200"/>
              <w:jc w:val="center"/>
              <w:rPr>
                <w:sz w:val="15"/>
                <w:szCs w:val="15"/>
              </w:rPr>
            </w:pPr>
          </w:p>
        </w:tc>
        <w:tc>
          <w:tcPr>
            <w:tcW w:w="851" w:type="dxa"/>
            <w:tcBorders>
              <w:top w:val="single" w:color="auto" w:sz="4" w:space="0"/>
              <w:left w:val="single" w:color="auto" w:sz="4" w:space="0"/>
              <w:bottom w:val="single" w:color="auto" w:sz="4" w:space="0"/>
              <w:right w:val="single" w:color="auto" w:sz="4" w:space="0"/>
            </w:tcBorders>
            <w:vAlign w:val="center"/>
          </w:tcPr>
          <w:p w14:paraId="6DBF41BF">
            <w:pPr>
              <w:spacing w:line="400" w:lineRule="exact"/>
              <w:ind w:firstLine="300" w:firstLineChars="200"/>
              <w:jc w:val="center"/>
              <w:rPr>
                <w:sz w:val="15"/>
                <w:szCs w:val="15"/>
              </w:rPr>
            </w:pPr>
          </w:p>
        </w:tc>
        <w:tc>
          <w:tcPr>
            <w:tcW w:w="850" w:type="dxa"/>
            <w:tcBorders>
              <w:top w:val="single" w:color="auto" w:sz="4" w:space="0"/>
              <w:left w:val="single" w:color="auto" w:sz="4" w:space="0"/>
              <w:bottom w:val="single" w:color="auto" w:sz="4" w:space="0"/>
              <w:right w:val="single" w:color="auto" w:sz="4" w:space="0"/>
            </w:tcBorders>
            <w:vAlign w:val="center"/>
          </w:tcPr>
          <w:p w14:paraId="5D4A22BD">
            <w:pPr>
              <w:widowControl/>
              <w:spacing w:line="400" w:lineRule="exact"/>
              <w:ind w:firstLine="300" w:firstLineChars="200"/>
              <w:jc w:val="center"/>
              <w:rPr>
                <w:sz w:val="15"/>
                <w:szCs w:val="15"/>
              </w:rPr>
            </w:pPr>
          </w:p>
        </w:tc>
        <w:tc>
          <w:tcPr>
            <w:tcW w:w="881" w:type="dxa"/>
            <w:tcBorders>
              <w:top w:val="single" w:color="auto" w:sz="4" w:space="0"/>
              <w:left w:val="single" w:color="auto" w:sz="4" w:space="0"/>
              <w:bottom w:val="single" w:color="auto" w:sz="4" w:space="0"/>
              <w:right w:val="single" w:color="auto" w:sz="4" w:space="0"/>
            </w:tcBorders>
            <w:vAlign w:val="center"/>
          </w:tcPr>
          <w:p w14:paraId="00238B4C">
            <w:pPr>
              <w:widowControl/>
              <w:spacing w:line="400" w:lineRule="exact"/>
              <w:ind w:firstLine="300" w:firstLineChars="200"/>
              <w:jc w:val="center"/>
              <w:rPr>
                <w:sz w:val="15"/>
                <w:szCs w:val="15"/>
              </w:rPr>
            </w:pPr>
          </w:p>
        </w:tc>
        <w:tc>
          <w:tcPr>
            <w:tcW w:w="1104" w:type="dxa"/>
            <w:tcBorders>
              <w:top w:val="single" w:color="auto" w:sz="4" w:space="0"/>
              <w:left w:val="single" w:color="auto" w:sz="4" w:space="0"/>
              <w:bottom w:val="single" w:color="auto" w:sz="4" w:space="0"/>
              <w:right w:val="single" w:color="auto" w:sz="4" w:space="0"/>
            </w:tcBorders>
            <w:vAlign w:val="center"/>
          </w:tcPr>
          <w:p w14:paraId="6EA3A5E4">
            <w:pPr>
              <w:widowControl/>
              <w:spacing w:line="400" w:lineRule="exact"/>
              <w:ind w:firstLine="300" w:firstLineChars="200"/>
              <w:jc w:val="center"/>
              <w:rPr>
                <w:sz w:val="15"/>
                <w:szCs w:val="15"/>
              </w:rPr>
            </w:pPr>
          </w:p>
        </w:tc>
        <w:tc>
          <w:tcPr>
            <w:tcW w:w="876" w:type="dxa"/>
            <w:tcBorders>
              <w:top w:val="single" w:color="auto" w:sz="4" w:space="0"/>
              <w:left w:val="single" w:color="auto" w:sz="4" w:space="0"/>
              <w:bottom w:val="single" w:color="auto" w:sz="4" w:space="0"/>
              <w:right w:val="single" w:color="auto" w:sz="4" w:space="0"/>
            </w:tcBorders>
            <w:vAlign w:val="center"/>
          </w:tcPr>
          <w:p w14:paraId="17202061">
            <w:pPr>
              <w:widowControl/>
              <w:spacing w:line="400" w:lineRule="exact"/>
              <w:ind w:firstLine="300" w:firstLineChars="200"/>
              <w:jc w:val="center"/>
              <w:rPr>
                <w:sz w:val="15"/>
                <w:szCs w:val="15"/>
              </w:rPr>
            </w:pPr>
          </w:p>
        </w:tc>
      </w:tr>
    </w:tbl>
    <w:p w14:paraId="42D33BDB">
      <w:pPr>
        <w:pStyle w:val="3"/>
        <w:tabs>
          <w:tab w:val="left" w:pos="720"/>
        </w:tabs>
        <w:spacing w:line="440" w:lineRule="exact"/>
        <w:rPr>
          <w:bCs/>
          <w:sz w:val="21"/>
          <w:szCs w:val="21"/>
        </w:rPr>
      </w:pPr>
      <w:r>
        <w:rPr>
          <w:rFonts w:hint="eastAsia" w:ascii="黑体" w:hAnsi="黑体" w:eastAsia="黑体"/>
          <w:b/>
          <w:bCs/>
          <w:sz w:val="21"/>
        </w:rPr>
        <w:t>【</w:t>
      </w:r>
      <w:r>
        <w:rPr>
          <w:rFonts w:hint="eastAsia" w:ascii="黑体" w:eastAsia="黑体"/>
          <w:b/>
          <w:bCs/>
          <w:sz w:val="21"/>
        </w:rPr>
        <w:t>备注：</w:t>
      </w:r>
      <w:r>
        <w:rPr>
          <w:rFonts w:hint="eastAsia"/>
          <w:bCs/>
          <w:sz w:val="21"/>
          <w:szCs w:val="21"/>
        </w:rPr>
        <w:t>若有必配的、不另计价的附件和专用工具等，可列在备注项内。此外，若本合同第二条的内容不足以详尽描述（或需要强调的）设备功能和性能指标，可列在备注项或作为合同附件。】</w:t>
      </w:r>
    </w:p>
    <w:p w14:paraId="3CAC086A">
      <w:pPr>
        <w:pStyle w:val="3"/>
        <w:tabs>
          <w:tab w:val="left" w:pos="720"/>
        </w:tabs>
        <w:spacing w:line="440" w:lineRule="exact"/>
        <w:ind w:firstLine="422" w:firstLineChars="200"/>
        <w:rPr>
          <w:rFonts w:ascii="黑体" w:eastAsia="黑体"/>
          <w:b/>
          <w:bCs/>
          <w:sz w:val="21"/>
        </w:rPr>
      </w:pPr>
      <w:r>
        <w:rPr>
          <w:rFonts w:hint="eastAsia" w:ascii="黑体" w:eastAsia="黑体"/>
          <w:b/>
          <w:bCs/>
          <w:sz w:val="21"/>
        </w:rPr>
        <w:t>二、设备质量要求</w:t>
      </w:r>
    </w:p>
    <w:p w14:paraId="2ECBABC4">
      <w:pPr>
        <w:spacing w:line="440" w:lineRule="exact"/>
        <w:ind w:firstLine="420" w:firstLineChars="200"/>
        <w:rPr>
          <w:rFonts w:ascii="黑体" w:eastAsia="黑体"/>
          <w:b/>
          <w:bCs/>
        </w:rPr>
      </w:pPr>
      <w:r>
        <w:rPr>
          <w:rFonts w:hint="eastAsia"/>
        </w:rPr>
        <w:t>乙方所提供的设备必须满足以下全部要求：</w:t>
      </w:r>
    </w:p>
    <w:p w14:paraId="56894F33">
      <w:pPr>
        <w:spacing w:line="440" w:lineRule="exact"/>
        <w:ind w:firstLine="420" w:firstLineChars="200"/>
        <w:rPr>
          <w:rFonts w:hint="eastAsia" w:ascii="宋体" w:hAnsi="宋体"/>
        </w:rPr>
      </w:pPr>
      <w:r>
        <w:rPr>
          <w:rFonts w:hint="eastAsia" w:ascii="宋体" w:hAnsi="宋体"/>
        </w:rPr>
        <w:t>1.设备及其附件和专用工具符合相关的国家及行业产品的质量标准和技术规范；</w:t>
      </w:r>
    </w:p>
    <w:p w14:paraId="6CB03EED">
      <w:pPr>
        <w:spacing w:line="440" w:lineRule="exact"/>
        <w:ind w:firstLine="420" w:firstLineChars="200"/>
        <w:rPr>
          <w:rFonts w:hint="eastAsia" w:ascii="宋体" w:hAnsi="宋体"/>
        </w:rPr>
      </w:pPr>
      <w:r>
        <w:rPr>
          <w:rFonts w:hint="eastAsia" w:ascii="宋体" w:hAnsi="宋体"/>
        </w:rPr>
        <w:t>2.设备及其附件和专用工具符合甲方的采购文件、乙方的投标文件要求（此款仅适用于通过公开招标、邀请招标、谈判、竞争性磋商、单一来源、询价采购等方式采购的设备）；</w:t>
      </w:r>
    </w:p>
    <w:p w14:paraId="406AFD6A">
      <w:pPr>
        <w:spacing w:line="440" w:lineRule="exact"/>
        <w:ind w:firstLine="420" w:firstLineChars="200"/>
        <w:rPr>
          <w:rFonts w:hint="eastAsia" w:ascii="宋体" w:hAnsi="宋体"/>
        </w:rPr>
      </w:pPr>
      <w:r>
        <w:rPr>
          <w:rFonts w:hint="eastAsia" w:ascii="宋体" w:hAnsi="宋体"/>
        </w:rPr>
        <w:t>3.设备及其附件和专用工具均不侵犯任何第三人的知识产权及其他合法权益；</w:t>
      </w:r>
    </w:p>
    <w:p w14:paraId="638893F6">
      <w:pPr>
        <w:spacing w:line="440" w:lineRule="exact"/>
        <w:ind w:firstLine="420" w:firstLineChars="200"/>
        <w:rPr>
          <w:rFonts w:hint="eastAsia" w:ascii="宋体" w:hAnsi="宋体"/>
        </w:rPr>
      </w:pPr>
      <w:r>
        <w:rPr>
          <w:rFonts w:hint="eastAsia" w:ascii="宋体" w:hAnsi="宋体"/>
        </w:rPr>
        <w:t>4.设备及其附件和专用工具必须是全新、未使用过的原装产品；</w:t>
      </w:r>
    </w:p>
    <w:p w14:paraId="09A13703">
      <w:pPr>
        <w:spacing w:line="440" w:lineRule="exact"/>
        <w:ind w:firstLine="420" w:firstLineChars="200"/>
        <w:rPr>
          <w:rFonts w:hint="eastAsia" w:ascii="宋体" w:hAnsi="宋体"/>
        </w:rPr>
      </w:pPr>
      <w:r>
        <w:rPr>
          <w:rFonts w:hint="eastAsia" w:ascii="宋体" w:hAnsi="宋体"/>
        </w:rPr>
        <w:t>5.随设备及其附件和专用工具提供其出厂合格证书、使用说明书、原厂保修卡及其他原厂随机资料（下称随附文件）；</w:t>
      </w:r>
    </w:p>
    <w:p w14:paraId="08C81E1F">
      <w:pPr>
        <w:spacing w:line="440" w:lineRule="exact"/>
        <w:ind w:firstLine="420" w:firstLineChars="200"/>
        <w:rPr>
          <w:rFonts w:hint="eastAsia" w:ascii="宋体" w:hAnsi="宋体"/>
        </w:rPr>
      </w:pPr>
      <w:r>
        <w:rPr>
          <w:rFonts w:hint="eastAsia" w:ascii="宋体" w:hAnsi="宋体"/>
        </w:rPr>
        <w:t>6.设备及其附件和专用工具符合甲乙双方签字确认的其他相关承诺及协议，包括：</w:t>
      </w:r>
    </w:p>
    <w:p w14:paraId="00384F4D">
      <w:pPr>
        <w:spacing w:line="440" w:lineRule="exact"/>
        <w:ind w:firstLine="420" w:firstLineChars="200"/>
        <w:rPr>
          <w:rFonts w:hint="eastAsia" w:ascii="宋体" w:hAnsi="宋体"/>
        </w:rPr>
      </w:pPr>
      <w:r>
        <w:rPr>
          <w:rFonts w:hint="eastAsia" w:ascii="宋体" w:hAnsi="宋体"/>
        </w:rPr>
        <w:t>（1）</w:t>
      </w:r>
      <w:r>
        <w:rPr>
          <w:rFonts w:hint="eastAsia" w:ascii="宋体" w:hAnsi="宋体"/>
          <w:u w:val="single"/>
        </w:rPr>
        <w:t xml:space="preserve">                                                                 </w:t>
      </w:r>
      <w:r>
        <w:rPr>
          <w:rFonts w:hint="eastAsia" w:ascii="宋体" w:hAnsi="宋体"/>
        </w:rPr>
        <w:t>；</w:t>
      </w:r>
    </w:p>
    <w:p w14:paraId="0B46EDC1">
      <w:pPr>
        <w:spacing w:line="440" w:lineRule="exact"/>
        <w:ind w:firstLine="420" w:firstLineChars="200"/>
        <w:rPr>
          <w:rFonts w:ascii="黑体" w:eastAsia="黑体"/>
          <w:bCs/>
        </w:rPr>
      </w:pPr>
      <w:r>
        <w:rPr>
          <w:rFonts w:hint="eastAsia" w:ascii="宋体" w:hAnsi="宋体"/>
        </w:rPr>
        <w:t>（2）</w:t>
      </w:r>
      <w:r>
        <w:rPr>
          <w:rFonts w:hint="eastAsia" w:ascii="宋体" w:hAnsi="宋体"/>
          <w:u w:val="single"/>
        </w:rPr>
        <w:t xml:space="preserve">                                                                 </w:t>
      </w:r>
      <w:r>
        <w:rPr>
          <w:rFonts w:hint="eastAsia" w:ascii="黑体" w:eastAsia="黑体"/>
          <w:bCs/>
        </w:rPr>
        <w:t>。</w:t>
      </w:r>
    </w:p>
    <w:p w14:paraId="3B1BC21B">
      <w:pPr>
        <w:spacing w:line="440" w:lineRule="exact"/>
        <w:ind w:firstLine="422" w:firstLineChars="200"/>
        <w:rPr>
          <w:rFonts w:hint="eastAsia" w:ascii="宋体" w:hAnsi="宋体"/>
        </w:rPr>
      </w:pPr>
      <w:r>
        <w:rPr>
          <w:rFonts w:hint="eastAsia" w:ascii="黑体" w:eastAsia="黑体"/>
          <w:b/>
          <w:bCs/>
        </w:rPr>
        <w:t>三、合同金额和付款方式</w:t>
      </w:r>
    </w:p>
    <w:p w14:paraId="32F2687B">
      <w:pPr>
        <w:spacing w:line="440" w:lineRule="exact"/>
        <w:ind w:firstLine="420" w:firstLineChars="200"/>
        <w:rPr>
          <w:rFonts w:eastAsia="黑体"/>
          <w:bCs/>
        </w:rPr>
      </w:pPr>
      <w:r>
        <w:rPr>
          <w:rFonts w:hint="eastAsia" w:ascii="宋体" w:hAnsi="宋体"/>
        </w:rPr>
        <w:t>1.本合同总金额为人民币（大写）</w:t>
      </w:r>
      <w:r>
        <w:rPr>
          <w:rFonts w:eastAsia="黑体"/>
          <w:bCs/>
          <w:u w:val="single"/>
        </w:rPr>
        <w:t xml:space="preserve">    </w:t>
      </w:r>
      <w:r>
        <w:rPr>
          <w:rFonts w:hint="eastAsia" w:eastAsia="黑体"/>
          <w:bCs/>
          <w:u w:val="single"/>
        </w:rPr>
        <w:t xml:space="preserve">                     </w:t>
      </w:r>
      <w:r>
        <w:rPr>
          <w:rFonts w:eastAsia="黑体"/>
          <w:bCs/>
          <w:u w:val="single"/>
        </w:rPr>
        <w:t xml:space="preserve">    </w:t>
      </w:r>
      <w:r>
        <w:rPr>
          <w:rFonts w:hint="eastAsia" w:ascii="宋体" w:hAnsi="宋体"/>
        </w:rPr>
        <w:t>元整（￥</w:t>
      </w:r>
      <w:r>
        <w:rPr>
          <w:rFonts w:hint="eastAsia" w:ascii="宋体" w:hAnsi="宋体"/>
          <w:u w:val="single"/>
        </w:rPr>
        <w:t xml:space="preserve">          </w:t>
      </w:r>
      <w:r>
        <w:rPr>
          <w:rFonts w:hint="eastAsia" w:ascii="宋体" w:hAnsi="宋体"/>
        </w:rPr>
        <w:t>）</w:t>
      </w:r>
      <w:r>
        <w:rPr>
          <w:rFonts w:hint="eastAsia" w:eastAsia="黑体"/>
          <w:bCs/>
        </w:rPr>
        <w:t>。</w:t>
      </w:r>
    </w:p>
    <w:p w14:paraId="189F09B5">
      <w:pPr>
        <w:spacing w:line="440" w:lineRule="exact"/>
        <w:ind w:firstLine="420" w:firstLineChars="200"/>
        <w:rPr>
          <w:rFonts w:hint="eastAsia" w:ascii="宋体" w:hAnsi="宋体"/>
        </w:rPr>
      </w:pPr>
      <w:r>
        <w:rPr>
          <w:rFonts w:hint="eastAsia" w:ascii="宋体" w:hAnsi="宋体"/>
        </w:rPr>
        <w:t>2.合同总金额包括设备（含附件和专用工具）及其技术资料的价款、包装/运输费、保险费、安装/调试费、使用培训费及税费等全部费用。</w:t>
      </w:r>
    </w:p>
    <w:p w14:paraId="2844221F">
      <w:pPr>
        <w:spacing w:line="440" w:lineRule="exact"/>
        <w:ind w:firstLine="420" w:firstLineChars="200"/>
        <w:rPr>
          <w:rFonts w:hint="eastAsia" w:ascii="宋体" w:hAnsi="宋体"/>
        </w:rPr>
      </w:pPr>
      <w:r>
        <w:rPr>
          <w:rFonts w:hint="eastAsia" w:ascii="宋体" w:hAnsi="宋体"/>
        </w:rPr>
        <w:t>3.合同签订后</w:t>
      </w:r>
      <w:r>
        <w:rPr>
          <w:rFonts w:hint="eastAsia" w:ascii="宋体" w:hAnsi="宋体"/>
          <w:u w:val="single"/>
        </w:rPr>
        <w:t xml:space="preserve"> </w:t>
      </w:r>
      <w:r>
        <w:rPr>
          <w:rFonts w:ascii="宋体" w:hAnsi="宋体"/>
          <w:u w:val="single"/>
        </w:rPr>
        <w:t>7</w:t>
      </w:r>
      <w:r>
        <w:rPr>
          <w:rFonts w:hint="eastAsia" w:ascii="宋体" w:hAnsi="宋体"/>
          <w:u w:val="single"/>
        </w:rPr>
        <w:t xml:space="preserve"> </w:t>
      </w:r>
      <w:r>
        <w:rPr>
          <w:rFonts w:hint="eastAsia" w:ascii="宋体" w:hAnsi="宋体"/>
        </w:rPr>
        <w:t>个工作日内，乙方应向甲方支付合同总价</w:t>
      </w:r>
      <w:r>
        <w:rPr>
          <w:rFonts w:hint="eastAsia" w:ascii="宋体" w:hAnsi="宋体"/>
          <w:u w:val="single"/>
        </w:rPr>
        <w:t xml:space="preserve">   </w:t>
      </w:r>
      <w:r>
        <w:rPr>
          <w:rFonts w:hint="eastAsia" w:ascii="宋体" w:hAnsi="宋体"/>
        </w:rPr>
        <w:t>%的履约保证金，作为乙方认真履行合同条款的保证。</w:t>
      </w:r>
    </w:p>
    <w:p w14:paraId="58DDD009">
      <w:pPr>
        <w:pStyle w:val="3"/>
        <w:tabs>
          <w:tab w:val="left" w:pos="720"/>
        </w:tabs>
        <w:spacing w:line="440" w:lineRule="exact"/>
        <w:rPr>
          <w:rFonts w:hint="eastAsia" w:asciiTheme="majorEastAsia" w:hAnsiTheme="majorEastAsia" w:eastAsiaTheme="majorEastAsia"/>
          <w:sz w:val="21"/>
          <w:szCs w:val="22"/>
        </w:rPr>
      </w:pPr>
      <w:r>
        <w:rPr>
          <w:rFonts w:hint="eastAsia" w:asciiTheme="majorEastAsia" w:hAnsiTheme="majorEastAsia" w:eastAsiaTheme="majorEastAsia"/>
          <w:sz w:val="21"/>
          <w:szCs w:val="22"/>
        </w:rPr>
        <w:t>4.甲方应该按照以下方式向乙方支付合同经费：</w:t>
      </w:r>
    </w:p>
    <w:p w14:paraId="5082BBC4">
      <w:pPr>
        <w:spacing w:line="440" w:lineRule="exact"/>
        <w:ind w:firstLine="420" w:firstLineChars="200"/>
        <w:rPr>
          <w:rFonts w:hint="eastAsia" w:ascii="宋体" w:hAnsi="宋体"/>
        </w:rPr>
      </w:pPr>
      <w:r>
        <w:rPr>
          <w:rFonts w:hint="eastAsia" w:ascii="宋体" w:hAnsi="宋体"/>
        </w:rPr>
        <w:t xml:space="preserve">（1）本合同签订后 </w:t>
      </w:r>
      <w:r>
        <w:rPr>
          <w:rFonts w:ascii="宋体" w:hAnsi="宋体"/>
        </w:rPr>
        <w:t>10</w:t>
      </w:r>
      <w:r>
        <w:rPr>
          <w:rFonts w:hint="eastAsia" w:ascii="宋体" w:hAnsi="宋体"/>
        </w:rPr>
        <w:t xml:space="preserve"> 个工作日内，甲方向乙方支付合同总金额的</w:t>
      </w:r>
      <w:r>
        <w:rPr>
          <w:rFonts w:hint="eastAsia" w:ascii="宋体" w:hAnsi="宋体"/>
          <w:u w:val="single"/>
        </w:rPr>
        <w:t xml:space="preserve">    </w:t>
      </w:r>
      <w:r>
        <w:rPr>
          <w:rFonts w:hint="eastAsia" w:ascii="宋体" w:hAnsi="宋体"/>
        </w:rPr>
        <w:t>% 计人民币（大写）</w:t>
      </w:r>
    </w:p>
    <w:p w14:paraId="426A2785">
      <w:pPr>
        <w:spacing w:line="440" w:lineRule="exact"/>
        <w:ind w:firstLine="420" w:firstLineChars="200"/>
        <w:rPr>
          <w:rFonts w:hint="eastAsia" w:ascii="宋体" w:hAnsi="宋体"/>
        </w:rPr>
      </w:pPr>
      <w:r>
        <w:rPr>
          <w:rFonts w:hint="eastAsia" w:ascii="宋体" w:hAnsi="宋体"/>
          <w:u w:val="single"/>
        </w:rPr>
        <w:t xml:space="preserve">                       </w:t>
      </w:r>
      <w:r>
        <w:rPr>
          <w:rFonts w:hint="eastAsia"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）作为预付款；</w:t>
      </w:r>
    </w:p>
    <w:p w14:paraId="7D7AE092">
      <w:pPr>
        <w:spacing w:line="440" w:lineRule="exact"/>
        <w:ind w:firstLine="420" w:firstLineChars="200"/>
        <w:rPr>
          <w:rFonts w:hint="eastAsia" w:ascii="宋体" w:hAnsi="宋体"/>
        </w:rPr>
      </w:pPr>
      <w:r>
        <w:rPr>
          <w:rFonts w:hint="eastAsia" w:ascii="宋体" w:hAnsi="宋体"/>
        </w:rPr>
        <w:t>（2）货到并安装调试经甲方最终验收合格后的</w:t>
      </w:r>
      <w:r>
        <w:rPr>
          <w:rFonts w:hint="eastAsia" w:ascii="宋体" w:hAnsi="宋体"/>
          <w:u w:val="single"/>
        </w:rPr>
        <w:t xml:space="preserve"> </w:t>
      </w:r>
      <w:r>
        <w:rPr>
          <w:rFonts w:ascii="宋体" w:hAnsi="宋体"/>
          <w:u w:val="single"/>
        </w:rPr>
        <w:t>10</w:t>
      </w:r>
      <w:r>
        <w:rPr>
          <w:rFonts w:hint="eastAsia" w:ascii="宋体" w:hAnsi="宋体"/>
          <w:u w:val="single"/>
        </w:rPr>
        <w:t xml:space="preserve"> </w:t>
      </w:r>
      <w:r>
        <w:rPr>
          <w:rFonts w:hint="eastAsia" w:ascii="宋体" w:hAnsi="宋体"/>
        </w:rPr>
        <w:t>个工作日内甲方向乙方支付合同总金额的    % 计人民币（大写）</w:t>
      </w:r>
      <w:r>
        <w:rPr>
          <w:rFonts w:hint="eastAsia" w:ascii="宋体" w:hAnsi="宋体"/>
          <w:u w:val="single"/>
        </w:rPr>
        <w:t xml:space="preserve">                   </w:t>
      </w:r>
      <w:r>
        <w:rPr>
          <w:rFonts w:hint="eastAsia"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w:t>
      </w:r>
    </w:p>
    <w:p w14:paraId="6E063746">
      <w:pPr>
        <w:spacing w:line="440" w:lineRule="exact"/>
        <w:ind w:firstLine="420" w:firstLineChars="200"/>
        <w:rPr>
          <w:rFonts w:hint="eastAsia" w:ascii="宋体" w:hAnsi="宋体"/>
        </w:rPr>
      </w:pPr>
      <w:r>
        <w:rPr>
          <w:rFonts w:hint="eastAsia" w:ascii="宋体" w:hAnsi="宋体"/>
        </w:rPr>
        <w:t>（3）余款计人民币（大写）</w:t>
      </w:r>
      <w:r>
        <w:rPr>
          <w:rFonts w:hint="eastAsia" w:ascii="宋体" w:hAnsi="宋体"/>
          <w:u w:val="single"/>
        </w:rPr>
        <w:t xml:space="preserve">                 </w:t>
      </w:r>
      <w:r>
        <w:rPr>
          <w:rFonts w:hint="eastAsia"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 xml:space="preserve">），作为质保金，在验收合格之日起的 </w:t>
      </w:r>
      <w:r>
        <w:rPr>
          <w:rFonts w:ascii="宋体" w:hAnsi="宋体"/>
        </w:rPr>
        <w:t>1</w:t>
      </w:r>
      <w:r>
        <w:rPr>
          <w:rFonts w:hint="eastAsia" w:ascii="宋体" w:hAnsi="宋体"/>
        </w:rPr>
        <w:t xml:space="preserve"> 年后甲方根据乙方在质保期内的履约情况进行结算后一次性付清（无息）。</w:t>
      </w:r>
    </w:p>
    <w:p w14:paraId="7F836A8B">
      <w:pPr>
        <w:spacing w:line="440" w:lineRule="exact"/>
        <w:ind w:firstLine="420" w:firstLineChars="200"/>
        <w:rPr>
          <w:rFonts w:hint="eastAsia" w:ascii="宋体" w:hAnsi="宋体"/>
        </w:rPr>
      </w:pPr>
      <w:r>
        <w:rPr>
          <w:rFonts w:ascii="宋体" w:hAnsi="宋体"/>
        </w:rPr>
        <w:t>5</w:t>
      </w:r>
      <w:r>
        <w:rPr>
          <w:rFonts w:hint="eastAsia" w:ascii="宋体" w:hAnsi="宋体"/>
        </w:rPr>
        <w:t xml:space="preserve">.乙方应该在甲方付款前的 </w:t>
      </w:r>
      <w:r>
        <w:rPr>
          <w:rFonts w:ascii="宋体" w:hAnsi="宋体"/>
        </w:rPr>
        <w:t>10</w:t>
      </w:r>
      <w:r>
        <w:rPr>
          <w:rFonts w:hint="eastAsia" w:ascii="宋体" w:hAnsi="宋体"/>
        </w:rPr>
        <w:t xml:space="preserve"> 个工作日内向甲方提供与甲方应付款等额的正规发票。</w:t>
      </w:r>
    </w:p>
    <w:p w14:paraId="6F9B48E9">
      <w:pPr>
        <w:pStyle w:val="3"/>
        <w:tabs>
          <w:tab w:val="left" w:pos="720"/>
        </w:tabs>
        <w:spacing w:line="440" w:lineRule="exact"/>
        <w:rPr>
          <w:rFonts w:ascii="黑体" w:eastAsia="黑体"/>
          <w:b/>
          <w:bCs/>
          <w:sz w:val="21"/>
        </w:rPr>
      </w:pPr>
      <w:r>
        <w:rPr>
          <w:rFonts w:hint="eastAsia" w:ascii="黑体" w:eastAsia="黑体"/>
          <w:b/>
          <w:bCs/>
          <w:sz w:val="21"/>
        </w:rPr>
        <w:t>四、交货时间和地点</w:t>
      </w:r>
    </w:p>
    <w:p w14:paraId="3348FA92">
      <w:pPr>
        <w:spacing w:line="440" w:lineRule="exact"/>
        <w:ind w:firstLine="420" w:firstLineChars="200"/>
        <w:rPr>
          <w:rFonts w:hint="eastAsia" w:ascii="宋体" w:hAnsi="宋体"/>
        </w:rPr>
      </w:pPr>
      <w:r>
        <w:rPr>
          <w:rFonts w:hint="eastAsia" w:ascii="宋体" w:hAnsi="宋体"/>
        </w:rPr>
        <w:t>1.乙方负责将设备运输至甲方指定的以下地点：</w:t>
      </w:r>
      <w:r>
        <w:rPr>
          <w:rFonts w:hint="eastAsia" w:ascii="宋体" w:hAnsi="宋体"/>
          <w:u w:val="single"/>
        </w:rPr>
        <w:t xml:space="preserve">                                   </w:t>
      </w:r>
      <w:r>
        <w:rPr>
          <w:rFonts w:hint="eastAsia" w:ascii="宋体" w:hAnsi="宋体"/>
        </w:rPr>
        <w:t>。</w:t>
      </w:r>
    </w:p>
    <w:p w14:paraId="11C18A7C">
      <w:pPr>
        <w:spacing w:line="440" w:lineRule="exact"/>
        <w:ind w:firstLine="420" w:firstLineChars="200"/>
        <w:rPr>
          <w:rFonts w:hint="eastAsia" w:ascii="宋体" w:hAnsi="宋体"/>
        </w:rPr>
      </w:pPr>
      <w:r>
        <w:rPr>
          <w:rFonts w:hint="eastAsia" w:ascii="宋体" w:hAnsi="宋体"/>
        </w:rPr>
        <w:t>2.乙方应该将装箱清单、设备的附件、设备的专用工具以及设备的随附文件等与设备一起装箱发运，并在发运后及时通知甲方。</w:t>
      </w:r>
    </w:p>
    <w:p w14:paraId="48EA698C">
      <w:pPr>
        <w:spacing w:line="440" w:lineRule="exact"/>
        <w:ind w:firstLine="420" w:firstLineChars="200"/>
        <w:rPr>
          <w:rFonts w:hint="eastAsia" w:ascii="宋体" w:hAnsi="宋体"/>
        </w:rPr>
      </w:pPr>
      <w:r>
        <w:rPr>
          <w:rFonts w:hint="eastAsia" w:ascii="宋体" w:hAnsi="宋体"/>
        </w:rPr>
        <w:t>3.设备运抵甲方指定的地点前发生的灭失、毁损等风险和损失由乙方自行承担。</w:t>
      </w:r>
    </w:p>
    <w:p w14:paraId="63E00A08">
      <w:pPr>
        <w:spacing w:line="440" w:lineRule="exact"/>
        <w:ind w:firstLine="420" w:firstLineChars="200"/>
        <w:rPr>
          <w:rFonts w:hint="eastAsia" w:ascii="宋体" w:hAnsi="宋体"/>
        </w:rPr>
      </w:pPr>
      <w:r>
        <w:rPr>
          <w:rFonts w:hint="eastAsia" w:ascii="宋体" w:hAnsi="宋体"/>
        </w:rPr>
        <w:t>4.乙方应该确保在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日前向甲方交付全部设备并通过甲方的开箱验货，并确保全部设备在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日前通过甲方的最终验收；否则，视为逾期交货。</w:t>
      </w:r>
    </w:p>
    <w:p w14:paraId="24EDBD82">
      <w:pPr>
        <w:spacing w:line="440" w:lineRule="exact"/>
        <w:ind w:firstLine="422" w:firstLineChars="200"/>
        <w:rPr>
          <w:rFonts w:hint="eastAsia" w:ascii="黑体" w:hAnsi="黑体" w:eastAsia="黑体"/>
          <w:b/>
        </w:rPr>
      </w:pPr>
      <w:r>
        <w:rPr>
          <w:rFonts w:hint="eastAsia" w:ascii="黑体" w:hAnsi="黑体" w:eastAsia="黑体"/>
          <w:b/>
        </w:rPr>
        <w:t>五、开箱验货、安装、调试、使用培训和验收</w:t>
      </w:r>
    </w:p>
    <w:p w14:paraId="4F8BED95">
      <w:pPr>
        <w:spacing w:line="440" w:lineRule="exact"/>
        <w:ind w:firstLine="422" w:firstLineChars="200"/>
        <w:rPr>
          <w:rFonts w:hint="eastAsia" w:ascii="宋体" w:hAnsi="宋体"/>
        </w:rPr>
      </w:pPr>
      <w:r>
        <w:rPr>
          <w:rFonts w:hint="eastAsia" w:ascii="宋体" w:hAnsi="宋体"/>
          <w:b/>
        </w:rPr>
        <w:t>1.开箱验货。</w:t>
      </w:r>
      <w:r>
        <w:rPr>
          <w:rFonts w:hint="eastAsia" w:ascii="宋体" w:hAnsi="宋体"/>
        </w:rPr>
        <w:t>设备运抵甲方指定场地后，乙方应提前</w:t>
      </w:r>
      <w:r>
        <w:rPr>
          <w:rFonts w:hint="eastAsia" w:ascii="宋体" w:hAnsi="宋体"/>
          <w:u w:val="single"/>
        </w:rPr>
        <w:t xml:space="preserve"> </w:t>
      </w:r>
      <w:r>
        <w:rPr>
          <w:rFonts w:ascii="宋体" w:hAnsi="宋体"/>
          <w:u w:val="single"/>
        </w:rPr>
        <w:t>5</w:t>
      </w:r>
      <w:r>
        <w:rPr>
          <w:rFonts w:hint="eastAsia" w:ascii="宋体" w:hAnsi="宋体"/>
          <w:u w:val="single"/>
        </w:rPr>
        <w:t xml:space="preserve"> </w:t>
      </w:r>
      <w:r>
        <w:rPr>
          <w:rFonts w:hint="eastAsia" w:ascii="宋体" w:hAnsi="宋体"/>
        </w:rPr>
        <w:t>个工作日向甲方提出验货申请，甲方在设备运抵甲方指定地点之日起</w:t>
      </w:r>
      <w:r>
        <w:rPr>
          <w:rFonts w:hint="eastAsia" w:ascii="宋体" w:hAnsi="宋体"/>
          <w:u w:val="single"/>
        </w:rPr>
        <w:t xml:space="preserve"> </w:t>
      </w:r>
      <w:r>
        <w:rPr>
          <w:rFonts w:ascii="宋体" w:hAnsi="宋体"/>
          <w:u w:val="single"/>
        </w:rPr>
        <w:t>10</w:t>
      </w:r>
      <w:r>
        <w:rPr>
          <w:rFonts w:hint="eastAsia" w:ascii="宋体" w:hAnsi="宋体"/>
          <w:u w:val="single"/>
        </w:rPr>
        <w:t xml:space="preserve"> </w:t>
      </w:r>
      <w:r>
        <w:rPr>
          <w:rFonts w:hint="eastAsia" w:ascii="宋体" w:hAnsi="宋体"/>
        </w:rPr>
        <w:t>个工作日内组织双方人员共同进行开箱验货。未能通过开箱验货的，限期整改，相关费用由乙方承担；整改仍达不到要求的，甲方有权退货。</w:t>
      </w:r>
    </w:p>
    <w:p w14:paraId="4626404D">
      <w:pPr>
        <w:spacing w:line="440" w:lineRule="exact"/>
        <w:ind w:firstLine="630" w:firstLineChars="300"/>
        <w:rPr>
          <w:rFonts w:hint="eastAsia" w:ascii="宋体" w:hAnsi="宋体"/>
        </w:rPr>
      </w:pPr>
      <w:r>
        <w:rPr>
          <w:rFonts w:hint="eastAsia" w:ascii="宋体" w:hAnsi="宋体"/>
        </w:rPr>
        <w:t>开箱验货不合格包括以下情形：（1）设备包装有明显破损，有可能影响设备正常使用的；（2）设备有破损，将影响正常使用的；（3）设备品名及数量等与本合同第一条内容不一致的；（4）乙方在开箱验货时未向甲方提供设备的附件、专用工具或随附文件的；（5）</w:t>
      </w:r>
      <w:r>
        <w:rPr>
          <w:rFonts w:hint="eastAsia"/>
        </w:rPr>
        <w:t>设备不符合本合同第一条所列其他要求和第二条所列质量要求的</w:t>
      </w:r>
      <w:r>
        <w:rPr>
          <w:rFonts w:hint="eastAsia" w:ascii="宋体" w:hAnsi="宋体"/>
        </w:rPr>
        <w:t>。</w:t>
      </w:r>
    </w:p>
    <w:p w14:paraId="447D9547">
      <w:pPr>
        <w:spacing w:line="440" w:lineRule="exact"/>
        <w:ind w:firstLine="422" w:firstLineChars="200"/>
        <w:rPr>
          <w:rFonts w:hint="eastAsia" w:ascii="宋体" w:hAnsi="宋体"/>
        </w:rPr>
      </w:pPr>
      <w:r>
        <w:rPr>
          <w:rFonts w:hint="eastAsia" w:ascii="宋体" w:hAnsi="宋体"/>
          <w:b/>
        </w:rPr>
        <w:t>2.设备安装/调试。</w:t>
      </w:r>
      <w:r>
        <w:rPr>
          <w:rFonts w:hint="eastAsia" w:ascii="宋体" w:hAnsi="宋体"/>
        </w:rPr>
        <w:t>设备通过开箱验货后，由</w:t>
      </w:r>
      <w:r>
        <w:rPr>
          <w:rFonts w:hint="eastAsia" w:ascii="宋体" w:hAnsi="宋体"/>
          <w:u w:val="single"/>
        </w:rPr>
        <w:t xml:space="preserve">    </w:t>
      </w:r>
      <w:r>
        <w:rPr>
          <w:rFonts w:hint="eastAsia" w:ascii="宋体" w:hAnsi="宋体"/>
        </w:rPr>
        <w:t>（甲方、乙方、甲方在乙方的指导下）在</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个工作日内完成设备的安装工作，并由乙方负责在设备安装完成后的</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个工作日内完成设备的调试工作。甲方应为安装调试提供必要的工作条件（如场地、电源、水源等）及必要的配合。</w:t>
      </w:r>
    </w:p>
    <w:p w14:paraId="20D48D53">
      <w:pPr>
        <w:spacing w:line="440" w:lineRule="exact"/>
        <w:ind w:firstLine="422" w:firstLineChars="200"/>
        <w:rPr>
          <w:rFonts w:hint="eastAsia" w:ascii="宋体" w:hAnsi="宋体"/>
        </w:rPr>
      </w:pPr>
      <w:r>
        <w:rPr>
          <w:rFonts w:hint="eastAsia" w:ascii="宋体" w:hAnsi="宋体"/>
          <w:b/>
        </w:rPr>
        <w:t>3.使用培训。</w:t>
      </w:r>
      <w:r>
        <w:rPr>
          <w:rFonts w:hint="eastAsia" w:ascii="宋体" w:hAnsi="宋体"/>
        </w:rPr>
        <w:t>乙方完成设备的调试后，负责在</w:t>
      </w:r>
      <w:r>
        <w:rPr>
          <w:rFonts w:hint="eastAsia" w:ascii="宋体" w:hAnsi="宋体"/>
          <w:u w:val="single"/>
        </w:rPr>
        <w:t xml:space="preserve"> </w:t>
      </w:r>
      <w:r>
        <w:rPr>
          <w:rFonts w:ascii="宋体" w:hAnsi="宋体"/>
          <w:u w:val="single"/>
        </w:rPr>
        <w:t>10</w:t>
      </w:r>
      <w:r>
        <w:rPr>
          <w:rFonts w:hint="eastAsia" w:ascii="宋体" w:hAnsi="宋体"/>
          <w:u w:val="single"/>
        </w:rPr>
        <w:t xml:space="preserve"> </w:t>
      </w:r>
      <w:r>
        <w:rPr>
          <w:rFonts w:hint="eastAsia" w:ascii="宋体" w:hAnsi="宋体"/>
        </w:rPr>
        <w:t>个工作日内完成对甲方有关人员进行使用培训，培训在甲方场地内进行。培训内容应至少包括：设备的操作使用和保养、使用过程中的安全注意事项、简易故障排除，以甲方受培训人员掌握相关内容为准。</w:t>
      </w:r>
    </w:p>
    <w:p w14:paraId="153E7C67">
      <w:pPr>
        <w:spacing w:line="440" w:lineRule="exact"/>
        <w:ind w:firstLine="422" w:firstLineChars="200"/>
        <w:rPr>
          <w:rFonts w:hint="eastAsia" w:ascii="宋体" w:hAnsi="宋体"/>
        </w:rPr>
      </w:pPr>
      <w:r>
        <w:rPr>
          <w:rFonts w:hint="eastAsia" w:ascii="宋体" w:hAnsi="宋体"/>
          <w:b/>
        </w:rPr>
        <w:t>4.设备最终验收。</w:t>
      </w:r>
      <w:r>
        <w:rPr>
          <w:rFonts w:hint="eastAsia" w:ascii="宋体" w:hAnsi="宋体"/>
        </w:rPr>
        <w:t>乙方应在设备使用培训完成后提前</w:t>
      </w:r>
      <w:r>
        <w:rPr>
          <w:rFonts w:hint="eastAsia" w:ascii="宋体" w:hAnsi="宋体"/>
          <w:u w:val="single"/>
        </w:rPr>
        <w:t xml:space="preserve"> </w:t>
      </w:r>
      <w:r>
        <w:rPr>
          <w:rFonts w:ascii="宋体" w:hAnsi="宋体"/>
          <w:u w:val="single"/>
        </w:rPr>
        <w:t>5</w:t>
      </w:r>
      <w:r>
        <w:rPr>
          <w:rFonts w:hint="eastAsia" w:ascii="宋体" w:hAnsi="宋体"/>
          <w:u w:val="single"/>
        </w:rPr>
        <w:t xml:space="preserve"> </w:t>
      </w:r>
      <w:r>
        <w:rPr>
          <w:rFonts w:hint="eastAsia" w:ascii="宋体" w:hAnsi="宋体"/>
        </w:rPr>
        <w:t>个工作日通知甲方进行验收，甲方在接到通知后的</w:t>
      </w:r>
      <w:r>
        <w:rPr>
          <w:rFonts w:hint="eastAsia" w:ascii="宋体" w:hAnsi="宋体"/>
          <w:u w:val="single"/>
        </w:rPr>
        <w:t xml:space="preserve"> </w:t>
      </w:r>
      <w:r>
        <w:rPr>
          <w:rFonts w:ascii="宋体" w:hAnsi="宋体"/>
          <w:u w:val="single"/>
        </w:rPr>
        <w:t>10</w:t>
      </w:r>
      <w:r>
        <w:rPr>
          <w:rFonts w:hint="eastAsia" w:ascii="宋体" w:hAnsi="宋体"/>
          <w:u w:val="single"/>
        </w:rPr>
        <w:t xml:space="preserve"> </w:t>
      </w:r>
      <w:r>
        <w:rPr>
          <w:rFonts w:hint="eastAsia" w:ascii="宋体" w:hAnsi="宋体"/>
        </w:rPr>
        <w:t>个工作日内组织人员按照本合同第一条、第二条及设备原厂随机资料进行现场验收。若甲方认为必要，乙方须派员参加现场验收并接受甲方验收人员的质询。验收合格的，由甲方向乙方出具验收合格单；验收不合格的，限期整改，相关费用由乙方承担；整改仍达不到要求的，视为乙方履行不能，甲方有权退货。</w:t>
      </w:r>
    </w:p>
    <w:p w14:paraId="19372754">
      <w:pPr>
        <w:pStyle w:val="3"/>
        <w:tabs>
          <w:tab w:val="left" w:pos="720"/>
        </w:tabs>
        <w:spacing w:line="440" w:lineRule="exact"/>
        <w:rPr>
          <w:rFonts w:ascii="黑体" w:eastAsia="黑体"/>
          <w:b/>
          <w:bCs/>
          <w:sz w:val="21"/>
        </w:rPr>
      </w:pPr>
      <w:r>
        <w:rPr>
          <w:rFonts w:hint="eastAsia" w:ascii="黑体" w:eastAsia="黑体"/>
          <w:b/>
          <w:bCs/>
          <w:sz w:val="21"/>
        </w:rPr>
        <w:t>六、质保期和售后服务</w:t>
      </w:r>
    </w:p>
    <w:p w14:paraId="73EC85EC">
      <w:pPr>
        <w:spacing w:line="440" w:lineRule="exact"/>
        <w:ind w:firstLine="420" w:firstLineChars="200"/>
        <w:rPr>
          <w:rFonts w:hint="eastAsia" w:ascii="宋体" w:hAnsi="宋体"/>
        </w:rPr>
      </w:pPr>
      <w:r>
        <w:rPr>
          <w:rFonts w:hint="eastAsia" w:ascii="宋体" w:hAnsi="宋体"/>
        </w:rPr>
        <w:t>1.乙方按本合同第一条所列质保期对其向甲方提供的设备提供质量保证和相关服务，所有设备的质保期均自全部设备最终验收合格、甲方签署验收合格单之日起计算。</w:t>
      </w:r>
    </w:p>
    <w:p w14:paraId="53DAA8B7">
      <w:pPr>
        <w:spacing w:line="440" w:lineRule="exact"/>
        <w:ind w:firstLine="420" w:firstLineChars="200"/>
        <w:rPr>
          <w:rFonts w:hint="eastAsia" w:ascii="宋体" w:hAnsi="宋体"/>
        </w:rPr>
      </w:pPr>
      <w:r>
        <w:rPr>
          <w:rFonts w:hint="eastAsia" w:ascii="宋体" w:hAnsi="宋体"/>
        </w:rPr>
        <w:t>2.甲方在质保期内发现设备存在质量缺陷的，乙方应该在收到甲方通知后的</w:t>
      </w:r>
      <w:r>
        <w:rPr>
          <w:rFonts w:hint="eastAsia" w:ascii="宋体" w:hAnsi="宋体"/>
          <w:u w:val="single"/>
        </w:rPr>
        <w:t xml:space="preserve">   </w:t>
      </w:r>
      <w:r>
        <w:rPr>
          <w:rFonts w:hint="eastAsia" w:ascii="宋体" w:hAnsi="宋体"/>
        </w:rPr>
        <w:t>个日历日内提供上门服务，并通过对设备进行修理/更换零部件、整体退换或软件升级等方式予以解决，相关费用由乙方承担。</w:t>
      </w:r>
    </w:p>
    <w:p w14:paraId="06876999">
      <w:pPr>
        <w:spacing w:line="440" w:lineRule="exact"/>
        <w:ind w:firstLine="420" w:firstLineChars="200"/>
        <w:rPr>
          <w:rFonts w:hint="eastAsia" w:ascii="宋体" w:hAnsi="宋体"/>
        </w:rPr>
      </w:pPr>
      <w:r>
        <w:rPr>
          <w:rFonts w:hint="eastAsia" w:ascii="宋体" w:hAnsi="宋体"/>
        </w:rPr>
        <w:t>3.在质保期内，因乙方提供的设备发生质量缺陷而需对设备进行修理/更换零部件、软件升级、整体退换的，设备相应零部件或设备整机的质保期从完成修理、更换之日起重新计算。</w:t>
      </w:r>
    </w:p>
    <w:p w14:paraId="13EAC264">
      <w:pPr>
        <w:spacing w:line="440" w:lineRule="exact"/>
        <w:ind w:firstLine="420" w:firstLineChars="200"/>
        <w:rPr>
          <w:rFonts w:hint="eastAsia" w:ascii="宋体" w:hAnsi="宋体"/>
        </w:rPr>
      </w:pPr>
      <w:r>
        <w:rPr>
          <w:rFonts w:ascii="宋体" w:hAnsi="宋体"/>
        </w:rPr>
        <w:t>4</w:t>
      </w:r>
      <w:r>
        <w:rPr>
          <w:rFonts w:hint="eastAsia" w:ascii="宋体" w:hAnsi="宋体"/>
        </w:rPr>
        <w:t>.在设备的质保期满后，乙方应继续向甲方提供维修、维护、升级等相关服务，甲方支付相关费用，具体标准由双方另行协商确定。</w:t>
      </w:r>
    </w:p>
    <w:p w14:paraId="30302576">
      <w:pPr>
        <w:spacing w:line="440" w:lineRule="exact"/>
        <w:ind w:firstLine="420" w:firstLineChars="200"/>
        <w:rPr>
          <w:rFonts w:hint="eastAsia" w:ascii="宋体" w:hAnsi="宋体"/>
        </w:rPr>
      </w:pPr>
      <w:r>
        <w:rPr>
          <w:rFonts w:ascii="宋体" w:hAnsi="宋体"/>
        </w:rPr>
        <w:t>5</w:t>
      </w:r>
      <w:r>
        <w:rPr>
          <w:rFonts w:hint="eastAsia" w:ascii="宋体" w:hAnsi="宋体"/>
        </w:rPr>
        <w:t>.甲乙双方的采购文件及乙方签字盖章确认的其他承诺书中对供质保服务的规定（约定）与本条合并执行；上述文件中对质保服务规定（约定）与本条不一致的，按有利于甲方的规定（约定）执行。</w:t>
      </w:r>
    </w:p>
    <w:p w14:paraId="4219DD02">
      <w:pPr>
        <w:pStyle w:val="3"/>
        <w:tabs>
          <w:tab w:val="left" w:pos="720"/>
        </w:tabs>
        <w:spacing w:line="440" w:lineRule="exact"/>
        <w:rPr>
          <w:rFonts w:ascii="黑体" w:eastAsia="黑体"/>
          <w:b/>
          <w:bCs/>
          <w:sz w:val="21"/>
        </w:rPr>
      </w:pPr>
      <w:r>
        <w:rPr>
          <w:rFonts w:hint="eastAsia" w:ascii="黑体" w:eastAsia="黑体"/>
          <w:b/>
          <w:bCs/>
          <w:sz w:val="21"/>
        </w:rPr>
        <w:t>七、不可抗力</w:t>
      </w:r>
    </w:p>
    <w:p w14:paraId="754077F4">
      <w:pPr>
        <w:spacing w:line="440" w:lineRule="exact"/>
        <w:ind w:firstLine="420" w:firstLineChars="200"/>
      </w:pPr>
      <w:r>
        <w:rPr>
          <w:rFonts w:hint="eastAsia" w:ascii="宋体" w:hAnsi="宋体"/>
        </w:rPr>
        <w:t>1.一方因发生不可抗力事件（如国家政策变化、战争、自然灾害、交通事故、银行系统故障等）无法履行合同或无法按期履行合同的，遭遇不可抗力的一方应在不可抗力事件发生后的</w:t>
      </w:r>
      <w:r>
        <w:rPr>
          <w:rFonts w:hint="eastAsia"/>
          <w:u w:val="single"/>
        </w:rPr>
        <w:t xml:space="preserve">    </w:t>
      </w:r>
      <w:r>
        <w:t>15</w:t>
      </w:r>
      <w:r>
        <w:rPr>
          <w:rFonts w:hint="eastAsia" w:ascii="宋体" w:hAnsi="宋体"/>
        </w:rPr>
        <w:t>个日历日内书面通知另一方并提供相关证明。</w:t>
      </w:r>
    </w:p>
    <w:p w14:paraId="4546D0DD">
      <w:pPr>
        <w:spacing w:line="440" w:lineRule="exact"/>
        <w:ind w:firstLine="420" w:firstLineChars="200"/>
      </w:pPr>
      <w:r>
        <w:rPr>
          <w:rFonts w:hint="eastAsia"/>
        </w:rPr>
        <w:t>2.因不可抗力事件导致本合同无法继续履行的，经双方一致同意并签署书面协议，可以终止本合同履行。此时，乙方应全额退还已经从甲方收取的合同价款并自行将已经运抵甲方的设备运回，双方各自承担因履行本合同发生的其他损失。</w:t>
      </w:r>
    </w:p>
    <w:p w14:paraId="48C786A0">
      <w:pPr>
        <w:spacing w:line="440" w:lineRule="exact"/>
        <w:ind w:firstLine="420" w:firstLineChars="200"/>
        <w:rPr>
          <w:rFonts w:hint="eastAsia" w:ascii="宋体" w:hAnsi="宋体"/>
        </w:rPr>
      </w:pPr>
      <w:r>
        <w:rPr>
          <w:rFonts w:hint="eastAsia"/>
        </w:rPr>
        <w:t>3.不可抗力事件消失后具备本合同继续履行条件的，由甲乙双方协商是否继续履行本合同。双方一致同意继续履行合同的，可继续履行本合同，</w:t>
      </w:r>
      <w:r>
        <w:rPr>
          <w:rFonts w:hint="eastAsia" w:ascii="宋体" w:hAnsi="宋体"/>
        </w:rPr>
        <w:t>履行合同的期限可相应延长；</w:t>
      </w:r>
      <w:r>
        <w:rPr>
          <w:rFonts w:hint="eastAsia"/>
        </w:rPr>
        <w:t>双方一致同意终止合同的，按本条第2款的约定执行。</w:t>
      </w:r>
    </w:p>
    <w:p w14:paraId="298487E3">
      <w:pPr>
        <w:spacing w:line="492" w:lineRule="exact"/>
        <w:rPr>
          <w:rFonts w:ascii="黑体" w:eastAsia="黑体"/>
          <w:b/>
          <w:bCs/>
        </w:rPr>
      </w:pPr>
      <w:r>
        <w:rPr>
          <w:rFonts w:hint="eastAsia"/>
          <w:sz w:val="28"/>
        </w:rPr>
        <w:t xml:space="preserve">   </w:t>
      </w:r>
      <w:r>
        <w:rPr>
          <w:rFonts w:hint="eastAsia" w:ascii="黑体" w:eastAsia="黑体"/>
          <w:b/>
          <w:bCs/>
        </w:rPr>
        <w:t>八、通知和送达</w:t>
      </w:r>
    </w:p>
    <w:p w14:paraId="5C5DC82F">
      <w:pPr>
        <w:spacing w:line="492" w:lineRule="exact"/>
        <w:ind w:firstLine="315" w:firstLineChars="150"/>
        <w:rPr>
          <w:rFonts w:hint="eastAsia" w:ascii="宋体" w:hAnsi="宋体"/>
        </w:rPr>
      </w:pPr>
      <w:r>
        <w:rPr>
          <w:rFonts w:hint="eastAsia" w:ascii="宋体" w:hAnsi="宋体"/>
        </w:rPr>
        <w:t>双方确定，甲方指定</w:t>
      </w:r>
      <w:r>
        <w:rPr>
          <w:rFonts w:hint="eastAsia" w:ascii="宋体" w:hAnsi="宋体"/>
          <w:u w:val="single"/>
        </w:rPr>
        <w:t xml:space="preserve">      </w:t>
      </w:r>
      <w:r>
        <w:rPr>
          <w:rFonts w:hint="eastAsia" w:ascii="宋体" w:hAnsi="宋体"/>
        </w:rPr>
        <w:t>（办公电话：</w:t>
      </w:r>
      <w:r>
        <w:rPr>
          <w:rFonts w:hint="eastAsia" w:ascii="宋体" w:hAnsi="宋体"/>
          <w:u w:val="single"/>
        </w:rPr>
        <w:t xml:space="preserve">    </w:t>
      </w:r>
      <w:r>
        <w:rPr>
          <w:rFonts w:hint="eastAsia" w:ascii="宋体" w:hAnsi="宋体"/>
        </w:rPr>
        <w:t>，手机：</w:t>
      </w:r>
      <w:r>
        <w:rPr>
          <w:rFonts w:hint="eastAsia" w:ascii="宋体" w:hAnsi="宋体"/>
          <w:u w:val="single"/>
        </w:rPr>
        <w:t xml:space="preserve">       </w:t>
      </w:r>
      <w:r>
        <w:rPr>
          <w:rFonts w:hint="eastAsia" w:ascii="宋体" w:hAnsi="宋体"/>
        </w:rPr>
        <w:t>邮箱：</w:t>
      </w:r>
      <w:r>
        <w:rPr>
          <w:rFonts w:hint="eastAsia" w:ascii="宋体" w:hAnsi="宋体"/>
          <w:u w:val="single"/>
        </w:rPr>
        <w:t xml:space="preserve">      </w:t>
      </w:r>
      <w:r>
        <w:rPr>
          <w:rFonts w:hint="eastAsia" w:ascii="宋体" w:hAnsi="宋体"/>
        </w:rPr>
        <w:t>）为甲方联系人，乙方指定</w:t>
      </w:r>
      <w:r>
        <w:rPr>
          <w:rFonts w:hint="eastAsia" w:ascii="宋体" w:hAnsi="宋体"/>
          <w:u w:val="single"/>
        </w:rPr>
        <w:t xml:space="preserve">        </w:t>
      </w:r>
      <w:r>
        <w:rPr>
          <w:rFonts w:hint="eastAsia" w:ascii="宋体" w:hAnsi="宋体"/>
        </w:rPr>
        <w:t>（办公电话：</w:t>
      </w:r>
      <w:r>
        <w:rPr>
          <w:rFonts w:hint="eastAsia" w:ascii="宋体" w:hAnsi="宋体"/>
          <w:u w:val="single"/>
        </w:rPr>
        <w:t xml:space="preserve">    </w:t>
      </w:r>
      <w:r>
        <w:rPr>
          <w:rFonts w:hint="eastAsia" w:ascii="宋体" w:hAnsi="宋体"/>
        </w:rPr>
        <w:t>，手机：</w:t>
      </w:r>
      <w:r>
        <w:rPr>
          <w:rFonts w:hint="eastAsia" w:ascii="宋体" w:hAnsi="宋体"/>
          <w:u w:val="single"/>
        </w:rPr>
        <w:t xml:space="preserve">       </w:t>
      </w:r>
      <w:r>
        <w:rPr>
          <w:rFonts w:hint="eastAsia" w:ascii="宋体" w:hAnsi="宋体"/>
        </w:rPr>
        <w:t>邮箱：</w:t>
      </w:r>
      <w:r>
        <w:rPr>
          <w:rFonts w:hint="eastAsia" w:ascii="宋体" w:hAnsi="宋体"/>
          <w:u w:val="single"/>
        </w:rPr>
        <w:t xml:space="preserve">      </w:t>
      </w:r>
      <w:r>
        <w:rPr>
          <w:rFonts w:hint="eastAsia" w:ascii="宋体" w:hAnsi="宋体"/>
        </w:rPr>
        <w:t>）为乙方联系人，负责联络落实本合同履行的相关事宜。一方变更联系人或联系人的联系方式时，应当在</w:t>
      </w:r>
      <w:r>
        <w:rPr>
          <w:rFonts w:ascii="宋体" w:hAnsi="宋体"/>
        </w:rPr>
        <w:t>7</w:t>
      </w:r>
      <w:r>
        <w:rPr>
          <w:rFonts w:hint="eastAsia" w:ascii="宋体" w:hAnsi="宋体"/>
        </w:rPr>
        <w:t>个日历日内以书面形式通知另一方，也可通过电话、短信或电子邮件等方式通知，并视同书面通知送达。</w:t>
      </w:r>
    </w:p>
    <w:p w14:paraId="14D5A02C">
      <w:pPr>
        <w:pStyle w:val="3"/>
        <w:tabs>
          <w:tab w:val="left" w:pos="720"/>
        </w:tabs>
        <w:spacing w:line="440" w:lineRule="exact"/>
        <w:rPr>
          <w:rFonts w:ascii="黑体" w:eastAsia="黑体"/>
          <w:b/>
          <w:bCs/>
          <w:sz w:val="21"/>
        </w:rPr>
      </w:pPr>
      <w:r>
        <w:rPr>
          <w:rFonts w:hint="eastAsia" w:ascii="黑体" w:eastAsia="黑体"/>
          <w:b/>
          <w:bCs/>
          <w:sz w:val="21"/>
        </w:rPr>
        <w:t>九、违约责任</w:t>
      </w:r>
    </w:p>
    <w:p w14:paraId="626E7D71">
      <w:pPr>
        <w:spacing w:line="440" w:lineRule="exact"/>
        <w:ind w:firstLine="420" w:firstLineChars="200"/>
        <w:rPr>
          <w:rFonts w:hint="eastAsia" w:ascii="宋体" w:hAnsi="宋体"/>
        </w:rPr>
      </w:pPr>
      <w:r>
        <w:rPr>
          <w:rFonts w:ascii="宋体" w:hAnsi="宋体"/>
        </w:rPr>
        <w:t>1</w:t>
      </w:r>
      <w:r>
        <w:rPr>
          <w:rFonts w:hint="eastAsia" w:ascii="宋体" w:hAnsi="宋体"/>
        </w:rPr>
        <w:t>.甲方违反本合同第三条的约定逾期付款的，应当按以下标准向乙方支付违约金：每逾期付款一天，向乙方支付当期应付未付的合同金额</w:t>
      </w:r>
      <w:r>
        <w:rPr>
          <w:rFonts w:hint="eastAsia" w:ascii="宋体" w:hAnsi="宋体"/>
          <w:u w:val="single"/>
        </w:rPr>
        <w:t xml:space="preserve"> 万分之三 </w:t>
      </w:r>
      <w:r>
        <w:rPr>
          <w:rFonts w:hint="eastAsia" w:ascii="宋体" w:hAnsi="宋体"/>
        </w:rPr>
        <w:t>的违约金，但违约金最高不超过当期未付金额的</w:t>
      </w:r>
      <w:r>
        <w:rPr>
          <w:rFonts w:ascii="宋体" w:hAnsi="宋体"/>
          <w:u w:val="single"/>
        </w:rPr>
        <w:t xml:space="preserve"> 1</w:t>
      </w:r>
      <w:r>
        <w:rPr>
          <w:rFonts w:hint="eastAsia" w:ascii="宋体" w:hAnsi="宋体"/>
          <w:u w:val="single"/>
        </w:rPr>
        <w:t>0%</w:t>
      </w:r>
      <w:r>
        <w:rPr>
          <w:rFonts w:ascii="宋体" w:hAnsi="宋体"/>
          <w:u w:val="single"/>
        </w:rPr>
        <w:t xml:space="preserve"> </w:t>
      </w:r>
      <w:r>
        <w:rPr>
          <w:rFonts w:hint="eastAsia" w:ascii="宋体" w:hAnsi="宋体"/>
        </w:rPr>
        <w:t>。</w:t>
      </w:r>
    </w:p>
    <w:p w14:paraId="43CF4080">
      <w:pPr>
        <w:spacing w:line="440" w:lineRule="exact"/>
        <w:ind w:firstLine="420" w:firstLineChars="200"/>
        <w:rPr>
          <w:rFonts w:hint="eastAsia" w:ascii="宋体" w:hAnsi="宋体"/>
        </w:rPr>
      </w:pPr>
      <w:r>
        <w:rPr>
          <w:rFonts w:ascii="宋体" w:hAnsi="宋体"/>
        </w:rPr>
        <w:t>2</w:t>
      </w:r>
      <w:r>
        <w:rPr>
          <w:rFonts w:hint="eastAsia" w:ascii="宋体" w:hAnsi="宋体"/>
        </w:rPr>
        <w:t>.乙方违反本合同第四条的约定逾期交货的，应当按以下标准向甲方支付违约金：每逾期交货一天，向甲方支付合同金额</w:t>
      </w:r>
      <w:r>
        <w:rPr>
          <w:rFonts w:hint="eastAsia" w:ascii="宋体" w:hAnsi="宋体"/>
          <w:u w:val="single"/>
        </w:rPr>
        <w:t xml:space="preserve"> 万分之五 </w:t>
      </w:r>
      <w:r>
        <w:rPr>
          <w:rFonts w:hint="eastAsia" w:ascii="宋体" w:hAnsi="宋体"/>
        </w:rPr>
        <w:t>的违约金，但违约金最高不超过合同总金额的</w:t>
      </w:r>
      <w:r>
        <w:rPr>
          <w:rFonts w:ascii="宋体" w:hAnsi="宋体"/>
          <w:u w:val="single"/>
        </w:rPr>
        <w:t xml:space="preserve"> 2</w:t>
      </w:r>
      <w:r>
        <w:rPr>
          <w:rFonts w:hint="eastAsia" w:ascii="宋体" w:hAnsi="宋体"/>
          <w:u w:val="single"/>
        </w:rPr>
        <w:t>0%</w:t>
      </w:r>
      <w:r>
        <w:rPr>
          <w:rFonts w:ascii="宋体" w:hAnsi="宋体"/>
          <w:u w:val="single"/>
        </w:rPr>
        <w:t xml:space="preserve"> </w:t>
      </w:r>
      <w:r>
        <w:rPr>
          <w:rFonts w:hint="eastAsia" w:ascii="宋体" w:hAnsi="宋体"/>
        </w:rPr>
        <w:t>。乙方交货逾期超过</w:t>
      </w:r>
      <w:r>
        <w:rPr>
          <w:rFonts w:hint="eastAsia" w:ascii="宋体" w:hAnsi="宋体"/>
          <w:u w:val="single"/>
        </w:rPr>
        <w:t xml:space="preserve"> </w:t>
      </w:r>
      <w:r>
        <w:rPr>
          <w:rFonts w:ascii="宋体" w:hAnsi="宋体"/>
          <w:u w:val="single"/>
        </w:rPr>
        <w:t>15</w:t>
      </w:r>
      <w:r>
        <w:rPr>
          <w:rFonts w:hint="eastAsia" w:ascii="宋体" w:hAnsi="宋体"/>
          <w:u w:val="single"/>
        </w:rPr>
        <w:t xml:space="preserve"> </w:t>
      </w:r>
      <w:r>
        <w:rPr>
          <w:rFonts w:hint="eastAsia" w:ascii="宋体" w:hAnsi="宋体"/>
        </w:rPr>
        <w:t>个日历日的，甲方有权单方解除本合同。</w:t>
      </w:r>
    </w:p>
    <w:p w14:paraId="00EA5049">
      <w:pPr>
        <w:spacing w:line="440" w:lineRule="exact"/>
        <w:ind w:firstLine="420" w:firstLineChars="200"/>
        <w:rPr>
          <w:rFonts w:hint="eastAsia" w:ascii="宋体" w:hAnsi="宋体"/>
        </w:rPr>
      </w:pPr>
      <w:r>
        <w:rPr>
          <w:rFonts w:ascii="宋体" w:hAnsi="宋体"/>
        </w:rPr>
        <w:t>3</w:t>
      </w:r>
      <w:r>
        <w:rPr>
          <w:rFonts w:hint="eastAsia" w:ascii="宋体" w:hAnsi="宋体"/>
        </w:rPr>
        <w:t>.因发生本合同第五条第1款和第4款情形而致甲方提出退货的、或发生本条第</w:t>
      </w:r>
      <w:r>
        <w:rPr>
          <w:rFonts w:ascii="宋体" w:hAnsi="宋体"/>
        </w:rPr>
        <w:t>2</w:t>
      </w:r>
      <w:r>
        <w:rPr>
          <w:rFonts w:hint="eastAsia" w:ascii="宋体" w:hAnsi="宋体"/>
        </w:rPr>
        <w:t>款情形而致甲方提出解除合同的，乙方应当无条件接受。在此情形下，乙方应于收到甲方的书面通知后的</w:t>
      </w:r>
      <w:r>
        <w:rPr>
          <w:rFonts w:ascii="宋体" w:hAnsi="宋体"/>
        </w:rPr>
        <w:t>5</w:t>
      </w:r>
      <w:r>
        <w:rPr>
          <w:rFonts w:hint="eastAsia" w:ascii="宋体" w:hAnsi="宋体"/>
        </w:rPr>
        <w:t>个工作日内负责将已经运抵甲方的设备运离甲方场地并自行承担设备拆卸、搬运等相关费用，并在</w:t>
      </w:r>
      <w:r>
        <w:rPr>
          <w:rFonts w:ascii="宋体" w:hAnsi="宋体"/>
        </w:rPr>
        <w:t>7</w:t>
      </w:r>
      <w:r>
        <w:rPr>
          <w:rFonts w:hint="eastAsia" w:ascii="宋体" w:hAnsi="宋体"/>
        </w:rPr>
        <w:t>个工作日内全额退还从甲方收取的货款及其银行利息（根据退款当月的LPR计算）并向甲方支付人民币</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元作为损失赔偿金。乙方未能按期将设备运离甲方场地的，视同乙方自动放弃设备，甲方不承担相关责任，届时甲方有权处置该等材料，处置所得归甲方所有，因此产生的费用由乙方承担。</w:t>
      </w:r>
    </w:p>
    <w:p w14:paraId="3816B592">
      <w:pPr>
        <w:spacing w:line="440" w:lineRule="exact"/>
        <w:ind w:firstLine="420" w:firstLineChars="200"/>
        <w:rPr>
          <w:rFonts w:hint="eastAsia" w:ascii="宋体" w:hAnsi="宋体"/>
        </w:rPr>
      </w:pPr>
      <w:r>
        <w:rPr>
          <w:rFonts w:ascii="宋体" w:hAnsi="宋体"/>
        </w:rPr>
        <w:t>4</w:t>
      </w:r>
      <w:r>
        <w:rPr>
          <w:rFonts w:hint="eastAsia" w:ascii="宋体" w:hAnsi="宋体"/>
        </w:rPr>
        <w:t>.乙方未能按照本合同第六条约定提供质保期服务的，甲方有权提出索赔要求或提出退货。在此情况下，若甲方提出退货，按本条第6款的约定处理；若甲方提出索赔，乙方应该在收到甲方的书面索赔通知后的</w:t>
      </w:r>
      <w:r>
        <w:rPr>
          <w:rFonts w:hint="eastAsia" w:ascii="宋体" w:hAnsi="宋体"/>
          <w:u w:val="single"/>
        </w:rPr>
        <w:t xml:space="preserve"> </w:t>
      </w:r>
      <w:r>
        <w:rPr>
          <w:rFonts w:ascii="宋体" w:hAnsi="宋体"/>
          <w:u w:val="single"/>
        </w:rPr>
        <w:t>7</w:t>
      </w:r>
      <w:r>
        <w:rPr>
          <w:rFonts w:hint="eastAsia" w:ascii="宋体" w:hAnsi="宋体"/>
          <w:u w:val="single"/>
        </w:rPr>
        <w:t xml:space="preserve"> </w:t>
      </w:r>
      <w:r>
        <w:rPr>
          <w:rFonts w:hint="eastAsia" w:ascii="宋体" w:hAnsi="宋体"/>
        </w:rPr>
        <w:t>个工作日内予以答复，否则，视同甲方的索赔已经被乙方接受，甲方有权直接从质保金中扣除相关索赔费用，不足部分由乙方继续承担。</w:t>
      </w:r>
    </w:p>
    <w:p w14:paraId="5A406C98">
      <w:pPr>
        <w:spacing w:line="440" w:lineRule="exact"/>
        <w:ind w:firstLine="420" w:firstLineChars="200"/>
      </w:pPr>
      <w:r>
        <w:rPr>
          <w:rFonts w:ascii="宋体" w:hAnsi="宋体"/>
        </w:rPr>
        <w:t>5</w:t>
      </w:r>
      <w:r>
        <w:rPr>
          <w:rFonts w:hint="eastAsia" w:ascii="宋体" w:hAnsi="宋体"/>
        </w:rPr>
        <w:t>.除本合同第五条第1款和第4款、本条第</w:t>
      </w:r>
      <w:r>
        <w:rPr>
          <w:rFonts w:ascii="宋体" w:hAnsi="宋体"/>
        </w:rPr>
        <w:t>2</w:t>
      </w:r>
      <w:r>
        <w:rPr>
          <w:rFonts w:hint="eastAsia" w:ascii="宋体" w:hAnsi="宋体"/>
        </w:rPr>
        <w:t>款及双方一致同意终止合同并签订书面协议的情形外，</w:t>
      </w:r>
      <w:r>
        <w:rPr>
          <w:rFonts w:hint="eastAsia"/>
        </w:rPr>
        <w:t>任何一方单方面解除本合同的，应当向另一方支付本合同总金额的</w:t>
      </w:r>
      <w:r>
        <w:t>10</w:t>
      </w:r>
      <w:r>
        <w:rPr>
          <w:rFonts w:hint="eastAsia"/>
        </w:rPr>
        <w:t>%的违约金。若因违约方单方面解除合同给守约方造成损失且违约金不足以弥补守约方损失的，违约方还应当赔偿守约方的损失。</w:t>
      </w:r>
    </w:p>
    <w:p w14:paraId="7492DE41">
      <w:pPr>
        <w:spacing w:line="440" w:lineRule="exact"/>
        <w:ind w:firstLine="420" w:firstLineChars="200"/>
        <w:rPr>
          <w:rFonts w:hint="eastAsia" w:ascii="宋体" w:hAnsi="宋体"/>
        </w:rPr>
      </w:pPr>
      <w:r>
        <w:rPr>
          <w:rFonts w:ascii="宋体" w:hAnsi="宋体"/>
        </w:rPr>
        <w:t>6</w:t>
      </w:r>
      <w:r>
        <w:rPr>
          <w:rFonts w:hint="eastAsia" w:ascii="宋体" w:hAnsi="宋体"/>
        </w:rPr>
        <w:t>.任何时候发现乙方提供的设备及其附件和专用工具侵犯任何第三人的知识产权及其他合法权益，并给甲方或第三人造成损失的，乙方应承担全部法律责任，并赔偿因此给甲方或第三人造成的损失。</w:t>
      </w:r>
    </w:p>
    <w:p w14:paraId="4165580D">
      <w:pPr>
        <w:spacing w:line="440" w:lineRule="exact"/>
        <w:ind w:firstLine="420" w:firstLineChars="200"/>
      </w:pPr>
      <w:r>
        <w:rPr>
          <w:rFonts w:ascii="宋体" w:hAnsi="宋体"/>
        </w:rPr>
        <w:t>7</w:t>
      </w:r>
      <w:r>
        <w:rPr>
          <w:rFonts w:hint="eastAsia" w:ascii="宋体" w:hAnsi="宋体"/>
        </w:rPr>
        <w:t>.本合同的任何一方未能履行本合同规定的其他义务的，应该在收到另一方发出的书面通知后的3个工作日回复并纠正其过失；否则，另一方有权向违约方提出索赔或要求违约方支付违约金（违约金按合同总金额的</w:t>
      </w:r>
      <w:r>
        <w:rPr>
          <w:rFonts w:hint="eastAsia" w:ascii="宋体" w:hAnsi="宋体"/>
          <w:u w:val="single"/>
        </w:rPr>
        <w:t xml:space="preserve"> </w:t>
      </w:r>
      <w:r>
        <w:rPr>
          <w:rFonts w:ascii="宋体" w:hAnsi="宋体"/>
          <w:u w:val="single"/>
        </w:rPr>
        <w:t xml:space="preserve">10 </w:t>
      </w:r>
      <w:r>
        <w:rPr>
          <w:rFonts w:hint="eastAsia" w:ascii="宋体" w:hAnsi="宋体"/>
        </w:rPr>
        <w:t>%计算）。同时，违约方的行为造成另一方履行合同工作延误的，应当允许另一方相应地延长履行相关工作的期限。</w:t>
      </w:r>
    </w:p>
    <w:p w14:paraId="67EFCF0D">
      <w:pPr>
        <w:spacing w:line="440" w:lineRule="exact"/>
        <w:ind w:firstLine="422" w:firstLineChars="200"/>
        <w:rPr>
          <w:rFonts w:hint="eastAsia" w:ascii="黑体" w:hAnsi="黑体" w:eastAsia="黑体"/>
          <w:b/>
        </w:rPr>
      </w:pPr>
      <w:r>
        <w:rPr>
          <w:rFonts w:hint="eastAsia" w:ascii="黑体" w:hAnsi="黑体" w:eastAsia="黑体"/>
          <w:b/>
        </w:rPr>
        <w:t>十、合同终止、变更</w:t>
      </w:r>
    </w:p>
    <w:p w14:paraId="75E707E0">
      <w:pPr>
        <w:spacing w:line="440" w:lineRule="exact"/>
        <w:ind w:firstLine="420" w:firstLineChars="200"/>
        <w:rPr>
          <w:rFonts w:hint="eastAsia" w:ascii="宋体" w:hAnsi="宋体"/>
        </w:rPr>
      </w:pPr>
      <w:r>
        <w:rPr>
          <w:rFonts w:ascii="宋体" w:hAnsi="宋体"/>
        </w:rPr>
        <w:t>1.</w:t>
      </w:r>
      <w:r>
        <w:rPr>
          <w:rFonts w:hint="eastAsia" w:ascii="宋体" w:hAnsi="宋体"/>
        </w:rPr>
        <w:t>本合同的任何变更、补充均须获得甲乙双方一致同意并签订书面补充协议。</w:t>
      </w:r>
    </w:p>
    <w:p w14:paraId="3B261AA1">
      <w:pPr>
        <w:spacing w:line="440" w:lineRule="exact"/>
        <w:ind w:firstLine="420" w:firstLineChars="200"/>
        <w:rPr>
          <w:rFonts w:hint="eastAsia" w:ascii="宋体" w:hAnsi="宋体"/>
        </w:rPr>
      </w:pPr>
      <w:r>
        <w:rPr>
          <w:rFonts w:hint="eastAsia" w:ascii="宋体" w:hAnsi="宋体"/>
        </w:rPr>
        <w:t>2.除本合同第五条第1款、第五条第4款及第九条第</w:t>
      </w:r>
      <w:r>
        <w:rPr>
          <w:rFonts w:ascii="宋体" w:hAnsi="宋体"/>
        </w:rPr>
        <w:t>2</w:t>
      </w:r>
      <w:r>
        <w:rPr>
          <w:rFonts w:hint="eastAsia" w:ascii="宋体" w:hAnsi="宋体"/>
        </w:rPr>
        <w:t>款所列款情况外，本合同的终止（解除）必须获得甲乙双方的一致同意并签订书面协议。</w:t>
      </w:r>
    </w:p>
    <w:p w14:paraId="3FD86EE0">
      <w:pPr>
        <w:pStyle w:val="3"/>
        <w:tabs>
          <w:tab w:val="left" w:pos="720"/>
        </w:tabs>
        <w:spacing w:line="440" w:lineRule="exact"/>
        <w:rPr>
          <w:rFonts w:ascii="黑体" w:eastAsia="黑体"/>
          <w:b/>
          <w:bCs/>
          <w:sz w:val="21"/>
        </w:rPr>
      </w:pPr>
      <w:r>
        <w:rPr>
          <w:rFonts w:hint="eastAsia" w:ascii="黑体" w:eastAsia="黑体"/>
          <w:b/>
          <w:bCs/>
          <w:sz w:val="21"/>
        </w:rPr>
        <w:t>十一、合同争议解决</w:t>
      </w:r>
    </w:p>
    <w:p w14:paraId="6D225FCA">
      <w:pPr>
        <w:spacing w:line="440" w:lineRule="exact"/>
        <w:ind w:firstLine="420" w:firstLineChars="200"/>
        <w:rPr>
          <w:rFonts w:hint="eastAsia" w:ascii="宋体" w:hAnsi="宋体"/>
        </w:rPr>
      </w:pPr>
      <w:r>
        <w:rPr>
          <w:rFonts w:hint="eastAsia" w:ascii="宋体" w:hAnsi="宋体"/>
        </w:rPr>
        <w:t>1.因设备质量问题发生争议的，由甲方所在地技术质量监督部门进行质量鉴定；甲方所在地技术质量监督部门不能提供相关质量鉴定服务的，由甲方委托其他具有相关资质或能力的质量鉴定机构进行鉴定。经鉴定设备符合质量标准的，鉴定费由甲方承担；设备不符合质量标准的，鉴定费由乙方承担。</w:t>
      </w:r>
    </w:p>
    <w:p w14:paraId="5AC1AF1C">
      <w:pPr>
        <w:spacing w:line="440" w:lineRule="exact"/>
        <w:ind w:firstLine="420" w:firstLineChars="200"/>
        <w:rPr>
          <w:rFonts w:hint="eastAsia" w:ascii="宋体" w:hAnsi="宋体"/>
        </w:rPr>
      </w:pPr>
      <w:r>
        <w:rPr>
          <w:rFonts w:hint="eastAsia" w:ascii="宋体" w:hAnsi="宋体"/>
        </w:rPr>
        <w:t>2.因履行本合同发生争议的，甲乙双方应首先通过友好协商解决；协商不成的，提交宁波仲裁委员会仲裁。仲裁期间，除有争议待裁决的条款外，本合同其他条款继续履行。胜诉一方在仲裁过程中发生的相关费用（包括但不限于向仲裁机构缴纳的相关费用、保全费、保全担保费、律师费、相关人员差旅费等）由败诉一方承担。如有</w:t>
      </w:r>
      <w:r>
        <w:rPr>
          <w:rFonts w:ascii="Arial" w:hAnsi="Arial" w:cs="Arial"/>
          <w:shd w:val="clear" w:color="auto" w:fill="FFFFFF"/>
        </w:rPr>
        <w:t>对于仲裁结果不服的情况，</w:t>
      </w:r>
      <w:r>
        <w:rPr>
          <w:rFonts w:hint="eastAsia" w:ascii="Arial" w:hAnsi="Arial" w:cs="Arial"/>
          <w:shd w:val="clear" w:color="auto" w:fill="FFFFFF"/>
        </w:rPr>
        <w:t>须在宁波当地</w:t>
      </w:r>
      <w:r>
        <w:rPr>
          <w:rFonts w:ascii="Arial" w:hAnsi="Arial" w:cs="Arial"/>
          <w:shd w:val="clear" w:color="auto" w:fill="FFFFFF"/>
        </w:rPr>
        <w:t>法院提起诉讼。</w:t>
      </w:r>
    </w:p>
    <w:p w14:paraId="5367A035">
      <w:pPr>
        <w:pStyle w:val="3"/>
        <w:tabs>
          <w:tab w:val="left" w:pos="720"/>
        </w:tabs>
        <w:spacing w:line="440" w:lineRule="exact"/>
        <w:rPr>
          <w:rFonts w:ascii="黑体" w:eastAsia="黑体"/>
          <w:b/>
          <w:bCs/>
          <w:sz w:val="21"/>
        </w:rPr>
      </w:pPr>
      <w:r>
        <w:rPr>
          <w:rFonts w:hint="eastAsia" w:ascii="黑体" w:eastAsia="黑体"/>
          <w:b/>
          <w:bCs/>
          <w:sz w:val="21"/>
        </w:rPr>
        <w:t>十二、其他</w:t>
      </w:r>
    </w:p>
    <w:p w14:paraId="497A05B1">
      <w:pPr>
        <w:spacing w:line="492" w:lineRule="exact"/>
        <w:ind w:firstLine="420" w:firstLineChars="200"/>
        <w:rPr>
          <w:rFonts w:hint="eastAsia" w:ascii="宋体" w:hAnsi="宋体"/>
        </w:rPr>
      </w:pPr>
      <w:r>
        <w:rPr>
          <w:rFonts w:ascii="宋体" w:hAnsi="宋体"/>
        </w:rPr>
        <w:t>1</w:t>
      </w:r>
      <w:r>
        <w:rPr>
          <w:rFonts w:hint="eastAsia" w:ascii="宋体" w:hAnsi="宋体"/>
        </w:rPr>
        <w:t>.如设备不是通过公开招标、邀请招标、谈判、竞争性磋商、单一来源、询价等采购方式采购的，经甲方联系人同意后，本合同第五条所提开箱验货、安装、调试、培训和验收工作可按简化程序执行，具体由甲乙双方联系人协商确定。</w:t>
      </w:r>
    </w:p>
    <w:p w14:paraId="69393B7A">
      <w:pPr>
        <w:spacing w:line="492" w:lineRule="exact"/>
        <w:ind w:firstLine="420" w:firstLineChars="200"/>
        <w:rPr>
          <w:rFonts w:hint="eastAsia" w:ascii="宋体" w:hAnsi="宋体"/>
        </w:rPr>
      </w:pPr>
      <w:r>
        <w:rPr>
          <w:rFonts w:ascii="宋体" w:hAnsi="宋体"/>
        </w:rPr>
        <w:t>2</w:t>
      </w:r>
      <w:r>
        <w:rPr>
          <w:rFonts w:hint="eastAsia" w:ascii="宋体" w:hAnsi="宋体"/>
        </w:rPr>
        <w:t>.本合同一式肆份，甲方执叁份，乙方执壹份。</w:t>
      </w:r>
    </w:p>
    <w:p w14:paraId="53ABB1E7">
      <w:pPr>
        <w:spacing w:line="440" w:lineRule="exact"/>
        <w:ind w:firstLine="420" w:firstLineChars="200"/>
        <w:rPr>
          <w:rFonts w:hint="eastAsia" w:ascii="宋体" w:hAnsi="宋体"/>
        </w:rPr>
      </w:pPr>
      <w:r>
        <w:rPr>
          <w:rFonts w:ascii="宋体" w:hAnsi="宋体"/>
        </w:rPr>
        <w:t>3</w:t>
      </w:r>
      <w:r>
        <w:rPr>
          <w:rFonts w:hint="eastAsia" w:ascii="宋体" w:hAnsi="宋体"/>
        </w:rPr>
        <w:t>.本合同自双方代表签字并加盖各自单位印章之日起生效。</w:t>
      </w:r>
    </w:p>
    <w:p w14:paraId="7CD4CB0C">
      <w:pPr>
        <w:spacing w:line="440" w:lineRule="exact"/>
        <w:ind w:firstLine="420" w:firstLineChars="200"/>
      </w:pPr>
      <w:r>
        <w:t>4</w:t>
      </w:r>
      <w:r>
        <w:rPr>
          <w:rFonts w:hint="eastAsia"/>
        </w:rPr>
        <w:t>.本合同生效后，甲方的采购文件、乙方的投标文件、中标通知书为本合同的有效组成部分；</w:t>
      </w:r>
      <w:r>
        <w:rPr>
          <w:rFonts w:hint="eastAsia" w:ascii="宋体" w:hAnsi="宋体"/>
        </w:rPr>
        <w:t>双方就本合同未尽事宜或本合同的变更签订的书面补充协议及乙方就履行本合同向甲方作出的书面承诺</w:t>
      </w:r>
      <w:r>
        <w:rPr>
          <w:rFonts w:hint="eastAsia"/>
        </w:rPr>
        <w:t>等，亦系本合同的重要组成部分，与本合同具有同等法律效力。</w:t>
      </w:r>
    </w:p>
    <w:p w14:paraId="0A7E8D4A">
      <w:pPr>
        <w:spacing w:line="440" w:lineRule="exact"/>
        <w:ind w:firstLine="420" w:firstLineChars="200"/>
      </w:pPr>
      <w:r>
        <w:rPr>
          <w:rFonts w:hint="eastAsia"/>
        </w:rPr>
        <w:t>（以下无正文）</w:t>
      </w:r>
    </w:p>
    <w:p w14:paraId="33FF0229">
      <w:pPr>
        <w:spacing w:line="440" w:lineRule="exact"/>
        <w:rPr>
          <w:rFonts w:ascii="宋体"/>
        </w:rPr>
      </w:pPr>
    </w:p>
    <w:p w14:paraId="5902B429">
      <w:pPr>
        <w:spacing w:line="440" w:lineRule="exact"/>
        <w:ind w:firstLine="422" w:firstLineChars="200"/>
        <w:jc w:val="left"/>
        <w:rPr>
          <w:rFonts w:hint="eastAsia" w:ascii="黑体" w:hAnsi="宋体" w:eastAsia="黑体"/>
          <w:b/>
          <w:bCs/>
        </w:rPr>
      </w:pPr>
      <w:r>
        <w:rPr>
          <w:rFonts w:hint="eastAsia" w:ascii="黑体" w:hAnsi="宋体" w:eastAsia="黑体"/>
          <w:b/>
          <w:bCs/>
        </w:rPr>
        <w:t>甲方（盖章）：</w:t>
      </w:r>
      <w:r>
        <w:rPr>
          <w:rFonts w:hint="eastAsia" w:ascii="宋体" w:hAnsi="宋体" w:cs="宋体"/>
          <w:kern w:val="0"/>
        </w:rPr>
        <w:t>浙江大学宁波“五位一体”</w:t>
      </w:r>
      <w:r>
        <w:rPr>
          <w:rFonts w:hint="eastAsia" w:ascii="黑体" w:hAnsi="宋体" w:eastAsia="黑体"/>
          <w:b/>
          <w:bCs/>
        </w:rPr>
        <w:t xml:space="preserve">         乙方（盖章）： </w:t>
      </w:r>
    </w:p>
    <w:p w14:paraId="57C67DDB">
      <w:pPr>
        <w:spacing w:line="440" w:lineRule="exact"/>
        <w:jc w:val="left"/>
        <w:rPr>
          <w:rFonts w:hint="eastAsia" w:ascii="宋体" w:hAnsi="宋体" w:cs="宋体"/>
          <w:kern w:val="0"/>
        </w:rPr>
      </w:pPr>
      <w:r>
        <w:rPr>
          <w:rFonts w:hint="eastAsia" w:ascii="宋体" w:hAnsi="宋体" w:cs="宋体"/>
          <w:kern w:val="0"/>
        </w:rPr>
        <w:t xml:space="preserve">                 校区教育发展中心</w:t>
      </w:r>
    </w:p>
    <w:p w14:paraId="74D72926">
      <w:pPr>
        <w:spacing w:line="400" w:lineRule="exact"/>
        <w:ind w:firstLine="422" w:firstLineChars="200"/>
        <w:jc w:val="left"/>
        <w:rPr>
          <w:rFonts w:hint="eastAsia" w:ascii="黑体" w:hAnsi="宋体" w:eastAsia="黑体"/>
          <w:b/>
          <w:bCs/>
        </w:rPr>
      </w:pPr>
      <w:r>
        <w:rPr>
          <w:rFonts w:hint="eastAsia" w:ascii="黑体" w:hAnsi="宋体" w:eastAsia="黑体"/>
          <w:b/>
          <w:bCs/>
        </w:rPr>
        <w:t xml:space="preserve">委托代理人（签字）：                          法定代表人/委托代理人（签字）：                                                                               </w:t>
      </w:r>
    </w:p>
    <w:p w14:paraId="7D529AE6">
      <w:pPr>
        <w:spacing w:line="400" w:lineRule="exact"/>
        <w:ind w:firstLine="422" w:firstLineChars="200"/>
        <w:jc w:val="left"/>
        <w:rPr>
          <w:rFonts w:hint="eastAsia" w:ascii="黑体" w:hAnsi="宋体" w:eastAsia="黑体"/>
          <w:b/>
          <w:bCs/>
        </w:rPr>
      </w:pPr>
      <w:r>
        <w:rPr>
          <w:rFonts w:hint="eastAsia" w:ascii="黑体" w:hAnsi="宋体" w:eastAsia="黑体"/>
          <w:b/>
          <w:bCs/>
        </w:rPr>
        <w:t>地址:宁波市学府路1号                         地址:</w:t>
      </w:r>
    </w:p>
    <w:p w14:paraId="650D72BF">
      <w:pPr>
        <w:spacing w:line="400" w:lineRule="exact"/>
        <w:ind w:firstLine="422" w:firstLineChars="200"/>
        <w:jc w:val="left"/>
        <w:rPr>
          <w:rFonts w:hint="eastAsia" w:ascii="黑体" w:hAnsi="宋体" w:eastAsia="黑体"/>
          <w:b/>
          <w:bCs/>
        </w:rPr>
      </w:pPr>
      <w:r>
        <w:rPr>
          <w:rFonts w:hint="eastAsia" w:ascii="黑体" w:hAnsi="宋体" w:eastAsia="黑体"/>
          <w:b/>
          <w:bCs/>
        </w:rPr>
        <w:t>电话: 0574-88229887                           电话:</w:t>
      </w:r>
    </w:p>
    <w:p w14:paraId="4FF7F9B4">
      <w:pPr>
        <w:spacing w:line="400" w:lineRule="exact"/>
        <w:ind w:firstLine="422" w:firstLineChars="200"/>
        <w:jc w:val="left"/>
        <w:rPr>
          <w:rFonts w:hint="eastAsia" w:ascii="黑体" w:hAnsi="宋体" w:eastAsia="黑体"/>
          <w:b/>
          <w:bCs/>
        </w:rPr>
      </w:pPr>
      <w:r>
        <w:rPr>
          <w:rFonts w:hint="eastAsia" w:ascii="黑体" w:hAnsi="宋体" w:eastAsia="黑体"/>
          <w:b/>
          <w:bCs/>
        </w:rPr>
        <w:t xml:space="preserve">开户银行: 农行宁波天一支行                </w:t>
      </w:r>
      <w:r>
        <w:rPr>
          <w:rFonts w:ascii="黑体" w:hAnsi="宋体" w:eastAsia="黑体"/>
          <w:b/>
          <w:bCs/>
        </w:rPr>
        <w:t xml:space="preserve">    </w:t>
      </w:r>
      <w:r>
        <w:rPr>
          <w:rFonts w:hint="eastAsia" w:ascii="黑体" w:hAnsi="宋体" w:eastAsia="黑体"/>
          <w:b/>
          <w:bCs/>
        </w:rPr>
        <w:t>开户银行:</w:t>
      </w:r>
    </w:p>
    <w:p w14:paraId="773352F1">
      <w:pPr>
        <w:spacing w:line="400" w:lineRule="exact"/>
        <w:ind w:firstLine="422" w:firstLineChars="200"/>
        <w:jc w:val="left"/>
        <w:rPr>
          <w:rFonts w:hint="eastAsia" w:ascii="黑体" w:hAnsi="宋体" w:eastAsia="黑体"/>
          <w:b/>
          <w:bCs/>
        </w:rPr>
      </w:pPr>
      <w:r>
        <w:rPr>
          <w:rFonts w:hint="eastAsia" w:ascii="黑体" w:hAnsi="宋体" w:eastAsia="黑体"/>
          <w:b/>
          <w:bCs/>
        </w:rPr>
        <w:t>账号:39056001040011570                        账号:</w:t>
      </w:r>
    </w:p>
    <w:p w14:paraId="0701DE9E">
      <w:pPr>
        <w:spacing w:line="400" w:lineRule="exact"/>
        <w:ind w:firstLine="422" w:firstLineChars="200"/>
        <w:jc w:val="left"/>
        <w:rPr>
          <w:rFonts w:hint="eastAsia" w:ascii="黑体" w:hAnsi="宋体" w:eastAsia="黑体"/>
          <w:b/>
          <w:bCs/>
        </w:rPr>
      </w:pPr>
      <w:r>
        <w:rPr>
          <w:rFonts w:hint="eastAsia" w:ascii="黑体" w:hAnsi="宋体" w:eastAsia="黑体"/>
          <w:b/>
          <w:bCs/>
        </w:rPr>
        <w:t>统一社会信用代码:12330200MB0473588C           统一社会信用代码:</w:t>
      </w:r>
    </w:p>
    <w:p w14:paraId="6DC5F8A3">
      <w:pPr>
        <w:widowControl/>
        <w:tabs>
          <w:tab w:val="left" w:pos="2310"/>
        </w:tabs>
        <w:spacing w:line="360" w:lineRule="auto"/>
        <w:ind w:firstLine="344" w:firstLineChars="163"/>
        <w:rPr>
          <w:rFonts w:hint="eastAsia" w:ascii="黑体" w:hAnsi="宋体" w:eastAsia="黑体"/>
          <w:b/>
          <w:bCs/>
        </w:rPr>
      </w:pPr>
      <w:r>
        <w:rPr>
          <w:rFonts w:hint="eastAsia" w:ascii="黑体" w:hAnsi="宋体" w:eastAsia="黑体"/>
          <w:b/>
          <w:bCs/>
        </w:rPr>
        <w:t>日期：                                        日期：</w:t>
      </w:r>
    </w:p>
    <w:p w14:paraId="5EE0699E">
      <w:pPr>
        <w:widowControl/>
        <w:jc w:val="left"/>
        <w:rPr>
          <w:rFonts w:hint="eastAsia" w:ascii="宋体" w:hAnsi="宋体"/>
        </w:rPr>
      </w:pPr>
      <w:r>
        <w:rPr>
          <w:rFonts w:hint="eastAsia" w:ascii="宋体" w:hAnsi="宋体"/>
        </w:rPr>
        <w:br w:type="page"/>
      </w:r>
    </w:p>
    <w:p w14:paraId="6240BB85">
      <w:pPr>
        <w:pStyle w:val="39"/>
        <w:ind w:firstLine="2891" w:firstLineChars="900"/>
        <w:rPr>
          <w:rFonts w:hint="eastAsia" w:asciiTheme="majorEastAsia" w:hAnsiTheme="majorEastAsia" w:eastAsiaTheme="majorEastAsia"/>
          <w:b/>
          <w:sz w:val="32"/>
          <w:szCs w:val="32"/>
        </w:rPr>
      </w:pPr>
      <w:r>
        <w:rPr>
          <w:rFonts w:asciiTheme="majorEastAsia" w:hAnsiTheme="majorEastAsia" w:eastAsiaTheme="majorEastAsia"/>
          <w:b/>
          <w:sz w:val="32"/>
          <w:szCs w:val="32"/>
        </w:rPr>
        <w:t>进口代理协议</w:t>
      </w:r>
    </w:p>
    <w:p w14:paraId="6866D773">
      <w:pPr>
        <w:pStyle w:val="39"/>
        <w:ind w:left="5960" w:leftChars="2838"/>
        <w:rPr>
          <w:rFonts w:hint="eastAsia" w:asciiTheme="majorEastAsia" w:hAnsiTheme="majorEastAsia" w:eastAsiaTheme="majorEastAsia"/>
          <w:sz w:val="18"/>
          <w:szCs w:val="18"/>
        </w:rPr>
      </w:pPr>
      <w:r>
        <w:rPr>
          <w:rFonts w:asciiTheme="majorEastAsia" w:hAnsiTheme="majorEastAsia" w:eastAsiaTheme="majorEastAsia"/>
          <w:sz w:val="18"/>
          <w:szCs w:val="18"/>
        </w:rPr>
        <w:t>签订日期：20</w:t>
      </w:r>
      <w:r>
        <w:rPr>
          <w:rFonts w:hint="eastAsia" w:asciiTheme="majorEastAsia" w:hAnsiTheme="majorEastAsia" w:eastAsiaTheme="majorEastAsia"/>
          <w:sz w:val="18"/>
          <w:szCs w:val="18"/>
        </w:rPr>
        <w:t>2</w:t>
      </w:r>
      <w:r>
        <w:rPr>
          <w:rFonts w:asciiTheme="majorEastAsia" w:hAnsiTheme="majorEastAsia" w:eastAsiaTheme="majorEastAsia"/>
          <w:sz w:val="18"/>
          <w:szCs w:val="18"/>
        </w:rPr>
        <w:t>3年月日</w:t>
      </w:r>
      <w:r>
        <w:rPr>
          <w:rFonts w:asciiTheme="majorEastAsia" w:hAnsiTheme="majorEastAsia" w:eastAsiaTheme="majorEastAsia"/>
          <w:sz w:val="18"/>
          <w:szCs w:val="18"/>
        </w:rPr>
        <w:br w:type="textWrapping"/>
      </w:r>
      <w:r>
        <w:rPr>
          <w:rFonts w:asciiTheme="majorEastAsia" w:hAnsiTheme="majorEastAsia" w:eastAsiaTheme="majorEastAsia"/>
          <w:sz w:val="18"/>
          <w:szCs w:val="18"/>
        </w:rPr>
        <w:t>签订地点：宁波市</w:t>
      </w:r>
    </w:p>
    <w:p w14:paraId="4C643377">
      <w:pPr>
        <w:pStyle w:val="39"/>
        <w:ind w:left="5960" w:leftChars="2838"/>
        <w:rPr>
          <w:rFonts w:hint="eastAsia" w:asciiTheme="majorEastAsia" w:hAnsiTheme="majorEastAsia" w:eastAsiaTheme="majorEastAsia"/>
          <w:sz w:val="18"/>
          <w:szCs w:val="18"/>
        </w:rPr>
      </w:pPr>
      <w:r>
        <w:rPr>
          <w:rFonts w:asciiTheme="majorEastAsia" w:hAnsiTheme="majorEastAsia" w:eastAsiaTheme="majorEastAsia"/>
          <w:sz w:val="18"/>
          <w:szCs w:val="18"/>
        </w:rPr>
        <w:t>编号：CNT23-07-510-</w:t>
      </w:r>
    </w:p>
    <w:p w14:paraId="3B172A28">
      <w:pPr>
        <w:spacing w:line="360" w:lineRule="exact"/>
        <w:rPr>
          <w:rFonts w:hint="eastAsia" w:asciiTheme="majorEastAsia" w:hAnsiTheme="majorEastAsia" w:eastAsiaTheme="majorEastAsia"/>
        </w:rPr>
      </w:pPr>
      <w:r>
        <w:rPr>
          <w:rFonts w:asciiTheme="majorEastAsia" w:hAnsiTheme="majorEastAsia" w:eastAsiaTheme="majorEastAsia"/>
        </w:rPr>
        <w:t>委托方：（甲方）：</w:t>
      </w:r>
      <w:r>
        <w:rPr>
          <w:rFonts w:hint="eastAsia" w:asciiTheme="majorEastAsia" w:hAnsiTheme="majorEastAsia" w:eastAsiaTheme="majorEastAsia"/>
        </w:rPr>
        <w:t>浙江大学宁波“五位一体”校区教育发展中心</w:t>
      </w:r>
      <w:r>
        <w:rPr>
          <w:rFonts w:asciiTheme="majorEastAsia" w:hAnsiTheme="majorEastAsia" w:eastAsiaTheme="majorEastAsia"/>
        </w:rPr>
        <w:br w:type="textWrapping"/>
      </w:r>
      <w:r>
        <w:rPr>
          <w:rFonts w:asciiTheme="majorEastAsia" w:hAnsiTheme="majorEastAsia" w:eastAsiaTheme="majorEastAsia"/>
        </w:rPr>
        <w:t>地  址：宁波市</w:t>
      </w:r>
      <w:r>
        <w:rPr>
          <w:rFonts w:hint="eastAsia" w:asciiTheme="majorEastAsia" w:hAnsiTheme="majorEastAsia" w:eastAsiaTheme="majorEastAsia"/>
        </w:rPr>
        <w:t>鄞州区</w:t>
      </w:r>
      <w:r>
        <w:rPr>
          <w:rFonts w:asciiTheme="majorEastAsia" w:hAnsiTheme="majorEastAsia" w:eastAsiaTheme="majorEastAsia"/>
        </w:rPr>
        <w:t>钱湖南路 1号</w:t>
      </w:r>
    </w:p>
    <w:p w14:paraId="02B916C7">
      <w:pPr>
        <w:spacing w:line="320" w:lineRule="exact"/>
        <w:rPr>
          <w:rFonts w:hint="eastAsia" w:asciiTheme="majorEastAsia" w:hAnsiTheme="majorEastAsia" w:eastAsiaTheme="majorEastAsia"/>
        </w:rPr>
      </w:pPr>
      <w:r>
        <w:rPr>
          <w:rFonts w:asciiTheme="majorEastAsia" w:hAnsiTheme="majorEastAsia" w:eastAsiaTheme="majorEastAsia"/>
        </w:rPr>
        <w:t>电  话：0574-88229887</w:t>
      </w:r>
    </w:p>
    <w:p w14:paraId="11AB8665">
      <w:pPr>
        <w:spacing w:line="320" w:lineRule="exact"/>
        <w:rPr>
          <w:rFonts w:hint="eastAsia" w:asciiTheme="majorEastAsia" w:hAnsiTheme="majorEastAsia" w:eastAsiaTheme="majorEastAsia"/>
        </w:rPr>
      </w:pPr>
      <w:r>
        <w:rPr>
          <w:rFonts w:asciiTheme="majorEastAsia" w:hAnsiTheme="majorEastAsia" w:eastAsiaTheme="majorEastAsia"/>
        </w:rPr>
        <w:t>委托人：</w:t>
      </w:r>
      <w:r>
        <w:rPr>
          <w:rFonts w:hint="eastAsia" w:asciiTheme="majorEastAsia" w:hAnsiTheme="majorEastAsia" w:eastAsiaTheme="majorEastAsia"/>
        </w:rPr>
        <w:t>郑鸯</w:t>
      </w:r>
    </w:p>
    <w:p w14:paraId="7C4F89B6">
      <w:pPr>
        <w:spacing w:line="320" w:lineRule="exact"/>
        <w:rPr>
          <w:rFonts w:hint="eastAsia" w:asciiTheme="majorEastAsia" w:hAnsiTheme="majorEastAsia" w:eastAsiaTheme="majorEastAsia"/>
        </w:rPr>
      </w:pPr>
      <w:r>
        <w:rPr>
          <w:rFonts w:hint="eastAsia" w:asciiTheme="majorEastAsia" w:hAnsiTheme="majorEastAsia" w:eastAsiaTheme="majorEastAsia"/>
        </w:rPr>
        <w:t>邮箱：</w:t>
      </w:r>
    </w:p>
    <w:p w14:paraId="126304BB">
      <w:pPr>
        <w:spacing w:line="320" w:lineRule="exact"/>
        <w:rPr>
          <w:rFonts w:hint="eastAsia" w:asciiTheme="majorEastAsia" w:hAnsiTheme="majorEastAsia" w:eastAsiaTheme="majorEastAsia"/>
        </w:rPr>
      </w:pPr>
    </w:p>
    <w:p w14:paraId="7BB925EA">
      <w:pPr>
        <w:spacing w:line="360" w:lineRule="exact"/>
        <w:rPr>
          <w:rFonts w:hint="eastAsia" w:asciiTheme="majorEastAsia" w:hAnsiTheme="majorEastAsia" w:eastAsiaTheme="majorEastAsia"/>
        </w:rPr>
      </w:pPr>
      <w:r>
        <w:rPr>
          <w:rFonts w:asciiTheme="majorEastAsia" w:hAnsiTheme="majorEastAsia" w:eastAsiaTheme="majorEastAsia"/>
        </w:rPr>
        <w:t>受托方（乙方）：宁波中基国际招标有限公司</w:t>
      </w:r>
      <w:r>
        <w:rPr>
          <w:rFonts w:asciiTheme="majorEastAsia" w:hAnsiTheme="majorEastAsia" w:eastAsiaTheme="majorEastAsia"/>
        </w:rPr>
        <w:br w:type="textWrapping"/>
      </w:r>
      <w:r>
        <w:rPr>
          <w:rFonts w:asciiTheme="majorEastAsia" w:hAnsiTheme="majorEastAsia" w:eastAsiaTheme="majorEastAsia"/>
        </w:rPr>
        <w:t>地  址：宁波市鄞州区天童南路666号19楼</w:t>
      </w:r>
      <w:r>
        <w:rPr>
          <w:rFonts w:asciiTheme="majorEastAsia" w:hAnsiTheme="majorEastAsia" w:eastAsiaTheme="majorEastAsia"/>
        </w:rPr>
        <w:br w:type="textWrapping"/>
      </w:r>
      <w:r>
        <w:rPr>
          <w:rFonts w:asciiTheme="majorEastAsia" w:hAnsiTheme="majorEastAsia" w:eastAsiaTheme="majorEastAsia"/>
        </w:rPr>
        <w:t>电  话：0574-87425739</w:t>
      </w:r>
    </w:p>
    <w:p w14:paraId="08F073C1">
      <w:pPr>
        <w:spacing w:line="360" w:lineRule="exact"/>
        <w:rPr>
          <w:rFonts w:hint="eastAsia" w:asciiTheme="majorEastAsia" w:hAnsiTheme="majorEastAsia" w:eastAsiaTheme="majorEastAsia"/>
        </w:rPr>
      </w:pPr>
      <w:r>
        <w:rPr>
          <w:rFonts w:asciiTheme="majorEastAsia" w:hAnsiTheme="majorEastAsia" w:eastAsiaTheme="majorEastAsia"/>
        </w:rPr>
        <w:t>联系人：</w:t>
      </w:r>
      <w:r>
        <w:rPr>
          <w:rFonts w:hint="eastAsia" w:asciiTheme="majorEastAsia" w:hAnsiTheme="majorEastAsia" w:eastAsiaTheme="majorEastAsia"/>
        </w:rPr>
        <w:t xml:space="preserve">陈云翔 </w:t>
      </w:r>
      <w:r>
        <w:rPr>
          <w:rFonts w:asciiTheme="majorEastAsia" w:hAnsiTheme="majorEastAsia" w:eastAsiaTheme="majorEastAsia"/>
        </w:rPr>
        <w:t>15967846423</w:t>
      </w:r>
    </w:p>
    <w:p w14:paraId="0B955C67">
      <w:pPr>
        <w:spacing w:line="360" w:lineRule="exact"/>
        <w:rPr>
          <w:rFonts w:hint="eastAsia" w:asciiTheme="majorEastAsia" w:hAnsiTheme="majorEastAsia" w:eastAsiaTheme="majorEastAsia"/>
        </w:rPr>
      </w:pPr>
      <w:r>
        <w:rPr>
          <w:rFonts w:hint="eastAsia" w:asciiTheme="majorEastAsia" w:hAnsiTheme="majorEastAsia" w:eastAsiaTheme="majorEastAsia"/>
        </w:rPr>
        <w:t>邮箱：k</w:t>
      </w:r>
      <w:r>
        <w:rPr>
          <w:rFonts w:asciiTheme="majorEastAsia" w:hAnsiTheme="majorEastAsia" w:eastAsiaTheme="majorEastAsia"/>
        </w:rPr>
        <w:t>erwin09@cbnb.com.cn</w:t>
      </w:r>
    </w:p>
    <w:p w14:paraId="7C06921D">
      <w:pPr>
        <w:spacing w:line="360" w:lineRule="exact"/>
        <w:rPr>
          <w:rFonts w:hint="eastAsia" w:asciiTheme="majorEastAsia" w:hAnsiTheme="majorEastAsia" w:eastAsiaTheme="majorEastAsia"/>
        </w:rPr>
      </w:pPr>
    </w:p>
    <w:p w14:paraId="2320534E">
      <w:pPr>
        <w:spacing w:line="320" w:lineRule="exact"/>
        <w:rPr>
          <w:rFonts w:hint="eastAsia" w:asciiTheme="majorEastAsia" w:hAnsiTheme="majorEastAsia" w:eastAsiaTheme="majorEastAsia"/>
        </w:rPr>
      </w:pPr>
      <w:r>
        <w:rPr>
          <w:rFonts w:asciiTheme="majorEastAsia" w:hAnsiTheme="majorEastAsia" w:eastAsiaTheme="majorEastAsia"/>
        </w:rPr>
        <w:t xml:space="preserve">设备中标商（丙方）：                                         </w:t>
      </w:r>
      <w:r>
        <w:rPr>
          <w:rFonts w:asciiTheme="majorEastAsia" w:hAnsiTheme="majorEastAsia" w:eastAsiaTheme="majorEastAsia"/>
        </w:rPr>
        <w:br w:type="textWrapping"/>
      </w:r>
      <w:r>
        <w:rPr>
          <w:rFonts w:asciiTheme="majorEastAsia" w:hAnsiTheme="majorEastAsia" w:eastAsiaTheme="majorEastAsia"/>
        </w:rPr>
        <w:t>地址：</w:t>
      </w:r>
      <w:r>
        <w:rPr>
          <w:rFonts w:hint="eastAsia" w:asciiTheme="majorEastAsia" w:hAnsiTheme="majorEastAsia" w:eastAsiaTheme="majorEastAsia"/>
        </w:rPr>
        <w:t xml:space="preserve"> </w:t>
      </w:r>
    </w:p>
    <w:p w14:paraId="2A28990D">
      <w:pPr>
        <w:spacing w:line="360" w:lineRule="exact"/>
        <w:rPr>
          <w:rFonts w:hint="eastAsia" w:asciiTheme="majorEastAsia" w:hAnsiTheme="majorEastAsia" w:eastAsiaTheme="majorEastAsia"/>
        </w:rPr>
      </w:pPr>
      <w:r>
        <w:rPr>
          <w:rFonts w:hint="eastAsia" w:asciiTheme="majorEastAsia" w:hAnsiTheme="majorEastAsia" w:eastAsiaTheme="majorEastAsia"/>
        </w:rPr>
        <w:t>联系人：</w:t>
      </w:r>
    </w:p>
    <w:p w14:paraId="728446A9">
      <w:pPr>
        <w:spacing w:line="360" w:lineRule="exact"/>
        <w:rPr>
          <w:rFonts w:hint="eastAsia" w:asciiTheme="majorEastAsia" w:hAnsiTheme="majorEastAsia" w:eastAsiaTheme="majorEastAsia"/>
        </w:rPr>
      </w:pPr>
      <w:r>
        <w:rPr>
          <w:rFonts w:hint="eastAsia" w:asciiTheme="majorEastAsia" w:hAnsiTheme="majorEastAsia" w:eastAsiaTheme="majorEastAsia"/>
        </w:rPr>
        <w:t>邮箱：</w:t>
      </w:r>
    </w:p>
    <w:p w14:paraId="5797B169">
      <w:pPr>
        <w:pStyle w:val="39"/>
        <w:spacing w:line="360" w:lineRule="exact"/>
        <w:ind w:firstLine="420" w:firstLineChars="200"/>
        <w:rPr>
          <w:rFonts w:hint="eastAsia" w:asciiTheme="majorEastAsia" w:hAnsiTheme="majorEastAsia" w:eastAsiaTheme="majorEastAsia"/>
          <w:sz w:val="21"/>
          <w:szCs w:val="21"/>
        </w:rPr>
      </w:pPr>
      <w:r>
        <w:rPr>
          <w:rFonts w:asciiTheme="majorEastAsia" w:hAnsiTheme="majorEastAsia" w:eastAsiaTheme="majorEastAsia"/>
          <w:sz w:val="21"/>
          <w:szCs w:val="21"/>
        </w:rPr>
        <w:t>委托方</w:t>
      </w:r>
      <w:r>
        <w:rPr>
          <w:rFonts w:hint="eastAsia" w:asciiTheme="majorEastAsia" w:hAnsiTheme="majorEastAsia" w:eastAsiaTheme="majorEastAsia"/>
          <w:sz w:val="21"/>
          <w:szCs w:val="21"/>
          <w:u w:val="single"/>
        </w:rPr>
        <w:t>浙江大学宁波“五位一体”校区教育发展中心</w:t>
      </w:r>
      <w:r>
        <w:rPr>
          <w:rFonts w:asciiTheme="majorEastAsia" w:hAnsiTheme="majorEastAsia" w:eastAsiaTheme="majorEastAsia"/>
          <w:sz w:val="21"/>
          <w:szCs w:val="21"/>
        </w:rPr>
        <w:t>（以下简称“甲方”）与受托方</w:t>
      </w:r>
      <w:r>
        <w:rPr>
          <w:rFonts w:asciiTheme="majorEastAsia" w:hAnsiTheme="majorEastAsia" w:eastAsiaTheme="majorEastAsia"/>
          <w:sz w:val="21"/>
          <w:szCs w:val="21"/>
          <w:u w:val="single"/>
        </w:rPr>
        <w:t>宁波中基国际招标有限公司</w:t>
      </w:r>
      <w:r>
        <w:rPr>
          <w:rFonts w:asciiTheme="majorEastAsia" w:hAnsiTheme="majorEastAsia" w:eastAsiaTheme="majorEastAsia"/>
          <w:sz w:val="21"/>
          <w:szCs w:val="21"/>
        </w:rPr>
        <w:t>（以下简称“乙方”）以及设备中标商：</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以下简称“丙方”）根据对外经济贸易部《关于对外贸易代理制的暂行规定》，经友好协商，就甲方委托进口</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有关事宜，签订本进口代理协议，三方共同履行。</w:t>
      </w:r>
    </w:p>
    <w:p w14:paraId="717DF843">
      <w:pPr>
        <w:spacing w:line="320" w:lineRule="exact"/>
        <w:rPr>
          <w:rFonts w:hint="eastAsia" w:asciiTheme="majorEastAsia" w:hAnsiTheme="majorEastAsia" w:eastAsiaTheme="majorEastAsia"/>
          <w:b/>
        </w:rPr>
      </w:pPr>
      <w:r>
        <w:rPr>
          <w:rFonts w:asciiTheme="majorEastAsia" w:hAnsiTheme="majorEastAsia" w:eastAsiaTheme="majorEastAsia"/>
          <w:b/>
        </w:rPr>
        <w:t>第一条</w:t>
      </w:r>
      <w:r>
        <w:rPr>
          <w:rFonts w:asciiTheme="majorEastAsia" w:hAnsiTheme="majorEastAsia" w:eastAsiaTheme="majorEastAsia"/>
        </w:rPr>
        <w:t xml:space="preserve"> </w:t>
      </w:r>
      <w:r>
        <w:rPr>
          <w:rFonts w:asciiTheme="majorEastAsia" w:hAnsiTheme="majorEastAsia" w:eastAsiaTheme="majorEastAsia"/>
          <w:b/>
        </w:rPr>
        <w:t>委托事项</w:t>
      </w:r>
    </w:p>
    <w:p w14:paraId="08AA0A7E">
      <w:pPr>
        <w:pStyle w:val="39"/>
        <w:spacing w:line="360" w:lineRule="exact"/>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甲</w:t>
      </w:r>
      <w:r>
        <w:rPr>
          <w:rFonts w:asciiTheme="majorEastAsia" w:hAnsiTheme="majorEastAsia" w:eastAsiaTheme="majorEastAsia"/>
          <w:sz w:val="21"/>
          <w:szCs w:val="21"/>
        </w:rPr>
        <w:t xml:space="preserve">方委托乙方代理进口下列货物：                                                     </w:t>
      </w:r>
    </w:p>
    <w:p w14:paraId="7E6149D4">
      <w:pPr>
        <w:spacing w:line="360" w:lineRule="exact"/>
        <w:jc w:val="left"/>
        <w:rPr>
          <w:rFonts w:hint="eastAsia" w:asciiTheme="majorEastAsia" w:hAnsiTheme="majorEastAsia" w:eastAsiaTheme="majorEastAsia"/>
          <w:u w:val="single"/>
        </w:rPr>
      </w:pPr>
      <w:r>
        <w:rPr>
          <w:rFonts w:asciiTheme="majorEastAsia" w:hAnsiTheme="majorEastAsia" w:eastAsiaTheme="majorEastAsia"/>
        </w:rPr>
        <w:t>货物名称：</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型号：           </w:t>
      </w:r>
      <w:r>
        <w:rPr>
          <w:rFonts w:hint="eastAsia" w:asciiTheme="majorEastAsia" w:hAnsiTheme="majorEastAsia" w:eastAsiaTheme="majorEastAsia"/>
          <w:u w:val="single"/>
        </w:rPr>
        <w:t xml:space="preserve">     </w:t>
      </w:r>
    </w:p>
    <w:p w14:paraId="755A43D9">
      <w:pPr>
        <w:spacing w:line="360" w:lineRule="exact"/>
        <w:jc w:val="left"/>
        <w:rPr>
          <w:rFonts w:hint="eastAsia" w:asciiTheme="majorEastAsia" w:hAnsiTheme="majorEastAsia" w:eastAsiaTheme="majorEastAsia"/>
        </w:rPr>
      </w:pPr>
      <w:r>
        <w:rPr>
          <w:rFonts w:hint="eastAsia" w:asciiTheme="majorEastAsia" w:hAnsiTheme="majorEastAsia" w:eastAsiaTheme="majorEastAsia"/>
        </w:rPr>
        <w:t>生产地和制造厂商</w:t>
      </w:r>
      <w:r>
        <w:rPr>
          <w:rFonts w:asciiTheme="majorEastAsia" w:hAnsiTheme="majorEastAsia" w:eastAsiaTheme="majorEastAsia"/>
        </w:rPr>
        <w:t>：</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single"/>
        </w:rPr>
        <w:t xml:space="preserve">   </w:t>
      </w:r>
      <w:r>
        <w:rPr>
          <w:rFonts w:asciiTheme="majorEastAsia" w:hAnsiTheme="majorEastAsia" w:eastAsiaTheme="majorEastAsia"/>
          <w:u w:val="single"/>
        </w:rPr>
        <w:br w:type="textWrapping"/>
      </w:r>
      <w:r>
        <w:rPr>
          <w:rFonts w:asciiTheme="majorEastAsia" w:hAnsiTheme="majorEastAsia" w:eastAsiaTheme="majorEastAsia"/>
        </w:rPr>
        <w:t>数量：</w:t>
      </w:r>
      <w:r>
        <w:rPr>
          <w:rFonts w:asciiTheme="majorEastAsia" w:hAnsiTheme="majorEastAsia" w:eastAsiaTheme="majorEastAsia"/>
          <w:u w:val="single"/>
        </w:rPr>
        <w:t xml:space="preserve">            </w:t>
      </w:r>
      <w:r>
        <w:rPr>
          <w:rFonts w:asciiTheme="majorEastAsia" w:hAnsiTheme="majorEastAsia" w:eastAsiaTheme="majorEastAsia"/>
          <w:u w:val="single"/>
        </w:rPr>
        <w:br w:type="textWrapping"/>
      </w:r>
      <w:r>
        <w:rPr>
          <w:rFonts w:asciiTheme="majorEastAsia" w:hAnsiTheme="majorEastAsia" w:eastAsiaTheme="majorEastAsia"/>
        </w:rPr>
        <w:t>金额：</w:t>
      </w:r>
      <w:r>
        <w:rPr>
          <w:rFonts w:asciiTheme="majorEastAsia" w:hAnsiTheme="majorEastAsia" w:eastAsiaTheme="majorEastAsia"/>
          <w:u w:val="single"/>
        </w:rPr>
        <w:t xml:space="preserve">  </w:t>
      </w:r>
      <w:r>
        <w:rPr>
          <w:rFonts w:hint="eastAsia" w:asciiTheme="majorEastAsia" w:hAnsiTheme="majorEastAsia" w:eastAsiaTheme="majorEastAsia"/>
          <w:u w:val="single"/>
        </w:rPr>
        <w:t>USD.00</w:t>
      </w:r>
      <w:r>
        <w:rPr>
          <w:rFonts w:asciiTheme="majorEastAsia" w:hAnsiTheme="majorEastAsia" w:eastAsiaTheme="majorEastAsia"/>
          <w:u w:val="single"/>
        </w:rPr>
        <w:t xml:space="preserve"> </w:t>
      </w:r>
      <w:r>
        <w:rPr>
          <w:rFonts w:hint="eastAsia" w:asciiTheme="majorEastAsia" w:hAnsiTheme="majorEastAsia" w:eastAsiaTheme="majorEastAsia"/>
          <w:u w:val="single"/>
        </w:rPr>
        <w:t>(</w:t>
      </w:r>
      <w:r>
        <w:rPr>
          <w:rFonts w:asciiTheme="majorEastAsia" w:hAnsiTheme="majorEastAsia" w:eastAsiaTheme="majorEastAsia"/>
          <w:u w:val="single"/>
        </w:rPr>
        <w:t>人民币</w:t>
      </w:r>
      <w:r>
        <w:rPr>
          <w:rFonts w:hint="eastAsia" w:asciiTheme="majorEastAsia" w:hAnsiTheme="majorEastAsia" w:eastAsiaTheme="majorEastAsia"/>
          <w:u w:val="single"/>
        </w:rPr>
        <w:t>中标价RMB.00)</w:t>
      </w:r>
      <w:r>
        <w:rPr>
          <w:rFonts w:asciiTheme="majorEastAsia" w:hAnsiTheme="majorEastAsia" w:eastAsiaTheme="majorEastAsia"/>
          <w:u w:val="single"/>
        </w:rPr>
        <w:br w:type="textWrapping"/>
      </w:r>
      <w:r>
        <w:rPr>
          <w:rFonts w:asciiTheme="majorEastAsia" w:hAnsiTheme="majorEastAsia" w:eastAsiaTheme="majorEastAsia"/>
        </w:rPr>
        <w:t>运输要求：</w:t>
      </w:r>
      <w:r>
        <w:rPr>
          <w:rFonts w:asciiTheme="majorEastAsia" w:hAnsiTheme="majorEastAsia" w:eastAsiaTheme="majorEastAsia"/>
          <w:u w:val="single"/>
        </w:rPr>
        <w:t xml:space="preserve"> </w:t>
      </w:r>
      <w:r>
        <w:rPr>
          <w:rFonts w:hint="eastAsia" w:asciiTheme="majorEastAsia" w:hAnsiTheme="majorEastAsia" w:eastAsiaTheme="majorEastAsia"/>
          <w:u w:val="single"/>
        </w:rPr>
        <w:t>丙</w:t>
      </w:r>
      <w:r>
        <w:rPr>
          <w:rFonts w:asciiTheme="majorEastAsia" w:hAnsiTheme="majorEastAsia" w:eastAsiaTheme="majorEastAsia"/>
          <w:u w:val="single"/>
        </w:rPr>
        <w:t>方负责从</w:t>
      </w:r>
      <w:r>
        <w:rPr>
          <w:rFonts w:hint="eastAsia" w:asciiTheme="majorEastAsia" w:hAnsiTheme="majorEastAsia" w:eastAsiaTheme="majorEastAsia"/>
          <w:u w:val="single"/>
        </w:rPr>
        <w:t>到货口岸</w:t>
      </w:r>
      <w:r>
        <w:rPr>
          <w:rFonts w:asciiTheme="majorEastAsia" w:hAnsiTheme="majorEastAsia" w:eastAsiaTheme="majorEastAsia"/>
          <w:u w:val="single"/>
        </w:rPr>
        <w:t>到</w:t>
      </w:r>
      <w:r>
        <w:rPr>
          <w:rFonts w:hint="eastAsia" w:asciiTheme="majorEastAsia" w:hAnsiTheme="majorEastAsia" w:eastAsiaTheme="majorEastAsia"/>
          <w:u w:val="single"/>
        </w:rPr>
        <w:t>甲方</w:t>
      </w:r>
      <w:r>
        <w:rPr>
          <w:rFonts w:asciiTheme="majorEastAsia" w:hAnsiTheme="majorEastAsia" w:eastAsiaTheme="majorEastAsia"/>
          <w:u w:val="single"/>
        </w:rPr>
        <w:t xml:space="preserve">所在地的提货以及运输事宜 </w:t>
      </w:r>
      <w:r>
        <w:rPr>
          <w:rFonts w:asciiTheme="majorEastAsia" w:hAnsiTheme="majorEastAsia" w:eastAsiaTheme="majorEastAsia"/>
        </w:rPr>
        <w:t xml:space="preserve">                                                          交货地点：</w:t>
      </w:r>
      <w:r>
        <w:rPr>
          <w:rFonts w:hint="eastAsia" w:asciiTheme="majorEastAsia" w:hAnsiTheme="majorEastAsia" w:eastAsiaTheme="majorEastAsia"/>
          <w:u w:val="single"/>
        </w:rPr>
        <w:t>浙江大学宁波“五位一体”校区教育发展中心</w:t>
      </w:r>
      <w:r>
        <w:rPr>
          <w:rFonts w:asciiTheme="majorEastAsia" w:hAnsiTheme="majorEastAsia" w:eastAsiaTheme="majorEastAsia"/>
          <w:u w:val="single"/>
        </w:rPr>
        <w:t xml:space="preserve"> </w:t>
      </w:r>
      <w:r>
        <w:rPr>
          <w:rFonts w:asciiTheme="majorEastAsia" w:hAnsiTheme="majorEastAsia" w:eastAsiaTheme="majorEastAsia"/>
        </w:rPr>
        <w:t xml:space="preserve">    </w:t>
      </w:r>
    </w:p>
    <w:p w14:paraId="22E9C329">
      <w:pPr>
        <w:spacing w:line="360" w:lineRule="exact"/>
        <w:jc w:val="left"/>
        <w:rPr>
          <w:rFonts w:hint="eastAsia" w:asciiTheme="majorEastAsia" w:hAnsiTheme="majorEastAsia" w:eastAsiaTheme="majorEastAsia"/>
        </w:rPr>
      </w:pPr>
      <w:r>
        <w:rPr>
          <w:rFonts w:hint="eastAsia" w:asciiTheme="majorEastAsia" w:hAnsiTheme="majorEastAsia" w:eastAsiaTheme="majorEastAsia"/>
        </w:rPr>
        <w:t>其它详见进口合同。</w:t>
      </w:r>
      <w:r>
        <w:rPr>
          <w:rFonts w:asciiTheme="majorEastAsia" w:hAnsiTheme="majorEastAsia" w:eastAsiaTheme="majorEastAsia"/>
        </w:rPr>
        <w:t xml:space="preserve">                                                                                  </w:t>
      </w:r>
    </w:p>
    <w:p w14:paraId="7CF0C1F3">
      <w:pPr>
        <w:pStyle w:val="39"/>
        <w:numPr>
          <w:ilvl w:val="0"/>
          <w:numId w:val="3"/>
        </w:numPr>
        <w:spacing w:line="360" w:lineRule="exact"/>
        <w:rPr>
          <w:rFonts w:hint="eastAsia" w:asciiTheme="majorEastAsia" w:hAnsiTheme="majorEastAsia" w:eastAsiaTheme="majorEastAsia"/>
          <w:b/>
          <w:sz w:val="21"/>
          <w:szCs w:val="21"/>
        </w:rPr>
      </w:pPr>
      <w:r>
        <w:rPr>
          <w:rFonts w:asciiTheme="majorEastAsia" w:hAnsiTheme="majorEastAsia" w:eastAsiaTheme="majorEastAsia"/>
          <w:b/>
          <w:sz w:val="21"/>
          <w:szCs w:val="21"/>
        </w:rPr>
        <w:t>甲方的主要义务</w:t>
      </w:r>
    </w:p>
    <w:p w14:paraId="3B4D811D">
      <w:pPr>
        <w:pStyle w:val="39"/>
        <w:spacing w:line="360" w:lineRule="exact"/>
        <w:ind w:firstLine="422" w:firstLineChars="200"/>
        <w:rPr>
          <w:rFonts w:hint="eastAsia" w:asciiTheme="majorEastAsia" w:hAnsiTheme="majorEastAsia" w:eastAsiaTheme="majorEastAsia"/>
          <w:sz w:val="21"/>
          <w:szCs w:val="21"/>
        </w:rPr>
      </w:pPr>
      <w:r>
        <w:rPr>
          <w:rFonts w:asciiTheme="majorEastAsia" w:hAnsiTheme="majorEastAsia" w:eastAsiaTheme="majorEastAsia"/>
          <w:b/>
          <w:sz w:val="21"/>
          <w:szCs w:val="21"/>
        </w:rPr>
        <w:t>1、</w:t>
      </w:r>
      <w:r>
        <w:rPr>
          <w:rFonts w:asciiTheme="majorEastAsia" w:hAnsiTheme="majorEastAsia" w:eastAsiaTheme="majorEastAsia"/>
          <w:sz w:val="21"/>
          <w:szCs w:val="21"/>
        </w:rPr>
        <w:t>甲方委托乙方代理进口相关事宜</w:t>
      </w:r>
      <w:r>
        <w:rPr>
          <w:rFonts w:hint="eastAsia" w:asciiTheme="majorEastAsia" w:hAnsiTheme="majorEastAsia" w:eastAsiaTheme="majorEastAsia"/>
          <w:sz w:val="21"/>
          <w:szCs w:val="21"/>
        </w:rPr>
        <w:t>。</w:t>
      </w:r>
    </w:p>
    <w:p w14:paraId="275EF680">
      <w:pPr>
        <w:pStyle w:val="39"/>
        <w:spacing w:line="360" w:lineRule="exact"/>
        <w:ind w:firstLine="420" w:firstLineChars="200"/>
        <w:rPr>
          <w:rFonts w:hint="eastAsia" w:asciiTheme="majorEastAsia" w:hAnsiTheme="majorEastAsia" w:eastAsiaTheme="majorEastAsia"/>
          <w:sz w:val="21"/>
          <w:szCs w:val="21"/>
        </w:rPr>
      </w:pPr>
      <w:r>
        <w:rPr>
          <w:rFonts w:asciiTheme="majorEastAsia" w:hAnsiTheme="majorEastAsia" w:eastAsiaTheme="majorEastAsia"/>
          <w:sz w:val="21"/>
          <w:szCs w:val="21"/>
        </w:rPr>
        <w:t>2、负责将与外商或其代理商谈好的仪器设备配置、价格、技术服务及培训等条款清单寄给或传真给乙方，以便乙方及时与外商签订合同。</w:t>
      </w:r>
    </w:p>
    <w:p w14:paraId="0123527D">
      <w:pPr>
        <w:pStyle w:val="39"/>
        <w:spacing w:line="360" w:lineRule="exact"/>
        <w:ind w:firstLine="420" w:firstLineChars="200"/>
        <w:rPr>
          <w:rFonts w:hint="eastAsia" w:asciiTheme="majorEastAsia" w:hAnsiTheme="majorEastAsia" w:eastAsiaTheme="majorEastAsia"/>
          <w:sz w:val="21"/>
          <w:szCs w:val="21"/>
        </w:rPr>
      </w:pPr>
      <w:r>
        <w:rPr>
          <w:rFonts w:asciiTheme="majorEastAsia" w:hAnsiTheme="majorEastAsia" w:eastAsiaTheme="majorEastAsia"/>
          <w:sz w:val="21"/>
          <w:szCs w:val="21"/>
        </w:rPr>
        <w:t>3、负责审核进口合同。甲方对进口合同内容负有审核义务，如认为进口合同与本代理合同不符且不能接受此种不符，应在收到进口合同</w:t>
      </w:r>
      <w:r>
        <w:rPr>
          <w:rFonts w:hint="eastAsia" w:asciiTheme="majorEastAsia" w:hAnsiTheme="majorEastAsia" w:eastAsiaTheme="majorEastAsia"/>
          <w:sz w:val="21"/>
          <w:szCs w:val="21"/>
        </w:rPr>
        <w:t>草本</w:t>
      </w:r>
      <w:r>
        <w:rPr>
          <w:rFonts w:asciiTheme="majorEastAsia" w:hAnsiTheme="majorEastAsia" w:eastAsiaTheme="majorEastAsia"/>
          <w:sz w:val="21"/>
          <w:szCs w:val="21"/>
        </w:rPr>
        <w:t>后三日内</w:t>
      </w:r>
      <w:r>
        <w:rPr>
          <w:rFonts w:hint="eastAsia" w:asciiTheme="majorEastAsia" w:hAnsiTheme="majorEastAsia" w:eastAsiaTheme="majorEastAsia"/>
          <w:sz w:val="21"/>
          <w:szCs w:val="21"/>
        </w:rPr>
        <w:t>且于乙方对外签订进口合同前</w:t>
      </w:r>
      <w:r>
        <w:rPr>
          <w:rFonts w:asciiTheme="majorEastAsia" w:hAnsiTheme="majorEastAsia" w:eastAsiaTheme="majorEastAsia"/>
          <w:sz w:val="21"/>
          <w:szCs w:val="21"/>
        </w:rPr>
        <w:t>向乙方提出书面异议，否则即视为默示同意。</w:t>
      </w:r>
    </w:p>
    <w:p w14:paraId="43202B8C">
      <w:pPr>
        <w:pStyle w:val="39"/>
        <w:spacing w:line="360" w:lineRule="exact"/>
        <w:ind w:firstLine="420" w:firstLineChars="200"/>
        <w:rPr>
          <w:rFonts w:hint="eastAsia" w:asciiTheme="majorEastAsia" w:hAnsiTheme="majorEastAsia" w:eastAsiaTheme="majorEastAsia"/>
        </w:rPr>
      </w:pPr>
      <w:r>
        <w:rPr>
          <w:rFonts w:hint="eastAsia" w:asciiTheme="majorEastAsia" w:hAnsiTheme="majorEastAsia" w:eastAsiaTheme="majorEastAsia"/>
          <w:sz w:val="21"/>
          <w:szCs w:val="21"/>
        </w:rPr>
        <w:t>4、甲方除支付合同总金额（RMB.00元）外，不再支付其他任何款项.</w:t>
      </w:r>
    </w:p>
    <w:p w14:paraId="44338528">
      <w:pPr>
        <w:pStyle w:val="39"/>
        <w:spacing w:line="360" w:lineRule="exact"/>
        <w:ind w:firstLine="422" w:firstLineChars="200"/>
        <w:rPr>
          <w:rFonts w:hint="eastAsia" w:asciiTheme="majorEastAsia" w:hAnsiTheme="majorEastAsia" w:eastAsiaTheme="majorEastAsia"/>
          <w:b/>
          <w:sz w:val="21"/>
          <w:szCs w:val="21"/>
        </w:rPr>
      </w:pPr>
      <w:r>
        <w:rPr>
          <w:rFonts w:asciiTheme="majorEastAsia" w:hAnsiTheme="majorEastAsia" w:eastAsiaTheme="majorEastAsia"/>
          <w:b/>
          <w:sz w:val="21"/>
          <w:szCs w:val="21"/>
        </w:rPr>
        <w:t>第三条 乙方的主要权利与义务</w:t>
      </w:r>
    </w:p>
    <w:p w14:paraId="07883909">
      <w:pPr>
        <w:pStyle w:val="39"/>
        <w:spacing w:line="360" w:lineRule="exact"/>
        <w:ind w:firstLine="420" w:firstLineChars="200"/>
        <w:rPr>
          <w:rFonts w:hint="eastAsia" w:asciiTheme="majorEastAsia" w:hAnsiTheme="majorEastAsia" w:eastAsiaTheme="majorEastAsia"/>
          <w:sz w:val="21"/>
          <w:szCs w:val="21"/>
        </w:rPr>
      </w:pPr>
      <w:r>
        <w:rPr>
          <w:rFonts w:asciiTheme="majorEastAsia" w:hAnsiTheme="majorEastAsia" w:eastAsiaTheme="majorEastAsia"/>
          <w:sz w:val="21"/>
          <w:szCs w:val="21"/>
        </w:rPr>
        <w:t>1、须保证本公司具有合法有效的进口代理权，并在其经批准的对外贸易范围内进行经营活动。如负责进口合同的商务谈判并以己方名义与外商订立合同；协助甲方进行进口商务谈判，及时向甲方通报对外业务进展及合同履行情况等，根据自己的技能和判断，善意、谨慎地履行代理职责。</w:t>
      </w:r>
    </w:p>
    <w:p w14:paraId="1000B828">
      <w:pPr>
        <w:pStyle w:val="39"/>
        <w:spacing w:line="360" w:lineRule="exact"/>
        <w:rPr>
          <w:rFonts w:hint="eastAsia" w:asciiTheme="majorEastAsia" w:hAnsiTheme="majorEastAsia" w:eastAsiaTheme="majorEastAsia"/>
          <w:sz w:val="21"/>
          <w:szCs w:val="21"/>
        </w:rPr>
      </w:pPr>
      <w:r>
        <w:rPr>
          <w:rFonts w:asciiTheme="majorEastAsia" w:hAnsiTheme="majorEastAsia" w:eastAsiaTheme="majorEastAsia"/>
          <w:sz w:val="21"/>
          <w:szCs w:val="21"/>
        </w:rPr>
        <w:t xml:space="preserve">    2、办理履行进口合同所需的各种审批、报关、</w:t>
      </w:r>
      <w:r>
        <w:rPr>
          <w:rFonts w:hint="eastAsia" w:asciiTheme="majorEastAsia" w:hAnsiTheme="majorEastAsia" w:eastAsiaTheme="majorEastAsia"/>
          <w:sz w:val="21"/>
          <w:szCs w:val="21"/>
        </w:rPr>
        <w:t>检验检疫</w:t>
      </w:r>
      <w:r>
        <w:rPr>
          <w:rFonts w:asciiTheme="majorEastAsia" w:hAnsiTheme="majorEastAsia" w:eastAsiaTheme="majorEastAsia"/>
          <w:sz w:val="21"/>
          <w:szCs w:val="21"/>
        </w:rPr>
        <w:t>、接货手续。根据进口合同，认真审核外商提供的相关单据(如发票、装箱单、提单及检验证书等)。</w:t>
      </w:r>
    </w:p>
    <w:p w14:paraId="06A59E9E">
      <w:pPr>
        <w:pStyle w:val="39"/>
        <w:spacing w:line="360" w:lineRule="exact"/>
        <w:rPr>
          <w:rFonts w:hint="eastAsia" w:asciiTheme="majorEastAsia" w:hAnsiTheme="majorEastAsia" w:eastAsiaTheme="majorEastAsia"/>
          <w:sz w:val="21"/>
          <w:szCs w:val="21"/>
        </w:rPr>
      </w:pPr>
      <w:r>
        <w:rPr>
          <w:rFonts w:asciiTheme="majorEastAsia" w:hAnsiTheme="majorEastAsia" w:eastAsiaTheme="majorEastAsia"/>
          <w:sz w:val="21"/>
          <w:szCs w:val="21"/>
        </w:rPr>
        <w:t xml:space="preserve">    3、保证进口合同条款符合我国法律、法规及其他外贸管理制度和国际惯例的要求，在代理活动中，依法维护甲方的权益。</w:t>
      </w:r>
    </w:p>
    <w:p w14:paraId="1AC2BCD6">
      <w:pPr>
        <w:pStyle w:val="39"/>
        <w:spacing w:line="360" w:lineRule="exact"/>
        <w:ind w:firstLine="420" w:firstLineChars="200"/>
        <w:rPr>
          <w:rFonts w:hint="eastAsia" w:asciiTheme="majorEastAsia" w:hAnsiTheme="majorEastAsia" w:eastAsiaTheme="majorEastAsia"/>
          <w:sz w:val="21"/>
          <w:szCs w:val="21"/>
        </w:rPr>
      </w:pPr>
      <w:r>
        <w:rPr>
          <w:rFonts w:asciiTheme="majorEastAsia" w:hAnsiTheme="majorEastAsia" w:eastAsiaTheme="majorEastAsia"/>
          <w:sz w:val="21"/>
          <w:szCs w:val="21"/>
        </w:rPr>
        <w:t>4、与外商修改或变更进口合同时，不得违背本协议的规定，并应当及时通知甲方合同修改或变更的情况。</w:t>
      </w:r>
    </w:p>
    <w:p w14:paraId="3BD32261">
      <w:pPr>
        <w:pStyle w:val="39"/>
        <w:spacing w:line="360" w:lineRule="exact"/>
        <w:ind w:firstLine="420" w:firstLineChars="200"/>
        <w:rPr>
          <w:rFonts w:hint="eastAsia" w:asciiTheme="majorEastAsia" w:hAnsiTheme="majorEastAsia" w:eastAsiaTheme="majorEastAsia"/>
          <w:sz w:val="21"/>
          <w:szCs w:val="21"/>
        </w:rPr>
      </w:pPr>
      <w:r>
        <w:rPr>
          <w:rFonts w:asciiTheme="majorEastAsia" w:hAnsiTheme="majorEastAsia" w:eastAsiaTheme="majorEastAsia"/>
          <w:sz w:val="21"/>
          <w:szCs w:val="21"/>
        </w:rPr>
        <w:t>5、乙方与甲丙双方指定的        签订进口合同（合同号：</w:t>
      </w:r>
      <w:r>
        <w:rPr>
          <w:rFonts w:hint="eastAsia" w:asciiTheme="majorEastAsia" w:hAnsiTheme="majorEastAsia" w:eastAsiaTheme="majorEastAsia"/>
          <w:sz w:val="21"/>
          <w:szCs w:val="21"/>
        </w:rPr>
        <w:t>C</w:t>
      </w:r>
      <w:r>
        <w:rPr>
          <w:rFonts w:asciiTheme="majorEastAsia" w:hAnsiTheme="majorEastAsia" w:eastAsiaTheme="majorEastAsia"/>
          <w:sz w:val="21"/>
          <w:szCs w:val="21"/>
        </w:rPr>
        <w:t xml:space="preserve">NT23-07-510-   ），乙方收到甲方支付的全款合计人民币         </w:t>
      </w:r>
      <w:r>
        <w:rPr>
          <w:rFonts w:hint="eastAsia" w:asciiTheme="majorEastAsia" w:hAnsiTheme="majorEastAsia" w:eastAsiaTheme="majorEastAsia"/>
          <w:sz w:val="21"/>
          <w:szCs w:val="21"/>
        </w:rPr>
        <w:t>.00</w:t>
      </w:r>
      <w:r>
        <w:rPr>
          <w:rFonts w:asciiTheme="majorEastAsia" w:hAnsiTheme="majorEastAsia" w:eastAsiaTheme="majorEastAsia"/>
          <w:sz w:val="21"/>
          <w:szCs w:val="21"/>
        </w:rPr>
        <w:t>元后按照合同</w:t>
      </w:r>
      <w:r>
        <w:rPr>
          <w:rFonts w:hint="eastAsia" w:asciiTheme="majorEastAsia" w:hAnsiTheme="majorEastAsia" w:eastAsiaTheme="majorEastAsia"/>
          <w:sz w:val="21"/>
          <w:szCs w:val="21"/>
        </w:rPr>
        <w:t>约定进行</w:t>
      </w:r>
      <w:r>
        <w:rPr>
          <w:rFonts w:asciiTheme="majorEastAsia" w:hAnsiTheme="majorEastAsia" w:eastAsiaTheme="majorEastAsia"/>
          <w:sz w:val="21"/>
          <w:szCs w:val="21"/>
        </w:rPr>
        <w:t>支付货款，并在收到银行单据后及时对外支付货款给合同卖方，乙方在实际对外付款时，应提前通知甲方、丙方。</w:t>
      </w:r>
    </w:p>
    <w:p w14:paraId="2DDAA567">
      <w:pPr>
        <w:pStyle w:val="39"/>
        <w:spacing w:line="360" w:lineRule="exact"/>
        <w:rPr>
          <w:rFonts w:hint="eastAsia" w:asciiTheme="majorEastAsia" w:hAnsiTheme="majorEastAsia" w:eastAsiaTheme="majorEastAsia"/>
          <w:b/>
          <w:sz w:val="21"/>
          <w:szCs w:val="21"/>
        </w:rPr>
      </w:pPr>
      <w:r>
        <w:rPr>
          <w:rFonts w:asciiTheme="majorEastAsia" w:hAnsiTheme="majorEastAsia" w:eastAsiaTheme="majorEastAsia"/>
          <w:b/>
          <w:sz w:val="21"/>
          <w:szCs w:val="21"/>
        </w:rPr>
        <w:t>第四条  丙方的主要权利与义务</w:t>
      </w:r>
    </w:p>
    <w:p w14:paraId="380822CE">
      <w:pPr>
        <w:pStyle w:val="39"/>
        <w:spacing w:line="360" w:lineRule="exact"/>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1、丙方配合甲乙双方完成代理进口相关事宜。</w:t>
      </w:r>
    </w:p>
    <w:p w14:paraId="2B2C1021">
      <w:pPr>
        <w:pStyle w:val="39"/>
        <w:spacing w:line="360" w:lineRule="exact"/>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2、丙方负责对海关方面的技术解释工作。负责提供本进口产品的税则号(HS编码)及相关免税申报资料给乙方，帮助乙方办理减免税及进关事宜。</w:t>
      </w:r>
    </w:p>
    <w:p w14:paraId="54738CEA">
      <w:pPr>
        <w:pStyle w:val="39"/>
        <w:spacing w:before="240" w:line="360" w:lineRule="exact"/>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3、丙方负责安排此货物开箱验收并提供相关的技术服务。丙方保证提供的设备符合政府招投标文件及合同规定的技术要求，甲方在质保期内有任何问题均由丙方负责解决。</w:t>
      </w:r>
    </w:p>
    <w:p w14:paraId="6FF1DF6C">
      <w:pPr>
        <w:pStyle w:val="39"/>
        <w:spacing w:before="240" w:line="360" w:lineRule="exact"/>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w:t>
      </w:r>
      <w:r>
        <w:rPr>
          <w:rFonts w:asciiTheme="majorEastAsia" w:hAnsiTheme="majorEastAsia" w:eastAsiaTheme="majorEastAsia"/>
          <w:sz w:val="21"/>
          <w:szCs w:val="21"/>
        </w:rPr>
        <w:t>、如果</w:t>
      </w:r>
      <w:r>
        <w:rPr>
          <w:rFonts w:hint="eastAsia" w:asciiTheme="majorEastAsia" w:hAnsiTheme="majorEastAsia" w:eastAsiaTheme="majorEastAsia"/>
          <w:sz w:val="21"/>
          <w:szCs w:val="21"/>
        </w:rPr>
        <w:t>进口货物</w:t>
      </w:r>
      <w:r>
        <w:rPr>
          <w:rFonts w:asciiTheme="majorEastAsia" w:hAnsiTheme="majorEastAsia" w:eastAsiaTheme="majorEastAsia"/>
          <w:sz w:val="21"/>
          <w:szCs w:val="21"/>
        </w:rPr>
        <w:t>不符合免税条件则根据海关实际认定的关税和增值税支付相应税款。</w:t>
      </w:r>
    </w:p>
    <w:p w14:paraId="2D151A16">
      <w:pPr>
        <w:pStyle w:val="39"/>
        <w:spacing w:line="360" w:lineRule="exact"/>
        <w:rPr>
          <w:rFonts w:hint="eastAsia" w:asciiTheme="majorEastAsia" w:hAnsiTheme="majorEastAsia" w:eastAsiaTheme="majorEastAsia"/>
          <w:b/>
          <w:sz w:val="21"/>
          <w:szCs w:val="21"/>
        </w:rPr>
      </w:pPr>
      <w:r>
        <w:rPr>
          <w:rFonts w:asciiTheme="majorEastAsia" w:hAnsiTheme="majorEastAsia" w:eastAsiaTheme="majorEastAsia"/>
          <w:b/>
          <w:sz w:val="21"/>
          <w:szCs w:val="21"/>
        </w:rPr>
        <w:t>第五条  货物交付及风险承担</w:t>
      </w:r>
    </w:p>
    <w:p w14:paraId="1D968E8B">
      <w:pPr>
        <w:spacing w:line="360" w:lineRule="exact"/>
        <w:rPr>
          <w:rFonts w:hint="eastAsia" w:asciiTheme="majorEastAsia" w:hAnsiTheme="majorEastAsia" w:eastAsiaTheme="majorEastAsia"/>
          <w:kern w:val="0"/>
        </w:rPr>
      </w:pPr>
      <w:r>
        <w:rPr>
          <w:rFonts w:asciiTheme="majorEastAsia" w:hAnsiTheme="majorEastAsia" w:eastAsiaTheme="majorEastAsia"/>
          <w:kern w:val="0"/>
        </w:rPr>
        <w:t>1、交货期为</w:t>
      </w:r>
      <w:r>
        <w:rPr>
          <w:rFonts w:hint="eastAsia" w:asciiTheme="majorEastAsia" w:hAnsiTheme="majorEastAsia" w:eastAsiaTheme="majorEastAsia"/>
          <w:kern w:val="0"/>
        </w:rPr>
        <w:t>合同签订后</w:t>
      </w:r>
      <w:r>
        <w:rPr>
          <w:rFonts w:asciiTheme="majorEastAsia" w:hAnsiTheme="majorEastAsia" w:eastAsiaTheme="majorEastAsia"/>
          <w:kern w:val="0"/>
        </w:rPr>
        <w:t xml:space="preserve">     </w:t>
      </w:r>
      <w:r>
        <w:rPr>
          <w:rFonts w:hint="eastAsia" w:asciiTheme="majorEastAsia" w:hAnsiTheme="majorEastAsia" w:eastAsiaTheme="majorEastAsia"/>
          <w:kern w:val="0"/>
        </w:rPr>
        <w:t>个月安装调试完毕。</w:t>
      </w:r>
    </w:p>
    <w:p w14:paraId="33E72817">
      <w:pPr>
        <w:spacing w:line="360" w:lineRule="exact"/>
        <w:rPr>
          <w:rFonts w:hint="eastAsia" w:asciiTheme="majorEastAsia" w:hAnsiTheme="majorEastAsia" w:eastAsiaTheme="majorEastAsia"/>
          <w:kern w:val="0"/>
        </w:rPr>
      </w:pPr>
      <w:r>
        <w:rPr>
          <w:rFonts w:asciiTheme="majorEastAsia" w:hAnsiTheme="majorEastAsia" w:eastAsiaTheme="majorEastAsia"/>
          <w:kern w:val="0"/>
        </w:rPr>
        <w:t>2、货物从到达目的港至交付至甲方的过程，由</w:t>
      </w:r>
      <w:r>
        <w:rPr>
          <w:rFonts w:hint="eastAsia" w:asciiTheme="majorEastAsia" w:hAnsiTheme="majorEastAsia" w:eastAsiaTheme="majorEastAsia"/>
          <w:kern w:val="0"/>
        </w:rPr>
        <w:t>乙方</w:t>
      </w:r>
      <w:r>
        <w:rPr>
          <w:rFonts w:asciiTheme="majorEastAsia" w:hAnsiTheme="majorEastAsia" w:eastAsiaTheme="majorEastAsia"/>
          <w:kern w:val="0"/>
        </w:rPr>
        <w:t>负责</w:t>
      </w:r>
      <w:r>
        <w:rPr>
          <w:rFonts w:hint="eastAsia" w:asciiTheme="majorEastAsia" w:hAnsiTheme="majorEastAsia" w:eastAsiaTheme="majorEastAsia"/>
          <w:kern w:val="0"/>
        </w:rPr>
        <w:t>联系</w:t>
      </w:r>
      <w:r>
        <w:rPr>
          <w:rFonts w:asciiTheme="majorEastAsia" w:hAnsiTheme="majorEastAsia" w:eastAsiaTheme="majorEastAsia"/>
          <w:kern w:val="0"/>
        </w:rPr>
        <w:t>报关，</w:t>
      </w:r>
      <w:r>
        <w:rPr>
          <w:rFonts w:hint="eastAsia" w:asciiTheme="majorEastAsia" w:hAnsiTheme="majorEastAsia" w:eastAsiaTheme="majorEastAsia"/>
          <w:kern w:val="0"/>
        </w:rPr>
        <w:t>丙方提供报关资料（发票、箱单、提单）并</w:t>
      </w:r>
      <w:r>
        <w:rPr>
          <w:rFonts w:asciiTheme="majorEastAsia" w:hAnsiTheme="majorEastAsia" w:eastAsiaTheme="majorEastAsia"/>
          <w:u w:val="single"/>
        </w:rPr>
        <w:t>负责从</w:t>
      </w:r>
      <w:r>
        <w:rPr>
          <w:rFonts w:hint="eastAsia" w:asciiTheme="majorEastAsia" w:hAnsiTheme="majorEastAsia" w:eastAsiaTheme="majorEastAsia"/>
          <w:u w:val="single"/>
        </w:rPr>
        <w:t>到货口岸</w:t>
      </w:r>
      <w:r>
        <w:rPr>
          <w:rFonts w:asciiTheme="majorEastAsia" w:hAnsiTheme="majorEastAsia" w:eastAsiaTheme="majorEastAsia"/>
          <w:u w:val="single"/>
        </w:rPr>
        <w:t>到</w:t>
      </w:r>
      <w:r>
        <w:rPr>
          <w:rFonts w:hint="eastAsia" w:asciiTheme="majorEastAsia" w:hAnsiTheme="majorEastAsia" w:eastAsiaTheme="majorEastAsia"/>
          <w:u w:val="single"/>
        </w:rPr>
        <w:t>甲方</w:t>
      </w:r>
      <w:r>
        <w:rPr>
          <w:rFonts w:asciiTheme="majorEastAsia" w:hAnsiTheme="majorEastAsia" w:eastAsiaTheme="majorEastAsia"/>
          <w:u w:val="single"/>
        </w:rPr>
        <w:t>所在地的提货以及运输事宜</w:t>
      </w:r>
      <w:r>
        <w:rPr>
          <w:rFonts w:hint="eastAsia" w:asciiTheme="majorEastAsia" w:hAnsiTheme="majorEastAsia" w:eastAsiaTheme="majorEastAsia"/>
          <w:kern w:val="0"/>
        </w:rPr>
        <w:t>，</w:t>
      </w:r>
      <w:r>
        <w:rPr>
          <w:rFonts w:asciiTheme="majorEastAsia" w:hAnsiTheme="majorEastAsia" w:eastAsiaTheme="majorEastAsia"/>
          <w:kern w:val="0"/>
        </w:rPr>
        <w:t>保险由甲丙双方指定的</w:t>
      </w:r>
      <w:r>
        <w:rPr>
          <w:rFonts w:asciiTheme="majorEastAsia" w:hAnsiTheme="majorEastAsia" w:eastAsiaTheme="majorEastAsia"/>
        </w:rPr>
        <w:t>合同卖方</w:t>
      </w:r>
      <w:r>
        <w:rPr>
          <w:rFonts w:asciiTheme="majorEastAsia" w:hAnsiTheme="majorEastAsia" w:eastAsiaTheme="majorEastAsia"/>
          <w:sz w:val="18"/>
          <w:szCs w:val="18"/>
        </w:rPr>
        <w:t xml:space="preserve"> </w:t>
      </w:r>
      <w:r>
        <w:rPr>
          <w:rFonts w:hint="eastAsia" w:asciiTheme="majorEastAsia" w:hAnsiTheme="majorEastAsia" w:eastAsiaTheme="majorEastAsia"/>
          <w:kern w:val="0"/>
        </w:rPr>
        <w:t xml:space="preserve">                        </w:t>
      </w:r>
      <w:r>
        <w:rPr>
          <w:rFonts w:asciiTheme="majorEastAsia" w:hAnsiTheme="majorEastAsia" w:eastAsiaTheme="majorEastAsia"/>
          <w:kern w:val="0"/>
        </w:rPr>
        <w:t>按照货物价值的110%承保一切险至目的地（</w:t>
      </w:r>
      <w:r>
        <w:rPr>
          <w:rFonts w:hint="eastAsia" w:asciiTheme="majorEastAsia" w:hAnsiTheme="majorEastAsia" w:eastAsiaTheme="majorEastAsia"/>
          <w:kern w:val="0"/>
        </w:rPr>
        <w:t>浙江大学宁波“五位一体”校区教育发展中心</w:t>
      </w:r>
      <w:r>
        <w:rPr>
          <w:rFonts w:asciiTheme="majorEastAsia" w:hAnsiTheme="majorEastAsia" w:eastAsiaTheme="majorEastAsia"/>
          <w:kern w:val="0"/>
        </w:rPr>
        <w:t>-宁波市鄞州区钱湖南路1号）。</w:t>
      </w:r>
    </w:p>
    <w:p w14:paraId="45F9B9AB">
      <w:pPr>
        <w:spacing w:line="360" w:lineRule="exact"/>
        <w:rPr>
          <w:rFonts w:hint="eastAsia" w:asciiTheme="majorEastAsia" w:hAnsiTheme="majorEastAsia" w:eastAsiaTheme="majorEastAsia"/>
          <w:kern w:val="0"/>
        </w:rPr>
      </w:pPr>
      <w:r>
        <w:rPr>
          <w:rFonts w:asciiTheme="majorEastAsia" w:hAnsiTheme="majorEastAsia" w:eastAsiaTheme="majorEastAsia"/>
          <w:kern w:val="0"/>
        </w:rPr>
        <w:t>3、</w:t>
      </w:r>
      <w:r>
        <w:rPr>
          <w:rFonts w:hint="eastAsia" w:asciiTheme="majorEastAsia" w:hAnsiTheme="majorEastAsia" w:eastAsiaTheme="majorEastAsia"/>
          <w:kern w:val="0"/>
        </w:rPr>
        <w:t>乙方</w:t>
      </w:r>
      <w:r>
        <w:rPr>
          <w:rFonts w:asciiTheme="majorEastAsia" w:hAnsiTheme="majorEastAsia" w:eastAsiaTheme="majorEastAsia"/>
          <w:kern w:val="0"/>
        </w:rPr>
        <w:t>委托的报关公司负责货物到达目的港后的报关服务</w:t>
      </w:r>
      <w:r>
        <w:rPr>
          <w:rFonts w:hint="eastAsia" w:asciiTheme="majorEastAsia" w:hAnsiTheme="majorEastAsia" w:eastAsiaTheme="majorEastAsia"/>
          <w:kern w:val="0"/>
        </w:rPr>
        <w:t>，经丙方委托、甲方同意的情况下由乙方代办货物从</w:t>
      </w:r>
      <w:r>
        <w:rPr>
          <w:rFonts w:hint="eastAsia" w:asciiTheme="majorEastAsia" w:hAnsiTheme="majorEastAsia" w:eastAsiaTheme="majorEastAsia"/>
          <w:u w:val="single"/>
        </w:rPr>
        <w:t>到货口岸</w:t>
      </w:r>
      <w:r>
        <w:rPr>
          <w:rFonts w:asciiTheme="majorEastAsia" w:hAnsiTheme="majorEastAsia" w:eastAsiaTheme="majorEastAsia"/>
          <w:u w:val="single"/>
        </w:rPr>
        <w:t>到</w:t>
      </w:r>
      <w:r>
        <w:rPr>
          <w:rFonts w:hint="eastAsia" w:asciiTheme="majorEastAsia" w:hAnsiTheme="majorEastAsia" w:eastAsiaTheme="majorEastAsia"/>
          <w:u w:val="single"/>
        </w:rPr>
        <w:t>甲方</w:t>
      </w:r>
      <w:r>
        <w:rPr>
          <w:rFonts w:asciiTheme="majorEastAsia" w:hAnsiTheme="majorEastAsia" w:eastAsiaTheme="majorEastAsia"/>
          <w:u w:val="single"/>
        </w:rPr>
        <w:t>所在地的提货以及运输事宜</w:t>
      </w:r>
      <w:r>
        <w:rPr>
          <w:rFonts w:asciiTheme="majorEastAsia" w:hAnsiTheme="majorEastAsia" w:eastAsiaTheme="majorEastAsia"/>
          <w:kern w:val="0"/>
        </w:rPr>
        <w:t>，在提货时，如发现商品包装有破损或出现倾斜标识异常时，应及时通告甲方和</w:t>
      </w:r>
      <w:r>
        <w:rPr>
          <w:rFonts w:hint="eastAsia" w:asciiTheme="majorEastAsia" w:hAnsiTheme="majorEastAsia" w:eastAsiaTheme="majorEastAsia"/>
          <w:kern w:val="0"/>
        </w:rPr>
        <w:t>丙方</w:t>
      </w:r>
      <w:r>
        <w:rPr>
          <w:rFonts w:asciiTheme="majorEastAsia" w:hAnsiTheme="majorEastAsia" w:eastAsiaTheme="majorEastAsia"/>
          <w:kern w:val="0"/>
        </w:rPr>
        <w:t>，在得到同意后才能提货。同时，要求货站开具破损证明并及时告知</w:t>
      </w:r>
      <w:r>
        <w:rPr>
          <w:rFonts w:hint="eastAsia" w:asciiTheme="majorEastAsia" w:hAnsiTheme="majorEastAsia" w:eastAsiaTheme="majorEastAsia"/>
          <w:kern w:val="0"/>
        </w:rPr>
        <w:t>丙</w:t>
      </w:r>
      <w:r>
        <w:rPr>
          <w:rFonts w:asciiTheme="majorEastAsia" w:hAnsiTheme="majorEastAsia" w:eastAsiaTheme="majorEastAsia"/>
          <w:kern w:val="0"/>
        </w:rPr>
        <w:t>方提起保险理赔申请。除海关查验外，</w:t>
      </w:r>
      <w:r>
        <w:rPr>
          <w:rFonts w:hint="eastAsia" w:asciiTheme="majorEastAsia" w:hAnsiTheme="majorEastAsia" w:eastAsiaTheme="majorEastAsia"/>
          <w:kern w:val="0"/>
        </w:rPr>
        <w:t>乙</w:t>
      </w:r>
      <w:r>
        <w:rPr>
          <w:rFonts w:asciiTheme="majorEastAsia" w:hAnsiTheme="majorEastAsia" w:eastAsiaTheme="majorEastAsia"/>
          <w:kern w:val="0"/>
        </w:rPr>
        <w:t>方应保证货物的原包装。</w:t>
      </w:r>
    </w:p>
    <w:p w14:paraId="1854C19F">
      <w:pPr>
        <w:pStyle w:val="39"/>
        <w:spacing w:line="360" w:lineRule="exact"/>
        <w:rPr>
          <w:rFonts w:hint="eastAsia" w:asciiTheme="majorEastAsia" w:hAnsiTheme="majorEastAsia" w:eastAsiaTheme="majorEastAsia"/>
          <w:b/>
          <w:sz w:val="21"/>
          <w:szCs w:val="21"/>
        </w:rPr>
      </w:pPr>
      <w:r>
        <w:rPr>
          <w:rFonts w:asciiTheme="majorEastAsia" w:hAnsiTheme="majorEastAsia" w:eastAsiaTheme="majorEastAsia"/>
          <w:b/>
          <w:sz w:val="21"/>
          <w:szCs w:val="21"/>
        </w:rPr>
        <w:t>第六条  费用及其支付</w:t>
      </w:r>
    </w:p>
    <w:p w14:paraId="0694A4D7">
      <w:pPr>
        <w:pStyle w:val="39"/>
        <w:spacing w:line="360" w:lineRule="exact"/>
        <w:rPr>
          <w:rFonts w:hint="eastAsia" w:asciiTheme="majorEastAsia" w:hAnsiTheme="majorEastAsia" w:eastAsiaTheme="majorEastAsia"/>
          <w:sz w:val="21"/>
        </w:rPr>
      </w:pPr>
      <w:r>
        <w:rPr>
          <w:rFonts w:hint="eastAsia" w:asciiTheme="majorEastAsia" w:hAnsiTheme="majorEastAsia" w:eastAsiaTheme="majorEastAsia"/>
          <w:sz w:val="21"/>
        </w:rPr>
        <w:t>本协议三方签订后进口合同约定的付款日前，甲方支付全额货款人民币</w:t>
      </w:r>
      <w:r>
        <w:rPr>
          <w:rFonts w:asciiTheme="majorEastAsia" w:hAnsiTheme="majorEastAsia" w:eastAsiaTheme="majorEastAsia"/>
          <w:sz w:val="21"/>
        </w:rPr>
        <w:t xml:space="preserve">           </w:t>
      </w:r>
      <w:r>
        <w:rPr>
          <w:rFonts w:hint="eastAsia" w:asciiTheme="majorEastAsia" w:hAnsiTheme="majorEastAsia" w:eastAsiaTheme="majorEastAsia"/>
          <w:sz w:val="21"/>
        </w:rPr>
        <w:t>.00元给乙方, 乙方在收到甲方货款后按照合同付款条件再对外支付。在进口过程中，汇率风险由丙方承担，在实际对外付款后，按照付款当日的外币汇率折算成人民币价格，若对外支付货款金额加上国内产生的所有费用（货款+开证手续费+免税手续费+清关运输费+代理费等）少于</w:t>
      </w:r>
      <w:r>
        <w:rPr>
          <w:rFonts w:asciiTheme="majorEastAsia" w:hAnsiTheme="majorEastAsia" w:eastAsiaTheme="majorEastAsia"/>
          <w:sz w:val="21"/>
        </w:rPr>
        <w:t xml:space="preserve">       </w:t>
      </w:r>
      <w:r>
        <w:rPr>
          <w:rFonts w:hint="eastAsia" w:asciiTheme="majorEastAsia" w:hAnsiTheme="majorEastAsia" w:eastAsiaTheme="majorEastAsia"/>
          <w:sz w:val="21"/>
        </w:rPr>
        <w:t>.00元，则该差价由丙方开具技术服务费发票给甲方补足。甲方凭付款当日相关银行凭证复印件（乙方加盖财务章），乙方开具的代理费增值税普通发票（国内其他费用以代理费的形式开票需加收6%的税点）以及丙方开具的技术服务费发票入账。最终结算时中标人民币价格扣除所有的费用（货款+开证手续费+免税手续费+清关运输费+代理费等）还有剩余的情况下，甲方将乙方退回的剩余款项在收到丙方开具的对应的服务费发票后将金额转入丙方账户。</w:t>
      </w:r>
    </w:p>
    <w:p w14:paraId="0F8488CD">
      <w:pPr>
        <w:pStyle w:val="39"/>
        <w:spacing w:line="360" w:lineRule="exact"/>
        <w:rPr>
          <w:rFonts w:hint="eastAsia" w:asciiTheme="majorEastAsia" w:hAnsiTheme="majorEastAsia" w:eastAsiaTheme="majorEastAsia"/>
          <w:sz w:val="21"/>
        </w:rPr>
      </w:pPr>
      <w:r>
        <w:rPr>
          <w:rFonts w:hint="eastAsia" w:asciiTheme="majorEastAsia" w:hAnsiTheme="majorEastAsia" w:eastAsiaTheme="majorEastAsia"/>
          <w:sz w:val="21"/>
        </w:rPr>
        <w:t>若最终结算的人民币价格</w:t>
      </w:r>
      <w:r>
        <w:rPr>
          <w:rFonts w:asciiTheme="majorEastAsia" w:hAnsiTheme="majorEastAsia" w:eastAsiaTheme="majorEastAsia"/>
          <w:sz w:val="21"/>
        </w:rPr>
        <w:t>(</w:t>
      </w:r>
      <w:r>
        <w:rPr>
          <w:rFonts w:hint="eastAsia" w:asciiTheme="majorEastAsia" w:hAnsiTheme="majorEastAsia" w:eastAsiaTheme="majorEastAsia"/>
          <w:sz w:val="21"/>
        </w:rPr>
        <w:t>货款</w:t>
      </w:r>
      <w:r>
        <w:rPr>
          <w:rFonts w:asciiTheme="majorEastAsia" w:hAnsiTheme="majorEastAsia" w:eastAsiaTheme="majorEastAsia"/>
          <w:sz w:val="21"/>
        </w:rPr>
        <w:t>+</w:t>
      </w:r>
      <w:r>
        <w:rPr>
          <w:rFonts w:hint="eastAsia" w:asciiTheme="majorEastAsia" w:hAnsiTheme="majorEastAsia" w:eastAsiaTheme="majorEastAsia"/>
          <w:sz w:val="21"/>
        </w:rPr>
        <w:t>开证手续费</w:t>
      </w:r>
      <w:r>
        <w:rPr>
          <w:rFonts w:asciiTheme="majorEastAsia" w:hAnsiTheme="majorEastAsia" w:eastAsiaTheme="majorEastAsia"/>
          <w:sz w:val="21"/>
        </w:rPr>
        <w:t>+</w:t>
      </w:r>
      <w:r>
        <w:rPr>
          <w:rFonts w:hint="eastAsia" w:asciiTheme="majorEastAsia" w:hAnsiTheme="majorEastAsia" w:eastAsiaTheme="majorEastAsia"/>
          <w:sz w:val="21"/>
        </w:rPr>
        <w:t>免税手续费</w:t>
      </w:r>
      <w:r>
        <w:rPr>
          <w:rFonts w:asciiTheme="majorEastAsia" w:hAnsiTheme="majorEastAsia" w:eastAsiaTheme="majorEastAsia"/>
          <w:sz w:val="21"/>
        </w:rPr>
        <w:t>+</w:t>
      </w:r>
      <w:r>
        <w:rPr>
          <w:rFonts w:hint="eastAsia" w:asciiTheme="majorEastAsia" w:hAnsiTheme="majorEastAsia" w:eastAsiaTheme="majorEastAsia"/>
          <w:sz w:val="21"/>
        </w:rPr>
        <w:t>清关运输费</w:t>
      </w:r>
      <w:r>
        <w:rPr>
          <w:rFonts w:asciiTheme="majorEastAsia" w:hAnsiTheme="majorEastAsia" w:eastAsiaTheme="majorEastAsia"/>
          <w:sz w:val="21"/>
        </w:rPr>
        <w:t>+</w:t>
      </w:r>
      <w:r>
        <w:rPr>
          <w:rFonts w:hint="eastAsia" w:asciiTheme="majorEastAsia" w:hAnsiTheme="majorEastAsia" w:eastAsiaTheme="majorEastAsia"/>
          <w:sz w:val="21"/>
        </w:rPr>
        <w:t>代理费等</w:t>
      </w:r>
      <w:r>
        <w:rPr>
          <w:rFonts w:asciiTheme="majorEastAsia" w:hAnsiTheme="majorEastAsia" w:eastAsiaTheme="majorEastAsia"/>
          <w:sz w:val="21"/>
        </w:rPr>
        <w:t>)</w:t>
      </w:r>
      <w:r>
        <w:rPr>
          <w:rFonts w:hint="eastAsia" w:asciiTheme="majorEastAsia" w:hAnsiTheme="majorEastAsia" w:eastAsiaTheme="majorEastAsia"/>
          <w:sz w:val="21"/>
        </w:rPr>
        <w:t xml:space="preserve">超过人民币价格 </w:t>
      </w:r>
      <w:r>
        <w:rPr>
          <w:rFonts w:asciiTheme="majorEastAsia" w:hAnsiTheme="majorEastAsia" w:eastAsiaTheme="majorEastAsia"/>
          <w:sz w:val="21"/>
        </w:rPr>
        <w:t xml:space="preserve">       .00</w:t>
      </w:r>
      <w:r>
        <w:rPr>
          <w:rFonts w:hint="eastAsia" w:asciiTheme="majorEastAsia" w:hAnsiTheme="majorEastAsia" w:eastAsiaTheme="majorEastAsia"/>
          <w:sz w:val="21"/>
        </w:rPr>
        <w:t>元，则不足款项由丙方补足，由乙方向丙方开具代理费增值税普通发票（需加收6%的税点）收取。丙方应在乙方全部货款支付完毕前提前向乙方支付预估的不足款项，待代理费开票当日多退少补。</w:t>
      </w:r>
    </w:p>
    <w:p w14:paraId="6A80D8E4">
      <w:pPr>
        <w:pStyle w:val="39"/>
        <w:spacing w:line="360" w:lineRule="exact"/>
        <w:rPr>
          <w:rFonts w:hint="eastAsia" w:asciiTheme="majorEastAsia" w:hAnsiTheme="majorEastAsia" w:eastAsiaTheme="majorEastAsia"/>
          <w:sz w:val="21"/>
        </w:rPr>
      </w:pPr>
      <w:r>
        <w:rPr>
          <w:rFonts w:hint="eastAsia" w:asciiTheme="majorEastAsia" w:hAnsiTheme="majorEastAsia" w:eastAsiaTheme="majorEastAsia"/>
          <w:sz w:val="21"/>
        </w:rPr>
        <w:t xml:space="preserve">乙方指定帐号信息如下：  </w:t>
      </w:r>
    </w:p>
    <w:p w14:paraId="6C0D9A69">
      <w:pPr>
        <w:pStyle w:val="39"/>
        <w:spacing w:line="360" w:lineRule="exact"/>
        <w:rPr>
          <w:rFonts w:hint="eastAsia" w:asciiTheme="majorEastAsia" w:hAnsiTheme="majorEastAsia" w:eastAsiaTheme="majorEastAsia"/>
          <w:sz w:val="21"/>
        </w:rPr>
      </w:pPr>
      <w:r>
        <w:rPr>
          <w:rFonts w:hint="eastAsia" w:asciiTheme="majorEastAsia" w:hAnsiTheme="majorEastAsia" w:eastAsiaTheme="majorEastAsia"/>
          <w:sz w:val="21"/>
        </w:rPr>
        <w:t>户  名：</w:t>
      </w:r>
      <w:r>
        <w:rPr>
          <w:rFonts w:asciiTheme="majorEastAsia" w:hAnsiTheme="majorEastAsia" w:eastAsiaTheme="majorEastAsia"/>
          <w:sz w:val="21"/>
        </w:rPr>
        <w:t>宁波中基国际招标有限公司</w:t>
      </w:r>
      <w:r>
        <w:rPr>
          <w:rFonts w:hint="eastAsia" w:asciiTheme="majorEastAsia" w:hAnsiTheme="majorEastAsia" w:eastAsiaTheme="majorEastAsia"/>
          <w:sz w:val="21"/>
        </w:rPr>
        <w:t xml:space="preserve">                                                        开户行：宁波银行科技支行</w:t>
      </w:r>
    </w:p>
    <w:p w14:paraId="60E9AA73">
      <w:pPr>
        <w:pStyle w:val="39"/>
        <w:spacing w:line="360" w:lineRule="exact"/>
        <w:rPr>
          <w:rFonts w:hint="eastAsia" w:asciiTheme="majorEastAsia" w:hAnsiTheme="majorEastAsia" w:eastAsiaTheme="majorEastAsia"/>
          <w:sz w:val="21"/>
        </w:rPr>
      </w:pPr>
      <w:r>
        <w:rPr>
          <w:rFonts w:hint="eastAsia" w:asciiTheme="majorEastAsia" w:hAnsiTheme="majorEastAsia" w:eastAsiaTheme="majorEastAsia"/>
          <w:sz w:val="21"/>
        </w:rPr>
        <w:t>帐  号：31010122000005488</w:t>
      </w:r>
    </w:p>
    <w:p w14:paraId="7F3CE4CD">
      <w:pPr>
        <w:pStyle w:val="39"/>
        <w:spacing w:line="360" w:lineRule="exact"/>
        <w:rPr>
          <w:rFonts w:hint="eastAsia" w:asciiTheme="majorEastAsia" w:hAnsiTheme="majorEastAsia" w:eastAsiaTheme="majorEastAsia"/>
          <w:sz w:val="21"/>
        </w:rPr>
      </w:pPr>
      <w:r>
        <w:rPr>
          <w:rFonts w:hint="eastAsia" w:asciiTheme="majorEastAsia" w:hAnsiTheme="majorEastAsia" w:eastAsiaTheme="majorEastAsia"/>
          <w:sz w:val="21"/>
        </w:rPr>
        <w:t xml:space="preserve">丙方指定帐户信息如下：  </w:t>
      </w:r>
    </w:p>
    <w:p w14:paraId="5E22834F">
      <w:pPr>
        <w:pStyle w:val="39"/>
        <w:spacing w:line="360" w:lineRule="exact"/>
        <w:rPr>
          <w:rFonts w:hint="eastAsia" w:asciiTheme="majorEastAsia" w:hAnsiTheme="majorEastAsia" w:eastAsiaTheme="majorEastAsia"/>
          <w:sz w:val="21"/>
        </w:rPr>
      </w:pPr>
      <w:r>
        <w:rPr>
          <w:rFonts w:hint="eastAsia" w:asciiTheme="majorEastAsia" w:hAnsiTheme="majorEastAsia" w:eastAsiaTheme="majorEastAsia"/>
          <w:sz w:val="21"/>
        </w:rPr>
        <w:t xml:space="preserve">户  名：                                                       </w:t>
      </w:r>
    </w:p>
    <w:p w14:paraId="6D144AD5">
      <w:pPr>
        <w:pStyle w:val="39"/>
        <w:spacing w:line="360" w:lineRule="exact"/>
        <w:rPr>
          <w:rFonts w:hint="eastAsia" w:asciiTheme="majorEastAsia" w:hAnsiTheme="majorEastAsia" w:eastAsiaTheme="majorEastAsia"/>
          <w:sz w:val="21"/>
        </w:rPr>
      </w:pPr>
      <w:r>
        <w:rPr>
          <w:rFonts w:hint="eastAsia" w:asciiTheme="majorEastAsia" w:hAnsiTheme="majorEastAsia" w:eastAsiaTheme="majorEastAsia"/>
          <w:sz w:val="21"/>
        </w:rPr>
        <w:t xml:space="preserve">开户行： </w:t>
      </w:r>
    </w:p>
    <w:p w14:paraId="3E87C51D">
      <w:pPr>
        <w:pStyle w:val="39"/>
        <w:spacing w:line="360" w:lineRule="exact"/>
        <w:rPr>
          <w:rFonts w:hint="eastAsia" w:asciiTheme="majorEastAsia" w:hAnsiTheme="majorEastAsia" w:eastAsiaTheme="majorEastAsia"/>
          <w:sz w:val="21"/>
        </w:rPr>
      </w:pPr>
      <w:r>
        <w:rPr>
          <w:rFonts w:hint="eastAsia" w:asciiTheme="majorEastAsia" w:hAnsiTheme="majorEastAsia" w:eastAsiaTheme="majorEastAsia"/>
          <w:sz w:val="21"/>
        </w:rPr>
        <w:t>帐  号：</w:t>
      </w:r>
    </w:p>
    <w:p w14:paraId="79A1CD90">
      <w:pPr>
        <w:pStyle w:val="39"/>
        <w:spacing w:line="360" w:lineRule="exact"/>
        <w:rPr>
          <w:rFonts w:hint="eastAsia" w:asciiTheme="majorEastAsia" w:hAnsiTheme="majorEastAsia" w:eastAsiaTheme="majorEastAsia"/>
          <w:b/>
          <w:sz w:val="21"/>
          <w:szCs w:val="21"/>
        </w:rPr>
      </w:pPr>
      <w:r>
        <w:rPr>
          <w:rFonts w:asciiTheme="majorEastAsia" w:hAnsiTheme="majorEastAsia" w:eastAsiaTheme="majorEastAsia"/>
          <w:b/>
          <w:sz w:val="21"/>
          <w:szCs w:val="21"/>
        </w:rPr>
        <w:t>第七条  违约责任</w:t>
      </w:r>
    </w:p>
    <w:p w14:paraId="4F57F9F5">
      <w:pPr>
        <w:pStyle w:val="39"/>
        <w:spacing w:line="360" w:lineRule="exact"/>
        <w:ind w:firstLine="420" w:firstLineChars="200"/>
        <w:rPr>
          <w:rFonts w:hint="eastAsia" w:asciiTheme="majorEastAsia" w:hAnsiTheme="majorEastAsia" w:eastAsiaTheme="majorEastAsia"/>
          <w:sz w:val="21"/>
          <w:szCs w:val="21"/>
        </w:rPr>
      </w:pPr>
      <w:r>
        <w:rPr>
          <w:rFonts w:asciiTheme="majorEastAsia" w:hAnsiTheme="majorEastAsia" w:eastAsiaTheme="majorEastAsia"/>
          <w:sz w:val="21"/>
          <w:szCs w:val="21"/>
        </w:rPr>
        <w:t>1、因甲丙双方未按协议规定履行义务，导致进口合同不能履行、不能完全履行、迟延履行或履行不符合约定条件的，甲丙双方无权要求返还已经支付给乙方的代理费和操作费，并应承担乙方因此对外承担的一切责任。</w:t>
      </w:r>
    </w:p>
    <w:p w14:paraId="7D1D1487">
      <w:pPr>
        <w:pStyle w:val="39"/>
        <w:spacing w:line="360" w:lineRule="exact"/>
        <w:ind w:firstLine="420" w:firstLineChars="200"/>
        <w:rPr>
          <w:rFonts w:hint="eastAsia" w:asciiTheme="majorEastAsia" w:hAnsiTheme="majorEastAsia" w:eastAsiaTheme="majorEastAsia"/>
          <w:sz w:val="21"/>
          <w:szCs w:val="21"/>
        </w:rPr>
      </w:pPr>
      <w:r>
        <w:rPr>
          <w:rFonts w:asciiTheme="majorEastAsia" w:hAnsiTheme="majorEastAsia" w:eastAsiaTheme="majorEastAsia"/>
          <w:sz w:val="21"/>
          <w:szCs w:val="21"/>
        </w:rPr>
        <w:t>2、因乙方未按协议规定履行义务，导致进口合同不能履行、不能完全履行、迟延履行或履行不符合约定条件的，乙方应赔偿甲丙双方因此受到的实际损失。</w:t>
      </w:r>
    </w:p>
    <w:p w14:paraId="5FA967CB">
      <w:pPr>
        <w:pStyle w:val="39"/>
        <w:spacing w:line="360" w:lineRule="exact"/>
        <w:ind w:firstLine="420" w:firstLineChars="200"/>
        <w:rPr>
          <w:rFonts w:hint="eastAsia" w:asciiTheme="majorEastAsia" w:hAnsiTheme="majorEastAsia" w:eastAsiaTheme="majorEastAsia"/>
          <w:sz w:val="21"/>
          <w:szCs w:val="21"/>
        </w:rPr>
      </w:pPr>
      <w:r>
        <w:rPr>
          <w:rFonts w:asciiTheme="majorEastAsia" w:hAnsiTheme="majorEastAsia" w:eastAsiaTheme="majorEastAsia"/>
          <w:sz w:val="21"/>
          <w:szCs w:val="21"/>
        </w:rPr>
        <w:t>3、因丙方未按协议规定履行义务，导致进口合同不能履行、不能完全履行、迟延履行或履行不符合约定条件的，丙方应赔偿甲乙双方因此受到的实际损失。</w:t>
      </w:r>
    </w:p>
    <w:p w14:paraId="00FFAE31">
      <w:pPr>
        <w:pStyle w:val="39"/>
        <w:spacing w:line="360" w:lineRule="exact"/>
        <w:ind w:firstLine="420" w:firstLineChars="200"/>
        <w:rPr>
          <w:rFonts w:hint="eastAsia" w:asciiTheme="majorEastAsia" w:hAnsiTheme="majorEastAsia" w:eastAsiaTheme="majorEastAsia"/>
          <w:sz w:val="21"/>
          <w:szCs w:val="21"/>
        </w:rPr>
      </w:pPr>
      <w:r>
        <w:rPr>
          <w:rFonts w:asciiTheme="majorEastAsia" w:hAnsiTheme="majorEastAsia" w:eastAsiaTheme="majorEastAsia"/>
          <w:sz w:val="21"/>
          <w:szCs w:val="21"/>
        </w:rPr>
        <w:t>4、甲.乙.丙方因不可抗力事件，不能履行全部或部分代理协议的，免除相互间的全部或部分责任，但三方应在得知不可抗力事件发生之日起十日内通知对方，并提供有关机构出具的证明，以便乙方与外商交涉和免除乙方对外商的责任。</w:t>
      </w:r>
    </w:p>
    <w:p w14:paraId="6BCA404D">
      <w:pPr>
        <w:pStyle w:val="39"/>
        <w:spacing w:line="360" w:lineRule="exact"/>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w:t>
      </w:r>
      <w:r>
        <w:rPr>
          <w:rFonts w:asciiTheme="majorEastAsia" w:hAnsiTheme="majorEastAsia" w:eastAsiaTheme="majorEastAsia"/>
          <w:kern w:val="2"/>
          <w:sz w:val="21"/>
          <w:szCs w:val="21"/>
        </w:rPr>
        <w:t>因一方违约致</w:t>
      </w:r>
      <w:r>
        <w:rPr>
          <w:rFonts w:hint="eastAsia" w:asciiTheme="majorEastAsia" w:hAnsiTheme="majorEastAsia" w:eastAsiaTheme="majorEastAsia"/>
          <w:kern w:val="2"/>
          <w:sz w:val="21"/>
          <w:szCs w:val="21"/>
        </w:rPr>
        <w:t>他</w:t>
      </w:r>
      <w:r>
        <w:rPr>
          <w:rFonts w:asciiTheme="majorEastAsia" w:hAnsiTheme="majorEastAsia" w:eastAsiaTheme="majorEastAsia"/>
          <w:kern w:val="2"/>
          <w:sz w:val="21"/>
          <w:szCs w:val="21"/>
        </w:rPr>
        <w:t>方主张权利的，违约方应当赔偿非违约方的损失，损失的范围包括但不限于非违约方的直接损失、非违约方为实现权利而支付的律师费、保全费、保全担保费、公证费、鉴定费、差旅费、</w:t>
      </w:r>
      <w:r>
        <w:rPr>
          <w:rFonts w:hint="eastAsia" w:asciiTheme="majorEastAsia" w:hAnsiTheme="majorEastAsia" w:eastAsiaTheme="majorEastAsia"/>
          <w:kern w:val="2"/>
          <w:sz w:val="21"/>
          <w:szCs w:val="21"/>
        </w:rPr>
        <w:t>仲裁</w:t>
      </w:r>
      <w:r>
        <w:rPr>
          <w:rFonts w:asciiTheme="majorEastAsia" w:hAnsiTheme="majorEastAsia" w:eastAsiaTheme="majorEastAsia"/>
          <w:kern w:val="2"/>
          <w:sz w:val="21"/>
          <w:szCs w:val="21"/>
        </w:rPr>
        <w:t>费等一切合理开支。</w:t>
      </w:r>
    </w:p>
    <w:p w14:paraId="4911B426">
      <w:pPr>
        <w:pStyle w:val="39"/>
        <w:spacing w:line="360" w:lineRule="exact"/>
        <w:ind w:left="422" w:hanging="422" w:hangingChars="200"/>
        <w:rPr>
          <w:rFonts w:hint="eastAsia" w:asciiTheme="majorEastAsia" w:hAnsiTheme="majorEastAsia" w:eastAsiaTheme="majorEastAsia"/>
          <w:b/>
          <w:sz w:val="21"/>
          <w:szCs w:val="21"/>
        </w:rPr>
      </w:pPr>
      <w:r>
        <w:rPr>
          <w:rFonts w:asciiTheme="majorEastAsia" w:hAnsiTheme="majorEastAsia" w:eastAsiaTheme="majorEastAsia"/>
          <w:b/>
          <w:sz w:val="21"/>
          <w:szCs w:val="21"/>
        </w:rPr>
        <w:t>第八条  索赔处理</w:t>
      </w:r>
    </w:p>
    <w:p w14:paraId="4738E3A8">
      <w:pPr>
        <w:pStyle w:val="39"/>
        <w:spacing w:line="360" w:lineRule="exact"/>
        <w:ind w:firstLine="420" w:firstLineChars="200"/>
        <w:rPr>
          <w:rFonts w:hint="eastAsia" w:asciiTheme="majorEastAsia" w:hAnsiTheme="majorEastAsia" w:eastAsiaTheme="majorEastAsia"/>
          <w:sz w:val="21"/>
          <w:szCs w:val="21"/>
        </w:rPr>
      </w:pPr>
      <w:r>
        <w:rPr>
          <w:rFonts w:asciiTheme="majorEastAsia" w:hAnsiTheme="majorEastAsia" w:eastAsiaTheme="majorEastAsia"/>
          <w:sz w:val="21"/>
          <w:szCs w:val="21"/>
        </w:rPr>
        <w:t>1、乙方必须认真遵守《中华人民共和国进出口商品检验法》，发现问题时，及时处理。凡属于航空公司或保险责任的，应及时向有关责任方索要货损、货差证明，向保险公司办理有关索赔手续。凡属于国外发货人责任的短重及/或品质索赔，应根据甲方要求及时申请商检，并在合同规定的索赔有效期终了前15日将商检证书送到甲方，以便甲方审核及时对外提赔。</w:t>
      </w:r>
    </w:p>
    <w:p w14:paraId="6C82734E">
      <w:pPr>
        <w:pStyle w:val="39"/>
        <w:spacing w:line="360" w:lineRule="exact"/>
        <w:ind w:firstLine="420" w:firstLineChars="200"/>
        <w:rPr>
          <w:rFonts w:hint="eastAsia" w:asciiTheme="majorEastAsia" w:hAnsiTheme="majorEastAsia" w:eastAsiaTheme="majorEastAsia"/>
          <w:sz w:val="21"/>
          <w:szCs w:val="21"/>
        </w:rPr>
      </w:pPr>
      <w:r>
        <w:rPr>
          <w:rFonts w:asciiTheme="majorEastAsia" w:hAnsiTheme="majorEastAsia" w:eastAsiaTheme="majorEastAsia"/>
          <w:sz w:val="21"/>
          <w:szCs w:val="21"/>
        </w:rPr>
        <w:t>2、乙方必须积极办理属于发货人责任的短重及/或质量索赔。乙方不承担直接的赔偿责任，但有义务代表甲方向国外发货人提赔，并须据理力争督促国外发货人尽速理赔。乙方须及时向甲方通报对外索赔进展情况，并对此索赔案负责到底直至甲方同意结案为止。索赔过程中所发生的费用由丙方承担</w:t>
      </w:r>
      <w:r>
        <w:rPr>
          <w:rFonts w:hint="eastAsia" w:asciiTheme="majorEastAsia" w:hAnsiTheme="majorEastAsia" w:eastAsiaTheme="majorEastAsia"/>
          <w:sz w:val="21"/>
          <w:szCs w:val="21"/>
        </w:rPr>
        <w:t>并提前支付</w:t>
      </w:r>
      <w:r>
        <w:rPr>
          <w:rFonts w:asciiTheme="majorEastAsia" w:hAnsiTheme="majorEastAsia" w:eastAsiaTheme="majorEastAsia"/>
          <w:sz w:val="21"/>
          <w:szCs w:val="21"/>
        </w:rPr>
        <w:t>。</w:t>
      </w:r>
    </w:p>
    <w:p w14:paraId="638E57EB">
      <w:pPr>
        <w:pStyle w:val="39"/>
        <w:spacing w:line="360" w:lineRule="exact"/>
        <w:ind w:firstLine="480" w:firstLineChars="200"/>
        <w:rPr>
          <w:rFonts w:hint="eastAsia" w:asciiTheme="majorEastAsia" w:hAnsiTheme="majorEastAsia" w:eastAsiaTheme="majorEastAsia"/>
          <w:sz w:val="21"/>
          <w:szCs w:val="21"/>
        </w:rPr>
      </w:pPr>
      <w:r>
        <w:rPr>
          <w:rFonts w:asciiTheme="majorEastAsia" w:hAnsiTheme="majorEastAsia" w:eastAsiaTheme="majorEastAsia"/>
        </w:rPr>
        <w:t>3、</w:t>
      </w:r>
      <w:r>
        <w:rPr>
          <w:rFonts w:asciiTheme="majorEastAsia" w:hAnsiTheme="majorEastAsia" w:eastAsiaTheme="majorEastAsia"/>
          <w:sz w:val="21"/>
          <w:szCs w:val="21"/>
        </w:rPr>
        <w:t>丙方确保甲方签收的货物为全新正品，质量规格与技术指标符合招投标要求。如无法满足招投标要求，甲方有权要求丙方退换货。因退换货产生的相关损失，由丙方全权负责赔偿.</w:t>
      </w:r>
    </w:p>
    <w:p w14:paraId="66CFB174">
      <w:pPr>
        <w:pStyle w:val="39"/>
        <w:spacing w:line="360" w:lineRule="exact"/>
        <w:rPr>
          <w:rFonts w:hint="eastAsia" w:asciiTheme="majorEastAsia" w:hAnsiTheme="majorEastAsia" w:eastAsiaTheme="majorEastAsia"/>
          <w:b/>
          <w:sz w:val="21"/>
          <w:szCs w:val="21"/>
        </w:rPr>
      </w:pPr>
      <w:r>
        <w:rPr>
          <w:rFonts w:asciiTheme="majorEastAsia" w:hAnsiTheme="majorEastAsia" w:eastAsiaTheme="majorEastAsia"/>
          <w:b/>
          <w:sz w:val="21"/>
          <w:szCs w:val="21"/>
        </w:rPr>
        <w:t>第九条  争议的解决</w:t>
      </w:r>
    </w:p>
    <w:p w14:paraId="48D79C3C">
      <w:pPr>
        <w:pStyle w:val="39"/>
        <w:spacing w:line="360" w:lineRule="exact"/>
        <w:ind w:firstLine="420" w:firstLineChars="200"/>
        <w:rPr>
          <w:rFonts w:hint="eastAsia" w:asciiTheme="majorEastAsia" w:hAnsiTheme="majorEastAsia" w:eastAsiaTheme="majorEastAsia"/>
          <w:sz w:val="21"/>
          <w:szCs w:val="21"/>
        </w:rPr>
      </w:pPr>
      <w:r>
        <w:rPr>
          <w:rFonts w:asciiTheme="majorEastAsia" w:hAnsiTheme="majorEastAsia" w:eastAsiaTheme="majorEastAsia"/>
          <w:sz w:val="21"/>
          <w:szCs w:val="21"/>
        </w:rPr>
        <w:t>本协议执行过程中发生的争议由三方友好协商解决，协商解决不成时，三方一致同意选择下列第</w:t>
      </w:r>
      <w:r>
        <w:rPr>
          <w:rFonts w:asciiTheme="majorEastAsia" w:hAnsiTheme="majorEastAsia" w:eastAsiaTheme="majorEastAsia"/>
          <w:sz w:val="21"/>
          <w:szCs w:val="21"/>
          <w:u w:val="single"/>
        </w:rPr>
        <w:t xml:space="preserve">  1 </w:t>
      </w:r>
      <w:r>
        <w:rPr>
          <w:rFonts w:asciiTheme="majorEastAsia" w:hAnsiTheme="majorEastAsia" w:eastAsiaTheme="majorEastAsia"/>
          <w:sz w:val="21"/>
          <w:szCs w:val="21"/>
        </w:rPr>
        <w:t>种方式解决：（1）提交宁波仲裁委员会仲裁；（2）提交中国国际经济贸易仲裁委员会仲裁；（3）依法向人民法院起诉。</w:t>
      </w:r>
    </w:p>
    <w:p w14:paraId="1291959F">
      <w:pPr>
        <w:pStyle w:val="39"/>
        <w:numPr>
          <w:ilvl w:val="0"/>
          <w:numId w:val="4"/>
        </w:numPr>
        <w:spacing w:line="360" w:lineRule="exact"/>
        <w:rPr>
          <w:rFonts w:hint="eastAsia" w:asciiTheme="majorEastAsia" w:hAnsiTheme="majorEastAsia" w:eastAsiaTheme="majorEastAsia"/>
          <w:b/>
          <w:sz w:val="21"/>
          <w:szCs w:val="21"/>
        </w:rPr>
      </w:pPr>
      <w:r>
        <w:rPr>
          <w:rFonts w:asciiTheme="majorEastAsia" w:hAnsiTheme="majorEastAsia" w:eastAsiaTheme="majorEastAsia"/>
          <w:b/>
          <w:sz w:val="21"/>
          <w:szCs w:val="21"/>
        </w:rPr>
        <w:t xml:space="preserve"> 其他</w:t>
      </w:r>
    </w:p>
    <w:p w14:paraId="7625B6D8">
      <w:pPr>
        <w:spacing w:line="360" w:lineRule="exact"/>
        <w:rPr>
          <w:rFonts w:hint="eastAsia" w:asciiTheme="majorEastAsia" w:hAnsiTheme="majorEastAsia" w:eastAsiaTheme="majorEastAsia"/>
          <w:b/>
        </w:rPr>
      </w:pPr>
      <w:r>
        <w:rPr>
          <w:rFonts w:asciiTheme="majorEastAsia" w:hAnsiTheme="majorEastAsia" w:eastAsiaTheme="majorEastAsia"/>
          <w:b/>
        </w:rPr>
        <w:t xml:space="preserve">    </w:t>
      </w:r>
      <w:r>
        <w:rPr>
          <w:rFonts w:asciiTheme="majorEastAsia" w:hAnsiTheme="majorEastAsia" w:eastAsiaTheme="majorEastAsia"/>
          <w:kern w:val="0"/>
        </w:rPr>
        <w:t xml:space="preserve"> 1、甲丙双方保证进口货物不属于国家禁止进出境的物品，并保证货物与名称相符。因甲丙双方的原因在海关造成的滞报、滞港等而产生的责任和损失，由相关责任方承担。但是乙方必须将相关信息及时准确地告诉甲丙双方。</w:t>
      </w:r>
    </w:p>
    <w:p w14:paraId="1FE4849E">
      <w:pPr>
        <w:pStyle w:val="39"/>
        <w:spacing w:line="360" w:lineRule="exact"/>
        <w:ind w:firstLine="420" w:firstLineChars="200"/>
        <w:rPr>
          <w:rFonts w:hint="eastAsia" w:asciiTheme="majorEastAsia" w:hAnsiTheme="majorEastAsia" w:eastAsiaTheme="majorEastAsia"/>
          <w:sz w:val="21"/>
          <w:szCs w:val="21"/>
        </w:rPr>
      </w:pPr>
      <w:r>
        <w:rPr>
          <w:rFonts w:asciiTheme="majorEastAsia" w:hAnsiTheme="majorEastAsia" w:eastAsiaTheme="majorEastAsia"/>
          <w:sz w:val="21"/>
          <w:szCs w:val="21"/>
        </w:rPr>
        <w:t>2、本协议未尽事宜，三方另行协商。如一方要求变更合同条款，须经另两方同意方可生效。</w:t>
      </w:r>
    </w:p>
    <w:p w14:paraId="1CC05686">
      <w:pPr>
        <w:pStyle w:val="39"/>
        <w:spacing w:line="360" w:lineRule="exact"/>
        <w:rPr>
          <w:rFonts w:hint="eastAsia" w:asciiTheme="majorEastAsia" w:hAnsiTheme="majorEastAsia" w:eastAsiaTheme="majorEastAsia"/>
          <w:sz w:val="21"/>
          <w:szCs w:val="21"/>
        </w:rPr>
      </w:pPr>
      <w:r>
        <w:rPr>
          <w:rFonts w:asciiTheme="majorEastAsia" w:hAnsiTheme="majorEastAsia" w:eastAsiaTheme="majorEastAsia"/>
          <w:sz w:val="21"/>
          <w:szCs w:val="21"/>
        </w:rPr>
        <w:t xml:space="preserve">    3、本协议自三方签字或盖章之日起正式生效，合同执行完毕后本协议终止。                    </w:t>
      </w:r>
    </w:p>
    <w:p w14:paraId="19C42434">
      <w:pPr>
        <w:pStyle w:val="39"/>
        <w:spacing w:line="360" w:lineRule="exact"/>
        <w:ind w:firstLine="420" w:firstLineChars="200"/>
        <w:rPr>
          <w:rFonts w:hint="eastAsia" w:asciiTheme="majorEastAsia" w:hAnsiTheme="majorEastAsia" w:eastAsiaTheme="majorEastAsia"/>
          <w:sz w:val="21"/>
          <w:szCs w:val="21"/>
        </w:rPr>
      </w:pPr>
      <w:r>
        <w:rPr>
          <w:rFonts w:asciiTheme="majorEastAsia" w:hAnsiTheme="majorEastAsia" w:eastAsiaTheme="majorEastAsia"/>
          <w:sz w:val="21"/>
          <w:szCs w:val="21"/>
        </w:rPr>
        <w:t>4、本协议一式</w:t>
      </w:r>
      <w:r>
        <w:rPr>
          <w:rFonts w:hint="eastAsia" w:asciiTheme="majorEastAsia" w:hAnsiTheme="majorEastAsia" w:eastAsiaTheme="majorEastAsia"/>
          <w:sz w:val="21"/>
          <w:szCs w:val="21"/>
        </w:rPr>
        <w:t>叁</w:t>
      </w:r>
      <w:r>
        <w:rPr>
          <w:rFonts w:asciiTheme="majorEastAsia" w:hAnsiTheme="majorEastAsia" w:eastAsiaTheme="majorEastAsia"/>
          <w:sz w:val="21"/>
          <w:szCs w:val="21"/>
        </w:rPr>
        <w:t>份，甲、乙、丙三方各执壹份，具有同等法律效力。</w:t>
      </w:r>
    </w:p>
    <w:p w14:paraId="14ADAA59">
      <w:pPr>
        <w:spacing w:line="360" w:lineRule="exact"/>
        <w:ind w:firstLine="420" w:firstLineChars="200"/>
        <w:rPr>
          <w:rFonts w:hint="eastAsia" w:asciiTheme="majorEastAsia" w:hAnsiTheme="majorEastAsia" w:eastAsiaTheme="majorEastAsia"/>
          <w:kern w:val="0"/>
        </w:rPr>
      </w:pPr>
      <w:r>
        <w:rPr>
          <w:rFonts w:asciiTheme="majorEastAsia" w:hAnsiTheme="majorEastAsia" w:eastAsiaTheme="majorEastAsia"/>
          <w:kern w:val="0"/>
        </w:rPr>
        <w:t>5、凡有关本协议的通知、请求或其他通讯往来，须以文字为准，可采用书信、传真等方式传递。本协议文首部分所列甲、乙、丙三方的地址即为三方的收件地址。</w:t>
      </w:r>
    </w:p>
    <w:p w14:paraId="656CC86F">
      <w:pPr>
        <w:spacing w:line="360" w:lineRule="exact"/>
        <w:rPr>
          <w:rFonts w:hint="eastAsia" w:asciiTheme="majorEastAsia" w:hAnsiTheme="majorEastAsia" w:eastAsiaTheme="majorEastAsia"/>
          <w:kern w:val="0"/>
        </w:rPr>
      </w:pPr>
    </w:p>
    <w:p w14:paraId="19523BB2">
      <w:pPr>
        <w:spacing w:line="360" w:lineRule="exact"/>
        <w:rPr>
          <w:rFonts w:hint="eastAsia" w:asciiTheme="majorEastAsia" w:hAnsiTheme="majorEastAsia" w:eastAsiaTheme="majorEastAsia"/>
          <w:kern w:val="0"/>
        </w:rPr>
      </w:pPr>
    </w:p>
    <w:p w14:paraId="02C8C853">
      <w:pPr>
        <w:spacing w:line="360" w:lineRule="exact"/>
        <w:rPr>
          <w:rFonts w:hint="eastAsia" w:asciiTheme="majorEastAsia" w:hAnsiTheme="majorEastAsia" w:eastAsiaTheme="majorEastAsia"/>
          <w:kern w:val="0"/>
        </w:rPr>
      </w:pPr>
    </w:p>
    <w:p w14:paraId="6BB9D584">
      <w:pPr>
        <w:spacing w:line="360" w:lineRule="exact"/>
        <w:jc w:val="left"/>
        <w:rPr>
          <w:rFonts w:hint="eastAsia" w:asciiTheme="majorEastAsia" w:hAnsiTheme="majorEastAsia" w:eastAsiaTheme="majorEastAsia"/>
          <w:kern w:val="0"/>
        </w:rPr>
      </w:pPr>
      <w:r>
        <w:rPr>
          <w:rFonts w:asciiTheme="majorEastAsia" w:hAnsiTheme="majorEastAsia" w:eastAsiaTheme="majorEastAsia"/>
          <w:kern w:val="0"/>
        </w:rPr>
        <w:t>委托方：</w:t>
      </w:r>
      <w:r>
        <w:rPr>
          <w:rFonts w:hint="eastAsia" w:asciiTheme="majorEastAsia" w:hAnsiTheme="majorEastAsia" w:eastAsiaTheme="majorEastAsia"/>
        </w:rPr>
        <w:t>浙江大学宁波“五位一体”校区教育发展中心</w:t>
      </w:r>
      <w:r>
        <w:rPr>
          <w:rFonts w:asciiTheme="majorEastAsia" w:hAnsiTheme="majorEastAsia" w:eastAsiaTheme="majorEastAsia"/>
          <w:kern w:val="0"/>
        </w:rPr>
        <w:t xml:space="preserve">（盖章） </w:t>
      </w:r>
    </w:p>
    <w:p w14:paraId="53412017">
      <w:pPr>
        <w:spacing w:line="360" w:lineRule="exact"/>
        <w:jc w:val="left"/>
        <w:rPr>
          <w:rFonts w:hint="eastAsia" w:asciiTheme="majorEastAsia" w:hAnsiTheme="majorEastAsia" w:eastAsiaTheme="majorEastAsia"/>
          <w:kern w:val="0"/>
          <w:u w:val="single"/>
        </w:rPr>
      </w:pPr>
    </w:p>
    <w:p w14:paraId="0478FBEF">
      <w:pPr>
        <w:pStyle w:val="39"/>
        <w:spacing w:line="360" w:lineRule="exact"/>
        <w:rPr>
          <w:rFonts w:hint="eastAsia" w:asciiTheme="majorEastAsia" w:hAnsiTheme="majorEastAsia" w:eastAsiaTheme="majorEastAsia"/>
          <w:sz w:val="21"/>
          <w:szCs w:val="21"/>
        </w:rPr>
      </w:pPr>
      <w:r>
        <w:rPr>
          <w:rFonts w:asciiTheme="majorEastAsia" w:hAnsiTheme="majorEastAsia" w:eastAsiaTheme="majorEastAsia"/>
          <w:sz w:val="21"/>
          <w:szCs w:val="21"/>
        </w:rPr>
        <w:t>授权代表：</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（签字）</w:t>
      </w:r>
    </w:p>
    <w:p w14:paraId="3065B0AE">
      <w:pPr>
        <w:spacing w:line="360" w:lineRule="exact"/>
        <w:jc w:val="left"/>
        <w:rPr>
          <w:rFonts w:hint="eastAsia" w:asciiTheme="majorEastAsia" w:hAnsiTheme="majorEastAsia" w:eastAsiaTheme="majorEastAsia"/>
        </w:rPr>
      </w:pPr>
    </w:p>
    <w:p w14:paraId="4837C72C">
      <w:pPr>
        <w:spacing w:line="360" w:lineRule="exact"/>
        <w:jc w:val="left"/>
        <w:rPr>
          <w:rFonts w:hint="eastAsia" w:asciiTheme="majorEastAsia" w:hAnsiTheme="majorEastAsia" w:eastAsiaTheme="majorEastAsia"/>
        </w:rPr>
      </w:pPr>
    </w:p>
    <w:p w14:paraId="1EE0B329">
      <w:pPr>
        <w:spacing w:line="360" w:lineRule="exact"/>
        <w:jc w:val="left"/>
        <w:rPr>
          <w:rFonts w:hint="eastAsia" w:asciiTheme="majorEastAsia" w:hAnsiTheme="majorEastAsia" w:eastAsiaTheme="majorEastAsia"/>
        </w:rPr>
      </w:pPr>
    </w:p>
    <w:p w14:paraId="2D45ED02">
      <w:pPr>
        <w:spacing w:line="360" w:lineRule="exact"/>
        <w:jc w:val="left"/>
        <w:rPr>
          <w:rFonts w:hint="eastAsia" w:asciiTheme="majorEastAsia" w:hAnsiTheme="majorEastAsia" w:eastAsiaTheme="majorEastAsia"/>
          <w:kern w:val="0"/>
        </w:rPr>
      </w:pPr>
      <w:r>
        <w:rPr>
          <w:rFonts w:asciiTheme="majorEastAsia" w:hAnsiTheme="majorEastAsia" w:eastAsiaTheme="majorEastAsia"/>
          <w:kern w:val="0"/>
        </w:rPr>
        <w:t>代理方：宁波中基国际招标有限公司（盖章）</w:t>
      </w:r>
    </w:p>
    <w:p w14:paraId="6EA239A5">
      <w:pPr>
        <w:spacing w:line="360" w:lineRule="exact"/>
        <w:jc w:val="left"/>
        <w:rPr>
          <w:rFonts w:hint="eastAsia" w:asciiTheme="majorEastAsia" w:hAnsiTheme="majorEastAsia" w:eastAsiaTheme="majorEastAsia"/>
        </w:rPr>
      </w:pPr>
    </w:p>
    <w:p w14:paraId="608A5990">
      <w:pPr>
        <w:pStyle w:val="39"/>
        <w:spacing w:line="360" w:lineRule="exact"/>
        <w:rPr>
          <w:rFonts w:hint="eastAsia" w:asciiTheme="majorEastAsia" w:hAnsiTheme="majorEastAsia" w:eastAsiaTheme="majorEastAsia"/>
          <w:sz w:val="21"/>
          <w:szCs w:val="21"/>
        </w:rPr>
      </w:pPr>
      <w:r>
        <w:rPr>
          <w:rFonts w:asciiTheme="majorEastAsia" w:hAnsiTheme="majorEastAsia" w:eastAsiaTheme="majorEastAsia"/>
          <w:sz w:val="21"/>
          <w:szCs w:val="21"/>
        </w:rPr>
        <w:t>授权代表：</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（签字）</w:t>
      </w:r>
    </w:p>
    <w:p w14:paraId="369AD56F">
      <w:pPr>
        <w:pStyle w:val="39"/>
        <w:spacing w:line="360" w:lineRule="exact"/>
        <w:rPr>
          <w:rFonts w:hint="eastAsia" w:asciiTheme="majorEastAsia" w:hAnsiTheme="majorEastAsia" w:eastAsiaTheme="majorEastAsia"/>
          <w:sz w:val="21"/>
          <w:szCs w:val="21"/>
        </w:rPr>
      </w:pPr>
    </w:p>
    <w:p w14:paraId="6CFAE148">
      <w:pPr>
        <w:pStyle w:val="39"/>
        <w:spacing w:line="360" w:lineRule="exact"/>
        <w:jc w:val="center"/>
        <w:rPr>
          <w:rFonts w:hint="eastAsia" w:asciiTheme="majorEastAsia" w:hAnsiTheme="majorEastAsia" w:eastAsiaTheme="majorEastAsia"/>
          <w:sz w:val="21"/>
          <w:szCs w:val="21"/>
        </w:rPr>
      </w:pPr>
    </w:p>
    <w:p w14:paraId="6FA17ED0">
      <w:pPr>
        <w:pStyle w:val="39"/>
        <w:spacing w:line="360" w:lineRule="exact"/>
        <w:rPr>
          <w:rFonts w:hint="eastAsia" w:asciiTheme="majorEastAsia" w:hAnsiTheme="majorEastAsia" w:eastAsiaTheme="majorEastAsia"/>
          <w:sz w:val="21"/>
          <w:szCs w:val="21"/>
        </w:rPr>
      </w:pPr>
      <w:bookmarkStart w:id="38" w:name="OLE_LINK4"/>
      <w:bookmarkStart w:id="39" w:name="OLE_LINK3"/>
      <w:r>
        <w:rPr>
          <w:rFonts w:hint="eastAsia" w:asciiTheme="majorEastAsia" w:hAnsiTheme="majorEastAsia" w:eastAsiaTheme="majorEastAsia"/>
          <w:sz w:val="21"/>
          <w:szCs w:val="21"/>
        </w:rPr>
        <w:t>设备中标商</w:t>
      </w:r>
      <w:r>
        <w:rPr>
          <w:rFonts w:asciiTheme="majorEastAsia" w:hAnsiTheme="majorEastAsia" w:eastAsiaTheme="majorEastAsia"/>
          <w:sz w:val="21"/>
          <w:szCs w:val="21"/>
        </w:rPr>
        <w:t>（丙方）</w:t>
      </w:r>
      <w:r>
        <w:rPr>
          <w:rFonts w:asciiTheme="majorEastAsia" w:hAnsiTheme="majorEastAsia" w:eastAsiaTheme="majorEastAsia"/>
          <w:kern w:val="2"/>
          <w:sz w:val="21"/>
          <w:szCs w:val="21"/>
        </w:rPr>
        <w:t>：</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asciiTheme="majorEastAsia" w:hAnsiTheme="majorEastAsia" w:eastAsiaTheme="majorEastAsia"/>
          <w:szCs w:val="21"/>
        </w:rPr>
        <w:t>（盖章）</w:t>
      </w: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p>
    <w:bookmarkEnd w:id="38"/>
    <w:bookmarkEnd w:id="39"/>
    <w:p w14:paraId="218AF4EA">
      <w:pPr>
        <w:widowControl/>
        <w:tabs>
          <w:tab w:val="left" w:pos="2310"/>
        </w:tabs>
        <w:spacing w:line="360" w:lineRule="auto"/>
        <w:ind w:firstLine="342" w:firstLineChars="163"/>
        <w:rPr>
          <w:rFonts w:hint="eastAsia" w:asciiTheme="majorEastAsia" w:hAnsiTheme="majorEastAsia" w:eastAsiaTheme="majorEastAsia"/>
        </w:rPr>
      </w:pPr>
      <w:r>
        <w:rPr>
          <w:rFonts w:asciiTheme="majorEastAsia" w:hAnsiTheme="majorEastAsia" w:eastAsiaTheme="majorEastAsia"/>
        </w:rPr>
        <w:br w:type="textWrapping"/>
      </w:r>
      <w:r>
        <w:rPr>
          <w:rFonts w:asciiTheme="majorEastAsia" w:hAnsiTheme="majorEastAsia" w:eastAsiaTheme="majorEastAsia"/>
        </w:rPr>
        <w:t>授权代表：</w:t>
      </w:r>
      <w:r>
        <w:rPr>
          <w:rFonts w:asciiTheme="majorEastAsia" w:hAnsiTheme="majorEastAsia" w:eastAsiaTheme="majorEastAsia"/>
          <w:u w:val="single"/>
        </w:rPr>
        <w:t xml:space="preserve">             </w:t>
      </w:r>
      <w:r>
        <w:rPr>
          <w:rFonts w:asciiTheme="majorEastAsia" w:hAnsiTheme="majorEastAsia" w:eastAsiaTheme="majorEastAsia"/>
        </w:rPr>
        <w:t>（签字）</w:t>
      </w:r>
    </w:p>
    <w:p w14:paraId="6AE27884">
      <w:pPr>
        <w:pStyle w:val="2"/>
        <w:ind w:firstLine="464"/>
      </w:pPr>
      <w:r>
        <w:rPr>
          <w:rFonts w:hint="eastAsia"/>
        </w:rPr>
        <w:br w:type="page"/>
      </w:r>
    </w:p>
    <w:p w14:paraId="0D36530C">
      <w:pPr>
        <w:tabs>
          <w:tab w:val="left" w:pos="1260"/>
          <w:tab w:val="left" w:pos="1680"/>
          <w:tab w:val="left" w:pos="2100"/>
          <w:tab w:val="left" w:pos="2520"/>
          <w:tab w:val="left" w:pos="2940"/>
          <w:tab w:val="left" w:pos="5608"/>
        </w:tabs>
        <w:jc w:val="center"/>
        <w:rPr>
          <w:rFonts w:ascii="Arial" w:hAnsi="Arial"/>
          <w:b/>
          <w:sz w:val="40"/>
        </w:rPr>
      </w:pPr>
      <w:r>
        <w:rPr>
          <w:rFonts w:hint="eastAsia" w:ascii="Arial" w:hAnsi="Arial"/>
          <w:b/>
          <w:sz w:val="40"/>
        </w:rPr>
        <w:t>合</w:t>
      </w:r>
      <w:r>
        <w:rPr>
          <w:rFonts w:ascii="Arial" w:hAnsi="Arial"/>
          <w:b/>
          <w:sz w:val="40"/>
        </w:rPr>
        <w:t xml:space="preserve">  </w:t>
      </w:r>
      <w:r>
        <w:rPr>
          <w:rFonts w:hint="eastAsia" w:ascii="Arial" w:hAnsi="Arial"/>
          <w:b/>
          <w:sz w:val="40"/>
        </w:rPr>
        <w:t>同</w:t>
      </w:r>
    </w:p>
    <w:p w14:paraId="781CA6D5">
      <w:pPr>
        <w:ind w:left="7935" w:hanging="3855"/>
        <w:rPr>
          <w:b/>
        </w:rPr>
      </w:pPr>
      <w:r>
        <w:rPr>
          <w:b/>
        </w:rPr>
        <w:t>CONTRACT</w:t>
      </w:r>
      <w:r>
        <w:rPr>
          <w:rFonts w:hint="eastAsia"/>
          <w:b/>
        </w:rPr>
        <w:t xml:space="preserve">     </w:t>
      </w:r>
      <w:r>
        <w:rPr>
          <w:rFonts w:hint="eastAsia"/>
        </w:rPr>
        <w:t xml:space="preserve">          </w:t>
      </w:r>
      <w:r>
        <w:t xml:space="preserve"> </w:t>
      </w:r>
      <w:r>
        <w:rPr>
          <w:rFonts w:hint="eastAsia"/>
        </w:rPr>
        <w:t xml:space="preserve">                                                                                         </w:t>
      </w:r>
      <w:r>
        <w:rPr>
          <w:b/>
        </w:rPr>
        <w:t xml:space="preserve"> </w:t>
      </w:r>
      <w:r>
        <w:rPr>
          <w:rFonts w:hint="eastAsia"/>
          <w:b/>
        </w:rPr>
        <w:t>正</w:t>
      </w:r>
      <w:r>
        <w:rPr>
          <w:b/>
        </w:rPr>
        <w:t xml:space="preserve">  </w:t>
      </w:r>
      <w:r>
        <w:rPr>
          <w:rFonts w:hint="eastAsia"/>
          <w:b/>
        </w:rPr>
        <w:t>本</w:t>
      </w:r>
    </w:p>
    <w:p w14:paraId="7E393169">
      <w:pPr>
        <w:ind w:firstLine="7416"/>
        <w:rPr>
          <w:b/>
        </w:rPr>
      </w:pPr>
      <w:r>
        <w:rPr>
          <w:b/>
        </w:rPr>
        <w:t xml:space="preserve">  ORIGINAL</w:t>
      </w:r>
    </w:p>
    <w:p w14:paraId="7329890B">
      <w:pPr>
        <w:pStyle w:val="6"/>
        <w:spacing w:before="120" w:after="120"/>
        <w:rPr>
          <w:b w:val="0"/>
        </w:rPr>
      </w:pPr>
    </w:p>
    <w:p w14:paraId="1B7B6D99">
      <w:pPr>
        <w:rPr>
          <w:rFonts w:ascii="Arial" w:hAnsi="Arial"/>
        </w:rPr>
      </w:pPr>
      <w:r>
        <w:rPr>
          <w:rFonts w:hint="eastAsia" w:ascii="Arial" w:hAnsi="Arial"/>
        </w:rPr>
        <w:t>编号：C</w:t>
      </w:r>
      <w:r>
        <w:rPr>
          <w:rFonts w:ascii="Arial" w:hAnsi="Arial"/>
        </w:rPr>
        <w:t>NT22-07-510-X</w:t>
      </w:r>
    </w:p>
    <w:p w14:paraId="69285122">
      <w:pPr>
        <w:rPr>
          <w:rFonts w:ascii="Arial" w:hAnsi="Arial"/>
        </w:rPr>
      </w:pPr>
      <w:r>
        <w:rPr>
          <w:rFonts w:ascii="Arial" w:hAnsi="Arial"/>
        </w:rPr>
        <w:t>NO.</w:t>
      </w:r>
      <w:r>
        <w:rPr>
          <w:rFonts w:hint="eastAsia" w:ascii="Arial" w:hAnsi="Arial"/>
        </w:rPr>
        <w:t>：C</w:t>
      </w:r>
      <w:r>
        <w:rPr>
          <w:rFonts w:ascii="Arial" w:hAnsi="Arial"/>
        </w:rPr>
        <w:t>NT22-07-510-X</w:t>
      </w:r>
    </w:p>
    <w:p w14:paraId="4ABD7B4A">
      <w:pPr>
        <w:rPr>
          <w:rFonts w:ascii="Arial" w:hAnsi="Arial"/>
        </w:rPr>
      </w:pPr>
      <w:r>
        <w:rPr>
          <w:rFonts w:hint="eastAsia" w:ascii="Arial" w:hAnsi="Arial"/>
        </w:rPr>
        <w:t>日期和地点：</w:t>
      </w:r>
      <w:r>
        <w:rPr>
          <w:rFonts w:ascii="Arial" w:hAnsi="Arial"/>
        </w:rPr>
        <w:t>2022</w:t>
      </w:r>
      <w:r>
        <w:rPr>
          <w:rFonts w:hint="eastAsia" w:ascii="Arial" w:hAnsi="Arial"/>
        </w:rPr>
        <w:t>年</w:t>
      </w:r>
      <w:r>
        <w:rPr>
          <w:rFonts w:ascii="Arial" w:hAnsi="Arial"/>
        </w:rPr>
        <w:t>6</w:t>
      </w:r>
      <w:r>
        <w:rPr>
          <w:rFonts w:hint="eastAsia" w:ascii="Arial" w:hAnsi="Arial"/>
        </w:rPr>
        <w:t>月</w:t>
      </w:r>
      <w:r>
        <w:rPr>
          <w:rFonts w:ascii="Arial" w:hAnsi="Arial"/>
        </w:rPr>
        <w:t>27</w:t>
      </w:r>
      <w:r>
        <w:rPr>
          <w:rFonts w:hint="eastAsia" w:ascii="Arial" w:hAnsi="Arial"/>
        </w:rPr>
        <w:t>日</w:t>
      </w:r>
      <w:r>
        <w:rPr>
          <w:rFonts w:ascii="Arial" w:hAnsi="Arial"/>
        </w:rPr>
        <w:t xml:space="preserve"> </w:t>
      </w:r>
      <w:r>
        <w:rPr>
          <w:rFonts w:hint="eastAsia" w:ascii="Arial" w:hAnsi="Arial"/>
        </w:rPr>
        <w:t>中国宁波</w:t>
      </w:r>
    </w:p>
    <w:p w14:paraId="622F9BF9">
      <w:pPr>
        <w:rPr>
          <w:rFonts w:ascii="Arial" w:hAnsi="Arial"/>
        </w:rPr>
      </w:pPr>
      <w:r>
        <w:rPr>
          <w:rFonts w:ascii="Arial" w:hAnsi="Arial"/>
        </w:rPr>
        <w:t>Date and place</w:t>
      </w:r>
      <w:r>
        <w:rPr>
          <w:rFonts w:hint="eastAsia" w:ascii="Arial" w:hAnsi="Arial"/>
        </w:rPr>
        <w:t>：</w:t>
      </w:r>
      <w:r>
        <w:rPr>
          <w:rFonts w:ascii="Arial" w:hAnsi="Arial"/>
        </w:rPr>
        <w:t>June</w:t>
      </w:r>
      <w:r>
        <w:rPr>
          <w:rFonts w:hint="eastAsia" w:ascii="Arial" w:hAnsi="Arial"/>
        </w:rPr>
        <w:t>.</w:t>
      </w:r>
      <w:r>
        <w:rPr>
          <w:rFonts w:ascii="Arial" w:hAnsi="Arial"/>
        </w:rPr>
        <w:t>27</w:t>
      </w:r>
      <w:r>
        <w:rPr>
          <w:rFonts w:hint="eastAsia" w:ascii="Arial" w:hAnsi="Arial"/>
        </w:rPr>
        <w:t>.</w:t>
      </w:r>
      <w:r>
        <w:rPr>
          <w:rFonts w:ascii="Arial" w:hAnsi="Arial"/>
        </w:rPr>
        <w:t>2022</w:t>
      </w:r>
      <w:r>
        <w:rPr>
          <w:rFonts w:hint="eastAsia" w:ascii="Arial" w:hAnsi="Arial"/>
        </w:rPr>
        <w:t xml:space="preserve"> </w:t>
      </w:r>
      <w:r>
        <w:rPr>
          <w:rFonts w:ascii="Arial" w:hAnsi="Arial"/>
        </w:rPr>
        <w:t>NingBo China</w:t>
      </w:r>
      <w:r>
        <w:rPr>
          <w:rFonts w:ascii="Arial" w:hAnsi="Arial"/>
        </w:rPr>
        <w:tab/>
      </w:r>
    </w:p>
    <w:p w14:paraId="577F945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46ADB98">
      <w:pPr>
        <w:rPr>
          <w:rFonts w:ascii="Arial" w:hAnsi="Arial"/>
        </w:rPr>
      </w:pPr>
      <w:r>
        <w:rPr>
          <w:rFonts w:hint="eastAsia" w:ascii="Arial" w:hAnsi="Arial"/>
        </w:rPr>
        <w:t>买方：宁波中基国际招标有限公司</w:t>
      </w:r>
      <w:r>
        <w:rPr>
          <w:rFonts w:ascii="Arial" w:hAnsi="Arial"/>
        </w:rPr>
        <w:tab/>
      </w:r>
      <w:r>
        <w:rPr>
          <w:rFonts w:ascii="Arial" w:hAnsi="Arial"/>
        </w:rPr>
        <w:tab/>
      </w:r>
    </w:p>
    <w:p w14:paraId="22773814">
      <w:pPr>
        <w:rPr>
          <w:rFonts w:ascii="Arial" w:hAnsi="Arial"/>
        </w:rPr>
      </w:pPr>
      <w:r>
        <w:rPr>
          <w:rFonts w:ascii="Arial" w:hAnsi="Arial"/>
        </w:rPr>
        <w:t>The Buyer</w:t>
      </w:r>
      <w:r>
        <w:rPr>
          <w:rFonts w:hint="eastAsia" w:ascii="Arial" w:hAnsi="Arial"/>
        </w:rPr>
        <w:t>：</w:t>
      </w:r>
      <w:r>
        <w:rPr>
          <w:rFonts w:ascii="Arial" w:hAnsi="Arial"/>
        </w:rPr>
        <w:t xml:space="preserve">NINGBO </w:t>
      </w:r>
      <w:r>
        <w:rPr>
          <w:rFonts w:hint="eastAsia" w:ascii="Arial" w:hAnsi="Arial"/>
        </w:rPr>
        <w:t xml:space="preserve">CHINA-BASE </w:t>
      </w:r>
      <w:r>
        <w:rPr>
          <w:rFonts w:ascii="Arial" w:hAnsi="Arial"/>
        </w:rPr>
        <w:t>INTERNATIONAL TENDERING CO.,LTD.</w:t>
      </w:r>
      <w:r>
        <w:rPr>
          <w:rFonts w:ascii="Arial" w:hAnsi="Arial"/>
        </w:rPr>
        <w:tab/>
      </w:r>
    </w:p>
    <w:p w14:paraId="52AF1348">
      <w:pPr>
        <w:rPr>
          <w:rFonts w:ascii="Arial" w:hAnsi="Arial"/>
        </w:rPr>
      </w:pPr>
      <w:r>
        <w:rPr>
          <w:rFonts w:hint="eastAsia" w:ascii="Arial" w:hAnsi="Arial"/>
        </w:rPr>
        <w:t>地址：中国宁波市鄞州区天童南路666号</w:t>
      </w:r>
      <w:r>
        <w:rPr>
          <w:rFonts w:ascii="Arial" w:hAnsi="Arial"/>
        </w:rPr>
        <w:t>19</w:t>
      </w:r>
      <w:r>
        <w:rPr>
          <w:rFonts w:hint="eastAsia" w:ascii="Arial" w:hAnsi="Arial"/>
        </w:rPr>
        <w:t>楼</w:t>
      </w:r>
    </w:p>
    <w:p w14:paraId="21839DF4">
      <w:pPr>
        <w:snapToGrid w:val="0"/>
        <w:rPr>
          <w:rFonts w:ascii="Arial" w:hAnsi="Arial"/>
        </w:rPr>
      </w:pPr>
      <w:r>
        <w:rPr>
          <w:rFonts w:ascii="Arial" w:hAnsi="Arial"/>
        </w:rPr>
        <w:t>Address</w:t>
      </w:r>
      <w:r>
        <w:rPr>
          <w:rFonts w:hint="eastAsia" w:ascii="Arial" w:hAnsi="Arial"/>
        </w:rPr>
        <w:t>：</w:t>
      </w:r>
      <w:r>
        <w:rPr>
          <w:rFonts w:ascii="Arial" w:hAnsi="Arial"/>
        </w:rPr>
        <w:t xml:space="preserve">19 FLOOR, </w:t>
      </w:r>
      <w:r>
        <w:rPr>
          <w:rFonts w:hint="eastAsia" w:ascii="Arial" w:hAnsi="Arial"/>
        </w:rPr>
        <w:t>N</w:t>
      </w:r>
      <w:r>
        <w:rPr>
          <w:rFonts w:ascii="Arial" w:hAnsi="Arial"/>
        </w:rPr>
        <w:t>O</w:t>
      </w:r>
      <w:r>
        <w:rPr>
          <w:rFonts w:hint="eastAsia" w:ascii="Arial" w:hAnsi="Arial"/>
        </w:rPr>
        <w:t>. 666,</w:t>
      </w:r>
      <w:r>
        <w:rPr>
          <w:rFonts w:ascii="Arial" w:hAnsi="Arial"/>
        </w:rPr>
        <w:t xml:space="preserve"> </w:t>
      </w:r>
      <w:r>
        <w:rPr>
          <w:rFonts w:hint="eastAsia" w:ascii="Arial" w:hAnsi="Arial"/>
        </w:rPr>
        <w:t>TIAN TONG SOUTH ROAD,</w:t>
      </w:r>
      <w:r>
        <w:rPr>
          <w:rFonts w:ascii="Arial" w:hAnsi="Arial"/>
        </w:rPr>
        <w:t xml:space="preserve"> </w:t>
      </w:r>
      <w:r>
        <w:rPr>
          <w:rFonts w:hint="eastAsia" w:ascii="Arial" w:hAnsi="Arial"/>
        </w:rPr>
        <w:t>YINZHOU DISTRICT,</w:t>
      </w:r>
      <w:r>
        <w:rPr>
          <w:rFonts w:ascii="Arial" w:hAnsi="Arial"/>
        </w:rPr>
        <w:t xml:space="preserve"> </w:t>
      </w:r>
      <w:r>
        <w:rPr>
          <w:rFonts w:hint="eastAsia" w:ascii="Arial" w:hAnsi="Arial"/>
        </w:rPr>
        <w:t>NINGBO,</w:t>
      </w:r>
      <w:r>
        <w:rPr>
          <w:rFonts w:ascii="Arial" w:hAnsi="Arial"/>
        </w:rPr>
        <w:t xml:space="preserve"> </w:t>
      </w:r>
      <w:r>
        <w:rPr>
          <w:rFonts w:hint="eastAsia" w:ascii="Arial" w:hAnsi="Arial"/>
        </w:rPr>
        <w:t>CHINA</w:t>
      </w:r>
    </w:p>
    <w:p w14:paraId="514F6997">
      <w:pPr>
        <w:rPr>
          <w:rFonts w:ascii="Arial" w:hAnsi="Arial"/>
        </w:rPr>
      </w:pPr>
      <w:r>
        <w:rPr>
          <w:rFonts w:ascii="Arial" w:hAnsi="Arial"/>
        </w:rPr>
        <w:t>Tel</w:t>
      </w:r>
      <w:r>
        <w:rPr>
          <w:rFonts w:hint="eastAsia" w:ascii="Arial" w:hAnsi="Arial"/>
        </w:rPr>
        <w:t>：</w:t>
      </w:r>
      <w:r>
        <w:rPr>
          <w:rFonts w:ascii="Arial" w:hAnsi="Arial"/>
        </w:rPr>
        <w:t>(86 574)87</w:t>
      </w:r>
      <w:r>
        <w:rPr>
          <w:rFonts w:hint="eastAsia" w:ascii="Arial" w:hAnsi="Arial"/>
        </w:rPr>
        <w:t>425739</w:t>
      </w:r>
      <w:r>
        <w:rPr>
          <w:rFonts w:ascii="Arial" w:hAnsi="Arial"/>
        </w:rPr>
        <w:t>/</w:t>
      </w:r>
      <w:r>
        <w:rPr>
          <w:rFonts w:hint="eastAsia" w:ascii="Arial" w:hAnsi="Arial"/>
        </w:rPr>
        <w:t>15967846423</w:t>
      </w:r>
      <w:r>
        <w:rPr>
          <w:rFonts w:ascii="Arial" w:hAnsi="Arial"/>
        </w:rPr>
        <w:t xml:space="preserve"> Fax</w:t>
      </w:r>
      <w:r>
        <w:rPr>
          <w:rFonts w:hint="eastAsia" w:ascii="Arial" w:hAnsi="Arial"/>
        </w:rPr>
        <w:t>：</w:t>
      </w:r>
      <w:r>
        <w:rPr>
          <w:rFonts w:ascii="Arial" w:hAnsi="Arial"/>
        </w:rPr>
        <w:t>(86 574)87</w:t>
      </w:r>
      <w:r>
        <w:rPr>
          <w:rFonts w:hint="eastAsia" w:ascii="Arial" w:hAnsi="Arial"/>
        </w:rPr>
        <w:t>425</w:t>
      </w:r>
      <w:r>
        <w:rPr>
          <w:rFonts w:ascii="Arial" w:hAnsi="Arial"/>
        </w:rPr>
        <w:t>729</w:t>
      </w:r>
    </w:p>
    <w:p w14:paraId="6E92986D">
      <w:pPr>
        <w:rPr>
          <w:rFonts w:ascii="Arial" w:hAnsi="Arial"/>
        </w:rPr>
      </w:pPr>
    </w:p>
    <w:p w14:paraId="08EE6DE2">
      <w:pPr>
        <w:rPr>
          <w:rFonts w:ascii="Arial" w:hAnsi="Arial"/>
        </w:rPr>
      </w:pPr>
      <w:r>
        <w:rPr>
          <w:rFonts w:hint="eastAsia" w:ascii="Arial" w:hAnsi="Arial"/>
        </w:rPr>
        <w:t>卖方：X</w:t>
      </w:r>
      <w:r>
        <w:rPr>
          <w:rFonts w:ascii="Arial" w:hAnsi="Arial"/>
        </w:rPr>
        <w:t>XX</w:t>
      </w:r>
      <w:r>
        <w:rPr>
          <w:rFonts w:hint="eastAsia" w:ascii="Arial" w:hAnsi="Arial"/>
        </w:rPr>
        <w:t>有限公司</w:t>
      </w:r>
    </w:p>
    <w:p w14:paraId="3DFA3A50">
      <w:pPr>
        <w:rPr>
          <w:rFonts w:ascii="Arial" w:hAnsi="Arial"/>
        </w:rPr>
      </w:pPr>
      <w:r>
        <w:rPr>
          <w:rFonts w:ascii="Arial" w:hAnsi="Arial"/>
        </w:rPr>
        <w:t xml:space="preserve">The </w:t>
      </w:r>
      <w:r>
        <w:rPr>
          <w:rFonts w:hint="eastAsia" w:ascii="Arial" w:hAnsi="Arial"/>
        </w:rPr>
        <w:t>Selle</w:t>
      </w:r>
      <w:r>
        <w:rPr>
          <w:rFonts w:ascii="Arial" w:hAnsi="Arial"/>
        </w:rPr>
        <w:t>r</w:t>
      </w:r>
      <w:r>
        <w:rPr>
          <w:rFonts w:hint="eastAsia" w:ascii="Arial" w:hAnsi="Arial"/>
        </w:rPr>
        <w:t>：</w:t>
      </w:r>
      <w:r>
        <w:rPr>
          <w:rFonts w:ascii="Arial" w:hAnsi="Arial"/>
        </w:rPr>
        <w:t>XXXX</w:t>
      </w:r>
    </w:p>
    <w:p w14:paraId="439BE647">
      <w:pPr>
        <w:rPr>
          <w:rFonts w:ascii="Arial" w:hAnsi="Arial"/>
        </w:rPr>
      </w:pPr>
      <w:r>
        <w:rPr>
          <w:rFonts w:hint="eastAsia" w:ascii="Arial" w:hAnsi="Arial"/>
        </w:rPr>
        <w:t>地址：X</w:t>
      </w:r>
      <w:r>
        <w:rPr>
          <w:rFonts w:ascii="Arial" w:hAnsi="Arial"/>
        </w:rPr>
        <w:t>XXX</w:t>
      </w:r>
    </w:p>
    <w:p w14:paraId="4EDE1C1E">
      <w:pPr>
        <w:rPr>
          <w:rFonts w:ascii="Arial" w:hAnsi="Arial"/>
        </w:rPr>
      </w:pPr>
      <w:r>
        <w:rPr>
          <w:rFonts w:hint="eastAsia" w:ascii="Arial" w:hAnsi="Arial"/>
        </w:rPr>
        <w:t>Address：</w:t>
      </w:r>
      <w:r>
        <w:rPr>
          <w:rFonts w:ascii="Arial" w:hAnsi="Arial"/>
        </w:rPr>
        <w:t>XXXXX</w:t>
      </w:r>
    </w:p>
    <w:p w14:paraId="39E97B13">
      <w:pPr>
        <w:rPr>
          <w:rFonts w:ascii="Arial" w:hAnsi="Arial"/>
        </w:rPr>
      </w:pPr>
      <w:r>
        <w:rPr>
          <w:rFonts w:hint="eastAsia" w:ascii="Arial" w:hAnsi="Arial"/>
        </w:rPr>
        <w:t>TEL：</w:t>
      </w:r>
      <w:r>
        <w:rPr>
          <w:rFonts w:ascii="Arial" w:hAnsi="Arial"/>
        </w:rPr>
        <w:t>XXXX</w:t>
      </w:r>
      <w:r>
        <w:rPr>
          <w:rFonts w:hint="eastAsia" w:ascii="Arial" w:hAnsi="Arial"/>
        </w:rPr>
        <w:t xml:space="preserve">     FAX：</w:t>
      </w:r>
      <w:r>
        <w:rPr>
          <w:rFonts w:ascii="Arial" w:hAnsi="Arial"/>
        </w:rPr>
        <w:t>XXXX</w:t>
      </w:r>
    </w:p>
    <w:p w14:paraId="4D234904">
      <w:pPr>
        <w:rPr>
          <w:rFonts w:ascii="Arial" w:hAnsi="Arial"/>
        </w:rPr>
      </w:pPr>
    </w:p>
    <w:p w14:paraId="5DB4F25F">
      <w:pPr>
        <w:rPr>
          <w:rFonts w:ascii="Arial" w:hAnsi="Arial"/>
        </w:rPr>
      </w:pPr>
      <w:r>
        <w:rPr>
          <w:rFonts w:hint="eastAsia" w:ascii="Arial" w:hAnsi="Arial"/>
        </w:rPr>
        <w:t>最终用户：浙江大学宁波“五位一体”校区教育发展中心</w:t>
      </w:r>
    </w:p>
    <w:p w14:paraId="01C31124">
      <w:pPr>
        <w:rPr>
          <w:rFonts w:ascii="Arial" w:hAnsi="Arial"/>
        </w:rPr>
      </w:pPr>
      <w:r>
        <w:rPr>
          <w:rFonts w:hint="eastAsia" w:ascii="Arial" w:hAnsi="Arial"/>
        </w:rPr>
        <w:t>T</w:t>
      </w:r>
      <w:r>
        <w:rPr>
          <w:rFonts w:ascii="Arial" w:hAnsi="Arial"/>
        </w:rPr>
        <w:t>he End-user</w:t>
      </w:r>
      <w:r>
        <w:rPr>
          <w:rFonts w:hint="eastAsia" w:ascii="Arial" w:hAnsi="Arial"/>
        </w:rPr>
        <w:t>：</w:t>
      </w:r>
      <w:r>
        <w:rPr>
          <w:rFonts w:ascii="Arial" w:hAnsi="Arial"/>
        </w:rPr>
        <w:t>NINGBO INNOVATION CENTER, ZHEJIANG UNIVERSITY</w:t>
      </w:r>
    </w:p>
    <w:p w14:paraId="33753166">
      <w:pPr>
        <w:rPr>
          <w:rFonts w:ascii="Arial" w:hAnsi="Arial"/>
        </w:rPr>
      </w:pPr>
      <w:r>
        <w:rPr>
          <w:rFonts w:hint="eastAsia" w:ascii="Arial" w:hAnsi="Arial"/>
        </w:rPr>
        <w:t>地址：中国宁波市钱湖南路 1号</w:t>
      </w:r>
    </w:p>
    <w:p w14:paraId="31F4ED0D">
      <w:pPr>
        <w:rPr>
          <w:rFonts w:ascii="Arial" w:hAnsi="Arial"/>
        </w:rPr>
      </w:pPr>
      <w:r>
        <w:rPr>
          <w:rFonts w:ascii="Arial" w:hAnsi="Arial"/>
        </w:rPr>
        <w:t>Address</w:t>
      </w:r>
      <w:r>
        <w:rPr>
          <w:rFonts w:hint="eastAsia" w:ascii="Arial" w:hAnsi="Arial"/>
        </w:rPr>
        <w:t>：</w:t>
      </w:r>
      <w:r>
        <w:rPr>
          <w:rFonts w:ascii="Arial" w:hAnsi="Arial"/>
        </w:rPr>
        <w:t>NO.1 QIANHU SOUTH ROAD, NINGBO CHINA.</w:t>
      </w:r>
    </w:p>
    <w:p w14:paraId="1C36D1C8">
      <w:pPr>
        <w:rPr>
          <w:rFonts w:ascii="Arial" w:hAnsi="Arial"/>
        </w:rPr>
      </w:pPr>
      <w:r>
        <w:rPr>
          <w:rFonts w:hint="eastAsia" w:ascii="Arial" w:hAnsi="Arial"/>
        </w:rPr>
        <w:t>使用老师：X</w:t>
      </w:r>
      <w:r>
        <w:rPr>
          <w:rFonts w:ascii="Arial" w:hAnsi="Arial"/>
        </w:rPr>
        <w:t>XX</w:t>
      </w:r>
    </w:p>
    <w:p w14:paraId="7E1AB91F">
      <w:pPr>
        <w:rPr>
          <w:rFonts w:ascii="Arial" w:hAnsi="Arial"/>
        </w:rPr>
      </w:pPr>
    </w:p>
    <w:p w14:paraId="623CE7CD">
      <w:pPr>
        <w:rPr>
          <w:rFonts w:ascii="Arial" w:hAnsi="Arial"/>
        </w:rPr>
      </w:pPr>
      <w:r>
        <w:rPr>
          <w:rFonts w:hint="eastAsia" w:ascii="Arial" w:hAnsi="Arial"/>
        </w:rPr>
        <w:t>中标公司：X</w:t>
      </w:r>
      <w:r>
        <w:rPr>
          <w:rFonts w:ascii="Arial" w:hAnsi="Arial"/>
        </w:rPr>
        <w:t>XX</w:t>
      </w:r>
      <w:r>
        <w:rPr>
          <w:rFonts w:hint="eastAsia" w:ascii="Arial" w:hAnsi="Arial"/>
        </w:rPr>
        <w:t xml:space="preserve">有限公司 </w:t>
      </w:r>
    </w:p>
    <w:p w14:paraId="559581F5">
      <w:pPr>
        <w:rPr>
          <w:rFonts w:ascii="Arial" w:hAnsi="Arial"/>
        </w:rPr>
      </w:pPr>
      <w:r>
        <w:rPr>
          <w:rFonts w:hint="eastAsia" w:ascii="Arial" w:hAnsi="Arial"/>
        </w:rPr>
        <w:t>Bid Winner：X</w:t>
      </w:r>
      <w:r>
        <w:rPr>
          <w:rFonts w:ascii="Arial" w:hAnsi="Arial"/>
        </w:rPr>
        <w:t>XX</w:t>
      </w:r>
    </w:p>
    <w:p w14:paraId="63A76FB7">
      <w:pPr>
        <w:rPr>
          <w:rFonts w:ascii="Arial" w:hAnsi="Arial"/>
        </w:rPr>
      </w:pPr>
      <w:r>
        <w:rPr>
          <w:rFonts w:hint="eastAsia" w:ascii="Arial" w:hAnsi="Arial"/>
        </w:rPr>
        <w:t>联系人/电话：X</w:t>
      </w:r>
      <w:r>
        <w:rPr>
          <w:rFonts w:ascii="Arial" w:hAnsi="Arial"/>
        </w:rPr>
        <w:t>XX</w:t>
      </w:r>
    </w:p>
    <w:p w14:paraId="2975A5E9">
      <w:pPr>
        <w:tabs>
          <w:tab w:val="left" w:pos="5748"/>
        </w:tabs>
        <w:rPr>
          <w:rFonts w:ascii="Arial" w:hAnsi="Arial"/>
        </w:rPr>
      </w:pPr>
    </w:p>
    <w:p w14:paraId="216A9ABD">
      <w:pPr>
        <w:rPr>
          <w:rFonts w:ascii="Arial" w:hAnsi="Arial"/>
        </w:rPr>
      </w:pPr>
      <w:r>
        <w:rPr>
          <w:rFonts w:hint="eastAsia" w:ascii="Arial" w:hAnsi="Arial"/>
        </w:rPr>
        <w:t>本合同由买方、卖方、中标公司和最终用户共同缔结，根据本合同规定的条款，买方和最终用户同意购买，卖方同意出售下述商品：</w:t>
      </w:r>
    </w:p>
    <w:p w14:paraId="11BEF5E4">
      <w:pPr>
        <w:rPr>
          <w:rFonts w:ascii="Arial" w:hAnsi="Arial"/>
        </w:rPr>
      </w:pPr>
      <w:r>
        <w:rPr>
          <w:rFonts w:ascii="Arial" w:hAnsi="Arial"/>
        </w:rPr>
        <w:t>This contract is made by and between the Buyer</w:t>
      </w:r>
      <w:r>
        <w:rPr>
          <w:rFonts w:hint="eastAsia" w:ascii="Arial" w:hAnsi="Arial"/>
        </w:rPr>
        <w:t>s/End-user,</w:t>
      </w:r>
      <w:r>
        <w:rPr>
          <w:rFonts w:ascii="Arial" w:hAnsi="Arial"/>
        </w:rPr>
        <w:t xml:space="preserve"> </w:t>
      </w:r>
      <w:r>
        <w:rPr>
          <w:rFonts w:hint="eastAsia" w:ascii="Arial" w:hAnsi="Arial"/>
        </w:rPr>
        <w:t>the g</w:t>
      </w:r>
      <w:r>
        <w:rPr>
          <w:rFonts w:ascii="Arial" w:hAnsi="Arial"/>
        </w:rPr>
        <w:t xml:space="preserve">ot bid company and Sellers, Whereby the Buyers </w:t>
      </w:r>
      <w:r>
        <w:rPr>
          <w:rFonts w:hint="eastAsia" w:ascii="Arial" w:hAnsi="Arial"/>
        </w:rPr>
        <w:t>/End-user</w:t>
      </w:r>
      <w:r>
        <w:rPr>
          <w:rFonts w:ascii="Arial" w:hAnsi="Arial"/>
        </w:rPr>
        <w:t xml:space="preserve"> agrees to buy and the Sellers agree to sell the under-mentioned commodity according to the terms and conditions stipulated below:</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1440"/>
        <w:gridCol w:w="1800"/>
        <w:gridCol w:w="1980"/>
      </w:tblGrid>
      <w:tr w14:paraId="16B7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Borders>
              <w:top w:val="single" w:color="auto" w:sz="4" w:space="0"/>
              <w:left w:val="single" w:color="auto" w:sz="4" w:space="0"/>
              <w:bottom w:val="single" w:color="auto" w:sz="4" w:space="0"/>
              <w:right w:val="single" w:color="auto" w:sz="4" w:space="0"/>
            </w:tcBorders>
          </w:tcPr>
          <w:p w14:paraId="65EBEC44">
            <w:pPr>
              <w:jc w:val="left"/>
              <w:rPr>
                <w:rFonts w:ascii="Arial" w:hAnsi="Arial"/>
              </w:rPr>
            </w:pPr>
            <w:r>
              <w:rPr>
                <w:rFonts w:ascii="Arial" w:hAnsi="Arial"/>
              </w:rPr>
              <w:t>(1)</w:t>
            </w:r>
            <w:r>
              <w:rPr>
                <w:rFonts w:hint="eastAsia" w:ascii="Arial" w:hAnsi="Arial"/>
              </w:rPr>
              <w:t>货名及规格</w:t>
            </w:r>
          </w:p>
          <w:p w14:paraId="26D3CEA3">
            <w:pPr>
              <w:jc w:val="left"/>
              <w:rPr>
                <w:rFonts w:ascii="Arial" w:hAnsi="Arial"/>
              </w:rPr>
            </w:pPr>
            <w:r>
              <w:rPr>
                <w:rFonts w:ascii="Arial" w:hAnsi="Arial"/>
              </w:rPr>
              <w:t>Commodity &amp; Specifications</w:t>
            </w:r>
          </w:p>
        </w:tc>
        <w:tc>
          <w:tcPr>
            <w:tcW w:w="1440" w:type="dxa"/>
            <w:tcBorders>
              <w:top w:val="single" w:color="auto" w:sz="4" w:space="0"/>
              <w:left w:val="single" w:color="auto" w:sz="4" w:space="0"/>
              <w:bottom w:val="single" w:color="auto" w:sz="4" w:space="0"/>
              <w:right w:val="single" w:color="auto" w:sz="4" w:space="0"/>
            </w:tcBorders>
          </w:tcPr>
          <w:p w14:paraId="26AB0634">
            <w:pPr>
              <w:ind w:left="210" w:hanging="210"/>
              <w:jc w:val="left"/>
              <w:rPr>
                <w:rFonts w:ascii="Arial" w:hAnsi="Arial"/>
              </w:rPr>
            </w:pPr>
            <w:r>
              <w:rPr>
                <w:rFonts w:ascii="Arial" w:hAnsi="Arial"/>
              </w:rPr>
              <w:t>(2)</w:t>
            </w:r>
            <w:r>
              <w:rPr>
                <w:rFonts w:hint="eastAsia" w:ascii="Arial" w:hAnsi="Arial"/>
              </w:rPr>
              <w:t>数量</w:t>
            </w:r>
          </w:p>
          <w:p w14:paraId="0A19BB35">
            <w:pPr>
              <w:ind w:left="210" w:hanging="210"/>
              <w:jc w:val="left"/>
              <w:rPr>
                <w:rFonts w:ascii="Arial" w:hAnsi="Arial"/>
              </w:rPr>
            </w:pPr>
            <w:r>
              <w:rPr>
                <w:rFonts w:ascii="Arial" w:hAnsi="Arial"/>
              </w:rPr>
              <w:t>Quantity</w:t>
            </w:r>
          </w:p>
        </w:tc>
        <w:tc>
          <w:tcPr>
            <w:tcW w:w="1800" w:type="dxa"/>
            <w:tcBorders>
              <w:top w:val="single" w:color="auto" w:sz="4" w:space="0"/>
              <w:left w:val="single" w:color="auto" w:sz="4" w:space="0"/>
              <w:bottom w:val="single" w:color="auto" w:sz="4" w:space="0"/>
              <w:right w:val="single" w:color="auto" w:sz="4" w:space="0"/>
            </w:tcBorders>
          </w:tcPr>
          <w:p w14:paraId="182F8A37">
            <w:pPr>
              <w:jc w:val="left"/>
              <w:rPr>
                <w:rFonts w:ascii="Arial" w:hAnsi="Arial"/>
              </w:rPr>
            </w:pPr>
            <w:r>
              <w:rPr>
                <w:rFonts w:ascii="Arial" w:hAnsi="Arial"/>
              </w:rPr>
              <w:t>(3)</w:t>
            </w:r>
            <w:r>
              <w:rPr>
                <w:rFonts w:hint="eastAsia" w:ascii="Arial" w:hAnsi="Arial"/>
              </w:rPr>
              <w:t>单价</w:t>
            </w:r>
          </w:p>
          <w:p w14:paraId="72D62F07">
            <w:pPr>
              <w:jc w:val="left"/>
              <w:rPr>
                <w:rFonts w:ascii="Arial" w:hAnsi="Arial"/>
              </w:rPr>
            </w:pPr>
            <w:r>
              <w:rPr>
                <w:rFonts w:ascii="Arial" w:hAnsi="Arial"/>
              </w:rPr>
              <w:t>Unit Price</w:t>
            </w:r>
          </w:p>
        </w:tc>
        <w:tc>
          <w:tcPr>
            <w:tcW w:w="1980" w:type="dxa"/>
            <w:tcBorders>
              <w:top w:val="single" w:color="auto" w:sz="4" w:space="0"/>
              <w:left w:val="single" w:color="auto" w:sz="4" w:space="0"/>
              <w:bottom w:val="single" w:color="auto" w:sz="4" w:space="0"/>
              <w:right w:val="single" w:color="auto" w:sz="4" w:space="0"/>
            </w:tcBorders>
          </w:tcPr>
          <w:p w14:paraId="1DD71196">
            <w:pPr>
              <w:jc w:val="left"/>
              <w:rPr>
                <w:rFonts w:ascii="Arial" w:hAnsi="Arial"/>
              </w:rPr>
            </w:pPr>
            <w:r>
              <w:rPr>
                <w:rFonts w:ascii="Arial" w:hAnsi="Arial"/>
              </w:rPr>
              <w:t>(4)</w:t>
            </w:r>
            <w:r>
              <w:rPr>
                <w:rFonts w:hint="eastAsia" w:ascii="Arial" w:hAnsi="Arial"/>
              </w:rPr>
              <w:t>总价</w:t>
            </w:r>
          </w:p>
          <w:p w14:paraId="5ECA6CA6">
            <w:pPr>
              <w:jc w:val="left"/>
              <w:rPr>
                <w:rFonts w:ascii="Arial" w:hAnsi="Arial"/>
              </w:rPr>
            </w:pPr>
            <w:r>
              <w:rPr>
                <w:rFonts w:ascii="Arial" w:hAnsi="Arial"/>
              </w:rPr>
              <w:t>Total Amount</w:t>
            </w:r>
          </w:p>
        </w:tc>
      </w:tr>
      <w:tr w14:paraId="6937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780" w:type="dxa"/>
            <w:tcBorders>
              <w:top w:val="single" w:color="auto" w:sz="4" w:space="0"/>
              <w:left w:val="single" w:color="auto" w:sz="4" w:space="0"/>
              <w:bottom w:val="single" w:color="auto" w:sz="4" w:space="0"/>
              <w:right w:val="single" w:color="auto" w:sz="4" w:space="0"/>
            </w:tcBorders>
            <w:vAlign w:val="center"/>
          </w:tcPr>
          <w:p w14:paraId="07D0AFCB">
            <w:pPr>
              <w:adjustRightInd w:val="0"/>
              <w:spacing w:line="220" w:lineRule="atLeast"/>
              <w:jc w:val="left"/>
              <w:rPr>
                <w:rFonts w:ascii="Arial" w:hAnsi="Arial"/>
              </w:rPr>
            </w:pPr>
            <w:r>
              <w:rPr>
                <w:rFonts w:hint="eastAsia" w:ascii="Arial" w:hAnsi="Arial"/>
              </w:rPr>
              <w:t>X</w:t>
            </w:r>
            <w:r>
              <w:rPr>
                <w:rFonts w:ascii="Arial" w:hAnsi="Arial"/>
              </w:rPr>
              <w:t>XX</w:t>
            </w:r>
          </w:p>
          <w:p w14:paraId="6BF4B24B">
            <w:pPr>
              <w:adjustRightInd w:val="0"/>
              <w:spacing w:line="220" w:lineRule="atLeast"/>
              <w:jc w:val="left"/>
              <w:rPr>
                <w:rFonts w:ascii="Arial" w:hAnsi="Arial"/>
              </w:rPr>
            </w:pPr>
            <w:r>
              <w:rPr>
                <w:rFonts w:hint="eastAsia" w:ascii="Arial" w:hAnsi="Arial"/>
              </w:rPr>
              <w:t>型号：X</w:t>
            </w:r>
            <w:r>
              <w:rPr>
                <w:rFonts w:ascii="Arial" w:hAnsi="Arial"/>
              </w:rPr>
              <w:t>XX</w:t>
            </w:r>
          </w:p>
          <w:p w14:paraId="2568E640">
            <w:pPr>
              <w:adjustRightInd w:val="0"/>
              <w:spacing w:line="220" w:lineRule="atLeast"/>
              <w:jc w:val="left"/>
              <w:rPr>
                <w:rFonts w:ascii="Arial" w:hAnsi="Arial"/>
              </w:rPr>
            </w:pPr>
            <w:r>
              <w:rPr>
                <w:rFonts w:hint="eastAsia" w:ascii="Arial" w:hAnsi="Arial"/>
              </w:rPr>
              <w:t>英文品名：X</w:t>
            </w:r>
            <w:r>
              <w:rPr>
                <w:rFonts w:ascii="Arial" w:hAnsi="Arial"/>
              </w:rPr>
              <w:t>XX</w:t>
            </w:r>
          </w:p>
        </w:tc>
        <w:tc>
          <w:tcPr>
            <w:tcW w:w="1440" w:type="dxa"/>
            <w:tcBorders>
              <w:top w:val="single" w:color="auto" w:sz="4" w:space="0"/>
              <w:left w:val="single" w:color="auto" w:sz="4" w:space="0"/>
              <w:bottom w:val="single" w:color="auto" w:sz="4" w:space="0"/>
              <w:right w:val="single" w:color="auto" w:sz="4" w:space="0"/>
            </w:tcBorders>
            <w:vAlign w:val="center"/>
          </w:tcPr>
          <w:p w14:paraId="4455FA98">
            <w:pPr>
              <w:spacing w:line="300" w:lineRule="auto"/>
              <w:jc w:val="center"/>
              <w:rPr>
                <w:rFonts w:ascii="Arial" w:hAnsi="Arial"/>
              </w:rPr>
            </w:pPr>
            <w:r>
              <w:rPr>
                <w:rFonts w:hint="eastAsia" w:ascii="Arial" w:hAnsi="Arial"/>
              </w:rPr>
              <w:t>1 SET</w:t>
            </w:r>
          </w:p>
        </w:tc>
        <w:tc>
          <w:tcPr>
            <w:tcW w:w="1800" w:type="dxa"/>
            <w:tcBorders>
              <w:top w:val="single" w:color="auto" w:sz="4" w:space="0"/>
              <w:left w:val="single" w:color="auto" w:sz="4" w:space="0"/>
              <w:bottom w:val="single" w:color="auto" w:sz="4" w:space="0"/>
              <w:right w:val="single" w:color="auto" w:sz="4" w:space="0"/>
            </w:tcBorders>
            <w:vAlign w:val="center"/>
          </w:tcPr>
          <w:p w14:paraId="317B6ECA">
            <w:pPr>
              <w:adjustRightInd w:val="0"/>
              <w:spacing w:line="220" w:lineRule="atLeast"/>
              <w:jc w:val="center"/>
              <w:rPr>
                <w:rFonts w:ascii="Arial" w:hAnsi="Arial"/>
              </w:rPr>
            </w:pPr>
            <w:r>
              <w:rPr>
                <w:rFonts w:hint="eastAsia" w:ascii="Arial" w:hAnsi="Arial"/>
              </w:rPr>
              <w:t>USDX</w:t>
            </w:r>
            <w:r>
              <w:rPr>
                <w:rFonts w:ascii="Arial" w:hAnsi="Arial"/>
              </w:rPr>
              <w:t>XX.00</w:t>
            </w:r>
          </w:p>
        </w:tc>
        <w:tc>
          <w:tcPr>
            <w:tcW w:w="1980" w:type="dxa"/>
            <w:tcBorders>
              <w:top w:val="single" w:color="auto" w:sz="4" w:space="0"/>
              <w:left w:val="single" w:color="auto" w:sz="4" w:space="0"/>
              <w:bottom w:val="single" w:color="auto" w:sz="4" w:space="0"/>
              <w:right w:val="single" w:color="auto" w:sz="4" w:space="0"/>
            </w:tcBorders>
            <w:vAlign w:val="center"/>
          </w:tcPr>
          <w:p w14:paraId="6755FF7E">
            <w:pPr>
              <w:jc w:val="center"/>
              <w:rPr>
                <w:rFonts w:ascii="Arial" w:hAnsi="Arial"/>
              </w:rPr>
            </w:pPr>
            <w:r>
              <w:rPr>
                <w:rFonts w:hint="eastAsia" w:ascii="Arial" w:hAnsi="Arial"/>
              </w:rPr>
              <w:t>USDX</w:t>
            </w:r>
            <w:r>
              <w:rPr>
                <w:rFonts w:ascii="Arial" w:hAnsi="Arial"/>
              </w:rPr>
              <w:t>XX.00</w:t>
            </w:r>
          </w:p>
        </w:tc>
      </w:tr>
      <w:tr w14:paraId="3994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3780" w:type="dxa"/>
            <w:tcBorders>
              <w:top w:val="single" w:color="auto" w:sz="4" w:space="0"/>
              <w:left w:val="single" w:color="auto" w:sz="4" w:space="0"/>
              <w:bottom w:val="single" w:color="auto" w:sz="4" w:space="0"/>
              <w:right w:val="single" w:color="auto" w:sz="4" w:space="0"/>
            </w:tcBorders>
            <w:vAlign w:val="center"/>
          </w:tcPr>
          <w:p w14:paraId="0CD95757">
            <w:pPr>
              <w:rPr>
                <w:rFonts w:ascii="Arial" w:hAnsi="Arial"/>
              </w:rPr>
            </w:pPr>
            <w:r>
              <w:rPr>
                <w:rFonts w:hint="eastAsia" w:ascii="Arial" w:hAnsi="Arial"/>
              </w:rPr>
              <w:t>合同总价：CIP浙江大学宁波“五位一体”校区教育发展中心</w:t>
            </w:r>
          </w:p>
          <w:p w14:paraId="08F852EA">
            <w:pPr>
              <w:rPr>
                <w:rFonts w:ascii="Arial" w:hAnsi="Arial"/>
              </w:rPr>
            </w:pPr>
            <w:r>
              <w:rPr>
                <w:rFonts w:ascii="Arial" w:hAnsi="Arial"/>
              </w:rPr>
              <w:t>TOTAL PRICE</w:t>
            </w:r>
            <w:r>
              <w:rPr>
                <w:rFonts w:hint="eastAsia" w:ascii="Arial" w:hAnsi="Arial"/>
              </w:rPr>
              <w:t>：C</w:t>
            </w:r>
            <w:r>
              <w:rPr>
                <w:rFonts w:ascii="Arial" w:hAnsi="Arial"/>
              </w:rPr>
              <w:t>IP NINGBO INNOVATION CENTER, ZHEJIANG UNIVERSITY</w:t>
            </w:r>
          </w:p>
        </w:tc>
        <w:tc>
          <w:tcPr>
            <w:tcW w:w="5220" w:type="dxa"/>
            <w:gridSpan w:val="3"/>
            <w:tcBorders>
              <w:top w:val="single" w:color="auto" w:sz="4" w:space="0"/>
              <w:left w:val="single" w:color="auto" w:sz="4" w:space="0"/>
              <w:bottom w:val="single" w:color="auto" w:sz="4" w:space="0"/>
              <w:right w:val="single" w:color="auto" w:sz="4" w:space="0"/>
            </w:tcBorders>
          </w:tcPr>
          <w:p w14:paraId="3991983A">
            <w:pPr>
              <w:rPr>
                <w:rFonts w:ascii="Arial" w:hAnsi="Arial"/>
              </w:rPr>
            </w:pPr>
            <w:r>
              <w:rPr>
                <w:rFonts w:hint="eastAsia" w:ascii="Arial" w:hAnsi="Arial"/>
              </w:rPr>
              <w:t>美元X</w:t>
            </w:r>
            <w:r>
              <w:rPr>
                <w:rFonts w:ascii="Arial" w:hAnsi="Arial"/>
              </w:rPr>
              <w:t>XX</w:t>
            </w:r>
            <w:r>
              <w:rPr>
                <w:rFonts w:hint="eastAsia" w:ascii="Arial" w:hAnsi="Arial"/>
              </w:rPr>
              <w:t>元整(USDX</w:t>
            </w:r>
            <w:r>
              <w:rPr>
                <w:rFonts w:ascii="Arial" w:hAnsi="Arial"/>
              </w:rPr>
              <w:t>XX.00</w:t>
            </w:r>
            <w:r>
              <w:rPr>
                <w:rFonts w:hint="eastAsia" w:ascii="Arial" w:hAnsi="Arial"/>
              </w:rPr>
              <w:t>)</w:t>
            </w:r>
          </w:p>
          <w:p w14:paraId="2189ABE9">
            <w:pPr>
              <w:rPr>
                <w:rFonts w:ascii="Arial" w:hAnsi="Arial"/>
              </w:rPr>
            </w:pPr>
            <w:r>
              <w:rPr>
                <w:rFonts w:hint="eastAsia" w:ascii="Arial" w:hAnsi="Arial"/>
              </w:rPr>
              <w:t>SAY U.S.</w:t>
            </w:r>
            <w:r>
              <w:rPr>
                <w:rFonts w:ascii="Arial" w:hAnsi="Arial"/>
              </w:rPr>
              <w:t xml:space="preserve"> </w:t>
            </w:r>
            <w:r>
              <w:rPr>
                <w:rFonts w:hint="eastAsia" w:ascii="Arial" w:hAnsi="Arial"/>
              </w:rPr>
              <w:t>DOLLARS</w:t>
            </w:r>
            <w:r>
              <w:rPr>
                <w:rFonts w:ascii="Arial" w:hAnsi="Arial"/>
              </w:rPr>
              <w:t xml:space="preserve"> </w:t>
            </w:r>
            <w:r>
              <w:rPr>
                <w:rFonts w:hint="eastAsia" w:ascii="Arial" w:hAnsi="Arial"/>
              </w:rPr>
              <w:t>X</w:t>
            </w:r>
            <w:r>
              <w:rPr>
                <w:rFonts w:ascii="Arial" w:hAnsi="Arial"/>
              </w:rPr>
              <w:t>XX</w:t>
            </w:r>
            <w:r>
              <w:rPr>
                <w:rFonts w:hint="eastAsia" w:ascii="Arial" w:hAnsi="Arial"/>
              </w:rPr>
              <w:t xml:space="preserve"> ONLY. </w:t>
            </w:r>
          </w:p>
        </w:tc>
      </w:tr>
    </w:tbl>
    <w:p w14:paraId="1A4A9E62">
      <w:pPr>
        <w:rPr>
          <w:rFonts w:ascii="Arial" w:hAnsi="Arial"/>
        </w:rPr>
      </w:pPr>
      <w:r>
        <w:rPr>
          <w:rFonts w:ascii="Arial" w:hAnsi="Arial"/>
        </w:rPr>
        <w:t>(</w:t>
      </w:r>
      <w:r>
        <w:rPr>
          <w:rFonts w:hint="eastAsia" w:ascii="Arial" w:hAnsi="Arial"/>
        </w:rPr>
        <w:t>5</w:t>
      </w:r>
      <w:r>
        <w:rPr>
          <w:rFonts w:ascii="Arial" w:hAnsi="Arial"/>
        </w:rPr>
        <w:t>)</w:t>
      </w:r>
      <w:r>
        <w:rPr>
          <w:rFonts w:hint="eastAsia" w:ascii="Arial" w:hAnsi="Arial"/>
        </w:rPr>
        <w:t>生产地和制造厂商：德国/徕卡</w:t>
      </w:r>
    </w:p>
    <w:p w14:paraId="3BAAE3E7">
      <w:pPr>
        <w:rPr>
          <w:rFonts w:ascii="Arial" w:hAnsi="Arial"/>
        </w:rPr>
      </w:pPr>
      <w:r>
        <w:rPr>
          <w:rFonts w:ascii="Arial" w:hAnsi="Arial"/>
        </w:rPr>
        <w:t>COUNTRY OF ORIGIN &amp; MANUFACTURERS</w:t>
      </w:r>
      <w:r>
        <w:rPr>
          <w:rFonts w:hint="eastAsia" w:ascii="Arial" w:hAnsi="Arial"/>
        </w:rPr>
        <w:t>：</w:t>
      </w:r>
      <w:r>
        <w:rPr>
          <w:rFonts w:ascii="Arial" w:hAnsi="Arial"/>
        </w:rPr>
        <w:t>GERMANY/</w:t>
      </w:r>
      <w:r>
        <w:rPr>
          <w:rFonts w:hint="eastAsia" w:ascii="Arial" w:hAnsi="Arial"/>
        </w:rPr>
        <w:t>LEICA</w:t>
      </w:r>
    </w:p>
    <w:p w14:paraId="25F5E7A4">
      <w:pPr>
        <w:rPr>
          <w:rFonts w:ascii="Arial" w:hAnsi="Arial"/>
        </w:rPr>
      </w:pPr>
      <w:r>
        <w:rPr>
          <w:rFonts w:ascii="Arial" w:hAnsi="Arial"/>
        </w:rPr>
        <w:t>(6)</w:t>
      </w:r>
      <w:r>
        <w:rPr>
          <w:rFonts w:hint="eastAsia" w:ascii="Arial" w:hAnsi="Arial"/>
        </w:rPr>
        <w:t>装运期限及方式：收到信用证后</w:t>
      </w:r>
      <w:r>
        <w:rPr>
          <w:rFonts w:ascii="Arial" w:hAnsi="Arial"/>
        </w:rPr>
        <w:t>2</w:t>
      </w:r>
      <w:r>
        <w:rPr>
          <w:rFonts w:hint="eastAsia" w:ascii="Arial" w:hAnsi="Arial"/>
        </w:rPr>
        <w:t>个月内/空运</w:t>
      </w:r>
    </w:p>
    <w:p w14:paraId="65C4466F">
      <w:pPr>
        <w:rPr>
          <w:rFonts w:ascii="Arial" w:hAnsi="Arial"/>
        </w:rPr>
      </w:pPr>
      <w:r>
        <w:rPr>
          <w:rFonts w:ascii="Arial" w:hAnsi="Arial"/>
        </w:rPr>
        <w:t>TIME OF SHIPMENT</w:t>
      </w:r>
      <w:r>
        <w:rPr>
          <w:rFonts w:hint="eastAsia" w:ascii="Arial" w:hAnsi="Arial"/>
        </w:rPr>
        <w:t xml:space="preserve">：Within </w:t>
      </w:r>
      <w:r>
        <w:rPr>
          <w:rFonts w:ascii="Arial" w:hAnsi="Arial"/>
        </w:rPr>
        <w:t>2</w:t>
      </w:r>
      <w:r>
        <w:rPr>
          <w:rFonts w:hint="eastAsia" w:ascii="Arial" w:hAnsi="Arial"/>
        </w:rPr>
        <w:t xml:space="preserve"> months after receiving LC/</w:t>
      </w:r>
      <w:r>
        <w:rPr>
          <w:rFonts w:ascii="Arial" w:hAnsi="Arial"/>
        </w:rPr>
        <w:t xml:space="preserve">By </w:t>
      </w:r>
      <w:r>
        <w:rPr>
          <w:rFonts w:hint="eastAsia" w:ascii="Arial" w:hAnsi="Arial"/>
        </w:rPr>
        <w:t>AIR</w:t>
      </w:r>
    </w:p>
    <w:p w14:paraId="35CEF195">
      <w:pPr>
        <w:rPr>
          <w:rFonts w:ascii="Arial" w:hAnsi="Arial"/>
        </w:rPr>
      </w:pPr>
      <w:r>
        <w:rPr>
          <w:rFonts w:ascii="Arial" w:hAnsi="Arial"/>
        </w:rPr>
        <w:t>(7)</w:t>
      </w:r>
      <w:r>
        <w:rPr>
          <w:rFonts w:hint="eastAsia" w:ascii="Arial" w:hAnsi="Arial"/>
        </w:rPr>
        <w:t>装运口岸：德国主要机场</w:t>
      </w:r>
    </w:p>
    <w:p w14:paraId="5F16B220">
      <w:pPr>
        <w:rPr>
          <w:rFonts w:ascii="Arial" w:hAnsi="Arial"/>
        </w:rPr>
      </w:pPr>
      <w:r>
        <w:rPr>
          <w:rFonts w:ascii="Arial" w:hAnsi="Arial"/>
        </w:rPr>
        <w:t>PORT OF SHIPMENT</w:t>
      </w:r>
      <w:r>
        <w:rPr>
          <w:rFonts w:hint="eastAsia" w:ascii="Arial" w:hAnsi="Arial"/>
        </w:rPr>
        <w:t>：</w:t>
      </w:r>
      <w:r>
        <w:rPr>
          <w:rFonts w:ascii="Arial" w:hAnsi="Arial"/>
        </w:rPr>
        <w:t>GERMANY</w:t>
      </w:r>
      <w:r>
        <w:rPr>
          <w:rFonts w:hint="eastAsia" w:ascii="Arial" w:hAnsi="Arial"/>
        </w:rPr>
        <w:t xml:space="preserve"> </w:t>
      </w:r>
      <w:r>
        <w:rPr>
          <w:rFonts w:ascii="Arial" w:hAnsi="Arial"/>
        </w:rPr>
        <w:t>MAIN AIRPORT</w:t>
      </w:r>
    </w:p>
    <w:p w14:paraId="04BC5D08">
      <w:pPr>
        <w:rPr>
          <w:rFonts w:ascii="Arial" w:hAnsi="Arial"/>
        </w:rPr>
      </w:pPr>
      <w:r>
        <w:rPr>
          <w:rFonts w:ascii="Arial" w:hAnsi="Arial"/>
        </w:rPr>
        <w:t>(8)</w:t>
      </w:r>
      <w:r>
        <w:rPr>
          <w:rFonts w:hint="eastAsia" w:ascii="Arial" w:hAnsi="Arial"/>
        </w:rPr>
        <w:t>到货口岸：宁波机场</w:t>
      </w:r>
    </w:p>
    <w:p w14:paraId="4949A27E">
      <w:pPr>
        <w:rPr>
          <w:rFonts w:ascii="Arial" w:hAnsi="Arial"/>
        </w:rPr>
      </w:pPr>
      <w:r>
        <w:rPr>
          <w:rFonts w:ascii="Arial" w:hAnsi="Arial"/>
        </w:rPr>
        <w:t>PORT OF DESTINATION</w:t>
      </w:r>
      <w:r>
        <w:rPr>
          <w:rFonts w:hint="eastAsia" w:ascii="Arial" w:hAnsi="Arial"/>
        </w:rPr>
        <w:t>：NINGBO AIRPORT</w:t>
      </w:r>
    </w:p>
    <w:p w14:paraId="28EBAA85">
      <w:pPr>
        <w:jc w:val="left"/>
        <w:rPr>
          <w:rFonts w:ascii="Arial" w:hAnsi="Arial"/>
        </w:rPr>
      </w:pPr>
      <w:r>
        <w:rPr>
          <w:rFonts w:ascii="Arial" w:hAnsi="Arial"/>
        </w:rPr>
        <w:t>(9)</w:t>
      </w:r>
      <w:r>
        <w:rPr>
          <w:rFonts w:hint="eastAsia" w:ascii="Arial" w:hAnsi="Arial"/>
        </w:rPr>
        <w:t xml:space="preserve">保险：由卖方投保    目的地： 浙江大学宁波“五位一体”校区教育发展中心 </w:t>
      </w:r>
      <w:r>
        <w:rPr>
          <w:rFonts w:ascii="Arial" w:hAnsi="Arial"/>
        </w:rPr>
        <w:t xml:space="preserve"> 买方负责联系报关，卖方负责由机场到学校的运输保险、卸货事宜。</w:t>
      </w:r>
    </w:p>
    <w:p w14:paraId="73F9759F">
      <w:pPr>
        <w:jc w:val="left"/>
        <w:rPr>
          <w:rFonts w:ascii="Arial" w:hAnsi="Arial"/>
        </w:rPr>
      </w:pPr>
      <w:r>
        <w:rPr>
          <w:rFonts w:ascii="Arial" w:hAnsi="Arial"/>
        </w:rPr>
        <w:t>INSURANCE</w:t>
      </w:r>
      <w:r>
        <w:rPr>
          <w:rFonts w:hint="eastAsia" w:ascii="Arial" w:hAnsi="Arial"/>
        </w:rPr>
        <w:t>：</w:t>
      </w:r>
      <w:r>
        <w:rPr>
          <w:rFonts w:ascii="Arial" w:hAnsi="Arial"/>
        </w:rPr>
        <w:t>To be covered by the seller</w:t>
      </w:r>
      <w:r>
        <w:rPr>
          <w:rFonts w:hint="eastAsia" w:ascii="Arial" w:hAnsi="Arial"/>
        </w:rPr>
        <w:t xml:space="preserve">  D</w:t>
      </w:r>
      <w:r>
        <w:rPr>
          <w:rFonts w:ascii="Arial" w:hAnsi="Arial"/>
        </w:rPr>
        <w:t>estination</w:t>
      </w:r>
      <w:r>
        <w:rPr>
          <w:rFonts w:hint="eastAsia" w:ascii="Arial" w:hAnsi="Arial"/>
        </w:rPr>
        <w:t>：</w:t>
      </w:r>
      <w:r>
        <w:rPr>
          <w:rFonts w:ascii="Arial" w:hAnsi="Arial"/>
        </w:rPr>
        <w:t xml:space="preserve"> Warehouse to NINGBO INNOVATION CENTER, ZHEJIANG UNIVERSITY</w:t>
      </w:r>
      <w:r>
        <w:rPr>
          <w:rFonts w:hint="eastAsia" w:ascii="Arial" w:hAnsi="Arial"/>
        </w:rPr>
        <w:t>.</w:t>
      </w:r>
      <w:r>
        <w:rPr>
          <w:rFonts w:ascii="Arial" w:hAnsi="Arial"/>
        </w:rPr>
        <w:t xml:space="preserve"> The Buyer will handle the customs clearance and the seller will handle local delivery from the airport to the University and the unloading</w:t>
      </w:r>
    </w:p>
    <w:p w14:paraId="442255A3">
      <w:pPr>
        <w:rPr>
          <w:rFonts w:ascii="Arial" w:hAnsi="Arial"/>
        </w:rPr>
      </w:pPr>
      <w:r>
        <w:rPr>
          <w:rFonts w:ascii="Arial" w:hAnsi="Arial"/>
        </w:rPr>
        <w:t>(10)</w:t>
      </w:r>
      <w:r>
        <w:rPr>
          <w:rFonts w:hint="eastAsia" w:ascii="Arial" w:hAnsi="Arial"/>
        </w:rPr>
        <w:t>包装：须用坚固的纸箱或木箱包装，适合长途运输，防潮、防湿、防潮、耐粗暴搬运。由于包装不良所发生的损失，由于采用不充分或不妥善的防护措施而造成的损失，卖方应负担由此而产生的一切费用和</w:t>
      </w:r>
      <w:r>
        <w:rPr>
          <w:rFonts w:ascii="Arial" w:hAnsi="Arial"/>
        </w:rPr>
        <w:t>/</w:t>
      </w:r>
      <w:r>
        <w:rPr>
          <w:rFonts w:hint="eastAsia" w:ascii="Arial" w:hAnsi="Arial"/>
        </w:rPr>
        <w:t>或损失。如果因包装箱的质量问题或单证不全原因引起的滞港，卖方应负担所有的费用和损失。</w:t>
      </w:r>
    </w:p>
    <w:p w14:paraId="743C383C">
      <w:pPr>
        <w:rPr>
          <w:rFonts w:ascii="Arial" w:hAnsi="Arial"/>
        </w:rPr>
      </w:pPr>
      <w:r>
        <w:rPr>
          <w:rFonts w:ascii="Arial" w:hAnsi="Arial"/>
        </w:rPr>
        <w:t>PACKING</w:t>
      </w:r>
      <w:r>
        <w:rPr>
          <w:rFonts w:hint="eastAsia" w:ascii="Arial" w:hAnsi="Arial"/>
        </w:rPr>
        <w:t>：</w:t>
      </w:r>
      <w:r>
        <w:rPr>
          <w:rFonts w:ascii="Arial" w:hAnsi="Arial"/>
        </w:rPr>
        <w:t xml:space="preserve">To be packed in strong carton(s) </w:t>
      </w:r>
      <w:r>
        <w:rPr>
          <w:rFonts w:hint="eastAsia" w:ascii="Arial" w:hAnsi="Arial"/>
        </w:rPr>
        <w:t xml:space="preserve">or wooden carton(s) </w:t>
      </w:r>
      <w:r>
        <w:rPr>
          <w:rFonts w:ascii="Arial" w:hAnsi="Arial"/>
        </w:rPr>
        <w:t>suitable for long distance  transportation and well protected against dampness, moisture, shock, rust and rough handling. The Sellers shall be liable for any damage to the goods on account of improper packing and for any rust damage attributable to inadequate or improper protective measures taken by the Sellers,</w:t>
      </w:r>
      <w:r>
        <w:rPr>
          <w:rFonts w:hint="eastAsia" w:ascii="Arial" w:hAnsi="Arial"/>
        </w:rPr>
        <w:t xml:space="preserve"> </w:t>
      </w:r>
      <w:r>
        <w:rPr>
          <w:rFonts w:ascii="Arial" w:hAnsi="Arial"/>
        </w:rPr>
        <w:t>and in such case or cases any and all losses and/or expenses incurred in consequence thereof shall be borne by the Sellers.</w:t>
      </w:r>
      <w:r>
        <w:rPr>
          <w:rFonts w:hint="eastAsia" w:ascii="Arial" w:hAnsi="Arial"/>
        </w:rPr>
        <w:t xml:space="preserve"> Any losses and expenses of port </w:t>
      </w:r>
      <w:r>
        <w:rPr>
          <w:rFonts w:ascii="Arial" w:hAnsi="Arial"/>
        </w:rPr>
        <w:t>resort</w:t>
      </w:r>
      <w:r>
        <w:rPr>
          <w:rFonts w:hint="eastAsia" w:ascii="Arial" w:hAnsi="Arial"/>
        </w:rPr>
        <w:t xml:space="preserve"> that be caused by packing problem or document is not complete should be borne by the sellers.</w:t>
      </w:r>
    </w:p>
    <w:p w14:paraId="454656D3">
      <w:pPr>
        <w:rPr>
          <w:rFonts w:ascii="Arial" w:hAnsi="Arial"/>
        </w:rPr>
      </w:pPr>
      <w:r>
        <w:rPr>
          <w:rFonts w:ascii="Arial" w:hAnsi="Arial"/>
        </w:rPr>
        <w:t>(11)</w:t>
      </w:r>
      <w:r>
        <w:rPr>
          <w:rFonts w:hint="eastAsia" w:ascii="Arial" w:hAnsi="Arial"/>
        </w:rPr>
        <w:t>唛头：卖方应在每件包装上，用不褪色油墨清楚地标刷件号、尺码、毛重、净重、</w:t>
      </w:r>
      <w:r>
        <w:rPr>
          <w:rFonts w:ascii="Arial" w:hAnsi="Arial"/>
        </w:rPr>
        <w:t>“</w:t>
      </w:r>
      <w:r>
        <w:rPr>
          <w:rFonts w:hint="eastAsia" w:ascii="Arial" w:hAnsi="Arial"/>
        </w:rPr>
        <w:t>此端向上</w:t>
      </w:r>
      <w:r>
        <w:rPr>
          <w:rFonts w:ascii="Arial" w:hAnsi="Arial"/>
        </w:rPr>
        <w:t>”“</w:t>
      </w:r>
      <w:r>
        <w:rPr>
          <w:rFonts w:hint="eastAsia" w:ascii="Arial" w:hAnsi="Arial"/>
        </w:rPr>
        <w:t>小心轻放</w:t>
      </w:r>
      <w:r>
        <w:rPr>
          <w:rFonts w:ascii="Arial" w:hAnsi="Arial"/>
        </w:rPr>
        <w:t>”“</w:t>
      </w:r>
      <w:r>
        <w:rPr>
          <w:rFonts w:hint="eastAsia" w:ascii="Arial" w:hAnsi="Arial"/>
        </w:rPr>
        <w:t>切勿受潮</w:t>
      </w:r>
      <w:r>
        <w:rPr>
          <w:rFonts w:ascii="Arial" w:hAnsi="Arial"/>
        </w:rPr>
        <w:t>”</w:t>
      </w:r>
      <w:r>
        <w:rPr>
          <w:rFonts w:hint="eastAsia" w:ascii="Arial" w:hAnsi="Arial"/>
        </w:rPr>
        <w:t>等字样，并刷下列唛头：</w:t>
      </w:r>
    </w:p>
    <w:p w14:paraId="367DAE66">
      <w:pPr>
        <w:rPr>
          <w:rFonts w:ascii="Arial" w:hAnsi="Arial"/>
        </w:rPr>
      </w:pPr>
      <w:r>
        <w:rPr>
          <w:rFonts w:ascii="Arial" w:hAnsi="Arial"/>
        </w:rPr>
        <w:t>SHIPPING MARK</w:t>
      </w:r>
      <w:r>
        <w:rPr>
          <w:rFonts w:hint="eastAsia" w:ascii="Arial" w:hAnsi="Arial"/>
        </w:rPr>
        <w:t>：</w:t>
      </w:r>
      <w:r>
        <w:rPr>
          <w:rFonts w:ascii="Arial" w:hAnsi="Arial"/>
        </w:rPr>
        <w:t>On the surface of each package, the package number, measurements, gross weight, net weight, the lifting positions, such cautions as “ DO NOT STACK UP SIDE DOWN ”, “ HANDLE WITH CARE”, “ KEEP AWAY FROM MOISTURE ” and the following shipping mark shall be stencilled legibly in fadeless paint:</w:t>
      </w:r>
    </w:p>
    <w:p w14:paraId="0E985F6A">
      <w:pPr>
        <w:ind w:firstLine="2100" w:firstLineChars="1000"/>
        <w:rPr>
          <w:rFonts w:ascii="Arial" w:hAnsi="Arial"/>
        </w:rPr>
      </w:pPr>
      <w:r>
        <w:rPr>
          <w:rFonts w:ascii="Arial" w:hAnsi="Arial"/>
        </w:rPr>
        <w:t xml:space="preserve">    CNT22-07-510-X</w:t>
      </w:r>
    </w:p>
    <w:p w14:paraId="06912F9E">
      <w:pPr>
        <w:rPr>
          <w:rFonts w:ascii="Arial" w:hAnsi="Arial"/>
          <w:i/>
        </w:rPr>
      </w:pPr>
      <w:r>
        <w:rPr>
          <w:rFonts w:hint="eastAsia" w:ascii="Arial" w:hAnsi="Arial"/>
          <w:i/>
        </w:rPr>
        <w:t xml:space="preserve">                      -----------------------------</w:t>
      </w:r>
    </w:p>
    <w:p w14:paraId="0ADC662A">
      <w:pPr>
        <w:rPr>
          <w:rFonts w:ascii="Arial" w:hAnsi="Arial"/>
          <w:i/>
        </w:rPr>
      </w:pPr>
      <w:r>
        <w:rPr>
          <w:rFonts w:hint="eastAsia" w:ascii="Arial" w:hAnsi="Arial"/>
          <w:i/>
        </w:rPr>
        <w:t xml:space="preserve">                        NINGBO CHINA</w:t>
      </w:r>
    </w:p>
    <w:p w14:paraId="444821B7">
      <w:pPr>
        <w:rPr>
          <w:rFonts w:ascii="Arial" w:hAnsi="Arial"/>
        </w:rPr>
      </w:pPr>
      <w:r>
        <w:rPr>
          <w:rFonts w:ascii="Arial" w:hAnsi="Arial"/>
        </w:rPr>
        <w:t>(12)</w:t>
      </w:r>
      <w:r>
        <w:rPr>
          <w:rFonts w:hint="eastAsia" w:ascii="Arial" w:hAnsi="Arial"/>
        </w:rPr>
        <w:t>付款条件：100%不可撤销即期信用证。其中90%(USD</w:t>
      </w:r>
      <w:r>
        <w:rPr>
          <w:rFonts w:ascii="Arial" w:hAnsi="Arial"/>
        </w:rPr>
        <w:t>XXX</w:t>
      </w:r>
      <w:r>
        <w:rPr>
          <w:rFonts w:hint="eastAsia" w:ascii="Arial" w:hAnsi="Arial"/>
        </w:rPr>
        <w:t>.</w:t>
      </w:r>
      <w:r>
        <w:rPr>
          <w:rFonts w:ascii="Arial" w:hAnsi="Arial"/>
        </w:rPr>
        <w:t>0</w:t>
      </w:r>
      <w:r>
        <w:rPr>
          <w:rFonts w:hint="eastAsia" w:ascii="Arial" w:hAnsi="Arial"/>
        </w:rPr>
        <w:t>0)凭货运单据收取(单据见第13款)，10%(USD</w:t>
      </w:r>
      <w:r>
        <w:rPr>
          <w:rFonts w:ascii="Arial" w:hAnsi="Arial"/>
        </w:rPr>
        <w:t>XXX</w:t>
      </w:r>
      <w:r>
        <w:rPr>
          <w:rFonts w:hint="eastAsia" w:ascii="Arial" w:hAnsi="Arial"/>
        </w:rPr>
        <w:t>.</w:t>
      </w:r>
      <w:r>
        <w:rPr>
          <w:rFonts w:ascii="Arial" w:hAnsi="Arial"/>
        </w:rPr>
        <w:t>0</w:t>
      </w:r>
      <w:r>
        <w:rPr>
          <w:rFonts w:hint="eastAsia" w:ascii="Arial" w:hAnsi="Arial"/>
        </w:rPr>
        <w:t>0)</w:t>
      </w:r>
      <w:r>
        <w:rPr>
          <w:rFonts w:ascii="Arial" w:hAnsi="Arial"/>
        </w:rPr>
        <w:t>凭盖有“</w:t>
      </w:r>
      <w:r>
        <w:rPr>
          <w:rFonts w:hint="eastAsia" w:ascii="Arial" w:hAnsi="Arial"/>
        </w:rPr>
        <w:t>浙江大学宁波“五位一体”校区教育发展中心</w:t>
      </w:r>
      <w:r>
        <w:rPr>
          <w:rFonts w:ascii="Arial" w:hAnsi="Arial"/>
        </w:rPr>
        <w:t>”</w:t>
      </w:r>
      <w:r>
        <w:rPr>
          <w:rFonts w:hint="eastAsia" w:ascii="Arial" w:hAnsi="Arial"/>
        </w:rPr>
        <w:t>公章</w:t>
      </w:r>
      <w:r>
        <w:rPr>
          <w:rFonts w:ascii="Arial" w:hAnsi="Arial"/>
        </w:rPr>
        <w:t>的货物验收合格报告收取。</w:t>
      </w:r>
      <w:r>
        <w:rPr>
          <w:rFonts w:hint="eastAsia" w:ascii="Arial" w:hAnsi="Arial"/>
        </w:rPr>
        <w:t xml:space="preserve">  </w:t>
      </w:r>
    </w:p>
    <w:p w14:paraId="1E4235C3">
      <w:pPr>
        <w:rPr>
          <w:rFonts w:ascii="Arial" w:hAnsi="Arial"/>
        </w:rPr>
      </w:pPr>
      <w:r>
        <w:rPr>
          <w:rFonts w:ascii="Arial" w:hAnsi="Arial"/>
        </w:rPr>
        <w:t>TERMS OF PAYMENT</w:t>
      </w:r>
      <w:r>
        <w:rPr>
          <w:rFonts w:hint="eastAsia" w:ascii="Arial" w:hAnsi="Arial"/>
        </w:rPr>
        <w:t>：</w:t>
      </w:r>
      <w:r>
        <w:rPr>
          <w:rFonts w:ascii="Arial" w:hAnsi="Arial"/>
        </w:rPr>
        <w:t>The Buyers</w:t>
      </w:r>
      <w:r>
        <w:rPr>
          <w:rFonts w:hint="eastAsia" w:ascii="Arial" w:hAnsi="Arial"/>
        </w:rPr>
        <w:t xml:space="preserve"> shall</w:t>
      </w:r>
      <w:r>
        <w:rPr>
          <w:rFonts w:ascii="Arial" w:hAnsi="Arial"/>
        </w:rPr>
        <w:t xml:space="preserve"> open an irrevocable</w:t>
      </w:r>
      <w:r>
        <w:rPr>
          <w:rFonts w:hint="eastAsia" w:ascii="Arial" w:hAnsi="Arial"/>
        </w:rPr>
        <w:t xml:space="preserve"> </w:t>
      </w:r>
      <w:r>
        <w:rPr>
          <w:rFonts w:ascii="Arial" w:hAnsi="Arial"/>
        </w:rPr>
        <w:t>letter of credit in favor of the Sellers, for the total value of shipment.</w:t>
      </w:r>
      <w:r>
        <w:rPr>
          <w:rFonts w:hint="eastAsia" w:ascii="Arial" w:hAnsi="Arial"/>
        </w:rPr>
        <w:t xml:space="preserve"> </w:t>
      </w:r>
      <w:r>
        <w:rPr>
          <w:rFonts w:hint="eastAsia" w:ascii="Arial" w:hAnsi="Arial"/>
          <w:b/>
        </w:rPr>
        <w:t xml:space="preserve">100% </w:t>
      </w:r>
      <w:r>
        <w:rPr>
          <w:rFonts w:ascii="Arial" w:hAnsi="Arial"/>
        </w:rPr>
        <w:t xml:space="preserve">against Sellers' </w:t>
      </w:r>
      <w:r>
        <w:rPr>
          <w:rFonts w:hint="eastAsia" w:ascii="Arial" w:hAnsi="Arial"/>
        </w:rPr>
        <w:t>original shipping documents</w:t>
      </w:r>
      <w:r>
        <w:rPr>
          <w:rFonts w:ascii="Arial" w:hAnsi="Arial"/>
        </w:rPr>
        <w:t xml:space="preserve"> drawn at sight on the opening bank for</w:t>
      </w:r>
      <w:r>
        <w:rPr>
          <w:rFonts w:hint="eastAsia" w:ascii="Arial" w:hAnsi="Arial"/>
        </w:rPr>
        <w:t xml:space="preserve"> </w:t>
      </w:r>
      <w:r>
        <w:rPr>
          <w:rFonts w:hint="eastAsia" w:ascii="Arial" w:hAnsi="Arial"/>
          <w:b/>
        </w:rPr>
        <w:t>90%</w:t>
      </w:r>
      <w:r>
        <w:rPr>
          <w:rFonts w:hint="eastAsia" w:ascii="Arial" w:hAnsi="Arial"/>
        </w:rPr>
        <w:t>(USD</w:t>
      </w:r>
      <w:r>
        <w:rPr>
          <w:rFonts w:ascii="Arial" w:hAnsi="Arial"/>
        </w:rPr>
        <w:t>XXX</w:t>
      </w:r>
      <w:r>
        <w:rPr>
          <w:rFonts w:hint="eastAsia" w:ascii="Arial" w:hAnsi="Arial"/>
        </w:rPr>
        <w:t>.</w:t>
      </w:r>
      <w:r>
        <w:rPr>
          <w:rFonts w:ascii="Arial" w:hAnsi="Arial"/>
        </w:rPr>
        <w:t>0</w:t>
      </w:r>
      <w:r>
        <w:rPr>
          <w:rFonts w:hint="eastAsia" w:ascii="Arial" w:hAnsi="Arial"/>
        </w:rPr>
        <w:t>0)</w:t>
      </w:r>
      <w:r>
        <w:rPr>
          <w:rFonts w:ascii="Arial" w:hAnsi="Arial"/>
        </w:rPr>
        <w:t xml:space="preserve"> invoice value accompanied by the shipping documents specified in Clause </w:t>
      </w:r>
      <w:r>
        <w:rPr>
          <w:rFonts w:hint="eastAsia" w:ascii="Arial" w:hAnsi="Arial"/>
        </w:rPr>
        <w:t>13</w:t>
      </w:r>
      <w:r>
        <w:rPr>
          <w:rFonts w:ascii="Arial" w:hAnsi="Arial"/>
        </w:rPr>
        <w:t xml:space="preserve"> hereof. </w:t>
      </w:r>
      <w:r>
        <w:rPr>
          <w:rFonts w:hint="eastAsia" w:ascii="Arial" w:hAnsi="Arial"/>
        </w:rPr>
        <w:t xml:space="preserve">The </w:t>
      </w:r>
      <w:r>
        <w:rPr>
          <w:rFonts w:ascii="Arial" w:hAnsi="Arial"/>
        </w:rPr>
        <w:t>remaining</w:t>
      </w:r>
      <w:r>
        <w:rPr>
          <w:rFonts w:hint="eastAsia" w:ascii="Arial" w:hAnsi="Arial"/>
        </w:rPr>
        <w:t xml:space="preserve"> </w:t>
      </w:r>
      <w:r>
        <w:rPr>
          <w:rFonts w:hint="eastAsia" w:ascii="Arial" w:hAnsi="Arial"/>
          <w:b/>
        </w:rPr>
        <w:t xml:space="preserve">10% </w:t>
      </w:r>
      <w:r>
        <w:rPr>
          <w:rFonts w:hint="eastAsia" w:ascii="Arial" w:hAnsi="Arial"/>
        </w:rPr>
        <w:t>(USD</w:t>
      </w:r>
      <w:r>
        <w:rPr>
          <w:rFonts w:ascii="Arial" w:hAnsi="Arial"/>
        </w:rPr>
        <w:t>XXX</w:t>
      </w:r>
      <w:r>
        <w:rPr>
          <w:rFonts w:hint="eastAsia" w:ascii="Arial" w:hAnsi="Arial"/>
        </w:rPr>
        <w:t>.</w:t>
      </w:r>
      <w:r>
        <w:rPr>
          <w:rFonts w:ascii="Arial" w:hAnsi="Arial"/>
        </w:rPr>
        <w:t>0</w:t>
      </w:r>
      <w:r>
        <w:rPr>
          <w:rFonts w:hint="eastAsia" w:ascii="Arial" w:hAnsi="Arial"/>
        </w:rPr>
        <w:t>0)</w:t>
      </w:r>
      <w:r>
        <w:rPr>
          <w:rFonts w:ascii="Arial" w:hAnsi="Arial"/>
        </w:rPr>
        <w:t xml:space="preserve"> </w:t>
      </w:r>
      <w:r>
        <w:rPr>
          <w:rFonts w:hint="eastAsia" w:ascii="Arial" w:hAnsi="Arial"/>
        </w:rPr>
        <w:t>against Final Acceptance Certificate signed</w:t>
      </w:r>
      <w:r>
        <w:rPr>
          <w:rFonts w:ascii="Arial" w:hAnsi="Arial"/>
        </w:rPr>
        <w:t xml:space="preserve"> and stamped</w:t>
      </w:r>
      <w:r>
        <w:rPr>
          <w:rFonts w:hint="eastAsia" w:ascii="Arial" w:hAnsi="Arial"/>
        </w:rPr>
        <w:t xml:space="preserve"> by the End-user </w:t>
      </w:r>
      <w:r>
        <w:rPr>
          <w:rFonts w:ascii="Arial" w:hAnsi="Arial"/>
        </w:rPr>
        <w:t>(WAREHOUSING STAMP FOR NINGBO INNOVATION CENTER, ZHEJIANG UNIVERSITY) that the goods are in conformity with the stipulation of the contract</w:t>
      </w:r>
      <w:r>
        <w:rPr>
          <w:rFonts w:hint="eastAsia" w:ascii="Arial" w:hAnsi="Arial"/>
        </w:rPr>
        <w:t>.</w:t>
      </w:r>
    </w:p>
    <w:p w14:paraId="6D1529DE">
      <w:pPr>
        <w:rPr>
          <w:rFonts w:ascii="Arial" w:hAnsi="Arial"/>
        </w:rPr>
      </w:pPr>
      <w:r>
        <w:rPr>
          <w:rFonts w:ascii="Arial" w:hAnsi="Arial"/>
        </w:rPr>
        <w:t>(13)</w:t>
      </w:r>
      <w:r>
        <w:rPr>
          <w:rFonts w:hint="eastAsia" w:ascii="Arial" w:hAnsi="Arial"/>
        </w:rPr>
        <w:t>付款单据</w:t>
      </w:r>
      <w:r>
        <w:rPr>
          <w:rFonts w:ascii="Arial" w:hAnsi="Arial"/>
        </w:rPr>
        <w:t xml:space="preserve">Payments Documents: </w:t>
      </w:r>
    </w:p>
    <w:p w14:paraId="5FF4140C">
      <w:pPr>
        <w:rPr>
          <w:rFonts w:ascii="Arial" w:hAnsi="Arial"/>
          <w:u w:val="single"/>
        </w:rPr>
      </w:pPr>
      <w:r>
        <w:rPr>
          <w:rFonts w:hint="eastAsia" w:ascii="Arial" w:hAnsi="Arial"/>
        </w:rPr>
        <w:t>在信用证付款方式下，卖方应在发货后向付款行递交以下付款单据。</w:t>
      </w:r>
    </w:p>
    <w:p w14:paraId="31B1E781">
      <w:pPr>
        <w:pStyle w:val="19"/>
        <w:spacing w:after="240"/>
        <w:ind w:firstLine="480"/>
        <w:rPr>
          <w:rFonts w:hint="eastAsia"/>
        </w:rPr>
      </w:pPr>
      <w:r>
        <w:t>Under the payment method of L/C, the seller shall submit the following documents to the paying bank for payment purpose after the seller has effected the shipment:</w:t>
      </w:r>
    </w:p>
    <w:p w14:paraId="110AFCDC">
      <w:pPr>
        <w:autoSpaceDE w:val="0"/>
        <w:autoSpaceDN w:val="0"/>
        <w:adjustRightInd w:val="0"/>
        <w:ind w:left="-2" w:leftChars="-4" w:hanging="6" w:hangingChars="3"/>
        <w:jc w:val="left"/>
        <w:rPr>
          <w:rFonts w:ascii="Arial" w:hAnsi="Arial" w:cs="Arial"/>
        </w:rPr>
      </w:pPr>
      <w:r>
        <w:rPr>
          <w:rFonts w:hint="eastAsia" w:ascii="Arial" w:hAnsi="Arial"/>
        </w:rPr>
        <w:t>1)全套</w:t>
      </w:r>
      <w:r>
        <w:rPr>
          <w:rFonts w:hint="eastAsia" w:ascii="Arial" w:hAnsi="Arial" w:cs="Arial"/>
        </w:rPr>
        <w:t>空运提单正本，</w:t>
      </w:r>
      <w:r>
        <w:rPr>
          <w:rFonts w:hint="eastAsia" w:ascii="Arial" w:hAnsi="Arial" w:cs="Arial"/>
          <w:kern w:val="0"/>
          <w:lang w:val="zh-CN"/>
        </w:rPr>
        <w:t>但不接受货代出的代理提单.</w:t>
      </w:r>
      <w:r>
        <w:rPr>
          <w:rFonts w:hint="eastAsia" w:ascii="Arial" w:hAnsi="Arial"/>
        </w:rPr>
        <w:t>主运单上的收货人必须是买方。</w:t>
      </w:r>
    </w:p>
    <w:p w14:paraId="6D9331DA">
      <w:pPr>
        <w:rPr>
          <w:rFonts w:ascii="Arial" w:hAnsi="Arial" w:cs="Arial"/>
        </w:rPr>
      </w:pPr>
      <w:r>
        <w:rPr>
          <w:rFonts w:hint="eastAsia" w:ascii="Arial" w:hAnsi="Arial"/>
        </w:rPr>
        <w:t>Full set airway bill</w:t>
      </w:r>
      <w:r>
        <w:rPr>
          <w:rFonts w:hint="eastAsia" w:ascii="Arial" w:hAnsi="Arial" w:cs="Arial"/>
        </w:rPr>
        <w:t>,</w:t>
      </w:r>
      <w:r>
        <w:rPr>
          <w:rFonts w:ascii="Arial" w:hAnsi="Arial" w:cs="Arial"/>
        </w:rPr>
        <w:t xml:space="preserve"> B</w:t>
      </w:r>
      <w:r>
        <w:rPr>
          <w:rFonts w:hint="eastAsia" w:ascii="Arial" w:hAnsi="Arial" w:cs="Arial"/>
        </w:rPr>
        <w:t xml:space="preserve">ut </w:t>
      </w:r>
      <w:r>
        <w:rPr>
          <w:rFonts w:ascii="Arial" w:hAnsi="Arial" w:cs="Arial"/>
          <w:kern w:val="0"/>
        </w:rPr>
        <w:t>not House B/L.</w:t>
      </w:r>
      <w:r>
        <w:rPr>
          <w:rFonts w:hint="eastAsia" w:ascii="Arial" w:hAnsi="Arial" w:cs="Arial"/>
          <w:kern w:val="0"/>
        </w:rPr>
        <w:t xml:space="preserve"> The consignee on the original bill of lading must be same as the buyer.</w:t>
      </w:r>
    </w:p>
    <w:p w14:paraId="42EC5F4C">
      <w:pPr>
        <w:rPr>
          <w:rFonts w:ascii="Arial" w:hAnsi="Arial"/>
        </w:rPr>
      </w:pPr>
      <w:r>
        <w:rPr>
          <w:rFonts w:ascii="Arial" w:hAnsi="Arial"/>
        </w:rPr>
        <w:t>2)</w:t>
      </w:r>
      <w:r>
        <w:rPr>
          <w:rFonts w:hint="eastAsia" w:ascii="Arial" w:hAnsi="Arial"/>
        </w:rPr>
        <w:t>伍份正本署名商业发票。发票应注明合同号码和最终用户的信息。</w:t>
      </w:r>
    </w:p>
    <w:p w14:paraId="0110BE0E">
      <w:pPr>
        <w:widowControl/>
        <w:jc w:val="left"/>
        <w:rPr>
          <w:rFonts w:ascii="Arial" w:hAnsi="Arial"/>
        </w:rPr>
      </w:pPr>
      <w:r>
        <w:rPr>
          <w:rFonts w:ascii="Arial" w:hAnsi="Arial"/>
        </w:rPr>
        <w:t>Signed Commercial Invoices in five originals indicating Contract No. and End-user information.</w:t>
      </w:r>
    </w:p>
    <w:p w14:paraId="7A57D196">
      <w:pPr>
        <w:rPr>
          <w:rFonts w:ascii="Arial" w:hAnsi="Arial"/>
        </w:rPr>
      </w:pPr>
      <w:r>
        <w:rPr>
          <w:rFonts w:ascii="Arial" w:hAnsi="Arial"/>
        </w:rPr>
        <w:t>3)</w:t>
      </w:r>
      <w:r>
        <w:rPr>
          <w:rFonts w:hint="eastAsia" w:ascii="Arial" w:hAnsi="Arial"/>
        </w:rPr>
        <w:t>伍份正本装箱单。装箱单应注明合同号码和唛头。</w:t>
      </w:r>
    </w:p>
    <w:p w14:paraId="161051AB">
      <w:pPr>
        <w:rPr>
          <w:rFonts w:ascii="Arial" w:hAnsi="Arial"/>
        </w:rPr>
      </w:pPr>
      <w:r>
        <w:rPr>
          <w:rFonts w:ascii="Arial" w:hAnsi="Arial"/>
        </w:rPr>
        <w:t>Packing list in</w:t>
      </w:r>
      <w:r>
        <w:rPr>
          <w:rFonts w:hint="eastAsia" w:ascii="Arial" w:hAnsi="Arial"/>
        </w:rPr>
        <w:t xml:space="preserve"> five</w:t>
      </w:r>
      <w:r>
        <w:rPr>
          <w:rFonts w:ascii="Arial" w:hAnsi="Arial"/>
        </w:rPr>
        <w:t xml:space="preserve"> originals (Contract No. and shipping mark should be indicated in the packing list)</w:t>
      </w:r>
      <w:r>
        <w:rPr>
          <w:rFonts w:hint="eastAsia" w:ascii="Arial" w:hAnsi="Arial"/>
        </w:rPr>
        <w:t xml:space="preserve"> </w:t>
      </w:r>
    </w:p>
    <w:p w14:paraId="0B19DAFA">
      <w:pPr>
        <w:rPr>
          <w:rFonts w:ascii="Arial" w:hAnsi="Arial"/>
        </w:rPr>
      </w:pPr>
      <w:r>
        <w:rPr>
          <w:rFonts w:ascii="Arial" w:hAnsi="Arial"/>
        </w:rPr>
        <w:t>4)</w:t>
      </w:r>
      <w:r>
        <w:rPr>
          <w:rFonts w:hint="eastAsia" w:ascii="Arial" w:hAnsi="Arial"/>
        </w:rPr>
        <w:t>投保金额为合同总额110％，投保一切险和战争险的保险单或保险认证。</w:t>
      </w:r>
    </w:p>
    <w:p w14:paraId="79F251BA">
      <w:pPr>
        <w:rPr>
          <w:rFonts w:ascii="Arial" w:hAnsi="Arial"/>
        </w:rPr>
      </w:pPr>
      <w:r>
        <w:rPr>
          <w:rFonts w:ascii="Arial" w:hAnsi="Arial"/>
        </w:rPr>
        <w:t>Insurance Policy/Certificate covering 110% of Total Price of Contract (invoice value) covering all risks</w:t>
      </w:r>
      <w:r>
        <w:rPr>
          <w:rFonts w:hint="eastAsia" w:ascii="Arial" w:hAnsi="Arial"/>
        </w:rPr>
        <w:t xml:space="preserve"> and war risk</w:t>
      </w:r>
      <w:r>
        <w:rPr>
          <w:rFonts w:ascii="Arial" w:hAnsi="Arial"/>
        </w:rPr>
        <w:t>.</w:t>
      </w:r>
    </w:p>
    <w:p w14:paraId="60365384">
      <w:pPr>
        <w:pStyle w:val="19"/>
        <w:spacing w:after="240"/>
        <w:ind w:firstLine="480"/>
        <w:rPr>
          <w:rFonts w:hint="eastAsia"/>
        </w:rPr>
      </w:pPr>
      <w:r>
        <w:rPr>
          <w:rFonts w:hint="eastAsia"/>
        </w:rPr>
        <w:t>5)由制造厂签发的质量和数量</w:t>
      </w:r>
      <w:r>
        <w:t>/</w:t>
      </w:r>
      <w:r>
        <w:rPr>
          <w:rFonts w:hint="eastAsia"/>
        </w:rPr>
        <w:t>重量证明书及检验报告正本各壹份。</w:t>
      </w:r>
    </w:p>
    <w:p w14:paraId="1F2ECE0A">
      <w:pPr>
        <w:rPr>
          <w:rFonts w:ascii="Arial" w:hAnsi="Arial"/>
        </w:rPr>
      </w:pPr>
      <w:r>
        <w:rPr>
          <w:rFonts w:ascii="Arial" w:hAnsi="Arial"/>
        </w:rPr>
        <w:t xml:space="preserve">Certificate of Quality and Quantity/Weight and Testing Report, each in </w:t>
      </w:r>
      <w:r>
        <w:rPr>
          <w:rFonts w:hint="eastAsia" w:ascii="Arial" w:hAnsi="Arial" w:cs="Arial"/>
          <w:kern w:val="0"/>
        </w:rPr>
        <w:t>original</w:t>
      </w:r>
      <w:r>
        <w:rPr>
          <w:rFonts w:ascii="Arial" w:hAnsi="Arial"/>
        </w:rPr>
        <w:t>, issued by the manufacturer.</w:t>
      </w:r>
    </w:p>
    <w:p w14:paraId="61A31C5D">
      <w:pPr>
        <w:ind w:right="178" w:rightChars="85"/>
        <w:rPr>
          <w:rFonts w:ascii="Arial" w:hAnsi="Arial"/>
        </w:rPr>
      </w:pPr>
      <w:r>
        <w:rPr>
          <w:rFonts w:hint="eastAsia" w:ascii="Arial" w:hAnsi="Arial"/>
        </w:rPr>
        <w:t>6)由制造商（卖方）提供一份非木质包装声明，如果货物包装有木托、木垫等木质包装材料，必须加施热处理或熏蒸的IPPC标识，并提供一份书面说明。</w:t>
      </w:r>
    </w:p>
    <w:p w14:paraId="4984079B">
      <w:pPr>
        <w:ind w:right="178" w:rightChars="85"/>
        <w:rPr>
          <w:rFonts w:ascii="Arial" w:hAnsi="Arial"/>
        </w:rPr>
      </w:pPr>
      <w:r>
        <w:rPr>
          <w:rFonts w:hint="eastAsia" w:ascii="Arial" w:hAnsi="Arial"/>
        </w:rPr>
        <w:t>D</w:t>
      </w:r>
      <w:r>
        <w:rPr>
          <w:rFonts w:ascii="Arial" w:hAnsi="Arial"/>
        </w:rPr>
        <w:t>eclaration</w:t>
      </w:r>
      <w:r>
        <w:rPr>
          <w:rFonts w:hint="eastAsia" w:ascii="Arial" w:hAnsi="Arial"/>
        </w:rPr>
        <w:t xml:space="preserve"> </w:t>
      </w:r>
      <w:r>
        <w:rPr>
          <w:rFonts w:ascii="Arial" w:hAnsi="Arial"/>
        </w:rPr>
        <w:t xml:space="preserve">of non-wooden packing material issued by manufacturer in 1 original, </w:t>
      </w:r>
      <w:r>
        <w:rPr>
          <w:rFonts w:hint="eastAsia" w:ascii="Arial" w:hAnsi="Arial"/>
        </w:rPr>
        <w:t xml:space="preserve">If the goods is loaded by wooden pallets or other solid wooden packing material like wooden cushion etc.heat treatment or </w:t>
      </w:r>
      <w:r>
        <w:rPr>
          <w:rFonts w:ascii="Arial" w:hAnsi="Arial"/>
        </w:rPr>
        <w:t xml:space="preserve">declaration </w:t>
      </w:r>
      <w:r>
        <w:rPr>
          <w:rFonts w:hint="eastAsia" w:ascii="Arial" w:hAnsi="Arial"/>
        </w:rPr>
        <w:t xml:space="preserve">of fumigation indicating its IPPC </w:t>
      </w:r>
      <w:r>
        <w:rPr>
          <w:rFonts w:ascii="Arial" w:hAnsi="Arial"/>
        </w:rPr>
        <w:t>identification code</w:t>
      </w:r>
      <w:r>
        <w:rPr>
          <w:rFonts w:hint="eastAsia" w:ascii="Arial" w:hAnsi="Arial"/>
        </w:rPr>
        <w:t xml:space="preserve"> should be printed out of package. </w:t>
      </w:r>
      <w:r>
        <w:rPr>
          <w:rFonts w:ascii="Arial" w:hAnsi="Arial"/>
        </w:rPr>
        <w:t>A</w:t>
      </w:r>
      <w:r>
        <w:rPr>
          <w:rFonts w:hint="eastAsia" w:ascii="Arial" w:hAnsi="Arial"/>
        </w:rPr>
        <w:t>lso one written note should be presented.</w:t>
      </w:r>
    </w:p>
    <w:p w14:paraId="6924ADC2">
      <w:pPr>
        <w:rPr>
          <w:rFonts w:ascii="Arial" w:hAnsi="Arial" w:cs="Arial"/>
        </w:rPr>
      </w:pPr>
      <w:r>
        <w:rPr>
          <w:rFonts w:hint="eastAsia" w:ascii="Arial" w:hAnsi="Arial"/>
        </w:rPr>
        <w:t>7)正本非木质包装声明或木质包装箱熏蒸IPPC标识声明或木质包装箱热处理IPPC标识声明一份及正本发票一份和正本装箱单一份随同设备一起装运。</w:t>
      </w:r>
    </w:p>
    <w:p w14:paraId="3F2ACD42">
      <w:pPr>
        <w:ind w:right="178" w:rightChars="85"/>
        <w:rPr>
          <w:rFonts w:ascii="Arial" w:hAnsi="Arial"/>
        </w:rPr>
      </w:pPr>
      <w:r>
        <w:rPr>
          <w:rFonts w:ascii="Arial" w:hAnsi="Arial"/>
        </w:rPr>
        <w:t>Beneficiary's certificate certify that 1 original of invoice and packing list, and 1 original</w:t>
      </w:r>
      <w:r>
        <w:rPr>
          <w:rFonts w:hint="eastAsia" w:ascii="Arial" w:hAnsi="Arial"/>
        </w:rPr>
        <w:t xml:space="preserve"> </w:t>
      </w:r>
      <w:r>
        <w:rPr>
          <w:rFonts w:ascii="Arial" w:hAnsi="Arial"/>
        </w:rPr>
        <w:t xml:space="preserve">declaration of non-wooden packing material or 1 original fumigation declaration </w:t>
      </w:r>
      <w:r>
        <w:rPr>
          <w:rFonts w:hint="eastAsia" w:ascii="Arial" w:hAnsi="Arial"/>
        </w:rPr>
        <w:t xml:space="preserve">indicating its IPPC </w:t>
      </w:r>
      <w:r>
        <w:rPr>
          <w:rFonts w:ascii="Arial" w:hAnsi="Arial"/>
        </w:rPr>
        <w:t xml:space="preserve">identification code or 1 original declaration of heat treatment </w:t>
      </w:r>
      <w:r>
        <w:rPr>
          <w:rFonts w:hint="eastAsia" w:ascii="Arial" w:hAnsi="Arial"/>
        </w:rPr>
        <w:t>indicating its IPPC</w:t>
      </w:r>
      <w:r>
        <w:t xml:space="preserve"> </w:t>
      </w:r>
      <w:r>
        <w:rPr>
          <w:rFonts w:ascii="Arial" w:hAnsi="Arial"/>
        </w:rPr>
        <w:t>identification code both issu</w:t>
      </w:r>
      <w:r>
        <w:rPr>
          <w:rFonts w:hint="eastAsia" w:ascii="Arial" w:hAnsi="Arial"/>
        </w:rPr>
        <w:t>ed</w:t>
      </w:r>
      <w:r>
        <w:rPr>
          <w:rFonts w:ascii="Arial" w:hAnsi="Arial"/>
        </w:rPr>
        <w:t xml:space="preserve"> by </w:t>
      </w:r>
      <w:r>
        <w:rPr>
          <w:rFonts w:ascii="Arial" w:hAnsi="Arial"/>
          <w:bCs/>
          <w:sz w:val="22"/>
        </w:rPr>
        <w:t>Seller</w:t>
      </w:r>
      <w:r>
        <w:rPr>
          <w:rFonts w:ascii="Arial" w:hAnsi="Arial"/>
        </w:rPr>
        <w:t xml:space="preserve"> are accompanied with the shipment.</w:t>
      </w:r>
    </w:p>
    <w:p w14:paraId="68113863">
      <w:pPr>
        <w:rPr>
          <w:rFonts w:ascii="Arial" w:hAnsi="Arial"/>
        </w:rPr>
      </w:pPr>
      <w:r>
        <w:rPr>
          <w:rFonts w:hint="eastAsia" w:ascii="Arial" w:hAnsi="Arial"/>
        </w:rPr>
        <w:t>8)货物全部装机后，卖方应24小时内以传真形式将空运提单、装箱单、航班号、装运日期、商品的数量、重量和价值、非木包装证明或木质材料热处理或熏蒸IPPC标识说明告知买方。</w:t>
      </w:r>
    </w:p>
    <w:p w14:paraId="77AD1EE1">
      <w:pPr>
        <w:tabs>
          <w:tab w:val="left" w:pos="720"/>
        </w:tabs>
        <w:rPr>
          <w:rFonts w:ascii="Arial" w:hAnsi="Arial"/>
        </w:rPr>
      </w:pPr>
      <w:r>
        <w:rPr>
          <w:rFonts w:ascii="Arial" w:hAnsi="Arial"/>
        </w:rPr>
        <w:t xml:space="preserve">Immediately the goods are completely loaded, the Seller shall fax to notify the Buyer of </w:t>
      </w:r>
      <w:r>
        <w:rPr>
          <w:rFonts w:hint="eastAsia" w:ascii="Arial" w:hAnsi="Arial" w:cs="Arial"/>
        </w:rPr>
        <w:t>B/L</w:t>
      </w:r>
      <w:r>
        <w:rPr>
          <w:rFonts w:hint="eastAsia" w:ascii="Arial" w:hAnsi="Arial"/>
        </w:rPr>
        <w:t xml:space="preserve"> packing list , </w:t>
      </w:r>
      <w:r>
        <w:rPr>
          <w:rFonts w:ascii="Arial" w:hAnsi="Arial"/>
        </w:rPr>
        <w:t>flight no., shipment date, quantity, weight and value of shipment</w:t>
      </w:r>
      <w:r>
        <w:rPr>
          <w:rFonts w:hint="eastAsia" w:ascii="Arial" w:hAnsi="Arial"/>
        </w:rPr>
        <w:t>，</w:t>
      </w:r>
      <w:r>
        <w:rPr>
          <w:rFonts w:ascii="Arial" w:hAnsi="Arial"/>
        </w:rPr>
        <w:t xml:space="preserve">declaration of non-wooden packing material </w:t>
      </w:r>
      <w:r>
        <w:rPr>
          <w:rFonts w:hint="eastAsia" w:ascii="Arial" w:hAnsi="Arial"/>
        </w:rPr>
        <w:t xml:space="preserve">,wooden packing material </w:t>
      </w:r>
      <w:r>
        <w:rPr>
          <w:rFonts w:ascii="Arial" w:hAnsi="Arial"/>
        </w:rPr>
        <w:t xml:space="preserve">declaration </w:t>
      </w:r>
      <w:r>
        <w:rPr>
          <w:rFonts w:hint="eastAsia" w:ascii="Arial" w:hAnsi="Arial"/>
        </w:rPr>
        <w:t xml:space="preserve"> of heat treatment or fumigation </w:t>
      </w:r>
      <w:r>
        <w:rPr>
          <w:rFonts w:ascii="Arial" w:hAnsi="Arial"/>
        </w:rPr>
        <w:t xml:space="preserve">declaration </w:t>
      </w:r>
      <w:r>
        <w:rPr>
          <w:rFonts w:hint="eastAsia" w:ascii="Arial" w:hAnsi="Arial"/>
        </w:rPr>
        <w:t xml:space="preserve"> indicating its IPPC </w:t>
      </w:r>
      <w:r>
        <w:rPr>
          <w:rFonts w:ascii="Arial" w:hAnsi="Arial"/>
        </w:rPr>
        <w:t>identification code</w:t>
      </w:r>
      <w:r>
        <w:rPr>
          <w:rFonts w:hint="eastAsia" w:ascii="Arial" w:hAnsi="Arial"/>
        </w:rPr>
        <w:t xml:space="preserve"> </w:t>
      </w:r>
      <w:r>
        <w:rPr>
          <w:rFonts w:ascii="Arial" w:hAnsi="Arial"/>
        </w:rPr>
        <w:t>by Fax within 2</w:t>
      </w:r>
      <w:r>
        <w:rPr>
          <w:rFonts w:hint="eastAsia" w:ascii="Arial" w:hAnsi="Arial"/>
        </w:rPr>
        <w:t>4</w:t>
      </w:r>
      <w:r>
        <w:rPr>
          <w:rFonts w:ascii="Arial" w:hAnsi="Arial"/>
        </w:rPr>
        <w:t xml:space="preserve"> hours. </w:t>
      </w:r>
    </w:p>
    <w:p w14:paraId="478693AD">
      <w:pPr>
        <w:rPr>
          <w:rFonts w:ascii="Arial" w:hAnsi="Arial"/>
        </w:rPr>
      </w:pPr>
      <w:r>
        <w:rPr>
          <w:rFonts w:ascii="Arial" w:hAnsi="Arial"/>
        </w:rPr>
        <w:t>(14)</w:t>
      </w:r>
      <w:r>
        <w:rPr>
          <w:rFonts w:hint="eastAsia" w:ascii="Arial" w:hAnsi="Arial"/>
        </w:rPr>
        <w:t>技术资料：</w:t>
      </w:r>
      <w:r>
        <w:rPr>
          <w:rFonts w:ascii="Arial" w:hAnsi="Arial"/>
        </w:rPr>
        <w:t>TECHNICAL DOCUMENTS</w:t>
      </w:r>
      <w:r>
        <w:rPr>
          <w:rFonts w:hint="eastAsia" w:ascii="Arial" w:hAnsi="Arial"/>
        </w:rPr>
        <w:t>：</w:t>
      </w:r>
    </w:p>
    <w:p w14:paraId="10DC2A18">
      <w:pPr>
        <w:spacing w:line="250" w:lineRule="exact"/>
        <w:rPr>
          <w:rFonts w:ascii="Arial" w:hAnsi="Arial" w:cs="Arial"/>
        </w:rPr>
      </w:pPr>
      <w:r>
        <w:rPr>
          <w:rFonts w:hint="eastAsia" w:ascii="Arial" w:hAnsi="Arial" w:cs="Arial"/>
        </w:rPr>
        <w:t>1)</w:t>
      </w:r>
      <w:r>
        <w:rPr>
          <w:rFonts w:ascii="Arial" w:hAnsi="Arial" w:cs="Arial"/>
        </w:rPr>
        <w:t>卖方应将全套技术文件随货物运输给买方。</w:t>
      </w:r>
    </w:p>
    <w:p w14:paraId="694790D1">
      <w:pPr>
        <w:spacing w:line="250" w:lineRule="exact"/>
        <w:rPr>
          <w:rFonts w:ascii="Arial" w:hAnsi="Arial" w:cs="Arial"/>
        </w:rPr>
      </w:pPr>
      <w:r>
        <w:rPr>
          <w:rFonts w:ascii="Arial" w:hAnsi="Arial" w:cs="Arial"/>
        </w:rPr>
        <w:t>The Seller send the full set of technical documentation to Buyer with delivery.</w:t>
      </w:r>
    </w:p>
    <w:p w14:paraId="798B814E">
      <w:pPr>
        <w:spacing w:line="250" w:lineRule="exact"/>
        <w:rPr>
          <w:rFonts w:ascii="Arial" w:hAnsi="Arial" w:cs="Arial"/>
        </w:rPr>
      </w:pPr>
      <w:r>
        <w:rPr>
          <w:rFonts w:hint="eastAsia" w:ascii="Arial" w:hAnsi="Arial" w:cs="Arial"/>
        </w:rPr>
        <w:t>2)</w:t>
      </w:r>
      <w:r>
        <w:rPr>
          <w:rFonts w:ascii="Arial" w:hAnsi="Arial" w:cs="Arial"/>
        </w:rPr>
        <w:t>卖方应将上述货物的实验室安装要求在货物发运前提供给买方。</w:t>
      </w:r>
    </w:p>
    <w:p w14:paraId="77EC964D">
      <w:pPr>
        <w:spacing w:line="250" w:lineRule="exact"/>
        <w:rPr>
          <w:rFonts w:ascii="Arial" w:hAnsi="Arial" w:cs="Arial"/>
        </w:rPr>
      </w:pPr>
      <w:r>
        <w:rPr>
          <w:rFonts w:ascii="Arial" w:hAnsi="Arial" w:cs="Arial"/>
        </w:rPr>
        <w:t>The Seller will send the Pre-installation requirements on the Laboratory at the Buyer’s working site to the Buyer before effecting the delivery of the commodity.</w:t>
      </w:r>
    </w:p>
    <w:p w14:paraId="4A4F09AC">
      <w:pPr>
        <w:rPr>
          <w:rFonts w:ascii="Arial" w:hAnsi="Arial"/>
        </w:rPr>
      </w:pPr>
      <w:r>
        <w:rPr>
          <w:rFonts w:ascii="Arial" w:hAnsi="Arial"/>
        </w:rPr>
        <w:t>(1</w:t>
      </w:r>
      <w:r>
        <w:rPr>
          <w:rFonts w:hint="eastAsia" w:ascii="Arial" w:hAnsi="Arial"/>
        </w:rPr>
        <w:t>5</w:t>
      </w:r>
      <w:r>
        <w:rPr>
          <w:rFonts w:ascii="Arial" w:hAnsi="Arial"/>
        </w:rPr>
        <w:t>)</w:t>
      </w:r>
      <w:r>
        <w:rPr>
          <w:rFonts w:hint="eastAsia" w:ascii="Arial" w:hAnsi="Arial"/>
        </w:rPr>
        <w:t>质量保证：</w:t>
      </w:r>
      <w:r>
        <w:rPr>
          <w:rFonts w:ascii="Arial" w:hAnsi="Arial"/>
        </w:rPr>
        <w:t>GUARANTEE OF QUALITY</w:t>
      </w:r>
      <w:r>
        <w:rPr>
          <w:rFonts w:hint="eastAsia" w:ascii="Arial" w:hAnsi="Arial"/>
        </w:rPr>
        <w:t>：</w:t>
      </w:r>
    </w:p>
    <w:p w14:paraId="5532F582">
      <w:pPr>
        <w:autoSpaceDE w:val="0"/>
        <w:autoSpaceDN w:val="0"/>
        <w:adjustRightInd w:val="0"/>
        <w:jc w:val="left"/>
        <w:rPr>
          <w:rFonts w:ascii="Arial" w:hAnsi="Arial"/>
          <w:strike/>
        </w:rPr>
      </w:pPr>
      <w:r>
        <w:rPr>
          <w:rFonts w:hint="eastAsia" w:ascii="Arial" w:hAnsi="Arial"/>
        </w:rPr>
        <w:t>卖方保证订货系用最上等的材料和头等工艺制成，全新，未曾用过，并完全符合本合同规定的质量、规格和性能。卖方并保证本合同订货在正确安装、正常使用的情况下，自货物安装调试好并验收后12个月内负有免费维修的义务. 售后服务做到4小时内响应。保修期后实行终身维修，零部件按成本价合理计费，其他交通费、食宿费等由卖方承担.</w:t>
      </w:r>
    </w:p>
    <w:p w14:paraId="1F0156E4">
      <w:pPr>
        <w:autoSpaceDE w:val="0"/>
        <w:autoSpaceDN w:val="0"/>
        <w:adjustRightInd w:val="0"/>
        <w:jc w:val="left"/>
        <w:rPr>
          <w:rFonts w:ascii="Arial" w:hAnsi="Arial" w:cs="Arial"/>
          <w:b/>
          <w:bCs/>
        </w:rPr>
      </w:pPr>
      <w:r>
        <w:rPr>
          <w:rFonts w:ascii="Arial" w:hAnsi="Arial"/>
        </w:rPr>
        <w:t>The Seller shall guarantee that the goods are made of best materials, with first class workmanship, brand new, unused and correspond in all respects with the quality, specifications and performance as stipulated in this Contract. The Seller shall also guarantee that the goods when correctly mounted and properly operated and will</w:t>
      </w:r>
      <w:r>
        <w:rPr>
          <w:rFonts w:ascii="Arial" w:hAnsi="Arial" w:cs="Arial"/>
        </w:rPr>
        <w:t xml:space="preserve"> take the duty</w:t>
      </w:r>
      <w:r>
        <w:rPr>
          <w:rFonts w:hint="eastAsia" w:ascii="Arial" w:hAnsi="Arial" w:cs="Arial"/>
        </w:rPr>
        <w:t xml:space="preserve"> of</w:t>
      </w:r>
      <w:r>
        <w:rPr>
          <w:rFonts w:ascii="Arial" w:hAnsi="Arial" w:cs="Arial"/>
        </w:rPr>
        <w:t xml:space="preserve"> maintain</w:t>
      </w:r>
      <w:r>
        <w:rPr>
          <w:rFonts w:hint="eastAsia" w:ascii="Arial" w:hAnsi="Arial"/>
        </w:rPr>
        <w:t xml:space="preserve"> for free </w:t>
      </w:r>
      <w:r>
        <w:rPr>
          <w:rFonts w:ascii="Arial" w:hAnsi="Arial"/>
        </w:rPr>
        <w:t xml:space="preserve">for a period of </w:t>
      </w:r>
      <w:r>
        <w:rPr>
          <w:rFonts w:hint="eastAsia" w:ascii="Arial" w:hAnsi="Arial"/>
        </w:rPr>
        <w:t xml:space="preserve">12 </w:t>
      </w:r>
      <w:r>
        <w:rPr>
          <w:rFonts w:ascii="Arial" w:hAnsi="Arial"/>
        </w:rPr>
        <w:t>months from the date on which the goods are completely installed, operated and accepted by the both sides and end-user.</w:t>
      </w:r>
      <w:r>
        <w:rPr>
          <w:rFonts w:hint="eastAsia" w:ascii="Arial" w:hAnsi="Arial"/>
          <w:sz w:val="22"/>
        </w:rPr>
        <w:t xml:space="preserve"> About after </w:t>
      </w:r>
      <w:r>
        <w:rPr>
          <w:rFonts w:ascii="Arial" w:hAnsi="Arial"/>
          <w:sz w:val="22"/>
        </w:rPr>
        <w:t>–service</w:t>
      </w:r>
      <w:r>
        <w:rPr>
          <w:rFonts w:hint="eastAsia" w:ascii="Arial" w:hAnsi="Arial"/>
          <w:sz w:val="22"/>
        </w:rPr>
        <w:t xml:space="preserve"> must feedback within 4 hours</w:t>
      </w:r>
      <w:r>
        <w:rPr>
          <w:rFonts w:hint="eastAsia" w:ascii="Garamond" w:hAnsi="Garamond"/>
          <w:sz w:val="22"/>
        </w:rPr>
        <w:t xml:space="preserve">! </w:t>
      </w:r>
      <w:r>
        <w:rPr>
          <w:rFonts w:ascii="Arial" w:hAnsi="Arial" w:cs="Arial"/>
          <w:kern w:val="0"/>
        </w:rPr>
        <w:t>The sellers should carry on repair after the period of guarantee to keep the goods in good repair, the part should be charged reasonably based on its cost if necessary, and the cost of traffic,</w:t>
      </w:r>
      <w:r>
        <w:rPr>
          <w:rFonts w:hint="eastAsia" w:ascii="Arial" w:hAnsi="Arial" w:cs="Arial"/>
          <w:kern w:val="0"/>
        </w:rPr>
        <w:t xml:space="preserve"> </w:t>
      </w:r>
      <w:r>
        <w:rPr>
          <w:rFonts w:ascii="Arial" w:hAnsi="Arial" w:cs="Arial"/>
          <w:kern w:val="0"/>
        </w:rPr>
        <w:t xml:space="preserve">living should be on sellers' account. </w:t>
      </w:r>
    </w:p>
    <w:p w14:paraId="116F3A6E">
      <w:pPr>
        <w:rPr>
          <w:rFonts w:ascii="Arial" w:hAnsi="Arial" w:eastAsia="PMingLiU" w:cs="Arial"/>
        </w:rPr>
      </w:pPr>
      <w:r>
        <w:rPr>
          <w:rFonts w:ascii="Arial" w:hAnsi="Arial"/>
        </w:rPr>
        <w:t>(16)</w:t>
      </w:r>
      <w:r>
        <w:rPr>
          <w:rFonts w:hint="eastAsia" w:ascii="Arial" w:hAnsi="Arial"/>
        </w:rPr>
        <w:t>检验和索赔：</w:t>
      </w:r>
      <w:r>
        <w:rPr>
          <w:rFonts w:ascii="Arial" w:hAnsi="Arial"/>
        </w:rPr>
        <w:t>INSPECTION AND CLAIMS</w:t>
      </w:r>
      <w:r>
        <w:rPr>
          <w:rFonts w:hint="eastAsia" w:ascii="Arial" w:hAnsi="Arial"/>
        </w:rPr>
        <w:t>：</w:t>
      </w:r>
    </w:p>
    <w:p w14:paraId="73213A04">
      <w:pPr>
        <w:rPr>
          <w:rFonts w:ascii="Arial" w:hAnsi="Arial"/>
        </w:rPr>
      </w:pPr>
      <w:r>
        <w:rPr>
          <w:rFonts w:hint="eastAsia" w:ascii="Arial" w:hAnsi="Arial" w:cs="Arial"/>
        </w:rPr>
        <w:t>1)发货前，制造厂应对货物的质量、规格、性能和数量/重量作精密全面的检验，出具检验证明书，并说明检验的技术数据和结论。</w:t>
      </w:r>
      <w:r>
        <w:rPr>
          <w:rFonts w:hint="eastAsia" w:ascii="Arial" w:hAnsi="Arial"/>
        </w:rPr>
        <w:t>货物到达到货口岸后，买方应申请中华人民共和国海关（以下称海关）就货物的质量、规格、数量和重量进行初步的检验。如发现到货的规格或数量和重量与合同不符，除应由保险公司或航空公司负责外，买方于货物在到货卸货后</w:t>
      </w:r>
      <w:r>
        <w:rPr>
          <w:rFonts w:ascii="Arial" w:hAnsi="Arial"/>
        </w:rPr>
        <w:t>120</w:t>
      </w:r>
      <w:r>
        <w:rPr>
          <w:rFonts w:hint="eastAsia" w:ascii="Arial" w:hAnsi="Arial"/>
        </w:rPr>
        <w:t>天内凭海关出具之检验证书有权拒收货物或向卖方索赔。</w:t>
      </w:r>
    </w:p>
    <w:p w14:paraId="5CBBA429">
      <w:pPr>
        <w:rPr>
          <w:rFonts w:ascii="Arial" w:hAnsi="Arial" w:cs="Arial"/>
          <w:kern w:val="0"/>
        </w:rPr>
      </w:pPr>
      <w:r>
        <w:rPr>
          <w:rFonts w:hint="eastAsia" w:ascii="Arial" w:hAnsi="Arial" w:cs="Arial"/>
          <w:kern w:val="0"/>
        </w:rPr>
        <w:t>The manufacturers shall, before delivery</w:t>
      </w:r>
      <w:r>
        <w:rPr>
          <w:rFonts w:ascii="Arial" w:hAnsi="Arial" w:cs="Arial"/>
          <w:kern w:val="0"/>
        </w:rPr>
        <w:t xml:space="preserve"> </w:t>
      </w:r>
      <w:r>
        <w:rPr>
          <w:rFonts w:hint="eastAsia" w:ascii="Arial" w:hAnsi="Arial" w:cs="Arial"/>
          <w:kern w:val="0"/>
        </w:rPr>
        <w:t>make a precise and comprehensive inspection of the goods in regard to the quality、specifications、p</w:t>
      </w:r>
      <w:r>
        <w:rPr>
          <w:rFonts w:ascii="Arial" w:hAnsi="Arial" w:cs="Arial"/>
          <w:kern w:val="0"/>
        </w:rPr>
        <w:t>e</w:t>
      </w:r>
      <w:r>
        <w:rPr>
          <w:rFonts w:hint="eastAsia" w:ascii="Arial" w:hAnsi="Arial" w:cs="Arial"/>
          <w:kern w:val="0"/>
        </w:rPr>
        <w:t>rformance and quantity/weight and issue inspection</w:t>
      </w:r>
      <w:r>
        <w:rPr>
          <w:rFonts w:ascii="Arial" w:hAnsi="Arial" w:cs="Arial"/>
          <w:kern w:val="0"/>
        </w:rPr>
        <w:t xml:space="preserve"> </w:t>
      </w:r>
      <w:r>
        <w:rPr>
          <w:rFonts w:hint="eastAsia" w:ascii="Arial" w:hAnsi="Arial" w:cs="Arial"/>
          <w:kern w:val="0"/>
        </w:rPr>
        <w:t xml:space="preserve">certificates certifying the technical data and conclusion of the inspection. </w:t>
      </w:r>
      <w:r>
        <w:rPr>
          <w:rFonts w:ascii="Arial" w:hAnsi="Arial" w:cs="Arial"/>
          <w:kern w:val="0"/>
        </w:rPr>
        <w:t xml:space="preserve">After arrival of the goods at the port of destination, the Buyer shall apply to the customs of the People’s Republic of China (hereinafter called the customs) for a preliminary inspection of the goods in respect of their quality, specifications and quantity/ weight. If any discrepancies are found by the Bureau regarding the specifications or the quantity/weight or both, except those for which the insurance company or the </w:t>
      </w:r>
      <w:r>
        <w:rPr>
          <w:rFonts w:hint="eastAsia" w:ascii="Arial" w:hAnsi="Arial" w:cs="Arial"/>
          <w:kern w:val="0"/>
        </w:rPr>
        <w:t>airline</w:t>
      </w:r>
      <w:r>
        <w:rPr>
          <w:rFonts w:ascii="Arial" w:hAnsi="Arial" w:cs="Arial"/>
          <w:kern w:val="0"/>
        </w:rPr>
        <w:t xml:space="preserve"> company is responsible, the Buyer shall, within 120 days after discharge of the goods at the port of destination, have the right either to reject the goods or to claim against the Seller on the strength of the inspection certificate issued by the customs.</w:t>
      </w:r>
    </w:p>
    <w:p w14:paraId="2595AAB6">
      <w:pPr>
        <w:tabs>
          <w:tab w:val="left" w:pos="180"/>
        </w:tabs>
        <w:rPr>
          <w:rFonts w:ascii="Arial" w:hAnsi="Arial"/>
        </w:rPr>
      </w:pPr>
      <w:r>
        <w:rPr>
          <w:rFonts w:hint="eastAsia" w:ascii="Arial" w:hAnsi="Arial"/>
        </w:rPr>
        <w:t>2)本合同第</w:t>
      </w:r>
      <w:r>
        <w:rPr>
          <w:rFonts w:ascii="Arial" w:hAnsi="Arial"/>
        </w:rPr>
        <w:t>1</w:t>
      </w:r>
      <w:r>
        <w:rPr>
          <w:rFonts w:hint="eastAsia" w:ascii="Arial" w:hAnsi="Arial"/>
        </w:rPr>
        <w:t>5条规定的保证期内，如发现货物的质量及</w:t>
      </w:r>
      <w:r>
        <w:rPr>
          <w:rFonts w:ascii="Arial" w:hAnsi="Arial"/>
        </w:rPr>
        <w:t>/</w:t>
      </w:r>
      <w:r>
        <w:rPr>
          <w:rFonts w:hint="eastAsia" w:ascii="Arial" w:hAnsi="Arial"/>
        </w:rPr>
        <w:t>或规格与本合同规定不符或发现货物无论任何原因引起的缺陷或使用不良的原料，买方应申请</w:t>
      </w:r>
      <w:r>
        <w:rPr>
          <w:rFonts w:hint="eastAsia" w:ascii="Arial" w:hAnsi="Arial" w:cs="Arial"/>
          <w:kern w:val="0"/>
        </w:rPr>
        <w:t>海关</w:t>
      </w:r>
      <w:r>
        <w:rPr>
          <w:rFonts w:hint="eastAsia" w:ascii="Arial" w:hAnsi="Arial"/>
        </w:rPr>
        <w:t>检验，并有权根据海关证明向卖方索赔。</w:t>
      </w:r>
    </w:p>
    <w:p w14:paraId="79C2DE95">
      <w:pPr>
        <w:tabs>
          <w:tab w:val="left" w:pos="0"/>
        </w:tabs>
        <w:ind w:left="-2" w:leftChars="-441" w:hanging="924" w:hangingChars="440"/>
        <w:rPr>
          <w:rFonts w:ascii="Arial" w:hAnsi="Arial"/>
        </w:rPr>
      </w:pPr>
      <w:r>
        <w:rPr>
          <w:rFonts w:ascii="Arial" w:hAnsi="Arial"/>
        </w:rPr>
        <w:t xml:space="preserve"> </w:t>
      </w:r>
      <w:r>
        <w:rPr>
          <w:rFonts w:hint="eastAsia" w:ascii="Arial" w:hAnsi="Arial"/>
        </w:rPr>
        <w:t xml:space="preserve">     </w:t>
      </w:r>
      <w:r>
        <w:rPr>
          <w:rFonts w:ascii="Arial" w:hAnsi="Arial"/>
        </w:rPr>
        <w:t xml:space="preserve"> </w:t>
      </w:r>
      <w:r>
        <w:rPr>
          <w:rFonts w:hint="eastAsia" w:ascii="Arial" w:hAnsi="Arial"/>
        </w:rPr>
        <w:t xml:space="preserve">  </w:t>
      </w:r>
      <w:r>
        <w:rPr>
          <w:rFonts w:ascii="Arial" w:hAnsi="Arial"/>
        </w:rPr>
        <w:t>Within the guarantee period stipulated in Clause 1</w:t>
      </w:r>
      <w:r>
        <w:rPr>
          <w:rFonts w:hint="eastAsia" w:ascii="Arial" w:hAnsi="Arial"/>
        </w:rPr>
        <w:t>5</w:t>
      </w:r>
      <w:r>
        <w:rPr>
          <w:rFonts w:ascii="Arial" w:hAnsi="Arial"/>
        </w:rPr>
        <w:t xml:space="preserve"> hereof should the quality and / or the specifications of the goods be found not in conformity with the contracted stipulations, or should the goods prove defective for any reasons, including latent defect or the use of unsuitable materials, the Buyer shall arrange for an inspection to be carried out by the </w:t>
      </w:r>
      <w:r>
        <w:rPr>
          <w:rFonts w:ascii="Arial" w:hAnsi="Arial" w:cs="Arial"/>
          <w:kern w:val="0"/>
        </w:rPr>
        <w:t>customs</w:t>
      </w:r>
      <w:r>
        <w:rPr>
          <w:rFonts w:ascii="Arial" w:hAnsi="Arial"/>
        </w:rPr>
        <w:t xml:space="preserve"> and have the right to claim against the Seller on the strength of the inspection certificate issued by the </w:t>
      </w:r>
      <w:r>
        <w:rPr>
          <w:rFonts w:ascii="Arial" w:hAnsi="Arial" w:cs="Arial"/>
          <w:kern w:val="0"/>
        </w:rPr>
        <w:t>customs</w:t>
      </w:r>
      <w:r>
        <w:rPr>
          <w:rFonts w:ascii="Arial" w:hAnsi="Arial"/>
        </w:rPr>
        <w:t>.</w:t>
      </w:r>
    </w:p>
    <w:p w14:paraId="43E1EB7F">
      <w:pPr>
        <w:tabs>
          <w:tab w:val="left" w:pos="720"/>
        </w:tabs>
        <w:rPr>
          <w:rFonts w:ascii="Arial" w:hAnsi="Arial"/>
        </w:rPr>
      </w:pPr>
      <w:r>
        <w:rPr>
          <w:rFonts w:hint="eastAsia" w:ascii="Arial" w:hAnsi="Arial"/>
        </w:rPr>
        <w:t>3)卖方收到买方的索赔通知后，如果三十天内不答复，应视为卖方同意买方提出的一切索赔。</w:t>
      </w:r>
    </w:p>
    <w:p w14:paraId="4D143A3B">
      <w:pPr>
        <w:tabs>
          <w:tab w:val="left" w:pos="0"/>
        </w:tabs>
        <w:ind w:hanging="540"/>
        <w:rPr>
          <w:rFonts w:ascii="Arial" w:hAnsi="Arial"/>
        </w:rPr>
      </w:pPr>
      <w:r>
        <w:rPr>
          <w:rFonts w:ascii="Arial" w:hAnsi="Arial"/>
        </w:rPr>
        <w:t xml:space="preserve"> </w:t>
      </w:r>
      <w:r>
        <w:rPr>
          <w:rFonts w:hint="eastAsia" w:ascii="Arial" w:hAnsi="Arial"/>
        </w:rPr>
        <w:t xml:space="preserve">    </w:t>
      </w:r>
      <w:r>
        <w:rPr>
          <w:rFonts w:ascii="Arial" w:hAnsi="Arial"/>
        </w:rPr>
        <w:t>Any and all claims shall be regarded as accepted if the Seller fail to reply within 30 days after receipt of the Buyer’s claim.</w:t>
      </w:r>
    </w:p>
    <w:p w14:paraId="1C0AD422">
      <w:pPr>
        <w:tabs>
          <w:tab w:val="left" w:pos="720"/>
        </w:tabs>
        <w:rPr>
          <w:rFonts w:ascii="Arial" w:hAnsi="Arial"/>
        </w:rPr>
      </w:pPr>
      <w:r>
        <w:rPr>
          <w:rFonts w:ascii="Arial" w:hAnsi="Arial"/>
        </w:rPr>
        <w:t>(17)</w:t>
      </w:r>
      <w:r>
        <w:rPr>
          <w:rFonts w:hint="eastAsia" w:ascii="Arial" w:hAnsi="Arial"/>
        </w:rPr>
        <w:t>索赔解决办法：</w:t>
      </w:r>
      <w:r>
        <w:rPr>
          <w:rFonts w:ascii="Arial" w:hAnsi="Arial"/>
        </w:rPr>
        <w:t>SETT</w:t>
      </w:r>
      <w:r>
        <w:rPr>
          <w:rFonts w:hint="eastAsia" w:ascii="Arial" w:hAnsi="Arial"/>
        </w:rPr>
        <w:t>LE</w:t>
      </w:r>
      <w:r>
        <w:rPr>
          <w:rFonts w:ascii="Arial" w:hAnsi="Arial"/>
        </w:rPr>
        <w:t>MENT OF CLAIMS</w:t>
      </w:r>
      <w:r>
        <w:rPr>
          <w:rFonts w:hint="eastAsia" w:ascii="Arial" w:hAnsi="Arial"/>
        </w:rPr>
        <w:t>：</w:t>
      </w:r>
    </w:p>
    <w:p w14:paraId="6678E900">
      <w:pPr>
        <w:tabs>
          <w:tab w:val="left" w:pos="720"/>
        </w:tabs>
        <w:ind w:hanging="720"/>
        <w:rPr>
          <w:rFonts w:ascii="Arial" w:hAnsi="Arial"/>
        </w:rPr>
      </w:pPr>
      <w:r>
        <w:rPr>
          <w:rFonts w:ascii="Arial" w:hAnsi="Arial"/>
        </w:rPr>
        <w:tab/>
      </w:r>
      <w:r>
        <w:rPr>
          <w:rFonts w:hint="eastAsia" w:ascii="Arial" w:hAnsi="Arial"/>
        </w:rPr>
        <w:t>如货物不符合本合同规定应由卖方负责。同时，买方按照本合同第</w:t>
      </w:r>
      <w:r>
        <w:rPr>
          <w:rFonts w:ascii="Arial" w:hAnsi="Arial"/>
        </w:rPr>
        <w:t>1</w:t>
      </w:r>
      <w:r>
        <w:rPr>
          <w:rFonts w:hint="eastAsia" w:ascii="Arial" w:hAnsi="Arial"/>
        </w:rPr>
        <w:t>5条和第</w:t>
      </w:r>
      <w:r>
        <w:rPr>
          <w:rFonts w:ascii="Arial" w:hAnsi="Arial"/>
        </w:rPr>
        <w:t>1</w:t>
      </w:r>
      <w:r>
        <w:rPr>
          <w:rFonts w:hint="eastAsia" w:ascii="Arial" w:hAnsi="Arial"/>
        </w:rPr>
        <w:t>6条的规定在索赔期限或质量保证期限内提出索赔，卖方在取得买方同意后，应按下列方式理赔：</w:t>
      </w:r>
    </w:p>
    <w:p w14:paraId="478F9E3C">
      <w:pPr>
        <w:tabs>
          <w:tab w:val="left" w:pos="720"/>
        </w:tabs>
        <w:ind w:hanging="720"/>
        <w:rPr>
          <w:rFonts w:ascii="Arial" w:hAnsi="Arial"/>
        </w:rPr>
      </w:pPr>
      <w:r>
        <w:rPr>
          <w:rFonts w:ascii="Arial" w:hAnsi="Arial"/>
        </w:rPr>
        <w:tab/>
      </w:r>
      <w:r>
        <w:rPr>
          <w:rFonts w:ascii="Arial" w:hAnsi="Arial"/>
        </w:rPr>
        <w:t>In case the Seller are liable for the discrepancies and a claim is made by the Buyer within the period of claim or quality guarantee period as stipulated in Clause 1</w:t>
      </w:r>
      <w:r>
        <w:rPr>
          <w:rFonts w:hint="eastAsia" w:ascii="Arial" w:hAnsi="Arial"/>
        </w:rPr>
        <w:t>5</w:t>
      </w:r>
      <w:r>
        <w:rPr>
          <w:rFonts w:ascii="Arial" w:hAnsi="Arial"/>
        </w:rPr>
        <w:t xml:space="preserve"> and 1</w:t>
      </w:r>
      <w:r>
        <w:rPr>
          <w:rFonts w:hint="eastAsia" w:ascii="Arial" w:hAnsi="Arial"/>
        </w:rPr>
        <w:t>6</w:t>
      </w:r>
      <w:r>
        <w:rPr>
          <w:rFonts w:ascii="Arial" w:hAnsi="Arial"/>
        </w:rPr>
        <w:t xml:space="preserve"> of this Contract, the Seller shall settle the claim upon the agreement of the Buyer in the following ways:</w:t>
      </w:r>
    </w:p>
    <w:p w14:paraId="6BB63996">
      <w:pPr>
        <w:tabs>
          <w:tab w:val="left" w:pos="720"/>
        </w:tabs>
        <w:ind w:hanging="720"/>
        <w:rPr>
          <w:rFonts w:ascii="Arial" w:hAnsi="Arial"/>
        </w:rPr>
      </w:pPr>
      <w:r>
        <w:rPr>
          <w:rFonts w:ascii="Arial" w:hAnsi="Arial"/>
        </w:rPr>
        <w:t xml:space="preserve">   </w:t>
      </w:r>
      <w:r>
        <w:rPr>
          <w:rFonts w:hint="eastAsia" w:ascii="Arial" w:hAnsi="Arial"/>
        </w:rPr>
        <w:t xml:space="preserve">    1)同意买方退货，并将退货金额以成交币种偿还买方，并负担因退货而发生的一切直接损失和费用，包括但不限于利息、汇兑差额、银行费用、运费、保险费、</w:t>
      </w:r>
      <w:r>
        <w:rPr>
          <w:rFonts w:hint="eastAsia" w:ascii="Arial" w:hAnsi="Arial" w:cs="Arial"/>
          <w:kern w:val="0"/>
        </w:rPr>
        <w:t>检验</w:t>
      </w:r>
      <w:r>
        <w:rPr>
          <w:rFonts w:hint="eastAsia" w:ascii="Arial" w:hAnsi="Arial"/>
        </w:rPr>
        <w:t>费、仓储费、人工费、码头装卸费、吊装费以及为保管退运货物而发生的一切其他必要费用。</w:t>
      </w:r>
      <w:r>
        <w:rPr>
          <w:rFonts w:ascii="Arial" w:hAnsi="Arial"/>
        </w:rPr>
        <w:t xml:space="preserve"> </w:t>
      </w:r>
    </w:p>
    <w:p w14:paraId="48CC2EDF">
      <w:pPr>
        <w:tabs>
          <w:tab w:val="left" w:pos="720"/>
        </w:tabs>
        <w:ind w:hanging="720"/>
        <w:rPr>
          <w:rFonts w:ascii="Arial" w:hAnsi="Arial"/>
        </w:rPr>
      </w:pPr>
      <w:r>
        <w:rPr>
          <w:rFonts w:ascii="Arial" w:hAnsi="Arial"/>
        </w:rPr>
        <w:t xml:space="preserve">   </w:t>
      </w:r>
      <w:r>
        <w:rPr>
          <w:rFonts w:hint="eastAsia" w:ascii="Arial" w:hAnsi="Arial"/>
        </w:rPr>
        <w:t xml:space="preserve">    </w:t>
      </w:r>
      <w:r>
        <w:rPr>
          <w:rFonts w:ascii="Arial" w:hAnsi="Arial"/>
        </w:rPr>
        <w:t xml:space="preserve">Agree to the rejection of the goods and refund to the Buyer the value of the goods so rejected in the same currency as contracted herein, and to bear all direct losses and expenses in connection therewith including </w:t>
      </w:r>
      <w:r>
        <w:rPr>
          <w:rFonts w:hint="eastAsia" w:ascii="Arial" w:hAnsi="Arial"/>
        </w:rPr>
        <w:t xml:space="preserve">not limited </w:t>
      </w:r>
      <w:r>
        <w:rPr>
          <w:rFonts w:ascii="Arial" w:hAnsi="Arial"/>
        </w:rPr>
        <w:t xml:space="preserve">interest accrued, </w:t>
      </w:r>
      <w:r>
        <w:rPr>
          <w:rFonts w:hint="eastAsia" w:ascii="Arial" w:hAnsi="Arial"/>
        </w:rPr>
        <w:t>exchange rate fluctuation</w:t>
      </w:r>
      <w:r>
        <w:rPr>
          <w:rFonts w:hint="eastAsia"/>
          <w:shd w:val="clear" w:color="auto" w:fill="FFFFEE"/>
        </w:rPr>
        <w:t>，</w:t>
      </w:r>
      <w:r>
        <w:rPr>
          <w:rFonts w:ascii="Arial" w:hAnsi="Arial"/>
        </w:rPr>
        <w:t xml:space="preserve">banking charges, freight, insurance premium, inspection charges, storage, </w:t>
      </w:r>
      <w:r>
        <w:rPr>
          <w:rFonts w:hint="eastAsia" w:ascii="Arial" w:hAnsi="Arial"/>
        </w:rPr>
        <w:t>l</w:t>
      </w:r>
      <w:r>
        <w:rPr>
          <w:rFonts w:ascii="Arial" w:hAnsi="Arial"/>
        </w:rPr>
        <w:t>abour cost</w:t>
      </w:r>
      <w:r>
        <w:rPr>
          <w:rFonts w:hint="eastAsia" w:ascii="Arial" w:hAnsi="Arial"/>
        </w:rPr>
        <w:t>，</w:t>
      </w:r>
      <w:r>
        <w:rPr>
          <w:rFonts w:ascii="Arial" w:hAnsi="Arial"/>
        </w:rPr>
        <w:t>stevedore charges</w:t>
      </w:r>
      <w:r>
        <w:rPr>
          <w:rFonts w:hint="eastAsia" w:ascii="Arial" w:hAnsi="Arial"/>
        </w:rPr>
        <w:t>，</w:t>
      </w:r>
      <w:r>
        <w:rPr>
          <w:rFonts w:ascii="Arial" w:hAnsi="Arial"/>
        </w:rPr>
        <w:t>lifts charges</w:t>
      </w:r>
      <w:r>
        <w:rPr>
          <w:rFonts w:hint="eastAsia" w:ascii="Arial" w:hAnsi="Arial"/>
        </w:rPr>
        <w:t xml:space="preserve"> </w:t>
      </w:r>
      <w:r>
        <w:rPr>
          <w:rFonts w:ascii="Arial" w:hAnsi="Arial"/>
        </w:rPr>
        <w:t>and all other necessary expenses required for the custody and protection of the rejected goods.</w:t>
      </w:r>
    </w:p>
    <w:p w14:paraId="5C2EF2C2">
      <w:pPr>
        <w:tabs>
          <w:tab w:val="left" w:pos="720"/>
        </w:tabs>
        <w:rPr>
          <w:rFonts w:ascii="Arial" w:hAnsi="Arial"/>
        </w:rPr>
      </w:pPr>
      <w:r>
        <w:rPr>
          <w:rFonts w:hint="eastAsia" w:ascii="Arial" w:hAnsi="Arial"/>
        </w:rPr>
        <w:t>2)按照货物的疵劣程度，损坏的范围和买方所遭受的损失，将货物贬值。</w:t>
      </w:r>
    </w:p>
    <w:p w14:paraId="1023DCD6">
      <w:pPr>
        <w:pStyle w:val="3"/>
        <w:rPr>
          <w:sz w:val="21"/>
        </w:rPr>
      </w:pPr>
      <w:r>
        <w:rPr>
          <w:sz w:val="21"/>
        </w:rPr>
        <w:t>Devaluate the goods according to the degree of inferiority, extent of damage and amount of losses suffered by the Buyer.</w:t>
      </w:r>
    </w:p>
    <w:p w14:paraId="4ADBC7D9">
      <w:pPr>
        <w:tabs>
          <w:tab w:val="left" w:pos="0"/>
        </w:tabs>
        <w:ind w:left="-6" w:leftChars="-3"/>
        <w:rPr>
          <w:rFonts w:ascii="Arial" w:hAnsi="Arial"/>
        </w:rPr>
      </w:pPr>
      <w:r>
        <w:rPr>
          <w:rFonts w:hint="eastAsia" w:ascii="Arial" w:hAnsi="Arial"/>
        </w:rPr>
        <w:t>3)调换有瑕疵的货物。换货必须全新并符合本合同规定的规格、质量和性能。卖方并负担因此产生的一切费用和买方遭受的一切直接损失。对换货的质量，卖方仍应按本合同第</w:t>
      </w:r>
      <w:r>
        <w:rPr>
          <w:rFonts w:ascii="Arial" w:hAnsi="Arial"/>
        </w:rPr>
        <w:t>1</w:t>
      </w:r>
      <w:r>
        <w:rPr>
          <w:rFonts w:hint="eastAsia" w:ascii="Arial" w:hAnsi="Arial"/>
        </w:rPr>
        <w:t>5条的决定，保证自更换后12个月内。</w:t>
      </w:r>
    </w:p>
    <w:p w14:paraId="6C8E9BF5">
      <w:pPr>
        <w:ind w:left="-6" w:leftChars="-3"/>
        <w:rPr>
          <w:rFonts w:ascii="Arial" w:hAnsi="Arial"/>
        </w:rPr>
      </w:pPr>
      <w:r>
        <w:rPr>
          <w:rFonts w:ascii="Arial" w:hAnsi="Arial"/>
        </w:rPr>
        <w:t xml:space="preserve">Replace the defective goods with new ones which conform to the specifications, quality and performance as stipulated in this Contract, and bear all expenses incurred to and direct losses sustained by the Buyer. The Seller shall, at the same time, guarantee the quality of the replacement goods for a further period of </w:t>
      </w:r>
      <w:r>
        <w:rPr>
          <w:rFonts w:hint="eastAsia" w:ascii="Arial" w:hAnsi="Arial"/>
        </w:rPr>
        <w:t xml:space="preserve">12 </w:t>
      </w:r>
      <w:r>
        <w:rPr>
          <w:rFonts w:ascii="Arial" w:hAnsi="Arial"/>
        </w:rPr>
        <w:t xml:space="preserve">months </w:t>
      </w:r>
      <w:r>
        <w:rPr>
          <w:rFonts w:hint="eastAsia" w:ascii="Arial" w:hAnsi="Arial"/>
        </w:rPr>
        <w:t xml:space="preserve">after the date of replacement </w:t>
      </w:r>
      <w:r>
        <w:rPr>
          <w:rFonts w:ascii="Arial" w:hAnsi="Arial"/>
        </w:rPr>
        <w:t>as specified in Clause 1</w:t>
      </w:r>
      <w:r>
        <w:rPr>
          <w:rFonts w:hint="eastAsia" w:ascii="Arial" w:hAnsi="Arial"/>
        </w:rPr>
        <w:t>5</w:t>
      </w:r>
      <w:r>
        <w:rPr>
          <w:rFonts w:ascii="Arial" w:hAnsi="Arial"/>
        </w:rPr>
        <w:t xml:space="preserve"> of this Contract.</w:t>
      </w:r>
    </w:p>
    <w:p w14:paraId="3601F4D3">
      <w:pPr>
        <w:rPr>
          <w:rFonts w:ascii="Arial" w:hAnsi="Arial"/>
        </w:rPr>
      </w:pPr>
      <w:r>
        <w:rPr>
          <w:rFonts w:ascii="Arial" w:hAnsi="Arial"/>
        </w:rPr>
        <w:t>(18)</w:t>
      </w:r>
      <w:r>
        <w:rPr>
          <w:rFonts w:hint="eastAsia" w:ascii="Arial" w:hAnsi="Arial"/>
        </w:rPr>
        <w:t>人力不可抗拒事故：</w:t>
      </w:r>
      <w:r>
        <w:rPr>
          <w:rFonts w:ascii="Arial" w:hAnsi="Arial"/>
        </w:rPr>
        <w:t>FORCE MAJEURE</w:t>
      </w:r>
      <w:r>
        <w:rPr>
          <w:rFonts w:hint="eastAsia" w:ascii="Arial" w:hAnsi="Arial"/>
        </w:rPr>
        <w:t>：</w:t>
      </w:r>
    </w:p>
    <w:p w14:paraId="041A0F02">
      <w:pPr>
        <w:ind w:hanging="720"/>
        <w:rPr>
          <w:rFonts w:ascii="Arial" w:hAnsi="Arial"/>
        </w:rPr>
      </w:pPr>
      <w:r>
        <w:rPr>
          <w:rFonts w:ascii="Arial" w:hAnsi="Arial"/>
        </w:rPr>
        <w:tab/>
      </w:r>
      <w:r>
        <w:rPr>
          <w:rFonts w:hint="eastAsia" w:ascii="Arial" w:hAnsi="Arial"/>
        </w:rPr>
        <w:t>由于人力不可抗拒事故，而卖方交货迟延或不能交货时，责任不在卖方。但卖方应立即将事故通知买方，并于事故发生后十四天内将事故发生地政府主管机关出给的事故证明书用空邮寄交买方为证，并取得买方认可。在上述情况下，卖方仍负有采取一切必要措施从速交货的责任。如果事故持续超过十星期，买方有权撤销本合同。</w:t>
      </w:r>
    </w:p>
    <w:p w14:paraId="76BE76B9">
      <w:pPr>
        <w:rPr>
          <w:rFonts w:ascii="Arial" w:hAnsi="Arial"/>
        </w:rPr>
      </w:pPr>
      <w:r>
        <w:rPr>
          <w:rFonts w:ascii="Arial" w:hAnsi="Arial"/>
        </w:rPr>
        <w:t>The Seller shall not be held responsible for any delay in delivery or nondelivery of the goods due to Force Majeure. However, the Seller shall advise the Buyer immediately of such occurrence and within fourteen days thereafter, shall send by airmail to the Buyer for their acceptance a certificate issued by the competent government authorities of the place where the accident occurs as evidence thereof. Under such circumstances the Seller, however, are still under the obligation to take all necessary measures to hasten the delivery of the goods. In case the accident lasts for more than ten weeks, the Buyer shall have the right to cancel this Contract.</w:t>
      </w:r>
    </w:p>
    <w:p w14:paraId="03DD7D7D">
      <w:pPr>
        <w:rPr>
          <w:rFonts w:ascii="Arial" w:hAnsi="Arial"/>
        </w:rPr>
      </w:pPr>
      <w:r>
        <w:rPr>
          <w:rFonts w:ascii="Arial" w:hAnsi="Arial"/>
        </w:rPr>
        <w:t>(19)</w:t>
      </w:r>
      <w:r>
        <w:rPr>
          <w:rFonts w:hint="eastAsia" w:ascii="Arial" w:hAnsi="Arial"/>
        </w:rPr>
        <w:t>迟交和罚款：</w:t>
      </w:r>
      <w:r>
        <w:rPr>
          <w:rFonts w:ascii="Arial" w:hAnsi="Arial"/>
        </w:rPr>
        <w:t>LATE DELIVERY AND PENALTY</w:t>
      </w:r>
      <w:r>
        <w:rPr>
          <w:rFonts w:hint="eastAsia" w:ascii="Arial" w:hAnsi="Arial"/>
        </w:rPr>
        <w:t>：</w:t>
      </w:r>
    </w:p>
    <w:p w14:paraId="6323D5A3">
      <w:pPr>
        <w:ind w:hanging="720"/>
        <w:rPr>
          <w:rFonts w:ascii="Arial" w:hAnsi="Arial"/>
        </w:rPr>
      </w:pPr>
      <w:r>
        <w:rPr>
          <w:rFonts w:ascii="Arial" w:hAnsi="Arial"/>
        </w:rPr>
        <w:tab/>
      </w:r>
      <w:r>
        <w:rPr>
          <w:rFonts w:hint="eastAsia" w:ascii="Arial" w:hAnsi="Arial"/>
        </w:rPr>
        <w:t>如延迟交货除人力不可抗拒事故外，卖方应付给买方每一星期按迟交货物总值的</w:t>
      </w:r>
      <w:r>
        <w:rPr>
          <w:rFonts w:ascii="Arial" w:hAnsi="Arial"/>
        </w:rPr>
        <w:t>0.5</w:t>
      </w:r>
      <w:r>
        <w:rPr>
          <w:rFonts w:hint="eastAsia" w:ascii="Arial" w:hAnsi="Arial"/>
        </w:rPr>
        <w:t>％的迟交罚款，不足一星期的迟交日数作为一星期计算，此项罚款总额不超过全部货物总值的</w:t>
      </w:r>
      <w:r>
        <w:rPr>
          <w:rFonts w:ascii="Arial" w:hAnsi="Arial"/>
        </w:rPr>
        <w:t>5</w:t>
      </w:r>
      <w:r>
        <w:rPr>
          <w:rFonts w:hint="eastAsia" w:ascii="Arial" w:hAnsi="Arial"/>
        </w:rPr>
        <w:t>％，在议付货款时由银行代为扣除，或由买方在付款时</w:t>
      </w:r>
      <w:r>
        <w:rPr>
          <w:rFonts w:ascii="Arial" w:hAnsi="Arial"/>
        </w:rPr>
        <w:t xml:space="preserve"> </w:t>
      </w:r>
      <w:r>
        <w:rPr>
          <w:rFonts w:hint="eastAsia" w:ascii="Arial" w:hAnsi="Arial"/>
        </w:rPr>
        <w:t>进行扣除。如延迟交货超过原定期限十星期时，买方有权终止本合同。但卖方仍然应向买方缴付以上规定之罚款，不得推诿或迟延。</w:t>
      </w:r>
    </w:p>
    <w:p w14:paraId="70C7B504">
      <w:pPr>
        <w:ind w:hanging="720"/>
        <w:rPr>
          <w:rFonts w:ascii="Arial" w:hAnsi="Arial"/>
        </w:rPr>
      </w:pPr>
      <w:r>
        <w:rPr>
          <w:rFonts w:ascii="Arial" w:hAnsi="Arial"/>
        </w:rPr>
        <w:tab/>
      </w:r>
      <w:r>
        <w:rPr>
          <w:rFonts w:ascii="Arial" w:hAnsi="Arial"/>
        </w:rPr>
        <w:t>In case of delayed delivery, except for force majeure cases, the Seller shall pay to the Buyer for every week of delay a penalty amounting to 0.5% of the total value of the goods whose delivery has been delayed. Any fractional part of a week is to be considered a full week. The total amount of penalty shall not, however, exceed 5% of the total value of the goods involved in late delivery and is to be deducted from the amount due to the Seller by the paying bank at the time of negotiation, or by the Buyer direct at the time of payment. In case the period of delay exceeds 10 weeks after the stipulated delivery date the Buyers have the right to terminate this Contract but the Sellers shall not thereby be exempted from the payment of penalty.</w:t>
      </w:r>
    </w:p>
    <w:p w14:paraId="38783C63">
      <w:pPr>
        <w:rPr>
          <w:rFonts w:ascii="Arial" w:hAnsi="Arial"/>
        </w:rPr>
      </w:pPr>
      <w:r>
        <w:rPr>
          <w:rFonts w:ascii="Arial" w:hAnsi="Arial"/>
        </w:rPr>
        <w:t>(20)</w:t>
      </w:r>
      <w:r>
        <w:rPr>
          <w:rFonts w:hint="eastAsia" w:ascii="Arial" w:hAnsi="Arial"/>
        </w:rPr>
        <w:t>违约和罚款：</w:t>
      </w:r>
      <w:r>
        <w:rPr>
          <w:rFonts w:ascii="Arial" w:hAnsi="Arial"/>
        </w:rPr>
        <w:t>DEFAULT AND PENALTY</w:t>
      </w:r>
      <w:r>
        <w:rPr>
          <w:rFonts w:hint="eastAsia" w:ascii="Arial" w:hAnsi="Arial"/>
        </w:rPr>
        <w:t>：</w:t>
      </w:r>
    </w:p>
    <w:p w14:paraId="77B16506">
      <w:pPr>
        <w:ind w:hanging="720"/>
        <w:rPr>
          <w:rFonts w:ascii="Arial" w:hAnsi="Arial"/>
        </w:rPr>
      </w:pPr>
      <w:r>
        <w:rPr>
          <w:rFonts w:ascii="Arial" w:hAnsi="Arial"/>
        </w:rPr>
        <w:tab/>
      </w:r>
      <w:r>
        <w:rPr>
          <w:rFonts w:hint="eastAsia" w:ascii="Arial" w:hAnsi="Arial"/>
        </w:rPr>
        <w:t>本合同中的卖方/中标公司不能履行本合同规定的条款的或者无法按时发货的，除人力不可抗拒事故外，卖方/中标公司应向买方支付货物总值的10%。</w:t>
      </w:r>
    </w:p>
    <w:p w14:paraId="6B7D86D2">
      <w:pPr>
        <w:ind w:hanging="720"/>
        <w:rPr>
          <w:rFonts w:ascii="Arial" w:hAnsi="Arial"/>
        </w:rPr>
      </w:pPr>
      <w:r>
        <w:rPr>
          <w:rFonts w:ascii="Arial" w:hAnsi="Arial"/>
        </w:rPr>
        <w:tab/>
      </w:r>
      <w:r>
        <w:rPr>
          <w:rFonts w:ascii="Arial" w:hAnsi="Arial"/>
        </w:rPr>
        <w:t xml:space="preserve">In case </w:t>
      </w:r>
      <w:r>
        <w:rPr>
          <w:rFonts w:hint="eastAsia" w:ascii="Arial" w:hAnsi="Arial"/>
        </w:rPr>
        <w:t>that the Seller and or bid Winner shall not carry out this Contract as per the terms stipulated or can not deliver the shipments timely, except for force majeure cases,</w:t>
      </w:r>
      <w:r>
        <w:rPr>
          <w:rFonts w:ascii="Arial" w:hAnsi="Arial"/>
        </w:rPr>
        <w:t xml:space="preserve"> the Seller </w:t>
      </w:r>
      <w:r>
        <w:rPr>
          <w:rFonts w:hint="eastAsia" w:ascii="Arial" w:hAnsi="Arial"/>
        </w:rPr>
        <w:t xml:space="preserve">and or bid Winner </w:t>
      </w:r>
      <w:r>
        <w:rPr>
          <w:rFonts w:ascii="Arial" w:hAnsi="Arial"/>
        </w:rPr>
        <w:t>shall pay to the Buyer for</w:t>
      </w:r>
      <w:r>
        <w:rPr>
          <w:rFonts w:hint="eastAsia" w:ascii="Arial" w:hAnsi="Arial"/>
        </w:rPr>
        <w:t xml:space="preserve"> 10</w:t>
      </w:r>
      <w:r>
        <w:rPr>
          <w:rFonts w:ascii="Arial" w:hAnsi="Arial"/>
        </w:rPr>
        <w:t>% of the total value of the goods</w:t>
      </w:r>
      <w:r>
        <w:rPr>
          <w:rFonts w:hint="eastAsia" w:ascii="Arial" w:hAnsi="Arial"/>
        </w:rPr>
        <w:t>.</w:t>
      </w:r>
    </w:p>
    <w:p w14:paraId="49AA1901">
      <w:pPr>
        <w:rPr>
          <w:rFonts w:ascii="Arial" w:hAnsi="Arial"/>
        </w:rPr>
      </w:pPr>
      <w:r>
        <w:rPr>
          <w:rFonts w:ascii="Arial" w:hAnsi="Arial"/>
        </w:rPr>
        <w:t>(21)</w:t>
      </w:r>
      <w:r>
        <w:rPr>
          <w:rFonts w:hint="eastAsia" w:ascii="Arial" w:hAnsi="Arial"/>
        </w:rPr>
        <w:t>仲裁：</w:t>
      </w:r>
      <w:r>
        <w:rPr>
          <w:rFonts w:ascii="Arial" w:hAnsi="Arial"/>
        </w:rPr>
        <w:t>ARBITRATION</w:t>
      </w:r>
      <w:r>
        <w:rPr>
          <w:rFonts w:hint="eastAsia" w:ascii="Arial" w:hAnsi="Arial"/>
        </w:rPr>
        <w:t>：</w:t>
      </w:r>
    </w:p>
    <w:p w14:paraId="1D8E18CD">
      <w:pPr>
        <w:ind w:hanging="720"/>
        <w:rPr>
          <w:rFonts w:ascii="Arial" w:hAnsi="Arial"/>
        </w:rPr>
      </w:pPr>
      <w:r>
        <w:rPr>
          <w:rFonts w:ascii="Arial" w:hAnsi="Arial"/>
        </w:rPr>
        <w:tab/>
      </w:r>
      <w:r>
        <w:rPr>
          <w:rFonts w:hint="eastAsia" w:ascii="Arial" w:hAnsi="Arial"/>
        </w:rPr>
        <w:t>凡是有关本合同或执行本合同而发生的一切争议，应通过友好协商解决。如不能解决，则应申请</w:t>
      </w:r>
      <w:r>
        <w:rPr>
          <w:rFonts w:hint="eastAsia"/>
          <w:shd w:val="clear" w:color="auto" w:fill="FFFFFF"/>
        </w:rPr>
        <w:t>中国国际经济贸易仲裁委员会</w:t>
      </w:r>
      <w:r>
        <w:rPr>
          <w:rFonts w:hint="eastAsia" w:ascii="Arial" w:hAnsi="Arial"/>
        </w:rPr>
        <w:t>按照</w:t>
      </w:r>
      <w:r>
        <w:rPr>
          <w:rFonts w:hint="eastAsia"/>
          <w:shd w:val="clear" w:color="auto" w:fill="FFFFFF"/>
        </w:rPr>
        <w:t>中国国际经济贸易仲裁委员会</w:t>
      </w:r>
      <w:r>
        <w:rPr>
          <w:rFonts w:hint="eastAsia" w:ascii="Arial" w:hAnsi="Arial"/>
        </w:rPr>
        <w:t>规定的仲裁程序暂行规定在杭州进行仲裁。该仲裁委员会作出的裁决是最终的，买卖双方均受其约束，任何一方不得向其他机关申请变更。仲裁费用由败诉一方负担。</w:t>
      </w:r>
    </w:p>
    <w:p w14:paraId="6F5A375A">
      <w:pPr>
        <w:ind w:hanging="720"/>
        <w:rPr>
          <w:rFonts w:ascii="Arial" w:hAnsi="Arial"/>
        </w:rPr>
      </w:pPr>
      <w:r>
        <w:rPr>
          <w:rFonts w:ascii="Arial" w:hAnsi="Arial"/>
        </w:rPr>
        <w:tab/>
      </w:r>
      <w:r>
        <w:rPr>
          <w:rFonts w:ascii="Arial" w:hAnsi="Arial"/>
        </w:rPr>
        <w:t xml:space="preserve">All disputes in connection with this Contract or the execution thereof shall be settled through friendly negotiations. In case no settlement can be reached through negotiations, the case should then be submitted for arbitration to the </w:t>
      </w:r>
      <w:r>
        <w:rPr>
          <w:rFonts w:ascii="Arial" w:hAnsi="Arial" w:cs="Arial"/>
          <w:shd w:val="clear" w:color="auto" w:fill="FFFFFF"/>
        </w:rPr>
        <w:t>the China International Economic and Trade Arbitration Commission</w:t>
      </w:r>
      <w:r>
        <w:rPr>
          <w:rFonts w:ascii="Arial" w:hAnsi="Arial"/>
        </w:rPr>
        <w:t xml:space="preserve"> for the Promotion of International Trade,</w:t>
      </w:r>
      <w:r>
        <w:rPr>
          <w:rFonts w:hint="eastAsia" w:ascii="Arial" w:hAnsi="Arial"/>
        </w:rPr>
        <w:t xml:space="preserve"> </w:t>
      </w:r>
      <w:r>
        <w:rPr>
          <w:rFonts w:ascii="Arial" w:hAnsi="Arial"/>
        </w:rPr>
        <w:t xml:space="preserve">in accordance with the “Provisional Rules of Procedure of </w:t>
      </w:r>
      <w:r>
        <w:rPr>
          <w:rFonts w:ascii="Arial" w:hAnsi="Arial" w:cs="Arial"/>
          <w:shd w:val="clear" w:color="auto" w:fill="FFFFFF"/>
        </w:rPr>
        <w:t>the China International Economic and Trade Arbitration Commission</w:t>
      </w:r>
      <w:r>
        <w:rPr>
          <w:rFonts w:ascii="Arial" w:hAnsi="Arial"/>
        </w:rPr>
        <w:t xml:space="preserve"> for the Promotion of International Trade”. The arbitration shall take place in Hangzhou and the decision rendered by the said commission shall be final and binding upon both parties; neither party shall seek recourse to a law court or other authorities for revising the decision. The arbitration shall be borne by the losing part.</w:t>
      </w:r>
    </w:p>
    <w:p w14:paraId="730A7173">
      <w:pPr>
        <w:rPr>
          <w:rFonts w:ascii="Arial" w:hAnsi="Arial"/>
        </w:rPr>
      </w:pPr>
      <w:r>
        <w:rPr>
          <w:rFonts w:ascii="Arial" w:hAnsi="Arial"/>
        </w:rPr>
        <w:t>(2</w:t>
      </w:r>
      <w:r>
        <w:rPr>
          <w:rFonts w:hint="eastAsia" w:ascii="Arial" w:hAnsi="Arial"/>
        </w:rPr>
        <w:t>2</w:t>
      </w:r>
      <w:r>
        <w:rPr>
          <w:rFonts w:ascii="Arial" w:hAnsi="Arial"/>
        </w:rPr>
        <w:t>)</w:t>
      </w:r>
      <w:r>
        <w:rPr>
          <w:rFonts w:hint="eastAsia" w:ascii="Arial" w:hAnsi="Arial"/>
        </w:rPr>
        <w:t>适用法律：APPLICABLE LAW：</w:t>
      </w:r>
    </w:p>
    <w:p w14:paraId="72AF4F6C">
      <w:pPr>
        <w:rPr>
          <w:rFonts w:ascii="Arial" w:hAnsi="Arial"/>
        </w:rPr>
      </w:pPr>
      <w:r>
        <w:rPr>
          <w:rFonts w:hint="eastAsia" w:ascii="Arial" w:hAnsi="Arial"/>
        </w:rPr>
        <w:t>本合同的解释应受中华人民共和国法律的制约。</w:t>
      </w:r>
    </w:p>
    <w:p w14:paraId="4A86CBCF">
      <w:pPr>
        <w:rPr>
          <w:rFonts w:ascii="Arial" w:hAnsi="Arial"/>
        </w:rPr>
      </w:pPr>
      <w:r>
        <w:rPr>
          <w:rFonts w:hint="eastAsia" w:ascii="Arial" w:hAnsi="Arial"/>
        </w:rPr>
        <w:t xml:space="preserve">The Contract shall be interpreted in accordance with the laws of </w:t>
      </w:r>
      <w:r>
        <w:rPr>
          <w:rFonts w:ascii="Arial" w:hAnsi="Arial"/>
        </w:rPr>
        <w:t>the</w:t>
      </w:r>
      <w:r>
        <w:rPr>
          <w:rFonts w:hint="eastAsia" w:ascii="Arial" w:hAnsi="Arial"/>
        </w:rPr>
        <w:t xml:space="preserve"> </w:t>
      </w:r>
      <w:r>
        <w:rPr>
          <w:rFonts w:ascii="Arial" w:hAnsi="Arial"/>
        </w:rPr>
        <w:t>People’s Republic of China.</w:t>
      </w:r>
    </w:p>
    <w:p w14:paraId="30459B7E">
      <w:pPr>
        <w:rPr>
          <w:rFonts w:ascii="Arial" w:hAnsi="Arial"/>
        </w:rPr>
      </w:pPr>
      <w:r>
        <w:rPr>
          <w:rFonts w:hint="eastAsia" w:ascii="Arial" w:hAnsi="Arial"/>
        </w:rPr>
        <w:t>(23)合同语言：</w:t>
      </w:r>
      <w:r>
        <w:rPr>
          <w:rFonts w:ascii="Arial" w:hAnsi="Arial"/>
        </w:rPr>
        <w:t>Language of contract:</w:t>
      </w:r>
    </w:p>
    <w:p w14:paraId="796AFBB3">
      <w:pPr>
        <w:rPr>
          <w:rFonts w:ascii="Arial" w:hAnsi="Arial"/>
        </w:rPr>
      </w:pPr>
      <w:r>
        <w:rPr>
          <w:rFonts w:hint="eastAsia" w:ascii="Arial" w:hAnsi="Arial"/>
        </w:rPr>
        <w:t>本合同以中-英文对照，解释以中文为准。</w:t>
      </w:r>
    </w:p>
    <w:p w14:paraId="1846F472">
      <w:pPr>
        <w:rPr>
          <w:rFonts w:ascii="Arial" w:hAnsi="Arial"/>
        </w:rPr>
      </w:pPr>
      <w:r>
        <w:rPr>
          <w:rFonts w:hint="eastAsia" w:ascii="Arial" w:hAnsi="Arial"/>
        </w:rPr>
        <w:t>T</w:t>
      </w:r>
      <w:r>
        <w:rPr>
          <w:rFonts w:ascii="Arial" w:hAnsi="Arial"/>
        </w:rPr>
        <w:t>he Contract is made in Chinese-English version, and shall be interpreted in Chinese.</w:t>
      </w:r>
    </w:p>
    <w:p w14:paraId="751C7AF9">
      <w:pPr>
        <w:rPr>
          <w:rFonts w:ascii="Arial" w:hAnsi="Arial"/>
        </w:rPr>
      </w:pPr>
      <w:r>
        <w:rPr>
          <w:rFonts w:ascii="Arial" w:hAnsi="Arial"/>
        </w:rPr>
        <w:t>(24)</w:t>
      </w:r>
      <w:r>
        <w:rPr>
          <w:rFonts w:hint="eastAsia" w:ascii="Arial" w:hAnsi="Arial"/>
        </w:rPr>
        <w:t>附注：</w:t>
      </w:r>
      <w:r>
        <w:rPr>
          <w:rFonts w:ascii="Arial" w:hAnsi="Arial"/>
        </w:rPr>
        <w:t>REMARKS</w:t>
      </w:r>
      <w:r>
        <w:rPr>
          <w:rFonts w:hint="eastAsia" w:ascii="Arial" w:hAnsi="Arial"/>
        </w:rPr>
        <w:t>：</w:t>
      </w:r>
    </w:p>
    <w:p w14:paraId="60A6A02F">
      <w:pPr>
        <w:rPr>
          <w:rFonts w:ascii="Arial" w:hAnsi="Arial"/>
        </w:rPr>
      </w:pPr>
      <w:r>
        <w:rPr>
          <w:rFonts w:hint="eastAsia" w:ascii="Arial" w:hAnsi="Arial"/>
        </w:rPr>
        <w:t>本合同一式陆份，买方、卖方和中标公司三方各执一份,及最终用户执叁份为凭证。</w:t>
      </w:r>
    </w:p>
    <w:p w14:paraId="735C237B">
      <w:pPr>
        <w:rPr>
          <w:rFonts w:ascii="Arial" w:hAnsi="Arial"/>
        </w:rPr>
      </w:pPr>
      <w:r>
        <w:rPr>
          <w:rFonts w:ascii="Arial" w:hAnsi="Arial"/>
        </w:rPr>
        <w:t xml:space="preserve">This Contract is made out in six original copies, </w:t>
      </w:r>
      <w:r>
        <w:rPr>
          <w:rFonts w:hint="eastAsia" w:ascii="Arial" w:hAnsi="Arial"/>
        </w:rPr>
        <w:t>buyers、sellers</w:t>
      </w:r>
      <w:r>
        <w:rPr>
          <w:rFonts w:ascii="Arial" w:hAnsi="Arial"/>
        </w:rPr>
        <w:t xml:space="preserve"> and </w:t>
      </w:r>
      <w:r>
        <w:rPr>
          <w:rFonts w:hint="eastAsia" w:ascii="Arial" w:hAnsi="Arial"/>
        </w:rPr>
        <w:t xml:space="preserve">Bid Winner held by each one, and the end-user held by </w:t>
      </w:r>
      <w:r>
        <w:rPr>
          <w:rFonts w:ascii="Arial" w:hAnsi="Arial"/>
        </w:rPr>
        <w:t>three</w:t>
      </w:r>
      <w:r>
        <w:rPr>
          <w:rFonts w:hint="eastAsia" w:ascii="Arial" w:hAnsi="Arial"/>
        </w:rPr>
        <w:t xml:space="preserve"> copies</w:t>
      </w:r>
      <w:r>
        <w:rPr>
          <w:rFonts w:ascii="Arial" w:hAnsi="Arial"/>
        </w:rPr>
        <w:t xml:space="preserve"> in witness thereof.</w:t>
      </w:r>
    </w:p>
    <w:p w14:paraId="30CA21EA">
      <w:pPr>
        <w:rPr>
          <w:rFonts w:ascii="Arial" w:hAnsi="Arial"/>
        </w:rPr>
      </w:pPr>
      <w:r>
        <w:rPr>
          <w:rFonts w:ascii="Arial" w:hAnsi="Arial"/>
        </w:rPr>
        <w:t>(2</w:t>
      </w:r>
      <w:r>
        <w:rPr>
          <w:rFonts w:hint="eastAsia" w:ascii="Arial" w:hAnsi="Arial"/>
        </w:rPr>
        <w:t>5</w:t>
      </w:r>
      <w:r>
        <w:rPr>
          <w:rFonts w:ascii="Arial" w:hAnsi="Arial"/>
        </w:rPr>
        <w:t xml:space="preserve">) </w:t>
      </w:r>
      <w:r>
        <w:rPr>
          <w:rFonts w:hint="eastAsia" w:ascii="Arial" w:hAnsi="Arial"/>
        </w:rPr>
        <w:t>特殊条款：</w:t>
      </w:r>
      <w:r>
        <w:rPr>
          <w:rFonts w:ascii="Arial" w:hAnsi="Arial"/>
        </w:rPr>
        <w:t xml:space="preserve">SPECIAL PROVISIONS:     </w:t>
      </w:r>
    </w:p>
    <w:p w14:paraId="5583EE24">
      <w:pPr>
        <w:autoSpaceDE w:val="0"/>
        <w:autoSpaceDN w:val="0"/>
        <w:adjustRightInd w:val="0"/>
        <w:rPr>
          <w:rFonts w:ascii="Arial" w:hAnsi="Arial"/>
        </w:rPr>
      </w:pPr>
      <w:r>
        <w:rPr>
          <w:rFonts w:hint="eastAsia" w:ascii="Arial" w:hAnsi="Arial"/>
        </w:rPr>
        <w:t>1)投标书及招标现场书面承诺均作为合同附件内容，与本合同具同等法律效应。</w:t>
      </w:r>
    </w:p>
    <w:p w14:paraId="4153B6A4">
      <w:pPr>
        <w:autoSpaceDE w:val="0"/>
        <w:autoSpaceDN w:val="0"/>
        <w:adjustRightInd w:val="0"/>
        <w:rPr>
          <w:rFonts w:ascii="Arial" w:hAnsi="Arial"/>
        </w:rPr>
      </w:pPr>
      <w:r>
        <w:rPr>
          <w:rFonts w:ascii="Arial" w:hAnsi="Arial"/>
        </w:rPr>
        <w:t>The bidding documents and written promises made at the site of the tender company are all regarded as the attachments to the contract.</w:t>
      </w:r>
    </w:p>
    <w:p w14:paraId="43928A12">
      <w:pPr>
        <w:rPr>
          <w:rFonts w:ascii="Arial" w:hAnsi="Arial"/>
        </w:rPr>
      </w:pPr>
      <w:r>
        <w:rPr>
          <w:rFonts w:hint="eastAsia" w:ascii="Arial" w:hAnsi="Arial"/>
        </w:rPr>
        <w:t>2</w:t>
      </w:r>
      <w:r>
        <w:rPr>
          <w:rFonts w:ascii="Arial" w:hAnsi="Arial"/>
        </w:rPr>
        <w:t>)</w:t>
      </w:r>
      <w:r>
        <w:rPr>
          <w:rFonts w:hint="eastAsia" w:ascii="Arial" w:hAnsi="Arial"/>
        </w:rPr>
        <w:t>所有的卖方和最终用户的来往电子邮件和传真都将被认为是合同不可分割的部分。</w:t>
      </w:r>
    </w:p>
    <w:p w14:paraId="67C79BDE">
      <w:pPr>
        <w:rPr>
          <w:rFonts w:ascii="Arial" w:hAnsi="Arial"/>
        </w:rPr>
      </w:pPr>
      <w:r>
        <w:rPr>
          <w:rFonts w:ascii="Arial" w:hAnsi="Arial"/>
        </w:rPr>
        <w:t xml:space="preserve">Any E-mail and fax by the Sellers and the End Users shall be considered as an integral part of this Contract. </w:t>
      </w:r>
    </w:p>
    <w:p w14:paraId="6FB390DA">
      <w:pPr>
        <w:rPr>
          <w:rFonts w:ascii="Arial" w:hAnsi="Arial"/>
        </w:rPr>
      </w:pPr>
      <w:r>
        <w:rPr>
          <w:rFonts w:ascii="Arial" w:hAnsi="Arial"/>
        </w:rPr>
        <w:t>3)若因本项目设备海关不予办理免税，最终用户有权决定是否继续执行本合同。如最终用户决定继续执行本合同，则由最终用户承担设备进口所产生的所有海关税款，如最终用户决定不继续执行本合同，则合同执行自行终止，中标方、买方、卖方、最终用户四方均不视作违约。</w:t>
      </w:r>
    </w:p>
    <w:p w14:paraId="56C8E90A">
      <w:pPr>
        <w:rPr>
          <w:rFonts w:ascii="Arial" w:hAnsi="Arial"/>
        </w:rPr>
      </w:pPr>
      <w:r>
        <w:rPr>
          <w:rFonts w:ascii="Arial" w:hAnsi="Arial"/>
        </w:rPr>
        <w:t>If the duty free procedure under this project cannot be approved by the customs office, The End-user have right to decision whether to continue execution of the contract. If the End-user decides to continue the execution of the contract, the end-user will pay customs duties, if the end-user decides not to continue the execution of the contract; this contract will be terminated automatically. The winner of the bid, Buyer, Seller, final end-user will not be charged for any law responsibilities.</w:t>
      </w:r>
    </w:p>
    <w:p w14:paraId="74A1098F">
      <w:pPr>
        <w:rPr>
          <w:rFonts w:ascii="Arial" w:hAnsi="Arial"/>
        </w:rPr>
      </w:pPr>
      <w:r>
        <w:rPr>
          <w:rFonts w:hint="eastAsia" w:ascii="Arial" w:hAnsi="Arial"/>
        </w:rPr>
        <w:t>4</w:t>
      </w:r>
      <w:r>
        <w:rPr>
          <w:rFonts w:ascii="Arial" w:hAnsi="Arial"/>
        </w:rPr>
        <w:t>)</w:t>
      </w:r>
      <w:r>
        <w:rPr>
          <w:rFonts w:hint="eastAsia" w:ascii="Arial" w:hAnsi="Arial"/>
        </w:rPr>
        <w:t>中标公司及卖方若私自将本合同项下以外的其它货物随货一起进关的，一律按国家规定罚没，由此产生的一切经济及法律后果均由中标公司及卖方承担。</w:t>
      </w:r>
    </w:p>
    <w:p w14:paraId="60F8A67D">
      <w:pPr>
        <w:rPr>
          <w:rFonts w:ascii="Arial" w:hAnsi="Arial"/>
        </w:rPr>
      </w:pPr>
      <w:r>
        <w:rPr>
          <w:rFonts w:ascii="Arial" w:hAnsi="Arial"/>
        </w:rPr>
        <w:t>Got bid company and the seller if privately import the other goods under this contract to the domestic,shall be confiscated, all the economic and legal consequences arising therefrom shall be borne by the Got bid company and the seller.</w:t>
      </w:r>
    </w:p>
    <w:p w14:paraId="3E17E6D9">
      <w:pPr>
        <w:rPr>
          <w:rFonts w:ascii="Arial" w:hAnsi="Arial"/>
        </w:rPr>
      </w:pPr>
      <w:r>
        <w:rPr>
          <w:rFonts w:hint="eastAsia" w:ascii="Arial" w:hAnsi="Arial"/>
        </w:rPr>
        <w:t>5</w:t>
      </w:r>
      <w:r>
        <w:rPr>
          <w:rFonts w:ascii="Arial" w:hAnsi="Arial"/>
        </w:rPr>
        <w:t>)</w:t>
      </w:r>
      <w:r>
        <w:rPr>
          <w:rFonts w:hint="eastAsia" w:ascii="Arial" w:hAnsi="Arial"/>
        </w:rPr>
        <w:t>若因本项目设备在货物到达到货港前涉及到进口国执行加征关税等反倾销税情况的，最终用户有权决定是否继续执行本合同。如最终用户决定继续执行本合同，则由最终用户承担设备进口所产生的所有海关税款，如最终用户决定不继续执行本合同，则合同执行自行终止，中标方、买方、卖方、最终用户四方均不视作违约。</w:t>
      </w:r>
    </w:p>
    <w:p w14:paraId="35FFD9B7">
      <w:pPr>
        <w:rPr>
          <w:rFonts w:ascii="Arial" w:hAnsi="Arial"/>
        </w:rPr>
      </w:pPr>
      <w:r>
        <w:rPr>
          <w:rFonts w:ascii="Arial" w:hAnsi="Arial"/>
        </w:rPr>
        <w:t>If the equipment of the project is involved in the anti-dumping duties imposed by the importing countries prior to the arrival of the goods,The End-user have right to decision whether to continue execution of the contract. If the End-user decides to continue the execution of the contract, the end-user will pay customs duties, if the end-user decides not to continue the execution of the contract; this contract will be terminated automatically. The winner of the bid, Buyer, Seller, final end-user will not be charged for any law responsibilities.</w:t>
      </w:r>
    </w:p>
    <w:p w14:paraId="335014E0">
      <w:pPr>
        <w:rPr>
          <w:rFonts w:ascii="Arial" w:hAnsi="Arial"/>
        </w:rPr>
      </w:pPr>
    </w:p>
    <w:p w14:paraId="223DB596">
      <w:pPr>
        <w:rPr>
          <w:rFonts w:ascii="Arial" w:hAnsi="Arial"/>
        </w:rPr>
      </w:pPr>
    </w:p>
    <w:p w14:paraId="346BF7A9">
      <w:pPr>
        <w:rPr>
          <w:rFonts w:ascii="Arial" w:hAnsi="Arial"/>
        </w:rPr>
      </w:pPr>
    </w:p>
    <w:p w14:paraId="2D08E2C4">
      <w:pPr>
        <w:rPr>
          <w:rFonts w:ascii="Arial" w:hAnsi="Arial"/>
        </w:rPr>
      </w:pPr>
    </w:p>
    <w:p w14:paraId="48F040E9">
      <w:pPr>
        <w:rPr>
          <w:rFonts w:ascii="Arial" w:hAnsi="Arial"/>
        </w:rPr>
      </w:pPr>
      <w:r>
        <w:rPr>
          <w:rFonts w:hint="eastAsia" w:ascii="Arial" w:hAnsi="Arial"/>
        </w:rPr>
        <w:t>中标公司：X</w:t>
      </w:r>
      <w:r>
        <w:rPr>
          <w:rFonts w:ascii="Arial" w:hAnsi="Arial"/>
        </w:rPr>
        <w:t>XXX</w:t>
      </w:r>
    </w:p>
    <w:p w14:paraId="43F6FDF7">
      <w:pPr>
        <w:rPr>
          <w:rFonts w:ascii="Arial" w:hAnsi="Arial"/>
        </w:rPr>
      </w:pPr>
      <w:r>
        <w:rPr>
          <w:rFonts w:hint="eastAsia" w:ascii="Arial" w:hAnsi="Arial"/>
        </w:rPr>
        <w:t>Bid Winner：</w:t>
      </w:r>
      <w:r>
        <w:rPr>
          <w:rFonts w:ascii="Arial" w:hAnsi="Arial"/>
        </w:rPr>
        <w:t>XXXXX</w:t>
      </w:r>
    </w:p>
    <w:p w14:paraId="7579C5F8">
      <w:pPr>
        <w:rPr>
          <w:rFonts w:ascii="Arial" w:hAnsi="Arial"/>
        </w:rPr>
      </w:pPr>
      <w:r>
        <w:rPr>
          <w:rFonts w:ascii="Arial" w:hAnsi="Arial"/>
        </w:rPr>
        <w:t xml:space="preserve">Signed and Stamped By_____________________ </w:t>
      </w:r>
    </w:p>
    <w:p w14:paraId="5BACA1BF">
      <w:pPr>
        <w:rPr>
          <w:rFonts w:ascii="Arial" w:hAnsi="Arial"/>
        </w:rPr>
      </w:pPr>
      <w:r>
        <w:rPr>
          <w:rFonts w:ascii="Arial" w:hAnsi="Arial"/>
        </w:rPr>
        <w:t>Date</w:t>
      </w:r>
      <w:r>
        <w:rPr>
          <w:rFonts w:hint="eastAsia" w:ascii="Arial" w:hAnsi="Arial"/>
        </w:rPr>
        <w:t>：</w:t>
      </w:r>
      <w:r>
        <w:rPr>
          <w:rFonts w:ascii="Arial" w:hAnsi="Arial"/>
        </w:rPr>
        <w:t xml:space="preserve">      </w:t>
      </w:r>
    </w:p>
    <w:p w14:paraId="08C5F089">
      <w:pPr>
        <w:rPr>
          <w:rFonts w:ascii="Arial" w:hAnsi="Arial"/>
        </w:rPr>
      </w:pPr>
    </w:p>
    <w:p w14:paraId="2CA96A93">
      <w:pPr>
        <w:rPr>
          <w:rFonts w:ascii="Arial" w:hAnsi="Arial"/>
        </w:rPr>
      </w:pPr>
    </w:p>
    <w:p w14:paraId="7A6A42B8">
      <w:pPr>
        <w:rPr>
          <w:rFonts w:ascii="Arial" w:hAnsi="Arial"/>
        </w:rPr>
      </w:pPr>
    </w:p>
    <w:p w14:paraId="598E8B52">
      <w:pPr>
        <w:rPr>
          <w:rFonts w:ascii="Arial" w:hAnsi="Arial"/>
        </w:rPr>
      </w:pPr>
    </w:p>
    <w:p w14:paraId="4C83BA01">
      <w:pPr>
        <w:rPr>
          <w:rFonts w:ascii="Arial" w:hAnsi="Arial"/>
        </w:rPr>
      </w:pPr>
    </w:p>
    <w:p w14:paraId="7483A3CF">
      <w:pPr>
        <w:rPr>
          <w:rFonts w:ascii="Arial" w:hAnsi="Arial"/>
        </w:rPr>
      </w:pPr>
      <w:r>
        <w:rPr>
          <w:rFonts w:hint="eastAsia" w:ascii="Arial" w:hAnsi="Arial"/>
        </w:rPr>
        <w:t>卖方：X</w:t>
      </w:r>
      <w:r>
        <w:rPr>
          <w:rFonts w:ascii="Arial" w:hAnsi="Arial"/>
        </w:rPr>
        <w:t>XXX</w:t>
      </w:r>
    </w:p>
    <w:p w14:paraId="7930282B">
      <w:pPr>
        <w:rPr>
          <w:rFonts w:ascii="Arial" w:hAnsi="Arial"/>
        </w:rPr>
      </w:pPr>
      <w:r>
        <w:rPr>
          <w:rFonts w:ascii="Arial" w:hAnsi="Arial"/>
        </w:rPr>
        <w:t xml:space="preserve">The </w:t>
      </w:r>
      <w:r>
        <w:rPr>
          <w:rFonts w:hint="eastAsia" w:ascii="Arial" w:hAnsi="Arial"/>
        </w:rPr>
        <w:t>Selle</w:t>
      </w:r>
      <w:r>
        <w:rPr>
          <w:rFonts w:ascii="Arial" w:hAnsi="Arial"/>
        </w:rPr>
        <w:t>r</w:t>
      </w:r>
      <w:r>
        <w:rPr>
          <w:rFonts w:hint="eastAsia" w:ascii="Arial" w:hAnsi="Arial"/>
        </w:rPr>
        <w:t>：</w:t>
      </w:r>
      <w:r>
        <w:rPr>
          <w:rFonts w:ascii="Arial" w:hAnsi="Arial"/>
        </w:rPr>
        <w:t>XXXXX</w:t>
      </w:r>
    </w:p>
    <w:p w14:paraId="4781F015">
      <w:pPr>
        <w:rPr>
          <w:rFonts w:ascii="Arial" w:hAnsi="Arial"/>
        </w:rPr>
      </w:pPr>
      <w:r>
        <w:rPr>
          <w:rFonts w:ascii="Arial" w:hAnsi="Arial"/>
        </w:rPr>
        <w:t xml:space="preserve">Signed and Stamped By_____________________ </w:t>
      </w:r>
    </w:p>
    <w:p w14:paraId="5EE43636">
      <w:pPr>
        <w:rPr>
          <w:rFonts w:ascii="Arial" w:hAnsi="Arial"/>
        </w:rPr>
      </w:pPr>
      <w:r>
        <w:rPr>
          <w:rFonts w:ascii="Arial" w:hAnsi="Arial"/>
        </w:rPr>
        <w:t>Date</w:t>
      </w:r>
      <w:r>
        <w:rPr>
          <w:rFonts w:hint="eastAsia" w:ascii="Arial" w:hAnsi="Arial"/>
        </w:rPr>
        <w:t>：</w:t>
      </w:r>
      <w:r>
        <w:rPr>
          <w:rFonts w:ascii="Arial" w:hAnsi="Arial"/>
        </w:rPr>
        <w:t xml:space="preserve">      </w:t>
      </w:r>
    </w:p>
    <w:p w14:paraId="740094A0">
      <w:pPr>
        <w:rPr>
          <w:rFonts w:ascii="Arial" w:hAnsi="Arial"/>
        </w:rPr>
      </w:pPr>
    </w:p>
    <w:p w14:paraId="5552A440">
      <w:pPr>
        <w:rPr>
          <w:rFonts w:ascii="Arial" w:hAnsi="Arial"/>
        </w:rPr>
      </w:pPr>
    </w:p>
    <w:p w14:paraId="5E741B44">
      <w:pPr>
        <w:rPr>
          <w:rFonts w:ascii="Arial" w:hAnsi="Arial"/>
        </w:rPr>
      </w:pPr>
      <w:r>
        <w:rPr>
          <w:rFonts w:hint="eastAsia" w:ascii="Arial" w:hAnsi="Arial"/>
        </w:rPr>
        <w:t xml:space="preserve"> </w:t>
      </w:r>
    </w:p>
    <w:p w14:paraId="2746EEC0">
      <w:pPr>
        <w:rPr>
          <w:rFonts w:ascii="Arial" w:hAnsi="Arial"/>
        </w:rPr>
      </w:pPr>
    </w:p>
    <w:p w14:paraId="6741F691">
      <w:pPr>
        <w:rPr>
          <w:rFonts w:ascii="Arial" w:hAnsi="Arial"/>
        </w:rPr>
      </w:pPr>
      <w:r>
        <w:rPr>
          <w:rFonts w:hint="eastAsia" w:ascii="Arial" w:hAnsi="Arial"/>
        </w:rPr>
        <w:t xml:space="preserve">        </w:t>
      </w:r>
    </w:p>
    <w:p w14:paraId="689D0911">
      <w:pPr>
        <w:rPr>
          <w:rFonts w:ascii="Arial" w:hAnsi="Arial"/>
        </w:rPr>
      </w:pPr>
      <w:r>
        <w:rPr>
          <w:rFonts w:hint="eastAsia" w:ascii="Arial" w:hAnsi="Arial"/>
        </w:rPr>
        <w:t>买方：宁波中基国际招标有限公司</w:t>
      </w:r>
      <w:r>
        <w:rPr>
          <w:rFonts w:ascii="Arial" w:hAnsi="Arial"/>
        </w:rPr>
        <w:tab/>
      </w:r>
      <w:r>
        <w:rPr>
          <w:rFonts w:ascii="Arial" w:hAnsi="Arial"/>
        </w:rPr>
        <w:tab/>
      </w:r>
    </w:p>
    <w:p w14:paraId="6B71BCB2">
      <w:pPr>
        <w:rPr>
          <w:rFonts w:ascii="Arial" w:hAnsi="Arial"/>
        </w:rPr>
      </w:pPr>
      <w:r>
        <w:rPr>
          <w:rFonts w:ascii="Arial" w:hAnsi="Arial"/>
        </w:rPr>
        <w:t>The Buyer</w:t>
      </w:r>
      <w:r>
        <w:rPr>
          <w:rFonts w:hint="eastAsia" w:ascii="Arial" w:hAnsi="Arial"/>
        </w:rPr>
        <w:t>：</w:t>
      </w:r>
      <w:r>
        <w:rPr>
          <w:rFonts w:ascii="Arial" w:hAnsi="Arial"/>
        </w:rPr>
        <w:t xml:space="preserve">NINGBO </w:t>
      </w:r>
      <w:r>
        <w:rPr>
          <w:rFonts w:hint="eastAsia" w:ascii="Arial" w:hAnsi="Arial"/>
        </w:rPr>
        <w:t xml:space="preserve">CHINA-BASE </w:t>
      </w:r>
      <w:r>
        <w:rPr>
          <w:rFonts w:ascii="Arial" w:hAnsi="Arial"/>
        </w:rPr>
        <w:t>INTERNATIONAL TENDERING CO.,LTD.</w:t>
      </w:r>
      <w:r>
        <w:rPr>
          <w:rFonts w:ascii="Arial" w:hAnsi="Arial"/>
        </w:rPr>
        <w:tab/>
      </w:r>
    </w:p>
    <w:p w14:paraId="0560EB9C">
      <w:pPr>
        <w:rPr>
          <w:rFonts w:ascii="Arial" w:hAnsi="Arial"/>
        </w:rPr>
      </w:pPr>
      <w:r>
        <w:rPr>
          <w:rFonts w:ascii="Arial" w:hAnsi="Arial"/>
        </w:rPr>
        <w:t xml:space="preserve">Signed and Stamped By_____________________ </w:t>
      </w:r>
    </w:p>
    <w:p w14:paraId="723B655C">
      <w:pPr>
        <w:rPr>
          <w:rFonts w:ascii="Arial" w:hAnsi="Arial"/>
        </w:rPr>
      </w:pPr>
      <w:r>
        <w:rPr>
          <w:rFonts w:ascii="Arial" w:hAnsi="Arial"/>
        </w:rPr>
        <w:t>Date</w:t>
      </w:r>
      <w:r>
        <w:rPr>
          <w:rFonts w:hint="eastAsia" w:ascii="Arial" w:hAnsi="Arial"/>
        </w:rPr>
        <w:t>：</w:t>
      </w:r>
      <w:r>
        <w:rPr>
          <w:rFonts w:ascii="Arial" w:hAnsi="Arial"/>
        </w:rPr>
        <w:t xml:space="preserve">   </w:t>
      </w:r>
    </w:p>
    <w:p w14:paraId="6BAC6245">
      <w:pPr>
        <w:rPr>
          <w:rFonts w:ascii="Arial" w:hAnsi="Arial"/>
        </w:rPr>
      </w:pPr>
      <w:r>
        <w:rPr>
          <w:rFonts w:hint="eastAsia" w:ascii="Arial" w:hAnsi="Arial"/>
        </w:rPr>
        <w:t xml:space="preserve"> </w:t>
      </w:r>
      <w:r>
        <w:rPr>
          <w:rFonts w:ascii="Arial" w:hAnsi="Arial"/>
        </w:rPr>
        <w:t xml:space="preserve">  </w:t>
      </w:r>
    </w:p>
    <w:p w14:paraId="4F42E7FA">
      <w:pPr>
        <w:ind w:firstLine="425"/>
        <w:rPr>
          <w:rFonts w:ascii="Arial" w:hAnsi="Arial"/>
        </w:rPr>
      </w:pPr>
    </w:p>
    <w:p w14:paraId="54CA45D9">
      <w:pPr>
        <w:ind w:firstLine="425"/>
        <w:rPr>
          <w:rFonts w:ascii="Arial" w:hAnsi="Arial"/>
        </w:rPr>
      </w:pPr>
    </w:p>
    <w:p w14:paraId="6EE6827A">
      <w:pPr>
        <w:rPr>
          <w:rFonts w:ascii="Arial" w:hAnsi="Arial"/>
        </w:rPr>
      </w:pPr>
    </w:p>
    <w:p w14:paraId="1C286AB3">
      <w:pPr>
        <w:rPr>
          <w:rFonts w:ascii="Arial" w:hAnsi="Arial"/>
        </w:rPr>
      </w:pPr>
      <w:r>
        <w:rPr>
          <w:rFonts w:hint="eastAsia" w:ascii="Arial" w:hAnsi="Arial"/>
        </w:rPr>
        <w:t xml:space="preserve">                 </w:t>
      </w:r>
      <w:r>
        <w:rPr>
          <w:rFonts w:hint="eastAsia" w:ascii="Arial" w:hAnsi="Arial"/>
        </w:rPr>
        <w:tab/>
      </w:r>
      <w:r>
        <w:rPr>
          <w:rFonts w:hint="eastAsia" w:ascii="Arial" w:hAnsi="Arial"/>
        </w:rPr>
        <w:t xml:space="preserve">   </w:t>
      </w:r>
    </w:p>
    <w:p w14:paraId="5592098D">
      <w:pPr>
        <w:rPr>
          <w:rFonts w:ascii="Arial" w:hAnsi="Arial"/>
        </w:rPr>
      </w:pPr>
      <w:r>
        <w:rPr>
          <w:rFonts w:hint="eastAsia" w:ascii="Arial" w:hAnsi="Arial"/>
        </w:rPr>
        <w:t>最终用户：浙江大学宁波“五位一体”校区教育发展中心</w:t>
      </w:r>
    </w:p>
    <w:p w14:paraId="5E854CB9">
      <w:pPr>
        <w:rPr>
          <w:rFonts w:ascii="Arial" w:hAnsi="Arial"/>
        </w:rPr>
      </w:pPr>
      <w:r>
        <w:rPr>
          <w:rFonts w:hint="eastAsia" w:ascii="Arial" w:hAnsi="Arial"/>
        </w:rPr>
        <w:t>T</w:t>
      </w:r>
      <w:r>
        <w:rPr>
          <w:rFonts w:ascii="Arial" w:hAnsi="Arial"/>
        </w:rPr>
        <w:t>he End-user</w:t>
      </w:r>
      <w:r>
        <w:rPr>
          <w:rFonts w:hint="eastAsia" w:ascii="Arial" w:hAnsi="Arial"/>
        </w:rPr>
        <w:t>：</w:t>
      </w:r>
      <w:r>
        <w:rPr>
          <w:rFonts w:ascii="Arial" w:hAnsi="Arial"/>
        </w:rPr>
        <w:t>NINGBO INNOVATION CENTER, ZHEJIANG UNIVERSITY</w:t>
      </w:r>
    </w:p>
    <w:p w14:paraId="3ADD41A1">
      <w:pPr>
        <w:rPr>
          <w:rFonts w:ascii="Arial" w:hAnsi="Arial"/>
        </w:rPr>
      </w:pPr>
      <w:r>
        <w:rPr>
          <w:rFonts w:ascii="Arial" w:hAnsi="Arial"/>
        </w:rPr>
        <w:t xml:space="preserve">Signed and Stamped By_____________________ </w:t>
      </w:r>
    </w:p>
    <w:p w14:paraId="552B90F5">
      <w:pPr>
        <w:rPr>
          <w:rFonts w:ascii="Arial" w:hAnsi="Arial"/>
        </w:rPr>
      </w:pPr>
      <w:r>
        <w:rPr>
          <w:rFonts w:ascii="Arial" w:hAnsi="Arial"/>
        </w:rPr>
        <w:t>Date</w:t>
      </w:r>
      <w:r>
        <w:rPr>
          <w:rFonts w:hint="eastAsia" w:ascii="Arial" w:hAnsi="Arial"/>
        </w:rPr>
        <w:t>：</w:t>
      </w:r>
      <w:r>
        <w:rPr>
          <w:rFonts w:ascii="Arial" w:hAnsi="Arial"/>
        </w:rPr>
        <w:t xml:space="preserve">      </w:t>
      </w:r>
    </w:p>
    <w:p w14:paraId="0364EE2F">
      <w:pPr>
        <w:rPr>
          <w:rFonts w:hint="eastAsia" w:ascii="宋体" w:hAnsi="宋体"/>
          <w:b/>
          <w:sz w:val="36"/>
          <w:szCs w:val="36"/>
        </w:rPr>
      </w:pPr>
      <w:bookmarkStart w:id="40" w:name="_Toc531698508"/>
    </w:p>
    <w:p w14:paraId="5212391F">
      <w:pPr>
        <w:jc w:val="center"/>
        <w:rPr>
          <w:rFonts w:hint="eastAsia" w:ascii="宋体" w:hAnsi="宋体"/>
          <w:b/>
        </w:rPr>
      </w:pPr>
      <w:r>
        <w:rPr>
          <w:rFonts w:hint="eastAsia" w:ascii="宋体" w:hAnsi="宋体"/>
          <w:b/>
        </w:rPr>
        <w:t>配置清单</w:t>
      </w:r>
      <w:bookmarkEnd w:id="40"/>
    </w:p>
    <w:p w14:paraId="20262F02">
      <w:pPr>
        <w:jc w:val="center"/>
        <w:rPr>
          <w:rFonts w:hint="eastAsia" w:ascii="宋体" w:hAnsi="宋体"/>
          <w:b/>
        </w:rPr>
      </w:pPr>
    </w:p>
    <w:tbl>
      <w:tblPr>
        <w:tblStyle w:val="44"/>
        <w:tblW w:w="8629" w:type="dxa"/>
        <w:tblInd w:w="35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897"/>
        <w:gridCol w:w="1356"/>
        <w:gridCol w:w="1576"/>
        <w:gridCol w:w="1800"/>
      </w:tblGrid>
      <w:tr w14:paraId="65C5ED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897" w:type="dxa"/>
            <w:vAlign w:val="center"/>
          </w:tcPr>
          <w:p w14:paraId="73E623E9">
            <w:pPr>
              <w:spacing w:line="360" w:lineRule="auto"/>
              <w:jc w:val="center"/>
              <w:rPr>
                <w:rFonts w:hint="eastAsia" w:ascii="宋体" w:hAnsi="宋体"/>
              </w:rPr>
            </w:pPr>
            <w:r>
              <w:rPr>
                <w:rFonts w:hint="eastAsia" w:ascii="宋体" w:hAnsi="宋体"/>
              </w:rPr>
              <w:t>货物名称</w:t>
            </w:r>
          </w:p>
        </w:tc>
        <w:tc>
          <w:tcPr>
            <w:tcW w:w="1356" w:type="dxa"/>
            <w:vAlign w:val="center"/>
          </w:tcPr>
          <w:p w14:paraId="5EFC86B9">
            <w:pPr>
              <w:spacing w:line="360" w:lineRule="auto"/>
              <w:jc w:val="center"/>
              <w:rPr>
                <w:rFonts w:hint="eastAsia" w:ascii="宋体" w:hAnsi="宋体"/>
              </w:rPr>
            </w:pPr>
            <w:r>
              <w:rPr>
                <w:rFonts w:hint="eastAsia" w:ascii="宋体" w:hAnsi="宋体"/>
              </w:rPr>
              <w:t>主要规格</w:t>
            </w:r>
          </w:p>
        </w:tc>
        <w:tc>
          <w:tcPr>
            <w:tcW w:w="1576" w:type="dxa"/>
            <w:vAlign w:val="center"/>
          </w:tcPr>
          <w:p w14:paraId="18C94266">
            <w:pPr>
              <w:spacing w:line="360" w:lineRule="auto"/>
              <w:jc w:val="center"/>
              <w:rPr>
                <w:rFonts w:hint="eastAsia" w:ascii="宋体" w:hAnsi="宋体"/>
              </w:rPr>
            </w:pPr>
            <w:r>
              <w:rPr>
                <w:rFonts w:hint="eastAsia" w:ascii="宋体" w:hAnsi="宋体"/>
              </w:rPr>
              <w:t>数量</w:t>
            </w:r>
          </w:p>
        </w:tc>
        <w:tc>
          <w:tcPr>
            <w:tcW w:w="1800" w:type="dxa"/>
            <w:vAlign w:val="center"/>
          </w:tcPr>
          <w:p w14:paraId="7C04F8B3">
            <w:pPr>
              <w:spacing w:line="360" w:lineRule="auto"/>
              <w:jc w:val="center"/>
              <w:rPr>
                <w:rFonts w:hint="eastAsia" w:ascii="宋体" w:hAnsi="宋体"/>
              </w:rPr>
            </w:pPr>
            <w:r>
              <w:rPr>
                <w:rFonts w:hint="eastAsia" w:ascii="宋体" w:hAnsi="宋体"/>
              </w:rPr>
              <w:t>备注</w:t>
            </w:r>
          </w:p>
        </w:tc>
      </w:tr>
      <w:tr w14:paraId="19CD0B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3897" w:type="dxa"/>
            <w:vAlign w:val="center"/>
          </w:tcPr>
          <w:p w14:paraId="752E848E">
            <w:pPr>
              <w:spacing w:line="360" w:lineRule="auto"/>
              <w:ind w:right="-911" w:rightChars="-434"/>
              <w:jc w:val="center"/>
              <w:rPr>
                <w:rFonts w:hint="eastAsia" w:ascii="宋体" w:hAnsi="宋体"/>
              </w:rPr>
            </w:pPr>
            <w:r>
              <w:rPr>
                <w:rFonts w:hint="eastAsia" w:ascii="宋体" w:hAnsi="宋体"/>
              </w:rPr>
              <w:t>X</w:t>
            </w:r>
            <w:r>
              <w:rPr>
                <w:rFonts w:ascii="宋体" w:hAnsi="宋体"/>
              </w:rPr>
              <w:t>XX</w:t>
            </w:r>
          </w:p>
        </w:tc>
        <w:tc>
          <w:tcPr>
            <w:tcW w:w="1356" w:type="dxa"/>
            <w:vAlign w:val="center"/>
          </w:tcPr>
          <w:p w14:paraId="14A04203">
            <w:pPr>
              <w:spacing w:line="360" w:lineRule="auto"/>
              <w:jc w:val="center"/>
              <w:rPr>
                <w:rFonts w:hint="eastAsia" w:ascii="宋体" w:hAnsi="宋体"/>
              </w:rPr>
            </w:pPr>
            <w:r>
              <w:rPr>
                <w:rFonts w:hint="eastAsia" w:ascii="宋体" w:hAnsi="宋体"/>
              </w:rPr>
              <w:t>X</w:t>
            </w:r>
            <w:r>
              <w:rPr>
                <w:rFonts w:ascii="宋体" w:hAnsi="宋体"/>
              </w:rPr>
              <w:t>XX</w:t>
            </w:r>
          </w:p>
        </w:tc>
        <w:tc>
          <w:tcPr>
            <w:tcW w:w="1576" w:type="dxa"/>
            <w:vAlign w:val="center"/>
          </w:tcPr>
          <w:p w14:paraId="63111B78">
            <w:pPr>
              <w:jc w:val="center"/>
              <w:rPr>
                <w:rFonts w:hint="eastAsia" w:ascii="宋体" w:hAnsi="宋体"/>
                <w:spacing w:val="20"/>
              </w:rPr>
            </w:pPr>
            <w:r>
              <w:rPr>
                <w:rFonts w:hint="eastAsia" w:ascii="宋体" w:hAnsi="宋体"/>
                <w:spacing w:val="20"/>
              </w:rPr>
              <w:t>X</w:t>
            </w:r>
            <w:r>
              <w:rPr>
                <w:rFonts w:ascii="宋体" w:hAnsi="宋体"/>
                <w:spacing w:val="20"/>
              </w:rPr>
              <w:t>XX</w:t>
            </w:r>
          </w:p>
        </w:tc>
        <w:tc>
          <w:tcPr>
            <w:tcW w:w="1800" w:type="dxa"/>
            <w:vAlign w:val="center"/>
          </w:tcPr>
          <w:p w14:paraId="2257B525">
            <w:pPr>
              <w:spacing w:line="360" w:lineRule="auto"/>
              <w:jc w:val="center"/>
              <w:rPr>
                <w:rFonts w:hint="eastAsia" w:ascii="宋体" w:hAnsi="宋体"/>
              </w:rPr>
            </w:pPr>
            <w:r>
              <w:rPr>
                <w:rFonts w:hint="eastAsia" w:ascii="宋体" w:hAnsi="宋体"/>
              </w:rPr>
              <w:t>X</w:t>
            </w:r>
            <w:r>
              <w:rPr>
                <w:rFonts w:ascii="宋体" w:hAnsi="宋体"/>
              </w:rPr>
              <w:t>XX</w:t>
            </w:r>
          </w:p>
        </w:tc>
      </w:tr>
    </w:tbl>
    <w:p w14:paraId="6A31D8A4">
      <w:pPr>
        <w:widowControl/>
        <w:tabs>
          <w:tab w:val="left" w:pos="2310"/>
        </w:tabs>
        <w:spacing w:line="360" w:lineRule="auto"/>
        <w:ind w:firstLine="342" w:firstLineChars="163"/>
        <w:rPr>
          <w:rFonts w:hint="eastAsia" w:cs="仿宋" w:asciiTheme="minorEastAsia" w:hAnsiTheme="minorEastAsia" w:eastAsiaTheme="minorEastAsia"/>
          <w:szCs w:val="21"/>
        </w:rPr>
      </w:pPr>
      <w:r>
        <w:rPr>
          <w:rFonts w:ascii="宋体" w:hAnsi="宋体"/>
        </w:rPr>
        <w:br w:type="page"/>
      </w:r>
    </w:p>
    <w:p w14:paraId="155106FD">
      <w:pPr>
        <w:pStyle w:val="387"/>
        <w:spacing w:line="360" w:lineRule="auto"/>
        <w:ind w:left="0" w:leftChars="0" w:firstLine="513" w:firstLineChars="213"/>
        <w:jc w:val="center"/>
        <w:rPr>
          <w:rFonts w:hint="eastAsia" w:asciiTheme="majorEastAsia" w:hAnsiTheme="majorEastAsia" w:eastAsiaTheme="majorEastAsia"/>
          <w:b/>
          <w:sz w:val="28"/>
        </w:rPr>
      </w:pPr>
      <w:bookmarkStart w:id="41" w:name="投标文件格式"/>
      <w:bookmarkEnd w:id="41"/>
      <w:r>
        <w:rPr>
          <w:rFonts w:hint="eastAsia" w:asciiTheme="majorEastAsia" w:hAnsiTheme="majorEastAsia" w:eastAsiaTheme="majorEastAsia"/>
          <w:b/>
          <w:sz w:val="24"/>
        </w:rPr>
        <w:t>第六章  投标文件格式</w:t>
      </w:r>
      <w:bookmarkEnd w:id="37"/>
    </w:p>
    <w:p w14:paraId="6085D19A">
      <w:pPr>
        <w:snapToGrid w:val="0"/>
        <w:spacing w:line="360" w:lineRule="auto"/>
        <w:ind w:left="-23" w:leftChars="-11" w:right="-214" w:rightChars="-102" w:firstLine="21" w:firstLineChars="10"/>
        <w:jc w:val="left"/>
        <w:rPr>
          <w:rFonts w:hint="eastAsia" w:asciiTheme="majorEastAsia" w:hAnsiTheme="majorEastAsia" w:eastAsiaTheme="majorEastAsia"/>
          <w:b/>
        </w:rPr>
      </w:pPr>
      <w:r>
        <w:rPr>
          <w:rFonts w:hint="eastAsia" w:asciiTheme="majorEastAsia" w:hAnsiTheme="majorEastAsia" w:eastAsiaTheme="majorEastAsia"/>
          <w:b/>
        </w:rPr>
        <w:t>1、资格要求响应文件的有关格式</w:t>
      </w:r>
    </w:p>
    <w:p w14:paraId="08C6FBE8">
      <w:pPr>
        <w:pStyle w:val="3"/>
        <w:spacing w:line="360" w:lineRule="auto"/>
        <w:ind w:left="0" w:leftChars="0"/>
        <w:jc w:val="center"/>
        <w:rPr>
          <w:rFonts w:hint="eastAsia" w:cs="宋体" w:asciiTheme="majorEastAsia" w:hAnsiTheme="majorEastAsia" w:eastAsiaTheme="majorEastAsia"/>
          <w:b/>
          <w:kern w:val="1"/>
          <w:szCs w:val="21"/>
        </w:rPr>
      </w:pPr>
      <w:r>
        <w:rPr>
          <w:rFonts w:hint="eastAsia" w:cs="宋体" w:asciiTheme="majorEastAsia" w:hAnsiTheme="majorEastAsia" w:eastAsiaTheme="majorEastAsia"/>
          <w:b/>
          <w:sz w:val="21"/>
          <w:szCs w:val="21"/>
        </w:rPr>
        <w:t>1）</w:t>
      </w:r>
      <w:r>
        <w:rPr>
          <w:rFonts w:cs="宋体" w:asciiTheme="majorEastAsia" w:hAnsiTheme="majorEastAsia" w:eastAsiaTheme="majorEastAsia"/>
          <w:b/>
          <w:sz w:val="21"/>
          <w:szCs w:val="21"/>
        </w:rPr>
        <w:t>投标人资格声明函</w:t>
      </w:r>
    </w:p>
    <w:p w14:paraId="54BAA987">
      <w:pPr>
        <w:spacing w:line="360" w:lineRule="auto"/>
        <w:rPr>
          <w:rFonts w:hint="eastAsia" w:cs="宋体" w:asciiTheme="majorEastAsia" w:hAnsiTheme="majorEastAsia" w:eastAsiaTheme="majorEastAsia"/>
          <w:b/>
          <w:kern w:val="1"/>
          <w:szCs w:val="21"/>
        </w:rPr>
      </w:pPr>
      <w:r>
        <w:rPr>
          <w:rFonts w:hint="eastAsia" w:asciiTheme="majorEastAsia" w:hAnsiTheme="majorEastAsia" w:eastAsiaTheme="majorEastAsia"/>
          <w:bCs/>
          <w:szCs w:val="21"/>
        </w:rPr>
        <w:t>致：</w:t>
      </w:r>
      <w:r>
        <w:rPr>
          <w:rFonts w:hint="eastAsia" w:asciiTheme="majorEastAsia" w:hAnsiTheme="majorEastAsia" w:eastAsiaTheme="majorEastAsia"/>
          <w:szCs w:val="21"/>
          <w:u w:val="single"/>
        </w:rPr>
        <w:t>浙江大学宁波“五位一体”校区教育发展中心、宁波名诚招标代理有限公司</w:t>
      </w:r>
    </w:p>
    <w:p w14:paraId="18068D5E">
      <w:pPr>
        <w:spacing w:line="360" w:lineRule="auto"/>
        <w:ind w:firstLine="424"/>
        <w:rPr>
          <w:rFonts w:hint="eastAsia" w:cs="宋体" w:asciiTheme="majorEastAsia" w:hAnsiTheme="majorEastAsia" w:eastAsiaTheme="majorEastAsia"/>
          <w:b/>
          <w:bCs/>
          <w:kern w:val="1"/>
          <w:szCs w:val="21"/>
        </w:rPr>
      </w:pPr>
      <w:r>
        <w:rPr>
          <w:rFonts w:cs="宋体" w:asciiTheme="majorEastAsia" w:hAnsiTheme="majorEastAsia" w:eastAsiaTheme="majorEastAsia"/>
          <w:b/>
          <w:kern w:val="1"/>
          <w:szCs w:val="21"/>
        </w:rPr>
        <w:t>本单位</w:t>
      </w:r>
      <w:r>
        <w:rPr>
          <w:rFonts w:hint="eastAsia" w:cs="宋体" w:asciiTheme="majorEastAsia" w:hAnsiTheme="majorEastAsia" w:eastAsiaTheme="majorEastAsia"/>
          <w:b/>
          <w:kern w:val="1"/>
          <w:szCs w:val="21"/>
        </w:rPr>
        <w:t>自愿</w:t>
      </w:r>
      <w:r>
        <w:rPr>
          <w:rFonts w:cs="宋体" w:asciiTheme="majorEastAsia" w:hAnsiTheme="majorEastAsia" w:eastAsiaTheme="majorEastAsia"/>
          <w:b/>
          <w:kern w:val="1"/>
          <w:szCs w:val="21"/>
        </w:rPr>
        <w:t>参加投标并声明</w:t>
      </w:r>
      <w:r>
        <w:rPr>
          <w:rFonts w:hint="eastAsia" w:cs="宋体" w:asciiTheme="majorEastAsia" w:hAnsiTheme="majorEastAsia" w:eastAsiaTheme="majorEastAsia"/>
          <w:b/>
          <w:bCs/>
          <w:kern w:val="1"/>
          <w:szCs w:val="21"/>
        </w:rPr>
        <w:t>：</w:t>
      </w:r>
    </w:p>
    <w:p w14:paraId="4E6A0326">
      <w:pPr>
        <w:spacing w:line="360" w:lineRule="auto"/>
        <w:ind w:firstLine="424"/>
        <w:rPr>
          <w:rFonts w:hint="eastAsia" w:cs="Arial" w:asciiTheme="majorEastAsia" w:hAnsiTheme="majorEastAsia" w:eastAsiaTheme="majorEastAsia"/>
          <w:szCs w:val="21"/>
        </w:rPr>
      </w:pPr>
      <w:r>
        <w:rPr>
          <w:rFonts w:hint="eastAsia" w:cs="Arial" w:asciiTheme="majorEastAsia" w:hAnsiTheme="majorEastAsia" w:eastAsiaTheme="majorEastAsia"/>
          <w:szCs w:val="21"/>
        </w:rPr>
        <w:t>1、具有独立承担民事责任的能力；</w:t>
      </w:r>
    </w:p>
    <w:p w14:paraId="5407A4E4">
      <w:pPr>
        <w:spacing w:line="360" w:lineRule="auto"/>
        <w:ind w:firstLine="424"/>
        <w:rPr>
          <w:rFonts w:hint="eastAsia" w:cs="Arial" w:asciiTheme="majorEastAsia" w:hAnsiTheme="majorEastAsia" w:eastAsiaTheme="majorEastAsia"/>
          <w:szCs w:val="21"/>
        </w:rPr>
      </w:pPr>
      <w:r>
        <w:rPr>
          <w:rFonts w:hint="eastAsia" w:cs="Arial" w:asciiTheme="majorEastAsia" w:hAnsiTheme="majorEastAsia" w:eastAsiaTheme="majorEastAsia"/>
          <w:szCs w:val="21"/>
        </w:rPr>
        <w:t>2、具有良好的商业信誉和健全的财务会计制度；</w:t>
      </w:r>
    </w:p>
    <w:p w14:paraId="444DA1BC">
      <w:pPr>
        <w:spacing w:line="360" w:lineRule="auto"/>
        <w:ind w:firstLine="424"/>
        <w:rPr>
          <w:rFonts w:hint="eastAsia" w:cs="Arial" w:asciiTheme="majorEastAsia" w:hAnsiTheme="majorEastAsia" w:eastAsiaTheme="majorEastAsia"/>
          <w:szCs w:val="21"/>
        </w:rPr>
      </w:pPr>
      <w:r>
        <w:rPr>
          <w:rFonts w:hint="eastAsia" w:cs="Arial" w:asciiTheme="majorEastAsia" w:hAnsiTheme="majorEastAsia" w:eastAsiaTheme="majorEastAsia"/>
          <w:szCs w:val="21"/>
        </w:rPr>
        <w:t>3、具有履行本项目合同所必需的设备和专业技术能力；</w:t>
      </w:r>
    </w:p>
    <w:p w14:paraId="71427A24">
      <w:pPr>
        <w:spacing w:line="360" w:lineRule="auto"/>
        <w:ind w:firstLine="424"/>
        <w:rPr>
          <w:rFonts w:hint="eastAsia" w:cs="Arial" w:asciiTheme="majorEastAsia" w:hAnsiTheme="majorEastAsia" w:eastAsiaTheme="majorEastAsia"/>
          <w:szCs w:val="21"/>
        </w:rPr>
      </w:pPr>
      <w:r>
        <w:rPr>
          <w:rFonts w:hint="eastAsia" w:cs="Arial" w:asciiTheme="majorEastAsia" w:hAnsiTheme="majorEastAsia" w:eastAsiaTheme="majorEastAsia"/>
          <w:szCs w:val="21"/>
        </w:rPr>
        <w:t>4、已依法缴纳了税收和社会保障资金；</w:t>
      </w:r>
    </w:p>
    <w:p w14:paraId="1E54B6E8">
      <w:pPr>
        <w:spacing w:line="360" w:lineRule="auto"/>
        <w:ind w:firstLine="424"/>
        <w:rPr>
          <w:rFonts w:hint="eastAsia" w:cs="Arial" w:asciiTheme="majorEastAsia" w:hAnsiTheme="majorEastAsia" w:eastAsiaTheme="majorEastAsia"/>
          <w:szCs w:val="21"/>
        </w:rPr>
      </w:pPr>
      <w:r>
        <w:rPr>
          <w:rFonts w:hint="eastAsia" w:cs="Arial" w:asciiTheme="majorEastAsia" w:hAnsiTheme="majorEastAsia" w:eastAsiaTheme="majorEastAsia"/>
          <w:szCs w:val="21"/>
        </w:rPr>
        <w:t>5、在参加本次政府采购活动前三年内，在经营活动中没有重大违法记录（没有因违法经营受到刑事处罚或者责令停产停业、吊销许可证或者执照、较大数额罚款等行政处罚）；</w:t>
      </w:r>
    </w:p>
    <w:p w14:paraId="32F9B7A0">
      <w:pPr>
        <w:spacing w:line="360" w:lineRule="auto"/>
        <w:ind w:firstLine="424"/>
        <w:rPr>
          <w:rFonts w:hint="eastAsia" w:cs="Arial" w:asciiTheme="majorEastAsia" w:hAnsiTheme="majorEastAsia" w:eastAsiaTheme="majorEastAsia"/>
          <w:szCs w:val="21"/>
        </w:rPr>
      </w:pPr>
      <w:r>
        <w:rPr>
          <w:rFonts w:hint="eastAsia" w:cs="Arial" w:asciiTheme="majorEastAsia" w:hAnsiTheme="majorEastAsia" w:eastAsiaTheme="majorEastAsia"/>
          <w:szCs w:val="21"/>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31064AB2">
      <w:pPr>
        <w:spacing w:line="360" w:lineRule="auto"/>
        <w:ind w:firstLine="424"/>
        <w:rPr>
          <w:rFonts w:hint="eastAsia" w:cs="Arial" w:asciiTheme="majorEastAsia" w:hAnsiTheme="majorEastAsia" w:eastAsiaTheme="majorEastAsia"/>
          <w:szCs w:val="21"/>
        </w:rPr>
      </w:pPr>
      <w:r>
        <w:rPr>
          <w:rFonts w:hint="eastAsia" w:cs="Arial" w:asciiTheme="majorEastAsia" w:hAnsiTheme="majorEastAsia" w:eastAsiaTheme="majorEastAsia"/>
          <w:szCs w:val="21"/>
        </w:rPr>
        <w:t>7、具有</w:t>
      </w:r>
      <w:r>
        <w:rPr>
          <w:rFonts w:cs="Arial" w:asciiTheme="majorEastAsia" w:hAnsiTheme="majorEastAsia" w:eastAsiaTheme="majorEastAsia"/>
          <w:szCs w:val="21"/>
        </w:rPr>
        <w:t>法律、行政法规规定的其他条件</w:t>
      </w:r>
      <w:r>
        <w:rPr>
          <w:rFonts w:hint="eastAsia" w:cs="Arial" w:asciiTheme="majorEastAsia" w:hAnsiTheme="majorEastAsia" w:eastAsiaTheme="majorEastAsia"/>
          <w:szCs w:val="21"/>
        </w:rPr>
        <w:t>；</w:t>
      </w:r>
    </w:p>
    <w:p w14:paraId="596C52C6">
      <w:pPr>
        <w:spacing w:line="360" w:lineRule="auto"/>
        <w:ind w:firstLine="424"/>
        <w:rPr>
          <w:rFonts w:hint="eastAsia" w:cs="Arial" w:asciiTheme="majorEastAsia" w:hAnsiTheme="majorEastAsia" w:eastAsiaTheme="majorEastAsia"/>
          <w:szCs w:val="21"/>
        </w:rPr>
      </w:pPr>
      <w:r>
        <w:rPr>
          <w:rFonts w:hint="eastAsia" w:cs="Arial" w:asciiTheme="majorEastAsia" w:hAnsiTheme="majorEastAsia" w:eastAsiaTheme="majorEastAsia"/>
          <w:szCs w:val="21"/>
        </w:rPr>
        <w:t>8、未采用联合体方式投标；</w:t>
      </w:r>
    </w:p>
    <w:p w14:paraId="2BB0540B">
      <w:pPr>
        <w:spacing w:line="360" w:lineRule="auto"/>
        <w:ind w:firstLine="424"/>
        <w:rPr>
          <w:rFonts w:hint="eastAsia" w:cs="Arial" w:asciiTheme="majorEastAsia" w:hAnsiTheme="majorEastAsia" w:eastAsiaTheme="majorEastAsia"/>
          <w:szCs w:val="21"/>
        </w:rPr>
      </w:pPr>
      <w:r>
        <w:rPr>
          <w:rFonts w:hint="eastAsia" w:cs="Arial" w:asciiTheme="majorEastAsia" w:hAnsiTheme="majorEastAsia" w:eastAsiaTheme="majorEastAsia"/>
          <w:szCs w:val="21"/>
        </w:rPr>
        <w:t>9、</w:t>
      </w:r>
      <w:r>
        <w:rPr>
          <w:rFonts w:cs="Arial" w:asciiTheme="majorEastAsia" w:hAnsiTheme="majorEastAsia" w:eastAsiaTheme="majorEastAsia"/>
          <w:szCs w:val="21"/>
        </w:rPr>
        <w:t>单位的法定代表人或单位负责人与其他投标人的法定代表人或单位负责人不为同一人且与其他投标人之间不存在直接控股、管理关系</w:t>
      </w:r>
      <w:r>
        <w:rPr>
          <w:rFonts w:hint="eastAsia" w:cs="Arial" w:asciiTheme="majorEastAsia" w:hAnsiTheme="majorEastAsia" w:eastAsiaTheme="majorEastAsia"/>
          <w:szCs w:val="21"/>
        </w:rPr>
        <w:t>；</w:t>
      </w:r>
    </w:p>
    <w:p w14:paraId="2694E2DE">
      <w:pPr>
        <w:spacing w:line="360" w:lineRule="auto"/>
        <w:ind w:firstLine="424"/>
        <w:rPr>
          <w:rFonts w:hint="eastAsia" w:cs="Arial" w:asciiTheme="majorEastAsia" w:hAnsiTheme="majorEastAsia" w:eastAsiaTheme="majorEastAsia"/>
          <w:szCs w:val="21"/>
        </w:rPr>
      </w:pPr>
      <w:r>
        <w:rPr>
          <w:rFonts w:hint="eastAsia" w:cs="Arial" w:asciiTheme="majorEastAsia" w:hAnsiTheme="majorEastAsia" w:eastAsiaTheme="majorEastAsia"/>
          <w:szCs w:val="21"/>
        </w:rPr>
        <w:t>10、</w:t>
      </w:r>
      <w:r>
        <w:rPr>
          <w:rFonts w:cs="Arial" w:asciiTheme="majorEastAsia" w:hAnsiTheme="majorEastAsia" w:eastAsiaTheme="majorEastAsia"/>
          <w:szCs w:val="21"/>
        </w:rPr>
        <w:t>本单位</w:t>
      </w:r>
      <w:r>
        <w:rPr>
          <w:rFonts w:hint="eastAsia" w:cs="Arial" w:asciiTheme="majorEastAsia" w:hAnsiTheme="majorEastAsia" w:eastAsiaTheme="majorEastAsia"/>
          <w:szCs w:val="21"/>
        </w:rPr>
        <w:t>不是</w:t>
      </w:r>
      <w:r>
        <w:rPr>
          <w:rFonts w:cs="Arial" w:asciiTheme="majorEastAsia" w:hAnsiTheme="majorEastAsia" w:eastAsiaTheme="majorEastAsia"/>
          <w:szCs w:val="21"/>
        </w:rPr>
        <w:t>为本项目提供整体设计、规范编制或者项目管理、监理、检测等服务的</w:t>
      </w:r>
      <w:r>
        <w:rPr>
          <w:rFonts w:hint="eastAsia" w:cs="Arial" w:asciiTheme="majorEastAsia" w:hAnsiTheme="majorEastAsia" w:eastAsiaTheme="majorEastAsia"/>
          <w:szCs w:val="21"/>
        </w:rPr>
        <w:t>供应商。</w:t>
      </w:r>
    </w:p>
    <w:p w14:paraId="38D03351">
      <w:pPr>
        <w:spacing w:line="360" w:lineRule="auto"/>
        <w:ind w:firstLine="420" w:firstLineChars="200"/>
        <w:rPr>
          <w:rFonts w:hint="eastAsia" w:cs="宋体" w:asciiTheme="majorEastAsia" w:hAnsiTheme="majorEastAsia" w:eastAsiaTheme="majorEastAsia"/>
          <w:szCs w:val="21"/>
        </w:rPr>
      </w:pPr>
    </w:p>
    <w:p w14:paraId="264D8E02">
      <w:pPr>
        <w:spacing w:line="360" w:lineRule="auto"/>
        <w:ind w:firstLine="420" w:firstLineChars="200"/>
        <w:rPr>
          <w:rFonts w:hint="eastAsia" w:cs="宋体" w:asciiTheme="majorEastAsia" w:hAnsiTheme="majorEastAsia" w:eastAsiaTheme="majorEastAsia"/>
          <w:szCs w:val="21"/>
        </w:rPr>
      </w:pPr>
    </w:p>
    <w:p w14:paraId="084DA591">
      <w:pPr>
        <w:snapToGrid w:val="0"/>
        <w:spacing w:line="360" w:lineRule="auto"/>
        <w:ind w:firstLine="3685" w:firstLineChars="1755"/>
        <w:rPr>
          <w:rFonts w:hint="eastAsia" w:asciiTheme="majorEastAsia" w:hAnsiTheme="majorEastAsia" w:eastAsiaTheme="majorEastAsia"/>
          <w:szCs w:val="21"/>
        </w:rPr>
      </w:pPr>
      <w:r>
        <w:rPr>
          <w:rFonts w:hint="eastAsia" w:asciiTheme="majorEastAsia" w:hAnsiTheme="majorEastAsia" w:eastAsiaTheme="majorEastAsia"/>
          <w:szCs w:val="21"/>
        </w:rPr>
        <w:t>投标人：</w:t>
      </w:r>
      <w:r>
        <w:rPr>
          <w:rFonts w:asciiTheme="majorEastAsia" w:hAnsiTheme="majorEastAsia" w:eastAsiaTheme="majorEastAsia"/>
          <w:szCs w:val="21"/>
          <w:u w:val="single"/>
        </w:rPr>
        <w:t>___</w:t>
      </w:r>
      <w:r>
        <w:rPr>
          <w:rFonts w:hint="eastAsia" w:asciiTheme="majorEastAsia" w:hAnsiTheme="majorEastAsia" w:eastAsiaTheme="majorEastAsia"/>
          <w:szCs w:val="21"/>
          <w:u w:val="single"/>
        </w:rPr>
        <w:t xml:space="preserve">    （填写全称并加盖公章)</w:t>
      </w:r>
      <w:r>
        <w:rPr>
          <w:rFonts w:asciiTheme="majorEastAsia" w:hAnsiTheme="majorEastAsia" w:eastAsiaTheme="majorEastAsia"/>
          <w:szCs w:val="21"/>
          <w:u w:val="single"/>
        </w:rPr>
        <w:t>___________</w:t>
      </w:r>
    </w:p>
    <w:p w14:paraId="25D5600D">
      <w:pPr>
        <w:snapToGrid w:val="0"/>
        <w:spacing w:line="360" w:lineRule="auto"/>
        <w:ind w:firstLine="3685" w:firstLineChars="1755"/>
        <w:rPr>
          <w:rFonts w:hint="eastAsia" w:asciiTheme="majorEastAsia" w:hAnsiTheme="majorEastAsia" w:eastAsiaTheme="majorEastAsia"/>
          <w:szCs w:val="21"/>
        </w:rPr>
      </w:pPr>
      <w:r>
        <w:rPr>
          <w:rFonts w:hint="eastAsia" w:asciiTheme="majorEastAsia" w:hAnsiTheme="majorEastAsia" w:eastAsiaTheme="majorEastAsia"/>
          <w:szCs w:val="21"/>
        </w:rPr>
        <w:t>日  期：</w:t>
      </w:r>
    </w:p>
    <w:p w14:paraId="05D2AB4B">
      <w:pPr>
        <w:pStyle w:val="3"/>
        <w:spacing w:line="360" w:lineRule="auto"/>
        <w:ind w:left="0" w:leftChars="0"/>
        <w:jc w:val="center"/>
        <w:rPr>
          <w:rFonts w:hint="eastAsia" w:cs="宋体" w:asciiTheme="majorEastAsia" w:hAnsiTheme="majorEastAsia" w:eastAsiaTheme="majorEastAsia"/>
          <w:b/>
          <w:sz w:val="21"/>
          <w:szCs w:val="21"/>
        </w:rPr>
      </w:pPr>
      <w:r>
        <w:rPr>
          <w:rFonts w:cs="宋体" w:asciiTheme="majorEastAsia" w:hAnsiTheme="majorEastAsia" w:eastAsiaTheme="majorEastAsia"/>
          <w:b/>
          <w:szCs w:val="21"/>
        </w:rPr>
        <w:br w:type="page"/>
      </w:r>
    </w:p>
    <w:p w14:paraId="7E02042E">
      <w:pPr>
        <w:widowControl/>
        <w:jc w:val="left"/>
        <w:rPr>
          <w:rFonts w:hint="eastAsia" w:cs="宋体" w:asciiTheme="majorEastAsia" w:hAnsiTheme="majorEastAsia" w:eastAsiaTheme="majorEastAsia"/>
          <w:b/>
          <w:kern w:val="0"/>
          <w:sz w:val="20"/>
          <w:szCs w:val="21"/>
        </w:rPr>
      </w:pPr>
    </w:p>
    <w:p w14:paraId="2E6751CC">
      <w:pPr>
        <w:snapToGrid w:val="0"/>
        <w:spacing w:line="360" w:lineRule="auto"/>
        <w:ind w:left="-23" w:leftChars="-11" w:right="-214" w:rightChars="-102" w:firstLine="21" w:firstLineChars="10"/>
        <w:jc w:val="left"/>
        <w:rPr>
          <w:rFonts w:hint="eastAsia" w:cs="宋体" w:asciiTheme="majorEastAsia" w:hAnsiTheme="majorEastAsia" w:eastAsiaTheme="majorEastAsia"/>
          <w:b/>
          <w:szCs w:val="21"/>
        </w:rPr>
      </w:pPr>
      <w:r>
        <w:rPr>
          <w:rFonts w:hint="eastAsia" w:asciiTheme="majorEastAsia" w:hAnsiTheme="majorEastAsia" w:eastAsiaTheme="majorEastAsia"/>
          <w:b/>
        </w:rPr>
        <w:t>2、商务技术文件的有关格式</w:t>
      </w:r>
    </w:p>
    <w:p w14:paraId="4CB9C6F7">
      <w:pPr>
        <w:pStyle w:val="3"/>
        <w:spacing w:line="360" w:lineRule="auto"/>
        <w:ind w:left="0" w:leftChars="0"/>
        <w:jc w:val="center"/>
        <w:rPr>
          <w:rFonts w:hint="eastAsia" w:cs="宋体" w:asciiTheme="majorEastAsia" w:hAnsiTheme="majorEastAsia" w:eastAsiaTheme="majorEastAsia"/>
          <w:b/>
          <w:sz w:val="21"/>
          <w:szCs w:val="21"/>
        </w:rPr>
      </w:pPr>
      <w:r>
        <w:rPr>
          <w:rFonts w:hint="eastAsia" w:cs="宋体" w:asciiTheme="majorEastAsia" w:hAnsiTheme="majorEastAsia" w:eastAsiaTheme="majorEastAsia"/>
          <w:b/>
          <w:sz w:val="21"/>
          <w:szCs w:val="21"/>
        </w:rPr>
        <w:t>1）投标函</w:t>
      </w:r>
    </w:p>
    <w:p w14:paraId="0E12D2FE">
      <w:pPr>
        <w:snapToGrid w:val="0"/>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致：</w:t>
      </w:r>
      <w:r>
        <w:rPr>
          <w:rFonts w:hint="eastAsia" w:asciiTheme="majorEastAsia" w:hAnsiTheme="majorEastAsia" w:eastAsiaTheme="majorEastAsia"/>
          <w:szCs w:val="21"/>
          <w:u w:val="single"/>
        </w:rPr>
        <w:t>浙江大学宁波“五位一体”校区教育发展中心、宁波名诚招标代理有限公司</w:t>
      </w:r>
    </w:p>
    <w:p w14:paraId="033504E9">
      <w:pPr>
        <w:snapToGrid w:val="0"/>
        <w:spacing w:line="360" w:lineRule="auto"/>
        <w:ind w:left="-23" w:leftChars="-11" w:right="-214" w:rightChars="-102" w:firstLine="447" w:firstLineChars="213"/>
        <w:jc w:val="left"/>
        <w:rPr>
          <w:rFonts w:hint="eastAsia" w:asciiTheme="majorEastAsia" w:hAnsiTheme="majorEastAsia" w:eastAsiaTheme="majorEastAsia"/>
          <w:szCs w:val="21"/>
        </w:rPr>
      </w:pPr>
      <w:r>
        <w:rPr>
          <w:rFonts w:hint="eastAsia" w:asciiTheme="majorEastAsia" w:hAnsiTheme="majorEastAsia" w:eastAsiaTheme="majorEastAsia"/>
          <w:szCs w:val="21"/>
        </w:rPr>
        <w:t>我方确认收到贵方关于</w:t>
      </w:r>
      <w:r>
        <w:rPr>
          <w:rFonts w:hint="eastAsia" w:asciiTheme="majorEastAsia" w:hAnsiTheme="majorEastAsia" w:eastAsiaTheme="majorEastAsia"/>
          <w:u w:val="single"/>
        </w:rPr>
        <w:t xml:space="preserve"> 浙江大学宁波“五位一体”校区教育发展中心高压物性综合测试平台采购项目 </w:t>
      </w:r>
      <w:r>
        <w:rPr>
          <w:rFonts w:hint="eastAsia" w:asciiTheme="majorEastAsia" w:hAnsiTheme="majorEastAsia" w:eastAsiaTheme="majorEastAsia"/>
        </w:rPr>
        <w:t>标项：</w:t>
      </w:r>
      <w:r>
        <w:rPr>
          <w:rFonts w:hint="eastAsia" w:asciiTheme="majorEastAsia" w:hAnsiTheme="majorEastAsia" w:eastAsiaTheme="majorEastAsia"/>
          <w:u w:val="single"/>
        </w:rPr>
        <w:t xml:space="preserve"> 1 </w:t>
      </w:r>
      <w:r>
        <w:rPr>
          <w:rFonts w:hint="eastAsia" w:asciiTheme="majorEastAsia" w:hAnsiTheme="majorEastAsia" w:eastAsiaTheme="majorEastAsia"/>
          <w:szCs w:val="21"/>
        </w:rPr>
        <w:t>的招标文件（项目编号：</w:t>
      </w:r>
      <w:r>
        <w:rPr>
          <w:rFonts w:hint="eastAsia" w:asciiTheme="majorEastAsia" w:hAnsiTheme="majorEastAsia" w:eastAsiaTheme="majorEastAsia"/>
          <w:u w:val="single"/>
        </w:rPr>
        <w:t xml:space="preserve"> NBMC-20251020G </w:t>
      </w:r>
      <w:r>
        <w:rPr>
          <w:rFonts w:hint="eastAsia" w:asciiTheme="majorEastAsia" w:hAnsiTheme="majorEastAsia" w:eastAsiaTheme="majorEastAsia"/>
          <w:szCs w:val="21"/>
        </w:rPr>
        <w:t>），法定代表人</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作为我方代表，在此声明并同意：</w:t>
      </w:r>
    </w:p>
    <w:p w14:paraId="240A1FAF">
      <w:pPr>
        <w:snapToGrid w:val="0"/>
        <w:spacing w:line="360" w:lineRule="auto"/>
        <w:ind w:left="-23" w:right="-214" w:rightChars="-102" w:firstLine="447"/>
        <w:jc w:val="left"/>
        <w:rPr>
          <w:rFonts w:hint="eastAsia" w:asciiTheme="majorEastAsia" w:hAnsiTheme="majorEastAsia" w:eastAsiaTheme="majorEastAsia"/>
          <w:szCs w:val="21"/>
        </w:rPr>
      </w:pPr>
      <w:r>
        <w:rPr>
          <w:rFonts w:hint="eastAsia" w:asciiTheme="majorEastAsia" w:hAnsiTheme="majorEastAsia" w:eastAsiaTheme="majorEastAsia"/>
          <w:szCs w:val="21"/>
        </w:rPr>
        <w:t>1.我</w:t>
      </w:r>
      <w:r>
        <w:rPr>
          <w:rFonts w:asciiTheme="majorEastAsia" w:hAnsiTheme="majorEastAsia" w:eastAsiaTheme="majorEastAsia"/>
          <w:szCs w:val="21"/>
        </w:rPr>
        <w:t>方已详细审查并理解全部招标文件的要求</w:t>
      </w:r>
      <w:r>
        <w:rPr>
          <w:rFonts w:hint="eastAsia" w:asciiTheme="majorEastAsia" w:hAnsiTheme="majorEastAsia" w:eastAsiaTheme="majorEastAsia"/>
          <w:szCs w:val="21"/>
        </w:rPr>
        <w:t>，包括招标文件的澄清及修改文件（如有）以及全部参考资料和有关附件，我们同意放弃对招标文件提出不明或误解的一切权力。</w:t>
      </w:r>
    </w:p>
    <w:p w14:paraId="336E4987">
      <w:pPr>
        <w:snapToGrid w:val="0"/>
        <w:spacing w:line="360" w:lineRule="auto"/>
        <w:ind w:left="-23" w:leftChars="-11" w:right="-214" w:rightChars="-102" w:firstLine="447" w:firstLineChars="213"/>
        <w:jc w:val="left"/>
        <w:rPr>
          <w:rFonts w:hint="eastAsia" w:asciiTheme="majorEastAsia" w:hAnsiTheme="majorEastAsia" w:eastAsiaTheme="majorEastAsia"/>
          <w:szCs w:val="21"/>
        </w:rPr>
      </w:pPr>
      <w:r>
        <w:rPr>
          <w:rFonts w:hint="eastAsia" w:asciiTheme="majorEastAsia" w:hAnsiTheme="majorEastAsia" w:eastAsiaTheme="majorEastAsia"/>
          <w:szCs w:val="21"/>
        </w:rPr>
        <w:t>2.投标有效期从提交投标文件的截止之日起</w:t>
      </w:r>
      <w:r>
        <w:rPr>
          <w:rFonts w:hint="eastAsia" w:asciiTheme="majorEastAsia" w:hAnsiTheme="majorEastAsia" w:eastAsiaTheme="majorEastAsia"/>
          <w:u w:val="single"/>
        </w:rPr>
        <w:t xml:space="preserve"> 90 </w:t>
      </w:r>
      <w:r>
        <w:rPr>
          <w:rFonts w:hint="eastAsia" w:asciiTheme="majorEastAsia" w:hAnsiTheme="majorEastAsia" w:eastAsiaTheme="majorEastAsia"/>
          <w:szCs w:val="21"/>
        </w:rPr>
        <w:t>日历天内有效。如果我方的投标被接受，则直至合同生效时止，本投标始终有效并不撤回已提交的投标文件。</w:t>
      </w:r>
    </w:p>
    <w:p w14:paraId="29079F6E">
      <w:pPr>
        <w:snapToGrid w:val="0"/>
        <w:spacing w:line="360" w:lineRule="auto"/>
        <w:ind w:left="-23" w:leftChars="-11" w:right="-214" w:rightChars="-102" w:firstLine="447" w:firstLineChars="213"/>
        <w:jc w:val="left"/>
        <w:rPr>
          <w:rFonts w:hint="eastAsia" w:asciiTheme="majorEastAsia" w:hAnsiTheme="majorEastAsia" w:eastAsiaTheme="majorEastAsia"/>
          <w:szCs w:val="21"/>
        </w:rPr>
      </w:pPr>
      <w:r>
        <w:rPr>
          <w:rFonts w:hint="eastAsia" w:asciiTheme="majorEastAsia" w:hAnsiTheme="majorEastAsia" w:eastAsiaTheme="majorEastAsia"/>
          <w:szCs w:val="21"/>
        </w:rPr>
        <w:t>3.我方愿意提供招标人或招标代理机构与评标委员会要求的有关投标的一切数据或资料。</w:t>
      </w:r>
    </w:p>
    <w:p w14:paraId="247BFB35">
      <w:pPr>
        <w:snapToGrid w:val="0"/>
        <w:spacing w:line="360" w:lineRule="auto"/>
        <w:ind w:left="-23" w:leftChars="-11" w:right="-214" w:rightChars="-102" w:firstLine="447" w:firstLineChars="213"/>
        <w:jc w:val="left"/>
        <w:rPr>
          <w:rFonts w:hint="eastAsia" w:asciiTheme="majorEastAsia" w:hAnsiTheme="majorEastAsia" w:eastAsiaTheme="majorEastAsia"/>
          <w:szCs w:val="21"/>
        </w:rPr>
      </w:pPr>
      <w:r>
        <w:rPr>
          <w:rFonts w:hint="eastAsia" w:asciiTheme="majorEastAsia" w:hAnsiTheme="majorEastAsia" w:eastAsiaTheme="majorEastAsia"/>
          <w:szCs w:val="21"/>
        </w:rPr>
        <w:t>4.我方提交的一切文件，无论是原件还是复印件均为准确、真实、有效的，绝无任何虚假、伪造或者夸大。我们在此郑重承诺：在本次招标采购活动中，如有违法、违规、弄虚作假及违背诚信的行为，所造成的损失、不良后果及法律责任，一律由我方承担。</w:t>
      </w:r>
    </w:p>
    <w:p w14:paraId="4360D53A">
      <w:pPr>
        <w:snapToGrid w:val="0"/>
        <w:spacing w:line="360" w:lineRule="auto"/>
        <w:ind w:left="-23" w:leftChars="-11" w:right="-214" w:rightChars="-102" w:firstLine="447" w:firstLineChars="213"/>
        <w:jc w:val="left"/>
        <w:rPr>
          <w:rFonts w:hint="eastAsia" w:asciiTheme="majorEastAsia" w:hAnsiTheme="majorEastAsia" w:eastAsiaTheme="majorEastAsia"/>
          <w:szCs w:val="21"/>
        </w:rPr>
      </w:pPr>
      <w:r>
        <w:rPr>
          <w:rFonts w:hint="eastAsia" w:asciiTheme="majorEastAsia" w:hAnsiTheme="majorEastAsia" w:eastAsiaTheme="majorEastAsia"/>
          <w:szCs w:val="21"/>
        </w:rPr>
        <w:t>5.如果我们提供的声明或承诺不真实，则完全同意认定为我方提供虚假材料，并同意作相应处理。</w:t>
      </w:r>
    </w:p>
    <w:p w14:paraId="74E0FC04">
      <w:pPr>
        <w:snapToGrid w:val="0"/>
        <w:spacing w:line="360" w:lineRule="auto"/>
        <w:ind w:left="-23" w:leftChars="-11" w:right="-214" w:rightChars="-102" w:firstLine="447" w:firstLineChars="213"/>
        <w:jc w:val="left"/>
        <w:rPr>
          <w:rFonts w:hint="eastAsia" w:asciiTheme="majorEastAsia" w:hAnsiTheme="majorEastAsia" w:eastAsiaTheme="majorEastAsia"/>
          <w:szCs w:val="21"/>
        </w:rPr>
      </w:pPr>
      <w:r>
        <w:rPr>
          <w:rFonts w:hint="eastAsia" w:asciiTheme="majorEastAsia" w:hAnsiTheme="majorEastAsia" w:eastAsiaTheme="majorEastAsia"/>
          <w:szCs w:val="21"/>
        </w:rPr>
        <w:t>6</w:t>
      </w:r>
      <w:r>
        <w:rPr>
          <w:rFonts w:asciiTheme="majorEastAsia" w:hAnsiTheme="majorEastAsia" w:eastAsiaTheme="majorEastAsia"/>
          <w:szCs w:val="21"/>
        </w:rPr>
        <w:t>.如我方获得中标，承诺按照招标文件规定的金额、时间和方式支付招标代理服务费。因我方违约致使招标代理机构采取诉讼或仲裁等方式实现债权，为此支付的</w:t>
      </w:r>
      <w:r>
        <w:rPr>
          <w:rFonts w:hint="eastAsia" w:asciiTheme="majorEastAsia" w:hAnsiTheme="majorEastAsia" w:eastAsiaTheme="majorEastAsia"/>
          <w:szCs w:val="21"/>
        </w:rPr>
        <w:t>律师费、诉讼费、</w:t>
      </w:r>
      <w:r>
        <w:rPr>
          <w:rFonts w:asciiTheme="majorEastAsia" w:hAnsiTheme="majorEastAsia" w:eastAsiaTheme="majorEastAsia"/>
          <w:szCs w:val="21"/>
        </w:rPr>
        <w:t>执行费</w:t>
      </w:r>
      <w:r>
        <w:rPr>
          <w:rFonts w:hint="eastAsia" w:asciiTheme="majorEastAsia" w:hAnsiTheme="majorEastAsia" w:eastAsiaTheme="majorEastAsia"/>
          <w:szCs w:val="21"/>
        </w:rPr>
        <w:t>、公证费、认证费、鉴定费、保全费、担保费、差旅费等为</w:t>
      </w:r>
      <w:r>
        <w:rPr>
          <w:rFonts w:asciiTheme="majorEastAsia" w:hAnsiTheme="majorEastAsia" w:eastAsiaTheme="majorEastAsia"/>
          <w:szCs w:val="21"/>
        </w:rPr>
        <w:t>实现债权的一切费用由我方承担。</w:t>
      </w:r>
    </w:p>
    <w:p w14:paraId="76311F82">
      <w:pPr>
        <w:snapToGrid w:val="0"/>
        <w:spacing w:line="360" w:lineRule="auto"/>
        <w:ind w:left="-23" w:leftChars="-11" w:right="-214" w:rightChars="-102" w:firstLine="447" w:firstLineChars="213"/>
        <w:jc w:val="left"/>
        <w:rPr>
          <w:rFonts w:hint="eastAsia" w:asciiTheme="majorEastAsia" w:hAnsiTheme="majorEastAsia" w:eastAsiaTheme="majorEastAsia"/>
          <w:szCs w:val="21"/>
        </w:rPr>
      </w:pPr>
      <w:r>
        <w:rPr>
          <w:rFonts w:hint="eastAsia" w:asciiTheme="majorEastAsia" w:hAnsiTheme="majorEastAsia" w:eastAsiaTheme="majorEastAsia"/>
          <w:szCs w:val="21"/>
        </w:rPr>
        <w:t>7.所有有关本次投标的函电请寄：</w:t>
      </w:r>
    </w:p>
    <w:p w14:paraId="5592BA62">
      <w:pPr>
        <w:snapToGrid w:val="0"/>
        <w:spacing w:line="360" w:lineRule="auto"/>
        <w:rPr>
          <w:rFonts w:hint="eastAsia" w:asciiTheme="majorEastAsia" w:hAnsiTheme="majorEastAsia" w:eastAsiaTheme="majorEastAsia"/>
          <w:u w:val="single"/>
        </w:rPr>
      </w:pPr>
      <w:r>
        <w:rPr>
          <w:rFonts w:hint="eastAsia" w:asciiTheme="majorEastAsia" w:hAnsiTheme="majorEastAsia" w:eastAsiaTheme="majorEastAsia"/>
          <w:szCs w:val="21"/>
        </w:rPr>
        <w:t>地址：</w:t>
      </w:r>
      <w:r>
        <w:rPr>
          <w:rFonts w:hint="eastAsia" w:asciiTheme="majorEastAsia" w:hAnsiTheme="majorEastAsia" w:eastAsiaTheme="majorEastAsia"/>
          <w:u w:val="single"/>
        </w:rPr>
        <w:t xml:space="preserve">           </w:t>
      </w:r>
      <w:r>
        <w:rPr>
          <w:rFonts w:hint="eastAsia" w:asciiTheme="majorEastAsia" w:hAnsiTheme="majorEastAsia" w:eastAsiaTheme="majorEastAsia"/>
          <w:szCs w:val="21"/>
        </w:rPr>
        <w:t xml:space="preserve">   邮编：</w:t>
      </w:r>
      <w:r>
        <w:rPr>
          <w:rFonts w:hint="eastAsia" w:asciiTheme="majorEastAsia" w:hAnsiTheme="majorEastAsia" w:eastAsiaTheme="majorEastAsia"/>
          <w:u w:val="single"/>
        </w:rPr>
        <w:t xml:space="preserve">           </w:t>
      </w:r>
    </w:p>
    <w:p w14:paraId="79051AB0">
      <w:pPr>
        <w:snapToGrid w:val="0"/>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电话：</w:t>
      </w:r>
      <w:r>
        <w:rPr>
          <w:rFonts w:hint="eastAsia" w:asciiTheme="majorEastAsia" w:hAnsiTheme="majorEastAsia" w:eastAsiaTheme="majorEastAsia"/>
          <w:u w:val="single"/>
        </w:rPr>
        <w:t xml:space="preserve">           </w:t>
      </w:r>
      <w:r>
        <w:rPr>
          <w:rFonts w:hint="eastAsia" w:asciiTheme="majorEastAsia" w:hAnsiTheme="majorEastAsia" w:eastAsiaTheme="majorEastAsia"/>
          <w:szCs w:val="21"/>
        </w:rPr>
        <w:t xml:space="preserve">   电子邮箱： </w:t>
      </w:r>
      <w:r>
        <w:rPr>
          <w:rFonts w:hint="eastAsia" w:asciiTheme="majorEastAsia" w:hAnsiTheme="majorEastAsia" w:eastAsiaTheme="majorEastAsia"/>
          <w:u w:val="single"/>
        </w:rPr>
        <w:t xml:space="preserve">           </w:t>
      </w:r>
    </w:p>
    <w:p w14:paraId="53DDD104">
      <w:pPr>
        <w:snapToGrid w:val="0"/>
        <w:spacing w:line="360" w:lineRule="auto"/>
        <w:rPr>
          <w:rFonts w:hint="eastAsia" w:asciiTheme="majorEastAsia" w:hAnsiTheme="majorEastAsia" w:eastAsiaTheme="majorEastAsia"/>
          <w:szCs w:val="21"/>
        </w:rPr>
      </w:pPr>
    </w:p>
    <w:p w14:paraId="7FA862B0">
      <w:pPr>
        <w:snapToGrid w:val="0"/>
        <w:spacing w:line="360" w:lineRule="auto"/>
        <w:ind w:firstLine="3685" w:firstLineChars="1755"/>
        <w:rPr>
          <w:rFonts w:hint="eastAsia" w:asciiTheme="majorEastAsia" w:hAnsiTheme="majorEastAsia" w:eastAsiaTheme="majorEastAsia"/>
          <w:szCs w:val="21"/>
        </w:rPr>
      </w:pPr>
      <w:r>
        <w:rPr>
          <w:rFonts w:hint="eastAsia" w:asciiTheme="majorEastAsia" w:hAnsiTheme="majorEastAsia" w:eastAsiaTheme="majorEastAsia"/>
          <w:szCs w:val="21"/>
        </w:rPr>
        <w:t>投标人：</w:t>
      </w:r>
      <w:r>
        <w:rPr>
          <w:rFonts w:asciiTheme="majorEastAsia" w:hAnsiTheme="majorEastAsia" w:eastAsiaTheme="majorEastAsia"/>
          <w:szCs w:val="21"/>
          <w:u w:val="single"/>
        </w:rPr>
        <w:t>___</w:t>
      </w:r>
      <w:r>
        <w:rPr>
          <w:rFonts w:hint="eastAsia" w:asciiTheme="majorEastAsia" w:hAnsiTheme="majorEastAsia" w:eastAsiaTheme="majorEastAsia"/>
          <w:szCs w:val="21"/>
          <w:u w:val="single"/>
        </w:rPr>
        <w:t xml:space="preserve">    （填写全称并加盖公章)</w:t>
      </w:r>
      <w:r>
        <w:rPr>
          <w:rFonts w:asciiTheme="majorEastAsia" w:hAnsiTheme="majorEastAsia" w:eastAsiaTheme="majorEastAsia"/>
          <w:szCs w:val="21"/>
          <w:u w:val="single"/>
        </w:rPr>
        <w:t>___________</w:t>
      </w:r>
    </w:p>
    <w:p w14:paraId="79DEEAC7">
      <w:pPr>
        <w:snapToGrid w:val="0"/>
        <w:spacing w:line="360" w:lineRule="auto"/>
        <w:ind w:firstLine="3685" w:firstLineChars="1755"/>
        <w:rPr>
          <w:rFonts w:hint="eastAsia" w:asciiTheme="majorEastAsia" w:hAnsiTheme="majorEastAsia" w:eastAsiaTheme="majorEastAsia"/>
          <w:szCs w:val="21"/>
          <w:u w:val="single"/>
        </w:rPr>
      </w:pPr>
      <w:r>
        <w:rPr>
          <w:rFonts w:hint="eastAsia" w:asciiTheme="majorEastAsia" w:hAnsiTheme="majorEastAsia" w:eastAsiaTheme="majorEastAsia"/>
          <w:szCs w:val="21"/>
        </w:rPr>
        <w:t>法定代表人：</w:t>
      </w:r>
      <w:r>
        <w:rPr>
          <w:rFonts w:hint="eastAsia" w:asciiTheme="majorEastAsia" w:hAnsiTheme="majorEastAsia" w:eastAsiaTheme="majorEastAsia"/>
          <w:szCs w:val="21"/>
          <w:u w:val="single"/>
        </w:rPr>
        <w:t xml:space="preserve">       （签字或盖章）              </w:t>
      </w:r>
    </w:p>
    <w:p w14:paraId="77E1C369">
      <w:pPr>
        <w:snapToGrid w:val="0"/>
        <w:spacing w:line="360" w:lineRule="auto"/>
        <w:ind w:firstLine="3685" w:firstLineChars="1755"/>
        <w:rPr>
          <w:rFonts w:hint="eastAsia" w:asciiTheme="majorEastAsia" w:hAnsiTheme="majorEastAsia" w:eastAsiaTheme="majorEastAsia"/>
          <w:szCs w:val="21"/>
        </w:rPr>
      </w:pPr>
      <w:r>
        <w:rPr>
          <w:rFonts w:hint="eastAsia" w:asciiTheme="majorEastAsia" w:hAnsiTheme="majorEastAsia" w:eastAsiaTheme="majorEastAsia"/>
          <w:szCs w:val="21"/>
        </w:rPr>
        <w:t>日  期：</w:t>
      </w:r>
    </w:p>
    <w:p w14:paraId="2B127B5F">
      <w:pPr>
        <w:spacing w:line="360" w:lineRule="auto"/>
        <w:rPr>
          <w:rFonts w:hint="eastAsia" w:asciiTheme="majorEastAsia" w:hAnsiTheme="majorEastAsia" w:eastAsiaTheme="majorEastAsia"/>
          <w:szCs w:val="21"/>
        </w:rPr>
      </w:pPr>
    </w:p>
    <w:p w14:paraId="7F13B876">
      <w:pPr>
        <w:spacing w:line="360" w:lineRule="auto"/>
        <w:rPr>
          <w:rFonts w:hint="eastAsia" w:asciiTheme="majorEastAsia" w:hAnsiTheme="majorEastAsia" w:eastAsiaTheme="majorEastAsia"/>
          <w:b/>
          <w:szCs w:val="21"/>
        </w:rPr>
      </w:pPr>
      <w:r>
        <w:rPr>
          <w:rFonts w:hint="eastAsia" w:asciiTheme="majorEastAsia" w:hAnsiTheme="majorEastAsia" w:eastAsiaTheme="majorEastAsia"/>
          <w:b/>
          <w:szCs w:val="21"/>
        </w:rPr>
        <w:t>注：法定代表人身份证正反面复印件</w:t>
      </w:r>
    </w:p>
    <w:p w14:paraId="3298759D">
      <w:pPr>
        <w:spacing w:line="360" w:lineRule="auto"/>
        <w:jc w:val="center"/>
        <w:rPr>
          <w:rFonts w:hint="eastAsia" w:asciiTheme="majorEastAsia" w:hAnsiTheme="majorEastAsia" w:eastAsiaTheme="majorEastAsia"/>
          <w:szCs w:val="21"/>
        </w:rPr>
      </w:pPr>
    </w:p>
    <w:p w14:paraId="1DE4CD7F">
      <w:pPr>
        <w:widowControl/>
        <w:jc w:val="left"/>
        <w:rPr>
          <w:rFonts w:hint="eastAsia" w:asciiTheme="majorEastAsia" w:hAnsiTheme="majorEastAsia" w:eastAsiaTheme="majorEastAsia"/>
          <w:szCs w:val="21"/>
        </w:rPr>
      </w:pPr>
    </w:p>
    <w:p w14:paraId="6DAC4339">
      <w:pPr>
        <w:pStyle w:val="3"/>
        <w:spacing w:line="360" w:lineRule="auto"/>
        <w:ind w:left="0" w:leftChars="0"/>
        <w:jc w:val="center"/>
        <w:rPr>
          <w:rFonts w:hint="eastAsia" w:asciiTheme="majorEastAsia" w:hAnsiTheme="majorEastAsia" w:eastAsiaTheme="majorEastAsia"/>
          <w:szCs w:val="21"/>
        </w:rPr>
      </w:pPr>
      <w:r>
        <w:rPr>
          <w:rFonts w:asciiTheme="majorEastAsia" w:hAnsiTheme="majorEastAsia" w:eastAsiaTheme="majorEastAsia"/>
          <w:szCs w:val="21"/>
        </w:rPr>
        <w:br w:type="page"/>
      </w:r>
      <w:r>
        <w:rPr>
          <w:rFonts w:hint="eastAsia" w:asciiTheme="majorEastAsia" w:hAnsiTheme="majorEastAsia" w:eastAsiaTheme="majorEastAsia"/>
          <w:b/>
          <w:sz w:val="21"/>
          <w:szCs w:val="21"/>
        </w:rPr>
        <w:t>2）</w:t>
      </w:r>
      <w:r>
        <w:rPr>
          <w:rFonts w:hint="eastAsia" w:cs="宋体" w:asciiTheme="majorEastAsia" w:hAnsiTheme="majorEastAsia" w:eastAsiaTheme="majorEastAsia"/>
          <w:b/>
          <w:sz w:val="21"/>
          <w:szCs w:val="21"/>
        </w:rPr>
        <w:t>评委打分</w:t>
      </w:r>
      <w:r>
        <w:rPr>
          <w:rFonts w:hint="eastAsia" w:asciiTheme="majorEastAsia" w:hAnsiTheme="majorEastAsia" w:eastAsiaTheme="majorEastAsia"/>
          <w:b/>
          <w:sz w:val="21"/>
          <w:szCs w:val="21"/>
        </w:rPr>
        <w:t>索引表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268"/>
      </w:tblGrid>
      <w:tr w14:paraId="2553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49BC37E">
            <w:pPr>
              <w:spacing w:line="300" w:lineRule="exact"/>
              <w:jc w:val="center"/>
              <w:rPr>
                <w:rFonts w:hint="eastAsia" w:asciiTheme="majorEastAsia" w:hAnsiTheme="majorEastAsia" w:eastAsiaTheme="majorEastAsia"/>
                <w:szCs w:val="21"/>
              </w:rPr>
            </w:pPr>
            <w:r>
              <w:rPr>
                <w:rFonts w:hint="eastAsia" w:asciiTheme="majorEastAsia" w:hAnsiTheme="majorEastAsia" w:eastAsiaTheme="majorEastAsia"/>
                <w:szCs w:val="21"/>
              </w:rPr>
              <w:t>序号</w:t>
            </w:r>
          </w:p>
        </w:tc>
        <w:tc>
          <w:tcPr>
            <w:tcW w:w="3742" w:type="dxa"/>
            <w:vAlign w:val="center"/>
          </w:tcPr>
          <w:p w14:paraId="66A76DE5">
            <w:pPr>
              <w:spacing w:line="300" w:lineRule="exact"/>
              <w:jc w:val="center"/>
              <w:rPr>
                <w:rFonts w:hint="eastAsia" w:asciiTheme="majorEastAsia" w:hAnsiTheme="majorEastAsia" w:eastAsiaTheme="majorEastAsia"/>
                <w:szCs w:val="21"/>
              </w:rPr>
            </w:pPr>
            <w:r>
              <w:rPr>
                <w:rFonts w:hint="eastAsia" w:asciiTheme="majorEastAsia" w:hAnsiTheme="majorEastAsia" w:eastAsiaTheme="majorEastAsia"/>
                <w:szCs w:val="21"/>
              </w:rPr>
              <w:t>评分项目</w:t>
            </w:r>
          </w:p>
        </w:tc>
        <w:tc>
          <w:tcPr>
            <w:tcW w:w="1701" w:type="dxa"/>
            <w:vAlign w:val="center"/>
          </w:tcPr>
          <w:p w14:paraId="402FE214">
            <w:pPr>
              <w:spacing w:line="300" w:lineRule="exact"/>
              <w:jc w:val="center"/>
              <w:rPr>
                <w:rFonts w:hint="eastAsia" w:asciiTheme="majorEastAsia" w:hAnsiTheme="majorEastAsia" w:eastAsiaTheme="majorEastAsia"/>
                <w:szCs w:val="21"/>
              </w:rPr>
            </w:pPr>
            <w:r>
              <w:rPr>
                <w:rFonts w:hint="eastAsia" w:asciiTheme="majorEastAsia" w:hAnsiTheme="majorEastAsia" w:eastAsiaTheme="majorEastAsia"/>
                <w:szCs w:val="21"/>
              </w:rPr>
              <w:t>文件或证明材料所在页码区间</w:t>
            </w:r>
          </w:p>
        </w:tc>
        <w:tc>
          <w:tcPr>
            <w:tcW w:w="2268" w:type="dxa"/>
            <w:vAlign w:val="center"/>
          </w:tcPr>
          <w:p w14:paraId="0800E4B9">
            <w:pPr>
              <w:spacing w:line="300" w:lineRule="exact"/>
              <w:jc w:val="center"/>
              <w:rPr>
                <w:rFonts w:hint="eastAsia" w:asciiTheme="majorEastAsia" w:hAnsiTheme="majorEastAsia" w:eastAsiaTheme="majorEastAsia"/>
                <w:szCs w:val="21"/>
              </w:rPr>
            </w:pPr>
            <w:r>
              <w:rPr>
                <w:rFonts w:hint="eastAsia" w:asciiTheme="majorEastAsia" w:hAnsiTheme="majorEastAsia" w:eastAsiaTheme="majorEastAsia"/>
                <w:szCs w:val="21"/>
              </w:rPr>
              <w:t>自评得分（主观评审部分不用填写自评得分）</w:t>
            </w:r>
          </w:p>
        </w:tc>
      </w:tr>
      <w:tr w14:paraId="3AE7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563F112">
            <w:pPr>
              <w:spacing w:line="300" w:lineRule="exact"/>
              <w:jc w:val="center"/>
              <w:rPr>
                <w:rFonts w:hint="eastAsia" w:asciiTheme="majorEastAsia" w:hAnsiTheme="majorEastAsia" w:eastAsiaTheme="majorEastAsia"/>
                <w:szCs w:val="21"/>
              </w:rPr>
            </w:pPr>
            <w:r>
              <w:rPr>
                <w:rFonts w:hint="eastAsia" w:asciiTheme="majorEastAsia" w:hAnsiTheme="majorEastAsia" w:eastAsiaTheme="majorEastAsia"/>
                <w:szCs w:val="21"/>
              </w:rPr>
              <w:t>1</w:t>
            </w:r>
          </w:p>
        </w:tc>
        <w:tc>
          <w:tcPr>
            <w:tcW w:w="3742" w:type="dxa"/>
            <w:vAlign w:val="center"/>
          </w:tcPr>
          <w:p w14:paraId="6623EC32">
            <w:pPr>
              <w:spacing w:line="300" w:lineRule="exact"/>
              <w:jc w:val="center"/>
              <w:rPr>
                <w:rFonts w:hint="eastAsia" w:asciiTheme="majorEastAsia" w:hAnsiTheme="majorEastAsia" w:eastAsiaTheme="majorEastAsia"/>
                <w:szCs w:val="21"/>
              </w:rPr>
            </w:pPr>
          </w:p>
        </w:tc>
        <w:tc>
          <w:tcPr>
            <w:tcW w:w="1701" w:type="dxa"/>
            <w:vAlign w:val="center"/>
          </w:tcPr>
          <w:p w14:paraId="0B291DE6">
            <w:pPr>
              <w:spacing w:line="300" w:lineRule="exact"/>
              <w:jc w:val="center"/>
              <w:rPr>
                <w:rFonts w:hint="eastAsia" w:asciiTheme="majorEastAsia" w:hAnsiTheme="majorEastAsia" w:eastAsiaTheme="majorEastAsia"/>
                <w:szCs w:val="21"/>
              </w:rPr>
            </w:pPr>
          </w:p>
        </w:tc>
        <w:tc>
          <w:tcPr>
            <w:tcW w:w="2268" w:type="dxa"/>
            <w:vAlign w:val="center"/>
          </w:tcPr>
          <w:p w14:paraId="436CAAF7">
            <w:pPr>
              <w:spacing w:line="300" w:lineRule="exact"/>
              <w:jc w:val="center"/>
              <w:rPr>
                <w:rFonts w:hint="eastAsia" w:asciiTheme="majorEastAsia" w:hAnsiTheme="majorEastAsia" w:eastAsiaTheme="majorEastAsia"/>
                <w:szCs w:val="21"/>
              </w:rPr>
            </w:pPr>
          </w:p>
        </w:tc>
      </w:tr>
      <w:tr w14:paraId="4F10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61C7C262">
            <w:pPr>
              <w:spacing w:line="300" w:lineRule="exact"/>
              <w:jc w:val="center"/>
              <w:rPr>
                <w:rFonts w:hint="eastAsia" w:asciiTheme="majorEastAsia" w:hAnsiTheme="majorEastAsia" w:eastAsiaTheme="majorEastAsia"/>
                <w:szCs w:val="21"/>
              </w:rPr>
            </w:pPr>
            <w:r>
              <w:rPr>
                <w:rFonts w:hint="eastAsia" w:asciiTheme="majorEastAsia" w:hAnsiTheme="majorEastAsia" w:eastAsiaTheme="majorEastAsia"/>
                <w:szCs w:val="21"/>
              </w:rPr>
              <w:t>2</w:t>
            </w:r>
          </w:p>
        </w:tc>
        <w:tc>
          <w:tcPr>
            <w:tcW w:w="3742" w:type="dxa"/>
            <w:vAlign w:val="center"/>
          </w:tcPr>
          <w:p w14:paraId="47791739">
            <w:pPr>
              <w:spacing w:line="300" w:lineRule="exact"/>
              <w:jc w:val="center"/>
              <w:rPr>
                <w:rFonts w:hint="eastAsia" w:asciiTheme="majorEastAsia" w:hAnsiTheme="majorEastAsia" w:eastAsiaTheme="majorEastAsia"/>
                <w:szCs w:val="21"/>
              </w:rPr>
            </w:pPr>
          </w:p>
        </w:tc>
        <w:tc>
          <w:tcPr>
            <w:tcW w:w="1701" w:type="dxa"/>
            <w:vAlign w:val="center"/>
          </w:tcPr>
          <w:p w14:paraId="0B7CB596">
            <w:pPr>
              <w:spacing w:line="300" w:lineRule="exact"/>
              <w:jc w:val="center"/>
              <w:rPr>
                <w:rFonts w:hint="eastAsia" w:asciiTheme="majorEastAsia" w:hAnsiTheme="majorEastAsia" w:eastAsiaTheme="majorEastAsia"/>
                <w:szCs w:val="21"/>
              </w:rPr>
            </w:pPr>
          </w:p>
        </w:tc>
        <w:tc>
          <w:tcPr>
            <w:tcW w:w="2268" w:type="dxa"/>
            <w:vAlign w:val="center"/>
          </w:tcPr>
          <w:p w14:paraId="4A4EE0BB">
            <w:pPr>
              <w:spacing w:line="300" w:lineRule="exact"/>
              <w:jc w:val="center"/>
              <w:rPr>
                <w:rFonts w:hint="eastAsia" w:asciiTheme="majorEastAsia" w:hAnsiTheme="majorEastAsia" w:eastAsiaTheme="majorEastAsia"/>
                <w:szCs w:val="21"/>
              </w:rPr>
            </w:pPr>
          </w:p>
        </w:tc>
      </w:tr>
      <w:tr w14:paraId="7D23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F00AE5E">
            <w:pPr>
              <w:spacing w:line="300" w:lineRule="exact"/>
              <w:jc w:val="center"/>
              <w:rPr>
                <w:rFonts w:hint="eastAsia" w:asciiTheme="majorEastAsia" w:hAnsiTheme="majorEastAsia" w:eastAsiaTheme="majorEastAsia"/>
                <w:szCs w:val="21"/>
              </w:rPr>
            </w:pPr>
            <w:r>
              <w:rPr>
                <w:rFonts w:hint="eastAsia" w:asciiTheme="majorEastAsia" w:hAnsiTheme="majorEastAsia" w:eastAsiaTheme="majorEastAsia"/>
                <w:szCs w:val="21"/>
              </w:rPr>
              <w:t>3</w:t>
            </w:r>
          </w:p>
        </w:tc>
        <w:tc>
          <w:tcPr>
            <w:tcW w:w="3742" w:type="dxa"/>
            <w:vAlign w:val="center"/>
          </w:tcPr>
          <w:p w14:paraId="182E1FEC">
            <w:pPr>
              <w:spacing w:line="300" w:lineRule="exact"/>
              <w:jc w:val="center"/>
              <w:rPr>
                <w:rFonts w:hint="eastAsia" w:asciiTheme="majorEastAsia" w:hAnsiTheme="majorEastAsia" w:eastAsiaTheme="majorEastAsia"/>
                <w:szCs w:val="21"/>
              </w:rPr>
            </w:pPr>
          </w:p>
        </w:tc>
        <w:tc>
          <w:tcPr>
            <w:tcW w:w="1701" w:type="dxa"/>
            <w:vAlign w:val="center"/>
          </w:tcPr>
          <w:p w14:paraId="3C8B570F">
            <w:pPr>
              <w:spacing w:line="300" w:lineRule="exact"/>
              <w:jc w:val="center"/>
              <w:rPr>
                <w:rFonts w:hint="eastAsia" w:asciiTheme="majorEastAsia" w:hAnsiTheme="majorEastAsia" w:eastAsiaTheme="majorEastAsia"/>
                <w:szCs w:val="21"/>
              </w:rPr>
            </w:pPr>
          </w:p>
        </w:tc>
        <w:tc>
          <w:tcPr>
            <w:tcW w:w="2268" w:type="dxa"/>
            <w:vAlign w:val="center"/>
          </w:tcPr>
          <w:p w14:paraId="4897A860">
            <w:pPr>
              <w:spacing w:line="300" w:lineRule="exact"/>
              <w:jc w:val="center"/>
              <w:rPr>
                <w:rFonts w:hint="eastAsia" w:asciiTheme="majorEastAsia" w:hAnsiTheme="majorEastAsia" w:eastAsiaTheme="majorEastAsia"/>
                <w:szCs w:val="21"/>
              </w:rPr>
            </w:pPr>
          </w:p>
        </w:tc>
      </w:tr>
      <w:tr w14:paraId="3C47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C85F85C">
            <w:pPr>
              <w:spacing w:line="300" w:lineRule="exact"/>
              <w:jc w:val="center"/>
              <w:rPr>
                <w:rFonts w:hint="eastAsia" w:asciiTheme="majorEastAsia" w:hAnsiTheme="majorEastAsia" w:eastAsiaTheme="majorEastAsia"/>
                <w:szCs w:val="21"/>
              </w:rPr>
            </w:pPr>
            <w:r>
              <w:rPr>
                <w:rFonts w:hint="eastAsia" w:asciiTheme="majorEastAsia" w:hAnsiTheme="majorEastAsia" w:eastAsiaTheme="majorEastAsia"/>
                <w:szCs w:val="21"/>
              </w:rPr>
              <w:t>4</w:t>
            </w:r>
          </w:p>
        </w:tc>
        <w:tc>
          <w:tcPr>
            <w:tcW w:w="3742" w:type="dxa"/>
            <w:vAlign w:val="center"/>
          </w:tcPr>
          <w:p w14:paraId="4A95C0F5">
            <w:pPr>
              <w:spacing w:line="300" w:lineRule="exact"/>
              <w:jc w:val="center"/>
              <w:rPr>
                <w:rFonts w:hint="eastAsia" w:asciiTheme="majorEastAsia" w:hAnsiTheme="majorEastAsia" w:eastAsiaTheme="majorEastAsia"/>
                <w:szCs w:val="21"/>
              </w:rPr>
            </w:pPr>
          </w:p>
        </w:tc>
        <w:tc>
          <w:tcPr>
            <w:tcW w:w="1701" w:type="dxa"/>
            <w:vAlign w:val="center"/>
          </w:tcPr>
          <w:p w14:paraId="6E18412E">
            <w:pPr>
              <w:spacing w:line="300" w:lineRule="exact"/>
              <w:jc w:val="center"/>
              <w:rPr>
                <w:rFonts w:hint="eastAsia" w:asciiTheme="majorEastAsia" w:hAnsiTheme="majorEastAsia" w:eastAsiaTheme="majorEastAsia"/>
                <w:szCs w:val="21"/>
              </w:rPr>
            </w:pPr>
          </w:p>
        </w:tc>
        <w:tc>
          <w:tcPr>
            <w:tcW w:w="2268" w:type="dxa"/>
            <w:vAlign w:val="center"/>
          </w:tcPr>
          <w:p w14:paraId="33897B2C">
            <w:pPr>
              <w:spacing w:line="300" w:lineRule="exact"/>
              <w:jc w:val="center"/>
              <w:rPr>
                <w:rFonts w:hint="eastAsia" w:asciiTheme="majorEastAsia" w:hAnsiTheme="majorEastAsia" w:eastAsiaTheme="majorEastAsia"/>
                <w:szCs w:val="21"/>
              </w:rPr>
            </w:pPr>
          </w:p>
        </w:tc>
      </w:tr>
      <w:tr w14:paraId="677B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C8CF551">
            <w:pPr>
              <w:spacing w:line="300" w:lineRule="exact"/>
              <w:jc w:val="center"/>
              <w:rPr>
                <w:rFonts w:hint="eastAsia" w:asciiTheme="majorEastAsia" w:hAnsiTheme="majorEastAsia" w:eastAsiaTheme="majorEastAsia"/>
                <w:szCs w:val="21"/>
              </w:rPr>
            </w:pPr>
            <w:r>
              <w:rPr>
                <w:rFonts w:hint="eastAsia" w:asciiTheme="majorEastAsia" w:hAnsiTheme="majorEastAsia" w:eastAsiaTheme="majorEastAsia"/>
                <w:szCs w:val="21"/>
              </w:rPr>
              <w:t>5</w:t>
            </w:r>
          </w:p>
        </w:tc>
        <w:tc>
          <w:tcPr>
            <w:tcW w:w="3742" w:type="dxa"/>
            <w:vAlign w:val="center"/>
          </w:tcPr>
          <w:p w14:paraId="16ABCCD1">
            <w:pPr>
              <w:spacing w:line="300" w:lineRule="exact"/>
              <w:jc w:val="center"/>
              <w:rPr>
                <w:rFonts w:hint="eastAsia" w:asciiTheme="majorEastAsia" w:hAnsiTheme="majorEastAsia" w:eastAsiaTheme="majorEastAsia"/>
                <w:szCs w:val="21"/>
              </w:rPr>
            </w:pPr>
          </w:p>
        </w:tc>
        <w:tc>
          <w:tcPr>
            <w:tcW w:w="1701" w:type="dxa"/>
            <w:vAlign w:val="center"/>
          </w:tcPr>
          <w:p w14:paraId="57DD1DBB">
            <w:pPr>
              <w:spacing w:line="300" w:lineRule="exact"/>
              <w:jc w:val="center"/>
              <w:rPr>
                <w:rFonts w:hint="eastAsia" w:asciiTheme="majorEastAsia" w:hAnsiTheme="majorEastAsia" w:eastAsiaTheme="majorEastAsia"/>
                <w:szCs w:val="21"/>
              </w:rPr>
            </w:pPr>
          </w:p>
        </w:tc>
        <w:tc>
          <w:tcPr>
            <w:tcW w:w="2268" w:type="dxa"/>
            <w:vAlign w:val="center"/>
          </w:tcPr>
          <w:p w14:paraId="58CA646D">
            <w:pPr>
              <w:spacing w:line="300" w:lineRule="exact"/>
              <w:jc w:val="center"/>
              <w:rPr>
                <w:rFonts w:hint="eastAsia" w:asciiTheme="majorEastAsia" w:hAnsiTheme="majorEastAsia" w:eastAsiaTheme="majorEastAsia"/>
                <w:szCs w:val="21"/>
              </w:rPr>
            </w:pPr>
          </w:p>
        </w:tc>
      </w:tr>
      <w:tr w14:paraId="20E2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9E100AE">
            <w:pPr>
              <w:spacing w:line="300" w:lineRule="exact"/>
              <w:jc w:val="center"/>
              <w:rPr>
                <w:rFonts w:hint="eastAsia" w:asciiTheme="majorEastAsia" w:hAnsiTheme="majorEastAsia" w:eastAsiaTheme="majorEastAsia"/>
                <w:szCs w:val="21"/>
              </w:rPr>
            </w:pPr>
            <w:r>
              <w:rPr>
                <w:rFonts w:hint="eastAsia" w:asciiTheme="majorEastAsia" w:hAnsiTheme="majorEastAsia" w:eastAsiaTheme="majorEastAsia"/>
                <w:szCs w:val="21"/>
              </w:rPr>
              <w:t>...</w:t>
            </w:r>
          </w:p>
        </w:tc>
        <w:tc>
          <w:tcPr>
            <w:tcW w:w="3742" w:type="dxa"/>
            <w:vAlign w:val="center"/>
          </w:tcPr>
          <w:p w14:paraId="17E3CBB6">
            <w:pPr>
              <w:spacing w:line="300" w:lineRule="exact"/>
              <w:jc w:val="center"/>
              <w:rPr>
                <w:rFonts w:hint="eastAsia" w:asciiTheme="majorEastAsia" w:hAnsiTheme="majorEastAsia" w:eastAsiaTheme="majorEastAsia"/>
                <w:szCs w:val="21"/>
              </w:rPr>
            </w:pPr>
          </w:p>
        </w:tc>
        <w:tc>
          <w:tcPr>
            <w:tcW w:w="1701" w:type="dxa"/>
            <w:vAlign w:val="center"/>
          </w:tcPr>
          <w:p w14:paraId="190AB6F2">
            <w:pPr>
              <w:spacing w:line="300" w:lineRule="exact"/>
              <w:jc w:val="center"/>
              <w:rPr>
                <w:rFonts w:hint="eastAsia" w:asciiTheme="majorEastAsia" w:hAnsiTheme="majorEastAsia" w:eastAsiaTheme="majorEastAsia"/>
                <w:szCs w:val="21"/>
              </w:rPr>
            </w:pPr>
          </w:p>
        </w:tc>
        <w:tc>
          <w:tcPr>
            <w:tcW w:w="2268" w:type="dxa"/>
            <w:vAlign w:val="center"/>
          </w:tcPr>
          <w:p w14:paraId="4B1933BC">
            <w:pPr>
              <w:spacing w:line="300" w:lineRule="exact"/>
              <w:jc w:val="center"/>
              <w:rPr>
                <w:rFonts w:hint="eastAsia" w:asciiTheme="majorEastAsia" w:hAnsiTheme="majorEastAsia" w:eastAsiaTheme="majorEastAsia"/>
                <w:szCs w:val="21"/>
              </w:rPr>
            </w:pPr>
          </w:p>
        </w:tc>
      </w:tr>
    </w:tbl>
    <w:p w14:paraId="3052B21C">
      <w:pPr>
        <w:pStyle w:val="3"/>
        <w:spacing w:before="120" w:beforeLines="50" w:line="360" w:lineRule="auto"/>
        <w:ind w:left="141" w:leftChars="67"/>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注：按照评委打分表内容逐项填写。</w:t>
      </w:r>
    </w:p>
    <w:p w14:paraId="6F87A8AC">
      <w:pPr>
        <w:pStyle w:val="3"/>
        <w:spacing w:line="360" w:lineRule="auto"/>
        <w:rPr>
          <w:rFonts w:hint="eastAsia" w:asciiTheme="majorEastAsia" w:hAnsiTheme="majorEastAsia" w:eastAsiaTheme="majorEastAsia"/>
          <w:b/>
          <w:sz w:val="21"/>
          <w:szCs w:val="21"/>
        </w:rPr>
      </w:pPr>
    </w:p>
    <w:p w14:paraId="425EB9C8">
      <w:pPr>
        <w:snapToGrid w:val="0"/>
        <w:spacing w:before="50" w:after="50" w:line="360" w:lineRule="auto"/>
        <w:ind w:left="-21" w:leftChars="-72" w:right="-817" w:rightChars="-389" w:hanging="130" w:hangingChars="62"/>
        <w:rPr>
          <w:rFonts w:hint="eastAsia" w:asciiTheme="majorEastAsia" w:hAnsiTheme="majorEastAsia" w:eastAsiaTheme="majorEastAsia"/>
          <w:szCs w:val="21"/>
        </w:rPr>
      </w:pPr>
    </w:p>
    <w:p w14:paraId="470A0BB1">
      <w:pPr>
        <w:snapToGrid w:val="0"/>
        <w:spacing w:line="360" w:lineRule="auto"/>
        <w:ind w:firstLine="3685" w:firstLineChars="1755"/>
        <w:rPr>
          <w:rFonts w:hint="eastAsia" w:asciiTheme="majorEastAsia" w:hAnsiTheme="majorEastAsia" w:eastAsiaTheme="majorEastAsia"/>
          <w:szCs w:val="21"/>
        </w:rPr>
      </w:pPr>
      <w:r>
        <w:rPr>
          <w:rFonts w:asciiTheme="majorEastAsia" w:hAnsiTheme="majorEastAsia" w:eastAsiaTheme="majorEastAsia"/>
          <w:kern w:val="1"/>
          <w:szCs w:val="21"/>
        </w:rPr>
        <w:br w:type="page"/>
      </w:r>
    </w:p>
    <w:p w14:paraId="676F5D90">
      <w:pPr>
        <w:pStyle w:val="3"/>
        <w:spacing w:line="360" w:lineRule="auto"/>
        <w:ind w:left="0" w:leftChars="0"/>
        <w:jc w:val="center"/>
        <w:rPr>
          <w:rFonts w:hint="eastAsia" w:cs="宋体" w:asciiTheme="majorEastAsia" w:hAnsiTheme="majorEastAsia" w:eastAsiaTheme="majorEastAsia"/>
          <w:b/>
          <w:sz w:val="21"/>
          <w:szCs w:val="21"/>
        </w:rPr>
      </w:pPr>
      <w:r>
        <w:rPr>
          <w:rFonts w:hint="eastAsia" w:cs="宋体" w:asciiTheme="majorEastAsia" w:hAnsiTheme="majorEastAsia" w:eastAsiaTheme="majorEastAsia"/>
          <w:b/>
          <w:sz w:val="21"/>
          <w:szCs w:val="21"/>
        </w:rPr>
        <w:t>3）技术要求响应表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4253"/>
        <w:gridCol w:w="2551"/>
        <w:gridCol w:w="1560"/>
      </w:tblGrid>
      <w:tr w14:paraId="25BEC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1FA96A7E">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序号</w:t>
            </w:r>
          </w:p>
        </w:tc>
        <w:tc>
          <w:tcPr>
            <w:tcW w:w="4253" w:type="dxa"/>
            <w:tcBorders>
              <w:top w:val="single" w:color="auto" w:sz="4" w:space="0"/>
              <w:left w:val="single" w:color="auto" w:sz="4" w:space="0"/>
              <w:bottom w:val="single" w:color="auto" w:sz="4" w:space="0"/>
              <w:right w:val="single" w:color="auto" w:sz="4" w:space="0"/>
            </w:tcBorders>
            <w:vAlign w:val="center"/>
          </w:tcPr>
          <w:p w14:paraId="4167232A">
            <w:pPr>
              <w:widowControl/>
              <w:jc w:val="center"/>
              <w:rPr>
                <w:rFonts w:hint="eastAsia" w:asciiTheme="majorEastAsia" w:hAnsiTheme="majorEastAsia" w:eastAsiaTheme="majorEastAsia"/>
                <w:szCs w:val="21"/>
              </w:rPr>
            </w:pPr>
            <w:r>
              <w:rPr>
                <w:rFonts w:asciiTheme="majorEastAsia" w:hAnsiTheme="majorEastAsia" w:eastAsiaTheme="majorEastAsia"/>
                <w:szCs w:val="21"/>
              </w:rPr>
              <w:t>招标文件</w:t>
            </w:r>
            <w:r>
              <w:rPr>
                <w:rFonts w:hint="eastAsia" w:asciiTheme="majorEastAsia" w:hAnsiTheme="majorEastAsia" w:eastAsiaTheme="majorEastAsia"/>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14:paraId="2CBCCF5C">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响应情况</w:t>
            </w:r>
          </w:p>
          <w:p w14:paraId="626BD2BD">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14:paraId="5D808017">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偏离情况说明</w:t>
            </w:r>
          </w:p>
        </w:tc>
      </w:tr>
      <w:tr w14:paraId="4886A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3E30961">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1</w:t>
            </w:r>
          </w:p>
        </w:tc>
        <w:tc>
          <w:tcPr>
            <w:tcW w:w="4253" w:type="dxa"/>
            <w:tcBorders>
              <w:top w:val="single" w:color="auto" w:sz="4" w:space="0"/>
              <w:left w:val="single" w:color="auto" w:sz="4" w:space="0"/>
              <w:bottom w:val="single" w:color="auto" w:sz="4" w:space="0"/>
              <w:right w:val="single" w:color="auto" w:sz="4" w:space="0"/>
            </w:tcBorders>
            <w:vAlign w:val="center"/>
          </w:tcPr>
          <w:p w14:paraId="57EBA60E">
            <w:pPr>
              <w:rPr>
                <w:rFonts w:hint="eastAsia" w:asciiTheme="majorEastAsia" w:hAnsiTheme="majorEastAsia" w:eastAsiaTheme="majorEastAsia"/>
              </w:rPr>
            </w:pPr>
          </w:p>
        </w:tc>
        <w:tc>
          <w:tcPr>
            <w:tcW w:w="2551" w:type="dxa"/>
            <w:tcBorders>
              <w:top w:val="single" w:color="auto" w:sz="4" w:space="0"/>
              <w:left w:val="single" w:color="auto" w:sz="4" w:space="0"/>
              <w:bottom w:val="single" w:color="auto" w:sz="4" w:space="0"/>
              <w:right w:val="single" w:color="auto" w:sz="4" w:space="0"/>
            </w:tcBorders>
            <w:vAlign w:val="center"/>
          </w:tcPr>
          <w:p w14:paraId="064E3C6F">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2711D88">
            <w:pPr>
              <w:widowControl/>
              <w:rPr>
                <w:rFonts w:hint="eastAsia" w:asciiTheme="majorEastAsia" w:hAnsiTheme="majorEastAsia" w:eastAsiaTheme="majorEastAsia"/>
                <w:szCs w:val="21"/>
              </w:rPr>
            </w:pPr>
          </w:p>
        </w:tc>
      </w:tr>
      <w:tr w14:paraId="29492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1E1DC10">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2</w:t>
            </w:r>
          </w:p>
        </w:tc>
        <w:tc>
          <w:tcPr>
            <w:tcW w:w="4253" w:type="dxa"/>
            <w:tcBorders>
              <w:top w:val="single" w:color="auto" w:sz="4" w:space="0"/>
              <w:left w:val="single" w:color="auto" w:sz="4" w:space="0"/>
              <w:bottom w:val="single" w:color="auto" w:sz="4" w:space="0"/>
              <w:right w:val="single" w:color="auto" w:sz="4" w:space="0"/>
            </w:tcBorders>
            <w:vAlign w:val="center"/>
          </w:tcPr>
          <w:p w14:paraId="00C4480E">
            <w:pPr>
              <w:rPr>
                <w:rFonts w:hint="eastAsia" w:asciiTheme="majorEastAsia" w:hAnsiTheme="majorEastAsia" w:eastAsiaTheme="maj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050CE67B">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AF2A24C">
            <w:pPr>
              <w:widowControl/>
              <w:rPr>
                <w:rFonts w:hint="eastAsia" w:asciiTheme="majorEastAsia" w:hAnsiTheme="majorEastAsia" w:eastAsiaTheme="majorEastAsia"/>
                <w:szCs w:val="21"/>
              </w:rPr>
            </w:pPr>
          </w:p>
        </w:tc>
      </w:tr>
      <w:tr w14:paraId="71191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6DCAA78">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3</w:t>
            </w:r>
          </w:p>
        </w:tc>
        <w:tc>
          <w:tcPr>
            <w:tcW w:w="4253" w:type="dxa"/>
            <w:tcBorders>
              <w:top w:val="single" w:color="auto" w:sz="4" w:space="0"/>
              <w:left w:val="single" w:color="auto" w:sz="4" w:space="0"/>
              <w:bottom w:val="single" w:color="auto" w:sz="4" w:space="0"/>
              <w:right w:val="single" w:color="auto" w:sz="4" w:space="0"/>
            </w:tcBorders>
            <w:vAlign w:val="center"/>
          </w:tcPr>
          <w:p w14:paraId="0A84BC73">
            <w:pPr>
              <w:rPr>
                <w:rFonts w:hint="eastAsia" w:asciiTheme="majorEastAsia" w:hAnsiTheme="majorEastAsia" w:eastAsiaTheme="maj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13E4F30">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6E709BE2">
            <w:pPr>
              <w:widowControl/>
              <w:rPr>
                <w:rFonts w:hint="eastAsia" w:asciiTheme="majorEastAsia" w:hAnsiTheme="majorEastAsia" w:eastAsiaTheme="majorEastAsia"/>
                <w:szCs w:val="21"/>
              </w:rPr>
            </w:pPr>
          </w:p>
        </w:tc>
      </w:tr>
      <w:tr w14:paraId="5A0AE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A8D81E1">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4</w:t>
            </w:r>
          </w:p>
        </w:tc>
        <w:tc>
          <w:tcPr>
            <w:tcW w:w="4253" w:type="dxa"/>
            <w:tcBorders>
              <w:top w:val="single" w:color="auto" w:sz="4" w:space="0"/>
              <w:left w:val="single" w:color="auto" w:sz="4" w:space="0"/>
              <w:bottom w:val="single" w:color="auto" w:sz="4" w:space="0"/>
              <w:right w:val="single" w:color="auto" w:sz="4" w:space="0"/>
            </w:tcBorders>
            <w:vAlign w:val="center"/>
          </w:tcPr>
          <w:p w14:paraId="51BC7DDD">
            <w:pPr>
              <w:rPr>
                <w:rFonts w:hint="eastAsia" w:asciiTheme="majorEastAsia" w:hAnsiTheme="majorEastAsia" w:eastAsiaTheme="maj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47355B0E">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64F304C5">
            <w:pPr>
              <w:widowControl/>
              <w:rPr>
                <w:rFonts w:hint="eastAsia" w:asciiTheme="majorEastAsia" w:hAnsiTheme="majorEastAsia" w:eastAsiaTheme="majorEastAsia"/>
                <w:szCs w:val="21"/>
              </w:rPr>
            </w:pPr>
          </w:p>
        </w:tc>
      </w:tr>
      <w:tr w14:paraId="76E12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053C0CC">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5</w:t>
            </w:r>
          </w:p>
        </w:tc>
        <w:tc>
          <w:tcPr>
            <w:tcW w:w="4253" w:type="dxa"/>
            <w:tcBorders>
              <w:top w:val="single" w:color="auto" w:sz="4" w:space="0"/>
              <w:left w:val="single" w:color="auto" w:sz="4" w:space="0"/>
              <w:bottom w:val="single" w:color="auto" w:sz="4" w:space="0"/>
              <w:right w:val="single" w:color="auto" w:sz="4" w:space="0"/>
            </w:tcBorders>
            <w:vAlign w:val="center"/>
          </w:tcPr>
          <w:p w14:paraId="581854EF">
            <w:pPr>
              <w:rPr>
                <w:rFonts w:hint="eastAsia" w:asciiTheme="majorEastAsia" w:hAnsiTheme="majorEastAsia" w:eastAsiaTheme="maj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387F345C">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308779B">
            <w:pPr>
              <w:widowControl/>
              <w:rPr>
                <w:rFonts w:hint="eastAsia" w:asciiTheme="majorEastAsia" w:hAnsiTheme="majorEastAsia" w:eastAsiaTheme="majorEastAsia"/>
                <w:szCs w:val="21"/>
              </w:rPr>
            </w:pPr>
          </w:p>
        </w:tc>
      </w:tr>
      <w:tr w14:paraId="0B430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5E3C456">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6</w:t>
            </w:r>
          </w:p>
        </w:tc>
        <w:tc>
          <w:tcPr>
            <w:tcW w:w="4253" w:type="dxa"/>
            <w:tcBorders>
              <w:top w:val="single" w:color="auto" w:sz="4" w:space="0"/>
              <w:left w:val="single" w:color="auto" w:sz="4" w:space="0"/>
              <w:bottom w:val="single" w:color="auto" w:sz="4" w:space="0"/>
              <w:right w:val="single" w:color="auto" w:sz="4" w:space="0"/>
            </w:tcBorders>
            <w:vAlign w:val="center"/>
          </w:tcPr>
          <w:p w14:paraId="7DEFD49B">
            <w:pPr>
              <w:rPr>
                <w:rFonts w:hint="eastAsia" w:asciiTheme="majorEastAsia" w:hAnsiTheme="majorEastAsia" w:eastAsiaTheme="maj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74BC3571">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735B290F">
            <w:pPr>
              <w:widowControl/>
              <w:rPr>
                <w:rFonts w:hint="eastAsia" w:asciiTheme="majorEastAsia" w:hAnsiTheme="majorEastAsia" w:eastAsiaTheme="majorEastAsia"/>
                <w:szCs w:val="21"/>
              </w:rPr>
            </w:pPr>
          </w:p>
        </w:tc>
      </w:tr>
      <w:tr w14:paraId="0BF39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2627975A">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7</w:t>
            </w:r>
          </w:p>
        </w:tc>
        <w:tc>
          <w:tcPr>
            <w:tcW w:w="4253" w:type="dxa"/>
            <w:tcBorders>
              <w:top w:val="single" w:color="auto" w:sz="4" w:space="0"/>
              <w:left w:val="single" w:color="auto" w:sz="4" w:space="0"/>
              <w:right w:val="single" w:color="auto" w:sz="4" w:space="0"/>
            </w:tcBorders>
            <w:vAlign w:val="center"/>
          </w:tcPr>
          <w:p w14:paraId="57E62B2A">
            <w:pPr>
              <w:ind w:right="34" w:rightChars="16"/>
              <w:rPr>
                <w:rFonts w:hint="eastAsia" w:asciiTheme="majorEastAsia" w:hAnsiTheme="majorEastAsia" w:eastAsiaTheme="majorEastAsia"/>
                <w:szCs w:val="21"/>
              </w:rPr>
            </w:pPr>
          </w:p>
        </w:tc>
        <w:tc>
          <w:tcPr>
            <w:tcW w:w="2551" w:type="dxa"/>
            <w:tcBorders>
              <w:top w:val="single" w:color="auto" w:sz="4" w:space="0"/>
              <w:left w:val="single" w:color="auto" w:sz="4" w:space="0"/>
              <w:right w:val="single" w:color="auto" w:sz="4" w:space="0"/>
            </w:tcBorders>
            <w:vAlign w:val="center"/>
          </w:tcPr>
          <w:p w14:paraId="3412D16F">
            <w:pPr>
              <w:widowControl/>
              <w:rPr>
                <w:rFonts w:hint="eastAsia" w:asciiTheme="majorEastAsia" w:hAnsiTheme="majorEastAsia" w:eastAsiaTheme="majorEastAsia"/>
                <w:szCs w:val="21"/>
              </w:rPr>
            </w:pPr>
          </w:p>
        </w:tc>
        <w:tc>
          <w:tcPr>
            <w:tcW w:w="1560" w:type="dxa"/>
            <w:tcBorders>
              <w:top w:val="single" w:color="auto" w:sz="4" w:space="0"/>
              <w:left w:val="single" w:color="auto" w:sz="4" w:space="0"/>
              <w:right w:val="single" w:color="auto" w:sz="4" w:space="0"/>
            </w:tcBorders>
            <w:vAlign w:val="center"/>
          </w:tcPr>
          <w:p w14:paraId="50F96DBC">
            <w:pPr>
              <w:widowControl/>
              <w:rPr>
                <w:rFonts w:hint="eastAsia" w:asciiTheme="majorEastAsia" w:hAnsiTheme="majorEastAsia" w:eastAsiaTheme="majorEastAsia"/>
                <w:szCs w:val="21"/>
              </w:rPr>
            </w:pPr>
          </w:p>
        </w:tc>
      </w:tr>
      <w:tr w14:paraId="28643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1B695C2F">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8</w:t>
            </w:r>
          </w:p>
        </w:tc>
        <w:tc>
          <w:tcPr>
            <w:tcW w:w="4253" w:type="dxa"/>
            <w:tcBorders>
              <w:top w:val="single" w:color="auto" w:sz="4" w:space="0"/>
              <w:left w:val="single" w:color="auto" w:sz="4" w:space="0"/>
              <w:right w:val="single" w:color="auto" w:sz="4" w:space="0"/>
            </w:tcBorders>
            <w:vAlign w:val="center"/>
          </w:tcPr>
          <w:p w14:paraId="340235CA">
            <w:pPr>
              <w:ind w:right="34" w:rightChars="16"/>
              <w:rPr>
                <w:rFonts w:hint="eastAsia" w:cs="宋体" w:asciiTheme="majorEastAsia" w:hAnsiTheme="majorEastAsia" w:eastAsiaTheme="majorEastAsia"/>
                <w:szCs w:val="21"/>
              </w:rPr>
            </w:pPr>
          </w:p>
        </w:tc>
        <w:tc>
          <w:tcPr>
            <w:tcW w:w="2551" w:type="dxa"/>
            <w:tcBorders>
              <w:top w:val="single" w:color="auto" w:sz="4" w:space="0"/>
              <w:left w:val="single" w:color="auto" w:sz="4" w:space="0"/>
              <w:right w:val="single" w:color="auto" w:sz="4" w:space="0"/>
            </w:tcBorders>
            <w:vAlign w:val="center"/>
          </w:tcPr>
          <w:p w14:paraId="53D6617F">
            <w:pPr>
              <w:widowControl/>
              <w:rPr>
                <w:rFonts w:hint="eastAsia" w:asciiTheme="majorEastAsia" w:hAnsiTheme="majorEastAsia" w:eastAsiaTheme="majorEastAsia"/>
                <w:szCs w:val="21"/>
              </w:rPr>
            </w:pPr>
          </w:p>
        </w:tc>
        <w:tc>
          <w:tcPr>
            <w:tcW w:w="1560" w:type="dxa"/>
            <w:tcBorders>
              <w:top w:val="single" w:color="auto" w:sz="4" w:space="0"/>
              <w:left w:val="single" w:color="auto" w:sz="4" w:space="0"/>
              <w:right w:val="single" w:color="auto" w:sz="4" w:space="0"/>
            </w:tcBorders>
            <w:vAlign w:val="center"/>
          </w:tcPr>
          <w:p w14:paraId="62671A2E">
            <w:pPr>
              <w:widowControl/>
              <w:rPr>
                <w:rFonts w:hint="eastAsia" w:asciiTheme="majorEastAsia" w:hAnsiTheme="majorEastAsia" w:eastAsiaTheme="majorEastAsia"/>
                <w:szCs w:val="21"/>
              </w:rPr>
            </w:pPr>
          </w:p>
        </w:tc>
      </w:tr>
      <w:tr w14:paraId="1BC22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2795F82A">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9</w:t>
            </w:r>
          </w:p>
        </w:tc>
        <w:tc>
          <w:tcPr>
            <w:tcW w:w="4253" w:type="dxa"/>
            <w:tcBorders>
              <w:top w:val="single" w:color="auto" w:sz="4" w:space="0"/>
              <w:left w:val="single" w:color="auto" w:sz="4" w:space="0"/>
              <w:right w:val="single" w:color="auto" w:sz="4" w:space="0"/>
            </w:tcBorders>
            <w:vAlign w:val="center"/>
          </w:tcPr>
          <w:p w14:paraId="3F5E1982">
            <w:pPr>
              <w:ind w:right="34" w:rightChars="16"/>
              <w:rPr>
                <w:rFonts w:hint="eastAsia" w:asciiTheme="majorEastAsia" w:hAnsiTheme="majorEastAsia" w:eastAsiaTheme="majorEastAsia"/>
                <w:szCs w:val="21"/>
              </w:rPr>
            </w:pPr>
          </w:p>
        </w:tc>
        <w:tc>
          <w:tcPr>
            <w:tcW w:w="2551" w:type="dxa"/>
            <w:tcBorders>
              <w:top w:val="single" w:color="auto" w:sz="4" w:space="0"/>
              <w:left w:val="single" w:color="auto" w:sz="4" w:space="0"/>
              <w:right w:val="single" w:color="auto" w:sz="4" w:space="0"/>
            </w:tcBorders>
            <w:vAlign w:val="center"/>
          </w:tcPr>
          <w:p w14:paraId="18055730">
            <w:pPr>
              <w:widowControl/>
              <w:rPr>
                <w:rFonts w:hint="eastAsia" w:asciiTheme="majorEastAsia" w:hAnsiTheme="majorEastAsia" w:eastAsiaTheme="majorEastAsia"/>
                <w:szCs w:val="21"/>
              </w:rPr>
            </w:pPr>
          </w:p>
        </w:tc>
        <w:tc>
          <w:tcPr>
            <w:tcW w:w="1560" w:type="dxa"/>
            <w:tcBorders>
              <w:top w:val="single" w:color="auto" w:sz="4" w:space="0"/>
              <w:left w:val="single" w:color="auto" w:sz="4" w:space="0"/>
              <w:right w:val="single" w:color="auto" w:sz="4" w:space="0"/>
            </w:tcBorders>
            <w:vAlign w:val="center"/>
          </w:tcPr>
          <w:p w14:paraId="1FEE8071">
            <w:pPr>
              <w:widowControl/>
              <w:rPr>
                <w:rFonts w:hint="eastAsia" w:asciiTheme="majorEastAsia" w:hAnsiTheme="majorEastAsia" w:eastAsiaTheme="majorEastAsia"/>
                <w:szCs w:val="21"/>
              </w:rPr>
            </w:pPr>
          </w:p>
        </w:tc>
      </w:tr>
      <w:tr w14:paraId="5FA15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0209A2D7">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10</w:t>
            </w:r>
          </w:p>
        </w:tc>
        <w:tc>
          <w:tcPr>
            <w:tcW w:w="4253" w:type="dxa"/>
            <w:tcBorders>
              <w:top w:val="single" w:color="auto" w:sz="4" w:space="0"/>
              <w:left w:val="single" w:color="auto" w:sz="4" w:space="0"/>
              <w:right w:val="single" w:color="auto" w:sz="4" w:space="0"/>
            </w:tcBorders>
            <w:vAlign w:val="center"/>
          </w:tcPr>
          <w:p w14:paraId="46B8BC97">
            <w:pPr>
              <w:ind w:right="34" w:rightChars="16"/>
              <w:rPr>
                <w:rFonts w:hint="eastAsia" w:asciiTheme="majorEastAsia" w:hAnsiTheme="majorEastAsia" w:eastAsiaTheme="majorEastAsia"/>
              </w:rPr>
            </w:pPr>
          </w:p>
        </w:tc>
        <w:tc>
          <w:tcPr>
            <w:tcW w:w="2551" w:type="dxa"/>
            <w:tcBorders>
              <w:top w:val="single" w:color="auto" w:sz="4" w:space="0"/>
              <w:left w:val="single" w:color="auto" w:sz="4" w:space="0"/>
              <w:right w:val="single" w:color="auto" w:sz="4" w:space="0"/>
            </w:tcBorders>
            <w:vAlign w:val="center"/>
          </w:tcPr>
          <w:p w14:paraId="3827C653">
            <w:pPr>
              <w:widowControl/>
              <w:rPr>
                <w:rFonts w:hint="eastAsia" w:asciiTheme="majorEastAsia" w:hAnsiTheme="majorEastAsia" w:eastAsiaTheme="majorEastAsia"/>
                <w:szCs w:val="21"/>
              </w:rPr>
            </w:pPr>
          </w:p>
        </w:tc>
        <w:tc>
          <w:tcPr>
            <w:tcW w:w="1560" w:type="dxa"/>
            <w:tcBorders>
              <w:top w:val="single" w:color="auto" w:sz="4" w:space="0"/>
              <w:left w:val="single" w:color="auto" w:sz="4" w:space="0"/>
              <w:right w:val="single" w:color="auto" w:sz="4" w:space="0"/>
            </w:tcBorders>
            <w:vAlign w:val="center"/>
          </w:tcPr>
          <w:p w14:paraId="68F023FC">
            <w:pPr>
              <w:widowControl/>
              <w:rPr>
                <w:rFonts w:hint="eastAsia" w:asciiTheme="majorEastAsia" w:hAnsiTheme="majorEastAsia" w:eastAsiaTheme="majorEastAsia"/>
                <w:szCs w:val="21"/>
              </w:rPr>
            </w:pPr>
          </w:p>
        </w:tc>
      </w:tr>
      <w:tr w14:paraId="39187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4CD8987F">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w:t>
            </w:r>
          </w:p>
        </w:tc>
        <w:tc>
          <w:tcPr>
            <w:tcW w:w="4253" w:type="dxa"/>
            <w:tcBorders>
              <w:top w:val="single" w:color="auto" w:sz="4" w:space="0"/>
              <w:left w:val="single" w:color="auto" w:sz="4" w:space="0"/>
              <w:right w:val="single" w:color="auto" w:sz="4" w:space="0"/>
            </w:tcBorders>
            <w:vAlign w:val="center"/>
          </w:tcPr>
          <w:p w14:paraId="2C5F1D6D">
            <w:pPr>
              <w:ind w:right="34" w:rightChars="16"/>
              <w:rPr>
                <w:rFonts w:hint="eastAsia" w:asciiTheme="majorEastAsia" w:hAnsiTheme="majorEastAsia" w:eastAsiaTheme="majorEastAsia"/>
                <w:szCs w:val="21"/>
              </w:rPr>
            </w:pPr>
          </w:p>
        </w:tc>
        <w:tc>
          <w:tcPr>
            <w:tcW w:w="2551" w:type="dxa"/>
            <w:tcBorders>
              <w:top w:val="single" w:color="auto" w:sz="4" w:space="0"/>
              <w:left w:val="single" w:color="auto" w:sz="4" w:space="0"/>
              <w:right w:val="single" w:color="auto" w:sz="4" w:space="0"/>
            </w:tcBorders>
            <w:vAlign w:val="center"/>
          </w:tcPr>
          <w:p w14:paraId="57F8978B">
            <w:pPr>
              <w:widowControl/>
              <w:rPr>
                <w:rFonts w:hint="eastAsia" w:asciiTheme="majorEastAsia" w:hAnsiTheme="majorEastAsia" w:eastAsiaTheme="majorEastAsia"/>
                <w:szCs w:val="21"/>
              </w:rPr>
            </w:pPr>
          </w:p>
        </w:tc>
        <w:tc>
          <w:tcPr>
            <w:tcW w:w="1560" w:type="dxa"/>
            <w:tcBorders>
              <w:top w:val="single" w:color="auto" w:sz="4" w:space="0"/>
              <w:left w:val="single" w:color="auto" w:sz="4" w:space="0"/>
              <w:right w:val="single" w:color="auto" w:sz="4" w:space="0"/>
            </w:tcBorders>
            <w:vAlign w:val="center"/>
          </w:tcPr>
          <w:p w14:paraId="76DA8B21">
            <w:pPr>
              <w:widowControl/>
              <w:rPr>
                <w:rFonts w:hint="eastAsia" w:asciiTheme="majorEastAsia" w:hAnsiTheme="majorEastAsia" w:eastAsiaTheme="majorEastAsia"/>
                <w:szCs w:val="21"/>
              </w:rPr>
            </w:pPr>
          </w:p>
        </w:tc>
      </w:tr>
    </w:tbl>
    <w:p w14:paraId="09B112F4">
      <w:pPr>
        <w:snapToGrid w:val="0"/>
        <w:spacing w:before="50" w:after="50" w:line="360" w:lineRule="auto"/>
        <w:ind w:left="-23" w:leftChars="-11" w:right="27" w:rightChars="13" w:firstLine="21" w:firstLineChars="10"/>
        <w:rPr>
          <w:rFonts w:hint="eastAsia" w:cs="宋体" w:asciiTheme="majorEastAsia" w:hAnsiTheme="majorEastAsia" w:eastAsiaTheme="majorEastAsia"/>
          <w:b/>
          <w:bCs/>
          <w:szCs w:val="30"/>
        </w:rPr>
      </w:pPr>
      <w:r>
        <w:rPr>
          <w:rFonts w:hint="eastAsia" w:cs="宋体" w:asciiTheme="majorEastAsia" w:hAnsiTheme="majorEastAsia" w:eastAsiaTheme="majorEastAsia"/>
          <w:b/>
          <w:bCs/>
          <w:szCs w:val="30"/>
        </w:rPr>
        <w:t>注：1、投标人应将投标产品的实际技术参数和性能指标进行针对性的描述，以证明投标产品对招标文件要求的技术参数和性能指标做出实质性响应。</w:t>
      </w:r>
    </w:p>
    <w:p w14:paraId="6930E318">
      <w:pPr>
        <w:snapToGrid w:val="0"/>
        <w:spacing w:before="50" w:after="50" w:line="360" w:lineRule="auto"/>
        <w:ind w:left="-23" w:leftChars="-11" w:right="27" w:rightChars="13" w:firstLine="21" w:firstLineChars="10"/>
        <w:rPr>
          <w:rFonts w:hint="eastAsia" w:cs="宋体" w:asciiTheme="majorEastAsia" w:hAnsiTheme="majorEastAsia" w:eastAsiaTheme="majorEastAsia"/>
          <w:b/>
          <w:bCs/>
        </w:rPr>
      </w:pPr>
      <w:r>
        <w:rPr>
          <w:rFonts w:hint="eastAsia" w:cs="宋体" w:asciiTheme="majorEastAsia" w:hAnsiTheme="majorEastAsia" w:eastAsiaTheme="majorEastAsia"/>
          <w:b/>
          <w:bCs/>
          <w:szCs w:val="30"/>
        </w:rPr>
        <w:t>2、</w:t>
      </w:r>
      <w:r>
        <w:rPr>
          <w:rFonts w:hint="eastAsia" w:cs="宋体" w:asciiTheme="majorEastAsia" w:hAnsiTheme="majorEastAsia" w:eastAsiaTheme="majorEastAsia"/>
          <w:b/>
          <w:bCs/>
        </w:rPr>
        <w:t>响应情况栏填写“响应”即为满足招标文件要求，填写“正偏离”为优于招标文件要求，填写“负偏离”为不能满足招标文件要求。</w:t>
      </w:r>
    </w:p>
    <w:p w14:paraId="1385025D">
      <w:pPr>
        <w:snapToGrid w:val="0"/>
        <w:spacing w:before="50" w:after="50" w:line="360" w:lineRule="auto"/>
        <w:ind w:left="-23" w:leftChars="-11" w:right="-57" w:rightChars="-27" w:firstLine="21" w:firstLineChars="10"/>
        <w:rPr>
          <w:rFonts w:hint="eastAsia" w:asciiTheme="majorEastAsia" w:hAnsiTheme="majorEastAsia" w:eastAsiaTheme="majorEastAsia"/>
          <w:b/>
          <w:szCs w:val="21"/>
        </w:rPr>
      </w:pPr>
      <w:r>
        <w:rPr>
          <w:rFonts w:hint="eastAsia" w:cs="宋体" w:asciiTheme="majorEastAsia" w:hAnsiTheme="majorEastAsia" w:eastAsiaTheme="majorEastAsia"/>
          <w:b/>
          <w:bCs/>
          <w:szCs w:val="30"/>
        </w:rPr>
        <w:t>3、</w:t>
      </w:r>
      <w:r>
        <w:rPr>
          <w:rFonts w:hint="eastAsia" w:asciiTheme="majorEastAsia" w:hAnsiTheme="majorEastAsia" w:eastAsiaTheme="majorEastAsia"/>
          <w:b/>
          <w:szCs w:val="21"/>
        </w:rPr>
        <w:t>响应条款与招标要求不一致（包括</w:t>
      </w:r>
      <w:r>
        <w:rPr>
          <w:rFonts w:hint="eastAsia" w:cs="宋体" w:asciiTheme="majorEastAsia" w:hAnsiTheme="majorEastAsia" w:eastAsiaTheme="majorEastAsia"/>
          <w:b/>
          <w:bCs/>
        </w:rPr>
        <w:t>正偏离</w:t>
      </w:r>
      <w:r>
        <w:rPr>
          <w:rFonts w:hint="eastAsia" w:asciiTheme="majorEastAsia" w:hAnsiTheme="majorEastAsia" w:eastAsiaTheme="majorEastAsia"/>
          <w:b/>
          <w:szCs w:val="21"/>
        </w:rPr>
        <w:t>或</w:t>
      </w:r>
      <w:r>
        <w:rPr>
          <w:rFonts w:hint="eastAsia" w:cs="宋体" w:asciiTheme="majorEastAsia" w:hAnsiTheme="majorEastAsia" w:eastAsiaTheme="majorEastAsia"/>
          <w:b/>
          <w:bCs/>
        </w:rPr>
        <w:t>负偏离</w:t>
      </w:r>
      <w:r>
        <w:rPr>
          <w:rFonts w:hint="eastAsia" w:asciiTheme="majorEastAsia" w:hAnsiTheme="majorEastAsia" w:eastAsiaTheme="majorEastAsia"/>
          <w:b/>
          <w:szCs w:val="21"/>
        </w:rPr>
        <w:t>）的具体条款内容应当在“偏离情况说明”栏进行描述，响应情况由评标委员会认定。</w:t>
      </w:r>
    </w:p>
    <w:p w14:paraId="70B859D0">
      <w:pPr>
        <w:snapToGrid w:val="0"/>
        <w:spacing w:before="50" w:after="50" w:line="360" w:lineRule="auto"/>
        <w:ind w:left="-23" w:leftChars="-11" w:right="27" w:rightChars="13" w:firstLine="21" w:firstLineChars="10"/>
        <w:rPr>
          <w:rFonts w:hint="eastAsia" w:cs="宋体" w:asciiTheme="majorEastAsia" w:hAnsiTheme="majorEastAsia" w:eastAsiaTheme="majorEastAsia"/>
          <w:b/>
          <w:bCs/>
          <w:szCs w:val="30"/>
        </w:rPr>
      </w:pPr>
    </w:p>
    <w:p w14:paraId="6B5A6AF5">
      <w:pPr>
        <w:spacing w:line="360" w:lineRule="auto"/>
        <w:ind w:firstLine="420" w:firstLineChars="200"/>
        <w:rPr>
          <w:rFonts w:hint="eastAsia" w:cs="宋体" w:asciiTheme="majorEastAsia" w:hAnsiTheme="majorEastAsia" w:eastAsiaTheme="majorEastAsia"/>
          <w:szCs w:val="21"/>
        </w:rPr>
      </w:pPr>
    </w:p>
    <w:p w14:paraId="06C63683">
      <w:pPr>
        <w:snapToGrid w:val="0"/>
        <w:spacing w:line="360" w:lineRule="auto"/>
        <w:ind w:firstLine="3685" w:firstLineChars="1755"/>
        <w:rPr>
          <w:rFonts w:hint="eastAsia" w:asciiTheme="majorEastAsia" w:hAnsiTheme="majorEastAsia" w:eastAsiaTheme="majorEastAsia"/>
          <w:szCs w:val="21"/>
        </w:rPr>
      </w:pPr>
      <w:r>
        <w:rPr>
          <w:rFonts w:hint="eastAsia" w:asciiTheme="majorEastAsia" w:hAnsiTheme="majorEastAsia" w:eastAsiaTheme="majorEastAsia"/>
          <w:szCs w:val="21"/>
        </w:rPr>
        <w:t>投标人：</w:t>
      </w:r>
      <w:r>
        <w:rPr>
          <w:rFonts w:asciiTheme="majorEastAsia" w:hAnsiTheme="majorEastAsia" w:eastAsiaTheme="majorEastAsia"/>
          <w:szCs w:val="21"/>
          <w:u w:val="single"/>
        </w:rPr>
        <w:t>___</w:t>
      </w:r>
      <w:r>
        <w:rPr>
          <w:rFonts w:hint="eastAsia" w:asciiTheme="majorEastAsia" w:hAnsiTheme="majorEastAsia" w:eastAsiaTheme="majorEastAsia"/>
          <w:szCs w:val="21"/>
          <w:u w:val="single"/>
        </w:rPr>
        <w:t xml:space="preserve">    （填写全称并加盖公章)</w:t>
      </w:r>
      <w:r>
        <w:rPr>
          <w:rFonts w:asciiTheme="majorEastAsia" w:hAnsiTheme="majorEastAsia" w:eastAsiaTheme="majorEastAsia"/>
          <w:szCs w:val="21"/>
          <w:u w:val="single"/>
        </w:rPr>
        <w:t>___________</w:t>
      </w:r>
    </w:p>
    <w:p w14:paraId="7D25FCA7">
      <w:pPr>
        <w:snapToGrid w:val="0"/>
        <w:spacing w:line="360" w:lineRule="auto"/>
        <w:ind w:firstLine="3685" w:firstLineChars="1755"/>
        <w:rPr>
          <w:rFonts w:hint="eastAsia" w:asciiTheme="majorEastAsia" w:hAnsiTheme="majorEastAsia" w:eastAsiaTheme="majorEastAsia"/>
          <w:szCs w:val="21"/>
        </w:rPr>
      </w:pPr>
      <w:r>
        <w:rPr>
          <w:rFonts w:hint="eastAsia" w:asciiTheme="majorEastAsia" w:hAnsiTheme="majorEastAsia" w:eastAsiaTheme="majorEastAsia"/>
          <w:szCs w:val="21"/>
        </w:rPr>
        <w:t>日  期：</w:t>
      </w:r>
    </w:p>
    <w:p w14:paraId="355A944B">
      <w:pPr>
        <w:rPr>
          <w:rFonts w:hint="eastAsia" w:cs="宋体" w:asciiTheme="majorEastAsia" w:hAnsiTheme="majorEastAsia" w:eastAsiaTheme="majorEastAsia"/>
          <w:b/>
          <w:szCs w:val="21"/>
        </w:rPr>
      </w:pPr>
      <w:r>
        <w:rPr>
          <w:rFonts w:hint="eastAsia" w:cs="宋体" w:asciiTheme="majorEastAsia" w:hAnsiTheme="majorEastAsia" w:eastAsiaTheme="majorEastAsia"/>
          <w:b/>
          <w:szCs w:val="21"/>
        </w:rPr>
        <w:br w:type="page"/>
      </w:r>
    </w:p>
    <w:p w14:paraId="6EF7E460">
      <w:pPr>
        <w:pStyle w:val="3"/>
        <w:spacing w:line="360" w:lineRule="auto"/>
        <w:ind w:left="0" w:leftChars="0"/>
        <w:jc w:val="center"/>
        <w:rPr>
          <w:rFonts w:hint="eastAsia" w:cs="宋体" w:asciiTheme="majorEastAsia" w:hAnsiTheme="majorEastAsia" w:eastAsiaTheme="majorEastAsia"/>
          <w:b/>
          <w:sz w:val="21"/>
          <w:szCs w:val="21"/>
        </w:rPr>
      </w:pPr>
      <w:r>
        <w:rPr>
          <w:rFonts w:hint="eastAsia" w:cs="宋体" w:asciiTheme="majorEastAsia" w:hAnsiTheme="majorEastAsia" w:eastAsiaTheme="majorEastAsia"/>
          <w:b/>
          <w:sz w:val="21"/>
          <w:szCs w:val="21"/>
        </w:rPr>
        <w:t>4）服务要求响应表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4253"/>
        <w:gridCol w:w="2551"/>
        <w:gridCol w:w="1560"/>
      </w:tblGrid>
      <w:tr w14:paraId="6E454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7011CA1">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序号</w:t>
            </w:r>
          </w:p>
        </w:tc>
        <w:tc>
          <w:tcPr>
            <w:tcW w:w="4253" w:type="dxa"/>
            <w:tcBorders>
              <w:top w:val="single" w:color="auto" w:sz="4" w:space="0"/>
              <w:left w:val="single" w:color="auto" w:sz="4" w:space="0"/>
              <w:bottom w:val="single" w:color="auto" w:sz="4" w:space="0"/>
              <w:right w:val="single" w:color="auto" w:sz="4" w:space="0"/>
            </w:tcBorders>
            <w:vAlign w:val="center"/>
          </w:tcPr>
          <w:p w14:paraId="584C4BEA">
            <w:pPr>
              <w:widowControl/>
              <w:jc w:val="center"/>
              <w:rPr>
                <w:rFonts w:hint="eastAsia" w:asciiTheme="majorEastAsia" w:hAnsiTheme="majorEastAsia" w:eastAsiaTheme="majorEastAsia"/>
                <w:szCs w:val="21"/>
              </w:rPr>
            </w:pPr>
            <w:r>
              <w:rPr>
                <w:rFonts w:asciiTheme="majorEastAsia" w:hAnsiTheme="majorEastAsia" w:eastAsiaTheme="majorEastAsia"/>
                <w:szCs w:val="21"/>
              </w:rPr>
              <w:t>招标文件</w:t>
            </w:r>
            <w:r>
              <w:rPr>
                <w:rFonts w:hint="eastAsia" w:asciiTheme="majorEastAsia" w:hAnsiTheme="majorEastAsia" w:eastAsiaTheme="majorEastAsia"/>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14:paraId="02092B33">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响应情况</w:t>
            </w:r>
          </w:p>
          <w:p w14:paraId="34CAF92D">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14:paraId="69C60F49">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偏离情况说明</w:t>
            </w:r>
          </w:p>
        </w:tc>
      </w:tr>
      <w:tr w14:paraId="4026B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40764CB">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1</w:t>
            </w:r>
          </w:p>
        </w:tc>
        <w:tc>
          <w:tcPr>
            <w:tcW w:w="4253" w:type="dxa"/>
            <w:tcBorders>
              <w:top w:val="single" w:color="auto" w:sz="4" w:space="0"/>
              <w:left w:val="single" w:color="auto" w:sz="4" w:space="0"/>
              <w:bottom w:val="single" w:color="auto" w:sz="4" w:space="0"/>
              <w:right w:val="single" w:color="auto" w:sz="4" w:space="0"/>
            </w:tcBorders>
            <w:vAlign w:val="center"/>
          </w:tcPr>
          <w:p w14:paraId="166F1F8B">
            <w:pPr>
              <w:rPr>
                <w:rFonts w:hint="eastAsia" w:asciiTheme="majorEastAsia" w:hAnsiTheme="majorEastAsia" w:eastAsiaTheme="majorEastAsia"/>
              </w:rPr>
            </w:pPr>
          </w:p>
        </w:tc>
        <w:tc>
          <w:tcPr>
            <w:tcW w:w="2551" w:type="dxa"/>
            <w:tcBorders>
              <w:top w:val="single" w:color="auto" w:sz="4" w:space="0"/>
              <w:left w:val="single" w:color="auto" w:sz="4" w:space="0"/>
              <w:bottom w:val="single" w:color="auto" w:sz="4" w:space="0"/>
              <w:right w:val="single" w:color="auto" w:sz="4" w:space="0"/>
            </w:tcBorders>
            <w:vAlign w:val="center"/>
          </w:tcPr>
          <w:p w14:paraId="4019E1FA">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3BFEFC6D">
            <w:pPr>
              <w:widowControl/>
              <w:rPr>
                <w:rFonts w:hint="eastAsia" w:asciiTheme="majorEastAsia" w:hAnsiTheme="majorEastAsia" w:eastAsiaTheme="majorEastAsia"/>
                <w:szCs w:val="21"/>
              </w:rPr>
            </w:pPr>
          </w:p>
        </w:tc>
      </w:tr>
      <w:tr w14:paraId="5EC48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8FFE8B7">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2</w:t>
            </w:r>
          </w:p>
        </w:tc>
        <w:tc>
          <w:tcPr>
            <w:tcW w:w="4253" w:type="dxa"/>
            <w:tcBorders>
              <w:top w:val="single" w:color="auto" w:sz="4" w:space="0"/>
              <w:left w:val="single" w:color="auto" w:sz="4" w:space="0"/>
              <w:bottom w:val="single" w:color="auto" w:sz="4" w:space="0"/>
              <w:right w:val="single" w:color="auto" w:sz="4" w:space="0"/>
            </w:tcBorders>
            <w:vAlign w:val="center"/>
          </w:tcPr>
          <w:p w14:paraId="272BF5CE">
            <w:pPr>
              <w:rPr>
                <w:rFonts w:hint="eastAsia" w:asciiTheme="majorEastAsia" w:hAnsiTheme="majorEastAsia" w:eastAsiaTheme="maj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5C819A0E">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72FFEA18">
            <w:pPr>
              <w:widowControl/>
              <w:rPr>
                <w:rFonts w:hint="eastAsia" w:asciiTheme="majorEastAsia" w:hAnsiTheme="majorEastAsia" w:eastAsiaTheme="majorEastAsia"/>
                <w:szCs w:val="21"/>
              </w:rPr>
            </w:pPr>
          </w:p>
        </w:tc>
      </w:tr>
      <w:tr w14:paraId="2FB2F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38FCE7D">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3</w:t>
            </w:r>
          </w:p>
        </w:tc>
        <w:tc>
          <w:tcPr>
            <w:tcW w:w="4253" w:type="dxa"/>
            <w:tcBorders>
              <w:top w:val="single" w:color="auto" w:sz="4" w:space="0"/>
              <w:left w:val="single" w:color="auto" w:sz="4" w:space="0"/>
              <w:bottom w:val="single" w:color="auto" w:sz="4" w:space="0"/>
              <w:right w:val="single" w:color="auto" w:sz="4" w:space="0"/>
            </w:tcBorders>
            <w:vAlign w:val="center"/>
          </w:tcPr>
          <w:p w14:paraId="7C1A0589">
            <w:pPr>
              <w:rPr>
                <w:rFonts w:hint="eastAsia" w:asciiTheme="majorEastAsia" w:hAnsiTheme="majorEastAsia" w:eastAsiaTheme="maj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0D53492A">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F2A956B">
            <w:pPr>
              <w:widowControl/>
              <w:rPr>
                <w:rFonts w:hint="eastAsia" w:asciiTheme="majorEastAsia" w:hAnsiTheme="majorEastAsia" w:eastAsiaTheme="majorEastAsia"/>
                <w:szCs w:val="21"/>
              </w:rPr>
            </w:pPr>
          </w:p>
        </w:tc>
      </w:tr>
      <w:tr w14:paraId="238D2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FA565AD">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4</w:t>
            </w:r>
          </w:p>
        </w:tc>
        <w:tc>
          <w:tcPr>
            <w:tcW w:w="4253" w:type="dxa"/>
            <w:tcBorders>
              <w:top w:val="single" w:color="auto" w:sz="4" w:space="0"/>
              <w:left w:val="single" w:color="auto" w:sz="4" w:space="0"/>
              <w:bottom w:val="single" w:color="auto" w:sz="4" w:space="0"/>
              <w:right w:val="single" w:color="auto" w:sz="4" w:space="0"/>
            </w:tcBorders>
            <w:vAlign w:val="center"/>
          </w:tcPr>
          <w:p w14:paraId="6ED10A43">
            <w:pPr>
              <w:rPr>
                <w:rFonts w:hint="eastAsia" w:asciiTheme="majorEastAsia" w:hAnsiTheme="majorEastAsia" w:eastAsiaTheme="maj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6483A7F8">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9CFCA35">
            <w:pPr>
              <w:widowControl/>
              <w:rPr>
                <w:rFonts w:hint="eastAsia" w:asciiTheme="majorEastAsia" w:hAnsiTheme="majorEastAsia" w:eastAsiaTheme="majorEastAsia"/>
                <w:szCs w:val="21"/>
              </w:rPr>
            </w:pPr>
          </w:p>
        </w:tc>
      </w:tr>
      <w:tr w14:paraId="46087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97AE9B9">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5</w:t>
            </w:r>
          </w:p>
        </w:tc>
        <w:tc>
          <w:tcPr>
            <w:tcW w:w="4253" w:type="dxa"/>
            <w:tcBorders>
              <w:top w:val="single" w:color="auto" w:sz="4" w:space="0"/>
              <w:left w:val="single" w:color="auto" w:sz="4" w:space="0"/>
              <w:bottom w:val="single" w:color="auto" w:sz="4" w:space="0"/>
              <w:right w:val="single" w:color="auto" w:sz="4" w:space="0"/>
            </w:tcBorders>
            <w:vAlign w:val="center"/>
          </w:tcPr>
          <w:p w14:paraId="7C568321">
            <w:pPr>
              <w:rPr>
                <w:rFonts w:hint="eastAsia" w:asciiTheme="majorEastAsia" w:hAnsiTheme="majorEastAsia" w:eastAsiaTheme="maj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1DF18E4A">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6EC65C1">
            <w:pPr>
              <w:widowControl/>
              <w:rPr>
                <w:rFonts w:hint="eastAsia" w:asciiTheme="majorEastAsia" w:hAnsiTheme="majorEastAsia" w:eastAsiaTheme="majorEastAsia"/>
                <w:szCs w:val="21"/>
              </w:rPr>
            </w:pPr>
          </w:p>
        </w:tc>
      </w:tr>
      <w:tr w14:paraId="73791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D01E93C">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6</w:t>
            </w:r>
          </w:p>
        </w:tc>
        <w:tc>
          <w:tcPr>
            <w:tcW w:w="4253" w:type="dxa"/>
            <w:tcBorders>
              <w:top w:val="single" w:color="auto" w:sz="4" w:space="0"/>
              <w:left w:val="single" w:color="auto" w:sz="4" w:space="0"/>
              <w:bottom w:val="single" w:color="auto" w:sz="4" w:space="0"/>
              <w:right w:val="single" w:color="auto" w:sz="4" w:space="0"/>
            </w:tcBorders>
            <w:vAlign w:val="center"/>
          </w:tcPr>
          <w:p w14:paraId="68D0905F">
            <w:pPr>
              <w:rPr>
                <w:rFonts w:hint="eastAsia" w:asciiTheme="majorEastAsia" w:hAnsiTheme="majorEastAsia" w:eastAsiaTheme="maj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43F8B71">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34D53C5A">
            <w:pPr>
              <w:widowControl/>
              <w:rPr>
                <w:rFonts w:hint="eastAsia" w:asciiTheme="majorEastAsia" w:hAnsiTheme="majorEastAsia" w:eastAsiaTheme="majorEastAsia"/>
                <w:szCs w:val="21"/>
              </w:rPr>
            </w:pPr>
          </w:p>
        </w:tc>
      </w:tr>
      <w:tr w14:paraId="325E1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081D9FBB">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7</w:t>
            </w:r>
          </w:p>
        </w:tc>
        <w:tc>
          <w:tcPr>
            <w:tcW w:w="4253" w:type="dxa"/>
            <w:tcBorders>
              <w:top w:val="single" w:color="auto" w:sz="4" w:space="0"/>
              <w:left w:val="single" w:color="auto" w:sz="4" w:space="0"/>
              <w:right w:val="single" w:color="auto" w:sz="4" w:space="0"/>
            </w:tcBorders>
            <w:vAlign w:val="center"/>
          </w:tcPr>
          <w:p w14:paraId="64220CE2">
            <w:pPr>
              <w:ind w:right="34" w:rightChars="16"/>
              <w:rPr>
                <w:rFonts w:hint="eastAsia" w:asciiTheme="majorEastAsia" w:hAnsiTheme="majorEastAsia" w:eastAsiaTheme="majorEastAsia"/>
                <w:szCs w:val="21"/>
              </w:rPr>
            </w:pPr>
          </w:p>
        </w:tc>
        <w:tc>
          <w:tcPr>
            <w:tcW w:w="2551" w:type="dxa"/>
            <w:tcBorders>
              <w:top w:val="single" w:color="auto" w:sz="4" w:space="0"/>
              <w:left w:val="single" w:color="auto" w:sz="4" w:space="0"/>
              <w:right w:val="single" w:color="auto" w:sz="4" w:space="0"/>
            </w:tcBorders>
            <w:vAlign w:val="center"/>
          </w:tcPr>
          <w:p w14:paraId="09551D89">
            <w:pPr>
              <w:widowControl/>
              <w:rPr>
                <w:rFonts w:hint="eastAsia" w:asciiTheme="majorEastAsia" w:hAnsiTheme="majorEastAsia" w:eastAsiaTheme="majorEastAsia"/>
                <w:szCs w:val="21"/>
              </w:rPr>
            </w:pPr>
          </w:p>
        </w:tc>
        <w:tc>
          <w:tcPr>
            <w:tcW w:w="1560" w:type="dxa"/>
            <w:tcBorders>
              <w:top w:val="single" w:color="auto" w:sz="4" w:space="0"/>
              <w:left w:val="single" w:color="auto" w:sz="4" w:space="0"/>
              <w:right w:val="single" w:color="auto" w:sz="4" w:space="0"/>
            </w:tcBorders>
            <w:vAlign w:val="center"/>
          </w:tcPr>
          <w:p w14:paraId="215AC5AC">
            <w:pPr>
              <w:widowControl/>
              <w:rPr>
                <w:rFonts w:hint="eastAsia" w:asciiTheme="majorEastAsia" w:hAnsiTheme="majorEastAsia" w:eastAsiaTheme="majorEastAsia"/>
                <w:szCs w:val="21"/>
              </w:rPr>
            </w:pPr>
          </w:p>
        </w:tc>
      </w:tr>
      <w:tr w14:paraId="619E6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5E360142">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8</w:t>
            </w:r>
          </w:p>
        </w:tc>
        <w:tc>
          <w:tcPr>
            <w:tcW w:w="4253" w:type="dxa"/>
            <w:tcBorders>
              <w:top w:val="single" w:color="auto" w:sz="4" w:space="0"/>
              <w:left w:val="single" w:color="auto" w:sz="4" w:space="0"/>
              <w:right w:val="single" w:color="auto" w:sz="4" w:space="0"/>
            </w:tcBorders>
            <w:vAlign w:val="center"/>
          </w:tcPr>
          <w:p w14:paraId="6DB3DB24">
            <w:pPr>
              <w:ind w:right="34" w:rightChars="16"/>
              <w:rPr>
                <w:rFonts w:hint="eastAsia" w:cs="宋体" w:asciiTheme="majorEastAsia" w:hAnsiTheme="majorEastAsia" w:eastAsiaTheme="majorEastAsia"/>
                <w:szCs w:val="21"/>
              </w:rPr>
            </w:pPr>
          </w:p>
        </w:tc>
        <w:tc>
          <w:tcPr>
            <w:tcW w:w="2551" w:type="dxa"/>
            <w:tcBorders>
              <w:top w:val="single" w:color="auto" w:sz="4" w:space="0"/>
              <w:left w:val="single" w:color="auto" w:sz="4" w:space="0"/>
              <w:right w:val="single" w:color="auto" w:sz="4" w:space="0"/>
            </w:tcBorders>
            <w:vAlign w:val="center"/>
          </w:tcPr>
          <w:p w14:paraId="27EADE8E">
            <w:pPr>
              <w:widowControl/>
              <w:rPr>
                <w:rFonts w:hint="eastAsia" w:asciiTheme="majorEastAsia" w:hAnsiTheme="majorEastAsia" w:eastAsiaTheme="majorEastAsia"/>
                <w:szCs w:val="21"/>
              </w:rPr>
            </w:pPr>
          </w:p>
        </w:tc>
        <w:tc>
          <w:tcPr>
            <w:tcW w:w="1560" w:type="dxa"/>
            <w:tcBorders>
              <w:top w:val="single" w:color="auto" w:sz="4" w:space="0"/>
              <w:left w:val="single" w:color="auto" w:sz="4" w:space="0"/>
              <w:right w:val="single" w:color="auto" w:sz="4" w:space="0"/>
            </w:tcBorders>
            <w:vAlign w:val="center"/>
          </w:tcPr>
          <w:p w14:paraId="7868A568">
            <w:pPr>
              <w:widowControl/>
              <w:rPr>
                <w:rFonts w:hint="eastAsia" w:asciiTheme="majorEastAsia" w:hAnsiTheme="majorEastAsia" w:eastAsiaTheme="majorEastAsia"/>
                <w:szCs w:val="21"/>
              </w:rPr>
            </w:pPr>
          </w:p>
        </w:tc>
      </w:tr>
      <w:tr w14:paraId="1DC68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15C7D019">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9</w:t>
            </w:r>
          </w:p>
        </w:tc>
        <w:tc>
          <w:tcPr>
            <w:tcW w:w="4253" w:type="dxa"/>
            <w:tcBorders>
              <w:top w:val="single" w:color="auto" w:sz="4" w:space="0"/>
              <w:left w:val="single" w:color="auto" w:sz="4" w:space="0"/>
              <w:right w:val="single" w:color="auto" w:sz="4" w:space="0"/>
            </w:tcBorders>
            <w:vAlign w:val="center"/>
          </w:tcPr>
          <w:p w14:paraId="30FE082A">
            <w:pPr>
              <w:ind w:right="34" w:rightChars="16"/>
              <w:rPr>
                <w:rFonts w:hint="eastAsia" w:asciiTheme="majorEastAsia" w:hAnsiTheme="majorEastAsia" w:eastAsiaTheme="majorEastAsia"/>
                <w:szCs w:val="21"/>
              </w:rPr>
            </w:pPr>
          </w:p>
        </w:tc>
        <w:tc>
          <w:tcPr>
            <w:tcW w:w="2551" w:type="dxa"/>
            <w:tcBorders>
              <w:top w:val="single" w:color="auto" w:sz="4" w:space="0"/>
              <w:left w:val="single" w:color="auto" w:sz="4" w:space="0"/>
              <w:right w:val="single" w:color="auto" w:sz="4" w:space="0"/>
            </w:tcBorders>
            <w:vAlign w:val="center"/>
          </w:tcPr>
          <w:p w14:paraId="1C8BF965">
            <w:pPr>
              <w:widowControl/>
              <w:rPr>
                <w:rFonts w:hint="eastAsia" w:asciiTheme="majorEastAsia" w:hAnsiTheme="majorEastAsia" w:eastAsiaTheme="majorEastAsia"/>
                <w:szCs w:val="21"/>
              </w:rPr>
            </w:pPr>
          </w:p>
        </w:tc>
        <w:tc>
          <w:tcPr>
            <w:tcW w:w="1560" w:type="dxa"/>
            <w:tcBorders>
              <w:top w:val="single" w:color="auto" w:sz="4" w:space="0"/>
              <w:left w:val="single" w:color="auto" w:sz="4" w:space="0"/>
              <w:right w:val="single" w:color="auto" w:sz="4" w:space="0"/>
            </w:tcBorders>
            <w:vAlign w:val="center"/>
          </w:tcPr>
          <w:p w14:paraId="40EB4BC4">
            <w:pPr>
              <w:widowControl/>
              <w:rPr>
                <w:rFonts w:hint="eastAsia" w:asciiTheme="majorEastAsia" w:hAnsiTheme="majorEastAsia" w:eastAsiaTheme="majorEastAsia"/>
                <w:szCs w:val="21"/>
              </w:rPr>
            </w:pPr>
          </w:p>
        </w:tc>
      </w:tr>
      <w:tr w14:paraId="1C946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63599FC2">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10</w:t>
            </w:r>
          </w:p>
        </w:tc>
        <w:tc>
          <w:tcPr>
            <w:tcW w:w="4253" w:type="dxa"/>
            <w:tcBorders>
              <w:top w:val="single" w:color="auto" w:sz="4" w:space="0"/>
              <w:left w:val="single" w:color="auto" w:sz="4" w:space="0"/>
              <w:right w:val="single" w:color="auto" w:sz="4" w:space="0"/>
            </w:tcBorders>
            <w:vAlign w:val="center"/>
          </w:tcPr>
          <w:p w14:paraId="0391B4C2">
            <w:pPr>
              <w:ind w:right="34" w:rightChars="16"/>
              <w:rPr>
                <w:rFonts w:hint="eastAsia" w:asciiTheme="majorEastAsia" w:hAnsiTheme="majorEastAsia" w:eastAsiaTheme="majorEastAsia"/>
              </w:rPr>
            </w:pPr>
          </w:p>
        </w:tc>
        <w:tc>
          <w:tcPr>
            <w:tcW w:w="2551" w:type="dxa"/>
            <w:tcBorders>
              <w:top w:val="single" w:color="auto" w:sz="4" w:space="0"/>
              <w:left w:val="single" w:color="auto" w:sz="4" w:space="0"/>
              <w:right w:val="single" w:color="auto" w:sz="4" w:space="0"/>
            </w:tcBorders>
            <w:vAlign w:val="center"/>
          </w:tcPr>
          <w:p w14:paraId="07D03712">
            <w:pPr>
              <w:widowControl/>
              <w:rPr>
                <w:rFonts w:hint="eastAsia" w:asciiTheme="majorEastAsia" w:hAnsiTheme="majorEastAsia" w:eastAsiaTheme="majorEastAsia"/>
                <w:szCs w:val="21"/>
              </w:rPr>
            </w:pPr>
          </w:p>
        </w:tc>
        <w:tc>
          <w:tcPr>
            <w:tcW w:w="1560" w:type="dxa"/>
            <w:tcBorders>
              <w:top w:val="single" w:color="auto" w:sz="4" w:space="0"/>
              <w:left w:val="single" w:color="auto" w:sz="4" w:space="0"/>
              <w:right w:val="single" w:color="auto" w:sz="4" w:space="0"/>
            </w:tcBorders>
            <w:vAlign w:val="center"/>
          </w:tcPr>
          <w:p w14:paraId="59DD5F0D">
            <w:pPr>
              <w:widowControl/>
              <w:rPr>
                <w:rFonts w:hint="eastAsia" w:asciiTheme="majorEastAsia" w:hAnsiTheme="majorEastAsia" w:eastAsiaTheme="majorEastAsia"/>
                <w:szCs w:val="21"/>
              </w:rPr>
            </w:pPr>
          </w:p>
        </w:tc>
      </w:tr>
      <w:tr w14:paraId="56E0B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036D8A0D">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w:t>
            </w:r>
          </w:p>
        </w:tc>
        <w:tc>
          <w:tcPr>
            <w:tcW w:w="4253" w:type="dxa"/>
            <w:tcBorders>
              <w:top w:val="single" w:color="auto" w:sz="4" w:space="0"/>
              <w:left w:val="single" w:color="auto" w:sz="4" w:space="0"/>
              <w:right w:val="single" w:color="auto" w:sz="4" w:space="0"/>
            </w:tcBorders>
            <w:vAlign w:val="center"/>
          </w:tcPr>
          <w:p w14:paraId="23F386EC">
            <w:pPr>
              <w:ind w:right="34" w:rightChars="16"/>
              <w:rPr>
                <w:rFonts w:hint="eastAsia" w:asciiTheme="majorEastAsia" w:hAnsiTheme="majorEastAsia" w:eastAsiaTheme="majorEastAsia"/>
                <w:szCs w:val="21"/>
              </w:rPr>
            </w:pPr>
          </w:p>
        </w:tc>
        <w:tc>
          <w:tcPr>
            <w:tcW w:w="2551" w:type="dxa"/>
            <w:tcBorders>
              <w:top w:val="single" w:color="auto" w:sz="4" w:space="0"/>
              <w:left w:val="single" w:color="auto" w:sz="4" w:space="0"/>
              <w:right w:val="single" w:color="auto" w:sz="4" w:space="0"/>
            </w:tcBorders>
            <w:vAlign w:val="center"/>
          </w:tcPr>
          <w:p w14:paraId="508BD83C">
            <w:pPr>
              <w:widowControl/>
              <w:rPr>
                <w:rFonts w:hint="eastAsia" w:asciiTheme="majorEastAsia" w:hAnsiTheme="majorEastAsia" w:eastAsiaTheme="majorEastAsia"/>
                <w:szCs w:val="21"/>
              </w:rPr>
            </w:pPr>
          </w:p>
        </w:tc>
        <w:tc>
          <w:tcPr>
            <w:tcW w:w="1560" w:type="dxa"/>
            <w:tcBorders>
              <w:top w:val="single" w:color="auto" w:sz="4" w:space="0"/>
              <w:left w:val="single" w:color="auto" w:sz="4" w:space="0"/>
              <w:right w:val="single" w:color="auto" w:sz="4" w:space="0"/>
            </w:tcBorders>
            <w:vAlign w:val="center"/>
          </w:tcPr>
          <w:p w14:paraId="1FF36119">
            <w:pPr>
              <w:widowControl/>
              <w:rPr>
                <w:rFonts w:hint="eastAsia" w:asciiTheme="majorEastAsia" w:hAnsiTheme="majorEastAsia" w:eastAsiaTheme="majorEastAsia"/>
                <w:szCs w:val="21"/>
              </w:rPr>
            </w:pPr>
          </w:p>
        </w:tc>
      </w:tr>
    </w:tbl>
    <w:p w14:paraId="055CCB62">
      <w:pPr>
        <w:snapToGrid w:val="0"/>
        <w:spacing w:before="50" w:after="50" w:line="360" w:lineRule="auto"/>
        <w:ind w:left="-23" w:leftChars="-11" w:right="-57" w:rightChars="-27" w:firstLine="21" w:firstLineChars="10"/>
        <w:rPr>
          <w:rFonts w:hint="eastAsia" w:asciiTheme="majorEastAsia" w:hAnsiTheme="majorEastAsia" w:eastAsiaTheme="majorEastAsia"/>
          <w:b/>
          <w:szCs w:val="21"/>
        </w:rPr>
      </w:pPr>
      <w:r>
        <w:rPr>
          <w:rFonts w:hint="eastAsia" w:asciiTheme="majorEastAsia" w:hAnsiTheme="majorEastAsia" w:eastAsiaTheme="majorEastAsia"/>
          <w:b/>
          <w:szCs w:val="21"/>
        </w:rPr>
        <w:t>注：响应情况栏填写“响应”即为满足</w:t>
      </w:r>
      <w:r>
        <w:rPr>
          <w:rFonts w:asciiTheme="majorEastAsia" w:hAnsiTheme="majorEastAsia" w:eastAsiaTheme="majorEastAsia"/>
          <w:b/>
          <w:szCs w:val="21"/>
        </w:rPr>
        <w:t>招标文件</w:t>
      </w:r>
      <w:r>
        <w:rPr>
          <w:rFonts w:hint="eastAsia" w:asciiTheme="majorEastAsia" w:hAnsiTheme="majorEastAsia" w:eastAsiaTheme="majorEastAsia"/>
          <w:b/>
          <w:szCs w:val="21"/>
        </w:rPr>
        <w:t>的要求，填写“正偏离”为优于</w:t>
      </w:r>
      <w:r>
        <w:rPr>
          <w:rFonts w:asciiTheme="majorEastAsia" w:hAnsiTheme="majorEastAsia" w:eastAsiaTheme="majorEastAsia"/>
          <w:b/>
          <w:szCs w:val="21"/>
        </w:rPr>
        <w:t>招标文件</w:t>
      </w:r>
      <w:r>
        <w:rPr>
          <w:rFonts w:hint="eastAsia" w:asciiTheme="majorEastAsia" w:hAnsiTheme="majorEastAsia" w:eastAsiaTheme="majorEastAsia"/>
          <w:b/>
          <w:szCs w:val="21"/>
        </w:rPr>
        <w:t>的要求，填写“负偏离”为不能满足</w:t>
      </w:r>
      <w:r>
        <w:rPr>
          <w:rFonts w:asciiTheme="majorEastAsia" w:hAnsiTheme="majorEastAsia" w:eastAsiaTheme="majorEastAsia"/>
          <w:b/>
          <w:szCs w:val="21"/>
        </w:rPr>
        <w:t>招标文件</w:t>
      </w:r>
      <w:r>
        <w:rPr>
          <w:rFonts w:hint="eastAsia" w:asciiTheme="majorEastAsia" w:hAnsiTheme="majorEastAsia" w:eastAsiaTheme="majorEastAsia"/>
          <w:b/>
          <w:szCs w:val="21"/>
        </w:rPr>
        <w:t>的要求，响应条款有“正偏离”或“负偏离”的应当在“偏离情况说明”栏进行明确描述，响应情况由评标委员会认定。</w:t>
      </w:r>
    </w:p>
    <w:p w14:paraId="53F32107">
      <w:pPr>
        <w:snapToGrid w:val="0"/>
        <w:spacing w:before="50" w:after="50" w:line="360" w:lineRule="auto"/>
        <w:ind w:left="-23" w:leftChars="-11" w:right="-57" w:rightChars="-27" w:firstLine="21" w:firstLineChars="10"/>
        <w:rPr>
          <w:rFonts w:hint="eastAsia" w:asciiTheme="majorEastAsia" w:hAnsiTheme="majorEastAsia" w:eastAsiaTheme="majorEastAsia"/>
          <w:b/>
          <w:szCs w:val="21"/>
        </w:rPr>
      </w:pPr>
    </w:p>
    <w:p w14:paraId="3146ECC0">
      <w:pPr>
        <w:snapToGrid w:val="0"/>
        <w:spacing w:line="360" w:lineRule="auto"/>
        <w:ind w:firstLine="3685" w:firstLineChars="1755"/>
        <w:rPr>
          <w:rFonts w:hint="eastAsia" w:asciiTheme="majorEastAsia" w:hAnsiTheme="majorEastAsia" w:eastAsiaTheme="majorEastAsia"/>
          <w:szCs w:val="21"/>
        </w:rPr>
      </w:pPr>
    </w:p>
    <w:p w14:paraId="08F5481D">
      <w:pPr>
        <w:snapToGrid w:val="0"/>
        <w:spacing w:line="360" w:lineRule="auto"/>
        <w:ind w:firstLine="3685" w:firstLineChars="1755"/>
        <w:rPr>
          <w:rFonts w:hint="eastAsia" w:asciiTheme="majorEastAsia" w:hAnsiTheme="majorEastAsia" w:eastAsiaTheme="majorEastAsia"/>
          <w:szCs w:val="21"/>
        </w:rPr>
      </w:pPr>
      <w:r>
        <w:rPr>
          <w:rFonts w:hint="eastAsia" w:asciiTheme="majorEastAsia" w:hAnsiTheme="majorEastAsia" w:eastAsiaTheme="majorEastAsia"/>
          <w:szCs w:val="21"/>
        </w:rPr>
        <w:t>投标人：</w:t>
      </w:r>
      <w:r>
        <w:rPr>
          <w:rFonts w:asciiTheme="majorEastAsia" w:hAnsiTheme="majorEastAsia" w:eastAsiaTheme="majorEastAsia"/>
          <w:szCs w:val="21"/>
          <w:u w:val="single"/>
        </w:rPr>
        <w:t>___</w:t>
      </w:r>
      <w:r>
        <w:rPr>
          <w:rFonts w:hint="eastAsia" w:asciiTheme="majorEastAsia" w:hAnsiTheme="majorEastAsia" w:eastAsiaTheme="majorEastAsia"/>
          <w:szCs w:val="21"/>
          <w:u w:val="single"/>
        </w:rPr>
        <w:t xml:space="preserve">    （填写全称并加盖公章)</w:t>
      </w:r>
      <w:r>
        <w:rPr>
          <w:rFonts w:asciiTheme="majorEastAsia" w:hAnsiTheme="majorEastAsia" w:eastAsiaTheme="majorEastAsia"/>
          <w:szCs w:val="21"/>
          <w:u w:val="single"/>
        </w:rPr>
        <w:t>___________</w:t>
      </w:r>
    </w:p>
    <w:p w14:paraId="44DC2327">
      <w:pPr>
        <w:snapToGrid w:val="0"/>
        <w:spacing w:line="360" w:lineRule="auto"/>
        <w:ind w:firstLine="3685" w:firstLineChars="1755"/>
        <w:rPr>
          <w:rFonts w:hint="eastAsia" w:asciiTheme="majorEastAsia" w:hAnsiTheme="majorEastAsia" w:eastAsiaTheme="majorEastAsia"/>
          <w:szCs w:val="21"/>
        </w:rPr>
      </w:pPr>
      <w:r>
        <w:rPr>
          <w:rFonts w:hint="eastAsia" w:asciiTheme="majorEastAsia" w:hAnsiTheme="majorEastAsia" w:eastAsiaTheme="majorEastAsia"/>
          <w:szCs w:val="21"/>
        </w:rPr>
        <w:t>日  期：</w:t>
      </w:r>
    </w:p>
    <w:p w14:paraId="4C3D65DC">
      <w:pPr>
        <w:pStyle w:val="3"/>
        <w:spacing w:line="360" w:lineRule="auto"/>
        <w:ind w:left="0" w:leftChars="0"/>
        <w:jc w:val="center"/>
        <w:rPr>
          <w:rFonts w:hint="eastAsia" w:cs="宋体" w:asciiTheme="majorEastAsia" w:hAnsiTheme="majorEastAsia" w:eastAsiaTheme="majorEastAsia"/>
          <w:b/>
          <w:sz w:val="21"/>
          <w:szCs w:val="21"/>
        </w:rPr>
      </w:pPr>
      <w:r>
        <w:rPr>
          <w:rFonts w:hint="eastAsia" w:asciiTheme="majorEastAsia" w:hAnsiTheme="majorEastAsia" w:eastAsiaTheme="majorEastAsia"/>
          <w:kern w:val="2"/>
          <w:sz w:val="21"/>
          <w:szCs w:val="21"/>
        </w:rPr>
        <w:br w:type="page"/>
      </w:r>
      <w:r>
        <w:rPr>
          <w:rFonts w:hint="eastAsia" w:cs="宋体" w:asciiTheme="majorEastAsia" w:hAnsiTheme="majorEastAsia" w:eastAsiaTheme="majorEastAsia"/>
          <w:b/>
          <w:sz w:val="21"/>
          <w:szCs w:val="21"/>
        </w:rPr>
        <w:t>5）商务要求响应表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4253"/>
        <w:gridCol w:w="2551"/>
        <w:gridCol w:w="1560"/>
      </w:tblGrid>
      <w:tr w14:paraId="0A65A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A92CCEB">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序号</w:t>
            </w:r>
          </w:p>
        </w:tc>
        <w:tc>
          <w:tcPr>
            <w:tcW w:w="4253" w:type="dxa"/>
            <w:tcBorders>
              <w:top w:val="single" w:color="auto" w:sz="4" w:space="0"/>
              <w:left w:val="single" w:color="auto" w:sz="4" w:space="0"/>
              <w:bottom w:val="single" w:color="auto" w:sz="4" w:space="0"/>
              <w:right w:val="single" w:color="auto" w:sz="4" w:space="0"/>
            </w:tcBorders>
            <w:vAlign w:val="center"/>
          </w:tcPr>
          <w:p w14:paraId="6CCC5EE3">
            <w:pPr>
              <w:widowControl/>
              <w:jc w:val="center"/>
              <w:rPr>
                <w:rFonts w:hint="eastAsia" w:asciiTheme="majorEastAsia" w:hAnsiTheme="majorEastAsia" w:eastAsiaTheme="majorEastAsia"/>
                <w:szCs w:val="21"/>
              </w:rPr>
            </w:pPr>
            <w:r>
              <w:rPr>
                <w:rFonts w:asciiTheme="majorEastAsia" w:hAnsiTheme="majorEastAsia" w:eastAsiaTheme="majorEastAsia"/>
                <w:szCs w:val="21"/>
              </w:rPr>
              <w:t>招标文件</w:t>
            </w:r>
            <w:r>
              <w:rPr>
                <w:rFonts w:hint="eastAsia" w:asciiTheme="majorEastAsia" w:hAnsiTheme="majorEastAsia" w:eastAsiaTheme="majorEastAsia"/>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14:paraId="77610CB1">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响应情况</w:t>
            </w:r>
          </w:p>
          <w:p w14:paraId="6130E799">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（正偏离/响应）</w:t>
            </w:r>
          </w:p>
        </w:tc>
        <w:tc>
          <w:tcPr>
            <w:tcW w:w="1560" w:type="dxa"/>
            <w:tcBorders>
              <w:top w:val="single" w:color="auto" w:sz="4" w:space="0"/>
              <w:left w:val="single" w:color="auto" w:sz="4" w:space="0"/>
              <w:bottom w:val="single" w:color="auto" w:sz="4" w:space="0"/>
              <w:right w:val="single" w:color="auto" w:sz="4" w:space="0"/>
            </w:tcBorders>
            <w:vAlign w:val="center"/>
          </w:tcPr>
          <w:p w14:paraId="2C31B7D1">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偏离情况说明</w:t>
            </w:r>
          </w:p>
        </w:tc>
      </w:tr>
      <w:tr w14:paraId="3D973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7F527CC">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1</w:t>
            </w:r>
          </w:p>
        </w:tc>
        <w:tc>
          <w:tcPr>
            <w:tcW w:w="4253" w:type="dxa"/>
            <w:tcBorders>
              <w:top w:val="single" w:color="auto" w:sz="4" w:space="0"/>
              <w:left w:val="single" w:color="auto" w:sz="4" w:space="0"/>
              <w:bottom w:val="single" w:color="auto" w:sz="4" w:space="0"/>
              <w:right w:val="single" w:color="auto" w:sz="4" w:space="0"/>
            </w:tcBorders>
            <w:vAlign w:val="center"/>
          </w:tcPr>
          <w:p w14:paraId="1304A650">
            <w:pPr>
              <w:rPr>
                <w:rFonts w:hint="eastAsia" w:asciiTheme="majorEastAsia" w:hAnsiTheme="majorEastAsia" w:eastAsiaTheme="majorEastAsia"/>
              </w:rPr>
            </w:pPr>
          </w:p>
        </w:tc>
        <w:tc>
          <w:tcPr>
            <w:tcW w:w="2551" w:type="dxa"/>
            <w:tcBorders>
              <w:top w:val="single" w:color="auto" w:sz="4" w:space="0"/>
              <w:left w:val="single" w:color="auto" w:sz="4" w:space="0"/>
              <w:bottom w:val="single" w:color="auto" w:sz="4" w:space="0"/>
              <w:right w:val="single" w:color="auto" w:sz="4" w:space="0"/>
            </w:tcBorders>
            <w:vAlign w:val="center"/>
          </w:tcPr>
          <w:p w14:paraId="346CFF70">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4904440">
            <w:pPr>
              <w:widowControl/>
              <w:rPr>
                <w:rFonts w:hint="eastAsia" w:asciiTheme="majorEastAsia" w:hAnsiTheme="majorEastAsia" w:eastAsiaTheme="majorEastAsia"/>
                <w:szCs w:val="21"/>
              </w:rPr>
            </w:pPr>
          </w:p>
        </w:tc>
      </w:tr>
      <w:tr w14:paraId="1B702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E7BC6BA">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2</w:t>
            </w:r>
          </w:p>
        </w:tc>
        <w:tc>
          <w:tcPr>
            <w:tcW w:w="4253" w:type="dxa"/>
            <w:tcBorders>
              <w:top w:val="single" w:color="auto" w:sz="4" w:space="0"/>
              <w:left w:val="single" w:color="auto" w:sz="4" w:space="0"/>
              <w:bottom w:val="single" w:color="auto" w:sz="4" w:space="0"/>
              <w:right w:val="single" w:color="auto" w:sz="4" w:space="0"/>
            </w:tcBorders>
            <w:vAlign w:val="center"/>
          </w:tcPr>
          <w:p w14:paraId="1D83BBCB">
            <w:pPr>
              <w:rPr>
                <w:rFonts w:hint="eastAsia" w:asciiTheme="majorEastAsia" w:hAnsiTheme="majorEastAsia" w:eastAsiaTheme="maj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61C815B7">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3F5E572">
            <w:pPr>
              <w:widowControl/>
              <w:rPr>
                <w:rFonts w:hint="eastAsia" w:asciiTheme="majorEastAsia" w:hAnsiTheme="majorEastAsia" w:eastAsiaTheme="majorEastAsia"/>
                <w:szCs w:val="21"/>
              </w:rPr>
            </w:pPr>
          </w:p>
        </w:tc>
      </w:tr>
      <w:tr w14:paraId="2B5C7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8FC5EFE">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3</w:t>
            </w:r>
          </w:p>
        </w:tc>
        <w:tc>
          <w:tcPr>
            <w:tcW w:w="4253" w:type="dxa"/>
            <w:tcBorders>
              <w:top w:val="single" w:color="auto" w:sz="4" w:space="0"/>
              <w:left w:val="single" w:color="auto" w:sz="4" w:space="0"/>
              <w:bottom w:val="single" w:color="auto" w:sz="4" w:space="0"/>
              <w:right w:val="single" w:color="auto" w:sz="4" w:space="0"/>
            </w:tcBorders>
            <w:vAlign w:val="center"/>
          </w:tcPr>
          <w:p w14:paraId="44D4FB22">
            <w:pPr>
              <w:rPr>
                <w:rFonts w:hint="eastAsia" w:asciiTheme="majorEastAsia" w:hAnsiTheme="majorEastAsia" w:eastAsiaTheme="maj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39B31E6B">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7A2CB42">
            <w:pPr>
              <w:widowControl/>
              <w:rPr>
                <w:rFonts w:hint="eastAsia" w:asciiTheme="majorEastAsia" w:hAnsiTheme="majorEastAsia" w:eastAsiaTheme="majorEastAsia"/>
                <w:szCs w:val="21"/>
              </w:rPr>
            </w:pPr>
          </w:p>
        </w:tc>
      </w:tr>
      <w:tr w14:paraId="751C0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15F6920F">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4</w:t>
            </w:r>
          </w:p>
        </w:tc>
        <w:tc>
          <w:tcPr>
            <w:tcW w:w="4253" w:type="dxa"/>
            <w:tcBorders>
              <w:top w:val="single" w:color="auto" w:sz="4" w:space="0"/>
              <w:left w:val="single" w:color="auto" w:sz="4" w:space="0"/>
              <w:bottom w:val="single" w:color="auto" w:sz="4" w:space="0"/>
              <w:right w:val="single" w:color="auto" w:sz="4" w:space="0"/>
            </w:tcBorders>
            <w:vAlign w:val="center"/>
          </w:tcPr>
          <w:p w14:paraId="2F4DFE0D">
            <w:pPr>
              <w:rPr>
                <w:rFonts w:hint="eastAsia" w:asciiTheme="majorEastAsia" w:hAnsiTheme="majorEastAsia" w:eastAsiaTheme="maj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5E17FFD4">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9BE5051">
            <w:pPr>
              <w:widowControl/>
              <w:rPr>
                <w:rFonts w:hint="eastAsia" w:asciiTheme="majorEastAsia" w:hAnsiTheme="majorEastAsia" w:eastAsiaTheme="majorEastAsia"/>
                <w:szCs w:val="21"/>
              </w:rPr>
            </w:pPr>
          </w:p>
        </w:tc>
      </w:tr>
      <w:tr w14:paraId="10EDE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F4FC5B8">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5</w:t>
            </w:r>
          </w:p>
        </w:tc>
        <w:tc>
          <w:tcPr>
            <w:tcW w:w="4253" w:type="dxa"/>
            <w:tcBorders>
              <w:top w:val="single" w:color="auto" w:sz="4" w:space="0"/>
              <w:left w:val="single" w:color="auto" w:sz="4" w:space="0"/>
              <w:bottom w:val="single" w:color="auto" w:sz="4" w:space="0"/>
              <w:right w:val="single" w:color="auto" w:sz="4" w:space="0"/>
            </w:tcBorders>
            <w:vAlign w:val="center"/>
          </w:tcPr>
          <w:p w14:paraId="42611429">
            <w:pPr>
              <w:rPr>
                <w:rFonts w:hint="eastAsia" w:asciiTheme="majorEastAsia" w:hAnsiTheme="majorEastAsia" w:eastAsiaTheme="maj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14F4D73">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7A5B0579">
            <w:pPr>
              <w:widowControl/>
              <w:rPr>
                <w:rFonts w:hint="eastAsia" w:asciiTheme="majorEastAsia" w:hAnsiTheme="majorEastAsia" w:eastAsiaTheme="majorEastAsia"/>
                <w:szCs w:val="21"/>
              </w:rPr>
            </w:pPr>
          </w:p>
        </w:tc>
      </w:tr>
      <w:tr w14:paraId="72CA4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11713645">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6</w:t>
            </w:r>
          </w:p>
        </w:tc>
        <w:tc>
          <w:tcPr>
            <w:tcW w:w="4253" w:type="dxa"/>
            <w:tcBorders>
              <w:top w:val="single" w:color="auto" w:sz="4" w:space="0"/>
              <w:left w:val="single" w:color="auto" w:sz="4" w:space="0"/>
              <w:bottom w:val="single" w:color="auto" w:sz="4" w:space="0"/>
              <w:right w:val="single" w:color="auto" w:sz="4" w:space="0"/>
            </w:tcBorders>
            <w:vAlign w:val="center"/>
          </w:tcPr>
          <w:p w14:paraId="3F3BBBF3">
            <w:pPr>
              <w:rPr>
                <w:rFonts w:hint="eastAsia" w:asciiTheme="majorEastAsia" w:hAnsiTheme="majorEastAsia" w:eastAsiaTheme="maj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71A62CAB">
            <w:pPr>
              <w:widowControl/>
              <w:rPr>
                <w:rFonts w:hint="eastAsia" w:asciiTheme="majorEastAsia" w:hAnsiTheme="majorEastAsia" w:eastAsiaTheme="majorEastAsia"/>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F0CA2B2">
            <w:pPr>
              <w:widowControl/>
              <w:rPr>
                <w:rFonts w:hint="eastAsia" w:asciiTheme="majorEastAsia" w:hAnsiTheme="majorEastAsia" w:eastAsiaTheme="majorEastAsia"/>
                <w:szCs w:val="21"/>
              </w:rPr>
            </w:pPr>
          </w:p>
        </w:tc>
      </w:tr>
      <w:tr w14:paraId="22AD2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5472B9BF">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7</w:t>
            </w:r>
          </w:p>
        </w:tc>
        <w:tc>
          <w:tcPr>
            <w:tcW w:w="4253" w:type="dxa"/>
            <w:tcBorders>
              <w:top w:val="single" w:color="auto" w:sz="4" w:space="0"/>
              <w:left w:val="single" w:color="auto" w:sz="4" w:space="0"/>
              <w:right w:val="single" w:color="auto" w:sz="4" w:space="0"/>
            </w:tcBorders>
            <w:vAlign w:val="center"/>
          </w:tcPr>
          <w:p w14:paraId="504CC29B">
            <w:pPr>
              <w:ind w:right="34" w:rightChars="16"/>
              <w:rPr>
                <w:rFonts w:hint="eastAsia" w:asciiTheme="majorEastAsia" w:hAnsiTheme="majorEastAsia" w:eastAsiaTheme="majorEastAsia"/>
                <w:szCs w:val="21"/>
              </w:rPr>
            </w:pPr>
          </w:p>
        </w:tc>
        <w:tc>
          <w:tcPr>
            <w:tcW w:w="2551" w:type="dxa"/>
            <w:tcBorders>
              <w:top w:val="single" w:color="auto" w:sz="4" w:space="0"/>
              <w:left w:val="single" w:color="auto" w:sz="4" w:space="0"/>
              <w:right w:val="single" w:color="auto" w:sz="4" w:space="0"/>
            </w:tcBorders>
            <w:vAlign w:val="center"/>
          </w:tcPr>
          <w:p w14:paraId="2BD29591">
            <w:pPr>
              <w:widowControl/>
              <w:rPr>
                <w:rFonts w:hint="eastAsia" w:asciiTheme="majorEastAsia" w:hAnsiTheme="majorEastAsia" w:eastAsiaTheme="majorEastAsia"/>
                <w:szCs w:val="21"/>
              </w:rPr>
            </w:pPr>
          </w:p>
        </w:tc>
        <w:tc>
          <w:tcPr>
            <w:tcW w:w="1560" w:type="dxa"/>
            <w:tcBorders>
              <w:top w:val="single" w:color="auto" w:sz="4" w:space="0"/>
              <w:left w:val="single" w:color="auto" w:sz="4" w:space="0"/>
              <w:right w:val="single" w:color="auto" w:sz="4" w:space="0"/>
            </w:tcBorders>
            <w:vAlign w:val="center"/>
          </w:tcPr>
          <w:p w14:paraId="48C0ACAC">
            <w:pPr>
              <w:widowControl/>
              <w:rPr>
                <w:rFonts w:hint="eastAsia" w:asciiTheme="majorEastAsia" w:hAnsiTheme="majorEastAsia" w:eastAsiaTheme="majorEastAsia"/>
                <w:szCs w:val="21"/>
              </w:rPr>
            </w:pPr>
          </w:p>
        </w:tc>
      </w:tr>
      <w:tr w14:paraId="1C236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682CB66A">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8</w:t>
            </w:r>
          </w:p>
        </w:tc>
        <w:tc>
          <w:tcPr>
            <w:tcW w:w="4253" w:type="dxa"/>
            <w:tcBorders>
              <w:top w:val="single" w:color="auto" w:sz="4" w:space="0"/>
              <w:left w:val="single" w:color="auto" w:sz="4" w:space="0"/>
              <w:right w:val="single" w:color="auto" w:sz="4" w:space="0"/>
            </w:tcBorders>
            <w:vAlign w:val="center"/>
          </w:tcPr>
          <w:p w14:paraId="165EEF41">
            <w:pPr>
              <w:ind w:right="34" w:rightChars="16"/>
              <w:rPr>
                <w:rFonts w:hint="eastAsia" w:cs="宋体" w:asciiTheme="majorEastAsia" w:hAnsiTheme="majorEastAsia" w:eastAsiaTheme="majorEastAsia"/>
                <w:szCs w:val="21"/>
              </w:rPr>
            </w:pPr>
          </w:p>
        </w:tc>
        <w:tc>
          <w:tcPr>
            <w:tcW w:w="2551" w:type="dxa"/>
            <w:tcBorders>
              <w:top w:val="single" w:color="auto" w:sz="4" w:space="0"/>
              <w:left w:val="single" w:color="auto" w:sz="4" w:space="0"/>
              <w:right w:val="single" w:color="auto" w:sz="4" w:space="0"/>
            </w:tcBorders>
            <w:vAlign w:val="center"/>
          </w:tcPr>
          <w:p w14:paraId="530D55EC">
            <w:pPr>
              <w:widowControl/>
              <w:rPr>
                <w:rFonts w:hint="eastAsia" w:asciiTheme="majorEastAsia" w:hAnsiTheme="majorEastAsia" w:eastAsiaTheme="majorEastAsia"/>
                <w:szCs w:val="21"/>
              </w:rPr>
            </w:pPr>
          </w:p>
        </w:tc>
        <w:tc>
          <w:tcPr>
            <w:tcW w:w="1560" w:type="dxa"/>
            <w:tcBorders>
              <w:top w:val="single" w:color="auto" w:sz="4" w:space="0"/>
              <w:left w:val="single" w:color="auto" w:sz="4" w:space="0"/>
              <w:right w:val="single" w:color="auto" w:sz="4" w:space="0"/>
            </w:tcBorders>
            <w:vAlign w:val="center"/>
          </w:tcPr>
          <w:p w14:paraId="41A6193F">
            <w:pPr>
              <w:widowControl/>
              <w:rPr>
                <w:rFonts w:hint="eastAsia" w:asciiTheme="majorEastAsia" w:hAnsiTheme="majorEastAsia" w:eastAsiaTheme="majorEastAsia"/>
                <w:szCs w:val="21"/>
              </w:rPr>
            </w:pPr>
          </w:p>
        </w:tc>
      </w:tr>
      <w:tr w14:paraId="451CA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16891850">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9</w:t>
            </w:r>
          </w:p>
        </w:tc>
        <w:tc>
          <w:tcPr>
            <w:tcW w:w="4253" w:type="dxa"/>
            <w:tcBorders>
              <w:top w:val="single" w:color="auto" w:sz="4" w:space="0"/>
              <w:left w:val="single" w:color="auto" w:sz="4" w:space="0"/>
              <w:right w:val="single" w:color="auto" w:sz="4" w:space="0"/>
            </w:tcBorders>
            <w:vAlign w:val="center"/>
          </w:tcPr>
          <w:p w14:paraId="2476604C">
            <w:pPr>
              <w:ind w:right="34" w:rightChars="16"/>
              <w:rPr>
                <w:rFonts w:hint="eastAsia" w:asciiTheme="majorEastAsia" w:hAnsiTheme="majorEastAsia" w:eastAsiaTheme="majorEastAsia"/>
                <w:szCs w:val="21"/>
              </w:rPr>
            </w:pPr>
          </w:p>
        </w:tc>
        <w:tc>
          <w:tcPr>
            <w:tcW w:w="2551" w:type="dxa"/>
            <w:tcBorders>
              <w:top w:val="single" w:color="auto" w:sz="4" w:space="0"/>
              <w:left w:val="single" w:color="auto" w:sz="4" w:space="0"/>
              <w:right w:val="single" w:color="auto" w:sz="4" w:space="0"/>
            </w:tcBorders>
            <w:vAlign w:val="center"/>
          </w:tcPr>
          <w:p w14:paraId="6C591607">
            <w:pPr>
              <w:widowControl/>
              <w:rPr>
                <w:rFonts w:hint="eastAsia" w:asciiTheme="majorEastAsia" w:hAnsiTheme="majorEastAsia" w:eastAsiaTheme="majorEastAsia"/>
                <w:szCs w:val="21"/>
              </w:rPr>
            </w:pPr>
          </w:p>
        </w:tc>
        <w:tc>
          <w:tcPr>
            <w:tcW w:w="1560" w:type="dxa"/>
            <w:tcBorders>
              <w:top w:val="single" w:color="auto" w:sz="4" w:space="0"/>
              <w:left w:val="single" w:color="auto" w:sz="4" w:space="0"/>
              <w:right w:val="single" w:color="auto" w:sz="4" w:space="0"/>
            </w:tcBorders>
            <w:vAlign w:val="center"/>
          </w:tcPr>
          <w:p w14:paraId="30AF0341">
            <w:pPr>
              <w:widowControl/>
              <w:rPr>
                <w:rFonts w:hint="eastAsia" w:asciiTheme="majorEastAsia" w:hAnsiTheme="majorEastAsia" w:eastAsiaTheme="majorEastAsia"/>
                <w:szCs w:val="21"/>
              </w:rPr>
            </w:pPr>
          </w:p>
        </w:tc>
      </w:tr>
      <w:tr w14:paraId="1175C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763582A4">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10</w:t>
            </w:r>
          </w:p>
        </w:tc>
        <w:tc>
          <w:tcPr>
            <w:tcW w:w="4253" w:type="dxa"/>
            <w:tcBorders>
              <w:top w:val="single" w:color="auto" w:sz="4" w:space="0"/>
              <w:left w:val="single" w:color="auto" w:sz="4" w:space="0"/>
              <w:right w:val="single" w:color="auto" w:sz="4" w:space="0"/>
            </w:tcBorders>
            <w:vAlign w:val="center"/>
          </w:tcPr>
          <w:p w14:paraId="7DE1BEF1">
            <w:pPr>
              <w:ind w:right="34" w:rightChars="16"/>
              <w:rPr>
                <w:rFonts w:hint="eastAsia" w:asciiTheme="majorEastAsia" w:hAnsiTheme="majorEastAsia" w:eastAsiaTheme="majorEastAsia"/>
              </w:rPr>
            </w:pPr>
          </w:p>
        </w:tc>
        <w:tc>
          <w:tcPr>
            <w:tcW w:w="2551" w:type="dxa"/>
            <w:tcBorders>
              <w:top w:val="single" w:color="auto" w:sz="4" w:space="0"/>
              <w:left w:val="single" w:color="auto" w:sz="4" w:space="0"/>
              <w:right w:val="single" w:color="auto" w:sz="4" w:space="0"/>
            </w:tcBorders>
            <w:vAlign w:val="center"/>
          </w:tcPr>
          <w:p w14:paraId="58671D02">
            <w:pPr>
              <w:widowControl/>
              <w:rPr>
                <w:rFonts w:hint="eastAsia" w:asciiTheme="majorEastAsia" w:hAnsiTheme="majorEastAsia" w:eastAsiaTheme="majorEastAsia"/>
                <w:szCs w:val="21"/>
              </w:rPr>
            </w:pPr>
          </w:p>
        </w:tc>
        <w:tc>
          <w:tcPr>
            <w:tcW w:w="1560" w:type="dxa"/>
            <w:tcBorders>
              <w:top w:val="single" w:color="auto" w:sz="4" w:space="0"/>
              <w:left w:val="single" w:color="auto" w:sz="4" w:space="0"/>
              <w:right w:val="single" w:color="auto" w:sz="4" w:space="0"/>
            </w:tcBorders>
            <w:vAlign w:val="center"/>
          </w:tcPr>
          <w:p w14:paraId="06D0C081">
            <w:pPr>
              <w:widowControl/>
              <w:rPr>
                <w:rFonts w:hint="eastAsia" w:asciiTheme="majorEastAsia" w:hAnsiTheme="majorEastAsia" w:eastAsiaTheme="majorEastAsia"/>
                <w:szCs w:val="21"/>
              </w:rPr>
            </w:pPr>
          </w:p>
        </w:tc>
      </w:tr>
      <w:tr w14:paraId="2C105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6DA4EE02">
            <w:pPr>
              <w:widowControl/>
              <w:jc w:val="center"/>
              <w:rPr>
                <w:rFonts w:hint="eastAsia" w:asciiTheme="majorEastAsia" w:hAnsiTheme="majorEastAsia" w:eastAsiaTheme="majorEastAsia"/>
                <w:szCs w:val="21"/>
              </w:rPr>
            </w:pPr>
            <w:r>
              <w:rPr>
                <w:rFonts w:hint="eastAsia" w:asciiTheme="majorEastAsia" w:hAnsiTheme="majorEastAsia" w:eastAsiaTheme="majorEastAsia"/>
                <w:szCs w:val="21"/>
              </w:rPr>
              <w:t>...</w:t>
            </w:r>
          </w:p>
        </w:tc>
        <w:tc>
          <w:tcPr>
            <w:tcW w:w="4253" w:type="dxa"/>
            <w:tcBorders>
              <w:top w:val="single" w:color="auto" w:sz="4" w:space="0"/>
              <w:left w:val="single" w:color="auto" w:sz="4" w:space="0"/>
              <w:right w:val="single" w:color="auto" w:sz="4" w:space="0"/>
            </w:tcBorders>
            <w:vAlign w:val="center"/>
          </w:tcPr>
          <w:p w14:paraId="6B4BBF41">
            <w:pPr>
              <w:ind w:right="34" w:rightChars="16"/>
              <w:rPr>
                <w:rFonts w:hint="eastAsia" w:asciiTheme="majorEastAsia" w:hAnsiTheme="majorEastAsia" w:eastAsiaTheme="majorEastAsia"/>
                <w:szCs w:val="21"/>
              </w:rPr>
            </w:pPr>
          </w:p>
        </w:tc>
        <w:tc>
          <w:tcPr>
            <w:tcW w:w="2551" w:type="dxa"/>
            <w:tcBorders>
              <w:top w:val="single" w:color="auto" w:sz="4" w:space="0"/>
              <w:left w:val="single" w:color="auto" w:sz="4" w:space="0"/>
              <w:right w:val="single" w:color="auto" w:sz="4" w:space="0"/>
            </w:tcBorders>
            <w:vAlign w:val="center"/>
          </w:tcPr>
          <w:p w14:paraId="53F51C9E">
            <w:pPr>
              <w:widowControl/>
              <w:rPr>
                <w:rFonts w:hint="eastAsia" w:asciiTheme="majorEastAsia" w:hAnsiTheme="majorEastAsia" w:eastAsiaTheme="majorEastAsia"/>
                <w:szCs w:val="21"/>
              </w:rPr>
            </w:pPr>
          </w:p>
        </w:tc>
        <w:tc>
          <w:tcPr>
            <w:tcW w:w="1560" w:type="dxa"/>
            <w:tcBorders>
              <w:top w:val="single" w:color="auto" w:sz="4" w:space="0"/>
              <w:left w:val="single" w:color="auto" w:sz="4" w:space="0"/>
              <w:right w:val="single" w:color="auto" w:sz="4" w:space="0"/>
            </w:tcBorders>
            <w:vAlign w:val="center"/>
          </w:tcPr>
          <w:p w14:paraId="7D57CAE9">
            <w:pPr>
              <w:widowControl/>
              <w:rPr>
                <w:rFonts w:hint="eastAsia" w:asciiTheme="majorEastAsia" w:hAnsiTheme="majorEastAsia" w:eastAsiaTheme="majorEastAsia"/>
                <w:szCs w:val="21"/>
              </w:rPr>
            </w:pPr>
          </w:p>
        </w:tc>
      </w:tr>
    </w:tbl>
    <w:p w14:paraId="121DD579">
      <w:pPr>
        <w:snapToGrid w:val="0"/>
        <w:spacing w:before="50" w:after="50" w:line="360" w:lineRule="auto"/>
        <w:ind w:left="-23" w:leftChars="-11" w:right="-57" w:rightChars="-27" w:firstLine="21" w:firstLineChars="10"/>
        <w:rPr>
          <w:rFonts w:hint="eastAsia" w:asciiTheme="majorEastAsia" w:hAnsiTheme="majorEastAsia" w:eastAsiaTheme="majorEastAsia"/>
          <w:b/>
          <w:szCs w:val="21"/>
        </w:rPr>
      </w:pPr>
      <w:r>
        <w:rPr>
          <w:rFonts w:hint="eastAsia" w:asciiTheme="majorEastAsia" w:hAnsiTheme="majorEastAsia" w:eastAsiaTheme="majorEastAsia"/>
          <w:b/>
          <w:szCs w:val="21"/>
        </w:rPr>
        <w:t>注：响应情况栏填写“响应”即为满足</w:t>
      </w:r>
      <w:r>
        <w:rPr>
          <w:rFonts w:asciiTheme="majorEastAsia" w:hAnsiTheme="majorEastAsia" w:eastAsiaTheme="majorEastAsia"/>
          <w:b/>
          <w:szCs w:val="21"/>
        </w:rPr>
        <w:t>招标文件</w:t>
      </w:r>
      <w:r>
        <w:rPr>
          <w:rFonts w:hint="eastAsia" w:asciiTheme="majorEastAsia" w:hAnsiTheme="majorEastAsia" w:eastAsiaTheme="majorEastAsia"/>
          <w:b/>
          <w:szCs w:val="21"/>
        </w:rPr>
        <w:t>的要求，填写“正偏离”为优于</w:t>
      </w:r>
      <w:r>
        <w:rPr>
          <w:rFonts w:asciiTheme="majorEastAsia" w:hAnsiTheme="majorEastAsia" w:eastAsiaTheme="majorEastAsia"/>
          <w:b/>
          <w:szCs w:val="21"/>
        </w:rPr>
        <w:t>招标文件</w:t>
      </w:r>
      <w:r>
        <w:rPr>
          <w:rFonts w:hint="eastAsia" w:asciiTheme="majorEastAsia" w:hAnsiTheme="majorEastAsia" w:eastAsiaTheme="majorEastAsia"/>
          <w:b/>
          <w:szCs w:val="21"/>
        </w:rPr>
        <w:t>的要求，响应条款有“正偏离”的应当在“偏离情况说明”栏进行明确描述。</w:t>
      </w:r>
    </w:p>
    <w:p w14:paraId="1D93390F">
      <w:pPr>
        <w:snapToGrid w:val="0"/>
        <w:spacing w:before="50" w:after="50" w:line="360" w:lineRule="auto"/>
        <w:ind w:left="-23" w:leftChars="-11" w:right="-57" w:rightChars="-27" w:firstLine="21" w:firstLineChars="10"/>
        <w:rPr>
          <w:rFonts w:hint="eastAsia" w:asciiTheme="majorEastAsia" w:hAnsiTheme="majorEastAsia" w:eastAsiaTheme="majorEastAsia"/>
          <w:b/>
          <w:szCs w:val="21"/>
        </w:rPr>
      </w:pPr>
    </w:p>
    <w:p w14:paraId="3400AD79">
      <w:pPr>
        <w:snapToGrid w:val="0"/>
        <w:spacing w:line="360" w:lineRule="auto"/>
        <w:ind w:firstLine="3685" w:firstLineChars="1755"/>
        <w:rPr>
          <w:rFonts w:hint="eastAsia" w:asciiTheme="majorEastAsia" w:hAnsiTheme="majorEastAsia" w:eastAsiaTheme="majorEastAsia"/>
          <w:szCs w:val="21"/>
        </w:rPr>
      </w:pPr>
    </w:p>
    <w:p w14:paraId="190BB734">
      <w:pPr>
        <w:snapToGrid w:val="0"/>
        <w:spacing w:line="360" w:lineRule="auto"/>
        <w:ind w:firstLine="3685" w:firstLineChars="1755"/>
        <w:rPr>
          <w:rFonts w:hint="eastAsia" w:asciiTheme="majorEastAsia" w:hAnsiTheme="majorEastAsia" w:eastAsiaTheme="majorEastAsia"/>
          <w:szCs w:val="21"/>
        </w:rPr>
      </w:pPr>
      <w:r>
        <w:rPr>
          <w:rFonts w:hint="eastAsia" w:asciiTheme="majorEastAsia" w:hAnsiTheme="majorEastAsia" w:eastAsiaTheme="majorEastAsia"/>
          <w:szCs w:val="21"/>
        </w:rPr>
        <w:t>投标人：</w:t>
      </w:r>
      <w:r>
        <w:rPr>
          <w:rFonts w:asciiTheme="majorEastAsia" w:hAnsiTheme="majorEastAsia" w:eastAsiaTheme="majorEastAsia"/>
          <w:szCs w:val="21"/>
          <w:u w:val="single"/>
        </w:rPr>
        <w:t>___</w:t>
      </w:r>
      <w:r>
        <w:rPr>
          <w:rFonts w:hint="eastAsia" w:asciiTheme="majorEastAsia" w:hAnsiTheme="majorEastAsia" w:eastAsiaTheme="majorEastAsia"/>
          <w:szCs w:val="21"/>
          <w:u w:val="single"/>
        </w:rPr>
        <w:t xml:space="preserve">    （填写全称并加盖公章)</w:t>
      </w:r>
      <w:r>
        <w:rPr>
          <w:rFonts w:asciiTheme="majorEastAsia" w:hAnsiTheme="majorEastAsia" w:eastAsiaTheme="majorEastAsia"/>
          <w:szCs w:val="21"/>
          <w:u w:val="single"/>
        </w:rPr>
        <w:t>___________</w:t>
      </w:r>
    </w:p>
    <w:p w14:paraId="717FFADD">
      <w:pPr>
        <w:snapToGrid w:val="0"/>
        <w:spacing w:line="360" w:lineRule="auto"/>
        <w:ind w:firstLine="3685" w:firstLineChars="1755"/>
        <w:rPr>
          <w:rFonts w:hint="eastAsia" w:asciiTheme="majorEastAsia" w:hAnsiTheme="majorEastAsia" w:eastAsiaTheme="majorEastAsia"/>
          <w:szCs w:val="21"/>
        </w:rPr>
      </w:pPr>
      <w:r>
        <w:rPr>
          <w:rFonts w:hint="eastAsia" w:asciiTheme="majorEastAsia" w:hAnsiTheme="majorEastAsia" w:eastAsiaTheme="majorEastAsia"/>
          <w:szCs w:val="21"/>
        </w:rPr>
        <w:t>日  期：</w:t>
      </w:r>
    </w:p>
    <w:p w14:paraId="55C7DA3C">
      <w:pPr>
        <w:snapToGrid w:val="0"/>
        <w:spacing w:line="360" w:lineRule="auto"/>
        <w:ind w:firstLine="3685" w:firstLineChars="1755"/>
        <w:rPr>
          <w:rFonts w:hint="eastAsia" w:asciiTheme="majorEastAsia" w:hAnsiTheme="majorEastAsia" w:eastAsiaTheme="majorEastAsia"/>
          <w:szCs w:val="21"/>
        </w:rPr>
      </w:pPr>
    </w:p>
    <w:p w14:paraId="6F0C03A4">
      <w:pPr>
        <w:pStyle w:val="3"/>
        <w:spacing w:line="360" w:lineRule="auto"/>
        <w:ind w:left="0" w:leftChars="0"/>
        <w:jc w:val="center"/>
        <w:rPr>
          <w:rFonts w:hint="eastAsia" w:asciiTheme="majorEastAsia" w:hAnsiTheme="majorEastAsia" w:eastAsiaTheme="majorEastAsia"/>
          <w:b/>
        </w:rPr>
      </w:pPr>
      <w:r>
        <w:rPr>
          <w:rFonts w:asciiTheme="majorEastAsia" w:hAnsiTheme="majorEastAsia" w:eastAsiaTheme="majorEastAsia"/>
          <w:szCs w:val="21"/>
        </w:rPr>
        <w:br w:type="page"/>
      </w:r>
      <w:r>
        <w:rPr>
          <w:rFonts w:hint="eastAsia" w:cs="宋体" w:asciiTheme="majorEastAsia" w:hAnsiTheme="majorEastAsia" w:eastAsiaTheme="majorEastAsia"/>
          <w:b/>
          <w:sz w:val="21"/>
          <w:szCs w:val="21"/>
        </w:rPr>
        <w:t>6）项目实施人员情况表</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1134"/>
        <w:gridCol w:w="1560"/>
      </w:tblGrid>
      <w:tr w14:paraId="6409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3AF48E3C">
            <w:pPr>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序号</w:t>
            </w:r>
          </w:p>
        </w:tc>
        <w:tc>
          <w:tcPr>
            <w:tcW w:w="1527" w:type="dxa"/>
            <w:vAlign w:val="center"/>
          </w:tcPr>
          <w:p w14:paraId="53015DC0">
            <w:pPr>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姓名</w:t>
            </w:r>
          </w:p>
        </w:tc>
        <w:tc>
          <w:tcPr>
            <w:tcW w:w="1167" w:type="dxa"/>
            <w:vAlign w:val="center"/>
          </w:tcPr>
          <w:p w14:paraId="7676734D">
            <w:pPr>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岗位</w:t>
            </w:r>
          </w:p>
        </w:tc>
        <w:tc>
          <w:tcPr>
            <w:tcW w:w="1275" w:type="dxa"/>
            <w:vAlign w:val="center"/>
          </w:tcPr>
          <w:p w14:paraId="39324809">
            <w:pPr>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本项目主要工作内容</w:t>
            </w:r>
          </w:p>
        </w:tc>
        <w:tc>
          <w:tcPr>
            <w:tcW w:w="851" w:type="dxa"/>
            <w:vAlign w:val="center"/>
          </w:tcPr>
          <w:p w14:paraId="59024CDF">
            <w:pPr>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年龄</w:t>
            </w:r>
          </w:p>
        </w:tc>
        <w:tc>
          <w:tcPr>
            <w:tcW w:w="850" w:type="dxa"/>
            <w:vAlign w:val="center"/>
          </w:tcPr>
          <w:p w14:paraId="484BEB6A">
            <w:pPr>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性别</w:t>
            </w:r>
          </w:p>
        </w:tc>
        <w:tc>
          <w:tcPr>
            <w:tcW w:w="1134" w:type="dxa"/>
            <w:vAlign w:val="center"/>
          </w:tcPr>
          <w:p w14:paraId="23932AA2">
            <w:pPr>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学历</w:t>
            </w:r>
          </w:p>
        </w:tc>
        <w:tc>
          <w:tcPr>
            <w:tcW w:w="1560" w:type="dxa"/>
            <w:vAlign w:val="center"/>
          </w:tcPr>
          <w:p w14:paraId="5FD75C9F">
            <w:pPr>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职称、执业资格等能力情况</w:t>
            </w:r>
          </w:p>
        </w:tc>
      </w:tr>
      <w:tr w14:paraId="5781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4C9535B4">
            <w:pPr>
              <w:jc w:val="center"/>
              <w:rPr>
                <w:rFonts w:hint="eastAsia" w:asciiTheme="majorEastAsia" w:hAnsiTheme="majorEastAsia" w:eastAsiaTheme="majorEastAsia"/>
                <w:szCs w:val="21"/>
              </w:rPr>
            </w:pPr>
            <w:r>
              <w:rPr>
                <w:rFonts w:hint="eastAsia" w:asciiTheme="majorEastAsia" w:hAnsiTheme="majorEastAsia" w:eastAsiaTheme="majorEastAsia"/>
                <w:szCs w:val="21"/>
              </w:rPr>
              <w:t>1</w:t>
            </w:r>
          </w:p>
        </w:tc>
        <w:tc>
          <w:tcPr>
            <w:tcW w:w="1527" w:type="dxa"/>
            <w:vAlign w:val="center"/>
          </w:tcPr>
          <w:p w14:paraId="133A10A3">
            <w:pPr>
              <w:rPr>
                <w:rFonts w:hint="eastAsia" w:asciiTheme="majorEastAsia" w:hAnsiTheme="majorEastAsia" w:eastAsiaTheme="majorEastAsia"/>
                <w:szCs w:val="21"/>
              </w:rPr>
            </w:pPr>
          </w:p>
        </w:tc>
        <w:tc>
          <w:tcPr>
            <w:tcW w:w="1167" w:type="dxa"/>
            <w:vAlign w:val="center"/>
          </w:tcPr>
          <w:p w14:paraId="359CF350">
            <w:pPr>
              <w:rPr>
                <w:rFonts w:hint="eastAsia" w:asciiTheme="majorEastAsia" w:hAnsiTheme="majorEastAsia" w:eastAsiaTheme="majorEastAsia"/>
                <w:szCs w:val="21"/>
              </w:rPr>
            </w:pPr>
          </w:p>
        </w:tc>
        <w:tc>
          <w:tcPr>
            <w:tcW w:w="1275" w:type="dxa"/>
            <w:vAlign w:val="center"/>
          </w:tcPr>
          <w:p w14:paraId="612F2372">
            <w:pPr>
              <w:rPr>
                <w:rFonts w:hint="eastAsia" w:asciiTheme="majorEastAsia" w:hAnsiTheme="majorEastAsia" w:eastAsiaTheme="majorEastAsia"/>
                <w:szCs w:val="21"/>
              </w:rPr>
            </w:pPr>
          </w:p>
        </w:tc>
        <w:tc>
          <w:tcPr>
            <w:tcW w:w="851" w:type="dxa"/>
            <w:vAlign w:val="center"/>
          </w:tcPr>
          <w:p w14:paraId="686FAF04">
            <w:pPr>
              <w:rPr>
                <w:rFonts w:hint="eastAsia" w:asciiTheme="majorEastAsia" w:hAnsiTheme="majorEastAsia" w:eastAsiaTheme="majorEastAsia"/>
                <w:szCs w:val="21"/>
              </w:rPr>
            </w:pPr>
          </w:p>
        </w:tc>
        <w:tc>
          <w:tcPr>
            <w:tcW w:w="850" w:type="dxa"/>
            <w:vAlign w:val="center"/>
          </w:tcPr>
          <w:p w14:paraId="1F9A2E28">
            <w:pPr>
              <w:rPr>
                <w:rFonts w:hint="eastAsia" w:asciiTheme="majorEastAsia" w:hAnsiTheme="majorEastAsia" w:eastAsiaTheme="majorEastAsia"/>
                <w:szCs w:val="21"/>
              </w:rPr>
            </w:pPr>
          </w:p>
        </w:tc>
        <w:tc>
          <w:tcPr>
            <w:tcW w:w="1134" w:type="dxa"/>
            <w:vAlign w:val="center"/>
          </w:tcPr>
          <w:p w14:paraId="78E9781D">
            <w:pPr>
              <w:rPr>
                <w:rFonts w:hint="eastAsia" w:asciiTheme="majorEastAsia" w:hAnsiTheme="majorEastAsia" w:eastAsiaTheme="majorEastAsia"/>
                <w:szCs w:val="21"/>
              </w:rPr>
            </w:pPr>
          </w:p>
        </w:tc>
        <w:tc>
          <w:tcPr>
            <w:tcW w:w="1560" w:type="dxa"/>
            <w:vAlign w:val="center"/>
          </w:tcPr>
          <w:p w14:paraId="2FB1EA98">
            <w:pPr>
              <w:rPr>
                <w:rFonts w:hint="eastAsia" w:asciiTheme="majorEastAsia" w:hAnsiTheme="majorEastAsia" w:eastAsiaTheme="majorEastAsia"/>
                <w:szCs w:val="21"/>
              </w:rPr>
            </w:pPr>
          </w:p>
        </w:tc>
      </w:tr>
      <w:tr w14:paraId="73D6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22BE0F1B">
            <w:pPr>
              <w:jc w:val="center"/>
              <w:rPr>
                <w:rFonts w:hint="eastAsia" w:asciiTheme="majorEastAsia" w:hAnsiTheme="majorEastAsia" w:eastAsiaTheme="majorEastAsia"/>
                <w:szCs w:val="21"/>
              </w:rPr>
            </w:pPr>
            <w:r>
              <w:rPr>
                <w:rFonts w:hint="eastAsia" w:asciiTheme="majorEastAsia" w:hAnsiTheme="majorEastAsia" w:eastAsiaTheme="majorEastAsia"/>
                <w:szCs w:val="21"/>
              </w:rPr>
              <w:t>2</w:t>
            </w:r>
          </w:p>
        </w:tc>
        <w:tc>
          <w:tcPr>
            <w:tcW w:w="1527" w:type="dxa"/>
            <w:vAlign w:val="center"/>
          </w:tcPr>
          <w:p w14:paraId="7056508E">
            <w:pPr>
              <w:rPr>
                <w:rFonts w:hint="eastAsia" w:asciiTheme="majorEastAsia" w:hAnsiTheme="majorEastAsia" w:eastAsiaTheme="majorEastAsia"/>
                <w:szCs w:val="21"/>
              </w:rPr>
            </w:pPr>
          </w:p>
        </w:tc>
        <w:tc>
          <w:tcPr>
            <w:tcW w:w="1167" w:type="dxa"/>
            <w:vAlign w:val="center"/>
          </w:tcPr>
          <w:p w14:paraId="3A5D37F2">
            <w:pPr>
              <w:rPr>
                <w:rFonts w:hint="eastAsia" w:asciiTheme="majorEastAsia" w:hAnsiTheme="majorEastAsia" w:eastAsiaTheme="majorEastAsia"/>
                <w:szCs w:val="21"/>
              </w:rPr>
            </w:pPr>
          </w:p>
        </w:tc>
        <w:tc>
          <w:tcPr>
            <w:tcW w:w="1275" w:type="dxa"/>
            <w:vAlign w:val="center"/>
          </w:tcPr>
          <w:p w14:paraId="2538092C">
            <w:pPr>
              <w:rPr>
                <w:rFonts w:hint="eastAsia" w:asciiTheme="majorEastAsia" w:hAnsiTheme="majorEastAsia" w:eastAsiaTheme="majorEastAsia"/>
                <w:szCs w:val="21"/>
              </w:rPr>
            </w:pPr>
          </w:p>
        </w:tc>
        <w:tc>
          <w:tcPr>
            <w:tcW w:w="851" w:type="dxa"/>
            <w:vAlign w:val="center"/>
          </w:tcPr>
          <w:p w14:paraId="71C490AF">
            <w:pPr>
              <w:rPr>
                <w:rFonts w:hint="eastAsia" w:asciiTheme="majorEastAsia" w:hAnsiTheme="majorEastAsia" w:eastAsiaTheme="majorEastAsia"/>
                <w:szCs w:val="21"/>
              </w:rPr>
            </w:pPr>
          </w:p>
        </w:tc>
        <w:tc>
          <w:tcPr>
            <w:tcW w:w="850" w:type="dxa"/>
            <w:vAlign w:val="center"/>
          </w:tcPr>
          <w:p w14:paraId="1CEF7027">
            <w:pPr>
              <w:rPr>
                <w:rFonts w:hint="eastAsia" w:asciiTheme="majorEastAsia" w:hAnsiTheme="majorEastAsia" w:eastAsiaTheme="majorEastAsia"/>
                <w:szCs w:val="21"/>
              </w:rPr>
            </w:pPr>
          </w:p>
        </w:tc>
        <w:tc>
          <w:tcPr>
            <w:tcW w:w="1134" w:type="dxa"/>
            <w:vAlign w:val="center"/>
          </w:tcPr>
          <w:p w14:paraId="28AE5545">
            <w:pPr>
              <w:rPr>
                <w:rFonts w:hint="eastAsia" w:asciiTheme="majorEastAsia" w:hAnsiTheme="majorEastAsia" w:eastAsiaTheme="majorEastAsia"/>
                <w:szCs w:val="21"/>
              </w:rPr>
            </w:pPr>
          </w:p>
        </w:tc>
        <w:tc>
          <w:tcPr>
            <w:tcW w:w="1560" w:type="dxa"/>
            <w:vAlign w:val="center"/>
          </w:tcPr>
          <w:p w14:paraId="430A0E62">
            <w:pPr>
              <w:rPr>
                <w:rFonts w:hint="eastAsia" w:asciiTheme="majorEastAsia" w:hAnsiTheme="majorEastAsia" w:eastAsiaTheme="majorEastAsia"/>
                <w:szCs w:val="21"/>
              </w:rPr>
            </w:pPr>
          </w:p>
        </w:tc>
      </w:tr>
      <w:tr w14:paraId="4BA8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0D1F732C">
            <w:pPr>
              <w:jc w:val="center"/>
              <w:rPr>
                <w:rFonts w:hint="eastAsia" w:asciiTheme="majorEastAsia" w:hAnsiTheme="majorEastAsia" w:eastAsiaTheme="majorEastAsia"/>
                <w:szCs w:val="21"/>
              </w:rPr>
            </w:pPr>
            <w:r>
              <w:rPr>
                <w:rFonts w:hint="eastAsia" w:asciiTheme="majorEastAsia" w:hAnsiTheme="majorEastAsia" w:eastAsiaTheme="majorEastAsia"/>
                <w:szCs w:val="21"/>
              </w:rPr>
              <w:t>3</w:t>
            </w:r>
          </w:p>
        </w:tc>
        <w:tc>
          <w:tcPr>
            <w:tcW w:w="1527" w:type="dxa"/>
            <w:vAlign w:val="center"/>
          </w:tcPr>
          <w:p w14:paraId="0A921BC1">
            <w:pPr>
              <w:rPr>
                <w:rFonts w:hint="eastAsia" w:asciiTheme="majorEastAsia" w:hAnsiTheme="majorEastAsia" w:eastAsiaTheme="majorEastAsia"/>
                <w:szCs w:val="21"/>
              </w:rPr>
            </w:pPr>
          </w:p>
        </w:tc>
        <w:tc>
          <w:tcPr>
            <w:tcW w:w="1167" w:type="dxa"/>
            <w:vAlign w:val="center"/>
          </w:tcPr>
          <w:p w14:paraId="223F7A81">
            <w:pPr>
              <w:rPr>
                <w:rFonts w:hint="eastAsia" w:asciiTheme="majorEastAsia" w:hAnsiTheme="majorEastAsia" w:eastAsiaTheme="majorEastAsia"/>
                <w:szCs w:val="21"/>
              </w:rPr>
            </w:pPr>
          </w:p>
        </w:tc>
        <w:tc>
          <w:tcPr>
            <w:tcW w:w="1275" w:type="dxa"/>
            <w:vAlign w:val="center"/>
          </w:tcPr>
          <w:p w14:paraId="784B73F6">
            <w:pPr>
              <w:rPr>
                <w:rFonts w:hint="eastAsia" w:asciiTheme="majorEastAsia" w:hAnsiTheme="majorEastAsia" w:eastAsiaTheme="majorEastAsia"/>
                <w:szCs w:val="21"/>
              </w:rPr>
            </w:pPr>
          </w:p>
        </w:tc>
        <w:tc>
          <w:tcPr>
            <w:tcW w:w="851" w:type="dxa"/>
            <w:vAlign w:val="center"/>
          </w:tcPr>
          <w:p w14:paraId="01ACA10D">
            <w:pPr>
              <w:rPr>
                <w:rFonts w:hint="eastAsia" w:asciiTheme="majorEastAsia" w:hAnsiTheme="majorEastAsia" w:eastAsiaTheme="majorEastAsia"/>
                <w:szCs w:val="21"/>
              </w:rPr>
            </w:pPr>
          </w:p>
        </w:tc>
        <w:tc>
          <w:tcPr>
            <w:tcW w:w="850" w:type="dxa"/>
            <w:vAlign w:val="center"/>
          </w:tcPr>
          <w:p w14:paraId="56AB2CCA">
            <w:pPr>
              <w:rPr>
                <w:rFonts w:hint="eastAsia" w:asciiTheme="majorEastAsia" w:hAnsiTheme="majorEastAsia" w:eastAsiaTheme="majorEastAsia"/>
                <w:szCs w:val="21"/>
              </w:rPr>
            </w:pPr>
          </w:p>
        </w:tc>
        <w:tc>
          <w:tcPr>
            <w:tcW w:w="1134" w:type="dxa"/>
            <w:vAlign w:val="center"/>
          </w:tcPr>
          <w:p w14:paraId="7FE21CA5">
            <w:pPr>
              <w:rPr>
                <w:rFonts w:hint="eastAsia" w:asciiTheme="majorEastAsia" w:hAnsiTheme="majorEastAsia" w:eastAsiaTheme="majorEastAsia"/>
                <w:szCs w:val="21"/>
              </w:rPr>
            </w:pPr>
          </w:p>
        </w:tc>
        <w:tc>
          <w:tcPr>
            <w:tcW w:w="1560" w:type="dxa"/>
            <w:vAlign w:val="center"/>
          </w:tcPr>
          <w:p w14:paraId="2071DFED">
            <w:pPr>
              <w:rPr>
                <w:rFonts w:hint="eastAsia" w:asciiTheme="majorEastAsia" w:hAnsiTheme="majorEastAsia" w:eastAsiaTheme="majorEastAsia"/>
                <w:szCs w:val="21"/>
              </w:rPr>
            </w:pPr>
          </w:p>
        </w:tc>
      </w:tr>
      <w:tr w14:paraId="2C21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13F23C01">
            <w:pPr>
              <w:jc w:val="center"/>
              <w:rPr>
                <w:rFonts w:hint="eastAsia" w:asciiTheme="majorEastAsia" w:hAnsiTheme="majorEastAsia" w:eastAsiaTheme="majorEastAsia"/>
                <w:szCs w:val="21"/>
              </w:rPr>
            </w:pPr>
            <w:r>
              <w:rPr>
                <w:rFonts w:hint="eastAsia" w:asciiTheme="majorEastAsia" w:hAnsiTheme="majorEastAsia" w:eastAsiaTheme="majorEastAsia"/>
                <w:szCs w:val="21"/>
              </w:rPr>
              <w:t>4</w:t>
            </w:r>
          </w:p>
        </w:tc>
        <w:tc>
          <w:tcPr>
            <w:tcW w:w="1527" w:type="dxa"/>
            <w:vAlign w:val="center"/>
          </w:tcPr>
          <w:p w14:paraId="4EF4A17E">
            <w:pPr>
              <w:rPr>
                <w:rFonts w:hint="eastAsia" w:asciiTheme="majorEastAsia" w:hAnsiTheme="majorEastAsia" w:eastAsiaTheme="majorEastAsia"/>
                <w:szCs w:val="21"/>
              </w:rPr>
            </w:pPr>
          </w:p>
        </w:tc>
        <w:tc>
          <w:tcPr>
            <w:tcW w:w="1167" w:type="dxa"/>
            <w:vAlign w:val="center"/>
          </w:tcPr>
          <w:p w14:paraId="19E44248">
            <w:pPr>
              <w:rPr>
                <w:rFonts w:hint="eastAsia" w:asciiTheme="majorEastAsia" w:hAnsiTheme="majorEastAsia" w:eastAsiaTheme="majorEastAsia"/>
                <w:szCs w:val="21"/>
              </w:rPr>
            </w:pPr>
          </w:p>
        </w:tc>
        <w:tc>
          <w:tcPr>
            <w:tcW w:w="1275" w:type="dxa"/>
            <w:vAlign w:val="center"/>
          </w:tcPr>
          <w:p w14:paraId="64CF8006">
            <w:pPr>
              <w:rPr>
                <w:rFonts w:hint="eastAsia" w:asciiTheme="majorEastAsia" w:hAnsiTheme="majorEastAsia" w:eastAsiaTheme="majorEastAsia"/>
                <w:szCs w:val="21"/>
              </w:rPr>
            </w:pPr>
          </w:p>
        </w:tc>
        <w:tc>
          <w:tcPr>
            <w:tcW w:w="851" w:type="dxa"/>
            <w:vAlign w:val="center"/>
          </w:tcPr>
          <w:p w14:paraId="076F450B">
            <w:pPr>
              <w:rPr>
                <w:rFonts w:hint="eastAsia" w:asciiTheme="majorEastAsia" w:hAnsiTheme="majorEastAsia" w:eastAsiaTheme="majorEastAsia"/>
                <w:szCs w:val="21"/>
              </w:rPr>
            </w:pPr>
          </w:p>
        </w:tc>
        <w:tc>
          <w:tcPr>
            <w:tcW w:w="850" w:type="dxa"/>
            <w:vAlign w:val="center"/>
          </w:tcPr>
          <w:p w14:paraId="52B868D3">
            <w:pPr>
              <w:rPr>
                <w:rFonts w:hint="eastAsia" w:asciiTheme="majorEastAsia" w:hAnsiTheme="majorEastAsia" w:eastAsiaTheme="majorEastAsia"/>
                <w:szCs w:val="21"/>
              </w:rPr>
            </w:pPr>
          </w:p>
        </w:tc>
        <w:tc>
          <w:tcPr>
            <w:tcW w:w="1134" w:type="dxa"/>
            <w:vAlign w:val="center"/>
          </w:tcPr>
          <w:p w14:paraId="079A387A">
            <w:pPr>
              <w:rPr>
                <w:rFonts w:hint="eastAsia" w:asciiTheme="majorEastAsia" w:hAnsiTheme="majorEastAsia" w:eastAsiaTheme="majorEastAsia"/>
                <w:szCs w:val="21"/>
              </w:rPr>
            </w:pPr>
          </w:p>
        </w:tc>
        <w:tc>
          <w:tcPr>
            <w:tcW w:w="1560" w:type="dxa"/>
            <w:vAlign w:val="center"/>
          </w:tcPr>
          <w:p w14:paraId="42756149">
            <w:pPr>
              <w:rPr>
                <w:rFonts w:hint="eastAsia" w:asciiTheme="majorEastAsia" w:hAnsiTheme="majorEastAsia" w:eastAsiaTheme="majorEastAsia"/>
                <w:szCs w:val="21"/>
              </w:rPr>
            </w:pPr>
          </w:p>
        </w:tc>
      </w:tr>
      <w:tr w14:paraId="2287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2D87685E">
            <w:pPr>
              <w:jc w:val="center"/>
              <w:rPr>
                <w:rFonts w:hint="eastAsia" w:asciiTheme="majorEastAsia" w:hAnsiTheme="majorEastAsia" w:eastAsiaTheme="majorEastAsia"/>
                <w:szCs w:val="21"/>
              </w:rPr>
            </w:pPr>
            <w:r>
              <w:rPr>
                <w:rFonts w:hint="eastAsia" w:asciiTheme="majorEastAsia" w:hAnsiTheme="majorEastAsia" w:eastAsiaTheme="majorEastAsia"/>
                <w:szCs w:val="21"/>
              </w:rPr>
              <w:t>5</w:t>
            </w:r>
          </w:p>
        </w:tc>
        <w:tc>
          <w:tcPr>
            <w:tcW w:w="1527" w:type="dxa"/>
            <w:vAlign w:val="center"/>
          </w:tcPr>
          <w:p w14:paraId="3EBBA315">
            <w:pPr>
              <w:rPr>
                <w:rFonts w:hint="eastAsia" w:asciiTheme="majorEastAsia" w:hAnsiTheme="majorEastAsia" w:eastAsiaTheme="majorEastAsia"/>
                <w:szCs w:val="21"/>
              </w:rPr>
            </w:pPr>
          </w:p>
        </w:tc>
        <w:tc>
          <w:tcPr>
            <w:tcW w:w="1167" w:type="dxa"/>
            <w:vAlign w:val="center"/>
          </w:tcPr>
          <w:p w14:paraId="3F6C3AAA">
            <w:pPr>
              <w:rPr>
                <w:rFonts w:hint="eastAsia" w:asciiTheme="majorEastAsia" w:hAnsiTheme="majorEastAsia" w:eastAsiaTheme="majorEastAsia"/>
                <w:szCs w:val="21"/>
              </w:rPr>
            </w:pPr>
          </w:p>
        </w:tc>
        <w:tc>
          <w:tcPr>
            <w:tcW w:w="1275" w:type="dxa"/>
            <w:vAlign w:val="center"/>
          </w:tcPr>
          <w:p w14:paraId="36136406">
            <w:pPr>
              <w:rPr>
                <w:rFonts w:hint="eastAsia" w:asciiTheme="majorEastAsia" w:hAnsiTheme="majorEastAsia" w:eastAsiaTheme="majorEastAsia"/>
                <w:szCs w:val="21"/>
              </w:rPr>
            </w:pPr>
          </w:p>
        </w:tc>
        <w:tc>
          <w:tcPr>
            <w:tcW w:w="851" w:type="dxa"/>
            <w:vAlign w:val="center"/>
          </w:tcPr>
          <w:p w14:paraId="20F112F9">
            <w:pPr>
              <w:rPr>
                <w:rFonts w:hint="eastAsia" w:asciiTheme="majorEastAsia" w:hAnsiTheme="majorEastAsia" w:eastAsiaTheme="majorEastAsia"/>
                <w:szCs w:val="21"/>
              </w:rPr>
            </w:pPr>
          </w:p>
        </w:tc>
        <w:tc>
          <w:tcPr>
            <w:tcW w:w="850" w:type="dxa"/>
            <w:vAlign w:val="center"/>
          </w:tcPr>
          <w:p w14:paraId="5B71974C">
            <w:pPr>
              <w:rPr>
                <w:rFonts w:hint="eastAsia" w:asciiTheme="majorEastAsia" w:hAnsiTheme="majorEastAsia" w:eastAsiaTheme="majorEastAsia"/>
                <w:szCs w:val="21"/>
              </w:rPr>
            </w:pPr>
          </w:p>
        </w:tc>
        <w:tc>
          <w:tcPr>
            <w:tcW w:w="1134" w:type="dxa"/>
            <w:vAlign w:val="center"/>
          </w:tcPr>
          <w:p w14:paraId="2FC62B55">
            <w:pPr>
              <w:rPr>
                <w:rFonts w:hint="eastAsia" w:asciiTheme="majorEastAsia" w:hAnsiTheme="majorEastAsia" w:eastAsiaTheme="majorEastAsia"/>
                <w:szCs w:val="21"/>
              </w:rPr>
            </w:pPr>
          </w:p>
        </w:tc>
        <w:tc>
          <w:tcPr>
            <w:tcW w:w="1560" w:type="dxa"/>
            <w:vAlign w:val="center"/>
          </w:tcPr>
          <w:p w14:paraId="607924DB">
            <w:pPr>
              <w:rPr>
                <w:rFonts w:hint="eastAsia" w:asciiTheme="majorEastAsia" w:hAnsiTheme="majorEastAsia" w:eastAsiaTheme="majorEastAsia"/>
                <w:szCs w:val="21"/>
              </w:rPr>
            </w:pPr>
          </w:p>
        </w:tc>
      </w:tr>
      <w:tr w14:paraId="7489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20D80F1">
            <w:pPr>
              <w:jc w:val="center"/>
              <w:rPr>
                <w:rFonts w:hint="eastAsia" w:asciiTheme="majorEastAsia" w:hAnsiTheme="majorEastAsia" w:eastAsiaTheme="majorEastAsia"/>
                <w:szCs w:val="21"/>
              </w:rPr>
            </w:pPr>
            <w:r>
              <w:rPr>
                <w:rFonts w:hint="eastAsia" w:asciiTheme="majorEastAsia" w:hAnsiTheme="majorEastAsia" w:eastAsiaTheme="majorEastAsia"/>
                <w:szCs w:val="21"/>
              </w:rPr>
              <w:t>...</w:t>
            </w:r>
          </w:p>
        </w:tc>
        <w:tc>
          <w:tcPr>
            <w:tcW w:w="1527" w:type="dxa"/>
            <w:vAlign w:val="center"/>
          </w:tcPr>
          <w:p w14:paraId="6B188A92">
            <w:pPr>
              <w:rPr>
                <w:rFonts w:hint="eastAsia" w:asciiTheme="majorEastAsia" w:hAnsiTheme="majorEastAsia" w:eastAsiaTheme="majorEastAsia"/>
                <w:szCs w:val="21"/>
              </w:rPr>
            </w:pPr>
          </w:p>
        </w:tc>
        <w:tc>
          <w:tcPr>
            <w:tcW w:w="1167" w:type="dxa"/>
            <w:vAlign w:val="center"/>
          </w:tcPr>
          <w:p w14:paraId="2788E7E5">
            <w:pPr>
              <w:rPr>
                <w:rFonts w:hint="eastAsia" w:asciiTheme="majorEastAsia" w:hAnsiTheme="majorEastAsia" w:eastAsiaTheme="majorEastAsia"/>
                <w:szCs w:val="21"/>
              </w:rPr>
            </w:pPr>
          </w:p>
        </w:tc>
        <w:tc>
          <w:tcPr>
            <w:tcW w:w="1275" w:type="dxa"/>
            <w:vAlign w:val="center"/>
          </w:tcPr>
          <w:p w14:paraId="4A35028C">
            <w:pPr>
              <w:rPr>
                <w:rFonts w:hint="eastAsia" w:asciiTheme="majorEastAsia" w:hAnsiTheme="majorEastAsia" w:eastAsiaTheme="majorEastAsia"/>
                <w:szCs w:val="21"/>
              </w:rPr>
            </w:pPr>
          </w:p>
        </w:tc>
        <w:tc>
          <w:tcPr>
            <w:tcW w:w="851" w:type="dxa"/>
            <w:vAlign w:val="center"/>
          </w:tcPr>
          <w:p w14:paraId="6EAFA433">
            <w:pPr>
              <w:rPr>
                <w:rFonts w:hint="eastAsia" w:asciiTheme="majorEastAsia" w:hAnsiTheme="majorEastAsia" w:eastAsiaTheme="majorEastAsia"/>
                <w:szCs w:val="21"/>
              </w:rPr>
            </w:pPr>
          </w:p>
        </w:tc>
        <w:tc>
          <w:tcPr>
            <w:tcW w:w="850" w:type="dxa"/>
            <w:vAlign w:val="center"/>
          </w:tcPr>
          <w:p w14:paraId="633B3595">
            <w:pPr>
              <w:rPr>
                <w:rFonts w:hint="eastAsia" w:asciiTheme="majorEastAsia" w:hAnsiTheme="majorEastAsia" w:eastAsiaTheme="majorEastAsia"/>
                <w:szCs w:val="21"/>
              </w:rPr>
            </w:pPr>
          </w:p>
        </w:tc>
        <w:tc>
          <w:tcPr>
            <w:tcW w:w="1134" w:type="dxa"/>
            <w:vAlign w:val="center"/>
          </w:tcPr>
          <w:p w14:paraId="7183751C">
            <w:pPr>
              <w:rPr>
                <w:rFonts w:hint="eastAsia" w:asciiTheme="majorEastAsia" w:hAnsiTheme="majorEastAsia" w:eastAsiaTheme="majorEastAsia"/>
                <w:szCs w:val="21"/>
              </w:rPr>
            </w:pPr>
          </w:p>
        </w:tc>
        <w:tc>
          <w:tcPr>
            <w:tcW w:w="1560" w:type="dxa"/>
            <w:vAlign w:val="center"/>
          </w:tcPr>
          <w:p w14:paraId="5B30A729">
            <w:pPr>
              <w:rPr>
                <w:rFonts w:hint="eastAsia" w:asciiTheme="majorEastAsia" w:hAnsiTheme="majorEastAsia" w:eastAsiaTheme="majorEastAsia"/>
                <w:szCs w:val="21"/>
              </w:rPr>
            </w:pPr>
          </w:p>
        </w:tc>
      </w:tr>
    </w:tbl>
    <w:p w14:paraId="6149D712">
      <w:pPr>
        <w:spacing w:line="360" w:lineRule="auto"/>
        <w:ind w:left="924" w:hanging="924" w:hangingChars="440"/>
        <w:rPr>
          <w:rFonts w:hint="eastAsia" w:cs="宋体" w:asciiTheme="majorEastAsia" w:hAnsiTheme="majorEastAsia" w:eastAsiaTheme="majorEastAsia"/>
          <w:b/>
        </w:rPr>
      </w:pPr>
      <w:r>
        <w:rPr>
          <w:rFonts w:hint="eastAsia" w:cs="宋体" w:asciiTheme="majorEastAsia" w:hAnsiTheme="majorEastAsia" w:eastAsiaTheme="majorEastAsia"/>
        </w:rPr>
        <w:t>注：</w:t>
      </w:r>
      <w:r>
        <w:rPr>
          <w:rFonts w:hint="eastAsia" w:cs="宋体" w:asciiTheme="majorEastAsia" w:hAnsiTheme="majorEastAsia" w:eastAsiaTheme="majorEastAsia"/>
          <w:b/>
        </w:rPr>
        <w:t>1、项目负责人等与评审因素相关的人员必须列入本表并明确，否则在评审中不予认可。</w:t>
      </w:r>
    </w:p>
    <w:p w14:paraId="68CCAB92">
      <w:pPr>
        <w:spacing w:line="360" w:lineRule="auto"/>
        <w:ind w:left="924" w:hanging="924" w:hangingChars="440"/>
        <w:rPr>
          <w:rFonts w:hint="eastAsia" w:cs="宋体" w:asciiTheme="majorEastAsia" w:hAnsiTheme="majorEastAsia" w:eastAsiaTheme="majorEastAsia"/>
        </w:rPr>
      </w:pPr>
      <w:r>
        <w:rPr>
          <w:rFonts w:hint="eastAsia" w:cs="宋体" w:asciiTheme="majorEastAsia" w:hAnsiTheme="majorEastAsia" w:eastAsiaTheme="majorEastAsia"/>
        </w:rPr>
        <w:t>2、列入本表人员如要更换，需经采购人同意，擅自更换或不到位属违约行为。</w:t>
      </w:r>
    </w:p>
    <w:p w14:paraId="0EDEFEAC">
      <w:pPr>
        <w:spacing w:line="360" w:lineRule="auto"/>
        <w:ind w:left="924" w:hanging="924" w:hangingChars="440"/>
        <w:rPr>
          <w:rFonts w:hint="eastAsia" w:cs="宋体" w:asciiTheme="majorEastAsia" w:hAnsiTheme="majorEastAsia" w:eastAsiaTheme="majorEastAsia"/>
        </w:rPr>
      </w:pPr>
      <w:r>
        <w:rPr>
          <w:rFonts w:hint="eastAsia" w:cs="宋体" w:asciiTheme="majorEastAsia" w:hAnsiTheme="majorEastAsia" w:eastAsiaTheme="majorEastAsia"/>
        </w:rPr>
        <w:t>3、</w:t>
      </w:r>
      <w:r>
        <w:rPr>
          <w:rFonts w:hint="eastAsia" w:asciiTheme="majorEastAsia" w:hAnsiTheme="majorEastAsia" w:eastAsiaTheme="majorEastAsia"/>
          <w:bCs/>
          <w:szCs w:val="21"/>
        </w:rPr>
        <w:t>职称、执业资格等能力情况</w:t>
      </w:r>
      <w:r>
        <w:rPr>
          <w:rFonts w:hint="eastAsia" w:cs="宋体" w:asciiTheme="majorEastAsia" w:hAnsiTheme="majorEastAsia" w:eastAsiaTheme="majorEastAsia"/>
        </w:rPr>
        <w:t>证明材料的复印件后附（如有）。</w:t>
      </w:r>
    </w:p>
    <w:p w14:paraId="1BDCBEEA">
      <w:pPr>
        <w:spacing w:line="360" w:lineRule="auto"/>
        <w:ind w:firstLine="420" w:firstLineChars="200"/>
        <w:rPr>
          <w:rFonts w:hint="eastAsia" w:asciiTheme="majorEastAsia" w:hAnsiTheme="majorEastAsia" w:eastAsiaTheme="majorEastAsia"/>
          <w:szCs w:val="21"/>
        </w:rPr>
      </w:pPr>
    </w:p>
    <w:p w14:paraId="7E94D3D9">
      <w:pPr>
        <w:spacing w:line="360" w:lineRule="auto"/>
        <w:ind w:firstLine="420" w:firstLineChars="200"/>
        <w:rPr>
          <w:rFonts w:hint="eastAsia" w:cs="宋体" w:asciiTheme="majorEastAsia" w:hAnsiTheme="majorEastAsia" w:eastAsiaTheme="majorEastAsia"/>
          <w:szCs w:val="21"/>
        </w:rPr>
      </w:pPr>
    </w:p>
    <w:p w14:paraId="2E90188E">
      <w:pPr>
        <w:snapToGrid w:val="0"/>
        <w:spacing w:line="360" w:lineRule="auto"/>
        <w:ind w:firstLine="3685" w:firstLineChars="1755"/>
        <w:rPr>
          <w:rFonts w:hint="eastAsia" w:asciiTheme="majorEastAsia" w:hAnsiTheme="majorEastAsia" w:eastAsiaTheme="majorEastAsia"/>
          <w:szCs w:val="21"/>
        </w:rPr>
      </w:pPr>
      <w:r>
        <w:rPr>
          <w:rFonts w:hint="eastAsia" w:asciiTheme="majorEastAsia" w:hAnsiTheme="majorEastAsia" w:eastAsiaTheme="majorEastAsia"/>
          <w:szCs w:val="21"/>
        </w:rPr>
        <w:t>投标人：</w:t>
      </w:r>
      <w:r>
        <w:rPr>
          <w:rFonts w:asciiTheme="majorEastAsia" w:hAnsiTheme="majorEastAsia" w:eastAsiaTheme="majorEastAsia"/>
          <w:szCs w:val="21"/>
          <w:u w:val="single"/>
        </w:rPr>
        <w:t>___</w:t>
      </w:r>
      <w:r>
        <w:rPr>
          <w:rFonts w:hint="eastAsia" w:asciiTheme="majorEastAsia" w:hAnsiTheme="majorEastAsia" w:eastAsiaTheme="majorEastAsia"/>
          <w:szCs w:val="21"/>
          <w:u w:val="single"/>
        </w:rPr>
        <w:t xml:space="preserve">    （填写全称并加盖公章)</w:t>
      </w:r>
      <w:r>
        <w:rPr>
          <w:rFonts w:asciiTheme="majorEastAsia" w:hAnsiTheme="majorEastAsia" w:eastAsiaTheme="majorEastAsia"/>
          <w:szCs w:val="21"/>
          <w:u w:val="single"/>
        </w:rPr>
        <w:t>___________</w:t>
      </w:r>
    </w:p>
    <w:p w14:paraId="690AC8A4">
      <w:pPr>
        <w:snapToGrid w:val="0"/>
        <w:spacing w:line="360" w:lineRule="auto"/>
        <w:ind w:firstLine="3685" w:firstLineChars="1755"/>
        <w:rPr>
          <w:rFonts w:hint="eastAsia" w:asciiTheme="majorEastAsia" w:hAnsiTheme="majorEastAsia" w:eastAsiaTheme="majorEastAsia"/>
          <w:szCs w:val="21"/>
        </w:rPr>
      </w:pPr>
      <w:r>
        <w:rPr>
          <w:rFonts w:hint="eastAsia" w:asciiTheme="majorEastAsia" w:hAnsiTheme="majorEastAsia" w:eastAsiaTheme="majorEastAsia"/>
          <w:szCs w:val="21"/>
        </w:rPr>
        <w:t>日  期：</w:t>
      </w:r>
    </w:p>
    <w:p w14:paraId="5DC0193D">
      <w:pPr>
        <w:snapToGrid w:val="0"/>
        <w:spacing w:line="360" w:lineRule="auto"/>
        <w:rPr>
          <w:rFonts w:hint="eastAsia" w:asciiTheme="majorEastAsia" w:hAnsiTheme="majorEastAsia" w:eastAsiaTheme="majorEastAsia"/>
          <w:szCs w:val="21"/>
        </w:rPr>
      </w:pPr>
    </w:p>
    <w:p w14:paraId="2D9514F3">
      <w:pPr>
        <w:pStyle w:val="3"/>
        <w:spacing w:line="360" w:lineRule="auto"/>
        <w:jc w:val="center"/>
        <w:rPr>
          <w:rFonts w:hint="eastAsia" w:asciiTheme="majorEastAsia" w:hAnsiTheme="majorEastAsia" w:eastAsiaTheme="majorEastAsia"/>
          <w:sz w:val="21"/>
          <w:szCs w:val="21"/>
        </w:rPr>
      </w:pPr>
    </w:p>
    <w:p w14:paraId="4B51754F">
      <w:pPr>
        <w:pStyle w:val="3"/>
        <w:spacing w:line="360" w:lineRule="auto"/>
        <w:ind w:left="0" w:leftChars="0"/>
        <w:jc w:val="center"/>
        <w:rPr>
          <w:rFonts w:hint="eastAsia" w:asciiTheme="majorEastAsia" w:hAnsiTheme="majorEastAsia" w:eastAsiaTheme="majorEastAsia"/>
          <w:szCs w:val="21"/>
        </w:rPr>
      </w:pPr>
      <w:r>
        <w:rPr>
          <w:rFonts w:asciiTheme="majorEastAsia" w:hAnsiTheme="majorEastAsia" w:eastAsiaTheme="majorEastAsia"/>
          <w:szCs w:val="21"/>
        </w:rPr>
        <w:br w:type="page"/>
      </w:r>
      <w:r>
        <w:rPr>
          <w:rFonts w:hint="eastAsia" w:cs="宋体" w:asciiTheme="majorEastAsia" w:hAnsiTheme="majorEastAsia" w:eastAsiaTheme="majorEastAsia"/>
          <w:b/>
          <w:sz w:val="21"/>
          <w:szCs w:val="21"/>
        </w:rPr>
        <w:t>7）类似项目业绩一览表</w:t>
      </w:r>
    </w:p>
    <w:tbl>
      <w:tblPr>
        <w:tblStyle w:val="44"/>
        <w:tblW w:w="8827"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701"/>
        <w:gridCol w:w="1560"/>
        <w:gridCol w:w="1984"/>
        <w:gridCol w:w="2835"/>
      </w:tblGrid>
      <w:tr w14:paraId="379F4C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F0E3909">
            <w:pPr>
              <w:spacing w:line="300" w:lineRule="exact"/>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序号</w:t>
            </w:r>
          </w:p>
        </w:tc>
        <w:tc>
          <w:tcPr>
            <w:tcW w:w="1701" w:type="dxa"/>
            <w:vAlign w:val="center"/>
          </w:tcPr>
          <w:p w14:paraId="2FAEBFE0">
            <w:pPr>
              <w:spacing w:line="300" w:lineRule="exact"/>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用户名称</w:t>
            </w:r>
          </w:p>
        </w:tc>
        <w:tc>
          <w:tcPr>
            <w:tcW w:w="1560" w:type="dxa"/>
            <w:vAlign w:val="center"/>
          </w:tcPr>
          <w:p w14:paraId="5E03B14A">
            <w:pPr>
              <w:spacing w:line="300" w:lineRule="exact"/>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项目内容</w:t>
            </w:r>
          </w:p>
        </w:tc>
        <w:tc>
          <w:tcPr>
            <w:tcW w:w="1984" w:type="dxa"/>
            <w:vAlign w:val="center"/>
          </w:tcPr>
          <w:p w14:paraId="4EB55792">
            <w:pPr>
              <w:spacing w:line="300" w:lineRule="exact"/>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合同金额</w:t>
            </w:r>
          </w:p>
        </w:tc>
        <w:tc>
          <w:tcPr>
            <w:tcW w:w="2835" w:type="dxa"/>
            <w:tcBorders>
              <w:right w:val="single" w:color="auto" w:sz="4" w:space="0"/>
            </w:tcBorders>
            <w:vAlign w:val="center"/>
          </w:tcPr>
          <w:p w14:paraId="1DED6744">
            <w:pPr>
              <w:spacing w:line="300" w:lineRule="exact"/>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用户联系人及其联系电话</w:t>
            </w:r>
          </w:p>
        </w:tc>
      </w:tr>
      <w:tr w14:paraId="0B9D5E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75430E2A">
            <w:pPr>
              <w:spacing w:line="300" w:lineRule="exact"/>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1</w:t>
            </w:r>
          </w:p>
        </w:tc>
        <w:tc>
          <w:tcPr>
            <w:tcW w:w="1701" w:type="dxa"/>
            <w:vAlign w:val="center"/>
          </w:tcPr>
          <w:p w14:paraId="2883600A">
            <w:pPr>
              <w:jc w:val="center"/>
              <w:rPr>
                <w:rFonts w:hint="eastAsia" w:asciiTheme="majorEastAsia" w:hAnsiTheme="majorEastAsia" w:eastAsiaTheme="majorEastAsia"/>
                <w:szCs w:val="21"/>
              </w:rPr>
            </w:pPr>
          </w:p>
        </w:tc>
        <w:tc>
          <w:tcPr>
            <w:tcW w:w="1560" w:type="dxa"/>
            <w:vAlign w:val="center"/>
          </w:tcPr>
          <w:p w14:paraId="53081FFF">
            <w:pPr>
              <w:jc w:val="center"/>
              <w:rPr>
                <w:rFonts w:hint="eastAsia" w:asciiTheme="majorEastAsia" w:hAnsiTheme="majorEastAsia" w:eastAsiaTheme="majorEastAsia"/>
                <w:szCs w:val="21"/>
              </w:rPr>
            </w:pPr>
          </w:p>
        </w:tc>
        <w:tc>
          <w:tcPr>
            <w:tcW w:w="1984" w:type="dxa"/>
            <w:vAlign w:val="center"/>
          </w:tcPr>
          <w:p w14:paraId="79C05499">
            <w:pPr>
              <w:jc w:val="center"/>
              <w:rPr>
                <w:rFonts w:hint="eastAsia" w:asciiTheme="majorEastAsia" w:hAnsiTheme="majorEastAsia" w:eastAsiaTheme="majorEastAsia"/>
                <w:szCs w:val="21"/>
              </w:rPr>
            </w:pPr>
          </w:p>
        </w:tc>
        <w:tc>
          <w:tcPr>
            <w:tcW w:w="2835" w:type="dxa"/>
            <w:tcBorders>
              <w:right w:val="single" w:color="auto" w:sz="4" w:space="0"/>
            </w:tcBorders>
            <w:vAlign w:val="center"/>
          </w:tcPr>
          <w:p w14:paraId="627A5F0D">
            <w:pPr>
              <w:jc w:val="center"/>
              <w:rPr>
                <w:rFonts w:hint="eastAsia" w:asciiTheme="majorEastAsia" w:hAnsiTheme="majorEastAsia" w:eastAsiaTheme="majorEastAsia"/>
                <w:szCs w:val="21"/>
              </w:rPr>
            </w:pPr>
          </w:p>
        </w:tc>
      </w:tr>
      <w:tr w14:paraId="7A5E6B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2F2FBFE5">
            <w:pPr>
              <w:spacing w:line="300" w:lineRule="exact"/>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2</w:t>
            </w:r>
          </w:p>
        </w:tc>
        <w:tc>
          <w:tcPr>
            <w:tcW w:w="1701" w:type="dxa"/>
            <w:vAlign w:val="center"/>
          </w:tcPr>
          <w:p w14:paraId="55E193B9">
            <w:pPr>
              <w:jc w:val="center"/>
              <w:rPr>
                <w:rFonts w:hint="eastAsia" w:asciiTheme="majorEastAsia" w:hAnsiTheme="majorEastAsia" w:eastAsiaTheme="majorEastAsia"/>
                <w:szCs w:val="21"/>
              </w:rPr>
            </w:pPr>
          </w:p>
        </w:tc>
        <w:tc>
          <w:tcPr>
            <w:tcW w:w="1560" w:type="dxa"/>
            <w:vAlign w:val="center"/>
          </w:tcPr>
          <w:p w14:paraId="49ED10C0">
            <w:pPr>
              <w:jc w:val="center"/>
              <w:rPr>
                <w:rFonts w:hint="eastAsia" w:asciiTheme="majorEastAsia" w:hAnsiTheme="majorEastAsia" w:eastAsiaTheme="majorEastAsia"/>
                <w:szCs w:val="21"/>
              </w:rPr>
            </w:pPr>
          </w:p>
        </w:tc>
        <w:tc>
          <w:tcPr>
            <w:tcW w:w="1984" w:type="dxa"/>
            <w:vAlign w:val="center"/>
          </w:tcPr>
          <w:p w14:paraId="26A868D9">
            <w:pPr>
              <w:jc w:val="center"/>
              <w:rPr>
                <w:rFonts w:hint="eastAsia" w:asciiTheme="majorEastAsia" w:hAnsiTheme="majorEastAsia" w:eastAsiaTheme="majorEastAsia"/>
                <w:szCs w:val="21"/>
              </w:rPr>
            </w:pPr>
          </w:p>
        </w:tc>
        <w:tc>
          <w:tcPr>
            <w:tcW w:w="2835" w:type="dxa"/>
            <w:tcBorders>
              <w:right w:val="single" w:color="auto" w:sz="4" w:space="0"/>
            </w:tcBorders>
            <w:vAlign w:val="center"/>
          </w:tcPr>
          <w:p w14:paraId="25CB112B">
            <w:pPr>
              <w:jc w:val="center"/>
              <w:rPr>
                <w:rFonts w:hint="eastAsia" w:asciiTheme="majorEastAsia" w:hAnsiTheme="majorEastAsia" w:eastAsiaTheme="majorEastAsia"/>
                <w:szCs w:val="21"/>
              </w:rPr>
            </w:pPr>
          </w:p>
        </w:tc>
      </w:tr>
      <w:tr w14:paraId="6D383F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3462F4E">
            <w:pPr>
              <w:spacing w:line="300" w:lineRule="exact"/>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3</w:t>
            </w:r>
          </w:p>
        </w:tc>
        <w:tc>
          <w:tcPr>
            <w:tcW w:w="1701" w:type="dxa"/>
            <w:vAlign w:val="center"/>
          </w:tcPr>
          <w:p w14:paraId="069172EB">
            <w:pPr>
              <w:jc w:val="center"/>
              <w:rPr>
                <w:rFonts w:hint="eastAsia" w:asciiTheme="majorEastAsia" w:hAnsiTheme="majorEastAsia" w:eastAsiaTheme="majorEastAsia"/>
                <w:szCs w:val="21"/>
              </w:rPr>
            </w:pPr>
          </w:p>
        </w:tc>
        <w:tc>
          <w:tcPr>
            <w:tcW w:w="1560" w:type="dxa"/>
            <w:vAlign w:val="center"/>
          </w:tcPr>
          <w:p w14:paraId="14F261F6">
            <w:pPr>
              <w:jc w:val="center"/>
              <w:rPr>
                <w:rFonts w:hint="eastAsia" w:asciiTheme="majorEastAsia" w:hAnsiTheme="majorEastAsia" w:eastAsiaTheme="majorEastAsia"/>
                <w:szCs w:val="21"/>
              </w:rPr>
            </w:pPr>
          </w:p>
        </w:tc>
        <w:tc>
          <w:tcPr>
            <w:tcW w:w="1984" w:type="dxa"/>
            <w:vAlign w:val="center"/>
          </w:tcPr>
          <w:p w14:paraId="31A4E3DF">
            <w:pPr>
              <w:jc w:val="center"/>
              <w:rPr>
                <w:rFonts w:hint="eastAsia" w:asciiTheme="majorEastAsia" w:hAnsiTheme="majorEastAsia" w:eastAsiaTheme="majorEastAsia"/>
                <w:szCs w:val="21"/>
              </w:rPr>
            </w:pPr>
          </w:p>
        </w:tc>
        <w:tc>
          <w:tcPr>
            <w:tcW w:w="2835" w:type="dxa"/>
            <w:tcBorders>
              <w:right w:val="single" w:color="auto" w:sz="4" w:space="0"/>
            </w:tcBorders>
            <w:vAlign w:val="center"/>
          </w:tcPr>
          <w:p w14:paraId="1DC6C31F">
            <w:pPr>
              <w:jc w:val="center"/>
              <w:rPr>
                <w:rFonts w:hint="eastAsia" w:asciiTheme="majorEastAsia" w:hAnsiTheme="majorEastAsia" w:eastAsiaTheme="majorEastAsia"/>
                <w:szCs w:val="21"/>
              </w:rPr>
            </w:pPr>
          </w:p>
        </w:tc>
      </w:tr>
      <w:tr w14:paraId="50F4E4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21E21C6F">
            <w:pPr>
              <w:spacing w:line="300" w:lineRule="exact"/>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4</w:t>
            </w:r>
          </w:p>
        </w:tc>
        <w:tc>
          <w:tcPr>
            <w:tcW w:w="1701" w:type="dxa"/>
            <w:vAlign w:val="center"/>
          </w:tcPr>
          <w:p w14:paraId="7A699AAC">
            <w:pPr>
              <w:jc w:val="center"/>
              <w:rPr>
                <w:rFonts w:hint="eastAsia" w:asciiTheme="majorEastAsia" w:hAnsiTheme="majorEastAsia" w:eastAsiaTheme="majorEastAsia"/>
                <w:szCs w:val="21"/>
              </w:rPr>
            </w:pPr>
          </w:p>
        </w:tc>
        <w:tc>
          <w:tcPr>
            <w:tcW w:w="1560" w:type="dxa"/>
            <w:vAlign w:val="center"/>
          </w:tcPr>
          <w:p w14:paraId="405FBC35">
            <w:pPr>
              <w:jc w:val="center"/>
              <w:rPr>
                <w:rFonts w:hint="eastAsia" w:asciiTheme="majorEastAsia" w:hAnsiTheme="majorEastAsia" w:eastAsiaTheme="majorEastAsia"/>
                <w:szCs w:val="21"/>
              </w:rPr>
            </w:pPr>
          </w:p>
        </w:tc>
        <w:tc>
          <w:tcPr>
            <w:tcW w:w="1984" w:type="dxa"/>
            <w:vAlign w:val="center"/>
          </w:tcPr>
          <w:p w14:paraId="33C423AF">
            <w:pPr>
              <w:jc w:val="center"/>
              <w:rPr>
                <w:rFonts w:hint="eastAsia" w:asciiTheme="majorEastAsia" w:hAnsiTheme="majorEastAsia" w:eastAsiaTheme="majorEastAsia"/>
                <w:szCs w:val="21"/>
              </w:rPr>
            </w:pPr>
          </w:p>
        </w:tc>
        <w:tc>
          <w:tcPr>
            <w:tcW w:w="2835" w:type="dxa"/>
            <w:tcBorders>
              <w:right w:val="single" w:color="auto" w:sz="4" w:space="0"/>
            </w:tcBorders>
            <w:vAlign w:val="center"/>
          </w:tcPr>
          <w:p w14:paraId="0699AFAB">
            <w:pPr>
              <w:jc w:val="center"/>
              <w:rPr>
                <w:rFonts w:hint="eastAsia" w:asciiTheme="majorEastAsia" w:hAnsiTheme="majorEastAsia" w:eastAsiaTheme="majorEastAsia"/>
                <w:szCs w:val="21"/>
              </w:rPr>
            </w:pPr>
          </w:p>
        </w:tc>
      </w:tr>
      <w:tr w14:paraId="5C2858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5DE91122">
            <w:pPr>
              <w:spacing w:line="300" w:lineRule="exact"/>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5</w:t>
            </w:r>
          </w:p>
        </w:tc>
        <w:tc>
          <w:tcPr>
            <w:tcW w:w="1701" w:type="dxa"/>
            <w:vAlign w:val="center"/>
          </w:tcPr>
          <w:p w14:paraId="51432748">
            <w:pPr>
              <w:jc w:val="center"/>
              <w:rPr>
                <w:rFonts w:hint="eastAsia" w:asciiTheme="majorEastAsia" w:hAnsiTheme="majorEastAsia" w:eastAsiaTheme="majorEastAsia"/>
                <w:szCs w:val="21"/>
              </w:rPr>
            </w:pPr>
          </w:p>
        </w:tc>
        <w:tc>
          <w:tcPr>
            <w:tcW w:w="1560" w:type="dxa"/>
            <w:vAlign w:val="center"/>
          </w:tcPr>
          <w:p w14:paraId="1846DE82">
            <w:pPr>
              <w:jc w:val="center"/>
              <w:rPr>
                <w:rFonts w:hint="eastAsia" w:asciiTheme="majorEastAsia" w:hAnsiTheme="majorEastAsia" w:eastAsiaTheme="majorEastAsia"/>
                <w:szCs w:val="21"/>
              </w:rPr>
            </w:pPr>
          </w:p>
        </w:tc>
        <w:tc>
          <w:tcPr>
            <w:tcW w:w="1984" w:type="dxa"/>
            <w:vAlign w:val="center"/>
          </w:tcPr>
          <w:p w14:paraId="71D2E389">
            <w:pPr>
              <w:jc w:val="center"/>
              <w:rPr>
                <w:rFonts w:hint="eastAsia" w:asciiTheme="majorEastAsia" w:hAnsiTheme="majorEastAsia" w:eastAsiaTheme="majorEastAsia"/>
                <w:szCs w:val="21"/>
              </w:rPr>
            </w:pPr>
          </w:p>
        </w:tc>
        <w:tc>
          <w:tcPr>
            <w:tcW w:w="2835" w:type="dxa"/>
            <w:tcBorders>
              <w:right w:val="single" w:color="auto" w:sz="4" w:space="0"/>
            </w:tcBorders>
            <w:vAlign w:val="center"/>
          </w:tcPr>
          <w:p w14:paraId="426FF575">
            <w:pPr>
              <w:jc w:val="center"/>
              <w:rPr>
                <w:rFonts w:hint="eastAsia" w:asciiTheme="majorEastAsia" w:hAnsiTheme="majorEastAsia" w:eastAsiaTheme="majorEastAsia"/>
                <w:szCs w:val="21"/>
              </w:rPr>
            </w:pPr>
          </w:p>
        </w:tc>
      </w:tr>
      <w:tr w14:paraId="7D8825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2DA0B44">
            <w:pPr>
              <w:spacing w:line="300" w:lineRule="exact"/>
              <w:jc w:val="center"/>
              <w:rPr>
                <w:rFonts w:hint="eastAsia" w:asciiTheme="majorEastAsia" w:hAnsiTheme="majorEastAsia" w:eastAsiaTheme="majorEastAsia"/>
                <w:bCs/>
                <w:szCs w:val="21"/>
              </w:rPr>
            </w:pPr>
            <w:r>
              <w:rPr>
                <w:rFonts w:hint="eastAsia" w:asciiTheme="majorEastAsia" w:hAnsiTheme="majorEastAsia" w:eastAsiaTheme="majorEastAsia"/>
                <w:bCs/>
                <w:szCs w:val="21"/>
              </w:rPr>
              <w:t>...</w:t>
            </w:r>
          </w:p>
        </w:tc>
        <w:tc>
          <w:tcPr>
            <w:tcW w:w="1701" w:type="dxa"/>
            <w:vAlign w:val="center"/>
          </w:tcPr>
          <w:p w14:paraId="51EEF4B6">
            <w:pPr>
              <w:jc w:val="center"/>
              <w:rPr>
                <w:rFonts w:hint="eastAsia" w:asciiTheme="majorEastAsia" w:hAnsiTheme="majorEastAsia" w:eastAsiaTheme="majorEastAsia"/>
                <w:szCs w:val="21"/>
              </w:rPr>
            </w:pPr>
          </w:p>
        </w:tc>
        <w:tc>
          <w:tcPr>
            <w:tcW w:w="1560" w:type="dxa"/>
            <w:vAlign w:val="center"/>
          </w:tcPr>
          <w:p w14:paraId="572ECF1F">
            <w:pPr>
              <w:jc w:val="center"/>
              <w:rPr>
                <w:rFonts w:hint="eastAsia" w:asciiTheme="majorEastAsia" w:hAnsiTheme="majorEastAsia" w:eastAsiaTheme="majorEastAsia"/>
                <w:szCs w:val="21"/>
              </w:rPr>
            </w:pPr>
          </w:p>
        </w:tc>
        <w:tc>
          <w:tcPr>
            <w:tcW w:w="1984" w:type="dxa"/>
            <w:vAlign w:val="center"/>
          </w:tcPr>
          <w:p w14:paraId="39CCAC68">
            <w:pPr>
              <w:jc w:val="center"/>
              <w:rPr>
                <w:rFonts w:hint="eastAsia" w:asciiTheme="majorEastAsia" w:hAnsiTheme="majorEastAsia" w:eastAsiaTheme="majorEastAsia"/>
                <w:szCs w:val="21"/>
              </w:rPr>
            </w:pPr>
          </w:p>
        </w:tc>
        <w:tc>
          <w:tcPr>
            <w:tcW w:w="2835" w:type="dxa"/>
            <w:tcBorders>
              <w:right w:val="single" w:color="auto" w:sz="4" w:space="0"/>
            </w:tcBorders>
            <w:vAlign w:val="center"/>
          </w:tcPr>
          <w:p w14:paraId="7BFEEAF1">
            <w:pPr>
              <w:jc w:val="center"/>
              <w:rPr>
                <w:rFonts w:hint="eastAsia" w:asciiTheme="majorEastAsia" w:hAnsiTheme="majorEastAsia" w:eastAsiaTheme="majorEastAsia"/>
                <w:szCs w:val="21"/>
              </w:rPr>
            </w:pPr>
          </w:p>
        </w:tc>
      </w:tr>
    </w:tbl>
    <w:p w14:paraId="6B1736C5">
      <w:pPr>
        <w:snapToGrid w:val="0"/>
        <w:spacing w:before="50" w:after="50" w:line="360" w:lineRule="auto"/>
        <w:ind w:left="-23" w:leftChars="-11" w:right="27" w:rightChars="13" w:firstLine="21" w:firstLineChars="10"/>
        <w:rPr>
          <w:rFonts w:hint="eastAsia" w:cs="宋体" w:asciiTheme="majorEastAsia" w:hAnsiTheme="majorEastAsia" w:eastAsiaTheme="majorEastAsia"/>
          <w:bCs/>
          <w:szCs w:val="21"/>
        </w:rPr>
      </w:pPr>
    </w:p>
    <w:p w14:paraId="749D1BD3">
      <w:pPr>
        <w:spacing w:line="360" w:lineRule="auto"/>
        <w:ind w:firstLine="420" w:firstLineChars="200"/>
        <w:rPr>
          <w:rFonts w:hint="eastAsia" w:cs="宋体" w:asciiTheme="majorEastAsia" w:hAnsiTheme="majorEastAsia" w:eastAsiaTheme="majorEastAsia"/>
          <w:szCs w:val="21"/>
        </w:rPr>
      </w:pPr>
    </w:p>
    <w:p w14:paraId="4A415C05">
      <w:pPr>
        <w:spacing w:line="360" w:lineRule="auto"/>
        <w:ind w:firstLine="420" w:firstLineChars="200"/>
        <w:rPr>
          <w:rFonts w:hint="eastAsia" w:cs="宋体" w:asciiTheme="majorEastAsia" w:hAnsiTheme="majorEastAsia" w:eastAsiaTheme="majorEastAsia"/>
          <w:szCs w:val="21"/>
        </w:rPr>
      </w:pPr>
    </w:p>
    <w:p w14:paraId="48741B16">
      <w:pPr>
        <w:snapToGrid w:val="0"/>
        <w:spacing w:line="360" w:lineRule="auto"/>
        <w:ind w:firstLine="3685" w:firstLineChars="1755"/>
        <w:rPr>
          <w:rFonts w:hint="eastAsia" w:asciiTheme="majorEastAsia" w:hAnsiTheme="majorEastAsia" w:eastAsiaTheme="majorEastAsia"/>
          <w:szCs w:val="21"/>
        </w:rPr>
      </w:pPr>
      <w:r>
        <w:rPr>
          <w:rFonts w:hint="eastAsia" w:asciiTheme="majorEastAsia" w:hAnsiTheme="majorEastAsia" w:eastAsiaTheme="majorEastAsia"/>
          <w:szCs w:val="21"/>
        </w:rPr>
        <w:t>投标人：</w:t>
      </w:r>
      <w:r>
        <w:rPr>
          <w:rFonts w:asciiTheme="majorEastAsia" w:hAnsiTheme="majorEastAsia" w:eastAsiaTheme="majorEastAsia"/>
          <w:szCs w:val="21"/>
          <w:u w:val="single"/>
        </w:rPr>
        <w:t>___</w:t>
      </w:r>
      <w:r>
        <w:rPr>
          <w:rFonts w:hint="eastAsia" w:asciiTheme="majorEastAsia" w:hAnsiTheme="majorEastAsia" w:eastAsiaTheme="majorEastAsia"/>
          <w:szCs w:val="21"/>
          <w:u w:val="single"/>
        </w:rPr>
        <w:t xml:space="preserve">    （填写全称并加盖公章)</w:t>
      </w:r>
      <w:r>
        <w:rPr>
          <w:rFonts w:asciiTheme="majorEastAsia" w:hAnsiTheme="majorEastAsia" w:eastAsiaTheme="majorEastAsia"/>
          <w:szCs w:val="21"/>
          <w:u w:val="single"/>
        </w:rPr>
        <w:t>___________</w:t>
      </w:r>
    </w:p>
    <w:p w14:paraId="293FEAB8">
      <w:pPr>
        <w:snapToGrid w:val="0"/>
        <w:spacing w:line="360" w:lineRule="auto"/>
        <w:ind w:firstLine="3685" w:firstLineChars="1755"/>
        <w:rPr>
          <w:rFonts w:hint="eastAsia" w:asciiTheme="majorEastAsia" w:hAnsiTheme="majorEastAsia" w:eastAsiaTheme="majorEastAsia"/>
          <w:szCs w:val="21"/>
        </w:rPr>
      </w:pPr>
      <w:r>
        <w:rPr>
          <w:rFonts w:hint="eastAsia" w:asciiTheme="majorEastAsia" w:hAnsiTheme="majorEastAsia" w:eastAsiaTheme="majorEastAsia"/>
          <w:szCs w:val="21"/>
        </w:rPr>
        <w:t>日  期：</w:t>
      </w:r>
    </w:p>
    <w:p w14:paraId="141C5283">
      <w:pPr>
        <w:widowControl/>
        <w:jc w:val="left"/>
        <w:rPr>
          <w:rFonts w:hint="eastAsia" w:asciiTheme="majorEastAsia" w:hAnsiTheme="majorEastAsia" w:eastAsiaTheme="majorEastAsia"/>
          <w:szCs w:val="21"/>
        </w:rPr>
      </w:pPr>
      <w:r>
        <w:rPr>
          <w:rFonts w:hint="eastAsia" w:asciiTheme="majorEastAsia" w:hAnsiTheme="majorEastAsia" w:eastAsiaTheme="majorEastAsia"/>
          <w:szCs w:val="21"/>
        </w:rPr>
        <w:br w:type="page"/>
      </w:r>
    </w:p>
    <w:p w14:paraId="6EDA877F">
      <w:pPr>
        <w:widowControl/>
        <w:jc w:val="left"/>
        <w:rPr>
          <w:rFonts w:hint="eastAsia" w:asciiTheme="majorEastAsia" w:hAnsiTheme="majorEastAsia" w:eastAsiaTheme="majorEastAsia"/>
          <w:b/>
        </w:rPr>
        <w:sectPr>
          <w:headerReference r:id="rId11" w:type="default"/>
          <w:footerReference r:id="rId12" w:type="default"/>
          <w:pgSz w:w="11906" w:h="16838"/>
          <w:pgMar w:top="1276" w:right="1440" w:bottom="1276" w:left="1610" w:header="851" w:footer="851" w:gutter="0"/>
          <w:pgNumType w:chapStyle="1"/>
          <w:cols w:space="720" w:num="1"/>
          <w:docGrid w:linePitch="312" w:charSpace="0"/>
        </w:sectPr>
      </w:pPr>
    </w:p>
    <w:p w14:paraId="26042064">
      <w:pPr>
        <w:widowControl/>
        <w:jc w:val="left"/>
        <w:rPr>
          <w:rFonts w:hint="eastAsia" w:asciiTheme="majorEastAsia" w:hAnsiTheme="majorEastAsia" w:eastAsiaTheme="majorEastAsia"/>
          <w:b/>
          <w:szCs w:val="21"/>
        </w:rPr>
      </w:pPr>
      <w:r>
        <w:rPr>
          <w:rFonts w:hint="eastAsia" w:asciiTheme="majorEastAsia" w:hAnsiTheme="majorEastAsia" w:eastAsiaTheme="majorEastAsia"/>
          <w:b/>
        </w:rPr>
        <w:t>3、报价要求响应文件的有关格式</w:t>
      </w:r>
    </w:p>
    <w:p w14:paraId="075B50C8">
      <w:pPr>
        <w:pStyle w:val="3"/>
        <w:spacing w:line="360" w:lineRule="auto"/>
        <w:ind w:left="0" w:leftChars="0"/>
        <w:jc w:val="center"/>
        <w:rPr>
          <w:rFonts w:hint="eastAsia" w:asciiTheme="majorEastAsia" w:hAnsiTheme="majorEastAsia" w:eastAsiaTheme="majorEastAsia"/>
          <w:kern w:val="1"/>
          <w:szCs w:val="21"/>
        </w:rPr>
      </w:pPr>
      <w:r>
        <w:rPr>
          <w:rFonts w:hint="eastAsia" w:cs="宋体" w:asciiTheme="majorEastAsia" w:hAnsiTheme="majorEastAsia" w:eastAsiaTheme="majorEastAsia"/>
          <w:b/>
          <w:sz w:val="21"/>
          <w:szCs w:val="21"/>
        </w:rPr>
        <w:t>1）开标一览表</w:t>
      </w:r>
    </w:p>
    <w:tbl>
      <w:tblPr>
        <w:tblStyle w:val="44"/>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550"/>
        <w:gridCol w:w="2971"/>
      </w:tblGrid>
      <w:tr w14:paraId="65E7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376" w:type="dxa"/>
            <w:tcBorders>
              <w:top w:val="single" w:color="auto" w:sz="4" w:space="0"/>
              <w:left w:val="single" w:color="auto" w:sz="4" w:space="0"/>
              <w:bottom w:val="single" w:color="auto" w:sz="4" w:space="0"/>
              <w:right w:val="single" w:color="auto" w:sz="4" w:space="0"/>
            </w:tcBorders>
            <w:vAlign w:val="center"/>
          </w:tcPr>
          <w:p w14:paraId="5536C1D3">
            <w:pPr>
              <w:pStyle w:val="3"/>
              <w:spacing w:after="0"/>
              <w:ind w:left="457" w:leftChars="0" w:hanging="457" w:hangingChars="218"/>
              <w:jc w:val="center"/>
              <w:rPr>
                <w:rFonts w:hint="eastAsia" w:ascii="宋体" w:hAnsi="宋体"/>
                <w:kern w:val="2"/>
                <w:sz w:val="21"/>
                <w:szCs w:val="21"/>
              </w:rPr>
            </w:pPr>
            <w:r>
              <w:rPr>
                <w:rFonts w:ascii="宋体" w:hAnsi="宋体"/>
                <w:kern w:val="2"/>
                <w:sz w:val="21"/>
                <w:szCs w:val="21"/>
              </w:rPr>
              <w:t>项目名称</w:t>
            </w:r>
          </w:p>
        </w:tc>
        <w:tc>
          <w:tcPr>
            <w:tcW w:w="6521" w:type="dxa"/>
            <w:gridSpan w:val="2"/>
            <w:tcBorders>
              <w:top w:val="single" w:color="auto" w:sz="4" w:space="0"/>
              <w:left w:val="single" w:color="auto" w:sz="4" w:space="0"/>
              <w:bottom w:val="single" w:color="auto" w:sz="4" w:space="0"/>
              <w:right w:val="single" w:color="auto" w:sz="4" w:space="0"/>
            </w:tcBorders>
            <w:vAlign w:val="center"/>
          </w:tcPr>
          <w:p w14:paraId="30B6AC32">
            <w:pPr>
              <w:pStyle w:val="3"/>
              <w:spacing w:after="0"/>
              <w:ind w:left="457" w:leftChars="0" w:hanging="457" w:hangingChars="218"/>
              <w:jc w:val="center"/>
              <w:rPr>
                <w:rFonts w:hint="eastAsia" w:ascii="宋体" w:hAnsi="宋体"/>
                <w:kern w:val="2"/>
                <w:sz w:val="21"/>
                <w:szCs w:val="21"/>
              </w:rPr>
            </w:pPr>
            <w:r>
              <w:rPr>
                <w:rFonts w:hint="eastAsia" w:ascii="宋体" w:hAnsi="宋体"/>
                <w:kern w:val="2"/>
                <w:sz w:val="21"/>
                <w:szCs w:val="21"/>
              </w:rPr>
              <w:t>浙江大学宁波“五位一体”校区教育发展中心</w:t>
            </w:r>
          </w:p>
          <w:p w14:paraId="6AF8CD42">
            <w:pPr>
              <w:pStyle w:val="3"/>
              <w:spacing w:after="0"/>
              <w:ind w:left="457" w:leftChars="0" w:hanging="457" w:hangingChars="218"/>
              <w:jc w:val="center"/>
              <w:rPr>
                <w:rFonts w:hint="eastAsia" w:ascii="宋体" w:hAnsi="宋体"/>
                <w:kern w:val="2"/>
                <w:sz w:val="21"/>
                <w:szCs w:val="21"/>
              </w:rPr>
            </w:pPr>
            <w:r>
              <w:rPr>
                <w:rFonts w:hint="eastAsia" w:ascii="宋体" w:hAnsi="宋体"/>
                <w:kern w:val="2"/>
                <w:sz w:val="21"/>
                <w:szCs w:val="21"/>
              </w:rPr>
              <w:t>高压物性综合测试平台采购项目</w:t>
            </w:r>
          </w:p>
        </w:tc>
      </w:tr>
      <w:tr w14:paraId="56DA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376" w:type="dxa"/>
            <w:tcBorders>
              <w:top w:val="single" w:color="auto" w:sz="4" w:space="0"/>
              <w:left w:val="single" w:color="auto" w:sz="4" w:space="0"/>
              <w:right w:val="single" w:color="auto" w:sz="4" w:space="0"/>
            </w:tcBorders>
            <w:vAlign w:val="center"/>
          </w:tcPr>
          <w:p w14:paraId="74B5847F">
            <w:pPr>
              <w:pStyle w:val="3"/>
              <w:spacing w:after="0"/>
              <w:ind w:left="457" w:leftChars="0" w:hanging="457" w:hangingChars="218"/>
              <w:jc w:val="center"/>
              <w:rPr>
                <w:rFonts w:hint="eastAsia" w:ascii="宋体" w:hAnsi="宋体"/>
                <w:sz w:val="21"/>
                <w:szCs w:val="21"/>
              </w:rPr>
            </w:pPr>
            <w:r>
              <w:rPr>
                <w:rFonts w:hint="eastAsia" w:ascii="宋体" w:hAnsi="宋体"/>
                <w:kern w:val="2"/>
                <w:sz w:val="21"/>
                <w:szCs w:val="21"/>
              </w:rPr>
              <w:t>项目编号</w:t>
            </w:r>
          </w:p>
        </w:tc>
        <w:tc>
          <w:tcPr>
            <w:tcW w:w="6521" w:type="dxa"/>
            <w:gridSpan w:val="2"/>
            <w:tcBorders>
              <w:top w:val="single" w:color="auto" w:sz="4" w:space="0"/>
              <w:left w:val="single" w:color="auto" w:sz="4" w:space="0"/>
              <w:right w:val="single" w:color="auto" w:sz="4" w:space="0"/>
            </w:tcBorders>
            <w:vAlign w:val="center"/>
          </w:tcPr>
          <w:p w14:paraId="72A8F55E">
            <w:pPr>
              <w:pStyle w:val="3"/>
              <w:spacing w:after="0"/>
              <w:ind w:left="36" w:leftChars="17"/>
              <w:jc w:val="center"/>
              <w:rPr>
                <w:rFonts w:hint="eastAsia" w:ascii="宋体" w:hAnsi="宋体"/>
                <w:kern w:val="2"/>
                <w:sz w:val="21"/>
                <w:szCs w:val="21"/>
              </w:rPr>
            </w:pPr>
            <w:r>
              <w:rPr>
                <w:rFonts w:hint="eastAsia" w:ascii="宋体" w:hAnsi="宋体"/>
                <w:kern w:val="2"/>
                <w:sz w:val="21"/>
                <w:szCs w:val="21"/>
              </w:rPr>
              <w:t>NBMC-20251020G</w:t>
            </w:r>
          </w:p>
        </w:tc>
      </w:tr>
      <w:tr w14:paraId="24A2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376" w:type="dxa"/>
            <w:tcBorders>
              <w:top w:val="single" w:color="auto" w:sz="4" w:space="0"/>
              <w:left w:val="single" w:color="auto" w:sz="4" w:space="0"/>
              <w:right w:val="single" w:color="auto" w:sz="4" w:space="0"/>
            </w:tcBorders>
            <w:vAlign w:val="center"/>
          </w:tcPr>
          <w:p w14:paraId="0729302C">
            <w:pPr>
              <w:pStyle w:val="3"/>
              <w:spacing w:after="0"/>
              <w:ind w:left="457" w:leftChars="0" w:hanging="457" w:hangingChars="218"/>
              <w:jc w:val="center"/>
              <w:rPr>
                <w:rFonts w:hint="eastAsia" w:ascii="宋体" w:hAnsi="宋体"/>
                <w:kern w:val="2"/>
                <w:sz w:val="21"/>
                <w:szCs w:val="21"/>
              </w:rPr>
            </w:pPr>
            <w:r>
              <w:rPr>
                <w:rFonts w:hint="eastAsia" w:ascii="宋体" w:hAnsi="宋体"/>
                <w:kern w:val="2"/>
                <w:sz w:val="21"/>
                <w:szCs w:val="21"/>
              </w:rPr>
              <w:t>标项号</w:t>
            </w:r>
          </w:p>
        </w:tc>
        <w:tc>
          <w:tcPr>
            <w:tcW w:w="6521" w:type="dxa"/>
            <w:gridSpan w:val="2"/>
            <w:tcBorders>
              <w:top w:val="single" w:color="auto" w:sz="4" w:space="0"/>
              <w:left w:val="single" w:color="auto" w:sz="4" w:space="0"/>
              <w:right w:val="single" w:color="auto" w:sz="4" w:space="0"/>
            </w:tcBorders>
            <w:vAlign w:val="center"/>
          </w:tcPr>
          <w:p w14:paraId="5229B218">
            <w:pPr>
              <w:pStyle w:val="3"/>
              <w:spacing w:after="0"/>
              <w:ind w:left="36" w:leftChars="17"/>
              <w:jc w:val="center"/>
              <w:rPr>
                <w:rFonts w:hint="eastAsia" w:ascii="宋体" w:hAnsi="宋体"/>
                <w:kern w:val="2"/>
                <w:sz w:val="21"/>
                <w:szCs w:val="21"/>
              </w:rPr>
            </w:pPr>
            <w:r>
              <w:rPr>
                <w:rFonts w:hint="eastAsia" w:ascii="宋体" w:hAnsi="宋体"/>
                <w:kern w:val="2"/>
                <w:sz w:val="21"/>
                <w:szCs w:val="21"/>
              </w:rPr>
              <w:t>1</w:t>
            </w:r>
          </w:p>
        </w:tc>
      </w:tr>
      <w:tr w14:paraId="7C09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376" w:type="dxa"/>
            <w:tcBorders>
              <w:top w:val="single" w:color="auto" w:sz="4" w:space="0"/>
              <w:left w:val="single" w:color="auto" w:sz="4" w:space="0"/>
              <w:right w:val="single" w:color="auto" w:sz="4" w:space="0"/>
            </w:tcBorders>
            <w:vAlign w:val="center"/>
          </w:tcPr>
          <w:p w14:paraId="7AA72630">
            <w:pPr>
              <w:pStyle w:val="3"/>
              <w:spacing w:after="0"/>
              <w:ind w:left="457" w:leftChars="0" w:hanging="457" w:hangingChars="218"/>
              <w:jc w:val="center"/>
              <w:rPr>
                <w:rFonts w:hint="eastAsia" w:ascii="宋体" w:hAnsi="宋体"/>
                <w:sz w:val="21"/>
                <w:szCs w:val="21"/>
              </w:rPr>
            </w:pPr>
            <w:r>
              <w:rPr>
                <w:rFonts w:hint="eastAsia" w:ascii="宋体" w:hAnsi="宋体"/>
                <w:kern w:val="2"/>
                <w:sz w:val="21"/>
                <w:szCs w:val="21"/>
              </w:rPr>
              <w:t>标项名称</w:t>
            </w:r>
          </w:p>
        </w:tc>
        <w:tc>
          <w:tcPr>
            <w:tcW w:w="6521" w:type="dxa"/>
            <w:gridSpan w:val="2"/>
            <w:tcBorders>
              <w:top w:val="single" w:color="auto" w:sz="4" w:space="0"/>
              <w:left w:val="single" w:color="auto" w:sz="4" w:space="0"/>
              <w:right w:val="single" w:color="auto" w:sz="4" w:space="0"/>
            </w:tcBorders>
            <w:vAlign w:val="center"/>
          </w:tcPr>
          <w:p w14:paraId="7970EB8E">
            <w:pPr>
              <w:pStyle w:val="3"/>
              <w:spacing w:after="0"/>
              <w:ind w:left="36" w:leftChars="17"/>
              <w:jc w:val="center"/>
              <w:rPr>
                <w:rFonts w:hint="eastAsia" w:ascii="宋体" w:hAnsi="宋体"/>
                <w:kern w:val="2"/>
                <w:sz w:val="21"/>
                <w:szCs w:val="21"/>
              </w:rPr>
            </w:pPr>
            <w:r>
              <w:rPr>
                <w:rFonts w:hint="eastAsia" w:ascii="宋体" w:hAnsi="宋体"/>
                <w:kern w:val="2"/>
                <w:sz w:val="21"/>
                <w:szCs w:val="21"/>
              </w:rPr>
              <w:t>高压物性综合测试平台</w:t>
            </w:r>
          </w:p>
        </w:tc>
      </w:tr>
      <w:tr w14:paraId="505F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376" w:type="dxa"/>
            <w:vMerge w:val="restart"/>
            <w:tcBorders>
              <w:top w:val="single" w:color="auto" w:sz="4" w:space="0"/>
              <w:left w:val="single" w:color="auto" w:sz="4" w:space="0"/>
              <w:right w:val="single" w:color="auto" w:sz="4" w:space="0"/>
            </w:tcBorders>
            <w:vAlign w:val="center"/>
          </w:tcPr>
          <w:p w14:paraId="19F15DE4">
            <w:pPr>
              <w:pStyle w:val="3"/>
              <w:spacing w:after="0"/>
              <w:ind w:left="457" w:leftChars="0" w:hanging="457" w:hangingChars="218"/>
              <w:jc w:val="center"/>
              <w:rPr>
                <w:rFonts w:hint="eastAsia" w:ascii="宋体" w:hAnsi="宋体"/>
                <w:sz w:val="21"/>
                <w:szCs w:val="21"/>
              </w:rPr>
            </w:pPr>
            <w:r>
              <w:rPr>
                <w:rFonts w:hint="eastAsia" w:ascii="宋体" w:hAnsi="宋体"/>
                <w:kern w:val="2"/>
                <w:sz w:val="21"/>
                <w:szCs w:val="21"/>
              </w:rPr>
              <w:t>投标报价</w:t>
            </w:r>
          </w:p>
        </w:tc>
        <w:tc>
          <w:tcPr>
            <w:tcW w:w="3550" w:type="dxa"/>
            <w:tcBorders>
              <w:top w:val="single" w:color="auto" w:sz="4" w:space="0"/>
              <w:left w:val="single" w:color="auto" w:sz="4" w:space="0"/>
              <w:bottom w:val="single" w:color="auto" w:sz="4" w:space="0"/>
              <w:right w:val="single" w:color="auto" w:sz="4" w:space="0"/>
            </w:tcBorders>
            <w:vAlign w:val="center"/>
          </w:tcPr>
          <w:p w14:paraId="5BABAD4C">
            <w:pPr>
              <w:pStyle w:val="3"/>
              <w:spacing w:after="0"/>
              <w:ind w:left="457" w:leftChars="0" w:hanging="457" w:hangingChars="218"/>
              <w:jc w:val="left"/>
              <w:rPr>
                <w:rFonts w:hint="eastAsia" w:ascii="宋体" w:hAnsi="宋体"/>
                <w:sz w:val="21"/>
                <w:szCs w:val="21"/>
              </w:rPr>
            </w:pPr>
            <w:r>
              <w:rPr>
                <w:rFonts w:hint="eastAsia" w:ascii="宋体" w:hAnsi="宋体"/>
                <w:kern w:val="2"/>
                <w:sz w:val="21"/>
                <w:szCs w:val="21"/>
              </w:rPr>
              <w:t>小写：</w:t>
            </w:r>
          </w:p>
          <w:p w14:paraId="642422A9">
            <w:pPr>
              <w:pStyle w:val="3"/>
              <w:spacing w:after="0"/>
              <w:ind w:left="457" w:leftChars="0" w:hanging="457" w:hangingChars="218"/>
              <w:jc w:val="left"/>
              <w:rPr>
                <w:rFonts w:hint="eastAsia" w:ascii="宋体" w:hAnsi="宋体"/>
                <w:kern w:val="2"/>
                <w:sz w:val="21"/>
                <w:szCs w:val="21"/>
              </w:rPr>
            </w:pPr>
            <w:r>
              <w:rPr>
                <w:rFonts w:hint="eastAsia" w:ascii="宋体" w:hAnsi="宋体"/>
                <w:kern w:val="2"/>
                <w:sz w:val="21"/>
                <w:szCs w:val="21"/>
              </w:rPr>
              <w:t>大写：</w:t>
            </w:r>
          </w:p>
        </w:tc>
        <w:tc>
          <w:tcPr>
            <w:tcW w:w="2971" w:type="dxa"/>
            <w:tcBorders>
              <w:top w:val="single" w:color="auto" w:sz="4" w:space="0"/>
              <w:left w:val="single" w:color="auto" w:sz="4" w:space="0"/>
              <w:bottom w:val="single" w:color="auto" w:sz="4" w:space="0"/>
              <w:right w:val="single" w:color="auto" w:sz="4" w:space="0"/>
            </w:tcBorders>
            <w:vAlign w:val="center"/>
          </w:tcPr>
          <w:p w14:paraId="5952965E">
            <w:pPr>
              <w:pStyle w:val="3"/>
              <w:spacing w:after="0"/>
              <w:ind w:left="0" w:leftChars="0"/>
              <w:jc w:val="center"/>
              <w:rPr>
                <w:rFonts w:hint="eastAsia" w:ascii="宋体" w:hAnsi="宋体"/>
                <w:kern w:val="2"/>
                <w:sz w:val="21"/>
                <w:szCs w:val="21"/>
              </w:rPr>
            </w:pPr>
            <w:r>
              <w:rPr>
                <w:rFonts w:hint="eastAsia" w:asciiTheme="minorEastAsia" w:hAnsiTheme="minorEastAsia" w:eastAsiaTheme="minorEastAsia"/>
                <w:kern w:val="2"/>
                <w:sz w:val="21"/>
                <w:szCs w:val="21"/>
              </w:rPr>
              <w:t>人民币（含税）报价</w:t>
            </w:r>
          </w:p>
        </w:tc>
      </w:tr>
      <w:tr w14:paraId="7FDE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376" w:type="dxa"/>
            <w:vMerge w:val="continue"/>
            <w:tcBorders>
              <w:left w:val="single" w:color="auto" w:sz="4" w:space="0"/>
              <w:bottom w:val="single" w:color="auto" w:sz="4" w:space="0"/>
              <w:right w:val="single" w:color="auto" w:sz="4" w:space="0"/>
            </w:tcBorders>
            <w:vAlign w:val="center"/>
          </w:tcPr>
          <w:p w14:paraId="7ACB94E5">
            <w:pPr>
              <w:pStyle w:val="3"/>
              <w:spacing w:after="0"/>
              <w:ind w:left="457" w:leftChars="0" w:hanging="457" w:hangingChars="218"/>
              <w:jc w:val="center"/>
              <w:rPr>
                <w:rFonts w:hint="eastAsia" w:ascii="宋体" w:hAnsi="宋体"/>
                <w:kern w:val="2"/>
                <w:sz w:val="21"/>
                <w:szCs w:val="21"/>
              </w:rPr>
            </w:pPr>
          </w:p>
        </w:tc>
        <w:tc>
          <w:tcPr>
            <w:tcW w:w="3550" w:type="dxa"/>
            <w:tcBorders>
              <w:top w:val="single" w:color="auto" w:sz="4" w:space="0"/>
              <w:left w:val="single" w:color="auto" w:sz="4" w:space="0"/>
              <w:bottom w:val="single" w:color="auto" w:sz="4" w:space="0"/>
              <w:right w:val="single" w:color="auto" w:sz="4" w:space="0"/>
            </w:tcBorders>
            <w:vAlign w:val="center"/>
          </w:tcPr>
          <w:p w14:paraId="6F1C08BA">
            <w:pPr>
              <w:pStyle w:val="3"/>
              <w:spacing w:after="0"/>
              <w:ind w:left="0" w:leftChars="0"/>
              <w:jc w:val="left"/>
              <w:rPr>
                <w:rFonts w:hint="eastAsia" w:ascii="宋体" w:hAnsi="宋体"/>
                <w:kern w:val="2"/>
                <w:sz w:val="21"/>
                <w:szCs w:val="21"/>
              </w:rPr>
            </w:pPr>
            <w:r>
              <w:rPr>
                <w:rFonts w:hint="eastAsia" w:asciiTheme="minorEastAsia" w:hAnsiTheme="minorEastAsia" w:eastAsiaTheme="minorEastAsia"/>
                <w:kern w:val="2"/>
                <w:sz w:val="21"/>
                <w:szCs w:val="21"/>
              </w:rPr>
              <w:t>小写：</w:t>
            </w:r>
          </w:p>
        </w:tc>
        <w:tc>
          <w:tcPr>
            <w:tcW w:w="2971" w:type="dxa"/>
            <w:tcBorders>
              <w:top w:val="single" w:color="auto" w:sz="4" w:space="0"/>
              <w:left w:val="single" w:color="auto" w:sz="4" w:space="0"/>
              <w:bottom w:val="single" w:color="auto" w:sz="4" w:space="0"/>
              <w:right w:val="single" w:color="auto" w:sz="4" w:space="0"/>
            </w:tcBorders>
            <w:vAlign w:val="center"/>
          </w:tcPr>
          <w:p w14:paraId="2187CB5F">
            <w:pPr>
              <w:pStyle w:val="3"/>
              <w:spacing w:after="0"/>
              <w:ind w:left="457" w:leftChars="0" w:hanging="457" w:hangingChars="218"/>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highlight w:val="none"/>
              </w:rPr>
              <w:t>美元（含税）报价</w:t>
            </w:r>
          </w:p>
          <w:p w14:paraId="7191C277">
            <w:pPr>
              <w:pStyle w:val="3"/>
              <w:spacing w:after="0"/>
              <w:ind w:left="878" w:hanging="457" w:hangingChars="218"/>
              <w:jc w:val="left"/>
              <w:rPr>
                <w:rFonts w:hint="eastAsia" w:ascii="宋体" w:hAnsi="宋体"/>
                <w:kern w:val="2"/>
                <w:sz w:val="21"/>
                <w:szCs w:val="21"/>
              </w:rPr>
            </w:pPr>
            <w:r>
              <w:rPr>
                <w:rFonts w:hint="eastAsia" w:asciiTheme="minorEastAsia" w:hAnsiTheme="minorEastAsia" w:eastAsiaTheme="minorEastAsia"/>
                <w:kern w:val="2"/>
                <w:sz w:val="21"/>
                <w:szCs w:val="21"/>
              </w:rPr>
              <w:t>（国产设备无需填报）</w:t>
            </w:r>
          </w:p>
        </w:tc>
      </w:tr>
      <w:tr w14:paraId="23B6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376" w:type="dxa"/>
            <w:vMerge w:val="restart"/>
            <w:tcBorders>
              <w:top w:val="single" w:color="auto" w:sz="4" w:space="0"/>
              <w:left w:val="single" w:color="auto" w:sz="4" w:space="0"/>
              <w:right w:val="single" w:color="auto" w:sz="4" w:space="0"/>
            </w:tcBorders>
            <w:vAlign w:val="center"/>
          </w:tcPr>
          <w:p w14:paraId="0EAE463E">
            <w:pPr>
              <w:pStyle w:val="3"/>
              <w:spacing w:after="0"/>
              <w:ind w:left="457" w:leftChars="0" w:hanging="457" w:hangingChars="218"/>
              <w:jc w:val="center"/>
              <w:rPr>
                <w:rFonts w:hint="eastAsia" w:ascii="宋体" w:hAnsi="宋体"/>
                <w:kern w:val="2"/>
                <w:sz w:val="21"/>
                <w:szCs w:val="21"/>
              </w:rPr>
            </w:pPr>
            <w:r>
              <w:rPr>
                <w:rFonts w:hint="eastAsia" w:ascii="宋体" w:hAnsi="宋体"/>
                <w:kern w:val="2"/>
                <w:sz w:val="21"/>
                <w:szCs w:val="21"/>
              </w:rPr>
              <w:t>报价说明</w:t>
            </w:r>
          </w:p>
        </w:tc>
        <w:tc>
          <w:tcPr>
            <w:tcW w:w="6521" w:type="dxa"/>
            <w:gridSpan w:val="2"/>
            <w:tcBorders>
              <w:top w:val="single" w:color="auto" w:sz="4" w:space="0"/>
              <w:left w:val="single" w:color="auto" w:sz="4" w:space="0"/>
              <w:right w:val="single" w:color="auto" w:sz="4" w:space="0"/>
            </w:tcBorders>
            <w:vAlign w:val="center"/>
          </w:tcPr>
          <w:p w14:paraId="4EC98314">
            <w:pPr>
              <w:pStyle w:val="3"/>
              <w:spacing w:after="0"/>
              <w:ind w:left="0" w:leftChars="0"/>
              <w:rPr>
                <w:rFonts w:hint="eastAsia" w:ascii="宋体" w:hAnsi="宋体"/>
              </w:rPr>
            </w:pPr>
            <w:r>
              <w:rPr>
                <w:rFonts w:hint="eastAsia" w:asciiTheme="majorEastAsia" w:hAnsiTheme="majorEastAsia" w:eastAsiaTheme="majorEastAsia" w:cstheme="majorEastAsia"/>
                <w:sz w:val="21"/>
                <w:szCs w:val="21"/>
              </w:rPr>
              <w:t>交货期：</w:t>
            </w:r>
            <w:r>
              <w:rPr>
                <w:rFonts w:hint="eastAsia" w:ascii="宋体" w:hAnsi="宋体"/>
                <w:sz w:val="21"/>
              </w:rPr>
              <w:t>合同签订生效之日起</w:t>
            </w:r>
            <w:r>
              <w:rPr>
                <w:rFonts w:hint="eastAsia" w:ascii="宋体" w:hAnsi="宋体"/>
                <w:sz w:val="21"/>
                <w:u w:val="single"/>
              </w:rPr>
              <w:t xml:space="preserve">  </w:t>
            </w:r>
            <w:r>
              <w:rPr>
                <w:rFonts w:hint="eastAsia" w:ascii="宋体" w:hAnsi="宋体"/>
                <w:sz w:val="21"/>
              </w:rPr>
              <w:t>个月内货到指定地点</w:t>
            </w:r>
            <w:r>
              <w:rPr>
                <w:rFonts w:hint="eastAsia" w:ascii="宋体" w:hAnsi="宋体"/>
              </w:rPr>
              <w:t>。</w:t>
            </w:r>
          </w:p>
        </w:tc>
      </w:tr>
      <w:tr w14:paraId="76BC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376" w:type="dxa"/>
            <w:vMerge w:val="continue"/>
            <w:tcBorders>
              <w:left w:val="single" w:color="auto" w:sz="4" w:space="0"/>
              <w:right w:val="single" w:color="auto" w:sz="4" w:space="0"/>
            </w:tcBorders>
            <w:vAlign w:val="center"/>
          </w:tcPr>
          <w:p w14:paraId="276DBF33">
            <w:pPr>
              <w:pStyle w:val="3"/>
              <w:spacing w:after="0"/>
              <w:ind w:left="457" w:leftChars="0" w:hanging="457" w:hangingChars="218"/>
              <w:jc w:val="center"/>
              <w:rPr>
                <w:rFonts w:hint="eastAsia" w:ascii="宋体" w:hAnsi="宋体"/>
                <w:kern w:val="2"/>
                <w:sz w:val="21"/>
                <w:szCs w:val="21"/>
              </w:rPr>
            </w:pPr>
          </w:p>
        </w:tc>
        <w:tc>
          <w:tcPr>
            <w:tcW w:w="6521" w:type="dxa"/>
            <w:gridSpan w:val="2"/>
            <w:tcBorders>
              <w:top w:val="single" w:color="auto" w:sz="4" w:space="0"/>
              <w:left w:val="single" w:color="auto" w:sz="4" w:space="0"/>
              <w:right w:val="single" w:color="auto" w:sz="4" w:space="0"/>
            </w:tcBorders>
            <w:vAlign w:val="center"/>
          </w:tcPr>
          <w:p w14:paraId="384CD60E">
            <w:pPr>
              <w:pStyle w:val="3"/>
              <w:spacing w:after="0"/>
              <w:ind w:left="457" w:leftChars="0" w:hanging="457" w:hangingChars="218"/>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质保期：自采购人验收合格之日起</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p>
        </w:tc>
      </w:tr>
    </w:tbl>
    <w:p w14:paraId="3C2D7030">
      <w:pPr>
        <w:snapToGrid w:val="0"/>
        <w:spacing w:before="50" w:after="50" w:line="360" w:lineRule="auto"/>
        <w:ind w:left="-23" w:leftChars="-11" w:right="27" w:rightChars="13" w:firstLine="21" w:firstLineChars="10"/>
        <w:rPr>
          <w:rFonts w:hint="eastAsia" w:cs="宋体" w:asciiTheme="majorEastAsia" w:hAnsiTheme="majorEastAsia" w:eastAsiaTheme="majorEastAsia"/>
          <w:bCs/>
          <w:szCs w:val="21"/>
        </w:rPr>
      </w:pPr>
    </w:p>
    <w:p w14:paraId="3635C3F8">
      <w:pPr>
        <w:spacing w:line="360" w:lineRule="auto"/>
        <w:rPr>
          <w:rFonts w:hint="eastAsia" w:ascii="宋体" w:hAnsi="宋体" w:cs="宋体"/>
        </w:rPr>
      </w:pPr>
    </w:p>
    <w:p w14:paraId="47ABD576">
      <w:pPr>
        <w:snapToGrid w:val="0"/>
        <w:spacing w:before="50" w:after="50" w:line="360" w:lineRule="auto"/>
        <w:ind w:left="-23" w:leftChars="-11" w:right="27" w:rightChars="13" w:firstLine="21" w:firstLineChars="10"/>
        <w:rPr>
          <w:rFonts w:hint="eastAsia" w:cs="宋体" w:asciiTheme="majorEastAsia" w:hAnsiTheme="majorEastAsia" w:eastAsiaTheme="majorEastAsia"/>
          <w:bCs/>
          <w:szCs w:val="21"/>
        </w:rPr>
      </w:pPr>
    </w:p>
    <w:p w14:paraId="2628FDF0">
      <w:pPr>
        <w:spacing w:line="360" w:lineRule="auto"/>
        <w:ind w:firstLine="420" w:firstLineChars="200"/>
        <w:rPr>
          <w:rFonts w:hint="eastAsia" w:cs="宋体" w:asciiTheme="majorEastAsia" w:hAnsiTheme="majorEastAsia" w:eastAsiaTheme="majorEastAsia"/>
          <w:szCs w:val="21"/>
        </w:rPr>
      </w:pPr>
    </w:p>
    <w:p w14:paraId="0DA2B383">
      <w:pPr>
        <w:spacing w:line="360" w:lineRule="auto"/>
        <w:ind w:firstLine="420" w:firstLineChars="200"/>
        <w:rPr>
          <w:rFonts w:hint="eastAsia" w:cs="宋体" w:asciiTheme="majorEastAsia" w:hAnsiTheme="majorEastAsia" w:eastAsiaTheme="majorEastAsia"/>
          <w:szCs w:val="21"/>
        </w:rPr>
      </w:pPr>
    </w:p>
    <w:p w14:paraId="35CD5B78">
      <w:pPr>
        <w:snapToGrid w:val="0"/>
        <w:spacing w:line="360" w:lineRule="auto"/>
        <w:ind w:firstLine="3685" w:firstLineChars="1755"/>
        <w:rPr>
          <w:rFonts w:hint="eastAsia" w:asciiTheme="majorEastAsia" w:hAnsiTheme="majorEastAsia" w:eastAsiaTheme="majorEastAsia"/>
          <w:szCs w:val="21"/>
        </w:rPr>
      </w:pPr>
      <w:r>
        <w:rPr>
          <w:rFonts w:hint="eastAsia" w:asciiTheme="majorEastAsia" w:hAnsiTheme="majorEastAsia" w:eastAsiaTheme="majorEastAsia"/>
          <w:szCs w:val="21"/>
        </w:rPr>
        <w:t>投标人：</w:t>
      </w:r>
      <w:r>
        <w:rPr>
          <w:rFonts w:asciiTheme="majorEastAsia" w:hAnsiTheme="majorEastAsia" w:eastAsiaTheme="majorEastAsia"/>
          <w:szCs w:val="21"/>
          <w:u w:val="single"/>
        </w:rPr>
        <w:t>___</w:t>
      </w:r>
      <w:r>
        <w:rPr>
          <w:rFonts w:hint="eastAsia" w:asciiTheme="majorEastAsia" w:hAnsiTheme="majorEastAsia" w:eastAsiaTheme="majorEastAsia"/>
          <w:szCs w:val="21"/>
          <w:u w:val="single"/>
        </w:rPr>
        <w:t xml:space="preserve">    （填写全称并加盖公章)</w:t>
      </w:r>
      <w:r>
        <w:rPr>
          <w:rFonts w:asciiTheme="majorEastAsia" w:hAnsiTheme="majorEastAsia" w:eastAsiaTheme="majorEastAsia"/>
          <w:szCs w:val="21"/>
          <w:u w:val="single"/>
        </w:rPr>
        <w:t>___________</w:t>
      </w:r>
    </w:p>
    <w:p w14:paraId="40CFB195">
      <w:pPr>
        <w:snapToGrid w:val="0"/>
        <w:spacing w:line="360" w:lineRule="auto"/>
        <w:ind w:firstLine="3685" w:firstLineChars="1755"/>
        <w:rPr>
          <w:rFonts w:hint="eastAsia" w:asciiTheme="majorEastAsia" w:hAnsiTheme="majorEastAsia" w:eastAsiaTheme="majorEastAsia"/>
          <w:szCs w:val="21"/>
        </w:rPr>
        <w:sectPr>
          <w:footerReference r:id="rId13" w:type="default"/>
          <w:pgSz w:w="11906" w:h="16838"/>
          <w:pgMar w:top="1276" w:right="1440" w:bottom="1276" w:left="1610" w:header="851" w:footer="851" w:gutter="0"/>
          <w:pgNumType w:chapStyle="1"/>
          <w:cols w:space="720" w:num="1"/>
          <w:docGrid w:linePitch="312" w:charSpace="0"/>
        </w:sectPr>
      </w:pPr>
      <w:r>
        <w:rPr>
          <w:rFonts w:hint="eastAsia" w:asciiTheme="majorEastAsia" w:hAnsiTheme="majorEastAsia" w:eastAsiaTheme="majorEastAsia"/>
          <w:szCs w:val="21"/>
        </w:rPr>
        <w:t>日  期：</w:t>
      </w:r>
    </w:p>
    <w:p w14:paraId="44861419">
      <w:pPr>
        <w:pStyle w:val="3"/>
        <w:spacing w:line="360" w:lineRule="auto"/>
        <w:ind w:left="0" w:leftChars="0"/>
        <w:jc w:val="center"/>
        <w:rPr>
          <w:rFonts w:hint="eastAsia" w:ascii="宋体" w:hAnsi="宋体" w:cs="宋体"/>
          <w:szCs w:val="21"/>
        </w:rPr>
      </w:pPr>
      <w:r>
        <w:rPr>
          <w:rFonts w:hint="eastAsia" w:ascii="宋体" w:hAnsi="宋体" w:cs="宋体"/>
          <w:b/>
          <w:sz w:val="21"/>
          <w:szCs w:val="21"/>
        </w:rPr>
        <w:t>2</w:t>
      </w:r>
      <w:r>
        <w:rPr>
          <w:rFonts w:ascii="宋体" w:hAnsi="宋体" w:cs="宋体"/>
          <w:b/>
          <w:sz w:val="21"/>
          <w:szCs w:val="21"/>
        </w:rPr>
        <w:t>）投标报价组成明细表</w:t>
      </w:r>
    </w:p>
    <w:tbl>
      <w:tblPr>
        <w:tblStyle w:val="44"/>
        <w:tblW w:w="143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43"/>
        <w:gridCol w:w="1350"/>
        <w:gridCol w:w="1600"/>
        <w:gridCol w:w="1933"/>
        <w:gridCol w:w="883"/>
        <w:gridCol w:w="767"/>
        <w:gridCol w:w="700"/>
        <w:gridCol w:w="1550"/>
        <w:gridCol w:w="1355"/>
        <w:gridCol w:w="1712"/>
      </w:tblGrid>
      <w:tr w14:paraId="74F2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66BDCE4F">
            <w:pPr>
              <w:spacing w:line="300" w:lineRule="exact"/>
              <w:jc w:val="center"/>
              <w:rPr>
                <w:rFonts w:hint="eastAsia" w:ascii="宋体" w:hAnsi="宋体"/>
                <w:bCs/>
                <w:szCs w:val="21"/>
              </w:rPr>
            </w:pPr>
            <w:r>
              <w:rPr>
                <w:rFonts w:ascii="宋体" w:hAnsi="宋体"/>
                <w:bCs/>
                <w:szCs w:val="21"/>
              </w:rPr>
              <w:t>序号</w:t>
            </w:r>
          </w:p>
        </w:tc>
        <w:tc>
          <w:tcPr>
            <w:tcW w:w="1643" w:type="dxa"/>
            <w:vAlign w:val="center"/>
          </w:tcPr>
          <w:p w14:paraId="1AA094A1">
            <w:pPr>
              <w:spacing w:line="300" w:lineRule="exact"/>
              <w:jc w:val="center"/>
              <w:rPr>
                <w:rFonts w:hint="eastAsia" w:ascii="宋体" w:hAnsi="宋体"/>
                <w:bCs/>
                <w:szCs w:val="21"/>
              </w:rPr>
            </w:pPr>
            <w:r>
              <w:rPr>
                <w:rFonts w:hint="eastAsia" w:ascii="宋体" w:hAnsi="宋体"/>
                <w:szCs w:val="21"/>
                <w:lang w:val="en-GB"/>
              </w:rPr>
              <w:t>费用名称</w:t>
            </w:r>
          </w:p>
        </w:tc>
        <w:tc>
          <w:tcPr>
            <w:tcW w:w="1350" w:type="dxa"/>
            <w:tcBorders>
              <w:right w:val="single" w:color="auto" w:sz="6" w:space="0"/>
            </w:tcBorders>
            <w:vAlign w:val="center"/>
          </w:tcPr>
          <w:p w14:paraId="1D72957E">
            <w:pPr>
              <w:spacing w:line="300" w:lineRule="exact"/>
              <w:jc w:val="center"/>
              <w:rPr>
                <w:rFonts w:hint="eastAsia" w:ascii="宋体" w:hAnsi="宋体"/>
                <w:bCs/>
                <w:szCs w:val="21"/>
              </w:rPr>
            </w:pPr>
            <w:r>
              <w:rPr>
                <w:rFonts w:ascii="宋体" w:hAnsi="宋体"/>
                <w:bCs/>
                <w:szCs w:val="21"/>
              </w:rPr>
              <w:t>品牌</w:t>
            </w:r>
          </w:p>
        </w:tc>
        <w:tc>
          <w:tcPr>
            <w:tcW w:w="1600" w:type="dxa"/>
            <w:tcBorders>
              <w:left w:val="single" w:color="auto" w:sz="6" w:space="0"/>
            </w:tcBorders>
            <w:vAlign w:val="center"/>
          </w:tcPr>
          <w:p w14:paraId="4FDDD4AB">
            <w:pPr>
              <w:spacing w:line="300" w:lineRule="exact"/>
              <w:jc w:val="center"/>
              <w:rPr>
                <w:rFonts w:hint="eastAsia" w:ascii="宋体" w:hAnsi="宋体"/>
                <w:bCs/>
                <w:szCs w:val="21"/>
              </w:rPr>
            </w:pPr>
            <w:r>
              <w:rPr>
                <w:rFonts w:hint="eastAsia" w:ascii="宋体" w:hAnsi="宋体"/>
                <w:bCs/>
                <w:szCs w:val="21"/>
              </w:rPr>
              <w:t>规格</w:t>
            </w:r>
          </w:p>
        </w:tc>
        <w:tc>
          <w:tcPr>
            <w:tcW w:w="1933" w:type="dxa"/>
            <w:tcBorders>
              <w:left w:val="single" w:color="auto" w:sz="6" w:space="0"/>
              <w:right w:val="single" w:color="auto" w:sz="4" w:space="0"/>
            </w:tcBorders>
            <w:vAlign w:val="center"/>
          </w:tcPr>
          <w:p w14:paraId="0C34926B">
            <w:pPr>
              <w:spacing w:line="300" w:lineRule="exact"/>
              <w:jc w:val="center"/>
              <w:rPr>
                <w:rFonts w:hint="eastAsia" w:ascii="宋体" w:hAnsi="宋体"/>
                <w:bCs/>
                <w:szCs w:val="21"/>
              </w:rPr>
            </w:pPr>
            <w:r>
              <w:rPr>
                <w:rFonts w:hint="eastAsia" w:ascii="宋体" w:hAnsi="宋体"/>
                <w:bCs/>
                <w:szCs w:val="21"/>
              </w:rPr>
              <w:t>型号</w:t>
            </w:r>
          </w:p>
        </w:tc>
        <w:tc>
          <w:tcPr>
            <w:tcW w:w="883" w:type="dxa"/>
            <w:tcBorders>
              <w:left w:val="single" w:color="auto" w:sz="4" w:space="0"/>
            </w:tcBorders>
            <w:vAlign w:val="center"/>
          </w:tcPr>
          <w:p w14:paraId="57E1D4BB">
            <w:pPr>
              <w:spacing w:line="300" w:lineRule="exact"/>
              <w:jc w:val="center"/>
              <w:rPr>
                <w:rFonts w:hint="eastAsia" w:ascii="宋体" w:hAnsi="宋体"/>
                <w:bCs/>
                <w:szCs w:val="21"/>
              </w:rPr>
            </w:pPr>
            <w:r>
              <w:rPr>
                <w:rFonts w:hint="eastAsia" w:ascii="宋体" w:hAnsi="宋体"/>
                <w:bCs/>
                <w:szCs w:val="21"/>
              </w:rPr>
              <w:t>是否</w:t>
            </w:r>
          </w:p>
          <w:p w14:paraId="0DAAFD2D">
            <w:pPr>
              <w:spacing w:line="300" w:lineRule="exact"/>
              <w:jc w:val="center"/>
              <w:rPr>
                <w:rFonts w:hint="eastAsia" w:ascii="宋体" w:hAnsi="宋体"/>
                <w:bCs/>
                <w:szCs w:val="21"/>
              </w:rPr>
            </w:pPr>
            <w:r>
              <w:rPr>
                <w:rFonts w:hint="eastAsia" w:ascii="宋体" w:hAnsi="宋体"/>
                <w:bCs/>
                <w:szCs w:val="21"/>
              </w:rPr>
              <w:t>进口</w:t>
            </w:r>
          </w:p>
        </w:tc>
        <w:tc>
          <w:tcPr>
            <w:tcW w:w="767" w:type="dxa"/>
            <w:vAlign w:val="center"/>
          </w:tcPr>
          <w:p w14:paraId="73BF68C2">
            <w:pPr>
              <w:spacing w:line="300" w:lineRule="exact"/>
              <w:jc w:val="center"/>
              <w:rPr>
                <w:rFonts w:hint="eastAsia" w:ascii="宋体" w:hAnsi="宋体"/>
                <w:bCs/>
                <w:szCs w:val="21"/>
              </w:rPr>
            </w:pPr>
            <w:r>
              <w:rPr>
                <w:rFonts w:hint="eastAsia" w:ascii="宋体" w:hAnsi="宋体"/>
                <w:bCs/>
                <w:szCs w:val="21"/>
              </w:rPr>
              <w:t>单位</w:t>
            </w:r>
          </w:p>
        </w:tc>
        <w:tc>
          <w:tcPr>
            <w:tcW w:w="700" w:type="dxa"/>
            <w:vAlign w:val="center"/>
          </w:tcPr>
          <w:p w14:paraId="1122CA46">
            <w:pPr>
              <w:spacing w:line="300" w:lineRule="exact"/>
              <w:jc w:val="center"/>
              <w:rPr>
                <w:rFonts w:hint="eastAsia" w:ascii="宋体" w:hAnsi="宋体"/>
                <w:bCs/>
                <w:szCs w:val="21"/>
              </w:rPr>
            </w:pPr>
            <w:r>
              <w:rPr>
                <w:rFonts w:ascii="宋体" w:hAnsi="宋体"/>
                <w:bCs/>
                <w:szCs w:val="21"/>
              </w:rPr>
              <w:t>数量</w:t>
            </w:r>
          </w:p>
        </w:tc>
        <w:tc>
          <w:tcPr>
            <w:tcW w:w="1550" w:type="dxa"/>
            <w:vAlign w:val="center"/>
          </w:tcPr>
          <w:p w14:paraId="7EB69334">
            <w:pPr>
              <w:spacing w:line="300" w:lineRule="exact"/>
              <w:jc w:val="center"/>
              <w:rPr>
                <w:rFonts w:hint="eastAsia" w:ascii="宋体" w:hAnsi="宋体"/>
                <w:bCs/>
                <w:szCs w:val="21"/>
              </w:rPr>
            </w:pPr>
            <w:r>
              <w:rPr>
                <w:rFonts w:ascii="宋体" w:hAnsi="宋体"/>
                <w:bCs/>
                <w:szCs w:val="21"/>
              </w:rPr>
              <w:t>单价（元）</w:t>
            </w:r>
          </w:p>
        </w:tc>
        <w:tc>
          <w:tcPr>
            <w:tcW w:w="1355" w:type="dxa"/>
            <w:vAlign w:val="center"/>
          </w:tcPr>
          <w:p w14:paraId="3D3A1F70">
            <w:pPr>
              <w:spacing w:line="300" w:lineRule="exact"/>
              <w:jc w:val="center"/>
              <w:rPr>
                <w:rFonts w:hint="eastAsia" w:ascii="宋体" w:hAnsi="宋体"/>
                <w:bCs/>
                <w:szCs w:val="21"/>
              </w:rPr>
            </w:pPr>
            <w:r>
              <w:rPr>
                <w:rFonts w:ascii="宋体" w:hAnsi="宋体"/>
                <w:bCs/>
                <w:szCs w:val="21"/>
              </w:rPr>
              <w:t>合价（元）</w:t>
            </w:r>
          </w:p>
        </w:tc>
        <w:tc>
          <w:tcPr>
            <w:tcW w:w="1712" w:type="dxa"/>
            <w:vAlign w:val="center"/>
          </w:tcPr>
          <w:p w14:paraId="79D4D4BD">
            <w:pPr>
              <w:spacing w:line="300" w:lineRule="exact"/>
              <w:jc w:val="center"/>
              <w:rPr>
                <w:rFonts w:hint="eastAsia" w:ascii="宋体" w:hAnsi="宋体"/>
                <w:bCs/>
                <w:szCs w:val="21"/>
                <w:highlight w:val="none"/>
              </w:rPr>
            </w:pPr>
            <w:r>
              <w:rPr>
                <w:rFonts w:hint="eastAsia" w:ascii="宋体" w:hAnsi="宋体"/>
                <w:bCs/>
                <w:szCs w:val="21"/>
                <w:highlight w:val="none"/>
              </w:rPr>
              <w:t>美元（含税）价</w:t>
            </w:r>
          </w:p>
        </w:tc>
      </w:tr>
      <w:tr w14:paraId="277B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2" w:type="dxa"/>
            <w:vAlign w:val="center"/>
          </w:tcPr>
          <w:p w14:paraId="108DC784">
            <w:pPr>
              <w:spacing w:line="260" w:lineRule="exact"/>
              <w:jc w:val="center"/>
              <w:rPr>
                <w:rFonts w:hint="eastAsia" w:ascii="宋体" w:hAnsi="宋体"/>
                <w:caps/>
                <w:szCs w:val="21"/>
              </w:rPr>
            </w:pPr>
            <w:r>
              <w:rPr>
                <w:rFonts w:hint="eastAsia" w:ascii="宋体" w:hAnsi="宋体"/>
                <w:caps/>
                <w:szCs w:val="21"/>
              </w:rPr>
              <w:t>1</w:t>
            </w:r>
          </w:p>
        </w:tc>
        <w:tc>
          <w:tcPr>
            <w:tcW w:w="1643" w:type="dxa"/>
            <w:vAlign w:val="center"/>
          </w:tcPr>
          <w:p w14:paraId="2A2BC1A3">
            <w:pPr>
              <w:widowControl/>
              <w:spacing w:before="100" w:beforeAutospacing="1" w:after="100" w:afterAutospacing="1" w:line="300" w:lineRule="exact"/>
              <w:contextualSpacing/>
              <w:jc w:val="center"/>
              <w:rPr>
                <w:rFonts w:hint="eastAsia" w:ascii="宋体" w:hAnsi="宋体"/>
                <w:szCs w:val="21"/>
                <w:lang w:val="en-GB"/>
              </w:rPr>
            </w:pPr>
            <w:r>
              <w:rPr>
                <w:rFonts w:hint="eastAsia" w:ascii="宋体" w:hAnsi="宋体"/>
                <w:szCs w:val="21"/>
              </w:rPr>
              <w:t>高压物性综合测试平台</w:t>
            </w:r>
          </w:p>
        </w:tc>
        <w:tc>
          <w:tcPr>
            <w:tcW w:w="1350" w:type="dxa"/>
            <w:tcBorders>
              <w:right w:val="single" w:color="auto" w:sz="6" w:space="0"/>
            </w:tcBorders>
            <w:vAlign w:val="center"/>
          </w:tcPr>
          <w:p w14:paraId="6BB043E8">
            <w:pPr>
              <w:widowControl/>
              <w:spacing w:line="260" w:lineRule="exact"/>
              <w:jc w:val="center"/>
              <w:rPr>
                <w:rFonts w:hint="eastAsia" w:ascii="宋体" w:hAnsi="宋体" w:cs="Arial"/>
                <w:b/>
              </w:rPr>
            </w:pPr>
          </w:p>
        </w:tc>
        <w:tc>
          <w:tcPr>
            <w:tcW w:w="1600" w:type="dxa"/>
            <w:tcBorders>
              <w:left w:val="single" w:color="auto" w:sz="6" w:space="0"/>
            </w:tcBorders>
            <w:vAlign w:val="center"/>
          </w:tcPr>
          <w:p w14:paraId="642A163D">
            <w:pPr>
              <w:widowControl/>
              <w:spacing w:line="260" w:lineRule="exact"/>
              <w:jc w:val="center"/>
              <w:rPr>
                <w:rFonts w:hint="eastAsia" w:ascii="宋体" w:hAnsi="宋体" w:cs="Arial"/>
                <w:b/>
              </w:rPr>
            </w:pPr>
          </w:p>
        </w:tc>
        <w:tc>
          <w:tcPr>
            <w:tcW w:w="1933" w:type="dxa"/>
            <w:tcBorders>
              <w:left w:val="single" w:color="auto" w:sz="6" w:space="0"/>
              <w:right w:val="single" w:color="auto" w:sz="4" w:space="0"/>
            </w:tcBorders>
            <w:vAlign w:val="center"/>
          </w:tcPr>
          <w:p w14:paraId="3DA3FED9">
            <w:pPr>
              <w:widowControl/>
              <w:spacing w:line="260" w:lineRule="exact"/>
              <w:jc w:val="center"/>
              <w:rPr>
                <w:rFonts w:hint="eastAsia" w:ascii="宋体" w:hAnsi="宋体" w:cs="Arial"/>
                <w:b/>
              </w:rPr>
            </w:pPr>
          </w:p>
        </w:tc>
        <w:tc>
          <w:tcPr>
            <w:tcW w:w="883" w:type="dxa"/>
            <w:tcBorders>
              <w:left w:val="single" w:color="auto" w:sz="4" w:space="0"/>
            </w:tcBorders>
            <w:vAlign w:val="center"/>
          </w:tcPr>
          <w:p w14:paraId="577498C2">
            <w:pPr>
              <w:widowControl/>
              <w:spacing w:line="260" w:lineRule="exact"/>
              <w:jc w:val="center"/>
              <w:rPr>
                <w:rFonts w:hint="eastAsia" w:ascii="宋体" w:hAnsi="宋体" w:cs="Arial"/>
                <w:b/>
              </w:rPr>
            </w:pPr>
          </w:p>
        </w:tc>
        <w:tc>
          <w:tcPr>
            <w:tcW w:w="767" w:type="dxa"/>
            <w:vAlign w:val="center"/>
          </w:tcPr>
          <w:p w14:paraId="2F1520B8">
            <w:pPr>
              <w:widowControl/>
              <w:spacing w:line="260" w:lineRule="exact"/>
              <w:jc w:val="center"/>
              <w:rPr>
                <w:rFonts w:hint="eastAsia" w:ascii="宋体" w:hAnsi="宋体" w:cs="Arial"/>
              </w:rPr>
            </w:pPr>
            <w:r>
              <w:rPr>
                <w:rFonts w:hint="eastAsia" w:ascii="宋体" w:hAnsi="宋体" w:cs="Arial"/>
              </w:rPr>
              <w:t>套</w:t>
            </w:r>
          </w:p>
        </w:tc>
        <w:tc>
          <w:tcPr>
            <w:tcW w:w="700" w:type="dxa"/>
            <w:vAlign w:val="center"/>
          </w:tcPr>
          <w:p w14:paraId="58950F4E">
            <w:pPr>
              <w:widowControl/>
              <w:spacing w:line="260" w:lineRule="exact"/>
              <w:jc w:val="center"/>
              <w:rPr>
                <w:rFonts w:hint="eastAsia" w:ascii="宋体" w:hAnsi="宋体" w:cs="Arial"/>
              </w:rPr>
            </w:pPr>
            <w:r>
              <w:rPr>
                <w:rFonts w:hint="eastAsia" w:ascii="宋体" w:hAnsi="宋体" w:cs="Arial"/>
              </w:rPr>
              <w:t>1</w:t>
            </w:r>
          </w:p>
        </w:tc>
        <w:tc>
          <w:tcPr>
            <w:tcW w:w="1550" w:type="dxa"/>
            <w:vAlign w:val="center"/>
          </w:tcPr>
          <w:p w14:paraId="697902B8">
            <w:pPr>
              <w:spacing w:line="260" w:lineRule="exact"/>
              <w:rPr>
                <w:rFonts w:hint="eastAsia" w:ascii="宋体" w:hAnsi="宋体"/>
                <w:szCs w:val="21"/>
              </w:rPr>
            </w:pPr>
          </w:p>
        </w:tc>
        <w:tc>
          <w:tcPr>
            <w:tcW w:w="1355" w:type="dxa"/>
            <w:vAlign w:val="center"/>
          </w:tcPr>
          <w:p w14:paraId="626A2F73">
            <w:pPr>
              <w:spacing w:line="260" w:lineRule="exact"/>
              <w:rPr>
                <w:rFonts w:hint="eastAsia" w:ascii="宋体" w:hAnsi="宋体"/>
                <w:szCs w:val="21"/>
              </w:rPr>
            </w:pPr>
          </w:p>
        </w:tc>
        <w:tc>
          <w:tcPr>
            <w:tcW w:w="1712" w:type="dxa"/>
            <w:vAlign w:val="center"/>
          </w:tcPr>
          <w:p w14:paraId="1EAB2A1E">
            <w:pPr>
              <w:spacing w:line="260" w:lineRule="exact"/>
              <w:rPr>
                <w:rFonts w:hint="eastAsia" w:ascii="宋体" w:hAnsi="宋体"/>
                <w:szCs w:val="21"/>
              </w:rPr>
            </w:pPr>
          </w:p>
        </w:tc>
      </w:tr>
      <w:tr w14:paraId="2383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2" w:type="dxa"/>
            <w:vAlign w:val="center"/>
          </w:tcPr>
          <w:p w14:paraId="48965CBE">
            <w:pPr>
              <w:spacing w:line="260" w:lineRule="exact"/>
              <w:jc w:val="center"/>
              <w:rPr>
                <w:rFonts w:hint="eastAsia" w:ascii="宋体" w:hAnsi="宋体"/>
                <w:caps/>
                <w:szCs w:val="21"/>
              </w:rPr>
            </w:pPr>
            <w:r>
              <w:rPr>
                <w:rFonts w:hint="eastAsia" w:ascii="宋体" w:hAnsi="宋体"/>
                <w:caps/>
                <w:szCs w:val="21"/>
              </w:rPr>
              <w:t>2</w:t>
            </w:r>
          </w:p>
        </w:tc>
        <w:tc>
          <w:tcPr>
            <w:tcW w:w="1643" w:type="dxa"/>
            <w:vAlign w:val="center"/>
          </w:tcPr>
          <w:p w14:paraId="4B70BABE">
            <w:pPr>
              <w:widowControl/>
              <w:spacing w:before="100" w:beforeAutospacing="1" w:after="100" w:afterAutospacing="1" w:line="300" w:lineRule="exact"/>
              <w:contextualSpacing/>
              <w:jc w:val="center"/>
              <w:rPr>
                <w:rFonts w:hint="eastAsia" w:ascii="宋体" w:hAnsi="宋体"/>
                <w:szCs w:val="21"/>
                <w:lang w:val="en-GB"/>
              </w:rPr>
            </w:pPr>
          </w:p>
        </w:tc>
        <w:tc>
          <w:tcPr>
            <w:tcW w:w="1350" w:type="dxa"/>
            <w:tcBorders>
              <w:right w:val="single" w:color="auto" w:sz="6" w:space="0"/>
            </w:tcBorders>
            <w:vAlign w:val="center"/>
          </w:tcPr>
          <w:p w14:paraId="3EB8DD12">
            <w:pPr>
              <w:widowControl/>
              <w:spacing w:line="260" w:lineRule="exact"/>
              <w:jc w:val="center"/>
              <w:rPr>
                <w:rFonts w:hint="eastAsia" w:ascii="宋体" w:hAnsi="宋体" w:cs="Arial"/>
                <w:b/>
              </w:rPr>
            </w:pPr>
          </w:p>
        </w:tc>
        <w:tc>
          <w:tcPr>
            <w:tcW w:w="1600" w:type="dxa"/>
            <w:tcBorders>
              <w:left w:val="single" w:color="auto" w:sz="6" w:space="0"/>
            </w:tcBorders>
            <w:vAlign w:val="center"/>
          </w:tcPr>
          <w:p w14:paraId="5505D168">
            <w:pPr>
              <w:widowControl/>
              <w:spacing w:line="260" w:lineRule="exact"/>
              <w:jc w:val="center"/>
              <w:rPr>
                <w:rFonts w:hint="eastAsia" w:ascii="宋体" w:hAnsi="宋体" w:cs="Arial"/>
                <w:b/>
              </w:rPr>
            </w:pPr>
          </w:p>
        </w:tc>
        <w:tc>
          <w:tcPr>
            <w:tcW w:w="1933" w:type="dxa"/>
            <w:tcBorders>
              <w:left w:val="single" w:color="auto" w:sz="6" w:space="0"/>
              <w:right w:val="single" w:color="auto" w:sz="4" w:space="0"/>
            </w:tcBorders>
            <w:vAlign w:val="center"/>
          </w:tcPr>
          <w:p w14:paraId="5B3F62C3">
            <w:pPr>
              <w:widowControl/>
              <w:spacing w:line="260" w:lineRule="exact"/>
              <w:jc w:val="center"/>
              <w:rPr>
                <w:rFonts w:hint="eastAsia" w:ascii="宋体" w:hAnsi="宋体" w:cs="Arial"/>
                <w:b/>
              </w:rPr>
            </w:pPr>
          </w:p>
        </w:tc>
        <w:tc>
          <w:tcPr>
            <w:tcW w:w="883" w:type="dxa"/>
            <w:tcBorders>
              <w:left w:val="single" w:color="auto" w:sz="4" w:space="0"/>
            </w:tcBorders>
            <w:vAlign w:val="center"/>
          </w:tcPr>
          <w:p w14:paraId="29BCC6D5">
            <w:pPr>
              <w:widowControl/>
              <w:spacing w:line="260" w:lineRule="exact"/>
              <w:jc w:val="center"/>
              <w:rPr>
                <w:rFonts w:hint="eastAsia" w:ascii="宋体" w:hAnsi="宋体" w:cs="Arial"/>
                <w:b/>
              </w:rPr>
            </w:pPr>
          </w:p>
        </w:tc>
        <w:tc>
          <w:tcPr>
            <w:tcW w:w="767" w:type="dxa"/>
            <w:vAlign w:val="center"/>
          </w:tcPr>
          <w:p w14:paraId="4A2493BF">
            <w:pPr>
              <w:widowControl/>
              <w:spacing w:line="260" w:lineRule="exact"/>
              <w:jc w:val="center"/>
              <w:rPr>
                <w:rFonts w:hint="eastAsia" w:ascii="宋体" w:hAnsi="宋体" w:cs="Arial"/>
              </w:rPr>
            </w:pPr>
          </w:p>
        </w:tc>
        <w:tc>
          <w:tcPr>
            <w:tcW w:w="700" w:type="dxa"/>
            <w:vAlign w:val="center"/>
          </w:tcPr>
          <w:p w14:paraId="7844F354">
            <w:pPr>
              <w:widowControl/>
              <w:spacing w:line="260" w:lineRule="exact"/>
              <w:jc w:val="center"/>
              <w:rPr>
                <w:rFonts w:hint="eastAsia" w:ascii="宋体" w:hAnsi="宋体" w:cs="Arial"/>
              </w:rPr>
            </w:pPr>
          </w:p>
        </w:tc>
        <w:tc>
          <w:tcPr>
            <w:tcW w:w="1550" w:type="dxa"/>
            <w:vAlign w:val="center"/>
          </w:tcPr>
          <w:p w14:paraId="0837E1C5">
            <w:pPr>
              <w:spacing w:line="260" w:lineRule="exact"/>
              <w:rPr>
                <w:rFonts w:hint="eastAsia" w:ascii="宋体" w:hAnsi="宋体"/>
                <w:szCs w:val="21"/>
              </w:rPr>
            </w:pPr>
          </w:p>
        </w:tc>
        <w:tc>
          <w:tcPr>
            <w:tcW w:w="1355" w:type="dxa"/>
            <w:vAlign w:val="center"/>
          </w:tcPr>
          <w:p w14:paraId="62DCE69B">
            <w:pPr>
              <w:spacing w:line="260" w:lineRule="exact"/>
              <w:rPr>
                <w:rFonts w:hint="eastAsia" w:ascii="宋体" w:hAnsi="宋体"/>
                <w:szCs w:val="21"/>
              </w:rPr>
            </w:pPr>
          </w:p>
        </w:tc>
        <w:tc>
          <w:tcPr>
            <w:tcW w:w="1712" w:type="dxa"/>
            <w:vAlign w:val="center"/>
          </w:tcPr>
          <w:p w14:paraId="4F87B04F">
            <w:pPr>
              <w:spacing w:line="260" w:lineRule="exact"/>
              <w:rPr>
                <w:rFonts w:hint="eastAsia" w:ascii="宋体" w:hAnsi="宋体"/>
                <w:szCs w:val="21"/>
              </w:rPr>
            </w:pPr>
          </w:p>
        </w:tc>
      </w:tr>
      <w:tr w14:paraId="0DD6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2" w:type="dxa"/>
            <w:vAlign w:val="center"/>
          </w:tcPr>
          <w:p w14:paraId="0C5F180C">
            <w:pPr>
              <w:spacing w:line="260" w:lineRule="exact"/>
              <w:jc w:val="center"/>
              <w:rPr>
                <w:rFonts w:hint="eastAsia" w:ascii="宋体" w:hAnsi="宋体"/>
                <w:caps/>
                <w:szCs w:val="21"/>
              </w:rPr>
            </w:pPr>
            <w:r>
              <w:rPr>
                <w:rFonts w:hint="eastAsia" w:ascii="宋体" w:hAnsi="宋体"/>
                <w:caps/>
                <w:szCs w:val="21"/>
              </w:rPr>
              <w:t>3</w:t>
            </w:r>
          </w:p>
        </w:tc>
        <w:tc>
          <w:tcPr>
            <w:tcW w:w="1643" w:type="dxa"/>
            <w:vAlign w:val="center"/>
          </w:tcPr>
          <w:p w14:paraId="372A4CAB">
            <w:pPr>
              <w:widowControl/>
              <w:spacing w:before="100" w:beforeAutospacing="1" w:after="100" w:afterAutospacing="1" w:line="300" w:lineRule="exact"/>
              <w:contextualSpacing/>
              <w:jc w:val="center"/>
              <w:rPr>
                <w:rFonts w:hint="eastAsia" w:ascii="宋体" w:hAnsi="宋体"/>
                <w:szCs w:val="21"/>
                <w:lang w:val="en-GB"/>
              </w:rPr>
            </w:pPr>
          </w:p>
        </w:tc>
        <w:tc>
          <w:tcPr>
            <w:tcW w:w="1350" w:type="dxa"/>
            <w:tcBorders>
              <w:right w:val="single" w:color="auto" w:sz="6" w:space="0"/>
            </w:tcBorders>
            <w:vAlign w:val="center"/>
          </w:tcPr>
          <w:p w14:paraId="6CCBFA76">
            <w:pPr>
              <w:widowControl/>
              <w:spacing w:line="260" w:lineRule="exact"/>
              <w:jc w:val="center"/>
              <w:rPr>
                <w:rFonts w:hint="eastAsia" w:ascii="宋体" w:hAnsi="宋体" w:cs="Arial"/>
                <w:b/>
              </w:rPr>
            </w:pPr>
          </w:p>
        </w:tc>
        <w:tc>
          <w:tcPr>
            <w:tcW w:w="1600" w:type="dxa"/>
            <w:tcBorders>
              <w:left w:val="single" w:color="auto" w:sz="6" w:space="0"/>
            </w:tcBorders>
            <w:vAlign w:val="center"/>
          </w:tcPr>
          <w:p w14:paraId="68545F80">
            <w:pPr>
              <w:widowControl/>
              <w:spacing w:line="260" w:lineRule="exact"/>
              <w:jc w:val="center"/>
              <w:rPr>
                <w:rFonts w:hint="eastAsia" w:ascii="宋体" w:hAnsi="宋体" w:cs="Arial"/>
                <w:b/>
              </w:rPr>
            </w:pPr>
          </w:p>
        </w:tc>
        <w:tc>
          <w:tcPr>
            <w:tcW w:w="1933" w:type="dxa"/>
            <w:tcBorders>
              <w:left w:val="single" w:color="auto" w:sz="6" w:space="0"/>
              <w:right w:val="single" w:color="auto" w:sz="4" w:space="0"/>
            </w:tcBorders>
            <w:vAlign w:val="center"/>
          </w:tcPr>
          <w:p w14:paraId="07E09B3A">
            <w:pPr>
              <w:widowControl/>
              <w:spacing w:line="260" w:lineRule="exact"/>
              <w:jc w:val="center"/>
              <w:rPr>
                <w:rFonts w:hint="eastAsia" w:ascii="宋体" w:hAnsi="宋体" w:cs="Arial"/>
                <w:b/>
              </w:rPr>
            </w:pPr>
          </w:p>
        </w:tc>
        <w:tc>
          <w:tcPr>
            <w:tcW w:w="883" w:type="dxa"/>
            <w:tcBorders>
              <w:left w:val="single" w:color="auto" w:sz="4" w:space="0"/>
            </w:tcBorders>
            <w:vAlign w:val="center"/>
          </w:tcPr>
          <w:p w14:paraId="4EAFBEDC">
            <w:pPr>
              <w:widowControl/>
              <w:spacing w:line="260" w:lineRule="exact"/>
              <w:jc w:val="center"/>
              <w:rPr>
                <w:rFonts w:hint="eastAsia" w:ascii="宋体" w:hAnsi="宋体" w:cs="Arial"/>
                <w:b/>
              </w:rPr>
            </w:pPr>
          </w:p>
        </w:tc>
        <w:tc>
          <w:tcPr>
            <w:tcW w:w="767" w:type="dxa"/>
            <w:vAlign w:val="center"/>
          </w:tcPr>
          <w:p w14:paraId="4739E001">
            <w:pPr>
              <w:widowControl/>
              <w:spacing w:line="260" w:lineRule="exact"/>
              <w:jc w:val="center"/>
              <w:rPr>
                <w:rFonts w:hint="eastAsia" w:ascii="宋体" w:hAnsi="宋体" w:cs="Arial"/>
              </w:rPr>
            </w:pPr>
          </w:p>
        </w:tc>
        <w:tc>
          <w:tcPr>
            <w:tcW w:w="700" w:type="dxa"/>
            <w:vAlign w:val="center"/>
          </w:tcPr>
          <w:p w14:paraId="1253574A">
            <w:pPr>
              <w:widowControl/>
              <w:spacing w:line="260" w:lineRule="exact"/>
              <w:jc w:val="center"/>
              <w:rPr>
                <w:rFonts w:hint="eastAsia" w:ascii="宋体" w:hAnsi="宋体" w:cs="Arial"/>
              </w:rPr>
            </w:pPr>
          </w:p>
        </w:tc>
        <w:tc>
          <w:tcPr>
            <w:tcW w:w="1550" w:type="dxa"/>
            <w:vAlign w:val="center"/>
          </w:tcPr>
          <w:p w14:paraId="22486BF4">
            <w:pPr>
              <w:spacing w:line="260" w:lineRule="exact"/>
              <w:rPr>
                <w:rFonts w:hint="eastAsia" w:ascii="宋体" w:hAnsi="宋体"/>
                <w:szCs w:val="21"/>
              </w:rPr>
            </w:pPr>
          </w:p>
        </w:tc>
        <w:tc>
          <w:tcPr>
            <w:tcW w:w="1355" w:type="dxa"/>
            <w:vAlign w:val="center"/>
          </w:tcPr>
          <w:p w14:paraId="4F6240B6">
            <w:pPr>
              <w:spacing w:line="260" w:lineRule="exact"/>
              <w:rPr>
                <w:rFonts w:hint="eastAsia" w:ascii="宋体" w:hAnsi="宋体"/>
                <w:szCs w:val="21"/>
              </w:rPr>
            </w:pPr>
          </w:p>
        </w:tc>
        <w:tc>
          <w:tcPr>
            <w:tcW w:w="1712" w:type="dxa"/>
            <w:vAlign w:val="center"/>
          </w:tcPr>
          <w:p w14:paraId="0759747E">
            <w:pPr>
              <w:spacing w:line="260" w:lineRule="exact"/>
              <w:rPr>
                <w:rFonts w:hint="eastAsia" w:ascii="宋体" w:hAnsi="宋体"/>
                <w:szCs w:val="21"/>
              </w:rPr>
            </w:pPr>
          </w:p>
        </w:tc>
      </w:tr>
      <w:tr w14:paraId="457D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2" w:type="dxa"/>
            <w:vAlign w:val="center"/>
          </w:tcPr>
          <w:p w14:paraId="7F011B46">
            <w:pPr>
              <w:spacing w:line="260" w:lineRule="exact"/>
              <w:jc w:val="center"/>
              <w:rPr>
                <w:rFonts w:hint="eastAsia" w:ascii="宋体" w:hAnsi="宋体"/>
                <w:caps/>
                <w:szCs w:val="21"/>
              </w:rPr>
            </w:pPr>
            <w:r>
              <w:rPr>
                <w:rFonts w:hint="eastAsia" w:ascii="宋体" w:hAnsi="宋体"/>
                <w:caps/>
                <w:szCs w:val="21"/>
              </w:rPr>
              <w:t>4</w:t>
            </w:r>
          </w:p>
        </w:tc>
        <w:tc>
          <w:tcPr>
            <w:tcW w:w="1643" w:type="dxa"/>
            <w:vAlign w:val="center"/>
          </w:tcPr>
          <w:p w14:paraId="68805AF1">
            <w:pPr>
              <w:widowControl/>
              <w:spacing w:before="100" w:beforeAutospacing="1" w:after="100" w:afterAutospacing="1" w:line="300" w:lineRule="exact"/>
              <w:contextualSpacing/>
              <w:jc w:val="center"/>
              <w:rPr>
                <w:rFonts w:hint="eastAsia" w:ascii="宋体" w:hAnsi="宋体"/>
                <w:szCs w:val="21"/>
                <w:lang w:val="en-GB"/>
              </w:rPr>
            </w:pPr>
          </w:p>
        </w:tc>
        <w:tc>
          <w:tcPr>
            <w:tcW w:w="1350" w:type="dxa"/>
            <w:tcBorders>
              <w:right w:val="single" w:color="auto" w:sz="6" w:space="0"/>
            </w:tcBorders>
            <w:vAlign w:val="center"/>
          </w:tcPr>
          <w:p w14:paraId="1F2DBBF9">
            <w:pPr>
              <w:widowControl/>
              <w:spacing w:line="260" w:lineRule="exact"/>
              <w:jc w:val="center"/>
              <w:rPr>
                <w:rFonts w:hint="eastAsia" w:ascii="宋体" w:hAnsi="宋体" w:cs="Arial"/>
                <w:b/>
              </w:rPr>
            </w:pPr>
          </w:p>
        </w:tc>
        <w:tc>
          <w:tcPr>
            <w:tcW w:w="1600" w:type="dxa"/>
            <w:tcBorders>
              <w:left w:val="single" w:color="auto" w:sz="6" w:space="0"/>
            </w:tcBorders>
            <w:vAlign w:val="center"/>
          </w:tcPr>
          <w:p w14:paraId="389112EE">
            <w:pPr>
              <w:widowControl/>
              <w:spacing w:line="260" w:lineRule="exact"/>
              <w:jc w:val="center"/>
              <w:rPr>
                <w:rFonts w:hint="eastAsia" w:ascii="宋体" w:hAnsi="宋体" w:cs="Arial"/>
                <w:b/>
              </w:rPr>
            </w:pPr>
          </w:p>
        </w:tc>
        <w:tc>
          <w:tcPr>
            <w:tcW w:w="1933" w:type="dxa"/>
            <w:tcBorders>
              <w:left w:val="single" w:color="auto" w:sz="6" w:space="0"/>
              <w:right w:val="single" w:color="auto" w:sz="4" w:space="0"/>
            </w:tcBorders>
            <w:vAlign w:val="center"/>
          </w:tcPr>
          <w:p w14:paraId="308FF546">
            <w:pPr>
              <w:widowControl/>
              <w:spacing w:line="260" w:lineRule="exact"/>
              <w:jc w:val="center"/>
              <w:rPr>
                <w:rFonts w:hint="eastAsia" w:ascii="宋体" w:hAnsi="宋体" w:cs="Arial"/>
                <w:b/>
              </w:rPr>
            </w:pPr>
          </w:p>
        </w:tc>
        <w:tc>
          <w:tcPr>
            <w:tcW w:w="883" w:type="dxa"/>
            <w:tcBorders>
              <w:left w:val="single" w:color="auto" w:sz="4" w:space="0"/>
            </w:tcBorders>
            <w:vAlign w:val="center"/>
          </w:tcPr>
          <w:p w14:paraId="1DC15CD7">
            <w:pPr>
              <w:widowControl/>
              <w:spacing w:line="260" w:lineRule="exact"/>
              <w:jc w:val="center"/>
              <w:rPr>
                <w:rFonts w:hint="eastAsia" w:ascii="宋体" w:hAnsi="宋体" w:cs="Arial"/>
                <w:b/>
              </w:rPr>
            </w:pPr>
          </w:p>
        </w:tc>
        <w:tc>
          <w:tcPr>
            <w:tcW w:w="767" w:type="dxa"/>
            <w:vAlign w:val="center"/>
          </w:tcPr>
          <w:p w14:paraId="1E1378DA">
            <w:pPr>
              <w:widowControl/>
              <w:spacing w:line="260" w:lineRule="exact"/>
              <w:jc w:val="center"/>
              <w:rPr>
                <w:rFonts w:hint="eastAsia" w:ascii="宋体" w:hAnsi="宋体" w:cs="Arial"/>
              </w:rPr>
            </w:pPr>
          </w:p>
        </w:tc>
        <w:tc>
          <w:tcPr>
            <w:tcW w:w="700" w:type="dxa"/>
            <w:vAlign w:val="center"/>
          </w:tcPr>
          <w:p w14:paraId="6C100761">
            <w:pPr>
              <w:widowControl/>
              <w:spacing w:line="260" w:lineRule="exact"/>
              <w:jc w:val="center"/>
              <w:rPr>
                <w:rFonts w:hint="eastAsia" w:ascii="宋体" w:hAnsi="宋体" w:cs="Arial"/>
              </w:rPr>
            </w:pPr>
          </w:p>
        </w:tc>
        <w:tc>
          <w:tcPr>
            <w:tcW w:w="1550" w:type="dxa"/>
            <w:vAlign w:val="center"/>
          </w:tcPr>
          <w:p w14:paraId="3DF7F951">
            <w:pPr>
              <w:spacing w:line="260" w:lineRule="exact"/>
              <w:rPr>
                <w:rFonts w:hint="eastAsia" w:ascii="宋体" w:hAnsi="宋体"/>
                <w:szCs w:val="21"/>
              </w:rPr>
            </w:pPr>
          </w:p>
        </w:tc>
        <w:tc>
          <w:tcPr>
            <w:tcW w:w="1355" w:type="dxa"/>
            <w:vAlign w:val="center"/>
          </w:tcPr>
          <w:p w14:paraId="6D24739C">
            <w:pPr>
              <w:spacing w:line="260" w:lineRule="exact"/>
              <w:rPr>
                <w:rFonts w:hint="eastAsia" w:ascii="宋体" w:hAnsi="宋体"/>
                <w:szCs w:val="21"/>
              </w:rPr>
            </w:pPr>
          </w:p>
        </w:tc>
        <w:tc>
          <w:tcPr>
            <w:tcW w:w="1712" w:type="dxa"/>
            <w:vAlign w:val="center"/>
          </w:tcPr>
          <w:p w14:paraId="2A742A0C">
            <w:pPr>
              <w:spacing w:line="260" w:lineRule="exact"/>
              <w:rPr>
                <w:rFonts w:hint="eastAsia" w:ascii="宋体" w:hAnsi="宋体"/>
                <w:szCs w:val="21"/>
              </w:rPr>
            </w:pPr>
          </w:p>
        </w:tc>
      </w:tr>
      <w:tr w14:paraId="759D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2" w:type="dxa"/>
            <w:vAlign w:val="center"/>
          </w:tcPr>
          <w:p w14:paraId="0A923A95">
            <w:pPr>
              <w:spacing w:line="260" w:lineRule="exact"/>
              <w:jc w:val="center"/>
              <w:rPr>
                <w:rFonts w:hint="eastAsia" w:ascii="宋体" w:hAnsi="宋体"/>
                <w:caps/>
                <w:szCs w:val="21"/>
              </w:rPr>
            </w:pPr>
            <w:r>
              <w:rPr>
                <w:rFonts w:hint="eastAsia" w:ascii="宋体" w:hAnsi="宋体"/>
                <w:caps/>
                <w:szCs w:val="21"/>
              </w:rPr>
              <w:t>5</w:t>
            </w:r>
          </w:p>
        </w:tc>
        <w:tc>
          <w:tcPr>
            <w:tcW w:w="1643" w:type="dxa"/>
            <w:vAlign w:val="center"/>
          </w:tcPr>
          <w:p w14:paraId="26DE18DB">
            <w:pPr>
              <w:widowControl/>
              <w:spacing w:before="100" w:beforeAutospacing="1" w:after="100" w:afterAutospacing="1" w:line="300" w:lineRule="exact"/>
              <w:contextualSpacing/>
              <w:jc w:val="center"/>
              <w:rPr>
                <w:rFonts w:hint="eastAsia" w:ascii="宋体" w:hAnsi="宋体"/>
                <w:szCs w:val="21"/>
                <w:lang w:val="en-GB"/>
              </w:rPr>
            </w:pPr>
          </w:p>
        </w:tc>
        <w:tc>
          <w:tcPr>
            <w:tcW w:w="1350" w:type="dxa"/>
            <w:tcBorders>
              <w:right w:val="single" w:color="auto" w:sz="6" w:space="0"/>
            </w:tcBorders>
            <w:vAlign w:val="center"/>
          </w:tcPr>
          <w:p w14:paraId="316C6246">
            <w:pPr>
              <w:widowControl/>
              <w:spacing w:line="260" w:lineRule="exact"/>
              <w:jc w:val="center"/>
              <w:rPr>
                <w:rFonts w:hint="eastAsia" w:ascii="宋体" w:hAnsi="宋体" w:cs="Arial"/>
                <w:b/>
              </w:rPr>
            </w:pPr>
          </w:p>
        </w:tc>
        <w:tc>
          <w:tcPr>
            <w:tcW w:w="1600" w:type="dxa"/>
            <w:tcBorders>
              <w:left w:val="single" w:color="auto" w:sz="6" w:space="0"/>
            </w:tcBorders>
            <w:vAlign w:val="center"/>
          </w:tcPr>
          <w:p w14:paraId="2602F3AB">
            <w:pPr>
              <w:widowControl/>
              <w:spacing w:line="260" w:lineRule="exact"/>
              <w:jc w:val="center"/>
              <w:rPr>
                <w:rFonts w:hint="eastAsia" w:ascii="宋体" w:hAnsi="宋体" w:cs="Arial"/>
                <w:b/>
              </w:rPr>
            </w:pPr>
          </w:p>
        </w:tc>
        <w:tc>
          <w:tcPr>
            <w:tcW w:w="1933" w:type="dxa"/>
            <w:tcBorders>
              <w:left w:val="single" w:color="auto" w:sz="6" w:space="0"/>
              <w:right w:val="single" w:color="auto" w:sz="4" w:space="0"/>
            </w:tcBorders>
            <w:vAlign w:val="center"/>
          </w:tcPr>
          <w:p w14:paraId="5A4AB199">
            <w:pPr>
              <w:widowControl/>
              <w:spacing w:line="260" w:lineRule="exact"/>
              <w:jc w:val="center"/>
              <w:rPr>
                <w:rFonts w:hint="eastAsia" w:ascii="宋体" w:hAnsi="宋体" w:cs="Arial"/>
                <w:b/>
              </w:rPr>
            </w:pPr>
          </w:p>
        </w:tc>
        <w:tc>
          <w:tcPr>
            <w:tcW w:w="883" w:type="dxa"/>
            <w:tcBorders>
              <w:left w:val="single" w:color="auto" w:sz="4" w:space="0"/>
            </w:tcBorders>
            <w:vAlign w:val="center"/>
          </w:tcPr>
          <w:p w14:paraId="7E8C298C">
            <w:pPr>
              <w:widowControl/>
              <w:spacing w:line="260" w:lineRule="exact"/>
              <w:jc w:val="center"/>
              <w:rPr>
                <w:rFonts w:hint="eastAsia" w:ascii="宋体" w:hAnsi="宋体" w:cs="Arial"/>
                <w:b/>
              </w:rPr>
            </w:pPr>
          </w:p>
        </w:tc>
        <w:tc>
          <w:tcPr>
            <w:tcW w:w="767" w:type="dxa"/>
            <w:vAlign w:val="center"/>
          </w:tcPr>
          <w:p w14:paraId="6222E06F">
            <w:pPr>
              <w:widowControl/>
              <w:spacing w:line="260" w:lineRule="exact"/>
              <w:jc w:val="center"/>
              <w:rPr>
                <w:rFonts w:hint="eastAsia" w:ascii="宋体" w:hAnsi="宋体" w:cs="Arial"/>
              </w:rPr>
            </w:pPr>
          </w:p>
        </w:tc>
        <w:tc>
          <w:tcPr>
            <w:tcW w:w="700" w:type="dxa"/>
            <w:vAlign w:val="center"/>
          </w:tcPr>
          <w:p w14:paraId="6F08F6D6">
            <w:pPr>
              <w:widowControl/>
              <w:spacing w:line="260" w:lineRule="exact"/>
              <w:jc w:val="center"/>
              <w:rPr>
                <w:rFonts w:hint="eastAsia" w:ascii="宋体" w:hAnsi="宋体" w:cs="Arial"/>
              </w:rPr>
            </w:pPr>
          </w:p>
        </w:tc>
        <w:tc>
          <w:tcPr>
            <w:tcW w:w="1550" w:type="dxa"/>
            <w:vAlign w:val="center"/>
          </w:tcPr>
          <w:p w14:paraId="45F25AE4">
            <w:pPr>
              <w:spacing w:line="260" w:lineRule="exact"/>
              <w:rPr>
                <w:rFonts w:hint="eastAsia" w:ascii="宋体" w:hAnsi="宋体"/>
                <w:szCs w:val="21"/>
              </w:rPr>
            </w:pPr>
          </w:p>
        </w:tc>
        <w:tc>
          <w:tcPr>
            <w:tcW w:w="1355" w:type="dxa"/>
            <w:vAlign w:val="center"/>
          </w:tcPr>
          <w:p w14:paraId="7D95AD13">
            <w:pPr>
              <w:spacing w:line="260" w:lineRule="exact"/>
              <w:rPr>
                <w:rFonts w:hint="eastAsia" w:ascii="宋体" w:hAnsi="宋体"/>
                <w:szCs w:val="21"/>
              </w:rPr>
            </w:pPr>
          </w:p>
        </w:tc>
        <w:tc>
          <w:tcPr>
            <w:tcW w:w="1712" w:type="dxa"/>
            <w:vAlign w:val="center"/>
          </w:tcPr>
          <w:p w14:paraId="721DA058">
            <w:pPr>
              <w:spacing w:line="260" w:lineRule="exact"/>
              <w:rPr>
                <w:rFonts w:hint="eastAsia" w:ascii="宋体" w:hAnsi="宋体"/>
                <w:szCs w:val="21"/>
              </w:rPr>
            </w:pPr>
          </w:p>
        </w:tc>
      </w:tr>
      <w:tr w14:paraId="62F4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2" w:type="dxa"/>
            <w:vAlign w:val="center"/>
          </w:tcPr>
          <w:p w14:paraId="2D9E0ACE">
            <w:pPr>
              <w:spacing w:line="260" w:lineRule="exact"/>
              <w:jc w:val="center"/>
              <w:rPr>
                <w:rFonts w:hint="eastAsia" w:ascii="宋体" w:hAnsi="宋体"/>
                <w:caps/>
                <w:szCs w:val="21"/>
              </w:rPr>
            </w:pPr>
            <w:r>
              <w:rPr>
                <w:rFonts w:hint="eastAsia" w:ascii="宋体" w:hAnsi="宋体"/>
                <w:caps/>
                <w:szCs w:val="21"/>
              </w:rPr>
              <w:t>6</w:t>
            </w:r>
          </w:p>
        </w:tc>
        <w:tc>
          <w:tcPr>
            <w:tcW w:w="1643" w:type="dxa"/>
            <w:vAlign w:val="center"/>
          </w:tcPr>
          <w:p w14:paraId="231141CD">
            <w:pPr>
              <w:widowControl/>
              <w:spacing w:before="100" w:beforeAutospacing="1" w:after="100" w:afterAutospacing="1" w:line="300" w:lineRule="exact"/>
              <w:contextualSpacing/>
              <w:jc w:val="center"/>
              <w:rPr>
                <w:rFonts w:hint="eastAsia" w:ascii="宋体" w:hAnsi="宋体"/>
                <w:szCs w:val="21"/>
                <w:lang w:val="en-GB"/>
              </w:rPr>
            </w:pPr>
          </w:p>
        </w:tc>
        <w:tc>
          <w:tcPr>
            <w:tcW w:w="1350" w:type="dxa"/>
            <w:tcBorders>
              <w:right w:val="single" w:color="auto" w:sz="6" w:space="0"/>
            </w:tcBorders>
            <w:vAlign w:val="center"/>
          </w:tcPr>
          <w:p w14:paraId="68161B74">
            <w:pPr>
              <w:widowControl/>
              <w:spacing w:line="260" w:lineRule="exact"/>
              <w:jc w:val="center"/>
              <w:rPr>
                <w:rFonts w:hint="eastAsia" w:ascii="宋体" w:hAnsi="宋体" w:cs="Arial"/>
                <w:b/>
              </w:rPr>
            </w:pPr>
          </w:p>
        </w:tc>
        <w:tc>
          <w:tcPr>
            <w:tcW w:w="1600" w:type="dxa"/>
            <w:tcBorders>
              <w:left w:val="single" w:color="auto" w:sz="6" w:space="0"/>
            </w:tcBorders>
            <w:vAlign w:val="center"/>
          </w:tcPr>
          <w:p w14:paraId="33282402">
            <w:pPr>
              <w:widowControl/>
              <w:spacing w:line="260" w:lineRule="exact"/>
              <w:jc w:val="center"/>
              <w:rPr>
                <w:rFonts w:hint="eastAsia" w:ascii="宋体" w:hAnsi="宋体" w:cs="Arial"/>
                <w:b/>
              </w:rPr>
            </w:pPr>
          </w:p>
        </w:tc>
        <w:tc>
          <w:tcPr>
            <w:tcW w:w="1933" w:type="dxa"/>
            <w:tcBorders>
              <w:left w:val="single" w:color="auto" w:sz="6" w:space="0"/>
              <w:right w:val="single" w:color="auto" w:sz="4" w:space="0"/>
            </w:tcBorders>
            <w:vAlign w:val="center"/>
          </w:tcPr>
          <w:p w14:paraId="25FA25AA">
            <w:pPr>
              <w:widowControl/>
              <w:spacing w:line="260" w:lineRule="exact"/>
              <w:jc w:val="center"/>
              <w:rPr>
                <w:rFonts w:hint="eastAsia" w:ascii="宋体" w:hAnsi="宋体" w:cs="Arial"/>
                <w:b/>
              </w:rPr>
            </w:pPr>
          </w:p>
        </w:tc>
        <w:tc>
          <w:tcPr>
            <w:tcW w:w="883" w:type="dxa"/>
            <w:tcBorders>
              <w:left w:val="single" w:color="auto" w:sz="4" w:space="0"/>
            </w:tcBorders>
            <w:vAlign w:val="center"/>
          </w:tcPr>
          <w:p w14:paraId="0883A26F">
            <w:pPr>
              <w:widowControl/>
              <w:spacing w:line="260" w:lineRule="exact"/>
              <w:jc w:val="center"/>
              <w:rPr>
                <w:rFonts w:hint="eastAsia" w:ascii="宋体" w:hAnsi="宋体" w:cs="Arial"/>
                <w:b/>
              </w:rPr>
            </w:pPr>
          </w:p>
        </w:tc>
        <w:tc>
          <w:tcPr>
            <w:tcW w:w="767" w:type="dxa"/>
            <w:vAlign w:val="center"/>
          </w:tcPr>
          <w:p w14:paraId="3CFB2E3A">
            <w:pPr>
              <w:widowControl/>
              <w:spacing w:line="260" w:lineRule="exact"/>
              <w:jc w:val="center"/>
              <w:rPr>
                <w:rFonts w:hint="eastAsia" w:ascii="宋体" w:hAnsi="宋体" w:cs="Arial"/>
              </w:rPr>
            </w:pPr>
          </w:p>
        </w:tc>
        <w:tc>
          <w:tcPr>
            <w:tcW w:w="700" w:type="dxa"/>
            <w:vAlign w:val="center"/>
          </w:tcPr>
          <w:p w14:paraId="0B293FDD">
            <w:pPr>
              <w:widowControl/>
              <w:spacing w:line="260" w:lineRule="exact"/>
              <w:jc w:val="center"/>
              <w:rPr>
                <w:rFonts w:hint="eastAsia" w:ascii="宋体" w:hAnsi="宋体" w:cs="Arial"/>
              </w:rPr>
            </w:pPr>
          </w:p>
        </w:tc>
        <w:tc>
          <w:tcPr>
            <w:tcW w:w="1550" w:type="dxa"/>
            <w:vAlign w:val="center"/>
          </w:tcPr>
          <w:p w14:paraId="4883BE20">
            <w:pPr>
              <w:spacing w:line="260" w:lineRule="exact"/>
              <w:rPr>
                <w:rFonts w:hint="eastAsia" w:ascii="宋体" w:hAnsi="宋体"/>
                <w:szCs w:val="21"/>
              </w:rPr>
            </w:pPr>
          </w:p>
        </w:tc>
        <w:tc>
          <w:tcPr>
            <w:tcW w:w="1355" w:type="dxa"/>
            <w:vAlign w:val="center"/>
          </w:tcPr>
          <w:p w14:paraId="0121BE5A">
            <w:pPr>
              <w:spacing w:line="260" w:lineRule="exact"/>
              <w:rPr>
                <w:rFonts w:hint="eastAsia" w:ascii="宋体" w:hAnsi="宋体"/>
                <w:szCs w:val="21"/>
              </w:rPr>
            </w:pPr>
          </w:p>
        </w:tc>
        <w:tc>
          <w:tcPr>
            <w:tcW w:w="1712" w:type="dxa"/>
            <w:vAlign w:val="center"/>
          </w:tcPr>
          <w:p w14:paraId="06902551">
            <w:pPr>
              <w:spacing w:line="260" w:lineRule="exact"/>
              <w:rPr>
                <w:rFonts w:hint="eastAsia" w:ascii="宋体" w:hAnsi="宋体"/>
                <w:szCs w:val="21"/>
              </w:rPr>
            </w:pPr>
          </w:p>
        </w:tc>
      </w:tr>
      <w:tr w14:paraId="6DC0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2" w:type="dxa"/>
            <w:vAlign w:val="center"/>
          </w:tcPr>
          <w:p w14:paraId="4FFE8B85">
            <w:pPr>
              <w:spacing w:line="260" w:lineRule="exact"/>
              <w:jc w:val="center"/>
              <w:rPr>
                <w:rFonts w:hint="eastAsia" w:ascii="宋体" w:hAnsi="宋体"/>
                <w:caps/>
                <w:szCs w:val="21"/>
              </w:rPr>
            </w:pPr>
            <w:r>
              <w:rPr>
                <w:rFonts w:ascii="宋体" w:hAnsi="宋体"/>
                <w:caps/>
                <w:szCs w:val="21"/>
              </w:rPr>
              <w:t>…</w:t>
            </w:r>
          </w:p>
        </w:tc>
        <w:tc>
          <w:tcPr>
            <w:tcW w:w="1643" w:type="dxa"/>
            <w:vAlign w:val="center"/>
          </w:tcPr>
          <w:p w14:paraId="733B3B04">
            <w:pPr>
              <w:widowControl/>
              <w:spacing w:before="100" w:beforeAutospacing="1" w:after="100" w:afterAutospacing="1" w:line="300" w:lineRule="exact"/>
              <w:contextualSpacing/>
              <w:jc w:val="center"/>
              <w:rPr>
                <w:rFonts w:hint="eastAsia" w:ascii="宋体" w:hAnsi="宋体"/>
                <w:szCs w:val="21"/>
                <w:lang w:val="en-GB"/>
              </w:rPr>
            </w:pPr>
          </w:p>
        </w:tc>
        <w:tc>
          <w:tcPr>
            <w:tcW w:w="1350" w:type="dxa"/>
            <w:tcBorders>
              <w:right w:val="single" w:color="auto" w:sz="6" w:space="0"/>
            </w:tcBorders>
            <w:vAlign w:val="center"/>
          </w:tcPr>
          <w:p w14:paraId="4253F027">
            <w:pPr>
              <w:widowControl/>
              <w:spacing w:line="260" w:lineRule="exact"/>
              <w:jc w:val="center"/>
              <w:rPr>
                <w:rFonts w:hint="eastAsia" w:ascii="宋体" w:hAnsi="宋体" w:cs="Arial"/>
                <w:b/>
              </w:rPr>
            </w:pPr>
          </w:p>
        </w:tc>
        <w:tc>
          <w:tcPr>
            <w:tcW w:w="1600" w:type="dxa"/>
            <w:tcBorders>
              <w:left w:val="single" w:color="auto" w:sz="6" w:space="0"/>
            </w:tcBorders>
            <w:vAlign w:val="center"/>
          </w:tcPr>
          <w:p w14:paraId="2930F0FF">
            <w:pPr>
              <w:widowControl/>
              <w:spacing w:line="260" w:lineRule="exact"/>
              <w:jc w:val="center"/>
              <w:rPr>
                <w:rFonts w:hint="eastAsia" w:ascii="宋体" w:hAnsi="宋体" w:cs="Arial"/>
                <w:b/>
              </w:rPr>
            </w:pPr>
          </w:p>
        </w:tc>
        <w:tc>
          <w:tcPr>
            <w:tcW w:w="1933" w:type="dxa"/>
            <w:tcBorders>
              <w:left w:val="single" w:color="auto" w:sz="6" w:space="0"/>
              <w:right w:val="single" w:color="auto" w:sz="4" w:space="0"/>
            </w:tcBorders>
            <w:vAlign w:val="center"/>
          </w:tcPr>
          <w:p w14:paraId="559A1E88">
            <w:pPr>
              <w:widowControl/>
              <w:spacing w:line="260" w:lineRule="exact"/>
              <w:jc w:val="center"/>
              <w:rPr>
                <w:rFonts w:hint="eastAsia" w:ascii="宋体" w:hAnsi="宋体" w:cs="Arial"/>
                <w:b/>
              </w:rPr>
            </w:pPr>
          </w:p>
        </w:tc>
        <w:tc>
          <w:tcPr>
            <w:tcW w:w="883" w:type="dxa"/>
            <w:tcBorders>
              <w:left w:val="single" w:color="auto" w:sz="4" w:space="0"/>
            </w:tcBorders>
            <w:vAlign w:val="center"/>
          </w:tcPr>
          <w:p w14:paraId="14923494">
            <w:pPr>
              <w:widowControl/>
              <w:spacing w:line="260" w:lineRule="exact"/>
              <w:jc w:val="center"/>
              <w:rPr>
                <w:rFonts w:hint="eastAsia" w:ascii="宋体" w:hAnsi="宋体" w:cs="Arial"/>
                <w:b/>
              </w:rPr>
            </w:pPr>
          </w:p>
        </w:tc>
        <w:tc>
          <w:tcPr>
            <w:tcW w:w="767" w:type="dxa"/>
            <w:vAlign w:val="center"/>
          </w:tcPr>
          <w:p w14:paraId="47F7DE31">
            <w:pPr>
              <w:widowControl/>
              <w:spacing w:line="260" w:lineRule="exact"/>
              <w:jc w:val="center"/>
              <w:rPr>
                <w:rFonts w:hint="eastAsia" w:ascii="宋体" w:hAnsi="宋体" w:cs="Arial"/>
              </w:rPr>
            </w:pPr>
          </w:p>
        </w:tc>
        <w:tc>
          <w:tcPr>
            <w:tcW w:w="700" w:type="dxa"/>
            <w:vAlign w:val="center"/>
          </w:tcPr>
          <w:p w14:paraId="0B13E222">
            <w:pPr>
              <w:widowControl/>
              <w:spacing w:line="260" w:lineRule="exact"/>
              <w:jc w:val="center"/>
              <w:rPr>
                <w:rFonts w:hint="eastAsia" w:ascii="宋体" w:hAnsi="宋体" w:cs="Arial"/>
              </w:rPr>
            </w:pPr>
          </w:p>
        </w:tc>
        <w:tc>
          <w:tcPr>
            <w:tcW w:w="1550" w:type="dxa"/>
            <w:vAlign w:val="center"/>
          </w:tcPr>
          <w:p w14:paraId="14D6EE26">
            <w:pPr>
              <w:spacing w:line="260" w:lineRule="exact"/>
              <w:rPr>
                <w:rFonts w:hint="eastAsia" w:ascii="宋体" w:hAnsi="宋体"/>
                <w:szCs w:val="21"/>
              </w:rPr>
            </w:pPr>
          </w:p>
        </w:tc>
        <w:tc>
          <w:tcPr>
            <w:tcW w:w="1355" w:type="dxa"/>
            <w:vAlign w:val="center"/>
          </w:tcPr>
          <w:p w14:paraId="147AD956">
            <w:pPr>
              <w:spacing w:line="260" w:lineRule="exact"/>
              <w:rPr>
                <w:rFonts w:hint="eastAsia" w:ascii="宋体" w:hAnsi="宋体"/>
                <w:szCs w:val="21"/>
              </w:rPr>
            </w:pPr>
          </w:p>
        </w:tc>
        <w:tc>
          <w:tcPr>
            <w:tcW w:w="1712" w:type="dxa"/>
            <w:vAlign w:val="center"/>
          </w:tcPr>
          <w:p w14:paraId="47F06E31">
            <w:pPr>
              <w:spacing w:line="260" w:lineRule="exact"/>
              <w:rPr>
                <w:rFonts w:hint="eastAsia" w:ascii="宋体" w:hAnsi="宋体"/>
                <w:szCs w:val="21"/>
              </w:rPr>
            </w:pPr>
          </w:p>
        </w:tc>
      </w:tr>
      <w:tr w14:paraId="26D9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88" w:type="dxa"/>
            <w:gridSpan w:val="8"/>
            <w:vAlign w:val="center"/>
          </w:tcPr>
          <w:p w14:paraId="7E7B9EBB">
            <w:pPr>
              <w:spacing w:line="300" w:lineRule="exact"/>
              <w:jc w:val="center"/>
              <w:rPr>
                <w:rFonts w:hint="eastAsia" w:ascii="宋体" w:hAnsi="宋体"/>
                <w:szCs w:val="21"/>
              </w:rPr>
            </w:pPr>
            <w:r>
              <w:rPr>
                <w:rFonts w:hint="eastAsia" w:ascii="宋体" w:hAnsi="宋体"/>
                <w:szCs w:val="21"/>
              </w:rPr>
              <w:t>投标报价（元）</w:t>
            </w:r>
          </w:p>
        </w:tc>
        <w:tc>
          <w:tcPr>
            <w:tcW w:w="2905" w:type="dxa"/>
            <w:gridSpan w:val="2"/>
            <w:vAlign w:val="center"/>
          </w:tcPr>
          <w:p w14:paraId="67856D08">
            <w:pPr>
              <w:spacing w:line="300" w:lineRule="exact"/>
              <w:jc w:val="left"/>
              <w:rPr>
                <w:rFonts w:hint="eastAsia" w:ascii="宋体" w:hAnsi="宋体"/>
                <w:szCs w:val="21"/>
              </w:rPr>
            </w:pPr>
            <w:r>
              <w:rPr>
                <w:rFonts w:hint="eastAsia" w:ascii="宋体" w:hAnsi="宋体"/>
                <w:szCs w:val="21"/>
              </w:rPr>
              <w:t>小写：</w:t>
            </w:r>
          </w:p>
        </w:tc>
        <w:tc>
          <w:tcPr>
            <w:tcW w:w="1712" w:type="dxa"/>
            <w:vAlign w:val="center"/>
          </w:tcPr>
          <w:p w14:paraId="04B4CAEA">
            <w:pPr>
              <w:spacing w:line="300" w:lineRule="exact"/>
              <w:jc w:val="left"/>
              <w:rPr>
                <w:rFonts w:hint="eastAsia" w:ascii="宋体" w:hAnsi="宋体"/>
                <w:szCs w:val="21"/>
              </w:rPr>
            </w:pPr>
            <w:r>
              <w:rPr>
                <w:rFonts w:hint="eastAsia" w:ascii="宋体" w:hAnsi="宋体"/>
                <w:szCs w:val="21"/>
              </w:rPr>
              <w:t>小写：</w:t>
            </w:r>
          </w:p>
        </w:tc>
      </w:tr>
    </w:tbl>
    <w:p w14:paraId="72F6DC9B">
      <w:pPr>
        <w:snapToGrid w:val="0"/>
        <w:spacing w:before="50" w:after="50" w:line="360" w:lineRule="auto"/>
        <w:ind w:left="-23" w:leftChars="-11" w:right="27" w:rightChars="13" w:firstLine="21" w:firstLineChars="10"/>
      </w:pPr>
      <w:r>
        <w:rPr>
          <w:rFonts w:hint="eastAsia" w:ascii="宋体" w:hAnsi="宋体" w:cs="宋体"/>
          <w:bCs/>
          <w:szCs w:val="21"/>
        </w:rPr>
        <w:t>注：上述各项的详细分项报价及具体内容(配套设备、零配件等)，可另页描述；</w:t>
      </w:r>
    </w:p>
    <w:p w14:paraId="037A14E8">
      <w:pPr>
        <w:spacing w:line="360" w:lineRule="auto"/>
        <w:rPr>
          <w:rFonts w:hint="eastAsia" w:ascii="宋体" w:hAnsi="宋体" w:cs="宋体"/>
          <w:szCs w:val="21"/>
        </w:rPr>
      </w:pPr>
    </w:p>
    <w:p w14:paraId="7D80BFA6">
      <w:pPr>
        <w:snapToGrid w:val="0"/>
        <w:spacing w:line="360" w:lineRule="auto"/>
        <w:ind w:firstLine="8723" w:firstLineChars="4154"/>
        <w:rPr>
          <w:rFonts w:hint="eastAsia"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14:paraId="4F454C6C">
      <w:pPr>
        <w:snapToGrid w:val="0"/>
        <w:spacing w:line="360" w:lineRule="auto"/>
        <w:ind w:firstLine="8723" w:firstLineChars="4154"/>
        <w:rPr>
          <w:rFonts w:hint="eastAsia" w:ascii="宋体" w:hAnsi="宋体"/>
          <w:szCs w:val="21"/>
        </w:rPr>
      </w:pPr>
      <w:r>
        <w:rPr>
          <w:rFonts w:hint="eastAsia" w:ascii="宋体" w:hAnsi="宋体"/>
          <w:szCs w:val="21"/>
        </w:rPr>
        <w:t>日  期：</w:t>
      </w:r>
    </w:p>
    <w:p w14:paraId="3091B4A9">
      <w:pPr>
        <w:rPr>
          <w:rFonts w:hint="eastAsia" w:ascii="宋体" w:hAnsi="宋体"/>
          <w:szCs w:val="21"/>
        </w:rPr>
      </w:pPr>
      <w:r>
        <w:rPr>
          <w:rFonts w:hint="eastAsia" w:ascii="宋体" w:hAnsi="宋体"/>
          <w:szCs w:val="21"/>
        </w:rPr>
        <w:br w:type="page"/>
      </w:r>
    </w:p>
    <w:p w14:paraId="5065F4B1">
      <w:pPr>
        <w:snapToGrid w:val="0"/>
        <w:spacing w:line="360" w:lineRule="auto"/>
        <w:ind w:firstLine="3685" w:firstLineChars="1755"/>
        <w:rPr>
          <w:rFonts w:hint="eastAsia" w:ascii="宋体" w:hAnsi="宋体"/>
          <w:szCs w:val="21"/>
        </w:rPr>
        <w:sectPr>
          <w:footerReference r:id="rId14" w:type="default"/>
          <w:pgSz w:w="16838" w:h="11906" w:orient="landscape"/>
          <w:pgMar w:top="1610" w:right="1276" w:bottom="1440" w:left="1276" w:header="851" w:footer="851" w:gutter="0"/>
          <w:pgNumType w:chapStyle="1"/>
          <w:cols w:space="720" w:num="1"/>
          <w:docGrid w:linePitch="312" w:charSpace="0"/>
        </w:sectPr>
      </w:pPr>
    </w:p>
    <w:p w14:paraId="2071390D">
      <w:pPr>
        <w:snapToGrid w:val="0"/>
        <w:spacing w:line="360" w:lineRule="auto"/>
        <w:ind w:firstLine="3685" w:firstLineChars="1755"/>
        <w:rPr>
          <w:rFonts w:hint="eastAsia" w:asciiTheme="majorEastAsia" w:hAnsiTheme="majorEastAsia" w:eastAsiaTheme="majorEastAsia"/>
          <w:szCs w:val="21"/>
        </w:rPr>
      </w:pPr>
    </w:p>
    <w:p w14:paraId="32A67726">
      <w:pPr>
        <w:pStyle w:val="3"/>
        <w:spacing w:line="360" w:lineRule="auto"/>
        <w:ind w:left="0" w:leftChars="0"/>
        <w:jc w:val="center"/>
        <w:rPr>
          <w:rFonts w:hint="eastAsia" w:ascii="宋体" w:hAnsi="宋体" w:cs="宋体"/>
          <w:b/>
          <w:sz w:val="21"/>
          <w:szCs w:val="21"/>
        </w:rPr>
      </w:pPr>
      <w:r>
        <w:rPr>
          <w:rFonts w:hint="eastAsia" w:ascii="宋体" w:hAnsi="宋体" w:cs="宋体"/>
          <w:b/>
          <w:sz w:val="21"/>
          <w:szCs w:val="21"/>
        </w:rPr>
        <w:t>3）中小企业声明函</w:t>
      </w:r>
    </w:p>
    <w:p w14:paraId="3735B4F6">
      <w:pPr>
        <w:snapToGrid w:val="0"/>
        <w:spacing w:line="360" w:lineRule="auto"/>
        <w:ind w:left="-23" w:leftChars="-11" w:right="-214" w:rightChars="-102" w:firstLine="447" w:firstLineChars="213"/>
        <w:jc w:val="left"/>
        <w:rPr>
          <w:rFonts w:hint="eastAsia" w:asciiTheme="majorEastAsia" w:hAnsiTheme="majorEastAsia" w:eastAsiaTheme="majorEastAsia"/>
        </w:rPr>
      </w:pPr>
      <w:r>
        <w:rPr>
          <w:rFonts w:asciiTheme="majorEastAsia" w:hAnsiTheme="majorEastAsia" w:eastAsiaTheme="majorEastAsia"/>
        </w:rPr>
        <w:t>本公司郑重声明，根据《政府采购促进中小企业发展管理办法》（财库﹝2020﹞46号）的规定，本公司参加</w:t>
      </w:r>
      <w:r>
        <w:rPr>
          <w:rFonts w:hint="eastAsia" w:asciiTheme="majorEastAsia" w:hAnsiTheme="majorEastAsia" w:eastAsiaTheme="majorEastAsia"/>
          <w:u w:val="single"/>
        </w:rPr>
        <w:t>浙江大学宁波“五位一体”校区教育发展中心</w:t>
      </w:r>
      <w:r>
        <w:rPr>
          <w:rFonts w:asciiTheme="majorEastAsia" w:hAnsiTheme="majorEastAsia" w:eastAsiaTheme="majorEastAsia"/>
        </w:rPr>
        <w:t>的</w:t>
      </w:r>
      <w:r>
        <w:rPr>
          <w:rFonts w:hint="eastAsia" w:asciiTheme="majorEastAsia" w:hAnsiTheme="majorEastAsia" w:eastAsiaTheme="majorEastAsia"/>
          <w:u w:val="single"/>
        </w:rPr>
        <w:t>高压物性综合测试平台采购项目</w:t>
      </w:r>
      <w:r>
        <w:rPr>
          <w:rFonts w:asciiTheme="majorEastAsia" w:hAnsiTheme="majorEastAsia" w:eastAsiaTheme="majorEastAsia"/>
        </w:rPr>
        <w:t>采购活动，提供的货物全部由符合政策要求的中小企业制造。相关企业（含联合体中的中小企业、签订分包意向协议的中小企业）的具体情况如下：</w:t>
      </w:r>
    </w:p>
    <w:p w14:paraId="226C1823">
      <w:pPr>
        <w:snapToGrid w:val="0"/>
        <w:spacing w:line="360" w:lineRule="auto"/>
        <w:ind w:left="-23" w:leftChars="-11" w:right="-214" w:rightChars="-102" w:firstLine="449" w:firstLineChars="213"/>
        <w:jc w:val="left"/>
        <w:rPr>
          <w:rFonts w:hint="eastAsia" w:asciiTheme="majorEastAsia" w:hAnsiTheme="majorEastAsia" w:eastAsiaTheme="majorEastAsia"/>
        </w:rPr>
      </w:pPr>
      <w:r>
        <w:rPr>
          <w:rFonts w:hint="eastAsia" w:ascii="宋体" w:hAnsi="宋体"/>
          <w:b/>
          <w:u w:val="single"/>
        </w:rPr>
        <w:t>高压物性综合测试平台，</w:t>
      </w:r>
      <w:r>
        <w:rPr>
          <w:rFonts w:asciiTheme="majorEastAsia" w:hAnsiTheme="majorEastAsia" w:eastAsiaTheme="majorEastAsia"/>
        </w:rPr>
        <w:t>属于</w:t>
      </w:r>
      <w:r>
        <w:rPr>
          <w:rFonts w:ascii="宋体" w:hAnsi="宋体"/>
          <w:b/>
          <w:u w:val="single"/>
        </w:rPr>
        <w:t>工</w:t>
      </w:r>
      <w:r>
        <w:rPr>
          <w:rFonts w:hint="eastAsia" w:ascii="宋体" w:hAnsi="宋体"/>
          <w:b/>
          <w:u w:val="single"/>
        </w:rPr>
        <w:t>业</w:t>
      </w:r>
      <w:r>
        <w:rPr>
          <w:rFonts w:asciiTheme="majorEastAsia" w:hAnsiTheme="majorEastAsia" w:eastAsiaTheme="majorEastAsia"/>
        </w:rPr>
        <w:t>；制造商为</w:t>
      </w:r>
      <w:r>
        <w:rPr>
          <w:rFonts w:asciiTheme="majorEastAsia" w:hAnsiTheme="majorEastAsia" w:eastAsiaTheme="majorEastAsia"/>
          <w:i/>
          <w:u w:val="single"/>
        </w:rPr>
        <w:t>（企业名称）</w:t>
      </w:r>
      <w:r>
        <w:rPr>
          <w:rFonts w:asciiTheme="majorEastAsia" w:hAnsiTheme="majorEastAsia" w:eastAsiaTheme="majorEastAsia"/>
        </w:rPr>
        <w:t>，从业人员</w:t>
      </w:r>
      <w:r>
        <w:rPr>
          <w:rFonts w:hint="eastAsia" w:asciiTheme="majorEastAsia" w:hAnsiTheme="majorEastAsia" w:eastAsiaTheme="majorEastAsia"/>
          <w:u w:val="single"/>
        </w:rPr>
        <w:t xml:space="preserve">   </w:t>
      </w:r>
      <w:r>
        <w:rPr>
          <w:rFonts w:asciiTheme="majorEastAsia" w:hAnsiTheme="majorEastAsia" w:eastAsiaTheme="majorEastAsia"/>
        </w:rPr>
        <w:t>人，营业收入为</w:t>
      </w:r>
      <w:r>
        <w:rPr>
          <w:rFonts w:hint="eastAsia" w:asciiTheme="majorEastAsia" w:hAnsiTheme="majorEastAsia" w:eastAsiaTheme="majorEastAsia"/>
          <w:u w:val="single"/>
        </w:rPr>
        <w:t xml:space="preserve">   </w:t>
      </w:r>
      <w:r>
        <w:rPr>
          <w:rFonts w:asciiTheme="majorEastAsia" w:hAnsiTheme="majorEastAsia" w:eastAsiaTheme="majorEastAsia"/>
        </w:rPr>
        <w:t>万元，资产总额为</w:t>
      </w:r>
      <w:r>
        <w:rPr>
          <w:rFonts w:hint="eastAsia" w:asciiTheme="majorEastAsia" w:hAnsiTheme="majorEastAsia" w:eastAsiaTheme="majorEastAsia"/>
          <w:u w:val="single"/>
        </w:rPr>
        <w:t xml:space="preserve">   </w:t>
      </w:r>
      <w:r>
        <w:rPr>
          <w:rFonts w:asciiTheme="majorEastAsia" w:hAnsiTheme="majorEastAsia" w:eastAsiaTheme="majorEastAsia"/>
        </w:rPr>
        <w:t>万元，属于</w:t>
      </w:r>
      <w:r>
        <w:rPr>
          <w:rFonts w:asciiTheme="majorEastAsia" w:hAnsiTheme="majorEastAsia" w:eastAsiaTheme="majorEastAsia"/>
          <w:i/>
          <w:u w:val="single"/>
        </w:rPr>
        <w:t>（中型企业、小型企业、微型企业）</w:t>
      </w:r>
      <w:r>
        <w:rPr>
          <w:rFonts w:asciiTheme="majorEastAsia" w:hAnsiTheme="majorEastAsia" w:eastAsiaTheme="majorEastAsia"/>
        </w:rPr>
        <w:t>；</w:t>
      </w:r>
    </w:p>
    <w:p w14:paraId="27E6B73B">
      <w:pPr>
        <w:snapToGrid w:val="0"/>
        <w:spacing w:line="360" w:lineRule="auto"/>
        <w:ind w:left="-23" w:leftChars="-11" w:right="-214" w:rightChars="-102" w:firstLine="447" w:firstLineChars="213"/>
        <w:jc w:val="left"/>
        <w:rPr>
          <w:rFonts w:hint="eastAsia" w:asciiTheme="majorEastAsia" w:hAnsiTheme="majorEastAsia" w:eastAsiaTheme="majorEastAsia"/>
        </w:rPr>
      </w:pPr>
    </w:p>
    <w:p w14:paraId="591014F8">
      <w:pPr>
        <w:snapToGrid w:val="0"/>
        <w:spacing w:line="360" w:lineRule="auto"/>
        <w:ind w:left="-23" w:leftChars="-11" w:right="-214" w:rightChars="-102" w:firstLine="447" w:firstLineChars="213"/>
        <w:jc w:val="left"/>
        <w:rPr>
          <w:rFonts w:hint="eastAsia" w:asciiTheme="majorEastAsia" w:hAnsiTheme="majorEastAsia" w:eastAsiaTheme="majorEastAsia"/>
        </w:rPr>
      </w:pPr>
      <w:r>
        <w:rPr>
          <w:rFonts w:asciiTheme="majorEastAsia" w:hAnsiTheme="majorEastAsia" w:eastAsiaTheme="majorEastAsia"/>
        </w:rPr>
        <w:t>以上企业，不属于大企业的分支机构，不存在控股股东为大企业的情形，也不存在与大企业的负责人为同一人的情形。</w:t>
      </w:r>
    </w:p>
    <w:p w14:paraId="59015352">
      <w:pPr>
        <w:snapToGrid w:val="0"/>
        <w:spacing w:line="360" w:lineRule="auto"/>
        <w:ind w:left="-23" w:leftChars="-11" w:right="-214" w:rightChars="-102" w:firstLine="447" w:firstLineChars="213"/>
        <w:jc w:val="left"/>
        <w:rPr>
          <w:rFonts w:hint="eastAsia" w:asciiTheme="majorEastAsia" w:hAnsiTheme="majorEastAsia" w:eastAsiaTheme="majorEastAsia"/>
        </w:rPr>
      </w:pPr>
      <w:r>
        <w:rPr>
          <w:rFonts w:asciiTheme="majorEastAsia" w:hAnsiTheme="majorEastAsia" w:eastAsiaTheme="majorEastAsia"/>
        </w:rPr>
        <w:t>本企业对上述声明内容的真实性负责。如有虚假，将依法承担相应责任。</w:t>
      </w:r>
    </w:p>
    <w:p w14:paraId="22E659D7">
      <w:pPr>
        <w:snapToGrid w:val="0"/>
        <w:spacing w:line="360" w:lineRule="auto"/>
        <w:ind w:left="-23" w:leftChars="-11" w:right="-214" w:rightChars="-102" w:firstLine="4416" w:firstLineChars="2103"/>
        <w:jc w:val="left"/>
        <w:rPr>
          <w:rFonts w:hint="eastAsia" w:asciiTheme="majorEastAsia" w:hAnsiTheme="majorEastAsia" w:eastAsiaTheme="majorEastAsia"/>
        </w:rPr>
      </w:pPr>
    </w:p>
    <w:p w14:paraId="7A1159E7">
      <w:pPr>
        <w:snapToGrid w:val="0"/>
        <w:spacing w:line="360" w:lineRule="auto"/>
        <w:ind w:left="-23" w:leftChars="-11" w:right="-214" w:rightChars="-102" w:firstLine="4416" w:firstLineChars="2103"/>
        <w:jc w:val="left"/>
        <w:rPr>
          <w:rFonts w:hint="eastAsia" w:asciiTheme="majorEastAsia" w:hAnsiTheme="majorEastAsia" w:eastAsiaTheme="majorEastAsia"/>
        </w:rPr>
      </w:pPr>
    </w:p>
    <w:p w14:paraId="06B2FA18">
      <w:pPr>
        <w:snapToGrid w:val="0"/>
        <w:spacing w:line="360" w:lineRule="auto"/>
        <w:ind w:left="-23" w:leftChars="-11" w:right="-214" w:rightChars="-102" w:firstLine="4416" w:firstLineChars="2103"/>
        <w:jc w:val="left"/>
        <w:rPr>
          <w:rFonts w:hint="eastAsia" w:asciiTheme="majorEastAsia" w:hAnsiTheme="majorEastAsia" w:eastAsiaTheme="majorEastAsia"/>
        </w:rPr>
      </w:pPr>
      <w:r>
        <w:rPr>
          <w:rFonts w:asciiTheme="majorEastAsia" w:hAnsiTheme="majorEastAsia" w:eastAsiaTheme="majorEastAsia"/>
        </w:rPr>
        <w:t>企业名称（盖章）：</w:t>
      </w:r>
    </w:p>
    <w:p w14:paraId="1B3111E9">
      <w:pPr>
        <w:snapToGrid w:val="0"/>
        <w:spacing w:before="50" w:after="50" w:line="360" w:lineRule="auto"/>
        <w:ind w:left="-23" w:leftChars="-11" w:right="-214" w:rightChars="-102" w:firstLine="447" w:firstLineChars="213"/>
        <w:jc w:val="left"/>
        <w:rPr>
          <w:rFonts w:hint="eastAsia" w:asciiTheme="majorEastAsia" w:hAnsiTheme="majorEastAsia" w:eastAsiaTheme="majorEastAsia"/>
        </w:rPr>
      </w:pPr>
    </w:p>
    <w:p w14:paraId="4488CB0C">
      <w:pPr>
        <w:snapToGrid w:val="0"/>
        <w:spacing w:before="50" w:after="50" w:line="360" w:lineRule="auto"/>
        <w:ind w:left="-23" w:leftChars="-11" w:right="-214" w:rightChars="-102" w:firstLine="447" w:firstLineChars="213"/>
        <w:jc w:val="left"/>
        <w:rPr>
          <w:rFonts w:hint="eastAsia" w:asciiTheme="majorEastAsia" w:hAnsiTheme="majorEastAsia" w:eastAsiaTheme="majorEastAsia"/>
        </w:rPr>
      </w:pPr>
    </w:p>
    <w:p w14:paraId="4EE25610">
      <w:pPr>
        <w:snapToGrid w:val="0"/>
        <w:spacing w:before="50" w:after="50" w:line="360" w:lineRule="auto"/>
        <w:ind w:left="-23" w:leftChars="-11" w:right="-214" w:rightChars="-102" w:firstLine="21" w:firstLineChars="10"/>
        <w:jc w:val="left"/>
        <w:rPr>
          <w:rFonts w:hint="eastAsia" w:asciiTheme="majorEastAsia" w:hAnsiTheme="majorEastAsia" w:eastAsiaTheme="majorEastAsia"/>
          <w:b/>
        </w:rPr>
      </w:pPr>
      <w:r>
        <w:rPr>
          <w:rFonts w:hint="eastAsia" w:asciiTheme="majorEastAsia" w:hAnsiTheme="majorEastAsia" w:eastAsiaTheme="majorEastAsia"/>
          <w:b/>
        </w:rPr>
        <w:t>填写说明：</w:t>
      </w:r>
    </w:p>
    <w:p w14:paraId="5C0C8152">
      <w:pPr>
        <w:snapToGrid w:val="0"/>
        <w:spacing w:before="50" w:after="50" w:line="360" w:lineRule="auto"/>
        <w:ind w:right="-214" w:rightChars="-102"/>
        <w:jc w:val="left"/>
        <w:rPr>
          <w:rFonts w:hint="eastAsia" w:asciiTheme="majorEastAsia" w:hAnsiTheme="majorEastAsia" w:eastAsiaTheme="majorEastAsia"/>
          <w:b/>
        </w:rPr>
      </w:pPr>
      <w:r>
        <w:rPr>
          <w:rFonts w:hint="eastAsia" w:asciiTheme="majorEastAsia" w:hAnsiTheme="majorEastAsia" w:eastAsiaTheme="majorEastAsia"/>
          <w:b/>
        </w:rPr>
        <w:t>1.从业人员、营业收入、资产总额填报上一年度数据，无上一年度数据的新成立企业可不填报。</w:t>
      </w:r>
    </w:p>
    <w:p w14:paraId="66CA1B00">
      <w:pPr>
        <w:snapToGrid w:val="0"/>
        <w:spacing w:before="50" w:after="50" w:line="360" w:lineRule="auto"/>
        <w:ind w:left="-23" w:leftChars="-11" w:right="-214" w:rightChars="-102" w:firstLine="21" w:firstLineChars="10"/>
        <w:jc w:val="left"/>
        <w:rPr>
          <w:rFonts w:hint="eastAsia" w:asciiTheme="majorEastAsia" w:hAnsiTheme="majorEastAsia" w:eastAsiaTheme="majorEastAsia"/>
          <w:b/>
        </w:rPr>
      </w:pPr>
      <w:r>
        <w:rPr>
          <w:rFonts w:hint="eastAsia" w:asciiTheme="majorEastAsia" w:hAnsiTheme="majorEastAsia" w:eastAsiaTheme="majorEastAsia"/>
          <w:b/>
        </w:rPr>
        <w:t>2.投标人应当对其出具的《中小企业声明函》真实性负责，出具的《中小企业声明函》内容不实的，属于提供虚假材料。</w:t>
      </w:r>
    </w:p>
    <w:p w14:paraId="727AC4A2">
      <w:pPr>
        <w:snapToGrid w:val="0"/>
        <w:spacing w:before="50" w:after="50" w:line="360" w:lineRule="auto"/>
        <w:ind w:left="-23" w:leftChars="-11" w:right="-214" w:rightChars="-102" w:firstLine="21" w:firstLineChars="10"/>
        <w:jc w:val="left"/>
        <w:rPr>
          <w:rFonts w:hint="eastAsia" w:asciiTheme="majorEastAsia" w:hAnsiTheme="majorEastAsia" w:eastAsiaTheme="majorEastAsia"/>
          <w:b/>
        </w:rPr>
      </w:pPr>
      <w:r>
        <w:rPr>
          <w:rFonts w:hint="eastAsia" w:asciiTheme="majorEastAsia" w:hAnsiTheme="majorEastAsia" w:eastAsiaTheme="majorEastAsia"/>
          <w:b/>
        </w:rPr>
        <w:t>3.事业单位不属于企业不应提交本声明函，其他组织形式的供应商参与本项目并提交本声明函前请仔细阅读相关政策文件。</w:t>
      </w:r>
    </w:p>
    <w:p w14:paraId="6AD681CC">
      <w:pPr>
        <w:snapToGrid w:val="0"/>
        <w:spacing w:before="50" w:after="50" w:line="360" w:lineRule="auto"/>
        <w:ind w:left="-23" w:leftChars="-11" w:right="-214" w:rightChars="-102" w:firstLine="21" w:firstLineChars="10"/>
        <w:jc w:val="left"/>
        <w:rPr>
          <w:rFonts w:hint="eastAsia" w:asciiTheme="majorEastAsia" w:hAnsiTheme="majorEastAsia" w:eastAsiaTheme="majorEastAsia"/>
          <w:b/>
        </w:rPr>
      </w:pPr>
      <w:r>
        <w:rPr>
          <w:rFonts w:hint="eastAsia" w:asciiTheme="majorEastAsia" w:hAnsiTheme="majorEastAsia" w:eastAsiaTheme="majorEastAsia"/>
          <w:b/>
        </w:rPr>
        <w:t>4.投标人不得修改声明函中加粗的文字。</w:t>
      </w:r>
    </w:p>
    <w:p w14:paraId="423E4E32">
      <w:pPr>
        <w:snapToGrid w:val="0"/>
        <w:spacing w:before="50" w:after="50" w:line="360" w:lineRule="auto"/>
        <w:ind w:left="-23" w:leftChars="-11" w:right="-214" w:rightChars="-102" w:firstLine="21" w:firstLineChars="10"/>
        <w:jc w:val="left"/>
        <w:rPr>
          <w:rFonts w:hint="eastAsia" w:ascii="宋体" w:hAnsi="宋体"/>
          <w:b/>
        </w:rPr>
      </w:pPr>
      <w:r>
        <w:rPr>
          <w:rFonts w:hint="eastAsia" w:asciiTheme="majorEastAsia" w:hAnsiTheme="majorEastAsia" w:eastAsiaTheme="majorEastAsia"/>
          <w:b/>
        </w:rPr>
        <w:t>5.</w:t>
      </w:r>
      <w:r>
        <w:rPr>
          <w:rFonts w:hint="eastAsia" w:ascii="微软雅黑" w:hAnsi="微软雅黑" w:eastAsia="微软雅黑" w:cs="宋体"/>
          <w:kern w:val="0"/>
          <w:sz w:val="24"/>
        </w:rPr>
        <w:t xml:space="preserve"> </w:t>
      </w:r>
      <w:r>
        <w:rPr>
          <w:rFonts w:hint="eastAsia" w:ascii="宋体" w:hAnsi="宋体"/>
          <w:b/>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B4A9AF8">
      <w:pPr>
        <w:snapToGrid w:val="0"/>
        <w:spacing w:before="50" w:after="50" w:line="360" w:lineRule="auto"/>
        <w:ind w:left="-23" w:leftChars="-11" w:right="-214" w:rightChars="-102" w:firstLine="21" w:firstLineChars="10"/>
        <w:jc w:val="left"/>
        <w:rPr>
          <w:rFonts w:hint="eastAsia" w:asciiTheme="majorEastAsia" w:hAnsiTheme="majorEastAsia" w:eastAsiaTheme="majorEastAsia"/>
          <w:b/>
        </w:rPr>
      </w:pPr>
      <w:r>
        <w:rPr>
          <w:rFonts w:asciiTheme="majorEastAsia" w:hAnsiTheme="majorEastAsia" w:eastAsiaTheme="majorEastAsia"/>
          <w:b/>
        </w:rPr>
        <w:br w:type="page"/>
      </w:r>
    </w:p>
    <w:p w14:paraId="28280EE3">
      <w:pPr>
        <w:pStyle w:val="3"/>
        <w:spacing w:line="360" w:lineRule="auto"/>
        <w:ind w:left="0" w:leftChars="0"/>
        <w:jc w:val="center"/>
        <w:rPr>
          <w:rFonts w:hint="eastAsia" w:asciiTheme="majorEastAsia" w:hAnsiTheme="majorEastAsia" w:eastAsiaTheme="majorEastAsia"/>
          <w:b/>
          <w:spacing w:val="6"/>
          <w:szCs w:val="21"/>
        </w:rPr>
      </w:pPr>
      <w:bookmarkStart w:id="42" w:name="OLE_LINK13"/>
      <w:bookmarkStart w:id="43" w:name="OLE_LINK14"/>
      <w:r>
        <w:rPr>
          <w:rFonts w:hint="eastAsia" w:cs="宋体" w:asciiTheme="majorEastAsia" w:hAnsiTheme="majorEastAsia" w:eastAsiaTheme="majorEastAsia"/>
          <w:b/>
          <w:sz w:val="21"/>
          <w:szCs w:val="21"/>
        </w:rPr>
        <w:t>4）残疾人福利性单位声明函</w:t>
      </w:r>
      <w:bookmarkEnd w:id="42"/>
      <w:bookmarkEnd w:id="43"/>
    </w:p>
    <w:p w14:paraId="23CFD86F">
      <w:pPr>
        <w:spacing w:line="360" w:lineRule="auto"/>
        <w:ind w:firstLine="444" w:firstLineChars="200"/>
        <w:rPr>
          <w:rFonts w:hint="eastAsia" w:asciiTheme="majorEastAsia" w:hAnsiTheme="majorEastAsia" w:eastAsiaTheme="majorEastAsia"/>
          <w:spacing w:val="6"/>
        </w:rPr>
      </w:pPr>
      <w:r>
        <w:rPr>
          <w:rFonts w:hint="eastAsia" w:asciiTheme="majorEastAsia" w:hAnsiTheme="majorEastAsia" w:eastAsiaTheme="majorEastAsia"/>
          <w:spacing w:val="6"/>
        </w:rPr>
        <w:t>本单位郑重声明，根据《财政部 民政部 中国残疾人联合会关于促进残疾人就业政府采购政策的通知》（财库</w:t>
      </w:r>
      <w:r>
        <w:rPr>
          <w:rFonts w:hint="eastAsia" w:asciiTheme="majorEastAsia" w:hAnsiTheme="majorEastAsia" w:eastAsiaTheme="majorEastAsia"/>
        </w:rPr>
        <w:t>〔2017〕 141</w:t>
      </w:r>
      <w:r>
        <w:rPr>
          <w:rFonts w:hint="eastAsia" w:asciiTheme="majorEastAsia" w:hAnsiTheme="majorEastAsia" w:eastAsiaTheme="majorEastAsia"/>
          <w:spacing w:val="6"/>
        </w:rPr>
        <w:t>号）的规定，本单位为符合条件的残疾人福利性单位，且本单位参加</w:t>
      </w:r>
      <w:r>
        <w:rPr>
          <w:rFonts w:hint="eastAsia" w:asciiTheme="majorEastAsia" w:hAnsiTheme="majorEastAsia" w:eastAsiaTheme="majorEastAsia"/>
          <w:spacing w:val="6"/>
          <w:u w:val="single"/>
        </w:rPr>
        <w:t xml:space="preserve"> 浙江大学宁波“五位一体”校区教育发展中心 </w:t>
      </w:r>
      <w:r>
        <w:rPr>
          <w:rFonts w:hint="eastAsia" w:asciiTheme="majorEastAsia" w:hAnsiTheme="majorEastAsia" w:eastAsiaTheme="majorEastAsia"/>
          <w:spacing w:val="6"/>
        </w:rPr>
        <w:t>单位的</w:t>
      </w:r>
      <w:r>
        <w:rPr>
          <w:rFonts w:hint="eastAsia" w:ascii="宋体" w:hAnsi="宋体" w:cs="宋体" w:eastAsiaTheme="majorEastAsia"/>
          <w:u w:val="single"/>
        </w:rPr>
        <w:t>高压物性综合测试平台采购项目</w:t>
      </w:r>
      <w:r>
        <w:rPr>
          <w:rFonts w:hint="eastAsia" w:ascii="宋体" w:hAnsi="宋体" w:cs="宋体"/>
        </w:rPr>
        <w:t>标项：</w:t>
      </w:r>
      <w:r>
        <w:rPr>
          <w:rFonts w:hint="eastAsia" w:ascii="宋体" w:hAnsi="宋体" w:cs="宋体"/>
          <w:u w:val="single"/>
        </w:rPr>
        <w:t xml:space="preserve"> 1 </w:t>
      </w:r>
      <w:r>
        <w:rPr>
          <w:rFonts w:hint="eastAsia" w:asciiTheme="majorEastAsia" w:hAnsiTheme="majorEastAsia" w:eastAsiaTheme="majorEastAsia"/>
          <w:spacing w:val="6"/>
        </w:rPr>
        <w:t>采购活动提供本单位制造的货物（由本单位承担工程/提供服务），或者提供其他残疾人福利性单位制造的货物（不包括使用非残疾人福利性单位注册商标的货物）。</w:t>
      </w:r>
    </w:p>
    <w:p w14:paraId="77AED61D">
      <w:pPr>
        <w:spacing w:line="360" w:lineRule="auto"/>
        <w:ind w:firstLine="444" w:firstLineChars="200"/>
        <w:rPr>
          <w:rFonts w:hint="eastAsia" w:asciiTheme="majorEastAsia" w:hAnsiTheme="majorEastAsia" w:eastAsiaTheme="majorEastAsia"/>
          <w:spacing w:val="6"/>
        </w:rPr>
      </w:pPr>
      <w:r>
        <w:rPr>
          <w:rFonts w:hint="eastAsia" w:asciiTheme="majorEastAsia" w:hAnsiTheme="majorEastAsia" w:eastAsiaTheme="majorEastAsia"/>
          <w:spacing w:val="6"/>
        </w:rPr>
        <w:t>本单位对上述声明的真实性负责。如有虚假，将依法承担相应责任。</w:t>
      </w:r>
    </w:p>
    <w:p w14:paraId="095914CB">
      <w:pPr>
        <w:spacing w:line="360" w:lineRule="auto"/>
        <w:ind w:firstLine="444" w:firstLineChars="200"/>
        <w:rPr>
          <w:rFonts w:hint="eastAsia" w:asciiTheme="majorEastAsia" w:hAnsiTheme="majorEastAsia" w:eastAsiaTheme="majorEastAsia"/>
          <w:spacing w:val="6"/>
        </w:rPr>
      </w:pPr>
    </w:p>
    <w:p w14:paraId="397F65C5">
      <w:pPr>
        <w:spacing w:line="360" w:lineRule="auto"/>
        <w:ind w:firstLine="444" w:firstLineChars="200"/>
        <w:rPr>
          <w:rFonts w:hint="eastAsia" w:asciiTheme="majorEastAsia" w:hAnsiTheme="majorEastAsia" w:eastAsiaTheme="majorEastAsia"/>
          <w:spacing w:val="6"/>
        </w:rPr>
      </w:pPr>
    </w:p>
    <w:p w14:paraId="67700EFB">
      <w:pPr>
        <w:tabs>
          <w:tab w:val="left" w:pos="4860"/>
        </w:tabs>
        <w:spacing w:line="360" w:lineRule="auto"/>
        <w:ind w:right="1560" w:firstLine="444" w:firstLineChars="200"/>
        <w:jc w:val="center"/>
        <w:rPr>
          <w:rFonts w:hint="eastAsia" w:asciiTheme="majorEastAsia" w:hAnsiTheme="majorEastAsia" w:eastAsiaTheme="majorEastAsia"/>
          <w:spacing w:val="6"/>
        </w:rPr>
      </w:pPr>
      <w:r>
        <w:rPr>
          <w:rFonts w:hint="eastAsia" w:asciiTheme="majorEastAsia" w:hAnsiTheme="majorEastAsia" w:eastAsiaTheme="majorEastAsia"/>
          <w:spacing w:val="6"/>
        </w:rPr>
        <w:t>单位名称（盖章）：</w:t>
      </w:r>
    </w:p>
    <w:p w14:paraId="50FB99E9">
      <w:pPr>
        <w:tabs>
          <w:tab w:val="left" w:pos="4860"/>
        </w:tabs>
        <w:spacing w:line="360" w:lineRule="auto"/>
        <w:ind w:right="1560" w:firstLine="444" w:firstLineChars="200"/>
        <w:jc w:val="center"/>
        <w:rPr>
          <w:rFonts w:hint="eastAsia" w:asciiTheme="majorEastAsia" w:hAnsiTheme="majorEastAsia" w:eastAsiaTheme="majorEastAsia"/>
          <w:spacing w:val="6"/>
        </w:rPr>
      </w:pPr>
      <w:r>
        <w:rPr>
          <w:rFonts w:hint="eastAsia" w:asciiTheme="majorEastAsia" w:hAnsiTheme="majorEastAsia" w:eastAsiaTheme="majorEastAsia"/>
          <w:spacing w:val="6"/>
        </w:rPr>
        <w:t>日  期：</w:t>
      </w:r>
    </w:p>
    <w:p w14:paraId="5F4C5A9B">
      <w:pPr>
        <w:pStyle w:val="3"/>
        <w:snapToGrid w:val="0"/>
        <w:spacing w:line="360" w:lineRule="auto"/>
        <w:ind w:firstLine="437" w:firstLineChars="196"/>
        <w:rPr>
          <w:rFonts w:hint="eastAsia" w:cs="宋体" w:asciiTheme="majorEastAsia" w:hAnsiTheme="majorEastAsia" w:eastAsiaTheme="majorEastAsia"/>
          <w:b/>
          <w:spacing w:val="6"/>
          <w:sz w:val="21"/>
          <w:szCs w:val="21"/>
        </w:rPr>
      </w:pPr>
    </w:p>
    <w:p w14:paraId="0F3CD9C8">
      <w:pPr>
        <w:pStyle w:val="3"/>
        <w:snapToGrid w:val="0"/>
        <w:spacing w:line="360" w:lineRule="auto"/>
        <w:ind w:firstLine="437" w:firstLineChars="196"/>
        <w:rPr>
          <w:rFonts w:hint="eastAsia" w:cs="宋体" w:asciiTheme="majorEastAsia" w:hAnsiTheme="majorEastAsia" w:eastAsiaTheme="majorEastAsia"/>
          <w:b/>
          <w:spacing w:val="6"/>
          <w:sz w:val="21"/>
          <w:szCs w:val="21"/>
        </w:rPr>
      </w:pPr>
    </w:p>
    <w:p w14:paraId="2C7B8F98">
      <w:pPr>
        <w:pStyle w:val="3"/>
        <w:snapToGrid w:val="0"/>
        <w:spacing w:line="360" w:lineRule="auto"/>
        <w:ind w:firstLine="437" w:firstLineChars="196"/>
        <w:rPr>
          <w:rFonts w:hint="eastAsia" w:cs="宋体" w:asciiTheme="majorEastAsia" w:hAnsiTheme="majorEastAsia" w:eastAsiaTheme="majorEastAsia"/>
          <w:b/>
          <w:spacing w:val="6"/>
          <w:sz w:val="21"/>
          <w:szCs w:val="21"/>
        </w:rPr>
      </w:pPr>
    </w:p>
    <w:p w14:paraId="1B408E11">
      <w:pPr>
        <w:pStyle w:val="3"/>
        <w:snapToGrid w:val="0"/>
        <w:spacing w:line="360" w:lineRule="auto"/>
        <w:ind w:firstLine="437" w:firstLineChars="196"/>
        <w:rPr>
          <w:rFonts w:hint="eastAsia" w:cs="宋体" w:asciiTheme="majorEastAsia" w:hAnsiTheme="majorEastAsia" w:eastAsiaTheme="majorEastAsia"/>
          <w:b/>
          <w:spacing w:val="6"/>
          <w:sz w:val="21"/>
          <w:szCs w:val="21"/>
        </w:rPr>
      </w:pPr>
    </w:p>
    <w:p w14:paraId="1696DF78">
      <w:pPr>
        <w:spacing w:line="360" w:lineRule="auto"/>
        <w:rPr>
          <w:rFonts w:hint="eastAsia" w:asciiTheme="majorEastAsia" w:hAnsiTheme="majorEastAsia" w:eastAsiaTheme="majorEastAsia"/>
          <w:b/>
          <w:szCs w:val="21"/>
        </w:rPr>
      </w:pPr>
    </w:p>
    <w:p w14:paraId="3507C866">
      <w:pPr>
        <w:pStyle w:val="3"/>
        <w:spacing w:line="360" w:lineRule="auto"/>
        <w:rPr>
          <w:rFonts w:hint="eastAsia" w:ascii="宋体" w:hAnsi="宋体"/>
          <w:szCs w:val="21"/>
        </w:rPr>
      </w:pPr>
      <w:r>
        <w:rPr>
          <w:rFonts w:hint="eastAsia" w:cs="宋体" w:asciiTheme="majorEastAsia" w:hAnsiTheme="majorEastAsia" w:eastAsiaTheme="majorEastAsia"/>
          <w:b/>
          <w:sz w:val="21"/>
          <w:szCs w:val="21"/>
        </w:rPr>
        <w:t>说明：投标人不属于残疾人福利性单位无需且不应当提供本声明函，否则自行承担相应的责任。</w:t>
      </w:r>
    </w:p>
    <w:sectPr>
      <w:pgSz w:w="11906" w:h="16838"/>
      <w:pgMar w:top="1276" w:right="1440" w:bottom="1276" w:left="1610" w:header="851" w:footer="851" w:gutter="0"/>
      <w:pgNumType w:chapStyle="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華康辦公用具篇">
    <w:altName w:val="Times New Roman"/>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7BDC">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FDCB1">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0E1EB">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2508E">
    <w:pPr>
      <w:pStyle w:val="29"/>
      <w:framePr w:wrap="around" w:vAnchor="text" w:hAnchor="margin" w:xAlign="outside" w:y="1"/>
      <w:rPr>
        <w:rStyle w:val="48"/>
      </w:rPr>
    </w:pPr>
    <w:r>
      <w:fldChar w:fldCharType="begin"/>
    </w:r>
    <w:r>
      <w:rPr>
        <w:rStyle w:val="48"/>
      </w:rPr>
      <w:instrText xml:space="preserve">PAGE  </w:instrText>
    </w:r>
    <w:r>
      <w:fldChar w:fldCharType="end"/>
    </w:r>
  </w:p>
  <w:p w14:paraId="2D19207E">
    <w:pPr>
      <w:pStyle w:val="2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6271">
    <w:pPr>
      <w:pStyle w:val="20"/>
      <w:jc w:val="both"/>
      <w:rPr>
        <w:szCs w:val="18"/>
      </w:rPr>
    </w:pPr>
    <w:r>
      <mc:AlternateContent>
        <mc:Choice Requires="wps">
          <w:drawing>
            <wp:anchor distT="0" distB="0" distL="114300" distR="114300" simplePos="0" relativeHeight="251659264" behindDoc="0" locked="0" layoutInCell="1" allowOverlap="1">
              <wp:simplePos x="0" y="0"/>
              <wp:positionH relativeFrom="margin">
                <wp:posOffset>2781300</wp:posOffset>
              </wp:positionH>
              <wp:positionV relativeFrom="paragraph">
                <wp:posOffset>635</wp:posOffset>
              </wp:positionV>
              <wp:extent cx="170180" cy="181610"/>
              <wp:effectExtent l="0" t="0" r="1905" b="8890"/>
              <wp:wrapNone/>
              <wp:docPr id="20" name="文本框 20"/>
              <wp:cNvGraphicFramePr/>
              <a:graphic xmlns:a="http://schemas.openxmlformats.org/drawingml/2006/main">
                <a:graphicData uri="http://schemas.microsoft.com/office/word/2010/wordprocessingShape">
                  <wps:wsp>
                    <wps:cNvSpPr txBox="1"/>
                    <wps:spPr>
                      <a:xfrm>
                        <a:off x="0" y="0"/>
                        <a:ext cx="169985" cy="18170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B4336">
                          <w:pPr>
                            <w:pStyle w:val="2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pt;margin-top:0.05pt;height:14.3pt;width:13.4pt;mso-position-horizontal-relative:margin;z-index:251659264;mso-width-relative:page;mso-height-relative:page;" filled="f" stroked="f" coordsize="21600,21600" o:gfxdata="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oCPTN1gAAAAcBAAAPAAAAAAAAAAEAIAAAACIAAABkcnMvZG93bnJldi54bWxQ&#10;SwECFAAUAAAACACHTuJAxSqhvjICAABXBAAADgAAAAAAAAABACAAAAAlAQAAZHJzL2Uyb0RvYy54&#10;bWxQSwUGAAAAAAYABgBZAQAAyQUAAAAA&#10;">
              <v:fill on="f" focussize="0,0"/>
              <v:stroke on="f" weight="0.5pt"/>
              <v:imagedata o:title=""/>
              <o:lock v:ext="edit" aspectratio="f"/>
              <v:textbox inset="0mm,0mm,0mm,0mm">
                <w:txbxContent>
                  <w:p w14:paraId="3E1B4336">
                    <w:pPr>
                      <w:pStyle w:val="2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9CC4">
    <w:pPr>
      <w:pStyle w:val="20"/>
      <w:jc w:val="both"/>
      <w:rPr>
        <w:szCs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0F638">
                          <w:pPr>
                            <w:pStyle w:val="2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6CA0F638">
                    <w:pPr>
                      <w:pStyle w:val="2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8245">
    <w:pPr>
      <w:pStyle w:val="20"/>
      <w:jc w:val="both"/>
      <w:rPr>
        <w:szCs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A7E9B">
                          <w:pPr>
                            <w:pStyle w:val="2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46AA7E9B">
                    <w:pPr>
                      <w:pStyle w:val="2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CAFB6">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45641">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8D839">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5A973">
    <w:pPr>
      <w:pStyle w:val="3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359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EBD61"/>
    <w:multiLevelType w:val="singleLevel"/>
    <w:tmpl w:val="9EDEBD61"/>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pStyle w:val="1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0000000B"/>
    <w:multiLevelType w:val="singleLevel"/>
    <w:tmpl w:val="0000000B"/>
    <w:lvl w:ilvl="0" w:tentative="0">
      <w:start w:val="2"/>
      <w:numFmt w:val="chineseCounting"/>
      <w:suff w:val="space"/>
      <w:lvlText w:val="第%1条"/>
      <w:lvlJc w:val="left"/>
    </w:lvl>
  </w:abstractNum>
  <w:abstractNum w:abstractNumId="3">
    <w:nsid w:val="093447A8"/>
    <w:multiLevelType w:val="singleLevel"/>
    <w:tmpl w:val="093447A8"/>
    <w:lvl w:ilvl="0" w:tentative="0">
      <w:start w:val="10"/>
      <w:numFmt w:val="chineseCounting"/>
      <w:suff w:val="space"/>
      <w:lvlText w:val="第%1条"/>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5NDAwZDU0YmQwYzIxMmExYmJjODVmYzZkMWVmYTkifQ=="/>
  </w:docVars>
  <w:rsids>
    <w:rsidRoot w:val="003E2D88"/>
    <w:rsid w:val="000005C7"/>
    <w:rsid w:val="000019F8"/>
    <w:rsid w:val="000036E1"/>
    <w:rsid w:val="00004BCB"/>
    <w:rsid w:val="00005489"/>
    <w:rsid w:val="00005F00"/>
    <w:rsid w:val="00005F49"/>
    <w:rsid w:val="00007484"/>
    <w:rsid w:val="00007C4E"/>
    <w:rsid w:val="0001041F"/>
    <w:rsid w:val="00010A88"/>
    <w:rsid w:val="00010BE9"/>
    <w:rsid w:val="00010E02"/>
    <w:rsid w:val="00011796"/>
    <w:rsid w:val="0001181A"/>
    <w:rsid w:val="0001278C"/>
    <w:rsid w:val="00012AAB"/>
    <w:rsid w:val="00012BD8"/>
    <w:rsid w:val="00013295"/>
    <w:rsid w:val="00013641"/>
    <w:rsid w:val="00013BA4"/>
    <w:rsid w:val="00014331"/>
    <w:rsid w:val="0001460A"/>
    <w:rsid w:val="00016639"/>
    <w:rsid w:val="00016976"/>
    <w:rsid w:val="00016D6A"/>
    <w:rsid w:val="000171CD"/>
    <w:rsid w:val="00017683"/>
    <w:rsid w:val="0001783E"/>
    <w:rsid w:val="00017E03"/>
    <w:rsid w:val="00020261"/>
    <w:rsid w:val="00020649"/>
    <w:rsid w:val="000210F3"/>
    <w:rsid w:val="000227D3"/>
    <w:rsid w:val="00022B6E"/>
    <w:rsid w:val="0002338A"/>
    <w:rsid w:val="0002554D"/>
    <w:rsid w:val="0002586E"/>
    <w:rsid w:val="0002731E"/>
    <w:rsid w:val="000314AF"/>
    <w:rsid w:val="00032C55"/>
    <w:rsid w:val="00034A7D"/>
    <w:rsid w:val="00034C0C"/>
    <w:rsid w:val="00034DFC"/>
    <w:rsid w:val="00035F43"/>
    <w:rsid w:val="000361E5"/>
    <w:rsid w:val="00036408"/>
    <w:rsid w:val="00036FA2"/>
    <w:rsid w:val="00040AD2"/>
    <w:rsid w:val="00040D82"/>
    <w:rsid w:val="000414F8"/>
    <w:rsid w:val="00042DCA"/>
    <w:rsid w:val="00043CE0"/>
    <w:rsid w:val="00043D09"/>
    <w:rsid w:val="00044921"/>
    <w:rsid w:val="00044F0D"/>
    <w:rsid w:val="000451BE"/>
    <w:rsid w:val="000453DF"/>
    <w:rsid w:val="0004704A"/>
    <w:rsid w:val="00047B97"/>
    <w:rsid w:val="00051340"/>
    <w:rsid w:val="00051C25"/>
    <w:rsid w:val="00053642"/>
    <w:rsid w:val="000537CA"/>
    <w:rsid w:val="00053A47"/>
    <w:rsid w:val="00053B0C"/>
    <w:rsid w:val="0005427E"/>
    <w:rsid w:val="00054668"/>
    <w:rsid w:val="00054A34"/>
    <w:rsid w:val="00054EEA"/>
    <w:rsid w:val="00055BB5"/>
    <w:rsid w:val="00055BE8"/>
    <w:rsid w:val="0005609E"/>
    <w:rsid w:val="00056188"/>
    <w:rsid w:val="000569B8"/>
    <w:rsid w:val="00057B19"/>
    <w:rsid w:val="00057C53"/>
    <w:rsid w:val="000602AB"/>
    <w:rsid w:val="0006115E"/>
    <w:rsid w:val="00061401"/>
    <w:rsid w:val="00061775"/>
    <w:rsid w:val="000629A5"/>
    <w:rsid w:val="000632DB"/>
    <w:rsid w:val="000646CB"/>
    <w:rsid w:val="000656CA"/>
    <w:rsid w:val="00065D43"/>
    <w:rsid w:val="00065D83"/>
    <w:rsid w:val="00066348"/>
    <w:rsid w:val="00066D44"/>
    <w:rsid w:val="00067726"/>
    <w:rsid w:val="000702FB"/>
    <w:rsid w:val="0007082C"/>
    <w:rsid w:val="00070B7E"/>
    <w:rsid w:val="00070D34"/>
    <w:rsid w:val="000711DD"/>
    <w:rsid w:val="00071518"/>
    <w:rsid w:val="00071B75"/>
    <w:rsid w:val="000721AA"/>
    <w:rsid w:val="00073B07"/>
    <w:rsid w:val="00073CB4"/>
    <w:rsid w:val="0007412D"/>
    <w:rsid w:val="00074646"/>
    <w:rsid w:val="00074A24"/>
    <w:rsid w:val="000750F1"/>
    <w:rsid w:val="00076320"/>
    <w:rsid w:val="0007652A"/>
    <w:rsid w:val="000772D0"/>
    <w:rsid w:val="00077C51"/>
    <w:rsid w:val="0008036E"/>
    <w:rsid w:val="00080EE8"/>
    <w:rsid w:val="00081F9E"/>
    <w:rsid w:val="00082B8F"/>
    <w:rsid w:val="00082FC2"/>
    <w:rsid w:val="000853BB"/>
    <w:rsid w:val="00085BE6"/>
    <w:rsid w:val="00090224"/>
    <w:rsid w:val="000903AA"/>
    <w:rsid w:val="00090898"/>
    <w:rsid w:val="00090A04"/>
    <w:rsid w:val="000917BA"/>
    <w:rsid w:val="00091AF7"/>
    <w:rsid w:val="00091D00"/>
    <w:rsid w:val="000922BF"/>
    <w:rsid w:val="000928C4"/>
    <w:rsid w:val="0009369B"/>
    <w:rsid w:val="00093C95"/>
    <w:rsid w:val="00093DD1"/>
    <w:rsid w:val="00094199"/>
    <w:rsid w:val="00094A2D"/>
    <w:rsid w:val="00094A83"/>
    <w:rsid w:val="00096667"/>
    <w:rsid w:val="00097614"/>
    <w:rsid w:val="00097827"/>
    <w:rsid w:val="000A00F3"/>
    <w:rsid w:val="000A0900"/>
    <w:rsid w:val="000A0EB3"/>
    <w:rsid w:val="000A12BF"/>
    <w:rsid w:val="000A2717"/>
    <w:rsid w:val="000A2EC7"/>
    <w:rsid w:val="000A2FA0"/>
    <w:rsid w:val="000A3D8C"/>
    <w:rsid w:val="000A5028"/>
    <w:rsid w:val="000B17C7"/>
    <w:rsid w:val="000B1C2D"/>
    <w:rsid w:val="000B2161"/>
    <w:rsid w:val="000B220D"/>
    <w:rsid w:val="000B2EFC"/>
    <w:rsid w:val="000B31EA"/>
    <w:rsid w:val="000B3666"/>
    <w:rsid w:val="000B3948"/>
    <w:rsid w:val="000B3FA8"/>
    <w:rsid w:val="000B405E"/>
    <w:rsid w:val="000B465E"/>
    <w:rsid w:val="000B4DDB"/>
    <w:rsid w:val="000B51C2"/>
    <w:rsid w:val="000B5760"/>
    <w:rsid w:val="000B5B1A"/>
    <w:rsid w:val="000B5BA9"/>
    <w:rsid w:val="000B621D"/>
    <w:rsid w:val="000B6961"/>
    <w:rsid w:val="000B72E4"/>
    <w:rsid w:val="000C0A82"/>
    <w:rsid w:val="000C0B05"/>
    <w:rsid w:val="000C333C"/>
    <w:rsid w:val="000C3D43"/>
    <w:rsid w:val="000C5050"/>
    <w:rsid w:val="000C59EF"/>
    <w:rsid w:val="000C6491"/>
    <w:rsid w:val="000C7234"/>
    <w:rsid w:val="000C74C3"/>
    <w:rsid w:val="000C79BB"/>
    <w:rsid w:val="000D0CE7"/>
    <w:rsid w:val="000D0D65"/>
    <w:rsid w:val="000D13E8"/>
    <w:rsid w:val="000D24E4"/>
    <w:rsid w:val="000D3745"/>
    <w:rsid w:val="000D39B4"/>
    <w:rsid w:val="000D4681"/>
    <w:rsid w:val="000D4974"/>
    <w:rsid w:val="000D4B5F"/>
    <w:rsid w:val="000D56E5"/>
    <w:rsid w:val="000D57AC"/>
    <w:rsid w:val="000D6F04"/>
    <w:rsid w:val="000D7745"/>
    <w:rsid w:val="000D7BBF"/>
    <w:rsid w:val="000D7FFC"/>
    <w:rsid w:val="000E13CE"/>
    <w:rsid w:val="000E148F"/>
    <w:rsid w:val="000E1FDB"/>
    <w:rsid w:val="000E24DD"/>
    <w:rsid w:val="000E277D"/>
    <w:rsid w:val="000E30E9"/>
    <w:rsid w:val="000E3701"/>
    <w:rsid w:val="000E4B51"/>
    <w:rsid w:val="000E5B4F"/>
    <w:rsid w:val="000E5C77"/>
    <w:rsid w:val="000E5F40"/>
    <w:rsid w:val="000E75E4"/>
    <w:rsid w:val="000E77C4"/>
    <w:rsid w:val="000E7E17"/>
    <w:rsid w:val="000F15ED"/>
    <w:rsid w:val="000F196D"/>
    <w:rsid w:val="000F19B2"/>
    <w:rsid w:val="000F1B15"/>
    <w:rsid w:val="000F52B9"/>
    <w:rsid w:val="000F5479"/>
    <w:rsid w:val="000F6555"/>
    <w:rsid w:val="000F7526"/>
    <w:rsid w:val="000F765B"/>
    <w:rsid w:val="00102A07"/>
    <w:rsid w:val="00103A7C"/>
    <w:rsid w:val="0010500C"/>
    <w:rsid w:val="00105764"/>
    <w:rsid w:val="00105A6B"/>
    <w:rsid w:val="00105B77"/>
    <w:rsid w:val="001066B9"/>
    <w:rsid w:val="001067DC"/>
    <w:rsid w:val="00107B7A"/>
    <w:rsid w:val="00110B7E"/>
    <w:rsid w:val="00110F1E"/>
    <w:rsid w:val="00111BBA"/>
    <w:rsid w:val="001123E9"/>
    <w:rsid w:val="00112670"/>
    <w:rsid w:val="00114ACB"/>
    <w:rsid w:val="0011530A"/>
    <w:rsid w:val="001153C8"/>
    <w:rsid w:val="00115456"/>
    <w:rsid w:val="00116493"/>
    <w:rsid w:val="0011700D"/>
    <w:rsid w:val="00117330"/>
    <w:rsid w:val="00117D03"/>
    <w:rsid w:val="001228AA"/>
    <w:rsid w:val="00123805"/>
    <w:rsid w:val="00124212"/>
    <w:rsid w:val="001243E1"/>
    <w:rsid w:val="00125166"/>
    <w:rsid w:val="00125FD5"/>
    <w:rsid w:val="00126D87"/>
    <w:rsid w:val="0012785F"/>
    <w:rsid w:val="00127DA5"/>
    <w:rsid w:val="00130BC0"/>
    <w:rsid w:val="00131096"/>
    <w:rsid w:val="001311D7"/>
    <w:rsid w:val="0013137F"/>
    <w:rsid w:val="00131681"/>
    <w:rsid w:val="0013350F"/>
    <w:rsid w:val="00134DF0"/>
    <w:rsid w:val="0013587D"/>
    <w:rsid w:val="0013630C"/>
    <w:rsid w:val="0013681C"/>
    <w:rsid w:val="0013692D"/>
    <w:rsid w:val="00136D06"/>
    <w:rsid w:val="00137D42"/>
    <w:rsid w:val="00137EDD"/>
    <w:rsid w:val="00140197"/>
    <w:rsid w:val="00140458"/>
    <w:rsid w:val="001404E9"/>
    <w:rsid w:val="00140814"/>
    <w:rsid w:val="0014297F"/>
    <w:rsid w:val="00143FCF"/>
    <w:rsid w:val="00144746"/>
    <w:rsid w:val="00146925"/>
    <w:rsid w:val="001469A5"/>
    <w:rsid w:val="00147356"/>
    <w:rsid w:val="001476FE"/>
    <w:rsid w:val="00147B0A"/>
    <w:rsid w:val="00150EC0"/>
    <w:rsid w:val="00151CCB"/>
    <w:rsid w:val="001528B0"/>
    <w:rsid w:val="001534DD"/>
    <w:rsid w:val="00153B15"/>
    <w:rsid w:val="00153BE7"/>
    <w:rsid w:val="00153FD2"/>
    <w:rsid w:val="00155BDD"/>
    <w:rsid w:val="00155F86"/>
    <w:rsid w:val="001561A4"/>
    <w:rsid w:val="00156D02"/>
    <w:rsid w:val="00157973"/>
    <w:rsid w:val="0016078C"/>
    <w:rsid w:val="00161721"/>
    <w:rsid w:val="0016179A"/>
    <w:rsid w:val="00161AA2"/>
    <w:rsid w:val="00161F86"/>
    <w:rsid w:val="00162871"/>
    <w:rsid w:val="00163AAB"/>
    <w:rsid w:val="00163BA9"/>
    <w:rsid w:val="0016417A"/>
    <w:rsid w:val="00164318"/>
    <w:rsid w:val="0016477C"/>
    <w:rsid w:val="00165272"/>
    <w:rsid w:val="001652AB"/>
    <w:rsid w:val="00165980"/>
    <w:rsid w:val="0016603F"/>
    <w:rsid w:val="0016640A"/>
    <w:rsid w:val="00166DE3"/>
    <w:rsid w:val="001703EC"/>
    <w:rsid w:val="00170558"/>
    <w:rsid w:val="0017055E"/>
    <w:rsid w:val="0017277D"/>
    <w:rsid w:val="00172C1D"/>
    <w:rsid w:val="00172D34"/>
    <w:rsid w:val="00173244"/>
    <w:rsid w:val="001739D6"/>
    <w:rsid w:val="00174943"/>
    <w:rsid w:val="00174B4A"/>
    <w:rsid w:val="0017600F"/>
    <w:rsid w:val="001774BC"/>
    <w:rsid w:val="00180189"/>
    <w:rsid w:val="00180AE4"/>
    <w:rsid w:val="00180C55"/>
    <w:rsid w:val="00181BE2"/>
    <w:rsid w:val="00183F8B"/>
    <w:rsid w:val="00184771"/>
    <w:rsid w:val="00184CD7"/>
    <w:rsid w:val="001862DF"/>
    <w:rsid w:val="00186E43"/>
    <w:rsid w:val="00186FC9"/>
    <w:rsid w:val="0018755D"/>
    <w:rsid w:val="00187A6B"/>
    <w:rsid w:val="00187C3C"/>
    <w:rsid w:val="00187F7E"/>
    <w:rsid w:val="001909F3"/>
    <w:rsid w:val="00191CF6"/>
    <w:rsid w:val="00191E38"/>
    <w:rsid w:val="00191EEC"/>
    <w:rsid w:val="00192313"/>
    <w:rsid w:val="00192BBF"/>
    <w:rsid w:val="0019413A"/>
    <w:rsid w:val="00194142"/>
    <w:rsid w:val="0019428B"/>
    <w:rsid w:val="00194641"/>
    <w:rsid w:val="00196D9B"/>
    <w:rsid w:val="0019759D"/>
    <w:rsid w:val="0019770D"/>
    <w:rsid w:val="0019792A"/>
    <w:rsid w:val="00197BA6"/>
    <w:rsid w:val="001A02E8"/>
    <w:rsid w:val="001A03AF"/>
    <w:rsid w:val="001A0732"/>
    <w:rsid w:val="001A0934"/>
    <w:rsid w:val="001A14BB"/>
    <w:rsid w:val="001A1F33"/>
    <w:rsid w:val="001A2A9C"/>
    <w:rsid w:val="001A2AFD"/>
    <w:rsid w:val="001A2CFA"/>
    <w:rsid w:val="001A2F99"/>
    <w:rsid w:val="001A2FCE"/>
    <w:rsid w:val="001A3512"/>
    <w:rsid w:val="001A3874"/>
    <w:rsid w:val="001A3E4C"/>
    <w:rsid w:val="001A451D"/>
    <w:rsid w:val="001A57B1"/>
    <w:rsid w:val="001A59A9"/>
    <w:rsid w:val="001A5A5D"/>
    <w:rsid w:val="001A5C81"/>
    <w:rsid w:val="001A7873"/>
    <w:rsid w:val="001A7D73"/>
    <w:rsid w:val="001B047F"/>
    <w:rsid w:val="001B22A7"/>
    <w:rsid w:val="001B25BA"/>
    <w:rsid w:val="001B2973"/>
    <w:rsid w:val="001B2EA0"/>
    <w:rsid w:val="001B3104"/>
    <w:rsid w:val="001B330F"/>
    <w:rsid w:val="001B3F6D"/>
    <w:rsid w:val="001B4D51"/>
    <w:rsid w:val="001B5292"/>
    <w:rsid w:val="001B5486"/>
    <w:rsid w:val="001B6C3E"/>
    <w:rsid w:val="001B6D86"/>
    <w:rsid w:val="001C1463"/>
    <w:rsid w:val="001C33A5"/>
    <w:rsid w:val="001C36A8"/>
    <w:rsid w:val="001C4BD8"/>
    <w:rsid w:val="001C578C"/>
    <w:rsid w:val="001C5B24"/>
    <w:rsid w:val="001C63A1"/>
    <w:rsid w:val="001C6AB1"/>
    <w:rsid w:val="001C6AEE"/>
    <w:rsid w:val="001D0DFE"/>
    <w:rsid w:val="001D17E3"/>
    <w:rsid w:val="001D24EA"/>
    <w:rsid w:val="001D35BD"/>
    <w:rsid w:val="001D397B"/>
    <w:rsid w:val="001D3B2C"/>
    <w:rsid w:val="001D3DC4"/>
    <w:rsid w:val="001D4239"/>
    <w:rsid w:val="001D46E7"/>
    <w:rsid w:val="001D4944"/>
    <w:rsid w:val="001D5309"/>
    <w:rsid w:val="001D55AF"/>
    <w:rsid w:val="001D5BAE"/>
    <w:rsid w:val="001D6A6C"/>
    <w:rsid w:val="001D7940"/>
    <w:rsid w:val="001D7AAC"/>
    <w:rsid w:val="001D7CF0"/>
    <w:rsid w:val="001E0376"/>
    <w:rsid w:val="001E0FDC"/>
    <w:rsid w:val="001E16C8"/>
    <w:rsid w:val="001E16F9"/>
    <w:rsid w:val="001E215D"/>
    <w:rsid w:val="001E2FDA"/>
    <w:rsid w:val="001E3740"/>
    <w:rsid w:val="001E377A"/>
    <w:rsid w:val="001E3C95"/>
    <w:rsid w:val="001E3FE2"/>
    <w:rsid w:val="001E5A6B"/>
    <w:rsid w:val="001E6210"/>
    <w:rsid w:val="001E6352"/>
    <w:rsid w:val="001E6C06"/>
    <w:rsid w:val="001E7E64"/>
    <w:rsid w:val="001F0501"/>
    <w:rsid w:val="001F0816"/>
    <w:rsid w:val="001F1627"/>
    <w:rsid w:val="001F1CFE"/>
    <w:rsid w:val="001F2802"/>
    <w:rsid w:val="001F3362"/>
    <w:rsid w:val="001F36CC"/>
    <w:rsid w:val="001F38AB"/>
    <w:rsid w:val="001F4F64"/>
    <w:rsid w:val="001F64F8"/>
    <w:rsid w:val="001F67A3"/>
    <w:rsid w:val="001F693A"/>
    <w:rsid w:val="001F69A7"/>
    <w:rsid w:val="001F78C9"/>
    <w:rsid w:val="002005BD"/>
    <w:rsid w:val="00201748"/>
    <w:rsid w:val="002019A0"/>
    <w:rsid w:val="00201E7D"/>
    <w:rsid w:val="00202DE9"/>
    <w:rsid w:val="00202E1D"/>
    <w:rsid w:val="00204494"/>
    <w:rsid w:val="00205CFA"/>
    <w:rsid w:val="00206658"/>
    <w:rsid w:val="00206C73"/>
    <w:rsid w:val="00207959"/>
    <w:rsid w:val="00207A20"/>
    <w:rsid w:val="00212063"/>
    <w:rsid w:val="00212D12"/>
    <w:rsid w:val="002155ED"/>
    <w:rsid w:val="00216B4E"/>
    <w:rsid w:val="002170E1"/>
    <w:rsid w:val="0021793A"/>
    <w:rsid w:val="00220EE2"/>
    <w:rsid w:val="00221651"/>
    <w:rsid w:val="00222F66"/>
    <w:rsid w:val="0022382F"/>
    <w:rsid w:val="0022409F"/>
    <w:rsid w:val="00224529"/>
    <w:rsid w:val="0022470C"/>
    <w:rsid w:val="00224905"/>
    <w:rsid w:val="00224CF9"/>
    <w:rsid w:val="002264D3"/>
    <w:rsid w:val="00226CD8"/>
    <w:rsid w:val="00226F16"/>
    <w:rsid w:val="00227154"/>
    <w:rsid w:val="00227555"/>
    <w:rsid w:val="002301D1"/>
    <w:rsid w:val="00231DF4"/>
    <w:rsid w:val="00233365"/>
    <w:rsid w:val="00234A80"/>
    <w:rsid w:val="00234CD8"/>
    <w:rsid w:val="002356CE"/>
    <w:rsid w:val="00235D2B"/>
    <w:rsid w:val="002375AD"/>
    <w:rsid w:val="002410C2"/>
    <w:rsid w:val="0024158A"/>
    <w:rsid w:val="0024178D"/>
    <w:rsid w:val="002420DA"/>
    <w:rsid w:val="0024364D"/>
    <w:rsid w:val="0024401C"/>
    <w:rsid w:val="002446D5"/>
    <w:rsid w:val="00244C44"/>
    <w:rsid w:val="00245656"/>
    <w:rsid w:val="0024592B"/>
    <w:rsid w:val="00245AEC"/>
    <w:rsid w:val="00246E5E"/>
    <w:rsid w:val="00246F6E"/>
    <w:rsid w:val="00247071"/>
    <w:rsid w:val="002470E1"/>
    <w:rsid w:val="00247772"/>
    <w:rsid w:val="0025361A"/>
    <w:rsid w:val="00254348"/>
    <w:rsid w:val="00254428"/>
    <w:rsid w:val="00254BC6"/>
    <w:rsid w:val="00254D9C"/>
    <w:rsid w:val="00255CDB"/>
    <w:rsid w:val="00255DE4"/>
    <w:rsid w:val="002565F3"/>
    <w:rsid w:val="00256F84"/>
    <w:rsid w:val="002570FF"/>
    <w:rsid w:val="00261846"/>
    <w:rsid w:val="00262BF3"/>
    <w:rsid w:val="002632B8"/>
    <w:rsid w:val="0026350D"/>
    <w:rsid w:val="00263B0D"/>
    <w:rsid w:val="00264F2F"/>
    <w:rsid w:val="0026504D"/>
    <w:rsid w:val="002654C1"/>
    <w:rsid w:val="002664AA"/>
    <w:rsid w:val="00266B8D"/>
    <w:rsid w:val="00267C62"/>
    <w:rsid w:val="00271529"/>
    <w:rsid w:val="002715A6"/>
    <w:rsid w:val="0027323D"/>
    <w:rsid w:val="002737AA"/>
    <w:rsid w:val="00273EF7"/>
    <w:rsid w:val="00273F1F"/>
    <w:rsid w:val="00274A78"/>
    <w:rsid w:val="00274E0E"/>
    <w:rsid w:val="0027512C"/>
    <w:rsid w:val="002757AB"/>
    <w:rsid w:val="00275E97"/>
    <w:rsid w:val="0027766B"/>
    <w:rsid w:val="00280FAA"/>
    <w:rsid w:val="002813C9"/>
    <w:rsid w:val="00281686"/>
    <w:rsid w:val="00281E5B"/>
    <w:rsid w:val="00282346"/>
    <w:rsid w:val="00282ACD"/>
    <w:rsid w:val="00282C01"/>
    <w:rsid w:val="00283696"/>
    <w:rsid w:val="002836C0"/>
    <w:rsid w:val="00285478"/>
    <w:rsid w:val="00285CA6"/>
    <w:rsid w:val="00285F2E"/>
    <w:rsid w:val="002864EF"/>
    <w:rsid w:val="002874C3"/>
    <w:rsid w:val="002877AC"/>
    <w:rsid w:val="00290339"/>
    <w:rsid w:val="002903A5"/>
    <w:rsid w:val="00290630"/>
    <w:rsid w:val="00290701"/>
    <w:rsid w:val="002924F4"/>
    <w:rsid w:val="00292B6D"/>
    <w:rsid w:val="0029380C"/>
    <w:rsid w:val="00293E89"/>
    <w:rsid w:val="00294289"/>
    <w:rsid w:val="0029526A"/>
    <w:rsid w:val="002978AB"/>
    <w:rsid w:val="00297E71"/>
    <w:rsid w:val="002A0ED0"/>
    <w:rsid w:val="002A19B4"/>
    <w:rsid w:val="002A1ED2"/>
    <w:rsid w:val="002A20D2"/>
    <w:rsid w:val="002A33A0"/>
    <w:rsid w:val="002A37C1"/>
    <w:rsid w:val="002A4A1C"/>
    <w:rsid w:val="002A4AC0"/>
    <w:rsid w:val="002A521C"/>
    <w:rsid w:val="002A55AD"/>
    <w:rsid w:val="002A7813"/>
    <w:rsid w:val="002B0271"/>
    <w:rsid w:val="002B0E6C"/>
    <w:rsid w:val="002B20C5"/>
    <w:rsid w:val="002B333A"/>
    <w:rsid w:val="002B36D5"/>
    <w:rsid w:val="002B408B"/>
    <w:rsid w:val="002B4CEF"/>
    <w:rsid w:val="002B5A68"/>
    <w:rsid w:val="002B65A2"/>
    <w:rsid w:val="002B68DE"/>
    <w:rsid w:val="002B6984"/>
    <w:rsid w:val="002B7060"/>
    <w:rsid w:val="002B7509"/>
    <w:rsid w:val="002B7933"/>
    <w:rsid w:val="002B7BA3"/>
    <w:rsid w:val="002C046A"/>
    <w:rsid w:val="002C049D"/>
    <w:rsid w:val="002C06BF"/>
    <w:rsid w:val="002C217D"/>
    <w:rsid w:val="002C3053"/>
    <w:rsid w:val="002C4373"/>
    <w:rsid w:val="002C4406"/>
    <w:rsid w:val="002C44C1"/>
    <w:rsid w:val="002C6B00"/>
    <w:rsid w:val="002C6DCB"/>
    <w:rsid w:val="002C7CC8"/>
    <w:rsid w:val="002D0343"/>
    <w:rsid w:val="002D1AC2"/>
    <w:rsid w:val="002D222F"/>
    <w:rsid w:val="002D2E76"/>
    <w:rsid w:val="002D32B9"/>
    <w:rsid w:val="002D36EE"/>
    <w:rsid w:val="002D4E64"/>
    <w:rsid w:val="002D5326"/>
    <w:rsid w:val="002D5C6E"/>
    <w:rsid w:val="002D6335"/>
    <w:rsid w:val="002D6B16"/>
    <w:rsid w:val="002D6E20"/>
    <w:rsid w:val="002D76BD"/>
    <w:rsid w:val="002E11F2"/>
    <w:rsid w:val="002E2727"/>
    <w:rsid w:val="002E351F"/>
    <w:rsid w:val="002E466C"/>
    <w:rsid w:val="002E4A46"/>
    <w:rsid w:val="002E55EF"/>
    <w:rsid w:val="002E5C65"/>
    <w:rsid w:val="002E7704"/>
    <w:rsid w:val="002E7820"/>
    <w:rsid w:val="002E7AC5"/>
    <w:rsid w:val="002F0BA3"/>
    <w:rsid w:val="002F20E5"/>
    <w:rsid w:val="002F3598"/>
    <w:rsid w:val="002F4142"/>
    <w:rsid w:val="002F43F9"/>
    <w:rsid w:val="002F4526"/>
    <w:rsid w:val="002F4717"/>
    <w:rsid w:val="002F4860"/>
    <w:rsid w:val="002F556D"/>
    <w:rsid w:val="002F5CAD"/>
    <w:rsid w:val="002F6CBE"/>
    <w:rsid w:val="002F6DF7"/>
    <w:rsid w:val="002F7194"/>
    <w:rsid w:val="002F73D9"/>
    <w:rsid w:val="00300715"/>
    <w:rsid w:val="00300D56"/>
    <w:rsid w:val="0030256A"/>
    <w:rsid w:val="003047D1"/>
    <w:rsid w:val="00304D4C"/>
    <w:rsid w:val="00307484"/>
    <w:rsid w:val="00307629"/>
    <w:rsid w:val="00307730"/>
    <w:rsid w:val="00310118"/>
    <w:rsid w:val="00310CF1"/>
    <w:rsid w:val="00310F45"/>
    <w:rsid w:val="00312BA1"/>
    <w:rsid w:val="00313678"/>
    <w:rsid w:val="00313943"/>
    <w:rsid w:val="003145D2"/>
    <w:rsid w:val="00315019"/>
    <w:rsid w:val="00315B43"/>
    <w:rsid w:val="0031678D"/>
    <w:rsid w:val="00317760"/>
    <w:rsid w:val="00317CFB"/>
    <w:rsid w:val="00317E72"/>
    <w:rsid w:val="00320549"/>
    <w:rsid w:val="0032067E"/>
    <w:rsid w:val="0032068B"/>
    <w:rsid w:val="0032216F"/>
    <w:rsid w:val="003236F0"/>
    <w:rsid w:val="00323CB0"/>
    <w:rsid w:val="00324302"/>
    <w:rsid w:val="003253AF"/>
    <w:rsid w:val="003255FC"/>
    <w:rsid w:val="003258FB"/>
    <w:rsid w:val="0032594F"/>
    <w:rsid w:val="00330965"/>
    <w:rsid w:val="0033165B"/>
    <w:rsid w:val="00331898"/>
    <w:rsid w:val="00331A7B"/>
    <w:rsid w:val="00331FE0"/>
    <w:rsid w:val="00332FA6"/>
    <w:rsid w:val="00333143"/>
    <w:rsid w:val="00333940"/>
    <w:rsid w:val="00333DF5"/>
    <w:rsid w:val="0033428F"/>
    <w:rsid w:val="00334707"/>
    <w:rsid w:val="00334C55"/>
    <w:rsid w:val="003353DD"/>
    <w:rsid w:val="003358AA"/>
    <w:rsid w:val="00335D90"/>
    <w:rsid w:val="00336045"/>
    <w:rsid w:val="0033700C"/>
    <w:rsid w:val="003378B7"/>
    <w:rsid w:val="00341968"/>
    <w:rsid w:val="003430AD"/>
    <w:rsid w:val="003433AE"/>
    <w:rsid w:val="003437D2"/>
    <w:rsid w:val="0034408E"/>
    <w:rsid w:val="00344994"/>
    <w:rsid w:val="00344DF1"/>
    <w:rsid w:val="00344ED0"/>
    <w:rsid w:val="00347371"/>
    <w:rsid w:val="00347B30"/>
    <w:rsid w:val="00347B8F"/>
    <w:rsid w:val="00347BFD"/>
    <w:rsid w:val="00350C8F"/>
    <w:rsid w:val="00350E19"/>
    <w:rsid w:val="00351433"/>
    <w:rsid w:val="00351CC2"/>
    <w:rsid w:val="00351F90"/>
    <w:rsid w:val="00352721"/>
    <w:rsid w:val="003540DE"/>
    <w:rsid w:val="003549FD"/>
    <w:rsid w:val="00354A37"/>
    <w:rsid w:val="00354B3C"/>
    <w:rsid w:val="003555CC"/>
    <w:rsid w:val="00356412"/>
    <w:rsid w:val="00356CB7"/>
    <w:rsid w:val="00357403"/>
    <w:rsid w:val="00360669"/>
    <w:rsid w:val="003610DA"/>
    <w:rsid w:val="00361243"/>
    <w:rsid w:val="0036185C"/>
    <w:rsid w:val="00361E52"/>
    <w:rsid w:val="00361EAF"/>
    <w:rsid w:val="0036221B"/>
    <w:rsid w:val="00362DAF"/>
    <w:rsid w:val="00362ECC"/>
    <w:rsid w:val="00363102"/>
    <w:rsid w:val="00363253"/>
    <w:rsid w:val="00363BB0"/>
    <w:rsid w:val="0036423B"/>
    <w:rsid w:val="0036481E"/>
    <w:rsid w:val="00365549"/>
    <w:rsid w:val="00365795"/>
    <w:rsid w:val="00366BEF"/>
    <w:rsid w:val="003674AC"/>
    <w:rsid w:val="003700C6"/>
    <w:rsid w:val="0037012F"/>
    <w:rsid w:val="003713EA"/>
    <w:rsid w:val="0037294A"/>
    <w:rsid w:val="00372D0D"/>
    <w:rsid w:val="00373CB3"/>
    <w:rsid w:val="0037440E"/>
    <w:rsid w:val="00374BC9"/>
    <w:rsid w:val="003761A4"/>
    <w:rsid w:val="00376AA5"/>
    <w:rsid w:val="0037719F"/>
    <w:rsid w:val="003778C5"/>
    <w:rsid w:val="00381B66"/>
    <w:rsid w:val="00381DC6"/>
    <w:rsid w:val="00382288"/>
    <w:rsid w:val="00382B53"/>
    <w:rsid w:val="00383E21"/>
    <w:rsid w:val="00383F04"/>
    <w:rsid w:val="00383FF6"/>
    <w:rsid w:val="0038470D"/>
    <w:rsid w:val="00384FDB"/>
    <w:rsid w:val="00385C53"/>
    <w:rsid w:val="00386453"/>
    <w:rsid w:val="0038660A"/>
    <w:rsid w:val="00386905"/>
    <w:rsid w:val="00386A4D"/>
    <w:rsid w:val="00386CE1"/>
    <w:rsid w:val="00386F65"/>
    <w:rsid w:val="00387634"/>
    <w:rsid w:val="00390BA5"/>
    <w:rsid w:val="003917F0"/>
    <w:rsid w:val="00391EC8"/>
    <w:rsid w:val="003930C5"/>
    <w:rsid w:val="00393DB8"/>
    <w:rsid w:val="003971BA"/>
    <w:rsid w:val="00397F1F"/>
    <w:rsid w:val="003A2048"/>
    <w:rsid w:val="003A20F9"/>
    <w:rsid w:val="003A2972"/>
    <w:rsid w:val="003A2C61"/>
    <w:rsid w:val="003A348B"/>
    <w:rsid w:val="003A39B6"/>
    <w:rsid w:val="003A4FC3"/>
    <w:rsid w:val="003A5FA3"/>
    <w:rsid w:val="003A69D2"/>
    <w:rsid w:val="003B0581"/>
    <w:rsid w:val="003B0C3D"/>
    <w:rsid w:val="003B1A3E"/>
    <w:rsid w:val="003B1F20"/>
    <w:rsid w:val="003B1FFB"/>
    <w:rsid w:val="003B2003"/>
    <w:rsid w:val="003B20A8"/>
    <w:rsid w:val="003B2202"/>
    <w:rsid w:val="003B32C8"/>
    <w:rsid w:val="003B3C44"/>
    <w:rsid w:val="003B3D69"/>
    <w:rsid w:val="003B3ED1"/>
    <w:rsid w:val="003B42DA"/>
    <w:rsid w:val="003B44C0"/>
    <w:rsid w:val="003B60B1"/>
    <w:rsid w:val="003B6453"/>
    <w:rsid w:val="003B65F6"/>
    <w:rsid w:val="003B6A76"/>
    <w:rsid w:val="003C0E55"/>
    <w:rsid w:val="003C142F"/>
    <w:rsid w:val="003C2384"/>
    <w:rsid w:val="003C2561"/>
    <w:rsid w:val="003C34F8"/>
    <w:rsid w:val="003C4AB1"/>
    <w:rsid w:val="003C5106"/>
    <w:rsid w:val="003C512B"/>
    <w:rsid w:val="003C5D64"/>
    <w:rsid w:val="003C6276"/>
    <w:rsid w:val="003C77A0"/>
    <w:rsid w:val="003C7E10"/>
    <w:rsid w:val="003D1DF9"/>
    <w:rsid w:val="003D29E1"/>
    <w:rsid w:val="003D2B0F"/>
    <w:rsid w:val="003D3060"/>
    <w:rsid w:val="003D3B30"/>
    <w:rsid w:val="003D3E70"/>
    <w:rsid w:val="003D4E49"/>
    <w:rsid w:val="003D677D"/>
    <w:rsid w:val="003D6A0F"/>
    <w:rsid w:val="003D6BD7"/>
    <w:rsid w:val="003D6CDC"/>
    <w:rsid w:val="003D6ECD"/>
    <w:rsid w:val="003E0751"/>
    <w:rsid w:val="003E1D13"/>
    <w:rsid w:val="003E277E"/>
    <w:rsid w:val="003E2D88"/>
    <w:rsid w:val="003E5CF9"/>
    <w:rsid w:val="003E610A"/>
    <w:rsid w:val="003E66E2"/>
    <w:rsid w:val="003E6B06"/>
    <w:rsid w:val="003E70B8"/>
    <w:rsid w:val="003E7966"/>
    <w:rsid w:val="003F090C"/>
    <w:rsid w:val="003F0A02"/>
    <w:rsid w:val="003F11EA"/>
    <w:rsid w:val="003F1E1D"/>
    <w:rsid w:val="003F2AB1"/>
    <w:rsid w:val="003F3A34"/>
    <w:rsid w:val="003F4523"/>
    <w:rsid w:val="003F48D2"/>
    <w:rsid w:val="003F4996"/>
    <w:rsid w:val="003F56A5"/>
    <w:rsid w:val="003F5D06"/>
    <w:rsid w:val="003F7011"/>
    <w:rsid w:val="003F701E"/>
    <w:rsid w:val="003F704F"/>
    <w:rsid w:val="003F7285"/>
    <w:rsid w:val="003F74BD"/>
    <w:rsid w:val="003F74F9"/>
    <w:rsid w:val="003F7772"/>
    <w:rsid w:val="003F78B9"/>
    <w:rsid w:val="003F7EB1"/>
    <w:rsid w:val="00400431"/>
    <w:rsid w:val="00400A56"/>
    <w:rsid w:val="00400C0F"/>
    <w:rsid w:val="00401E08"/>
    <w:rsid w:val="00401F27"/>
    <w:rsid w:val="00401FB4"/>
    <w:rsid w:val="00402769"/>
    <w:rsid w:val="00405B0F"/>
    <w:rsid w:val="00406388"/>
    <w:rsid w:val="00406EDB"/>
    <w:rsid w:val="0040790B"/>
    <w:rsid w:val="004104CC"/>
    <w:rsid w:val="00411D87"/>
    <w:rsid w:val="00412FB4"/>
    <w:rsid w:val="004141EC"/>
    <w:rsid w:val="0041440E"/>
    <w:rsid w:val="00414653"/>
    <w:rsid w:val="00414960"/>
    <w:rsid w:val="00414E83"/>
    <w:rsid w:val="004159D7"/>
    <w:rsid w:val="00415A50"/>
    <w:rsid w:val="00415C20"/>
    <w:rsid w:val="00415D56"/>
    <w:rsid w:val="00415E01"/>
    <w:rsid w:val="004168CD"/>
    <w:rsid w:val="00416CD6"/>
    <w:rsid w:val="00416EBB"/>
    <w:rsid w:val="004170F6"/>
    <w:rsid w:val="004174AA"/>
    <w:rsid w:val="00417719"/>
    <w:rsid w:val="004202C8"/>
    <w:rsid w:val="004213F1"/>
    <w:rsid w:val="00421407"/>
    <w:rsid w:val="004251AD"/>
    <w:rsid w:val="00425F44"/>
    <w:rsid w:val="00427198"/>
    <w:rsid w:val="00427B8C"/>
    <w:rsid w:val="0043047C"/>
    <w:rsid w:val="00430D2A"/>
    <w:rsid w:val="004312C0"/>
    <w:rsid w:val="0043132E"/>
    <w:rsid w:val="0043223A"/>
    <w:rsid w:val="00433863"/>
    <w:rsid w:val="00433BC1"/>
    <w:rsid w:val="00433D97"/>
    <w:rsid w:val="004343C3"/>
    <w:rsid w:val="00434693"/>
    <w:rsid w:val="00435D87"/>
    <w:rsid w:val="00435E6E"/>
    <w:rsid w:val="00436352"/>
    <w:rsid w:val="004365A5"/>
    <w:rsid w:val="00437DB2"/>
    <w:rsid w:val="004400C4"/>
    <w:rsid w:val="00441159"/>
    <w:rsid w:val="004412CB"/>
    <w:rsid w:val="004417E2"/>
    <w:rsid w:val="00441824"/>
    <w:rsid w:val="00441A5F"/>
    <w:rsid w:val="00441AD2"/>
    <w:rsid w:val="00441B71"/>
    <w:rsid w:val="00441F23"/>
    <w:rsid w:val="004445C9"/>
    <w:rsid w:val="00445351"/>
    <w:rsid w:val="004454D3"/>
    <w:rsid w:val="0044568E"/>
    <w:rsid w:val="00445B59"/>
    <w:rsid w:val="00446B10"/>
    <w:rsid w:val="004470B0"/>
    <w:rsid w:val="0044714E"/>
    <w:rsid w:val="00447A49"/>
    <w:rsid w:val="00447C13"/>
    <w:rsid w:val="00447CB0"/>
    <w:rsid w:val="00450365"/>
    <w:rsid w:val="004505A6"/>
    <w:rsid w:val="004509A8"/>
    <w:rsid w:val="00450D48"/>
    <w:rsid w:val="0045180D"/>
    <w:rsid w:val="00451EE5"/>
    <w:rsid w:val="004529F5"/>
    <w:rsid w:val="00452AB7"/>
    <w:rsid w:val="004540BB"/>
    <w:rsid w:val="0045446D"/>
    <w:rsid w:val="0045459A"/>
    <w:rsid w:val="00455309"/>
    <w:rsid w:val="004572C2"/>
    <w:rsid w:val="00460BB6"/>
    <w:rsid w:val="00461C63"/>
    <w:rsid w:val="00462FDE"/>
    <w:rsid w:val="00464A44"/>
    <w:rsid w:val="00465510"/>
    <w:rsid w:val="00467702"/>
    <w:rsid w:val="00467FC7"/>
    <w:rsid w:val="00470644"/>
    <w:rsid w:val="0047302F"/>
    <w:rsid w:val="00473E7D"/>
    <w:rsid w:val="00474E5F"/>
    <w:rsid w:val="004766FE"/>
    <w:rsid w:val="004774B9"/>
    <w:rsid w:val="00477E2A"/>
    <w:rsid w:val="00477E8F"/>
    <w:rsid w:val="00481879"/>
    <w:rsid w:val="00482D4E"/>
    <w:rsid w:val="00482DA6"/>
    <w:rsid w:val="00482FD9"/>
    <w:rsid w:val="00483B54"/>
    <w:rsid w:val="00483F6D"/>
    <w:rsid w:val="00484510"/>
    <w:rsid w:val="00484C2B"/>
    <w:rsid w:val="0048504C"/>
    <w:rsid w:val="00485176"/>
    <w:rsid w:val="004853D6"/>
    <w:rsid w:val="00485766"/>
    <w:rsid w:val="00485DBE"/>
    <w:rsid w:val="00486D95"/>
    <w:rsid w:val="00486E22"/>
    <w:rsid w:val="00487D4C"/>
    <w:rsid w:val="00487E32"/>
    <w:rsid w:val="00491018"/>
    <w:rsid w:val="0049259A"/>
    <w:rsid w:val="00492998"/>
    <w:rsid w:val="00492DA1"/>
    <w:rsid w:val="004944A6"/>
    <w:rsid w:val="004946AF"/>
    <w:rsid w:val="0049591A"/>
    <w:rsid w:val="00496BB9"/>
    <w:rsid w:val="00496C8B"/>
    <w:rsid w:val="004A0D0F"/>
    <w:rsid w:val="004A0D22"/>
    <w:rsid w:val="004A162D"/>
    <w:rsid w:val="004A1F05"/>
    <w:rsid w:val="004A1F39"/>
    <w:rsid w:val="004A2144"/>
    <w:rsid w:val="004A2AE8"/>
    <w:rsid w:val="004A2B68"/>
    <w:rsid w:val="004A34C8"/>
    <w:rsid w:val="004A3E12"/>
    <w:rsid w:val="004A4A85"/>
    <w:rsid w:val="004A54D4"/>
    <w:rsid w:val="004A630E"/>
    <w:rsid w:val="004B02D9"/>
    <w:rsid w:val="004B0A9B"/>
    <w:rsid w:val="004B12F4"/>
    <w:rsid w:val="004B3176"/>
    <w:rsid w:val="004B3AA2"/>
    <w:rsid w:val="004B3FA3"/>
    <w:rsid w:val="004B4C55"/>
    <w:rsid w:val="004B5A06"/>
    <w:rsid w:val="004B6D9A"/>
    <w:rsid w:val="004B721A"/>
    <w:rsid w:val="004B7F68"/>
    <w:rsid w:val="004C13FC"/>
    <w:rsid w:val="004C250C"/>
    <w:rsid w:val="004C3C0F"/>
    <w:rsid w:val="004C3F12"/>
    <w:rsid w:val="004C497F"/>
    <w:rsid w:val="004C4E7C"/>
    <w:rsid w:val="004C6785"/>
    <w:rsid w:val="004C6AB5"/>
    <w:rsid w:val="004C738F"/>
    <w:rsid w:val="004D0D88"/>
    <w:rsid w:val="004D1842"/>
    <w:rsid w:val="004D1F73"/>
    <w:rsid w:val="004D3437"/>
    <w:rsid w:val="004D3513"/>
    <w:rsid w:val="004D44F0"/>
    <w:rsid w:val="004D4B1F"/>
    <w:rsid w:val="004D5359"/>
    <w:rsid w:val="004D5409"/>
    <w:rsid w:val="004D5424"/>
    <w:rsid w:val="004D5CC4"/>
    <w:rsid w:val="004D6025"/>
    <w:rsid w:val="004D61D0"/>
    <w:rsid w:val="004D6D1F"/>
    <w:rsid w:val="004D7E80"/>
    <w:rsid w:val="004E08A7"/>
    <w:rsid w:val="004E218B"/>
    <w:rsid w:val="004E2598"/>
    <w:rsid w:val="004E2B01"/>
    <w:rsid w:val="004E3DAF"/>
    <w:rsid w:val="004E43D7"/>
    <w:rsid w:val="004E4A5A"/>
    <w:rsid w:val="004E4B4E"/>
    <w:rsid w:val="004E5AD5"/>
    <w:rsid w:val="004E5DA5"/>
    <w:rsid w:val="004E6F29"/>
    <w:rsid w:val="004E72E9"/>
    <w:rsid w:val="004E742A"/>
    <w:rsid w:val="004E7615"/>
    <w:rsid w:val="004F1C50"/>
    <w:rsid w:val="004F2098"/>
    <w:rsid w:val="004F26ED"/>
    <w:rsid w:val="004F2EA6"/>
    <w:rsid w:val="004F352B"/>
    <w:rsid w:val="004F371F"/>
    <w:rsid w:val="004F48B6"/>
    <w:rsid w:val="004F5126"/>
    <w:rsid w:val="004F5238"/>
    <w:rsid w:val="004F59B6"/>
    <w:rsid w:val="004F67EF"/>
    <w:rsid w:val="005011D7"/>
    <w:rsid w:val="00501216"/>
    <w:rsid w:val="00501517"/>
    <w:rsid w:val="005019E1"/>
    <w:rsid w:val="00502256"/>
    <w:rsid w:val="005033D1"/>
    <w:rsid w:val="00503707"/>
    <w:rsid w:val="00503964"/>
    <w:rsid w:val="005039EB"/>
    <w:rsid w:val="00504624"/>
    <w:rsid w:val="00504C8A"/>
    <w:rsid w:val="00505BD5"/>
    <w:rsid w:val="00505C09"/>
    <w:rsid w:val="00506372"/>
    <w:rsid w:val="00506581"/>
    <w:rsid w:val="00506B1E"/>
    <w:rsid w:val="00506D1E"/>
    <w:rsid w:val="00507823"/>
    <w:rsid w:val="00511275"/>
    <w:rsid w:val="00512027"/>
    <w:rsid w:val="00513DBC"/>
    <w:rsid w:val="00514B87"/>
    <w:rsid w:val="00515BE2"/>
    <w:rsid w:val="00515C14"/>
    <w:rsid w:val="00515C5B"/>
    <w:rsid w:val="005162B6"/>
    <w:rsid w:val="00516715"/>
    <w:rsid w:val="00516B5A"/>
    <w:rsid w:val="00517018"/>
    <w:rsid w:val="00517199"/>
    <w:rsid w:val="00517707"/>
    <w:rsid w:val="005207CF"/>
    <w:rsid w:val="00520FDA"/>
    <w:rsid w:val="00521246"/>
    <w:rsid w:val="00522041"/>
    <w:rsid w:val="0052240F"/>
    <w:rsid w:val="005227D8"/>
    <w:rsid w:val="00523398"/>
    <w:rsid w:val="00523EA9"/>
    <w:rsid w:val="00524D2C"/>
    <w:rsid w:val="005262EC"/>
    <w:rsid w:val="00526331"/>
    <w:rsid w:val="00527907"/>
    <w:rsid w:val="00527E79"/>
    <w:rsid w:val="0053085F"/>
    <w:rsid w:val="00530CC2"/>
    <w:rsid w:val="00530FC6"/>
    <w:rsid w:val="00531090"/>
    <w:rsid w:val="00531585"/>
    <w:rsid w:val="00531B71"/>
    <w:rsid w:val="005324AB"/>
    <w:rsid w:val="0053437D"/>
    <w:rsid w:val="00534592"/>
    <w:rsid w:val="005345A8"/>
    <w:rsid w:val="0053502F"/>
    <w:rsid w:val="00535358"/>
    <w:rsid w:val="00535707"/>
    <w:rsid w:val="005363CE"/>
    <w:rsid w:val="00536620"/>
    <w:rsid w:val="00536A56"/>
    <w:rsid w:val="00536C65"/>
    <w:rsid w:val="0053732B"/>
    <w:rsid w:val="0054111C"/>
    <w:rsid w:val="005428CE"/>
    <w:rsid w:val="00542EE4"/>
    <w:rsid w:val="0054330D"/>
    <w:rsid w:val="00543572"/>
    <w:rsid w:val="0054452F"/>
    <w:rsid w:val="00545763"/>
    <w:rsid w:val="00545E1C"/>
    <w:rsid w:val="00545E56"/>
    <w:rsid w:val="00545FF2"/>
    <w:rsid w:val="005465E4"/>
    <w:rsid w:val="005474BB"/>
    <w:rsid w:val="005506C9"/>
    <w:rsid w:val="00551D68"/>
    <w:rsid w:val="005521E9"/>
    <w:rsid w:val="005525D1"/>
    <w:rsid w:val="005531EE"/>
    <w:rsid w:val="00553794"/>
    <w:rsid w:val="00553D34"/>
    <w:rsid w:val="00553FFD"/>
    <w:rsid w:val="00554034"/>
    <w:rsid w:val="00554310"/>
    <w:rsid w:val="00554B70"/>
    <w:rsid w:val="0055559B"/>
    <w:rsid w:val="00555F43"/>
    <w:rsid w:val="00556211"/>
    <w:rsid w:val="00556AAC"/>
    <w:rsid w:val="005577C1"/>
    <w:rsid w:val="00560116"/>
    <w:rsid w:val="005601E5"/>
    <w:rsid w:val="005602CD"/>
    <w:rsid w:val="005608A3"/>
    <w:rsid w:val="00560961"/>
    <w:rsid w:val="00560FEF"/>
    <w:rsid w:val="00561997"/>
    <w:rsid w:val="00562539"/>
    <w:rsid w:val="00562F6E"/>
    <w:rsid w:val="005635B1"/>
    <w:rsid w:val="00563776"/>
    <w:rsid w:val="00563785"/>
    <w:rsid w:val="005644E2"/>
    <w:rsid w:val="00564A7F"/>
    <w:rsid w:val="00566140"/>
    <w:rsid w:val="0056673C"/>
    <w:rsid w:val="005673B1"/>
    <w:rsid w:val="00567832"/>
    <w:rsid w:val="00567FF8"/>
    <w:rsid w:val="0057005D"/>
    <w:rsid w:val="00571707"/>
    <w:rsid w:val="005721E0"/>
    <w:rsid w:val="00572590"/>
    <w:rsid w:val="00572F79"/>
    <w:rsid w:val="00574125"/>
    <w:rsid w:val="00576557"/>
    <w:rsid w:val="00577C9A"/>
    <w:rsid w:val="00580A7B"/>
    <w:rsid w:val="00580B9C"/>
    <w:rsid w:val="00581EB7"/>
    <w:rsid w:val="005825C9"/>
    <w:rsid w:val="00582BC3"/>
    <w:rsid w:val="005846E4"/>
    <w:rsid w:val="005856DC"/>
    <w:rsid w:val="00585DA7"/>
    <w:rsid w:val="0058678C"/>
    <w:rsid w:val="005875E1"/>
    <w:rsid w:val="005908E0"/>
    <w:rsid w:val="005908FE"/>
    <w:rsid w:val="005916D7"/>
    <w:rsid w:val="005924DD"/>
    <w:rsid w:val="00593504"/>
    <w:rsid w:val="005948BF"/>
    <w:rsid w:val="005949A6"/>
    <w:rsid w:val="00594F24"/>
    <w:rsid w:val="00596156"/>
    <w:rsid w:val="0059638F"/>
    <w:rsid w:val="005965FA"/>
    <w:rsid w:val="00597CE9"/>
    <w:rsid w:val="005A05A0"/>
    <w:rsid w:val="005A0786"/>
    <w:rsid w:val="005A08C1"/>
    <w:rsid w:val="005A0D77"/>
    <w:rsid w:val="005A13F2"/>
    <w:rsid w:val="005A163B"/>
    <w:rsid w:val="005A1AE5"/>
    <w:rsid w:val="005A1FA0"/>
    <w:rsid w:val="005A3C31"/>
    <w:rsid w:val="005A4A02"/>
    <w:rsid w:val="005A4BAD"/>
    <w:rsid w:val="005A4CEA"/>
    <w:rsid w:val="005A5A46"/>
    <w:rsid w:val="005A7862"/>
    <w:rsid w:val="005A7BDC"/>
    <w:rsid w:val="005A7CDA"/>
    <w:rsid w:val="005A7D9B"/>
    <w:rsid w:val="005B0994"/>
    <w:rsid w:val="005B0D7C"/>
    <w:rsid w:val="005B1084"/>
    <w:rsid w:val="005B1B76"/>
    <w:rsid w:val="005B1E49"/>
    <w:rsid w:val="005B2BBF"/>
    <w:rsid w:val="005B3B9D"/>
    <w:rsid w:val="005B3CBB"/>
    <w:rsid w:val="005B3EAF"/>
    <w:rsid w:val="005B51FB"/>
    <w:rsid w:val="005B591D"/>
    <w:rsid w:val="005B5C28"/>
    <w:rsid w:val="005B6223"/>
    <w:rsid w:val="005B671E"/>
    <w:rsid w:val="005B6F71"/>
    <w:rsid w:val="005B7F7D"/>
    <w:rsid w:val="005C0270"/>
    <w:rsid w:val="005C04E2"/>
    <w:rsid w:val="005C0A6E"/>
    <w:rsid w:val="005C1FB9"/>
    <w:rsid w:val="005C2DBC"/>
    <w:rsid w:val="005C3879"/>
    <w:rsid w:val="005C3A23"/>
    <w:rsid w:val="005C428E"/>
    <w:rsid w:val="005C51DE"/>
    <w:rsid w:val="005C51F7"/>
    <w:rsid w:val="005C561A"/>
    <w:rsid w:val="005C568E"/>
    <w:rsid w:val="005C5B45"/>
    <w:rsid w:val="005C5D10"/>
    <w:rsid w:val="005C60D2"/>
    <w:rsid w:val="005C633C"/>
    <w:rsid w:val="005C64F2"/>
    <w:rsid w:val="005C667E"/>
    <w:rsid w:val="005D002C"/>
    <w:rsid w:val="005D2CC0"/>
    <w:rsid w:val="005D2E04"/>
    <w:rsid w:val="005D3829"/>
    <w:rsid w:val="005D437B"/>
    <w:rsid w:val="005D471B"/>
    <w:rsid w:val="005D4C66"/>
    <w:rsid w:val="005D4D7B"/>
    <w:rsid w:val="005D4E09"/>
    <w:rsid w:val="005D529E"/>
    <w:rsid w:val="005D52A7"/>
    <w:rsid w:val="005D665B"/>
    <w:rsid w:val="005D6F77"/>
    <w:rsid w:val="005D7252"/>
    <w:rsid w:val="005D7E20"/>
    <w:rsid w:val="005E01E6"/>
    <w:rsid w:val="005E0370"/>
    <w:rsid w:val="005E13FF"/>
    <w:rsid w:val="005E1ED0"/>
    <w:rsid w:val="005E214D"/>
    <w:rsid w:val="005E2870"/>
    <w:rsid w:val="005E3478"/>
    <w:rsid w:val="005E4691"/>
    <w:rsid w:val="005E4816"/>
    <w:rsid w:val="005E504B"/>
    <w:rsid w:val="005E51D8"/>
    <w:rsid w:val="005E6528"/>
    <w:rsid w:val="005E6796"/>
    <w:rsid w:val="005E720F"/>
    <w:rsid w:val="005E73C1"/>
    <w:rsid w:val="005E7C74"/>
    <w:rsid w:val="005F32AA"/>
    <w:rsid w:val="005F3442"/>
    <w:rsid w:val="005F4213"/>
    <w:rsid w:val="005F4A7E"/>
    <w:rsid w:val="005F4A9B"/>
    <w:rsid w:val="005F5ACD"/>
    <w:rsid w:val="005F5AE0"/>
    <w:rsid w:val="005F6E4E"/>
    <w:rsid w:val="005F77C6"/>
    <w:rsid w:val="006001EA"/>
    <w:rsid w:val="00601257"/>
    <w:rsid w:val="00601CF8"/>
    <w:rsid w:val="00602C9C"/>
    <w:rsid w:val="00603D4C"/>
    <w:rsid w:val="00603EDA"/>
    <w:rsid w:val="00604766"/>
    <w:rsid w:val="00605635"/>
    <w:rsid w:val="006056ED"/>
    <w:rsid w:val="00605EAE"/>
    <w:rsid w:val="006060E0"/>
    <w:rsid w:val="00606493"/>
    <w:rsid w:val="006106CD"/>
    <w:rsid w:val="00610A4F"/>
    <w:rsid w:val="0061191C"/>
    <w:rsid w:val="00611FE3"/>
    <w:rsid w:val="006125DA"/>
    <w:rsid w:val="006129B0"/>
    <w:rsid w:val="006133E0"/>
    <w:rsid w:val="00614126"/>
    <w:rsid w:val="00614180"/>
    <w:rsid w:val="00614303"/>
    <w:rsid w:val="00614617"/>
    <w:rsid w:val="006157B8"/>
    <w:rsid w:val="006158AE"/>
    <w:rsid w:val="00615F18"/>
    <w:rsid w:val="00616309"/>
    <w:rsid w:val="0061720E"/>
    <w:rsid w:val="00620867"/>
    <w:rsid w:val="0062175F"/>
    <w:rsid w:val="006230A6"/>
    <w:rsid w:val="006242E6"/>
    <w:rsid w:val="00626344"/>
    <w:rsid w:val="00626909"/>
    <w:rsid w:val="006278B1"/>
    <w:rsid w:val="00627FA6"/>
    <w:rsid w:val="00630C2A"/>
    <w:rsid w:val="0063138D"/>
    <w:rsid w:val="00632267"/>
    <w:rsid w:val="00632422"/>
    <w:rsid w:val="00632B7C"/>
    <w:rsid w:val="00632F3D"/>
    <w:rsid w:val="00633CF3"/>
    <w:rsid w:val="0063427A"/>
    <w:rsid w:val="006344AB"/>
    <w:rsid w:val="00636C1E"/>
    <w:rsid w:val="006374C2"/>
    <w:rsid w:val="006412C6"/>
    <w:rsid w:val="006413FA"/>
    <w:rsid w:val="0064162A"/>
    <w:rsid w:val="006417B9"/>
    <w:rsid w:val="00641C61"/>
    <w:rsid w:val="0064237A"/>
    <w:rsid w:val="006427C0"/>
    <w:rsid w:val="0064295E"/>
    <w:rsid w:val="0064707F"/>
    <w:rsid w:val="006478F1"/>
    <w:rsid w:val="0065004A"/>
    <w:rsid w:val="006505B9"/>
    <w:rsid w:val="00651E1B"/>
    <w:rsid w:val="00652036"/>
    <w:rsid w:val="00652071"/>
    <w:rsid w:val="00652336"/>
    <w:rsid w:val="00652956"/>
    <w:rsid w:val="00652A46"/>
    <w:rsid w:val="0065325A"/>
    <w:rsid w:val="00653ADA"/>
    <w:rsid w:val="0065462C"/>
    <w:rsid w:val="0065492C"/>
    <w:rsid w:val="00654BDA"/>
    <w:rsid w:val="00654FD3"/>
    <w:rsid w:val="00655462"/>
    <w:rsid w:val="00655613"/>
    <w:rsid w:val="00655994"/>
    <w:rsid w:val="00655E55"/>
    <w:rsid w:val="006569EA"/>
    <w:rsid w:val="00656ADE"/>
    <w:rsid w:val="00657120"/>
    <w:rsid w:val="00657E32"/>
    <w:rsid w:val="00657E49"/>
    <w:rsid w:val="00661700"/>
    <w:rsid w:val="00661AE3"/>
    <w:rsid w:val="00661E51"/>
    <w:rsid w:val="00662A21"/>
    <w:rsid w:val="00664C0E"/>
    <w:rsid w:val="00665A32"/>
    <w:rsid w:val="00665C39"/>
    <w:rsid w:val="00666A30"/>
    <w:rsid w:val="00666B8C"/>
    <w:rsid w:val="00666FD1"/>
    <w:rsid w:val="00667B92"/>
    <w:rsid w:val="006700E6"/>
    <w:rsid w:val="00670EF5"/>
    <w:rsid w:val="006713DC"/>
    <w:rsid w:val="0067146E"/>
    <w:rsid w:val="0067231C"/>
    <w:rsid w:val="00672735"/>
    <w:rsid w:val="00672907"/>
    <w:rsid w:val="00672BA6"/>
    <w:rsid w:val="00672DA6"/>
    <w:rsid w:val="006757D4"/>
    <w:rsid w:val="00676F6A"/>
    <w:rsid w:val="00677938"/>
    <w:rsid w:val="006802FC"/>
    <w:rsid w:val="0068098B"/>
    <w:rsid w:val="0068196F"/>
    <w:rsid w:val="006827B0"/>
    <w:rsid w:val="00682C92"/>
    <w:rsid w:val="00683239"/>
    <w:rsid w:val="00684848"/>
    <w:rsid w:val="00685318"/>
    <w:rsid w:val="00685C84"/>
    <w:rsid w:val="00685CC8"/>
    <w:rsid w:val="00690C3A"/>
    <w:rsid w:val="006913AF"/>
    <w:rsid w:val="0069183F"/>
    <w:rsid w:val="006919CB"/>
    <w:rsid w:val="006919D0"/>
    <w:rsid w:val="00693A1A"/>
    <w:rsid w:val="00693C72"/>
    <w:rsid w:val="006945F0"/>
    <w:rsid w:val="006951B3"/>
    <w:rsid w:val="006964B5"/>
    <w:rsid w:val="00696685"/>
    <w:rsid w:val="006971F7"/>
    <w:rsid w:val="0069758D"/>
    <w:rsid w:val="00697CBC"/>
    <w:rsid w:val="006A0BAC"/>
    <w:rsid w:val="006A1402"/>
    <w:rsid w:val="006A1894"/>
    <w:rsid w:val="006A21B9"/>
    <w:rsid w:val="006A24EB"/>
    <w:rsid w:val="006A2873"/>
    <w:rsid w:val="006A3BFD"/>
    <w:rsid w:val="006A41CB"/>
    <w:rsid w:val="006A4C03"/>
    <w:rsid w:val="006A4E05"/>
    <w:rsid w:val="006A4FD5"/>
    <w:rsid w:val="006A58FA"/>
    <w:rsid w:val="006A65E3"/>
    <w:rsid w:val="006A7455"/>
    <w:rsid w:val="006A76F0"/>
    <w:rsid w:val="006B05C6"/>
    <w:rsid w:val="006B0A32"/>
    <w:rsid w:val="006B0C22"/>
    <w:rsid w:val="006B309D"/>
    <w:rsid w:val="006B32F7"/>
    <w:rsid w:val="006B3883"/>
    <w:rsid w:val="006B39DA"/>
    <w:rsid w:val="006B50B9"/>
    <w:rsid w:val="006B5CAB"/>
    <w:rsid w:val="006B6139"/>
    <w:rsid w:val="006B68F8"/>
    <w:rsid w:val="006C0759"/>
    <w:rsid w:val="006C22A1"/>
    <w:rsid w:val="006C29E9"/>
    <w:rsid w:val="006C3208"/>
    <w:rsid w:val="006C5B67"/>
    <w:rsid w:val="006C5CD2"/>
    <w:rsid w:val="006C68DB"/>
    <w:rsid w:val="006C6DED"/>
    <w:rsid w:val="006C7AEA"/>
    <w:rsid w:val="006C7C16"/>
    <w:rsid w:val="006C7FF1"/>
    <w:rsid w:val="006D0C84"/>
    <w:rsid w:val="006D0EE6"/>
    <w:rsid w:val="006D10A2"/>
    <w:rsid w:val="006D18F1"/>
    <w:rsid w:val="006D1AAD"/>
    <w:rsid w:val="006D2467"/>
    <w:rsid w:val="006D275A"/>
    <w:rsid w:val="006D2FDE"/>
    <w:rsid w:val="006D32EA"/>
    <w:rsid w:val="006D3571"/>
    <w:rsid w:val="006D4924"/>
    <w:rsid w:val="006D5F34"/>
    <w:rsid w:val="006D6796"/>
    <w:rsid w:val="006D791B"/>
    <w:rsid w:val="006D7954"/>
    <w:rsid w:val="006D7B7B"/>
    <w:rsid w:val="006E0770"/>
    <w:rsid w:val="006E119B"/>
    <w:rsid w:val="006E1B49"/>
    <w:rsid w:val="006E30E8"/>
    <w:rsid w:val="006E35FD"/>
    <w:rsid w:val="006E3E9B"/>
    <w:rsid w:val="006E43EF"/>
    <w:rsid w:val="006E5971"/>
    <w:rsid w:val="006F0BE6"/>
    <w:rsid w:val="006F3353"/>
    <w:rsid w:val="006F3AA0"/>
    <w:rsid w:val="006F3C8E"/>
    <w:rsid w:val="006F3F42"/>
    <w:rsid w:val="006F4249"/>
    <w:rsid w:val="006F5174"/>
    <w:rsid w:val="006F5399"/>
    <w:rsid w:val="006F5B5C"/>
    <w:rsid w:val="006F6730"/>
    <w:rsid w:val="006F6927"/>
    <w:rsid w:val="006F7DD0"/>
    <w:rsid w:val="00700F68"/>
    <w:rsid w:val="00701789"/>
    <w:rsid w:val="00702BB2"/>
    <w:rsid w:val="00702DD2"/>
    <w:rsid w:val="00705511"/>
    <w:rsid w:val="00705600"/>
    <w:rsid w:val="0070594F"/>
    <w:rsid w:val="00705FD0"/>
    <w:rsid w:val="00706D8E"/>
    <w:rsid w:val="00707754"/>
    <w:rsid w:val="0071127A"/>
    <w:rsid w:val="00711496"/>
    <w:rsid w:val="00711925"/>
    <w:rsid w:val="00711DB3"/>
    <w:rsid w:val="00712311"/>
    <w:rsid w:val="00712E87"/>
    <w:rsid w:val="00713E14"/>
    <w:rsid w:val="0071403F"/>
    <w:rsid w:val="00714117"/>
    <w:rsid w:val="0071475E"/>
    <w:rsid w:val="00714D25"/>
    <w:rsid w:val="00714DE2"/>
    <w:rsid w:val="0071693C"/>
    <w:rsid w:val="00717311"/>
    <w:rsid w:val="00717493"/>
    <w:rsid w:val="00720282"/>
    <w:rsid w:val="00720F8E"/>
    <w:rsid w:val="00721CF6"/>
    <w:rsid w:val="00721D37"/>
    <w:rsid w:val="00721D44"/>
    <w:rsid w:val="00721F7D"/>
    <w:rsid w:val="00722356"/>
    <w:rsid w:val="007227BE"/>
    <w:rsid w:val="00725DAA"/>
    <w:rsid w:val="00726212"/>
    <w:rsid w:val="007264C0"/>
    <w:rsid w:val="0072670C"/>
    <w:rsid w:val="00726A7C"/>
    <w:rsid w:val="007271AD"/>
    <w:rsid w:val="0072721E"/>
    <w:rsid w:val="0072789A"/>
    <w:rsid w:val="00732B37"/>
    <w:rsid w:val="00733386"/>
    <w:rsid w:val="007343E1"/>
    <w:rsid w:val="00734A7B"/>
    <w:rsid w:val="00735088"/>
    <w:rsid w:val="007367E0"/>
    <w:rsid w:val="00736E6A"/>
    <w:rsid w:val="0073700F"/>
    <w:rsid w:val="00740251"/>
    <w:rsid w:val="00741467"/>
    <w:rsid w:val="007422AB"/>
    <w:rsid w:val="007428D8"/>
    <w:rsid w:val="007437B3"/>
    <w:rsid w:val="007438E2"/>
    <w:rsid w:val="00744620"/>
    <w:rsid w:val="007447E5"/>
    <w:rsid w:val="00745754"/>
    <w:rsid w:val="007458B7"/>
    <w:rsid w:val="00746507"/>
    <w:rsid w:val="00746FF0"/>
    <w:rsid w:val="00747461"/>
    <w:rsid w:val="007476BB"/>
    <w:rsid w:val="007476E1"/>
    <w:rsid w:val="007479EA"/>
    <w:rsid w:val="00747D0E"/>
    <w:rsid w:val="007513C5"/>
    <w:rsid w:val="00751AD1"/>
    <w:rsid w:val="00751B95"/>
    <w:rsid w:val="00751ECF"/>
    <w:rsid w:val="00752BAC"/>
    <w:rsid w:val="00753362"/>
    <w:rsid w:val="00754169"/>
    <w:rsid w:val="007544A4"/>
    <w:rsid w:val="00755435"/>
    <w:rsid w:val="0075752F"/>
    <w:rsid w:val="007576E2"/>
    <w:rsid w:val="00757844"/>
    <w:rsid w:val="007605D9"/>
    <w:rsid w:val="007615EB"/>
    <w:rsid w:val="00761EE9"/>
    <w:rsid w:val="007622CE"/>
    <w:rsid w:val="00762628"/>
    <w:rsid w:val="00764542"/>
    <w:rsid w:val="00764748"/>
    <w:rsid w:val="00764ED4"/>
    <w:rsid w:val="00765D32"/>
    <w:rsid w:val="00766DAF"/>
    <w:rsid w:val="00766DD8"/>
    <w:rsid w:val="00767BD0"/>
    <w:rsid w:val="00767C06"/>
    <w:rsid w:val="00767D11"/>
    <w:rsid w:val="007712FA"/>
    <w:rsid w:val="0077275F"/>
    <w:rsid w:val="0077388C"/>
    <w:rsid w:val="007739B4"/>
    <w:rsid w:val="00773CAA"/>
    <w:rsid w:val="00773FA4"/>
    <w:rsid w:val="0077410F"/>
    <w:rsid w:val="0077456D"/>
    <w:rsid w:val="0077631B"/>
    <w:rsid w:val="00776A7D"/>
    <w:rsid w:val="00776DEC"/>
    <w:rsid w:val="007774AE"/>
    <w:rsid w:val="00780516"/>
    <w:rsid w:val="007807B2"/>
    <w:rsid w:val="00781AB5"/>
    <w:rsid w:val="00781F37"/>
    <w:rsid w:val="007828BD"/>
    <w:rsid w:val="00783C73"/>
    <w:rsid w:val="00783DD7"/>
    <w:rsid w:val="00784161"/>
    <w:rsid w:val="007855A5"/>
    <w:rsid w:val="007855F3"/>
    <w:rsid w:val="00787674"/>
    <w:rsid w:val="007876C0"/>
    <w:rsid w:val="0079036F"/>
    <w:rsid w:val="007903FF"/>
    <w:rsid w:val="00790962"/>
    <w:rsid w:val="00791272"/>
    <w:rsid w:val="0079178D"/>
    <w:rsid w:val="007927E1"/>
    <w:rsid w:val="00792A0D"/>
    <w:rsid w:val="007931F7"/>
    <w:rsid w:val="00793A2B"/>
    <w:rsid w:val="00793FF6"/>
    <w:rsid w:val="00794389"/>
    <w:rsid w:val="00794DEB"/>
    <w:rsid w:val="00794E61"/>
    <w:rsid w:val="00795A7F"/>
    <w:rsid w:val="00796CF1"/>
    <w:rsid w:val="007A09EF"/>
    <w:rsid w:val="007A0C52"/>
    <w:rsid w:val="007A125C"/>
    <w:rsid w:val="007A2D20"/>
    <w:rsid w:val="007A31FF"/>
    <w:rsid w:val="007A4583"/>
    <w:rsid w:val="007A471E"/>
    <w:rsid w:val="007A48B4"/>
    <w:rsid w:val="007A51C5"/>
    <w:rsid w:val="007A5249"/>
    <w:rsid w:val="007A6144"/>
    <w:rsid w:val="007A7594"/>
    <w:rsid w:val="007A78FD"/>
    <w:rsid w:val="007B03F5"/>
    <w:rsid w:val="007B1AAB"/>
    <w:rsid w:val="007B300E"/>
    <w:rsid w:val="007B3683"/>
    <w:rsid w:val="007B45E5"/>
    <w:rsid w:val="007B52D4"/>
    <w:rsid w:val="007B587B"/>
    <w:rsid w:val="007B5AAF"/>
    <w:rsid w:val="007B663F"/>
    <w:rsid w:val="007B6798"/>
    <w:rsid w:val="007B6CAC"/>
    <w:rsid w:val="007B76AE"/>
    <w:rsid w:val="007B7A5C"/>
    <w:rsid w:val="007C07CE"/>
    <w:rsid w:val="007C0FA2"/>
    <w:rsid w:val="007C11EC"/>
    <w:rsid w:val="007C217A"/>
    <w:rsid w:val="007C42F8"/>
    <w:rsid w:val="007C462D"/>
    <w:rsid w:val="007C47C5"/>
    <w:rsid w:val="007C4963"/>
    <w:rsid w:val="007C4B5E"/>
    <w:rsid w:val="007C4CF0"/>
    <w:rsid w:val="007C50D6"/>
    <w:rsid w:val="007C5546"/>
    <w:rsid w:val="007C6519"/>
    <w:rsid w:val="007C720F"/>
    <w:rsid w:val="007C7742"/>
    <w:rsid w:val="007D00C2"/>
    <w:rsid w:val="007D0996"/>
    <w:rsid w:val="007D0AE2"/>
    <w:rsid w:val="007D1C90"/>
    <w:rsid w:val="007D1C91"/>
    <w:rsid w:val="007D1F2A"/>
    <w:rsid w:val="007D21FA"/>
    <w:rsid w:val="007D2ADE"/>
    <w:rsid w:val="007D3641"/>
    <w:rsid w:val="007D62D6"/>
    <w:rsid w:val="007D687B"/>
    <w:rsid w:val="007D6B89"/>
    <w:rsid w:val="007D7D8F"/>
    <w:rsid w:val="007D7F7E"/>
    <w:rsid w:val="007E04D8"/>
    <w:rsid w:val="007E05BF"/>
    <w:rsid w:val="007E0BB1"/>
    <w:rsid w:val="007E32E8"/>
    <w:rsid w:val="007E3552"/>
    <w:rsid w:val="007E35C1"/>
    <w:rsid w:val="007E37E9"/>
    <w:rsid w:val="007E3989"/>
    <w:rsid w:val="007E3B0F"/>
    <w:rsid w:val="007E3B46"/>
    <w:rsid w:val="007E55D8"/>
    <w:rsid w:val="007E5CD1"/>
    <w:rsid w:val="007E5F6E"/>
    <w:rsid w:val="007E63CF"/>
    <w:rsid w:val="007E6AD5"/>
    <w:rsid w:val="007E7ED4"/>
    <w:rsid w:val="007F0237"/>
    <w:rsid w:val="007F0268"/>
    <w:rsid w:val="007F03F1"/>
    <w:rsid w:val="007F0977"/>
    <w:rsid w:val="007F0FD5"/>
    <w:rsid w:val="007F104B"/>
    <w:rsid w:val="007F117F"/>
    <w:rsid w:val="007F25AB"/>
    <w:rsid w:val="007F40EC"/>
    <w:rsid w:val="007F4D47"/>
    <w:rsid w:val="007F5282"/>
    <w:rsid w:val="007F71AE"/>
    <w:rsid w:val="007F7378"/>
    <w:rsid w:val="007F7A72"/>
    <w:rsid w:val="00800263"/>
    <w:rsid w:val="00800926"/>
    <w:rsid w:val="00800E91"/>
    <w:rsid w:val="00801AFD"/>
    <w:rsid w:val="008032DB"/>
    <w:rsid w:val="00803888"/>
    <w:rsid w:val="00805151"/>
    <w:rsid w:val="0080530A"/>
    <w:rsid w:val="00805544"/>
    <w:rsid w:val="0080580E"/>
    <w:rsid w:val="0080687B"/>
    <w:rsid w:val="00810402"/>
    <w:rsid w:val="00810489"/>
    <w:rsid w:val="008106C4"/>
    <w:rsid w:val="0081076A"/>
    <w:rsid w:val="00810D37"/>
    <w:rsid w:val="00810F36"/>
    <w:rsid w:val="00810F81"/>
    <w:rsid w:val="00811B37"/>
    <w:rsid w:val="008131D7"/>
    <w:rsid w:val="00813400"/>
    <w:rsid w:val="00813628"/>
    <w:rsid w:val="00813795"/>
    <w:rsid w:val="00813AAB"/>
    <w:rsid w:val="00813EBA"/>
    <w:rsid w:val="008147B3"/>
    <w:rsid w:val="008148F7"/>
    <w:rsid w:val="00815A3B"/>
    <w:rsid w:val="00815DB1"/>
    <w:rsid w:val="00816AEA"/>
    <w:rsid w:val="00820946"/>
    <w:rsid w:val="00821D20"/>
    <w:rsid w:val="00821F3C"/>
    <w:rsid w:val="008221B5"/>
    <w:rsid w:val="008231E3"/>
    <w:rsid w:val="00823894"/>
    <w:rsid w:val="0082416E"/>
    <w:rsid w:val="008244AD"/>
    <w:rsid w:val="00824A4A"/>
    <w:rsid w:val="00824E15"/>
    <w:rsid w:val="00825D72"/>
    <w:rsid w:val="00826281"/>
    <w:rsid w:val="00826407"/>
    <w:rsid w:val="008265A0"/>
    <w:rsid w:val="00826608"/>
    <w:rsid w:val="008273D1"/>
    <w:rsid w:val="0082788F"/>
    <w:rsid w:val="008310DE"/>
    <w:rsid w:val="00831146"/>
    <w:rsid w:val="008312A0"/>
    <w:rsid w:val="008315A6"/>
    <w:rsid w:val="008327FC"/>
    <w:rsid w:val="00832AAA"/>
    <w:rsid w:val="00832CF1"/>
    <w:rsid w:val="00833A86"/>
    <w:rsid w:val="00833E93"/>
    <w:rsid w:val="00834C6F"/>
    <w:rsid w:val="00835468"/>
    <w:rsid w:val="0083566E"/>
    <w:rsid w:val="00835A9B"/>
    <w:rsid w:val="008368FE"/>
    <w:rsid w:val="00836D67"/>
    <w:rsid w:val="008376EA"/>
    <w:rsid w:val="00837B82"/>
    <w:rsid w:val="0084020B"/>
    <w:rsid w:val="008429E3"/>
    <w:rsid w:val="008437A0"/>
    <w:rsid w:val="008438E6"/>
    <w:rsid w:val="00845B4C"/>
    <w:rsid w:val="00845C55"/>
    <w:rsid w:val="00845D3F"/>
    <w:rsid w:val="00845D56"/>
    <w:rsid w:val="00846822"/>
    <w:rsid w:val="008469A3"/>
    <w:rsid w:val="00846F4D"/>
    <w:rsid w:val="00851B7B"/>
    <w:rsid w:val="00851E81"/>
    <w:rsid w:val="00852719"/>
    <w:rsid w:val="00852BC5"/>
    <w:rsid w:val="00852BF7"/>
    <w:rsid w:val="008533A9"/>
    <w:rsid w:val="008534DD"/>
    <w:rsid w:val="0085392D"/>
    <w:rsid w:val="00853A9E"/>
    <w:rsid w:val="00854CCA"/>
    <w:rsid w:val="00855836"/>
    <w:rsid w:val="00855A21"/>
    <w:rsid w:val="00856189"/>
    <w:rsid w:val="008577FC"/>
    <w:rsid w:val="00857DEB"/>
    <w:rsid w:val="0086026E"/>
    <w:rsid w:val="00860EC5"/>
    <w:rsid w:val="008616F6"/>
    <w:rsid w:val="00861A09"/>
    <w:rsid w:val="0086280C"/>
    <w:rsid w:val="00862A99"/>
    <w:rsid w:val="00862C84"/>
    <w:rsid w:val="00863578"/>
    <w:rsid w:val="00865840"/>
    <w:rsid w:val="00865AD6"/>
    <w:rsid w:val="00865B75"/>
    <w:rsid w:val="00865D01"/>
    <w:rsid w:val="00865DD6"/>
    <w:rsid w:val="00866933"/>
    <w:rsid w:val="00867C15"/>
    <w:rsid w:val="00867C94"/>
    <w:rsid w:val="008706AD"/>
    <w:rsid w:val="00871599"/>
    <w:rsid w:val="008717A3"/>
    <w:rsid w:val="00871F10"/>
    <w:rsid w:val="0087356D"/>
    <w:rsid w:val="00874062"/>
    <w:rsid w:val="008748D9"/>
    <w:rsid w:val="008752A4"/>
    <w:rsid w:val="00875DDB"/>
    <w:rsid w:val="008760E6"/>
    <w:rsid w:val="00876AB2"/>
    <w:rsid w:val="008776AF"/>
    <w:rsid w:val="00877A85"/>
    <w:rsid w:val="00880998"/>
    <w:rsid w:val="00881F65"/>
    <w:rsid w:val="00882165"/>
    <w:rsid w:val="008822B3"/>
    <w:rsid w:val="00882486"/>
    <w:rsid w:val="00882B75"/>
    <w:rsid w:val="00882C99"/>
    <w:rsid w:val="008834E8"/>
    <w:rsid w:val="008839FB"/>
    <w:rsid w:val="00883AFC"/>
    <w:rsid w:val="00883F48"/>
    <w:rsid w:val="00884671"/>
    <w:rsid w:val="008854D2"/>
    <w:rsid w:val="00886874"/>
    <w:rsid w:val="00886965"/>
    <w:rsid w:val="00886B4C"/>
    <w:rsid w:val="008901D6"/>
    <w:rsid w:val="0089077A"/>
    <w:rsid w:val="00890A35"/>
    <w:rsid w:val="00890D8D"/>
    <w:rsid w:val="00890EB5"/>
    <w:rsid w:val="00891116"/>
    <w:rsid w:val="00891189"/>
    <w:rsid w:val="00891250"/>
    <w:rsid w:val="00891743"/>
    <w:rsid w:val="0089253A"/>
    <w:rsid w:val="00893626"/>
    <w:rsid w:val="00893B29"/>
    <w:rsid w:val="008947B3"/>
    <w:rsid w:val="00894C55"/>
    <w:rsid w:val="0089575B"/>
    <w:rsid w:val="00896244"/>
    <w:rsid w:val="00896FCE"/>
    <w:rsid w:val="008A0148"/>
    <w:rsid w:val="008A03BE"/>
    <w:rsid w:val="008A04DA"/>
    <w:rsid w:val="008A06F1"/>
    <w:rsid w:val="008A0DFA"/>
    <w:rsid w:val="008A12BA"/>
    <w:rsid w:val="008A1444"/>
    <w:rsid w:val="008A16CD"/>
    <w:rsid w:val="008A1AD7"/>
    <w:rsid w:val="008A2B3A"/>
    <w:rsid w:val="008A38D7"/>
    <w:rsid w:val="008A3A5D"/>
    <w:rsid w:val="008A4504"/>
    <w:rsid w:val="008A4C8F"/>
    <w:rsid w:val="008A4EF2"/>
    <w:rsid w:val="008A4F84"/>
    <w:rsid w:val="008A5541"/>
    <w:rsid w:val="008A58B2"/>
    <w:rsid w:val="008A616E"/>
    <w:rsid w:val="008A6E72"/>
    <w:rsid w:val="008A7C88"/>
    <w:rsid w:val="008B00B6"/>
    <w:rsid w:val="008B106C"/>
    <w:rsid w:val="008B18C6"/>
    <w:rsid w:val="008B1B07"/>
    <w:rsid w:val="008B3D57"/>
    <w:rsid w:val="008B427D"/>
    <w:rsid w:val="008B64FB"/>
    <w:rsid w:val="008B6E8B"/>
    <w:rsid w:val="008B76C3"/>
    <w:rsid w:val="008B7AEF"/>
    <w:rsid w:val="008C00D0"/>
    <w:rsid w:val="008C01F1"/>
    <w:rsid w:val="008C0473"/>
    <w:rsid w:val="008C2B0D"/>
    <w:rsid w:val="008C34B3"/>
    <w:rsid w:val="008C3E04"/>
    <w:rsid w:val="008C44F5"/>
    <w:rsid w:val="008C4945"/>
    <w:rsid w:val="008C4A63"/>
    <w:rsid w:val="008C7388"/>
    <w:rsid w:val="008C7776"/>
    <w:rsid w:val="008D1092"/>
    <w:rsid w:val="008D145D"/>
    <w:rsid w:val="008D1841"/>
    <w:rsid w:val="008D24CE"/>
    <w:rsid w:val="008D27DF"/>
    <w:rsid w:val="008D2C35"/>
    <w:rsid w:val="008D2CDC"/>
    <w:rsid w:val="008D5E46"/>
    <w:rsid w:val="008D6D7B"/>
    <w:rsid w:val="008D7DB7"/>
    <w:rsid w:val="008D7EF7"/>
    <w:rsid w:val="008D7FAA"/>
    <w:rsid w:val="008E2FEB"/>
    <w:rsid w:val="008E3C49"/>
    <w:rsid w:val="008E480B"/>
    <w:rsid w:val="008E49C8"/>
    <w:rsid w:val="008E5C39"/>
    <w:rsid w:val="008E5D44"/>
    <w:rsid w:val="008E6610"/>
    <w:rsid w:val="008E718A"/>
    <w:rsid w:val="008F06F5"/>
    <w:rsid w:val="008F0A4D"/>
    <w:rsid w:val="008F0C25"/>
    <w:rsid w:val="008F2531"/>
    <w:rsid w:val="008F3037"/>
    <w:rsid w:val="008F30D5"/>
    <w:rsid w:val="008F3B44"/>
    <w:rsid w:val="008F4140"/>
    <w:rsid w:val="008F4894"/>
    <w:rsid w:val="008F521A"/>
    <w:rsid w:val="008F5B3C"/>
    <w:rsid w:val="008F5EB9"/>
    <w:rsid w:val="008F738F"/>
    <w:rsid w:val="008F73CA"/>
    <w:rsid w:val="008F7791"/>
    <w:rsid w:val="008F7868"/>
    <w:rsid w:val="00900F99"/>
    <w:rsid w:val="00901067"/>
    <w:rsid w:val="009021FA"/>
    <w:rsid w:val="0090276A"/>
    <w:rsid w:val="00902B6D"/>
    <w:rsid w:val="009030BA"/>
    <w:rsid w:val="009038F2"/>
    <w:rsid w:val="00903ECD"/>
    <w:rsid w:val="00904741"/>
    <w:rsid w:val="0090510E"/>
    <w:rsid w:val="00905D12"/>
    <w:rsid w:val="009060CA"/>
    <w:rsid w:val="009066AE"/>
    <w:rsid w:val="009068B8"/>
    <w:rsid w:val="00907A19"/>
    <w:rsid w:val="00907DC7"/>
    <w:rsid w:val="00907DEE"/>
    <w:rsid w:val="00910F94"/>
    <w:rsid w:val="00911F5E"/>
    <w:rsid w:val="009122BE"/>
    <w:rsid w:val="00912EA4"/>
    <w:rsid w:val="0091384D"/>
    <w:rsid w:val="00914DCB"/>
    <w:rsid w:val="009163C4"/>
    <w:rsid w:val="00916B8F"/>
    <w:rsid w:val="00917137"/>
    <w:rsid w:val="009175A0"/>
    <w:rsid w:val="0091761B"/>
    <w:rsid w:val="00917D49"/>
    <w:rsid w:val="009209F3"/>
    <w:rsid w:val="00920E44"/>
    <w:rsid w:val="00922B6E"/>
    <w:rsid w:val="009231F9"/>
    <w:rsid w:val="009239A4"/>
    <w:rsid w:val="00924AD4"/>
    <w:rsid w:val="00926689"/>
    <w:rsid w:val="00926ECA"/>
    <w:rsid w:val="00927589"/>
    <w:rsid w:val="00927826"/>
    <w:rsid w:val="00927E34"/>
    <w:rsid w:val="00932731"/>
    <w:rsid w:val="00932C8C"/>
    <w:rsid w:val="0093308B"/>
    <w:rsid w:val="00933244"/>
    <w:rsid w:val="00933DBF"/>
    <w:rsid w:val="009341B1"/>
    <w:rsid w:val="00934A3F"/>
    <w:rsid w:val="00935A52"/>
    <w:rsid w:val="009361CA"/>
    <w:rsid w:val="00936F8E"/>
    <w:rsid w:val="00936FBF"/>
    <w:rsid w:val="00937368"/>
    <w:rsid w:val="009403B5"/>
    <w:rsid w:val="00940E87"/>
    <w:rsid w:val="00942153"/>
    <w:rsid w:val="00942B0F"/>
    <w:rsid w:val="00943C15"/>
    <w:rsid w:val="009457A6"/>
    <w:rsid w:val="0094581C"/>
    <w:rsid w:val="00945C8A"/>
    <w:rsid w:val="00945CD6"/>
    <w:rsid w:val="00946058"/>
    <w:rsid w:val="009475A0"/>
    <w:rsid w:val="00947817"/>
    <w:rsid w:val="00947B1B"/>
    <w:rsid w:val="00947B7B"/>
    <w:rsid w:val="009508D2"/>
    <w:rsid w:val="00950B06"/>
    <w:rsid w:val="00950B7D"/>
    <w:rsid w:val="00950DB7"/>
    <w:rsid w:val="00952074"/>
    <w:rsid w:val="00952144"/>
    <w:rsid w:val="00952F25"/>
    <w:rsid w:val="009530A2"/>
    <w:rsid w:val="00953AC0"/>
    <w:rsid w:val="00953B5A"/>
    <w:rsid w:val="00953BB6"/>
    <w:rsid w:val="0095454E"/>
    <w:rsid w:val="00954602"/>
    <w:rsid w:val="0095527D"/>
    <w:rsid w:val="009552FE"/>
    <w:rsid w:val="009561CF"/>
    <w:rsid w:val="0095682D"/>
    <w:rsid w:val="009568CE"/>
    <w:rsid w:val="00956F50"/>
    <w:rsid w:val="00957483"/>
    <w:rsid w:val="00957965"/>
    <w:rsid w:val="0096002E"/>
    <w:rsid w:val="00960A52"/>
    <w:rsid w:val="0096151E"/>
    <w:rsid w:val="009615AA"/>
    <w:rsid w:val="0096186D"/>
    <w:rsid w:val="00961943"/>
    <w:rsid w:val="0096236B"/>
    <w:rsid w:val="00962C16"/>
    <w:rsid w:val="00963EA0"/>
    <w:rsid w:val="009647E4"/>
    <w:rsid w:val="00964AFC"/>
    <w:rsid w:val="00965F01"/>
    <w:rsid w:val="0096628A"/>
    <w:rsid w:val="00966745"/>
    <w:rsid w:val="00966A4F"/>
    <w:rsid w:val="009679B5"/>
    <w:rsid w:val="00971729"/>
    <w:rsid w:val="0097177C"/>
    <w:rsid w:val="009721E6"/>
    <w:rsid w:val="009726D7"/>
    <w:rsid w:val="00972E92"/>
    <w:rsid w:val="00973F91"/>
    <w:rsid w:val="009740E9"/>
    <w:rsid w:val="009744BF"/>
    <w:rsid w:val="00974DA7"/>
    <w:rsid w:val="009752D1"/>
    <w:rsid w:val="00977126"/>
    <w:rsid w:val="009777B9"/>
    <w:rsid w:val="00981BEE"/>
    <w:rsid w:val="00981D0E"/>
    <w:rsid w:val="00982E1A"/>
    <w:rsid w:val="00983368"/>
    <w:rsid w:val="009833E0"/>
    <w:rsid w:val="0098352F"/>
    <w:rsid w:val="00985538"/>
    <w:rsid w:val="00985C90"/>
    <w:rsid w:val="009865FE"/>
    <w:rsid w:val="009870CF"/>
    <w:rsid w:val="009874C0"/>
    <w:rsid w:val="00987C30"/>
    <w:rsid w:val="00990667"/>
    <w:rsid w:val="00990FBD"/>
    <w:rsid w:val="0099143D"/>
    <w:rsid w:val="00991919"/>
    <w:rsid w:val="00992176"/>
    <w:rsid w:val="00992785"/>
    <w:rsid w:val="00992883"/>
    <w:rsid w:val="00993534"/>
    <w:rsid w:val="00993FEE"/>
    <w:rsid w:val="0099415A"/>
    <w:rsid w:val="009944F8"/>
    <w:rsid w:val="009949DD"/>
    <w:rsid w:val="00995475"/>
    <w:rsid w:val="009959B8"/>
    <w:rsid w:val="00996CCE"/>
    <w:rsid w:val="0099732B"/>
    <w:rsid w:val="009977A8"/>
    <w:rsid w:val="009A02A3"/>
    <w:rsid w:val="009A15AF"/>
    <w:rsid w:val="009A1D6A"/>
    <w:rsid w:val="009A2EDF"/>
    <w:rsid w:val="009A467E"/>
    <w:rsid w:val="009A47D2"/>
    <w:rsid w:val="009A4A38"/>
    <w:rsid w:val="009A52D1"/>
    <w:rsid w:val="009A5342"/>
    <w:rsid w:val="009A5A4F"/>
    <w:rsid w:val="009A5C10"/>
    <w:rsid w:val="009A705B"/>
    <w:rsid w:val="009A7827"/>
    <w:rsid w:val="009A79B1"/>
    <w:rsid w:val="009A7E6A"/>
    <w:rsid w:val="009B01FA"/>
    <w:rsid w:val="009B080D"/>
    <w:rsid w:val="009B0EBA"/>
    <w:rsid w:val="009B104E"/>
    <w:rsid w:val="009B140F"/>
    <w:rsid w:val="009B1991"/>
    <w:rsid w:val="009B2959"/>
    <w:rsid w:val="009B29F0"/>
    <w:rsid w:val="009B3877"/>
    <w:rsid w:val="009B442D"/>
    <w:rsid w:val="009B4EA0"/>
    <w:rsid w:val="009B50BC"/>
    <w:rsid w:val="009B59DA"/>
    <w:rsid w:val="009B5BF1"/>
    <w:rsid w:val="009B5D12"/>
    <w:rsid w:val="009B69C3"/>
    <w:rsid w:val="009B6B2E"/>
    <w:rsid w:val="009B6F8A"/>
    <w:rsid w:val="009B7C1E"/>
    <w:rsid w:val="009B7D11"/>
    <w:rsid w:val="009C09F8"/>
    <w:rsid w:val="009C0E80"/>
    <w:rsid w:val="009C17B9"/>
    <w:rsid w:val="009C18EB"/>
    <w:rsid w:val="009C1E01"/>
    <w:rsid w:val="009C2591"/>
    <w:rsid w:val="009C262E"/>
    <w:rsid w:val="009C32E7"/>
    <w:rsid w:val="009C4830"/>
    <w:rsid w:val="009C53B5"/>
    <w:rsid w:val="009C5830"/>
    <w:rsid w:val="009C67E6"/>
    <w:rsid w:val="009C6880"/>
    <w:rsid w:val="009C6D99"/>
    <w:rsid w:val="009C6F5A"/>
    <w:rsid w:val="009D0422"/>
    <w:rsid w:val="009D1212"/>
    <w:rsid w:val="009D1551"/>
    <w:rsid w:val="009D16C7"/>
    <w:rsid w:val="009D1A18"/>
    <w:rsid w:val="009D228B"/>
    <w:rsid w:val="009D347A"/>
    <w:rsid w:val="009D4061"/>
    <w:rsid w:val="009D4670"/>
    <w:rsid w:val="009D4C84"/>
    <w:rsid w:val="009D5759"/>
    <w:rsid w:val="009D5ABB"/>
    <w:rsid w:val="009D61F7"/>
    <w:rsid w:val="009D6707"/>
    <w:rsid w:val="009D6ABC"/>
    <w:rsid w:val="009D7246"/>
    <w:rsid w:val="009E01D4"/>
    <w:rsid w:val="009E066F"/>
    <w:rsid w:val="009E1C84"/>
    <w:rsid w:val="009E207C"/>
    <w:rsid w:val="009E2322"/>
    <w:rsid w:val="009E53A4"/>
    <w:rsid w:val="009E5CA9"/>
    <w:rsid w:val="009E5D0A"/>
    <w:rsid w:val="009E5F0A"/>
    <w:rsid w:val="009E6127"/>
    <w:rsid w:val="009E6512"/>
    <w:rsid w:val="009E666A"/>
    <w:rsid w:val="009E6A50"/>
    <w:rsid w:val="009F0A3F"/>
    <w:rsid w:val="009F0FD7"/>
    <w:rsid w:val="009F14C7"/>
    <w:rsid w:val="009F1D9D"/>
    <w:rsid w:val="009F1DB3"/>
    <w:rsid w:val="009F207E"/>
    <w:rsid w:val="009F2177"/>
    <w:rsid w:val="009F2309"/>
    <w:rsid w:val="009F290F"/>
    <w:rsid w:val="009F3156"/>
    <w:rsid w:val="009F3DA7"/>
    <w:rsid w:val="009F4473"/>
    <w:rsid w:val="009F51DF"/>
    <w:rsid w:val="009F69C5"/>
    <w:rsid w:val="009F7ABB"/>
    <w:rsid w:val="00A011B1"/>
    <w:rsid w:val="00A01396"/>
    <w:rsid w:val="00A01C22"/>
    <w:rsid w:val="00A02648"/>
    <w:rsid w:val="00A03F51"/>
    <w:rsid w:val="00A04B28"/>
    <w:rsid w:val="00A04E51"/>
    <w:rsid w:val="00A04F2D"/>
    <w:rsid w:val="00A0591B"/>
    <w:rsid w:val="00A07917"/>
    <w:rsid w:val="00A107F2"/>
    <w:rsid w:val="00A11782"/>
    <w:rsid w:val="00A11D92"/>
    <w:rsid w:val="00A11E55"/>
    <w:rsid w:val="00A12F9F"/>
    <w:rsid w:val="00A1303D"/>
    <w:rsid w:val="00A13ED4"/>
    <w:rsid w:val="00A162F4"/>
    <w:rsid w:val="00A20306"/>
    <w:rsid w:val="00A20643"/>
    <w:rsid w:val="00A20690"/>
    <w:rsid w:val="00A20C25"/>
    <w:rsid w:val="00A217D0"/>
    <w:rsid w:val="00A2274D"/>
    <w:rsid w:val="00A22D72"/>
    <w:rsid w:val="00A237C4"/>
    <w:rsid w:val="00A25552"/>
    <w:rsid w:val="00A2680B"/>
    <w:rsid w:val="00A26D40"/>
    <w:rsid w:val="00A2712A"/>
    <w:rsid w:val="00A27960"/>
    <w:rsid w:val="00A30ABE"/>
    <w:rsid w:val="00A31281"/>
    <w:rsid w:val="00A320B4"/>
    <w:rsid w:val="00A3232F"/>
    <w:rsid w:val="00A32563"/>
    <w:rsid w:val="00A32841"/>
    <w:rsid w:val="00A32F46"/>
    <w:rsid w:val="00A353BD"/>
    <w:rsid w:val="00A35A41"/>
    <w:rsid w:val="00A36F35"/>
    <w:rsid w:val="00A371C7"/>
    <w:rsid w:val="00A3738D"/>
    <w:rsid w:val="00A3769A"/>
    <w:rsid w:val="00A40219"/>
    <w:rsid w:val="00A4065B"/>
    <w:rsid w:val="00A40870"/>
    <w:rsid w:val="00A409A0"/>
    <w:rsid w:val="00A41A3E"/>
    <w:rsid w:val="00A41E42"/>
    <w:rsid w:val="00A424D5"/>
    <w:rsid w:val="00A431A4"/>
    <w:rsid w:val="00A43B41"/>
    <w:rsid w:val="00A448AD"/>
    <w:rsid w:val="00A459DE"/>
    <w:rsid w:val="00A459DF"/>
    <w:rsid w:val="00A45D6A"/>
    <w:rsid w:val="00A46188"/>
    <w:rsid w:val="00A463C3"/>
    <w:rsid w:val="00A46639"/>
    <w:rsid w:val="00A466CF"/>
    <w:rsid w:val="00A46890"/>
    <w:rsid w:val="00A47A0D"/>
    <w:rsid w:val="00A47D24"/>
    <w:rsid w:val="00A47E29"/>
    <w:rsid w:val="00A47E8F"/>
    <w:rsid w:val="00A50E0A"/>
    <w:rsid w:val="00A51E42"/>
    <w:rsid w:val="00A523EB"/>
    <w:rsid w:val="00A52CFC"/>
    <w:rsid w:val="00A5357D"/>
    <w:rsid w:val="00A53732"/>
    <w:rsid w:val="00A53E0B"/>
    <w:rsid w:val="00A543BF"/>
    <w:rsid w:val="00A5522E"/>
    <w:rsid w:val="00A55B2D"/>
    <w:rsid w:val="00A568C3"/>
    <w:rsid w:val="00A61368"/>
    <w:rsid w:val="00A61445"/>
    <w:rsid w:val="00A61AFF"/>
    <w:rsid w:val="00A62F31"/>
    <w:rsid w:val="00A63B93"/>
    <w:rsid w:val="00A64B65"/>
    <w:rsid w:val="00A64D8C"/>
    <w:rsid w:val="00A64F5D"/>
    <w:rsid w:val="00A65210"/>
    <w:rsid w:val="00A65941"/>
    <w:rsid w:val="00A66765"/>
    <w:rsid w:val="00A66819"/>
    <w:rsid w:val="00A66C4B"/>
    <w:rsid w:val="00A67694"/>
    <w:rsid w:val="00A713DB"/>
    <w:rsid w:val="00A72BB8"/>
    <w:rsid w:val="00A72D4B"/>
    <w:rsid w:val="00A76209"/>
    <w:rsid w:val="00A772F9"/>
    <w:rsid w:val="00A777F5"/>
    <w:rsid w:val="00A77D4C"/>
    <w:rsid w:val="00A805E6"/>
    <w:rsid w:val="00A80F69"/>
    <w:rsid w:val="00A811DF"/>
    <w:rsid w:val="00A8141A"/>
    <w:rsid w:val="00A8198A"/>
    <w:rsid w:val="00A81B47"/>
    <w:rsid w:val="00A82F1A"/>
    <w:rsid w:val="00A830DE"/>
    <w:rsid w:val="00A8335F"/>
    <w:rsid w:val="00A8365B"/>
    <w:rsid w:val="00A85CF9"/>
    <w:rsid w:val="00A85EAE"/>
    <w:rsid w:val="00A86281"/>
    <w:rsid w:val="00A90CE8"/>
    <w:rsid w:val="00A91213"/>
    <w:rsid w:val="00A91A03"/>
    <w:rsid w:val="00A920CC"/>
    <w:rsid w:val="00A938B0"/>
    <w:rsid w:val="00A93DE3"/>
    <w:rsid w:val="00A94E96"/>
    <w:rsid w:val="00A95915"/>
    <w:rsid w:val="00A959CC"/>
    <w:rsid w:val="00A969F6"/>
    <w:rsid w:val="00A96D58"/>
    <w:rsid w:val="00A97381"/>
    <w:rsid w:val="00AA02A1"/>
    <w:rsid w:val="00AA0F74"/>
    <w:rsid w:val="00AA216A"/>
    <w:rsid w:val="00AA2EF2"/>
    <w:rsid w:val="00AA30AE"/>
    <w:rsid w:val="00AA390B"/>
    <w:rsid w:val="00AA3CB9"/>
    <w:rsid w:val="00AA4648"/>
    <w:rsid w:val="00AA4F62"/>
    <w:rsid w:val="00AA4FFF"/>
    <w:rsid w:val="00AA58CE"/>
    <w:rsid w:val="00AA5B84"/>
    <w:rsid w:val="00AA5D1D"/>
    <w:rsid w:val="00AA6A3C"/>
    <w:rsid w:val="00AA7C35"/>
    <w:rsid w:val="00AB0295"/>
    <w:rsid w:val="00AB08C9"/>
    <w:rsid w:val="00AB0AB3"/>
    <w:rsid w:val="00AB23CC"/>
    <w:rsid w:val="00AB26D9"/>
    <w:rsid w:val="00AB300D"/>
    <w:rsid w:val="00AB31B3"/>
    <w:rsid w:val="00AB3ED9"/>
    <w:rsid w:val="00AB4972"/>
    <w:rsid w:val="00AB4ED1"/>
    <w:rsid w:val="00AB5414"/>
    <w:rsid w:val="00AB6376"/>
    <w:rsid w:val="00AB7B7C"/>
    <w:rsid w:val="00AB7C9F"/>
    <w:rsid w:val="00AC0897"/>
    <w:rsid w:val="00AC21C0"/>
    <w:rsid w:val="00AC23A0"/>
    <w:rsid w:val="00AC24F8"/>
    <w:rsid w:val="00AC31B0"/>
    <w:rsid w:val="00AC34E2"/>
    <w:rsid w:val="00AC360D"/>
    <w:rsid w:val="00AC37AC"/>
    <w:rsid w:val="00AC42FB"/>
    <w:rsid w:val="00AC4908"/>
    <w:rsid w:val="00AC4FC1"/>
    <w:rsid w:val="00AC51EE"/>
    <w:rsid w:val="00AC5517"/>
    <w:rsid w:val="00AC67E2"/>
    <w:rsid w:val="00AD0080"/>
    <w:rsid w:val="00AD01FD"/>
    <w:rsid w:val="00AD3E62"/>
    <w:rsid w:val="00AD40C0"/>
    <w:rsid w:val="00AD57B9"/>
    <w:rsid w:val="00AD5B4F"/>
    <w:rsid w:val="00AD66D4"/>
    <w:rsid w:val="00AD755C"/>
    <w:rsid w:val="00AD7923"/>
    <w:rsid w:val="00AE286C"/>
    <w:rsid w:val="00AE4AED"/>
    <w:rsid w:val="00AE5167"/>
    <w:rsid w:val="00AE583E"/>
    <w:rsid w:val="00AE5EF2"/>
    <w:rsid w:val="00AE6E46"/>
    <w:rsid w:val="00AE7E8C"/>
    <w:rsid w:val="00AF0F52"/>
    <w:rsid w:val="00AF1125"/>
    <w:rsid w:val="00AF15BD"/>
    <w:rsid w:val="00AF29A6"/>
    <w:rsid w:val="00AF2FC9"/>
    <w:rsid w:val="00AF3143"/>
    <w:rsid w:val="00AF3FC8"/>
    <w:rsid w:val="00AF5424"/>
    <w:rsid w:val="00AF54CC"/>
    <w:rsid w:val="00AF568E"/>
    <w:rsid w:val="00AF577E"/>
    <w:rsid w:val="00AF65CD"/>
    <w:rsid w:val="00AF71FF"/>
    <w:rsid w:val="00AF72F7"/>
    <w:rsid w:val="00AF7922"/>
    <w:rsid w:val="00AF7F5B"/>
    <w:rsid w:val="00B00FC8"/>
    <w:rsid w:val="00B0132F"/>
    <w:rsid w:val="00B01697"/>
    <w:rsid w:val="00B01E32"/>
    <w:rsid w:val="00B021D6"/>
    <w:rsid w:val="00B024E0"/>
    <w:rsid w:val="00B0254A"/>
    <w:rsid w:val="00B03278"/>
    <w:rsid w:val="00B032C9"/>
    <w:rsid w:val="00B039B0"/>
    <w:rsid w:val="00B046CE"/>
    <w:rsid w:val="00B04DD9"/>
    <w:rsid w:val="00B04E5C"/>
    <w:rsid w:val="00B05B80"/>
    <w:rsid w:val="00B05E4F"/>
    <w:rsid w:val="00B10AD1"/>
    <w:rsid w:val="00B10CAC"/>
    <w:rsid w:val="00B10D2A"/>
    <w:rsid w:val="00B1215F"/>
    <w:rsid w:val="00B1227A"/>
    <w:rsid w:val="00B12EA7"/>
    <w:rsid w:val="00B13398"/>
    <w:rsid w:val="00B137D0"/>
    <w:rsid w:val="00B13857"/>
    <w:rsid w:val="00B13A9C"/>
    <w:rsid w:val="00B141F4"/>
    <w:rsid w:val="00B205F8"/>
    <w:rsid w:val="00B21330"/>
    <w:rsid w:val="00B22D31"/>
    <w:rsid w:val="00B22F51"/>
    <w:rsid w:val="00B23CE3"/>
    <w:rsid w:val="00B242C3"/>
    <w:rsid w:val="00B2454F"/>
    <w:rsid w:val="00B248E4"/>
    <w:rsid w:val="00B2586C"/>
    <w:rsid w:val="00B26131"/>
    <w:rsid w:val="00B277F5"/>
    <w:rsid w:val="00B27895"/>
    <w:rsid w:val="00B308C0"/>
    <w:rsid w:val="00B30B1A"/>
    <w:rsid w:val="00B31391"/>
    <w:rsid w:val="00B3164A"/>
    <w:rsid w:val="00B32688"/>
    <w:rsid w:val="00B32733"/>
    <w:rsid w:val="00B33214"/>
    <w:rsid w:val="00B333FF"/>
    <w:rsid w:val="00B33BAD"/>
    <w:rsid w:val="00B33DBF"/>
    <w:rsid w:val="00B35246"/>
    <w:rsid w:val="00B35483"/>
    <w:rsid w:val="00B37033"/>
    <w:rsid w:val="00B37199"/>
    <w:rsid w:val="00B41043"/>
    <w:rsid w:val="00B411DB"/>
    <w:rsid w:val="00B42822"/>
    <w:rsid w:val="00B43223"/>
    <w:rsid w:val="00B433DE"/>
    <w:rsid w:val="00B43A5D"/>
    <w:rsid w:val="00B445FE"/>
    <w:rsid w:val="00B45238"/>
    <w:rsid w:val="00B4547C"/>
    <w:rsid w:val="00B45537"/>
    <w:rsid w:val="00B4636A"/>
    <w:rsid w:val="00B4770D"/>
    <w:rsid w:val="00B47711"/>
    <w:rsid w:val="00B47B48"/>
    <w:rsid w:val="00B5050D"/>
    <w:rsid w:val="00B50A78"/>
    <w:rsid w:val="00B50B5D"/>
    <w:rsid w:val="00B50EDE"/>
    <w:rsid w:val="00B51147"/>
    <w:rsid w:val="00B511E8"/>
    <w:rsid w:val="00B5174F"/>
    <w:rsid w:val="00B52029"/>
    <w:rsid w:val="00B528C3"/>
    <w:rsid w:val="00B52B43"/>
    <w:rsid w:val="00B52E48"/>
    <w:rsid w:val="00B53359"/>
    <w:rsid w:val="00B533D2"/>
    <w:rsid w:val="00B53793"/>
    <w:rsid w:val="00B54633"/>
    <w:rsid w:val="00B554AD"/>
    <w:rsid w:val="00B55D80"/>
    <w:rsid w:val="00B61C69"/>
    <w:rsid w:val="00B626EC"/>
    <w:rsid w:val="00B63F28"/>
    <w:rsid w:val="00B65234"/>
    <w:rsid w:val="00B6539B"/>
    <w:rsid w:val="00B65569"/>
    <w:rsid w:val="00B655E7"/>
    <w:rsid w:val="00B65729"/>
    <w:rsid w:val="00B659D0"/>
    <w:rsid w:val="00B66285"/>
    <w:rsid w:val="00B66760"/>
    <w:rsid w:val="00B66797"/>
    <w:rsid w:val="00B67ACE"/>
    <w:rsid w:val="00B67D5A"/>
    <w:rsid w:val="00B67E10"/>
    <w:rsid w:val="00B67EDE"/>
    <w:rsid w:val="00B71247"/>
    <w:rsid w:val="00B714F0"/>
    <w:rsid w:val="00B71976"/>
    <w:rsid w:val="00B72CB6"/>
    <w:rsid w:val="00B73309"/>
    <w:rsid w:val="00B74B8B"/>
    <w:rsid w:val="00B74FCA"/>
    <w:rsid w:val="00B75ED9"/>
    <w:rsid w:val="00B771A0"/>
    <w:rsid w:val="00B774E5"/>
    <w:rsid w:val="00B7769E"/>
    <w:rsid w:val="00B808B1"/>
    <w:rsid w:val="00B81421"/>
    <w:rsid w:val="00B81563"/>
    <w:rsid w:val="00B8244B"/>
    <w:rsid w:val="00B82968"/>
    <w:rsid w:val="00B838FF"/>
    <w:rsid w:val="00B8477A"/>
    <w:rsid w:val="00B84E61"/>
    <w:rsid w:val="00B85EF6"/>
    <w:rsid w:val="00B8603E"/>
    <w:rsid w:val="00B862C1"/>
    <w:rsid w:val="00B87AB2"/>
    <w:rsid w:val="00B90B55"/>
    <w:rsid w:val="00B91993"/>
    <w:rsid w:val="00B92949"/>
    <w:rsid w:val="00B9335E"/>
    <w:rsid w:val="00B95344"/>
    <w:rsid w:val="00B95E5B"/>
    <w:rsid w:val="00B97CCF"/>
    <w:rsid w:val="00BA00FE"/>
    <w:rsid w:val="00BA0EC1"/>
    <w:rsid w:val="00BA1016"/>
    <w:rsid w:val="00BA249A"/>
    <w:rsid w:val="00BA3154"/>
    <w:rsid w:val="00BA36E2"/>
    <w:rsid w:val="00BA428D"/>
    <w:rsid w:val="00BA4681"/>
    <w:rsid w:val="00BA46FC"/>
    <w:rsid w:val="00BA5654"/>
    <w:rsid w:val="00BA66D0"/>
    <w:rsid w:val="00BA6E61"/>
    <w:rsid w:val="00BB03A4"/>
    <w:rsid w:val="00BB051F"/>
    <w:rsid w:val="00BB1384"/>
    <w:rsid w:val="00BB35A3"/>
    <w:rsid w:val="00BB3957"/>
    <w:rsid w:val="00BB3FDF"/>
    <w:rsid w:val="00BB40BA"/>
    <w:rsid w:val="00BB40DC"/>
    <w:rsid w:val="00BB49D0"/>
    <w:rsid w:val="00BB64B8"/>
    <w:rsid w:val="00BB682B"/>
    <w:rsid w:val="00BB75DB"/>
    <w:rsid w:val="00BB7B06"/>
    <w:rsid w:val="00BB7EDD"/>
    <w:rsid w:val="00BC0D1D"/>
    <w:rsid w:val="00BC0E40"/>
    <w:rsid w:val="00BC1F70"/>
    <w:rsid w:val="00BC31B3"/>
    <w:rsid w:val="00BC330E"/>
    <w:rsid w:val="00BC3360"/>
    <w:rsid w:val="00BC35BC"/>
    <w:rsid w:val="00BC4C6A"/>
    <w:rsid w:val="00BC4F25"/>
    <w:rsid w:val="00BC5150"/>
    <w:rsid w:val="00BC5548"/>
    <w:rsid w:val="00BC55B5"/>
    <w:rsid w:val="00BC560A"/>
    <w:rsid w:val="00BC6061"/>
    <w:rsid w:val="00BC62E5"/>
    <w:rsid w:val="00BC6547"/>
    <w:rsid w:val="00BC7567"/>
    <w:rsid w:val="00BC7C7A"/>
    <w:rsid w:val="00BC7D15"/>
    <w:rsid w:val="00BD00A1"/>
    <w:rsid w:val="00BD1756"/>
    <w:rsid w:val="00BD2000"/>
    <w:rsid w:val="00BD4113"/>
    <w:rsid w:val="00BD4396"/>
    <w:rsid w:val="00BD4C1A"/>
    <w:rsid w:val="00BD57C6"/>
    <w:rsid w:val="00BD5994"/>
    <w:rsid w:val="00BD6A92"/>
    <w:rsid w:val="00BD6BCF"/>
    <w:rsid w:val="00BD7653"/>
    <w:rsid w:val="00BE0B86"/>
    <w:rsid w:val="00BE11BA"/>
    <w:rsid w:val="00BE144D"/>
    <w:rsid w:val="00BE1897"/>
    <w:rsid w:val="00BE28E2"/>
    <w:rsid w:val="00BE2A44"/>
    <w:rsid w:val="00BE2F58"/>
    <w:rsid w:val="00BE30B7"/>
    <w:rsid w:val="00BE3787"/>
    <w:rsid w:val="00BE43EC"/>
    <w:rsid w:val="00BE43ED"/>
    <w:rsid w:val="00BE4584"/>
    <w:rsid w:val="00BE4D44"/>
    <w:rsid w:val="00BE53C1"/>
    <w:rsid w:val="00BE5CEB"/>
    <w:rsid w:val="00BE5FF0"/>
    <w:rsid w:val="00BE7446"/>
    <w:rsid w:val="00BF001C"/>
    <w:rsid w:val="00BF0C02"/>
    <w:rsid w:val="00BF1798"/>
    <w:rsid w:val="00BF233F"/>
    <w:rsid w:val="00BF28E3"/>
    <w:rsid w:val="00BF2CE4"/>
    <w:rsid w:val="00BF2F2F"/>
    <w:rsid w:val="00BF32F6"/>
    <w:rsid w:val="00BF378A"/>
    <w:rsid w:val="00BF522B"/>
    <w:rsid w:val="00BF5D1F"/>
    <w:rsid w:val="00BF6A40"/>
    <w:rsid w:val="00BF6D2C"/>
    <w:rsid w:val="00BF7401"/>
    <w:rsid w:val="00BF75CF"/>
    <w:rsid w:val="00C0026A"/>
    <w:rsid w:val="00C00B7A"/>
    <w:rsid w:val="00C01291"/>
    <w:rsid w:val="00C020DA"/>
    <w:rsid w:val="00C02185"/>
    <w:rsid w:val="00C0287B"/>
    <w:rsid w:val="00C02C8A"/>
    <w:rsid w:val="00C02CFB"/>
    <w:rsid w:val="00C0409D"/>
    <w:rsid w:val="00C04B21"/>
    <w:rsid w:val="00C04D0B"/>
    <w:rsid w:val="00C052D6"/>
    <w:rsid w:val="00C06047"/>
    <w:rsid w:val="00C071CD"/>
    <w:rsid w:val="00C07529"/>
    <w:rsid w:val="00C07E07"/>
    <w:rsid w:val="00C07ED2"/>
    <w:rsid w:val="00C10888"/>
    <w:rsid w:val="00C10B55"/>
    <w:rsid w:val="00C10E98"/>
    <w:rsid w:val="00C12816"/>
    <w:rsid w:val="00C128BC"/>
    <w:rsid w:val="00C14272"/>
    <w:rsid w:val="00C155F8"/>
    <w:rsid w:val="00C15EE8"/>
    <w:rsid w:val="00C15F89"/>
    <w:rsid w:val="00C17EC1"/>
    <w:rsid w:val="00C208F0"/>
    <w:rsid w:val="00C21130"/>
    <w:rsid w:val="00C21503"/>
    <w:rsid w:val="00C2239B"/>
    <w:rsid w:val="00C23297"/>
    <w:rsid w:val="00C2390B"/>
    <w:rsid w:val="00C2439B"/>
    <w:rsid w:val="00C249CB"/>
    <w:rsid w:val="00C25C8E"/>
    <w:rsid w:val="00C25E7D"/>
    <w:rsid w:val="00C26035"/>
    <w:rsid w:val="00C267BA"/>
    <w:rsid w:val="00C274D5"/>
    <w:rsid w:val="00C278E3"/>
    <w:rsid w:val="00C30389"/>
    <w:rsid w:val="00C307C5"/>
    <w:rsid w:val="00C30FFB"/>
    <w:rsid w:val="00C3119F"/>
    <w:rsid w:val="00C313C2"/>
    <w:rsid w:val="00C31A3B"/>
    <w:rsid w:val="00C323BD"/>
    <w:rsid w:val="00C3299E"/>
    <w:rsid w:val="00C33403"/>
    <w:rsid w:val="00C342B0"/>
    <w:rsid w:val="00C347F1"/>
    <w:rsid w:val="00C3654B"/>
    <w:rsid w:val="00C368EC"/>
    <w:rsid w:val="00C4022B"/>
    <w:rsid w:val="00C40A56"/>
    <w:rsid w:val="00C41104"/>
    <w:rsid w:val="00C4182B"/>
    <w:rsid w:val="00C42C20"/>
    <w:rsid w:val="00C431B6"/>
    <w:rsid w:val="00C44E78"/>
    <w:rsid w:val="00C450DF"/>
    <w:rsid w:val="00C4540C"/>
    <w:rsid w:val="00C471A3"/>
    <w:rsid w:val="00C47403"/>
    <w:rsid w:val="00C47EE6"/>
    <w:rsid w:val="00C517FE"/>
    <w:rsid w:val="00C51C90"/>
    <w:rsid w:val="00C52029"/>
    <w:rsid w:val="00C5435E"/>
    <w:rsid w:val="00C56570"/>
    <w:rsid w:val="00C57911"/>
    <w:rsid w:val="00C57CEB"/>
    <w:rsid w:val="00C61F0F"/>
    <w:rsid w:val="00C623BB"/>
    <w:rsid w:val="00C6343E"/>
    <w:rsid w:val="00C640FE"/>
    <w:rsid w:val="00C642AE"/>
    <w:rsid w:val="00C6475B"/>
    <w:rsid w:val="00C64EE6"/>
    <w:rsid w:val="00C6508B"/>
    <w:rsid w:val="00C65163"/>
    <w:rsid w:val="00C667ED"/>
    <w:rsid w:val="00C66B17"/>
    <w:rsid w:val="00C671D3"/>
    <w:rsid w:val="00C67603"/>
    <w:rsid w:val="00C70A16"/>
    <w:rsid w:val="00C73216"/>
    <w:rsid w:val="00C73A53"/>
    <w:rsid w:val="00C74D85"/>
    <w:rsid w:val="00C75173"/>
    <w:rsid w:val="00C75181"/>
    <w:rsid w:val="00C75235"/>
    <w:rsid w:val="00C774AB"/>
    <w:rsid w:val="00C77975"/>
    <w:rsid w:val="00C802CC"/>
    <w:rsid w:val="00C803C1"/>
    <w:rsid w:val="00C8053E"/>
    <w:rsid w:val="00C80FD7"/>
    <w:rsid w:val="00C81E75"/>
    <w:rsid w:val="00C8211E"/>
    <w:rsid w:val="00C83206"/>
    <w:rsid w:val="00C832D2"/>
    <w:rsid w:val="00C832D4"/>
    <w:rsid w:val="00C83C4E"/>
    <w:rsid w:val="00C843E8"/>
    <w:rsid w:val="00C86968"/>
    <w:rsid w:val="00C86D73"/>
    <w:rsid w:val="00C86E2B"/>
    <w:rsid w:val="00C86F0B"/>
    <w:rsid w:val="00C87AC5"/>
    <w:rsid w:val="00C87F17"/>
    <w:rsid w:val="00C916FA"/>
    <w:rsid w:val="00C9198B"/>
    <w:rsid w:val="00C92B75"/>
    <w:rsid w:val="00C932A2"/>
    <w:rsid w:val="00C93882"/>
    <w:rsid w:val="00C93956"/>
    <w:rsid w:val="00C939BA"/>
    <w:rsid w:val="00C96C78"/>
    <w:rsid w:val="00C96DDB"/>
    <w:rsid w:val="00C96EA3"/>
    <w:rsid w:val="00C9711A"/>
    <w:rsid w:val="00C9764A"/>
    <w:rsid w:val="00C97DC6"/>
    <w:rsid w:val="00CA0187"/>
    <w:rsid w:val="00CA02F3"/>
    <w:rsid w:val="00CA0F45"/>
    <w:rsid w:val="00CA11D6"/>
    <w:rsid w:val="00CA1A3B"/>
    <w:rsid w:val="00CA1D18"/>
    <w:rsid w:val="00CA2A16"/>
    <w:rsid w:val="00CA3523"/>
    <w:rsid w:val="00CA366B"/>
    <w:rsid w:val="00CA3FAA"/>
    <w:rsid w:val="00CA4A9C"/>
    <w:rsid w:val="00CA4E72"/>
    <w:rsid w:val="00CA5C7F"/>
    <w:rsid w:val="00CA67C3"/>
    <w:rsid w:val="00CA6FBA"/>
    <w:rsid w:val="00CB0A41"/>
    <w:rsid w:val="00CB129C"/>
    <w:rsid w:val="00CB2B47"/>
    <w:rsid w:val="00CB5526"/>
    <w:rsid w:val="00CB6690"/>
    <w:rsid w:val="00CB6BFA"/>
    <w:rsid w:val="00CB7236"/>
    <w:rsid w:val="00CB7354"/>
    <w:rsid w:val="00CB74DE"/>
    <w:rsid w:val="00CB7BF6"/>
    <w:rsid w:val="00CB7FF9"/>
    <w:rsid w:val="00CC0804"/>
    <w:rsid w:val="00CC0A7D"/>
    <w:rsid w:val="00CC0AF3"/>
    <w:rsid w:val="00CC156F"/>
    <w:rsid w:val="00CC19F9"/>
    <w:rsid w:val="00CC2E50"/>
    <w:rsid w:val="00CC2FA4"/>
    <w:rsid w:val="00CC30D0"/>
    <w:rsid w:val="00CC3701"/>
    <w:rsid w:val="00CC4EE3"/>
    <w:rsid w:val="00CC58C3"/>
    <w:rsid w:val="00CC64FA"/>
    <w:rsid w:val="00CC6A54"/>
    <w:rsid w:val="00CC6C8E"/>
    <w:rsid w:val="00CC6DE6"/>
    <w:rsid w:val="00CC7CC6"/>
    <w:rsid w:val="00CD0489"/>
    <w:rsid w:val="00CD0E41"/>
    <w:rsid w:val="00CD14F1"/>
    <w:rsid w:val="00CD15CF"/>
    <w:rsid w:val="00CD251F"/>
    <w:rsid w:val="00CD2724"/>
    <w:rsid w:val="00CD310D"/>
    <w:rsid w:val="00CD3216"/>
    <w:rsid w:val="00CD3753"/>
    <w:rsid w:val="00CD421B"/>
    <w:rsid w:val="00CD4423"/>
    <w:rsid w:val="00CD462D"/>
    <w:rsid w:val="00CD4B80"/>
    <w:rsid w:val="00CD5A2A"/>
    <w:rsid w:val="00CD6F3D"/>
    <w:rsid w:val="00CD7DD6"/>
    <w:rsid w:val="00CE0108"/>
    <w:rsid w:val="00CE04EE"/>
    <w:rsid w:val="00CE0D50"/>
    <w:rsid w:val="00CE0DFF"/>
    <w:rsid w:val="00CE1715"/>
    <w:rsid w:val="00CE1864"/>
    <w:rsid w:val="00CE3A9D"/>
    <w:rsid w:val="00CE422B"/>
    <w:rsid w:val="00CE454F"/>
    <w:rsid w:val="00CE53AD"/>
    <w:rsid w:val="00CE5682"/>
    <w:rsid w:val="00CE5685"/>
    <w:rsid w:val="00CE608E"/>
    <w:rsid w:val="00CE6197"/>
    <w:rsid w:val="00CE6327"/>
    <w:rsid w:val="00CE6781"/>
    <w:rsid w:val="00CE6AE2"/>
    <w:rsid w:val="00CE6DE8"/>
    <w:rsid w:val="00CE79F8"/>
    <w:rsid w:val="00CE7BB6"/>
    <w:rsid w:val="00CF148F"/>
    <w:rsid w:val="00CF1B03"/>
    <w:rsid w:val="00CF1D9D"/>
    <w:rsid w:val="00CF3AA9"/>
    <w:rsid w:val="00CF3EEF"/>
    <w:rsid w:val="00CF5150"/>
    <w:rsid w:val="00CF5F17"/>
    <w:rsid w:val="00CF6D14"/>
    <w:rsid w:val="00CF6DB2"/>
    <w:rsid w:val="00CF6FCB"/>
    <w:rsid w:val="00CF7D0D"/>
    <w:rsid w:val="00D00E9D"/>
    <w:rsid w:val="00D00FD1"/>
    <w:rsid w:val="00D017C6"/>
    <w:rsid w:val="00D01EA0"/>
    <w:rsid w:val="00D02A85"/>
    <w:rsid w:val="00D02AB8"/>
    <w:rsid w:val="00D02BF2"/>
    <w:rsid w:val="00D02DEE"/>
    <w:rsid w:val="00D04A38"/>
    <w:rsid w:val="00D057E5"/>
    <w:rsid w:val="00D05EF4"/>
    <w:rsid w:val="00D065AB"/>
    <w:rsid w:val="00D066EB"/>
    <w:rsid w:val="00D073E4"/>
    <w:rsid w:val="00D101A1"/>
    <w:rsid w:val="00D107D2"/>
    <w:rsid w:val="00D10D17"/>
    <w:rsid w:val="00D1167B"/>
    <w:rsid w:val="00D11B2B"/>
    <w:rsid w:val="00D11C72"/>
    <w:rsid w:val="00D11E9B"/>
    <w:rsid w:val="00D11F16"/>
    <w:rsid w:val="00D12CCA"/>
    <w:rsid w:val="00D13531"/>
    <w:rsid w:val="00D136C2"/>
    <w:rsid w:val="00D14155"/>
    <w:rsid w:val="00D14A0E"/>
    <w:rsid w:val="00D14A8D"/>
    <w:rsid w:val="00D1524B"/>
    <w:rsid w:val="00D169BB"/>
    <w:rsid w:val="00D17F51"/>
    <w:rsid w:val="00D20674"/>
    <w:rsid w:val="00D20696"/>
    <w:rsid w:val="00D2113A"/>
    <w:rsid w:val="00D215FD"/>
    <w:rsid w:val="00D21A73"/>
    <w:rsid w:val="00D22BCD"/>
    <w:rsid w:val="00D2332A"/>
    <w:rsid w:val="00D238BF"/>
    <w:rsid w:val="00D23C72"/>
    <w:rsid w:val="00D2426B"/>
    <w:rsid w:val="00D260F9"/>
    <w:rsid w:val="00D261C5"/>
    <w:rsid w:val="00D269FE"/>
    <w:rsid w:val="00D26E3A"/>
    <w:rsid w:val="00D278ED"/>
    <w:rsid w:val="00D27DAB"/>
    <w:rsid w:val="00D3041D"/>
    <w:rsid w:val="00D3079E"/>
    <w:rsid w:val="00D31610"/>
    <w:rsid w:val="00D318C8"/>
    <w:rsid w:val="00D32069"/>
    <w:rsid w:val="00D32CA0"/>
    <w:rsid w:val="00D33A19"/>
    <w:rsid w:val="00D33DD9"/>
    <w:rsid w:val="00D33E78"/>
    <w:rsid w:val="00D34707"/>
    <w:rsid w:val="00D34925"/>
    <w:rsid w:val="00D3648E"/>
    <w:rsid w:val="00D37870"/>
    <w:rsid w:val="00D37D5D"/>
    <w:rsid w:val="00D37E4D"/>
    <w:rsid w:val="00D37F20"/>
    <w:rsid w:val="00D40278"/>
    <w:rsid w:val="00D40440"/>
    <w:rsid w:val="00D41922"/>
    <w:rsid w:val="00D4275C"/>
    <w:rsid w:val="00D43977"/>
    <w:rsid w:val="00D44B5D"/>
    <w:rsid w:val="00D44CEE"/>
    <w:rsid w:val="00D44EAD"/>
    <w:rsid w:val="00D45504"/>
    <w:rsid w:val="00D4611A"/>
    <w:rsid w:val="00D50274"/>
    <w:rsid w:val="00D50707"/>
    <w:rsid w:val="00D5070C"/>
    <w:rsid w:val="00D518A7"/>
    <w:rsid w:val="00D53C52"/>
    <w:rsid w:val="00D54176"/>
    <w:rsid w:val="00D544A6"/>
    <w:rsid w:val="00D54774"/>
    <w:rsid w:val="00D54C55"/>
    <w:rsid w:val="00D54EFA"/>
    <w:rsid w:val="00D55214"/>
    <w:rsid w:val="00D553E0"/>
    <w:rsid w:val="00D55C19"/>
    <w:rsid w:val="00D55E48"/>
    <w:rsid w:val="00D56D9E"/>
    <w:rsid w:val="00D57585"/>
    <w:rsid w:val="00D57813"/>
    <w:rsid w:val="00D61D44"/>
    <w:rsid w:val="00D6222F"/>
    <w:rsid w:val="00D6282D"/>
    <w:rsid w:val="00D629C4"/>
    <w:rsid w:val="00D62B14"/>
    <w:rsid w:val="00D6371A"/>
    <w:rsid w:val="00D63C63"/>
    <w:rsid w:val="00D64F33"/>
    <w:rsid w:val="00D655CB"/>
    <w:rsid w:val="00D662C4"/>
    <w:rsid w:val="00D66F70"/>
    <w:rsid w:val="00D70B11"/>
    <w:rsid w:val="00D70F20"/>
    <w:rsid w:val="00D710B6"/>
    <w:rsid w:val="00D71A9F"/>
    <w:rsid w:val="00D723FA"/>
    <w:rsid w:val="00D726FC"/>
    <w:rsid w:val="00D72BBA"/>
    <w:rsid w:val="00D72DC9"/>
    <w:rsid w:val="00D72E64"/>
    <w:rsid w:val="00D732C1"/>
    <w:rsid w:val="00D73C25"/>
    <w:rsid w:val="00D73FE4"/>
    <w:rsid w:val="00D75944"/>
    <w:rsid w:val="00D75A15"/>
    <w:rsid w:val="00D766FA"/>
    <w:rsid w:val="00D7695E"/>
    <w:rsid w:val="00D76D8E"/>
    <w:rsid w:val="00D7793C"/>
    <w:rsid w:val="00D800B1"/>
    <w:rsid w:val="00D801EA"/>
    <w:rsid w:val="00D803CA"/>
    <w:rsid w:val="00D814E7"/>
    <w:rsid w:val="00D815F4"/>
    <w:rsid w:val="00D825E9"/>
    <w:rsid w:val="00D82BD6"/>
    <w:rsid w:val="00D83B33"/>
    <w:rsid w:val="00D83EC1"/>
    <w:rsid w:val="00D84149"/>
    <w:rsid w:val="00D844B1"/>
    <w:rsid w:val="00D859AF"/>
    <w:rsid w:val="00D85EF7"/>
    <w:rsid w:val="00D8779C"/>
    <w:rsid w:val="00D878F5"/>
    <w:rsid w:val="00D87B09"/>
    <w:rsid w:val="00D87BC3"/>
    <w:rsid w:val="00D9254A"/>
    <w:rsid w:val="00D92BA1"/>
    <w:rsid w:val="00D93143"/>
    <w:rsid w:val="00D934A4"/>
    <w:rsid w:val="00D950F8"/>
    <w:rsid w:val="00DA1D4B"/>
    <w:rsid w:val="00DA271A"/>
    <w:rsid w:val="00DA2C7C"/>
    <w:rsid w:val="00DA3688"/>
    <w:rsid w:val="00DA3DA6"/>
    <w:rsid w:val="00DA7B79"/>
    <w:rsid w:val="00DB080F"/>
    <w:rsid w:val="00DB0FE3"/>
    <w:rsid w:val="00DB1B52"/>
    <w:rsid w:val="00DB1EE5"/>
    <w:rsid w:val="00DB27EA"/>
    <w:rsid w:val="00DB2D50"/>
    <w:rsid w:val="00DB31B8"/>
    <w:rsid w:val="00DB41CF"/>
    <w:rsid w:val="00DB491E"/>
    <w:rsid w:val="00DB4B20"/>
    <w:rsid w:val="00DB5EF9"/>
    <w:rsid w:val="00DB7525"/>
    <w:rsid w:val="00DB7925"/>
    <w:rsid w:val="00DB7B7E"/>
    <w:rsid w:val="00DC0C58"/>
    <w:rsid w:val="00DC0CFE"/>
    <w:rsid w:val="00DC1373"/>
    <w:rsid w:val="00DC16D3"/>
    <w:rsid w:val="00DC1B4C"/>
    <w:rsid w:val="00DC30D6"/>
    <w:rsid w:val="00DC3294"/>
    <w:rsid w:val="00DC361B"/>
    <w:rsid w:val="00DC39C1"/>
    <w:rsid w:val="00DC3F21"/>
    <w:rsid w:val="00DC427D"/>
    <w:rsid w:val="00DC46D5"/>
    <w:rsid w:val="00DC4C32"/>
    <w:rsid w:val="00DC6425"/>
    <w:rsid w:val="00DC6F87"/>
    <w:rsid w:val="00DD0866"/>
    <w:rsid w:val="00DD118D"/>
    <w:rsid w:val="00DD1445"/>
    <w:rsid w:val="00DD148A"/>
    <w:rsid w:val="00DD2192"/>
    <w:rsid w:val="00DD2DB3"/>
    <w:rsid w:val="00DD3E2C"/>
    <w:rsid w:val="00DD46DB"/>
    <w:rsid w:val="00DD48FA"/>
    <w:rsid w:val="00DD5EA5"/>
    <w:rsid w:val="00DD5ED4"/>
    <w:rsid w:val="00DD6196"/>
    <w:rsid w:val="00DD657F"/>
    <w:rsid w:val="00DD78C4"/>
    <w:rsid w:val="00DD7EF5"/>
    <w:rsid w:val="00DE0B53"/>
    <w:rsid w:val="00DE0B7D"/>
    <w:rsid w:val="00DE0C09"/>
    <w:rsid w:val="00DE2D5E"/>
    <w:rsid w:val="00DE352B"/>
    <w:rsid w:val="00DE3B9B"/>
    <w:rsid w:val="00DE505D"/>
    <w:rsid w:val="00DE53EA"/>
    <w:rsid w:val="00DE70F4"/>
    <w:rsid w:val="00DE7775"/>
    <w:rsid w:val="00DE7F73"/>
    <w:rsid w:val="00DF03D9"/>
    <w:rsid w:val="00DF05DD"/>
    <w:rsid w:val="00DF07DD"/>
    <w:rsid w:val="00DF0E1A"/>
    <w:rsid w:val="00DF0FEA"/>
    <w:rsid w:val="00DF12BC"/>
    <w:rsid w:val="00DF1547"/>
    <w:rsid w:val="00DF1867"/>
    <w:rsid w:val="00DF1FF5"/>
    <w:rsid w:val="00DF261B"/>
    <w:rsid w:val="00DF2CD0"/>
    <w:rsid w:val="00DF3310"/>
    <w:rsid w:val="00DF403E"/>
    <w:rsid w:val="00DF4380"/>
    <w:rsid w:val="00DF4766"/>
    <w:rsid w:val="00DF5D08"/>
    <w:rsid w:val="00DF5DCE"/>
    <w:rsid w:val="00DF6386"/>
    <w:rsid w:val="00E0041A"/>
    <w:rsid w:val="00E0080C"/>
    <w:rsid w:val="00E00BAF"/>
    <w:rsid w:val="00E00CFE"/>
    <w:rsid w:val="00E00E4F"/>
    <w:rsid w:val="00E0126D"/>
    <w:rsid w:val="00E0197C"/>
    <w:rsid w:val="00E01DAF"/>
    <w:rsid w:val="00E020B7"/>
    <w:rsid w:val="00E03E34"/>
    <w:rsid w:val="00E04BDD"/>
    <w:rsid w:val="00E04D56"/>
    <w:rsid w:val="00E056DF"/>
    <w:rsid w:val="00E058B7"/>
    <w:rsid w:val="00E061D2"/>
    <w:rsid w:val="00E071C9"/>
    <w:rsid w:val="00E104FE"/>
    <w:rsid w:val="00E11148"/>
    <w:rsid w:val="00E11FAE"/>
    <w:rsid w:val="00E126A3"/>
    <w:rsid w:val="00E14680"/>
    <w:rsid w:val="00E1488E"/>
    <w:rsid w:val="00E15A3D"/>
    <w:rsid w:val="00E15BFA"/>
    <w:rsid w:val="00E15F25"/>
    <w:rsid w:val="00E16AB6"/>
    <w:rsid w:val="00E17027"/>
    <w:rsid w:val="00E170F1"/>
    <w:rsid w:val="00E1721D"/>
    <w:rsid w:val="00E21A14"/>
    <w:rsid w:val="00E2238D"/>
    <w:rsid w:val="00E227C0"/>
    <w:rsid w:val="00E22C7A"/>
    <w:rsid w:val="00E2359A"/>
    <w:rsid w:val="00E23699"/>
    <w:rsid w:val="00E23AAF"/>
    <w:rsid w:val="00E23B49"/>
    <w:rsid w:val="00E23DC8"/>
    <w:rsid w:val="00E240DF"/>
    <w:rsid w:val="00E25082"/>
    <w:rsid w:val="00E2526F"/>
    <w:rsid w:val="00E25CED"/>
    <w:rsid w:val="00E264DF"/>
    <w:rsid w:val="00E265A1"/>
    <w:rsid w:val="00E270EF"/>
    <w:rsid w:val="00E27653"/>
    <w:rsid w:val="00E2766B"/>
    <w:rsid w:val="00E307D7"/>
    <w:rsid w:val="00E30DAD"/>
    <w:rsid w:val="00E31C43"/>
    <w:rsid w:val="00E31D7C"/>
    <w:rsid w:val="00E3362E"/>
    <w:rsid w:val="00E35E16"/>
    <w:rsid w:val="00E36100"/>
    <w:rsid w:val="00E374E5"/>
    <w:rsid w:val="00E42165"/>
    <w:rsid w:val="00E4269C"/>
    <w:rsid w:val="00E42DE5"/>
    <w:rsid w:val="00E433A7"/>
    <w:rsid w:val="00E4367C"/>
    <w:rsid w:val="00E4452F"/>
    <w:rsid w:val="00E4528A"/>
    <w:rsid w:val="00E4697A"/>
    <w:rsid w:val="00E474EE"/>
    <w:rsid w:val="00E47FD0"/>
    <w:rsid w:val="00E50A71"/>
    <w:rsid w:val="00E5137B"/>
    <w:rsid w:val="00E51D0B"/>
    <w:rsid w:val="00E524E5"/>
    <w:rsid w:val="00E52E03"/>
    <w:rsid w:val="00E54292"/>
    <w:rsid w:val="00E54956"/>
    <w:rsid w:val="00E54C82"/>
    <w:rsid w:val="00E552C5"/>
    <w:rsid w:val="00E55D40"/>
    <w:rsid w:val="00E55E6E"/>
    <w:rsid w:val="00E56285"/>
    <w:rsid w:val="00E56D2D"/>
    <w:rsid w:val="00E56F35"/>
    <w:rsid w:val="00E57901"/>
    <w:rsid w:val="00E57F86"/>
    <w:rsid w:val="00E603CC"/>
    <w:rsid w:val="00E60F4D"/>
    <w:rsid w:val="00E614A9"/>
    <w:rsid w:val="00E62166"/>
    <w:rsid w:val="00E62B6D"/>
    <w:rsid w:val="00E62F46"/>
    <w:rsid w:val="00E635E2"/>
    <w:rsid w:val="00E64032"/>
    <w:rsid w:val="00E65383"/>
    <w:rsid w:val="00E65826"/>
    <w:rsid w:val="00E667B5"/>
    <w:rsid w:val="00E66EDA"/>
    <w:rsid w:val="00E67AA8"/>
    <w:rsid w:val="00E67C84"/>
    <w:rsid w:val="00E724E5"/>
    <w:rsid w:val="00E727B5"/>
    <w:rsid w:val="00E73156"/>
    <w:rsid w:val="00E74881"/>
    <w:rsid w:val="00E74DA5"/>
    <w:rsid w:val="00E75031"/>
    <w:rsid w:val="00E75A5E"/>
    <w:rsid w:val="00E76120"/>
    <w:rsid w:val="00E76F1C"/>
    <w:rsid w:val="00E770F4"/>
    <w:rsid w:val="00E81E50"/>
    <w:rsid w:val="00E8493D"/>
    <w:rsid w:val="00E855EE"/>
    <w:rsid w:val="00E85769"/>
    <w:rsid w:val="00E861CF"/>
    <w:rsid w:val="00E86547"/>
    <w:rsid w:val="00E86C6D"/>
    <w:rsid w:val="00E87D5E"/>
    <w:rsid w:val="00E9037E"/>
    <w:rsid w:val="00E90C19"/>
    <w:rsid w:val="00E91DE1"/>
    <w:rsid w:val="00E91EA9"/>
    <w:rsid w:val="00E92D08"/>
    <w:rsid w:val="00E932E3"/>
    <w:rsid w:val="00E94420"/>
    <w:rsid w:val="00E95357"/>
    <w:rsid w:val="00E95389"/>
    <w:rsid w:val="00E96706"/>
    <w:rsid w:val="00E97286"/>
    <w:rsid w:val="00EA1A72"/>
    <w:rsid w:val="00EA1D3A"/>
    <w:rsid w:val="00EA27E9"/>
    <w:rsid w:val="00EA4D0A"/>
    <w:rsid w:val="00EA4E62"/>
    <w:rsid w:val="00EA5AE9"/>
    <w:rsid w:val="00EA5BE0"/>
    <w:rsid w:val="00EA663F"/>
    <w:rsid w:val="00EA6B48"/>
    <w:rsid w:val="00EA6FC0"/>
    <w:rsid w:val="00EA7589"/>
    <w:rsid w:val="00EA75B0"/>
    <w:rsid w:val="00EA7BE8"/>
    <w:rsid w:val="00EB0376"/>
    <w:rsid w:val="00EB153C"/>
    <w:rsid w:val="00EB1EAC"/>
    <w:rsid w:val="00EB27DA"/>
    <w:rsid w:val="00EB2F33"/>
    <w:rsid w:val="00EB48F0"/>
    <w:rsid w:val="00EB4EF0"/>
    <w:rsid w:val="00EB57E4"/>
    <w:rsid w:val="00EB5852"/>
    <w:rsid w:val="00EB5905"/>
    <w:rsid w:val="00EB5BEF"/>
    <w:rsid w:val="00EB640F"/>
    <w:rsid w:val="00EB7460"/>
    <w:rsid w:val="00EB7C64"/>
    <w:rsid w:val="00EC0CED"/>
    <w:rsid w:val="00EC24BD"/>
    <w:rsid w:val="00EC25DA"/>
    <w:rsid w:val="00EC2BA2"/>
    <w:rsid w:val="00EC430D"/>
    <w:rsid w:val="00EC43AB"/>
    <w:rsid w:val="00EC4681"/>
    <w:rsid w:val="00EC4BFE"/>
    <w:rsid w:val="00EC4F41"/>
    <w:rsid w:val="00EC5168"/>
    <w:rsid w:val="00EC659D"/>
    <w:rsid w:val="00EC68AF"/>
    <w:rsid w:val="00EC6FC6"/>
    <w:rsid w:val="00EC6FF0"/>
    <w:rsid w:val="00EC78DD"/>
    <w:rsid w:val="00ED0939"/>
    <w:rsid w:val="00ED18BD"/>
    <w:rsid w:val="00ED203B"/>
    <w:rsid w:val="00ED34B0"/>
    <w:rsid w:val="00ED4032"/>
    <w:rsid w:val="00ED4A3B"/>
    <w:rsid w:val="00ED634B"/>
    <w:rsid w:val="00ED6669"/>
    <w:rsid w:val="00ED6DA6"/>
    <w:rsid w:val="00ED7592"/>
    <w:rsid w:val="00ED7C77"/>
    <w:rsid w:val="00ED7C85"/>
    <w:rsid w:val="00EE0AD6"/>
    <w:rsid w:val="00EE38E6"/>
    <w:rsid w:val="00EE46D2"/>
    <w:rsid w:val="00EE4D75"/>
    <w:rsid w:val="00EE511C"/>
    <w:rsid w:val="00EE5C23"/>
    <w:rsid w:val="00EE5FC4"/>
    <w:rsid w:val="00EE61C7"/>
    <w:rsid w:val="00EE6CD2"/>
    <w:rsid w:val="00EE7BC7"/>
    <w:rsid w:val="00EE7FD4"/>
    <w:rsid w:val="00EF0137"/>
    <w:rsid w:val="00EF0635"/>
    <w:rsid w:val="00EF0959"/>
    <w:rsid w:val="00EF1825"/>
    <w:rsid w:val="00EF2CC0"/>
    <w:rsid w:val="00EF3473"/>
    <w:rsid w:val="00EF3547"/>
    <w:rsid w:val="00EF4FAA"/>
    <w:rsid w:val="00EF5D46"/>
    <w:rsid w:val="00EF5F8E"/>
    <w:rsid w:val="00EF65C4"/>
    <w:rsid w:val="00EF6DD9"/>
    <w:rsid w:val="00F02235"/>
    <w:rsid w:val="00F026D4"/>
    <w:rsid w:val="00F026EB"/>
    <w:rsid w:val="00F05A52"/>
    <w:rsid w:val="00F05EF4"/>
    <w:rsid w:val="00F06B08"/>
    <w:rsid w:val="00F079B2"/>
    <w:rsid w:val="00F10067"/>
    <w:rsid w:val="00F10B77"/>
    <w:rsid w:val="00F11634"/>
    <w:rsid w:val="00F11812"/>
    <w:rsid w:val="00F11D08"/>
    <w:rsid w:val="00F11E1A"/>
    <w:rsid w:val="00F121BD"/>
    <w:rsid w:val="00F123F1"/>
    <w:rsid w:val="00F127DF"/>
    <w:rsid w:val="00F13774"/>
    <w:rsid w:val="00F1469A"/>
    <w:rsid w:val="00F14F3B"/>
    <w:rsid w:val="00F15DBF"/>
    <w:rsid w:val="00F16B4E"/>
    <w:rsid w:val="00F17F70"/>
    <w:rsid w:val="00F201D7"/>
    <w:rsid w:val="00F20731"/>
    <w:rsid w:val="00F20B22"/>
    <w:rsid w:val="00F210AD"/>
    <w:rsid w:val="00F21431"/>
    <w:rsid w:val="00F21BEA"/>
    <w:rsid w:val="00F21BF2"/>
    <w:rsid w:val="00F21C7B"/>
    <w:rsid w:val="00F22406"/>
    <w:rsid w:val="00F233F0"/>
    <w:rsid w:val="00F24EA2"/>
    <w:rsid w:val="00F2500E"/>
    <w:rsid w:val="00F2529B"/>
    <w:rsid w:val="00F2607D"/>
    <w:rsid w:val="00F261C3"/>
    <w:rsid w:val="00F2746D"/>
    <w:rsid w:val="00F27A08"/>
    <w:rsid w:val="00F31F9C"/>
    <w:rsid w:val="00F32429"/>
    <w:rsid w:val="00F3246F"/>
    <w:rsid w:val="00F336C3"/>
    <w:rsid w:val="00F341C6"/>
    <w:rsid w:val="00F342E2"/>
    <w:rsid w:val="00F34771"/>
    <w:rsid w:val="00F34C12"/>
    <w:rsid w:val="00F363D8"/>
    <w:rsid w:val="00F3650E"/>
    <w:rsid w:val="00F372CB"/>
    <w:rsid w:val="00F37954"/>
    <w:rsid w:val="00F37A06"/>
    <w:rsid w:val="00F407A3"/>
    <w:rsid w:val="00F40CE0"/>
    <w:rsid w:val="00F41673"/>
    <w:rsid w:val="00F41DD3"/>
    <w:rsid w:val="00F4223E"/>
    <w:rsid w:val="00F42EC5"/>
    <w:rsid w:val="00F430C7"/>
    <w:rsid w:val="00F4321F"/>
    <w:rsid w:val="00F43421"/>
    <w:rsid w:val="00F43A8E"/>
    <w:rsid w:val="00F44404"/>
    <w:rsid w:val="00F449BA"/>
    <w:rsid w:val="00F453B0"/>
    <w:rsid w:val="00F45C5C"/>
    <w:rsid w:val="00F46904"/>
    <w:rsid w:val="00F46A11"/>
    <w:rsid w:val="00F46CF7"/>
    <w:rsid w:val="00F4747C"/>
    <w:rsid w:val="00F47732"/>
    <w:rsid w:val="00F47FA8"/>
    <w:rsid w:val="00F51B23"/>
    <w:rsid w:val="00F53BAE"/>
    <w:rsid w:val="00F541C2"/>
    <w:rsid w:val="00F558B2"/>
    <w:rsid w:val="00F55D03"/>
    <w:rsid w:val="00F56975"/>
    <w:rsid w:val="00F56FBB"/>
    <w:rsid w:val="00F606DE"/>
    <w:rsid w:val="00F60E01"/>
    <w:rsid w:val="00F6206D"/>
    <w:rsid w:val="00F620C0"/>
    <w:rsid w:val="00F62CC8"/>
    <w:rsid w:val="00F635D3"/>
    <w:rsid w:val="00F63AEC"/>
    <w:rsid w:val="00F641C0"/>
    <w:rsid w:val="00F6426A"/>
    <w:rsid w:val="00F645C0"/>
    <w:rsid w:val="00F64D96"/>
    <w:rsid w:val="00F66B8E"/>
    <w:rsid w:val="00F67D4C"/>
    <w:rsid w:val="00F67E96"/>
    <w:rsid w:val="00F67F85"/>
    <w:rsid w:val="00F7031A"/>
    <w:rsid w:val="00F70395"/>
    <w:rsid w:val="00F727EB"/>
    <w:rsid w:val="00F72B72"/>
    <w:rsid w:val="00F740B9"/>
    <w:rsid w:val="00F74F2C"/>
    <w:rsid w:val="00F7529E"/>
    <w:rsid w:val="00F76047"/>
    <w:rsid w:val="00F76D5F"/>
    <w:rsid w:val="00F76F15"/>
    <w:rsid w:val="00F7702B"/>
    <w:rsid w:val="00F77373"/>
    <w:rsid w:val="00F77ABD"/>
    <w:rsid w:val="00F77C00"/>
    <w:rsid w:val="00F80C38"/>
    <w:rsid w:val="00F81E90"/>
    <w:rsid w:val="00F823B2"/>
    <w:rsid w:val="00F8273E"/>
    <w:rsid w:val="00F82960"/>
    <w:rsid w:val="00F82EA6"/>
    <w:rsid w:val="00F833D3"/>
    <w:rsid w:val="00F83BF3"/>
    <w:rsid w:val="00F842D7"/>
    <w:rsid w:val="00F84911"/>
    <w:rsid w:val="00F855D2"/>
    <w:rsid w:val="00F85A9B"/>
    <w:rsid w:val="00F9176E"/>
    <w:rsid w:val="00F9187A"/>
    <w:rsid w:val="00F925C3"/>
    <w:rsid w:val="00F93686"/>
    <w:rsid w:val="00F93C54"/>
    <w:rsid w:val="00F95056"/>
    <w:rsid w:val="00F95527"/>
    <w:rsid w:val="00F96A37"/>
    <w:rsid w:val="00F97794"/>
    <w:rsid w:val="00FA059D"/>
    <w:rsid w:val="00FA11B8"/>
    <w:rsid w:val="00FA1881"/>
    <w:rsid w:val="00FA2A2A"/>
    <w:rsid w:val="00FA2BB3"/>
    <w:rsid w:val="00FA316A"/>
    <w:rsid w:val="00FA3531"/>
    <w:rsid w:val="00FA3A53"/>
    <w:rsid w:val="00FA43C5"/>
    <w:rsid w:val="00FA4E0F"/>
    <w:rsid w:val="00FA58EF"/>
    <w:rsid w:val="00FA647E"/>
    <w:rsid w:val="00FA7123"/>
    <w:rsid w:val="00FA7142"/>
    <w:rsid w:val="00FA7350"/>
    <w:rsid w:val="00FA798B"/>
    <w:rsid w:val="00FA7E0E"/>
    <w:rsid w:val="00FB09E5"/>
    <w:rsid w:val="00FB0E24"/>
    <w:rsid w:val="00FB3A5B"/>
    <w:rsid w:val="00FB519D"/>
    <w:rsid w:val="00FB605E"/>
    <w:rsid w:val="00FB644A"/>
    <w:rsid w:val="00FB7980"/>
    <w:rsid w:val="00FC0443"/>
    <w:rsid w:val="00FC18A2"/>
    <w:rsid w:val="00FC2EEC"/>
    <w:rsid w:val="00FC3560"/>
    <w:rsid w:val="00FC387C"/>
    <w:rsid w:val="00FC4620"/>
    <w:rsid w:val="00FC5587"/>
    <w:rsid w:val="00FC6155"/>
    <w:rsid w:val="00FC61E6"/>
    <w:rsid w:val="00FC6946"/>
    <w:rsid w:val="00FC7ADE"/>
    <w:rsid w:val="00FC7B69"/>
    <w:rsid w:val="00FD009A"/>
    <w:rsid w:val="00FD14C8"/>
    <w:rsid w:val="00FD2931"/>
    <w:rsid w:val="00FD5C61"/>
    <w:rsid w:val="00FD6850"/>
    <w:rsid w:val="00FD68E4"/>
    <w:rsid w:val="00FD6D21"/>
    <w:rsid w:val="00FE09CC"/>
    <w:rsid w:val="00FE0C24"/>
    <w:rsid w:val="00FE0EC0"/>
    <w:rsid w:val="00FE124E"/>
    <w:rsid w:val="00FE15C4"/>
    <w:rsid w:val="00FE2603"/>
    <w:rsid w:val="00FE2F59"/>
    <w:rsid w:val="00FE3212"/>
    <w:rsid w:val="00FE343A"/>
    <w:rsid w:val="00FE4F45"/>
    <w:rsid w:val="00FE56D2"/>
    <w:rsid w:val="00FE59D6"/>
    <w:rsid w:val="00FE6917"/>
    <w:rsid w:val="00FE6DC9"/>
    <w:rsid w:val="00FE6E01"/>
    <w:rsid w:val="00FF00D0"/>
    <w:rsid w:val="00FF0309"/>
    <w:rsid w:val="00FF0647"/>
    <w:rsid w:val="00FF120E"/>
    <w:rsid w:val="00FF1985"/>
    <w:rsid w:val="00FF1E3C"/>
    <w:rsid w:val="00FF214C"/>
    <w:rsid w:val="00FF3560"/>
    <w:rsid w:val="00FF3633"/>
    <w:rsid w:val="00FF3BD0"/>
    <w:rsid w:val="00FF48AE"/>
    <w:rsid w:val="00FF504A"/>
    <w:rsid w:val="00FF5887"/>
    <w:rsid w:val="00FF603A"/>
    <w:rsid w:val="00FF672F"/>
    <w:rsid w:val="00FF6E4A"/>
    <w:rsid w:val="00FF6FED"/>
    <w:rsid w:val="0130750B"/>
    <w:rsid w:val="01A747BA"/>
    <w:rsid w:val="029A7B8D"/>
    <w:rsid w:val="029C2E7A"/>
    <w:rsid w:val="029F34D8"/>
    <w:rsid w:val="047E7906"/>
    <w:rsid w:val="049946D6"/>
    <w:rsid w:val="04F46967"/>
    <w:rsid w:val="05B23417"/>
    <w:rsid w:val="05ED1A9D"/>
    <w:rsid w:val="072D3A2E"/>
    <w:rsid w:val="07334E52"/>
    <w:rsid w:val="07857B54"/>
    <w:rsid w:val="079040D6"/>
    <w:rsid w:val="07BF7EB9"/>
    <w:rsid w:val="07C876F0"/>
    <w:rsid w:val="07F84CBB"/>
    <w:rsid w:val="0856379B"/>
    <w:rsid w:val="08B36381"/>
    <w:rsid w:val="09AB43FC"/>
    <w:rsid w:val="0A52707D"/>
    <w:rsid w:val="0A5A5DDC"/>
    <w:rsid w:val="0A821D9A"/>
    <w:rsid w:val="0B32357F"/>
    <w:rsid w:val="0B8B5B50"/>
    <w:rsid w:val="0BD232EE"/>
    <w:rsid w:val="0BF94A90"/>
    <w:rsid w:val="0BFA53FB"/>
    <w:rsid w:val="0C1D574C"/>
    <w:rsid w:val="0C6742EC"/>
    <w:rsid w:val="0C882D87"/>
    <w:rsid w:val="0CC76A72"/>
    <w:rsid w:val="0D1A530A"/>
    <w:rsid w:val="0D2F10DD"/>
    <w:rsid w:val="0DC45CC1"/>
    <w:rsid w:val="0E1F0EBC"/>
    <w:rsid w:val="0E770EA0"/>
    <w:rsid w:val="0E984243"/>
    <w:rsid w:val="0EA82DD8"/>
    <w:rsid w:val="0EDC703A"/>
    <w:rsid w:val="0F7500D8"/>
    <w:rsid w:val="0F9700F3"/>
    <w:rsid w:val="0FCB1589"/>
    <w:rsid w:val="0FCD4C1B"/>
    <w:rsid w:val="10513A70"/>
    <w:rsid w:val="1065378B"/>
    <w:rsid w:val="107776B4"/>
    <w:rsid w:val="10E85188"/>
    <w:rsid w:val="116312E4"/>
    <w:rsid w:val="1214782D"/>
    <w:rsid w:val="131D561D"/>
    <w:rsid w:val="136C6BDF"/>
    <w:rsid w:val="138D407B"/>
    <w:rsid w:val="140432BB"/>
    <w:rsid w:val="148A32B9"/>
    <w:rsid w:val="15FF6C84"/>
    <w:rsid w:val="18834ACE"/>
    <w:rsid w:val="18B2679E"/>
    <w:rsid w:val="194A0FB4"/>
    <w:rsid w:val="195C14A3"/>
    <w:rsid w:val="1A0055E3"/>
    <w:rsid w:val="1AEF6E14"/>
    <w:rsid w:val="1BC15CBA"/>
    <w:rsid w:val="1BDA3FD4"/>
    <w:rsid w:val="1BFE3A09"/>
    <w:rsid w:val="1C0A0E31"/>
    <w:rsid w:val="1C0A4D0F"/>
    <w:rsid w:val="1DD34F3A"/>
    <w:rsid w:val="1E767CD6"/>
    <w:rsid w:val="1E9C3FD7"/>
    <w:rsid w:val="1F941997"/>
    <w:rsid w:val="1FF95C9E"/>
    <w:rsid w:val="20AB7F59"/>
    <w:rsid w:val="20F841A8"/>
    <w:rsid w:val="21280C54"/>
    <w:rsid w:val="213A5E41"/>
    <w:rsid w:val="218617B3"/>
    <w:rsid w:val="21CE40B9"/>
    <w:rsid w:val="227D4C96"/>
    <w:rsid w:val="230C6C84"/>
    <w:rsid w:val="236C3806"/>
    <w:rsid w:val="23BF7C3C"/>
    <w:rsid w:val="240E6379"/>
    <w:rsid w:val="249D17A1"/>
    <w:rsid w:val="24CA19AC"/>
    <w:rsid w:val="253E5008"/>
    <w:rsid w:val="25A251C5"/>
    <w:rsid w:val="26385AF0"/>
    <w:rsid w:val="267E061F"/>
    <w:rsid w:val="269A0D7E"/>
    <w:rsid w:val="2762462B"/>
    <w:rsid w:val="28B22DF8"/>
    <w:rsid w:val="28DC615D"/>
    <w:rsid w:val="29444B17"/>
    <w:rsid w:val="29777C08"/>
    <w:rsid w:val="29A31983"/>
    <w:rsid w:val="29A3289F"/>
    <w:rsid w:val="29B42C36"/>
    <w:rsid w:val="2A1C0A06"/>
    <w:rsid w:val="2A2953D2"/>
    <w:rsid w:val="2A436CD2"/>
    <w:rsid w:val="2A64640A"/>
    <w:rsid w:val="2A704DAF"/>
    <w:rsid w:val="2ADB2A24"/>
    <w:rsid w:val="2B6A5E5D"/>
    <w:rsid w:val="2B7A458C"/>
    <w:rsid w:val="2C133D9F"/>
    <w:rsid w:val="2D33514E"/>
    <w:rsid w:val="2D970B32"/>
    <w:rsid w:val="2DA1247F"/>
    <w:rsid w:val="2E456B22"/>
    <w:rsid w:val="2E5160FF"/>
    <w:rsid w:val="2E6776EF"/>
    <w:rsid w:val="30A154C8"/>
    <w:rsid w:val="30BB3DEC"/>
    <w:rsid w:val="30E96919"/>
    <w:rsid w:val="31492333"/>
    <w:rsid w:val="31652D07"/>
    <w:rsid w:val="31FD5A66"/>
    <w:rsid w:val="32C45CE3"/>
    <w:rsid w:val="33501DFD"/>
    <w:rsid w:val="33DF6B01"/>
    <w:rsid w:val="34A23BE2"/>
    <w:rsid w:val="34B87CFE"/>
    <w:rsid w:val="34F45B3D"/>
    <w:rsid w:val="35223AE3"/>
    <w:rsid w:val="352D4522"/>
    <w:rsid w:val="35535B8C"/>
    <w:rsid w:val="365E2231"/>
    <w:rsid w:val="367D1255"/>
    <w:rsid w:val="37803DD1"/>
    <w:rsid w:val="384B7793"/>
    <w:rsid w:val="3868106F"/>
    <w:rsid w:val="38694416"/>
    <w:rsid w:val="38D13FBC"/>
    <w:rsid w:val="38DF2C1F"/>
    <w:rsid w:val="3AB8427D"/>
    <w:rsid w:val="3AD875AF"/>
    <w:rsid w:val="3BD66A3C"/>
    <w:rsid w:val="3C117704"/>
    <w:rsid w:val="3D2E2FD3"/>
    <w:rsid w:val="3D61674C"/>
    <w:rsid w:val="3E0755D2"/>
    <w:rsid w:val="3F04769C"/>
    <w:rsid w:val="3F275F2C"/>
    <w:rsid w:val="3FE204F0"/>
    <w:rsid w:val="40073668"/>
    <w:rsid w:val="400E3E74"/>
    <w:rsid w:val="40751C4D"/>
    <w:rsid w:val="408131A9"/>
    <w:rsid w:val="41162738"/>
    <w:rsid w:val="411A6CAF"/>
    <w:rsid w:val="41686388"/>
    <w:rsid w:val="41D94360"/>
    <w:rsid w:val="41FD14CB"/>
    <w:rsid w:val="42660B19"/>
    <w:rsid w:val="42772D26"/>
    <w:rsid w:val="42D50DF5"/>
    <w:rsid w:val="43DE7560"/>
    <w:rsid w:val="44461ED3"/>
    <w:rsid w:val="44777A06"/>
    <w:rsid w:val="44AF745E"/>
    <w:rsid w:val="44B719C2"/>
    <w:rsid w:val="458A1CA8"/>
    <w:rsid w:val="45970F69"/>
    <w:rsid w:val="45E129C4"/>
    <w:rsid w:val="46E97D5E"/>
    <w:rsid w:val="47770F9C"/>
    <w:rsid w:val="481027D1"/>
    <w:rsid w:val="48203846"/>
    <w:rsid w:val="4864472C"/>
    <w:rsid w:val="49B02FC2"/>
    <w:rsid w:val="49FE0E48"/>
    <w:rsid w:val="4C18351C"/>
    <w:rsid w:val="4D3A6AAA"/>
    <w:rsid w:val="4D534390"/>
    <w:rsid w:val="4D722A68"/>
    <w:rsid w:val="4E7512AB"/>
    <w:rsid w:val="4E7C5BF8"/>
    <w:rsid w:val="4ECF0F73"/>
    <w:rsid w:val="4F8E7150"/>
    <w:rsid w:val="50BB050A"/>
    <w:rsid w:val="513A12FC"/>
    <w:rsid w:val="5144296E"/>
    <w:rsid w:val="52906C89"/>
    <w:rsid w:val="52A92884"/>
    <w:rsid w:val="53B611D5"/>
    <w:rsid w:val="53B8420E"/>
    <w:rsid w:val="53FF0DCE"/>
    <w:rsid w:val="553D7E00"/>
    <w:rsid w:val="55687E15"/>
    <w:rsid w:val="55CE618F"/>
    <w:rsid w:val="56002CAA"/>
    <w:rsid w:val="56887459"/>
    <w:rsid w:val="568D26C1"/>
    <w:rsid w:val="56A66BB7"/>
    <w:rsid w:val="56B21462"/>
    <w:rsid w:val="56C04E37"/>
    <w:rsid w:val="56F25E57"/>
    <w:rsid w:val="571A2A18"/>
    <w:rsid w:val="57AB34EB"/>
    <w:rsid w:val="5813309A"/>
    <w:rsid w:val="58784D8A"/>
    <w:rsid w:val="58AA3DD8"/>
    <w:rsid w:val="58BE10DF"/>
    <w:rsid w:val="593A6404"/>
    <w:rsid w:val="598E3DD5"/>
    <w:rsid w:val="59F91E1B"/>
    <w:rsid w:val="5A1956B6"/>
    <w:rsid w:val="5B372BFB"/>
    <w:rsid w:val="5B3E21DC"/>
    <w:rsid w:val="5B58047C"/>
    <w:rsid w:val="5B6B0AF7"/>
    <w:rsid w:val="5C3544E2"/>
    <w:rsid w:val="5CD30BC7"/>
    <w:rsid w:val="5CD81BAB"/>
    <w:rsid w:val="5D8E7278"/>
    <w:rsid w:val="5DA83E94"/>
    <w:rsid w:val="5DAE4F2C"/>
    <w:rsid w:val="5F1B545E"/>
    <w:rsid w:val="5F275BFC"/>
    <w:rsid w:val="5F3C4C84"/>
    <w:rsid w:val="5F8F74AA"/>
    <w:rsid w:val="5FE725A1"/>
    <w:rsid w:val="605B1FB7"/>
    <w:rsid w:val="620F6680"/>
    <w:rsid w:val="63D21722"/>
    <w:rsid w:val="652341F0"/>
    <w:rsid w:val="652D11EA"/>
    <w:rsid w:val="654B31D3"/>
    <w:rsid w:val="65C55D0B"/>
    <w:rsid w:val="66442670"/>
    <w:rsid w:val="66F57C08"/>
    <w:rsid w:val="67514720"/>
    <w:rsid w:val="67CB1340"/>
    <w:rsid w:val="67EF2F32"/>
    <w:rsid w:val="68094FAE"/>
    <w:rsid w:val="696D617A"/>
    <w:rsid w:val="69E016CD"/>
    <w:rsid w:val="6A1011E7"/>
    <w:rsid w:val="6A6035D2"/>
    <w:rsid w:val="6AA109A1"/>
    <w:rsid w:val="6AA84736"/>
    <w:rsid w:val="6AE24FE6"/>
    <w:rsid w:val="6B0718B4"/>
    <w:rsid w:val="6B2B2A3A"/>
    <w:rsid w:val="6BFD7C89"/>
    <w:rsid w:val="6BFE785D"/>
    <w:rsid w:val="6C432361"/>
    <w:rsid w:val="6C5E0FA3"/>
    <w:rsid w:val="6C7D64D5"/>
    <w:rsid w:val="6C910945"/>
    <w:rsid w:val="6F3B2F62"/>
    <w:rsid w:val="6FF37F15"/>
    <w:rsid w:val="6FF81B8E"/>
    <w:rsid w:val="70107487"/>
    <w:rsid w:val="71776E3F"/>
    <w:rsid w:val="71C264C6"/>
    <w:rsid w:val="721E4F84"/>
    <w:rsid w:val="72BD6BFF"/>
    <w:rsid w:val="735465E8"/>
    <w:rsid w:val="735E432E"/>
    <w:rsid w:val="74061450"/>
    <w:rsid w:val="747747EE"/>
    <w:rsid w:val="751E0154"/>
    <w:rsid w:val="75B03C9A"/>
    <w:rsid w:val="75E97310"/>
    <w:rsid w:val="75F55735"/>
    <w:rsid w:val="766A407B"/>
    <w:rsid w:val="77841CE0"/>
    <w:rsid w:val="77E17116"/>
    <w:rsid w:val="77FB1BC7"/>
    <w:rsid w:val="78511348"/>
    <w:rsid w:val="7854343D"/>
    <w:rsid w:val="78E15492"/>
    <w:rsid w:val="799314ED"/>
    <w:rsid w:val="79D14BF2"/>
    <w:rsid w:val="7AB11B64"/>
    <w:rsid w:val="7B4E7EA7"/>
    <w:rsid w:val="7B7F3F20"/>
    <w:rsid w:val="7BFA4348"/>
    <w:rsid w:val="7C10589F"/>
    <w:rsid w:val="7C2474ED"/>
    <w:rsid w:val="7C940EF9"/>
    <w:rsid w:val="7D0B35DA"/>
    <w:rsid w:val="7D5B4592"/>
    <w:rsid w:val="7DA43A74"/>
    <w:rsid w:val="7DDD7B76"/>
    <w:rsid w:val="7E0C7AC0"/>
    <w:rsid w:val="7E2F14B1"/>
    <w:rsid w:val="7EC8268B"/>
    <w:rsid w:val="7F0467D7"/>
    <w:rsid w:val="7F4E65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3"/>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4"/>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2"/>
    <w:autoRedefine/>
    <w:qFormat/>
    <w:uiPriority w:val="0"/>
    <w:pPr>
      <w:keepNext/>
      <w:keepLines/>
      <w:tabs>
        <w:tab w:val="left" w:pos="1740"/>
      </w:tabs>
      <w:spacing w:before="260" w:line="413" w:lineRule="auto"/>
      <w:ind w:left="1740"/>
      <w:outlineLvl w:val="2"/>
    </w:pPr>
    <w:rPr>
      <w:b/>
      <w:bCs/>
      <w:kern w:val="0"/>
      <w:sz w:val="32"/>
      <w:szCs w:val="32"/>
    </w:rPr>
  </w:style>
  <w:style w:type="paragraph" w:styleId="7">
    <w:name w:val="heading 4"/>
    <w:basedOn w:val="1"/>
    <w:next w:val="1"/>
    <w:link w:val="55"/>
    <w:autoRedefine/>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63"/>
    <w:autoRedefine/>
    <w:qFormat/>
    <w:uiPriority w:val="0"/>
    <w:pPr>
      <w:keepNext/>
      <w:keepLines/>
      <w:tabs>
        <w:tab w:val="left" w:pos="2580"/>
      </w:tabs>
      <w:spacing w:before="280" w:line="372" w:lineRule="auto"/>
      <w:outlineLvl w:val="4"/>
    </w:pPr>
    <w:rPr>
      <w:b/>
      <w:bCs/>
      <w:kern w:val="0"/>
      <w:sz w:val="28"/>
      <w:szCs w:val="28"/>
    </w:rPr>
  </w:style>
  <w:style w:type="paragraph" w:styleId="9">
    <w:name w:val="heading 6"/>
    <w:basedOn w:val="1"/>
    <w:next w:val="1"/>
    <w:link w:val="64"/>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10">
    <w:name w:val="heading 7"/>
    <w:basedOn w:val="1"/>
    <w:next w:val="11"/>
    <w:link w:val="65"/>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2">
    <w:name w:val="heading 8"/>
    <w:basedOn w:val="1"/>
    <w:next w:val="1"/>
    <w:link w:val="66"/>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3">
    <w:name w:val="heading 9"/>
    <w:basedOn w:val="1"/>
    <w:next w:val="1"/>
    <w:link w:val="67"/>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72"/>
    <w:autoRedefine/>
    <w:semiHidden/>
    <w:qFormat/>
    <w:uiPriority w:val="0"/>
    <w:pPr>
      <w:spacing w:line="360" w:lineRule="auto"/>
      <w:ind w:firstLine="420" w:firstLineChars="200"/>
    </w:pPr>
    <w:rPr>
      <w:rFonts w:ascii="宋体" w:hAnsi="Courier New"/>
      <w:spacing w:val="-4"/>
      <w:sz w:val="24"/>
    </w:rPr>
  </w:style>
  <w:style w:type="paragraph" w:styleId="3">
    <w:name w:val="Body Text Indent"/>
    <w:basedOn w:val="1"/>
    <w:link w:val="73"/>
    <w:autoRedefine/>
    <w:unhideWhenUsed/>
    <w:qFormat/>
    <w:uiPriority w:val="0"/>
    <w:pPr>
      <w:spacing w:after="120"/>
      <w:ind w:left="420" w:leftChars="200"/>
    </w:pPr>
    <w:rPr>
      <w:kern w:val="0"/>
      <w:sz w:val="20"/>
    </w:rPr>
  </w:style>
  <w:style w:type="paragraph" w:customStyle="1" w:styleId="11">
    <w:name w:val="文档正文"/>
    <w:basedOn w:val="1"/>
    <w:autoRedefine/>
    <w:qFormat/>
    <w:uiPriority w:val="0"/>
    <w:pPr>
      <w:adjustRightInd w:val="0"/>
      <w:spacing w:before="60" w:line="360" w:lineRule="atLeast"/>
      <w:ind w:firstLine="482"/>
      <w:textAlignment w:val="baseline"/>
    </w:pPr>
    <w:rPr>
      <w:sz w:val="24"/>
    </w:rPr>
  </w:style>
  <w:style w:type="paragraph" w:styleId="14">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5">
    <w:name w:val="Normal Indent"/>
    <w:basedOn w:val="1"/>
    <w:next w:val="1"/>
    <w:link w:val="102"/>
    <w:autoRedefine/>
    <w:qFormat/>
    <w:uiPriority w:val="0"/>
    <w:pPr>
      <w:ind w:firstLine="420"/>
    </w:pPr>
    <w:rPr>
      <w:rFonts w:ascii="Calibri" w:hAnsi="Calibri"/>
      <w:szCs w:val="22"/>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Document Map"/>
    <w:basedOn w:val="1"/>
    <w:link w:val="155"/>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8">
    <w:name w:val="annotation text"/>
    <w:basedOn w:val="1"/>
    <w:link w:val="122"/>
    <w:autoRedefine/>
    <w:qFormat/>
    <w:uiPriority w:val="0"/>
    <w:pPr>
      <w:spacing w:afterLines="100" w:line="360" w:lineRule="auto"/>
      <w:ind w:firstLine="200" w:firstLineChars="200"/>
      <w:jc w:val="left"/>
    </w:pPr>
    <w:rPr>
      <w:rFonts w:ascii="Calibri" w:hAnsi="Calibri"/>
      <w:kern w:val="0"/>
      <w:sz w:val="24"/>
    </w:rPr>
  </w:style>
  <w:style w:type="paragraph" w:styleId="19">
    <w:name w:val="Body Text 3"/>
    <w:basedOn w:val="1"/>
    <w:link w:val="152"/>
    <w:autoRedefine/>
    <w:qFormat/>
    <w:uiPriority w:val="0"/>
    <w:pPr>
      <w:snapToGrid w:val="0"/>
      <w:spacing w:before="50" w:after="50"/>
    </w:pPr>
    <w:rPr>
      <w:rFonts w:ascii="Calibri" w:hAnsi="宋体" w:eastAsia="仿宋_GB2312"/>
      <w:b/>
      <w:bCs/>
      <w:kern w:val="0"/>
      <w:sz w:val="24"/>
      <w:szCs w:val="20"/>
    </w:rPr>
  </w:style>
  <w:style w:type="paragraph" w:styleId="20">
    <w:name w:val="Body Text"/>
    <w:basedOn w:val="1"/>
    <w:link w:val="97"/>
    <w:autoRedefine/>
    <w:qFormat/>
    <w:uiPriority w:val="99"/>
    <w:pPr>
      <w:spacing w:after="120"/>
      <w:jc w:val="center"/>
    </w:pPr>
    <w:rPr>
      <w:rFonts w:ascii="Calibri" w:hAnsi="Calibri"/>
      <w:kern w:val="0"/>
      <w:sz w:val="28"/>
    </w:rPr>
  </w:style>
  <w:style w:type="paragraph" w:styleId="21">
    <w:name w:val="List Number 3"/>
    <w:basedOn w:val="1"/>
    <w:autoRedefine/>
    <w:qFormat/>
    <w:uiPriority w:val="0"/>
    <w:pPr>
      <w:tabs>
        <w:tab w:val="left" w:pos="1200"/>
      </w:tabs>
      <w:ind w:left="1200" w:hanging="360"/>
    </w:pPr>
  </w:style>
  <w:style w:type="paragraph" w:styleId="22">
    <w:name w:val="List 2"/>
    <w:basedOn w:val="1"/>
    <w:autoRedefine/>
    <w:qFormat/>
    <w:uiPriority w:val="0"/>
    <w:pPr>
      <w:ind w:left="100" w:leftChars="200" w:hanging="200" w:hangingChars="200"/>
    </w:pPr>
    <w:rPr>
      <w:sz w:val="28"/>
    </w:rPr>
  </w:style>
  <w:style w:type="paragraph" w:styleId="23">
    <w:name w:val="index 4"/>
    <w:basedOn w:val="1"/>
    <w:next w:val="1"/>
    <w:autoRedefine/>
    <w:unhideWhenUsed/>
    <w:qFormat/>
    <w:uiPriority w:val="99"/>
    <w:pPr>
      <w:ind w:left="600" w:leftChars="600"/>
    </w:pPr>
    <w:rPr>
      <w:szCs w:val="21"/>
    </w:rPr>
  </w:style>
  <w:style w:type="paragraph" w:styleId="24">
    <w:name w:val="toc 3"/>
    <w:basedOn w:val="1"/>
    <w:next w:val="1"/>
    <w:autoRedefine/>
    <w:qFormat/>
    <w:uiPriority w:val="39"/>
    <w:pPr>
      <w:spacing w:line="360" w:lineRule="auto"/>
      <w:ind w:left="480" w:firstLine="200" w:firstLineChars="200"/>
      <w:jc w:val="left"/>
    </w:pPr>
    <w:rPr>
      <w:i/>
      <w:iCs/>
      <w:sz w:val="20"/>
      <w:szCs w:val="20"/>
    </w:rPr>
  </w:style>
  <w:style w:type="paragraph" w:styleId="25">
    <w:name w:val="Plain Text"/>
    <w:basedOn w:val="1"/>
    <w:link w:val="149"/>
    <w:autoRedefine/>
    <w:qFormat/>
    <w:uiPriority w:val="0"/>
    <w:pPr>
      <w:spacing w:beforeLines="50" w:afterLines="50" w:line="400" w:lineRule="exact"/>
    </w:pPr>
    <w:rPr>
      <w:rFonts w:ascii="宋体" w:hAnsi="Courier New"/>
      <w:kern w:val="0"/>
      <w:sz w:val="24"/>
    </w:rPr>
  </w:style>
  <w:style w:type="paragraph" w:styleId="26">
    <w:name w:val="Date"/>
    <w:basedOn w:val="1"/>
    <w:next w:val="1"/>
    <w:link w:val="133"/>
    <w:autoRedefine/>
    <w:qFormat/>
    <w:uiPriority w:val="0"/>
    <w:pPr>
      <w:ind w:left="2500" w:leftChars="2500"/>
    </w:pPr>
    <w:rPr>
      <w:rFonts w:ascii="Calibri" w:hAnsi="Calibri" w:eastAsia="楷体_GB2312"/>
      <w:kern w:val="0"/>
      <w:sz w:val="32"/>
      <w:szCs w:val="20"/>
    </w:rPr>
  </w:style>
  <w:style w:type="paragraph" w:styleId="27">
    <w:name w:val="Body Text Indent 2"/>
    <w:basedOn w:val="1"/>
    <w:link w:val="127"/>
    <w:autoRedefine/>
    <w:qFormat/>
    <w:uiPriority w:val="0"/>
    <w:pPr>
      <w:snapToGrid w:val="0"/>
      <w:ind w:firstLine="542" w:firstLineChars="225"/>
    </w:pPr>
    <w:rPr>
      <w:rFonts w:ascii="仿宋_GB2312" w:hAnsi="宋体"/>
      <w:b/>
      <w:bCs/>
      <w:color w:val="000000"/>
      <w:kern w:val="0"/>
      <w:sz w:val="24"/>
    </w:rPr>
  </w:style>
  <w:style w:type="paragraph" w:styleId="28">
    <w:name w:val="Balloon Text"/>
    <w:basedOn w:val="1"/>
    <w:link w:val="70"/>
    <w:autoRedefine/>
    <w:unhideWhenUsed/>
    <w:qFormat/>
    <w:uiPriority w:val="0"/>
    <w:rPr>
      <w:rFonts w:ascii="Calibri" w:hAnsi="Calibri"/>
      <w:kern w:val="0"/>
      <w:sz w:val="16"/>
      <w:szCs w:val="16"/>
    </w:rPr>
  </w:style>
  <w:style w:type="paragraph" w:styleId="29">
    <w:name w:val="footer"/>
    <w:basedOn w:val="1"/>
    <w:link w:val="61"/>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60"/>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autoRedefine/>
    <w:qFormat/>
    <w:uiPriority w:val="39"/>
  </w:style>
  <w:style w:type="paragraph" w:styleId="32">
    <w:name w:val="Subtitle"/>
    <w:basedOn w:val="1"/>
    <w:next w:val="1"/>
    <w:link w:val="114"/>
    <w:autoRedefine/>
    <w:qFormat/>
    <w:uiPriority w:val="0"/>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ind w:left="200" w:hanging="200" w:hangingChars="200"/>
    </w:pPr>
    <w:rPr>
      <w:sz w:val="28"/>
    </w:rPr>
  </w:style>
  <w:style w:type="paragraph" w:styleId="34">
    <w:name w:val="footnote text"/>
    <w:basedOn w:val="1"/>
    <w:link w:val="80"/>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5">
    <w:name w:val="Body Text Indent 3"/>
    <w:basedOn w:val="1"/>
    <w:link w:val="124"/>
    <w:autoRedefine/>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autoRedefine/>
    <w:unhideWhenUsed/>
    <w:qFormat/>
    <w:uiPriority w:val="39"/>
    <w:pPr>
      <w:ind w:left="420" w:leftChars="200"/>
    </w:pPr>
  </w:style>
  <w:style w:type="paragraph" w:styleId="37">
    <w:name w:val="Body Text 2"/>
    <w:basedOn w:val="1"/>
    <w:link w:val="129"/>
    <w:autoRedefine/>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137"/>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link w:val="165"/>
    <w:autoRedefine/>
    <w:qFormat/>
    <w:uiPriority w:val="0"/>
    <w:pPr>
      <w:widowControl/>
      <w:spacing w:before="100" w:beforeAutospacing="1" w:after="100" w:afterAutospacing="1"/>
      <w:jc w:val="left"/>
    </w:pPr>
    <w:rPr>
      <w:rFonts w:ascii="Calibri" w:hAnsi="Calibri"/>
      <w:kern w:val="0"/>
      <w:sz w:val="24"/>
    </w:rPr>
  </w:style>
  <w:style w:type="paragraph" w:styleId="40">
    <w:name w:val="index 1"/>
    <w:basedOn w:val="1"/>
    <w:next w:val="1"/>
    <w:autoRedefine/>
    <w:qFormat/>
    <w:uiPriority w:val="0"/>
    <w:pPr>
      <w:jc w:val="center"/>
    </w:pPr>
    <w:rPr>
      <w:rFonts w:ascii="Arial" w:hAnsi="Arial" w:eastAsia="Arial" w:cs="Arial"/>
      <w:b/>
      <w:bCs/>
      <w:sz w:val="28"/>
      <w:szCs w:val="20"/>
    </w:rPr>
  </w:style>
  <w:style w:type="paragraph" w:styleId="41">
    <w:name w:val="Title"/>
    <w:basedOn w:val="1"/>
    <w:link w:val="372"/>
    <w:autoRedefine/>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8"/>
    <w:next w:val="18"/>
    <w:link w:val="160"/>
    <w:autoRedefine/>
    <w:qFormat/>
    <w:uiPriority w:val="0"/>
    <w:rPr>
      <w:b/>
      <w:bCs/>
    </w:rPr>
  </w:style>
  <w:style w:type="paragraph" w:styleId="43">
    <w:name w:val="Body Text First Indent"/>
    <w:basedOn w:val="20"/>
    <w:link w:val="96"/>
    <w:autoRedefine/>
    <w:unhideWhenUsed/>
    <w:qFormat/>
    <w:uiPriority w:val="0"/>
    <w:pPr>
      <w:ind w:firstLine="420" w:firstLineChars="100"/>
    </w:pPr>
  </w:style>
  <w:style w:type="table" w:styleId="45">
    <w:name w:val="Table Grid"/>
    <w:basedOn w:val="4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autoRedefine/>
    <w:qFormat/>
    <w:uiPriority w:val="22"/>
    <w:rPr>
      <w:b/>
      <w:bCs/>
    </w:rPr>
  </w:style>
  <w:style w:type="character" w:styleId="48">
    <w:name w:val="page number"/>
    <w:basedOn w:val="46"/>
    <w:autoRedefine/>
    <w:qFormat/>
    <w:uiPriority w:val="0"/>
  </w:style>
  <w:style w:type="character" w:styleId="49">
    <w:name w:val="FollowedHyperlink"/>
    <w:autoRedefine/>
    <w:semiHidden/>
    <w:unhideWhenUsed/>
    <w:qFormat/>
    <w:uiPriority w:val="99"/>
    <w:rPr>
      <w:color w:val="800080"/>
      <w:u w:val="single"/>
    </w:rPr>
  </w:style>
  <w:style w:type="character" w:styleId="50">
    <w:name w:val="Emphasis"/>
    <w:autoRedefine/>
    <w:qFormat/>
    <w:uiPriority w:val="0"/>
    <w:rPr>
      <w:i/>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character" w:customStyle="1" w:styleId="53">
    <w:name w:val="标题 1 字符"/>
    <w:link w:val="4"/>
    <w:autoRedefine/>
    <w:qFormat/>
    <w:uiPriority w:val="0"/>
    <w:rPr>
      <w:rFonts w:ascii="Times New Roman" w:hAnsi="Times New Roman" w:eastAsia="宋体" w:cs="Times New Roman"/>
      <w:b/>
      <w:bCs/>
      <w:kern w:val="44"/>
      <w:sz w:val="44"/>
      <w:szCs w:val="44"/>
    </w:rPr>
  </w:style>
  <w:style w:type="character" w:customStyle="1" w:styleId="54">
    <w:name w:val="标题 2 字符"/>
    <w:link w:val="5"/>
    <w:autoRedefine/>
    <w:qFormat/>
    <w:uiPriority w:val="0"/>
    <w:rPr>
      <w:rFonts w:ascii="Arial" w:hAnsi="Arial" w:eastAsia="黑体" w:cs="Times New Roman"/>
      <w:b/>
      <w:bCs/>
      <w:sz w:val="32"/>
      <w:szCs w:val="32"/>
    </w:rPr>
  </w:style>
  <w:style w:type="character" w:customStyle="1" w:styleId="55">
    <w:name w:val="标题 4 字符"/>
    <w:link w:val="7"/>
    <w:autoRedefine/>
    <w:qFormat/>
    <w:uiPriority w:val="0"/>
    <w:rPr>
      <w:rFonts w:ascii="Cambria" w:hAnsi="Cambria" w:eastAsia="宋体" w:cs="Times New Roman"/>
      <w:b/>
      <w:bCs/>
      <w:sz w:val="28"/>
      <w:szCs w:val="28"/>
    </w:rPr>
  </w:style>
  <w:style w:type="paragraph" w:customStyle="1" w:styleId="56">
    <w:name w:val="样式3"/>
    <w:basedOn w:val="25"/>
    <w:autoRedefine/>
    <w:qFormat/>
    <w:uiPriority w:val="0"/>
    <w:pPr>
      <w:tabs>
        <w:tab w:val="left" w:pos="2790"/>
        <w:tab w:val="left" w:pos="4230"/>
      </w:tabs>
      <w:spacing w:before="312" w:beforeLines="100"/>
      <w:jc w:val="left"/>
    </w:pPr>
    <w:rPr>
      <w:rFonts w:ascii="Times New Roman" w:hAnsi="Times New Roman"/>
    </w:rPr>
  </w:style>
  <w:style w:type="paragraph" w:customStyle="1" w:styleId="57">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8">
    <w:name w:val="Default"/>
    <w:next w:val="59"/>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59">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0">
    <w:name w:val="页眉 字符"/>
    <w:link w:val="30"/>
    <w:autoRedefine/>
    <w:qFormat/>
    <w:uiPriority w:val="99"/>
    <w:rPr>
      <w:sz w:val="18"/>
      <w:szCs w:val="18"/>
    </w:rPr>
  </w:style>
  <w:style w:type="character" w:customStyle="1" w:styleId="61">
    <w:name w:val="页脚 字符1"/>
    <w:link w:val="29"/>
    <w:autoRedefine/>
    <w:qFormat/>
    <w:uiPriority w:val="99"/>
    <w:rPr>
      <w:sz w:val="18"/>
      <w:szCs w:val="18"/>
    </w:rPr>
  </w:style>
  <w:style w:type="character" w:customStyle="1" w:styleId="62">
    <w:name w:val="标题 3 字符"/>
    <w:link w:val="6"/>
    <w:autoRedefine/>
    <w:qFormat/>
    <w:uiPriority w:val="0"/>
    <w:rPr>
      <w:rFonts w:ascii="Times New Roman" w:hAnsi="Times New Roman" w:eastAsia="宋体" w:cs="Times New Roman"/>
      <w:b/>
      <w:bCs/>
      <w:sz w:val="32"/>
      <w:szCs w:val="32"/>
    </w:rPr>
  </w:style>
  <w:style w:type="character" w:customStyle="1" w:styleId="63">
    <w:name w:val="标题 5 字符"/>
    <w:link w:val="8"/>
    <w:autoRedefine/>
    <w:qFormat/>
    <w:uiPriority w:val="0"/>
    <w:rPr>
      <w:rFonts w:ascii="Times New Roman" w:hAnsi="Times New Roman" w:eastAsia="宋体" w:cs="Times New Roman"/>
      <w:b/>
      <w:bCs/>
      <w:sz w:val="28"/>
      <w:szCs w:val="28"/>
    </w:rPr>
  </w:style>
  <w:style w:type="character" w:customStyle="1" w:styleId="64">
    <w:name w:val="标题 6 字符"/>
    <w:link w:val="9"/>
    <w:autoRedefine/>
    <w:qFormat/>
    <w:uiPriority w:val="0"/>
    <w:rPr>
      <w:rFonts w:ascii="Arial" w:hAnsi="Arial" w:eastAsia="黑体" w:cs="Times New Roman"/>
      <w:b/>
      <w:bCs/>
      <w:sz w:val="24"/>
      <w:szCs w:val="24"/>
    </w:rPr>
  </w:style>
  <w:style w:type="character" w:customStyle="1" w:styleId="65">
    <w:name w:val="标题 7 字符"/>
    <w:link w:val="10"/>
    <w:autoRedefine/>
    <w:qFormat/>
    <w:uiPriority w:val="0"/>
    <w:rPr>
      <w:rFonts w:ascii="Times New Roman" w:hAnsi="Times New Roman" w:eastAsia="宋体" w:cs="Times New Roman"/>
      <w:b/>
      <w:bCs/>
      <w:sz w:val="24"/>
      <w:szCs w:val="24"/>
    </w:rPr>
  </w:style>
  <w:style w:type="character" w:customStyle="1" w:styleId="66">
    <w:name w:val="标题 8 字符"/>
    <w:link w:val="12"/>
    <w:autoRedefine/>
    <w:qFormat/>
    <w:uiPriority w:val="0"/>
    <w:rPr>
      <w:rFonts w:ascii="Arial" w:hAnsi="Arial" w:eastAsia="黑体" w:cs="Times New Roman"/>
      <w:sz w:val="24"/>
      <w:szCs w:val="24"/>
    </w:rPr>
  </w:style>
  <w:style w:type="character" w:customStyle="1" w:styleId="67">
    <w:name w:val="标题 9 字符"/>
    <w:link w:val="13"/>
    <w:autoRedefine/>
    <w:qFormat/>
    <w:uiPriority w:val="0"/>
    <w:rPr>
      <w:rFonts w:ascii="Arial" w:hAnsi="Arial" w:eastAsia="黑体" w:cs="Times New Roman"/>
      <w:szCs w:val="21"/>
    </w:rPr>
  </w:style>
  <w:style w:type="paragraph" w:customStyle="1" w:styleId="68">
    <w:name w:val="_Style 29"/>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Char Char4"/>
    <w:autoRedefine/>
    <w:qFormat/>
    <w:uiPriority w:val="0"/>
    <w:rPr>
      <w:rFonts w:eastAsia="宋体"/>
      <w:kern w:val="2"/>
      <w:sz w:val="24"/>
      <w:lang w:val="en-US" w:eastAsia="zh-CN" w:bidi="ar-SA"/>
    </w:rPr>
  </w:style>
  <w:style w:type="character" w:customStyle="1" w:styleId="70">
    <w:name w:val="批注框文本 字符"/>
    <w:link w:val="28"/>
    <w:autoRedefine/>
    <w:qFormat/>
    <w:uiPriority w:val="0"/>
    <w:rPr>
      <w:sz w:val="16"/>
      <w:szCs w:val="16"/>
    </w:rPr>
  </w:style>
  <w:style w:type="character" w:customStyle="1" w:styleId="71">
    <w:name w:val="批注框文本 Char1"/>
    <w:autoRedefine/>
    <w:semiHidden/>
    <w:qFormat/>
    <w:uiPriority w:val="99"/>
    <w:rPr>
      <w:rFonts w:ascii="Times New Roman" w:hAnsi="Times New Roman" w:eastAsia="宋体" w:cs="Times New Roman"/>
      <w:sz w:val="18"/>
      <w:szCs w:val="18"/>
    </w:rPr>
  </w:style>
  <w:style w:type="character" w:customStyle="1" w:styleId="72">
    <w:name w:val="正文文本首行缩进 2 字符"/>
    <w:link w:val="2"/>
    <w:autoRedefine/>
    <w:semiHidden/>
    <w:qFormat/>
    <w:uiPriority w:val="0"/>
    <w:rPr>
      <w:rFonts w:ascii="宋体" w:hAnsi="Courier New"/>
      <w:spacing w:val="-4"/>
      <w:sz w:val="24"/>
      <w:szCs w:val="24"/>
    </w:rPr>
  </w:style>
  <w:style w:type="character" w:customStyle="1" w:styleId="73">
    <w:name w:val="正文文本缩进 字符"/>
    <w:link w:val="3"/>
    <w:autoRedefine/>
    <w:qFormat/>
    <w:uiPriority w:val="0"/>
    <w:rPr>
      <w:rFonts w:ascii="Times New Roman" w:hAnsi="Times New Roman" w:eastAsia="宋体" w:cs="Times New Roman"/>
      <w:szCs w:val="24"/>
    </w:rPr>
  </w:style>
  <w:style w:type="character" w:customStyle="1" w:styleId="74">
    <w:name w:val="正文首行缩进 2 Char1"/>
    <w:autoRedefine/>
    <w:semiHidden/>
    <w:qFormat/>
    <w:uiPriority w:val="99"/>
    <w:rPr>
      <w:rFonts w:ascii="Times New Roman" w:hAnsi="Times New Roman" w:eastAsia="宋体" w:cs="Times New Roman"/>
      <w:szCs w:val="24"/>
    </w:rPr>
  </w:style>
  <w:style w:type="character" w:customStyle="1" w:styleId="75">
    <w:name w:val="投标文件 正文首行缩进 Char"/>
    <w:autoRedefine/>
    <w:qFormat/>
    <w:uiPriority w:val="0"/>
    <w:rPr>
      <w:rFonts w:ascii="Arial" w:hAnsi="Arial" w:eastAsia="宋体"/>
      <w:kern w:val="2"/>
      <w:sz w:val="21"/>
      <w:szCs w:val="24"/>
      <w:lang w:val="en-US" w:eastAsia="zh-CN" w:bidi="ar-SA"/>
    </w:rPr>
  </w:style>
  <w:style w:type="character" w:customStyle="1" w:styleId="76">
    <w:name w:val="_正文段落 Char"/>
    <w:autoRedefine/>
    <w:qFormat/>
    <w:uiPriority w:val="0"/>
    <w:rPr>
      <w:rFonts w:eastAsia="宋体"/>
      <w:kern w:val="2"/>
      <w:sz w:val="21"/>
      <w:szCs w:val="24"/>
      <w:lang w:val="en-US" w:eastAsia="zh-CN" w:bidi="ar-SA"/>
    </w:rPr>
  </w:style>
  <w:style w:type="character" w:customStyle="1" w:styleId="77">
    <w:name w:val="Char Char17"/>
    <w:autoRedefine/>
    <w:qFormat/>
    <w:uiPriority w:val="0"/>
    <w:rPr>
      <w:rFonts w:ascii="Arial" w:hAnsi="Arial" w:eastAsia="黑体"/>
      <w:b/>
      <w:bCs/>
      <w:kern w:val="2"/>
      <w:sz w:val="32"/>
      <w:szCs w:val="32"/>
      <w:lang w:val="en-US" w:eastAsia="zh-CN" w:bidi="ar-SA"/>
    </w:rPr>
  </w:style>
  <w:style w:type="character" w:customStyle="1" w:styleId="78">
    <w:name w:val="Char Char14"/>
    <w:autoRedefine/>
    <w:qFormat/>
    <w:uiPriority w:val="0"/>
    <w:rPr>
      <w:rFonts w:eastAsia="宋体"/>
      <w:b/>
      <w:bCs/>
      <w:kern w:val="2"/>
      <w:sz w:val="28"/>
      <w:szCs w:val="28"/>
      <w:lang w:val="en-US" w:eastAsia="zh-CN" w:bidi="ar-SA"/>
    </w:rPr>
  </w:style>
  <w:style w:type="character" w:customStyle="1" w:styleId="79">
    <w:name w:val="ptt1"/>
    <w:autoRedefine/>
    <w:qFormat/>
    <w:uiPriority w:val="0"/>
    <w:rPr>
      <w:rFonts w:hint="eastAsia" w:ascii="宋体" w:hAnsi="宋体" w:eastAsia="宋体"/>
      <w:sz w:val="18"/>
      <w:szCs w:val="18"/>
    </w:rPr>
  </w:style>
  <w:style w:type="character" w:customStyle="1" w:styleId="80">
    <w:name w:val="脚注文本 字符"/>
    <w:link w:val="34"/>
    <w:autoRedefine/>
    <w:semiHidden/>
    <w:qFormat/>
    <w:uiPriority w:val="0"/>
    <w:rPr>
      <w:sz w:val="18"/>
      <w:szCs w:val="24"/>
    </w:rPr>
  </w:style>
  <w:style w:type="character" w:customStyle="1" w:styleId="81">
    <w:name w:val="脚注文本 Char1"/>
    <w:autoRedefine/>
    <w:semiHidden/>
    <w:qFormat/>
    <w:uiPriority w:val="99"/>
    <w:rPr>
      <w:rFonts w:ascii="Times New Roman" w:hAnsi="Times New Roman" w:eastAsia="宋体" w:cs="Times New Roman"/>
      <w:sz w:val="18"/>
      <w:szCs w:val="18"/>
    </w:rPr>
  </w:style>
  <w:style w:type="character" w:customStyle="1" w:styleId="82">
    <w:name w:val="Char Char18"/>
    <w:autoRedefine/>
    <w:qFormat/>
    <w:uiPriority w:val="0"/>
    <w:rPr>
      <w:rFonts w:eastAsia="宋体"/>
      <w:b/>
      <w:bCs/>
      <w:kern w:val="44"/>
      <w:sz w:val="44"/>
      <w:szCs w:val="44"/>
      <w:lang w:val="en-US" w:eastAsia="zh-CN" w:bidi="ar-SA"/>
    </w:rPr>
  </w:style>
  <w:style w:type="character" w:customStyle="1" w:styleId="83">
    <w:name w:val="font2"/>
    <w:autoRedefine/>
    <w:qFormat/>
    <w:uiPriority w:val="0"/>
  </w:style>
  <w:style w:type="character" w:customStyle="1" w:styleId="84">
    <w:name w:val="缺省文本 Char"/>
    <w:autoRedefine/>
    <w:qFormat/>
    <w:uiPriority w:val="0"/>
    <w:rPr>
      <w:rFonts w:eastAsia="宋体"/>
      <w:sz w:val="24"/>
      <w:lang w:val="en-US" w:eastAsia="zh-CN" w:bidi="ar-SA"/>
    </w:rPr>
  </w:style>
  <w:style w:type="character" w:customStyle="1" w:styleId="85">
    <w:name w:val="HTML 预设格式 Char1"/>
    <w:autoRedefine/>
    <w:semiHidden/>
    <w:qFormat/>
    <w:uiPriority w:val="99"/>
    <w:rPr>
      <w:rFonts w:ascii="Courier New" w:hAnsi="Courier New"/>
      <w:kern w:val="2"/>
    </w:rPr>
  </w:style>
  <w:style w:type="character" w:customStyle="1" w:styleId="86">
    <w:name w:val="Char Char8"/>
    <w:autoRedefine/>
    <w:qFormat/>
    <w:uiPriority w:val="0"/>
    <w:rPr>
      <w:sz w:val="24"/>
    </w:rPr>
  </w:style>
  <w:style w:type="character" w:customStyle="1" w:styleId="87">
    <w:name w:val="Char Char9"/>
    <w:autoRedefine/>
    <w:qFormat/>
    <w:uiPriority w:val="0"/>
    <w:rPr>
      <w:rFonts w:ascii="Arial" w:hAnsi="Arial" w:cs="Arial"/>
      <w:vanish/>
      <w:sz w:val="16"/>
      <w:szCs w:val="16"/>
    </w:rPr>
  </w:style>
  <w:style w:type="character" w:customStyle="1" w:styleId="88">
    <w:name w:val="font31"/>
    <w:autoRedefine/>
    <w:qFormat/>
    <w:uiPriority w:val="0"/>
    <w:rPr>
      <w:rFonts w:hint="default" w:ascii="Times New Roman" w:hAnsi="Times New Roman" w:cs="Times New Roman"/>
      <w:color w:val="FF0000"/>
      <w:sz w:val="24"/>
      <w:szCs w:val="24"/>
      <w:u w:val="none"/>
    </w:rPr>
  </w:style>
  <w:style w:type="character" w:customStyle="1" w:styleId="89">
    <w:name w:val="列表段落 字符"/>
    <w:link w:val="90"/>
    <w:autoRedefine/>
    <w:qFormat/>
    <w:uiPriority w:val="34"/>
    <w:rPr>
      <w:rFonts w:ascii="Calibri" w:hAnsi="Calibri"/>
    </w:rPr>
  </w:style>
  <w:style w:type="paragraph" w:styleId="90">
    <w:name w:val="List Paragraph"/>
    <w:basedOn w:val="1"/>
    <w:link w:val="89"/>
    <w:autoRedefine/>
    <w:qFormat/>
    <w:uiPriority w:val="34"/>
    <w:pPr>
      <w:ind w:left="420" w:firstLine="420" w:firstLineChars="200"/>
    </w:pPr>
    <w:rPr>
      <w:rFonts w:ascii="Calibri" w:hAnsi="Calibri"/>
      <w:kern w:val="0"/>
      <w:sz w:val="20"/>
      <w:szCs w:val="20"/>
    </w:rPr>
  </w:style>
  <w:style w:type="character" w:customStyle="1" w:styleId="91">
    <w:name w:val="_标题3 Char"/>
    <w:autoRedefine/>
    <w:qFormat/>
    <w:uiPriority w:val="0"/>
    <w:rPr>
      <w:rFonts w:ascii="Arial" w:hAnsi="Arial" w:eastAsia="黑体"/>
      <w:bCs/>
      <w:kern w:val="2"/>
      <w:sz w:val="30"/>
      <w:szCs w:val="32"/>
      <w:lang w:val="en-US" w:eastAsia="zh-CN" w:bidi="ar-SA"/>
    </w:rPr>
  </w:style>
  <w:style w:type="character" w:customStyle="1" w:styleId="92">
    <w:name w:val="_正文段落加粗 Char"/>
    <w:autoRedefine/>
    <w:qFormat/>
    <w:uiPriority w:val="0"/>
    <w:rPr>
      <w:rFonts w:eastAsia="宋体"/>
      <w:b/>
      <w:kern w:val="2"/>
      <w:sz w:val="21"/>
      <w:szCs w:val="24"/>
      <w:lang w:val="en-US" w:eastAsia="zh-CN" w:bidi="ar-SA"/>
    </w:rPr>
  </w:style>
  <w:style w:type="character" w:customStyle="1" w:styleId="93">
    <w:name w:val="Char Char"/>
    <w:autoRedefine/>
    <w:qFormat/>
    <w:uiPriority w:val="0"/>
    <w:rPr>
      <w:rFonts w:ascii="宋体" w:hAnsi="Courier New"/>
      <w:kern w:val="2"/>
      <w:sz w:val="21"/>
    </w:rPr>
  </w:style>
  <w:style w:type="character" w:customStyle="1" w:styleId="94">
    <w:name w:val="p2"/>
    <w:autoRedefine/>
    <w:qFormat/>
    <w:uiPriority w:val="0"/>
  </w:style>
  <w:style w:type="character" w:customStyle="1" w:styleId="95">
    <w:name w:val="_题注 Char"/>
    <w:autoRedefine/>
    <w:qFormat/>
    <w:uiPriority w:val="0"/>
    <w:rPr>
      <w:rFonts w:ascii="Arial" w:hAnsi="Arial" w:eastAsia="黑体" w:cs="Arial"/>
      <w:kern w:val="2"/>
      <w:sz w:val="21"/>
      <w:lang w:val="en-US" w:eastAsia="zh-CN" w:bidi="ar-SA"/>
    </w:rPr>
  </w:style>
  <w:style w:type="character" w:customStyle="1" w:styleId="96">
    <w:name w:val="正文文本首行缩进 字符"/>
    <w:link w:val="43"/>
    <w:autoRedefine/>
    <w:qFormat/>
    <w:uiPriority w:val="0"/>
    <w:rPr>
      <w:sz w:val="28"/>
      <w:szCs w:val="24"/>
    </w:rPr>
  </w:style>
  <w:style w:type="character" w:customStyle="1" w:styleId="97">
    <w:name w:val="正文文本 字符"/>
    <w:link w:val="20"/>
    <w:autoRedefine/>
    <w:qFormat/>
    <w:uiPriority w:val="99"/>
    <w:rPr>
      <w:rFonts w:ascii="Calibri" w:hAnsi="Calibri"/>
      <w:sz w:val="28"/>
      <w:szCs w:val="24"/>
    </w:rPr>
  </w:style>
  <w:style w:type="character" w:customStyle="1" w:styleId="98">
    <w:name w:val="正文文本 Char1"/>
    <w:autoRedefine/>
    <w:semiHidden/>
    <w:qFormat/>
    <w:uiPriority w:val="99"/>
    <w:rPr>
      <w:rFonts w:ascii="Times New Roman" w:hAnsi="Times New Roman" w:eastAsia="宋体" w:cs="Times New Roman"/>
      <w:szCs w:val="24"/>
    </w:rPr>
  </w:style>
  <w:style w:type="character" w:customStyle="1" w:styleId="99">
    <w:name w:val="正文首行缩进 Char1"/>
    <w:autoRedefine/>
    <w:semiHidden/>
    <w:qFormat/>
    <w:uiPriority w:val="99"/>
    <w:rPr>
      <w:rFonts w:ascii="Times New Roman" w:hAnsi="Times New Roman" w:eastAsia="宋体" w:cs="Times New Roman"/>
      <w:szCs w:val="24"/>
    </w:rPr>
  </w:style>
  <w:style w:type="character" w:customStyle="1" w:styleId="100">
    <w:name w:val="样式1 Char Char"/>
    <w:link w:val="101"/>
    <w:autoRedefine/>
    <w:qFormat/>
    <w:uiPriority w:val="0"/>
    <w:rPr>
      <w:rFonts w:ascii="Arial" w:hAnsi="Arial"/>
      <w:szCs w:val="24"/>
    </w:rPr>
  </w:style>
  <w:style w:type="paragraph" w:customStyle="1" w:styleId="101">
    <w:name w:val="样式1"/>
    <w:basedOn w:val="1"/>
    <w:link w:val="100"/>
    <w:autoRedefine/>
    <w:qFormat/>
    <w:uiPriority w:val="0"/>
    <w:pPr>
      <w:spacing w:line="360" w:lineRule="exact"/>
      <w:ind w:firstLine="200" w:firstLineChars="200"/>
    </w:pPr>
    <w:rPr>
      <w:rFonts w:ascii="Arial" w:hAnsi="Arial"/>
      <w:kern w:val="0"/>
      <w:sz w:val="20"/>
    </w:rPr>
  </w:style>
  <w:style w:type="character" w:customStyle="1" w:styleId="102">
    <w:name w:val="正文缩进 字符"/>
    <w:link w:val="15"/>
    <w:autoRedefine/>
    <w:qFormat/>
    <w:uiPriority w:val="0"/>
  </w:style>
  <w:style w:type="character" w:customStyle="1" w:styleId="103">
    <w:name w:val="z-窗体顶端 Char"/>
    <w:link w:val="104"/>
    <w:autoRedefine/>
    <w:qFormat/>
    <w:uiPriority w:val="0"/>
    <w:rPr>
      <w:rFonts w:ascii="Arial" w:hAnsi="Arial" w:cs="Arial"/>
      <w:vanish/>
      <w:sz w:val="16"/>
      <w:szCs w:val="16"/>
    </w:rPr>
  </w:style>
  <w:style w:type="paragraph" w:customStyle="1" w:styleId="104">
    <w:name w:val="z-窗体顶端1"/>
    <w:basedOn w:val="1"/>
    <w:next w:val="1"/>
    <w:link w:val="103"/>
    <w:autoRedefine/>
    <w:qFormat/>
    <w:uiPriority w:val="0"/>
    <w:pPr>
      <w:widowControl/>
      <w:pBdr>
        <w:bottom w:val="single" w:color="auto" w:sz="6" w:space="1"/>
      </w:pBdr>
      <w:jc w:val="center"/>
    </w:pPr>
    <w:rPr>
      <w:rFonts w:ascii="Arial" w:hAnsi="Arial"/>
      <w:vanish/>
      <w:kern w:val="0"/>
      <w:sz w:val="16"/>
      <w:szCs w:val="16"/>
    </w:rPr>
  </w:style>
  <w:style w:type="character" w:customStyle="1" w:styleId="105">
    <w:name w:val="z-窗体顶端 Char1"/>
    <w:autoRedefine/>
    <w:semiHidden/>
    <w:qFormat/>
    <w:uiPriority w:val="99"/>
    <w:rPr>
      <w:rFonts w:ascii="Arial" w:hAnsi="Arial" w:eastAsia="宋体" w:cs="Arial"/>
      <w:vanish/>
      <w:sz w:val="16"/>
      <w:szCs w:val="16"/>
    </w:rPr>
  </w:style>
  <w:style w:type="character" w:customStyle="1" w:styleId="106">
    <w:name w:val="z-窗体底端 Char"/>
    <w:link w:val="107"/>
    <w:autoRedefine/>
    <w:qFormat/>
    <w:uiPriority w:val="0"/>
    <w:rPr>
      <w:rFonts w:ascii="Arial" w:hAnsi="Arial" w:cs="Arial"/>
      <w:vanish/>
      <w:sz w:val="16"/>
      <w:szCs w:val="16"/>
    </w:rPr>
  </w:style>
  <w:style w:type="paragraph" w:customStyle="1" w:styleId="107">
    <w:name w:val="z-窗体底端1"/>
    <w:basedOn w:val="1"/>
    <w:next w:val="1"/>
    <w:link w:val="106"/>
    <w:autoRedefine/>
    <w:qFormat/>
    <w:uiPriority w:val="0"/>
    <w:pPr>
      <w:widowControl/>
      <w:pBdr>
        <w:top w:val="single" w:color="auto" w:sz="6" w:space="1"/>
      </w:pBdr>
      <w:jc w:val="center"/>
    </w:pPr>
    <w:rPr>
      <w:rFonts w:ascii="Arial" w:hAnsi="Arial"/>
      <w:vanish/>
      <w:kern w:val="0"/>
      <w:sz w:val="16"/>
      <w:szCs w:val="16"/>
    </w:rPr>
  </w:style>
  <w:style w:type="character" w:customStyle="1" w:styleId="108">
    <w:name w:val="z-窗体底端 Char1"/>
    <w:autoRedefine/>
    <w:semiHidden/>
    <w:qFormat/>
    <w:uiPriority w:val="99"/>
    <w:rPr>
      <w:rFonts w:ascii="Arial" w:hAnsi="Arial" w:eastAsia="宋体" w:cs="Arial"/>
      <w:vanish/>
      <w:sz w:val="16"/>
      <w:szCs w:val="16"/>
    </w:rPr>
  </w:style>
  <w:style w:type="character" w:customStyle="1" w:styleId="109">
    <w:name w:val="正文首行缩进两字符 Char"/>
    <w:autoRedefine/>
    <w:qFormat/>
    <w:uiPriority w:val="0"/>
    <w:rPr>
      <w:rFonts w:ascii="Arial" w:hAnsi="Arial"/>
      <w:kern w:val="2"/>
      <w:sz w:val="24"/>
      <w:szCs w:val="24"/>
    </w:rPr>
  </w:style>
  <w:style w:type="character" w:customStyle="1" w:styleId="110">
    <w:name w:val="msonormal"/>
    <w:autoRedefine/>
    <w:qFormat/>
    <w:uiPriority w:val="0"/>
  </w:style>
  <w:style w:type="character" w:customStyle="1" w:styleId="111">
    <w:name w:val="Char Char2"/>
    <w:autoRedefine/>
    <w:qFormat/>
    <w:uiPriority w:val="0"/>
    <w:rPr>
      <w:sz w:val="24"/>
    </w:rPr>
  </w:style>
  <w:style w:type="character" w:customStyle="1" w:styleId="112">
    <w:name w:val="Char Char3"/>
    <w:autoRedefine/>
    <w:qFormat/>
    <w:uiPriority w:val="0"/>
    <w:rPr>
      <w:rFonts w:ascii="宋体" w:hAnsi="宋体" w:cs="宋体"/>
      <w:sz w:val="24"/>
      <w:szCs w:val="24"/>
    </w:rPr>
  </w:style>
  <w:style w:type="character" w:customStyle="1" w:styleId="113">
    <w:name w:val="Char Char5"/>
    <w:autoRedefine/>
    <w:qFormat/>
    <w:uiPriority w:val="0"/>
    <w:rPr>
      <w:rFonts w:ascii="Arial" w:hAnsi="Arial" w:eastAsia="黑体" w:cs="Arial"/>
    </w:rPr>
  </w:style>
  <w:style w:type="character" w:customStyle="1" w:styleId="114">
    <w:name w:val="副标题 字符"/>
    <w:link w:val="32"/>
    <w:autoRedefine/>
    <w:qFormat/>
    <w:uiPriority w:val="0"/>
    <w:rPr>
      <w:rFonts w:ascii="Cambria" w:hAnsi="Cambria"/>
      <w:b/>
      <w:bCs/>
      <w:kern w:val="28"/>
      <w:sz w:val="32"/>
      <w:szCs w:val="32"/>
    </w:rPr>
  </w:style>
  <w:style w:type="character" w:customStyle="1" w:styleId="115">
    <w:name w:val="副标题 Char1"/>
    <w:autoRedefine/>
    <w:qFormat/>
    <w:uiPriority w:val="11"/>
    <w:rPr>
      <w:rFonts w:ascii="Cambria" w:hAnsi="Cambria" w:eastAsia="宋体" w:cs="Times New Roman"/>
      <w:b/>
      <w:bCs/>
      <w:kern w:val="28"/>
      <w:sz w:val="32"/>
      <w:szCs w:val="32"/>
    </w:rPr>
  </w:style>
  <w:style w:type="character" w:customStyle="1" w:styleId="116">
    <w:name w:val="_标题2 Char"/>
    <w:autoRedefine/>
    <w:qFormat/>
    <w:uiPriority w:val="0"/>
    <w:rPr>
      <w:rFonts w:ascii="Tahoma" w:hAnsi="Tahoma" w:eastAsia="黑体"/>
      <w:bCs/>
      <w:kern w:val="2"/>
      <w:sz w:val="32"/>
      <w:szCs w:val="32"/>
      <w:lang w:val="en-US" w:eastAsia="zh-CN" w:bidi="ar-SA"/>
    </w:rPr>
  </w:style>
  <w:style w:type="character" w:customStyle="1" w:styleId="117">
    <w:name w:val="f14b1"/>
    <w:autoRedefine/>
    <w:qFormat/>
    <w:uiPriority w:val="0"/>
    <w:rPr>
      <w:rFonts w:hint="default" w:ascii="??" w:hAnsi="??"/>
      <w:b/>
      <w:bCs/>
      <w:color w:val="333333"/>
      <w:sz w:val="21"/>
      <w:szCs w:val="21"/>
    </w:rPr>
  </w:style>
  <w:style w:type="character" w:customStyle="1" w:styleId="118">
    <w:name w:val="首行缩进2字符 Char"/>
    <w:autoRedefine/>
    <w:qFormat/>
    <w:uiPriority w:val="0"/>
    <w:rPr>
      <w:rFonts w:eastAsia="宋体"/>
      <w:snapToGrid w:val="0"/>
      <w:sz w:val="21"/>
      <w:szCs w:val="21"/>
      <w:lang w:val="en-US" w:eastAsia="zh-CN" w:bidi="ar-SA"/>
    </w:rPr>
  </w:style>
  <w:style w:type="character" w:customStyle="1" w:styleId="119">
    <w:name w:val="Char Char6"/>
    <w:autoRedefine/>
    <w:qFormat/>
    <w:uiPriority w:val="0"/>
    <w:rPr>
      <w:rFonts w:ascii="Arial" w:hAnsi="Arial" w:cs="Arial"/>
      <w:vanish/>
      <w:sz w:val="16"/>
      <w:szCs w:val="16"/>
    </w:rPr>
  </w:style>
  <w:style w:type="character" w:customStyle="1" w:styleId="120">
    <w:name w:val="文档正文 Char"/>
    <w:autoRedefine/>
    <w:qFormat/>
    <w:uiPriority w:val="0"/>
    <w:rPr>
      <w:rFonts w:eastAsia="宋体"/>
      <w:sz w:val="24"/>
      <w:lang w:val="en-US" w:eastAsia="zh-CN" w:bidi="ar-SA"/>
    </w:rPr>
  </w:style>
  <w:style w:type="character" w:customStyle="1" w:styleId="121">
    <w:name w:val="Char Char11"/>
    <w:autoRedefine/>
    <w:qFormat/>
    <w:uiPriority w:val="0"/>
    <w:rPr>
      <w:rFonts w:ascii="Arial" w:hAnsi="Arial" w:eastAsia="黑体"/>
      <w:sz w:val="24"/>
      <w:szCs w:val="24"/>
      <w:lang w:val="en-US" w:eastAsia="zh-CN" w:bidi="ar-SA"/>
    </w:rPr>
  </w:style>
  <w:style w:type="character" w:customStyle="1" w:styleId="122">
    <w:name w:val="批注文字 字符"/>
    <w:link w:val="18"/>
    <w:autoRedefine/>
    <w:qFormat/>
    <w:uiPriority w:val="0"/>
    <w:rPr>
      <w:sz w:val="24"/>
      <w:szCs w:val="24"/>
    </w:rPr>
  </w:style>
  <w:style w:type="character" w:customStyle="1" w:styleId="123">
    <w:name w:val="批注文字 Char1"/>
    <w:autoRedefine/>
    <w:semiHidden/>
    <w:qFormat/>
    <w:uiPriority w:val="99"/>
    <w:rPr>
      <w:rFonts w:ascii="Times New Roman" w:hAnsi="Times New Roman" w:eastAsia="宋体" w:cs="Times New Roman"/>
      <w:szCs w:val="24"/>
    </w:rPr>
  </w:style>
  <w:style w:type="character" w:customStyle="1" w:styleId="124">
    <w:name w:val="正文文本缩进 3 字符"/>
    <w:link w:val="35"/>
    <w:autoRedefine/>
    <w:qFormat/>
    <w:uiPriority w:val="0"/>
    <w:rPr>
      <w:rFonts w:ascii="仿宋_GB2312" w:hAnsi="宋体" w:eastAsia="仿宋_GB2312"/>
      <w:color w:val="000000"/>
      <w:sz w:val="24"/>
      <w:szCs w:val="24"/>
    </w:rPr>
  </w:style>
  <w:style w:type="character" w:customStyle="1" w:styleId="125">
    <w:name w:val="正文文本缩进 3 Char1"/>
    <w:autoRedefine/>
    <w:semiHidden/>
    <w:qFormat/>
    <w:uiPriority w:val="99"/>
    <w:rPr>
      <w:rFonts w:ascii="Times New Roman" w:hAnsi="Times New Roman" w:eastAsia="宋体" w:cs="Times New Roman"/>
      <w:sz w:val="16"/>
      <w:szCs w:val="16"/>
    </w:rPr>
  </w:style>
  <w:style w:type="character" w:customStyle="1" w:styleId="126">
    <w:name w:val="_表格文字 Char"/>
    <w:autoRedefine/>
    <w:qFormat/>
    <w:uiPriority w:val="0"/>
    <w:rPr>
      <w:rFonts w:eastAsia="宋体"/>
      <w:kern w:val="2"/>
      <w:sz w:val="21"/>
      <w:szCs w:val="24"/>
      <w:lang w:val="en-US" w:eastAsia="zh-CN" w:bidi="ar-SA"/>
    </w:rPr>
  </w:style>
  <w:style w:type="character" w:customStyle="1" w:styleId="127">
    <w:name w:val="正文文本缩进 2 字符"/>
    <w:link w:val="27"/>
    <w:autoRedefine/>
    <w:qFormat/>
    <w:uiPriority w:val="0"/>
    <w:rPr>
      <w:rFonts w:ascii="仿宋_GB2312" w:hAnsi="宋体" w:cs="Arial"/>
      <w:b/>
      <w:bCs/>
      <w:color w:val="000000"/>
      <w:sz w:val="24"/>
      <w:szCs w:val="24"/>
    </w:rPr>
  </w:style>
  <w:style w:type="character" w:customStyle="1" w:styleId="128">
    <w:name w:val="正文文本缩进 2 Char1"/>
    <w:autoRedefine/>
    <w:semiHidden/>
    <w:qFormat/>
    <w:uiPriority w:val="99"/>
    <w:rPr>
      <w:rFonts w:ascii="Times New Roman" w:hAnsi="Times New Roman" w:eastAsia="宋体" w:cs="Times New Roman"/>
      <w:szCs w:val="24"/>
    </w:rPr>
  </w:style>
  <w:style w:type="character" w:customStyle="1" w:styleId="129">
    <w:name w:val="正文文本 2 字符"/>
    <w:link w:val="37"/>
    <w:autoRedefine/>
    <w:qFormat/>
    <w:uiPriority w:val="0"/>
    <w:rPr>
      <w:rFonts w:ascii="宋体" w:hAnsi="宋体"/>
      <w:color w:val="000000"/>
      <w:sz w:val="24"/>
      <w:szCs w:val="24"/>
    </w:rPr>
  </w:style>
  <w:style w:type="character" w:customStyle="1" w:styleId="130">
    <w:name w:val="正文文本 2 Char1"/>
    <w:autoRedefine/>
    <w:semiHidden/>
    <w:qFormat/>
    <w:uiPriority w:val="99"/>
    <w:rPr>
      <w:rFonts w:ascii="Times New Roman" w:hAnsi="Times New Roman" w:eastAsia="宋体" w:cs="Times New Roman"/>
      <w:szCs w:val="24"/>
    </w:rPr>
  </w:style>
  <w:style w:type="character" w:customStyle="1" w:styleId="131">
    <w:name w:val="图 Char Char"/>
    <w:autoRedefine/>
    <w:qFormat/>
    <w:uiPriority w:val="0"/>
    <w:rPr>
      <w:rFonts w:eastAsia="黑体"/>
      <w:b/>
      <w:sz w:val="24"/>
    </w:rPr>
  </w:style>
  <w:style w:type="character" w:customStyle="1" w:styleId="132">
    <w:name w:val="普通文字1 Char"/>
    <w:autoRedefine/>
    <w:qFormat/>
    <w:uiPriority w:val="0"/>
    <w:rPr>
      <w:rFonts w:ascii="宋体" w:hAnsi="Courier New" w:eastAsia="宋体" w:cs="Courier New"/>
      <w:kern w:val="2"/>
      <w:sz w:val="21"/>
      <w:szCs w:val="21"/>
      <w:lang w:val="en-US" w:eastAsia="zh-CN" w:bidi="ar-SA"/>
    </w:rPr>
  </w:style>
  <w:style w:type="character" w:customStyle="1" w:styleId="133">
    <w:name w:val="日期 字符"/>
    <w:link w:val="26"/>
    <w:autoRedefine/>
    <w:qFormat/>
    <w:uiPriority w:val="0"/>
    <w:rPr>
      <w:rFonts w:eastAsia="楷体_GB2312"/>
      <w:sz w:val="32"/>
    </w:rPr>
  </w:style>
  <w:style w:type="character" w:customStyle="1" w:styleId="134">
    <w:name w:val="日期 Char1"/>
    <w:autoRedefine/>
    <w:semiHidden/>
    <w:qFormat/>
    <w:uiPriority w:val="99"/>
    <w:rPr>
      <w:rFonts w:ascii="Times New Roman" w:hAnsi="Times New Roman" w:eastAsia="宋体" w:cs="Times New Roman"/>
      <w:szCs w:val="24"/>
    </w:rPr>
  </w:style>
  <w:style w:type="character" w:customStyle="1" w:styleId="135">
    <w:name w:val="mark13"/>
    <w:basedOn w:val="46"/>
    <w:autoRedefine/>
    <w:qFormat/>
    <w:uiPriority w:val="0"/>
  </w:style>
  <w:style w:type="character" w:customStyle="1" w:styleId="136">
    <w:name w:val="st1"/>
    <w:autoRedefine/>
    <w:qFormat/>
    <w:uiPriority w:val="0"/>
    <w:rPr>
      <w:spacing w:val="240"/>
    </w:rPr>
  </w:style>
  <w:style w:type="character" w:customStyle="1" w:styleId="137">
    <w:name w:val="HTML 预设格式 字符"/>
    <w:link w:val="38"/>
    <w:autoRedefine/>
    <w:semiHidden/>
    <w:qFormat/>
    <w:uiPriority w:val="0"/>
    <w:rPr>
      <w:rFonts w:ascii="宋体" w:hAnsi="宋体" w:cs="宋体"/>
      <w:sz w:val="24"/>
      <w:szCs w:val="24"/>
    </w:rPr>
  </w:style>
  <w:style w:type="character" w:customStyle="1" w:styleId="138">
    <w:name w:val="HTML 预设格式 Char2"/>
    <w:autoRedefine/>
    <w:semiHidden/>
    <w:qFormat/>
    <w:uiPriority w:val="99"/>
    <w:rPr>
      <w:rFonts w:ascii="Courier New" w:hAnsi="Courier New" w:eastAsia="宋体" w:cs="Courier New"/>
      <w:sz w:val="20"/>
      <w:szCs w:val="20"/>
    </w:rPr>
  </w:style>
  <w:style w:type="character" w:customStyle="1" w:styleId="139">
    <w:name w:val="Char Char1"/>
    <w:autoRedefine/>
    <w:qFormat/>
    <w:uiPriority w:val="0"/>
    <w:rPr>
      <w:sz w:val="24"/>
    </w:rPr>
  </w:style>
  <w:style w:type="character" w:customStyle="1" w:styleId="140">
    <w:name w:val="图 Char"/>
    <w:autoRedefine/>
    <w:qFormat/>
    <w:uiPriority w:val="0"/>
    <w:rPr>
      <w:rFonts w:eastAsia="黑体"/>
      <w:b/>
      <w:sz w:val="24"/>
      <w:lang w:val="en-US" w:eastAsia="zh-CN" w:bidi="ar-SA"/>
    </w:rPr>
  </w:style>
  <w:style w:type="character" w:customStyle="1" w:styleId="141">
    <w:name w:val="font61"/>
    <w:autoRedefine/>
    <w:qFormat/>
    <w:uiPriority w:val="0"/>
    <w:rPr>
      <w:rFonts w:hint="eastAsia" w:ascii="宋体" w:hAnsi="宋体" w:eastAsia="宋体" w:cs="宋体"/>
      <w:color w:val="000000"/>
      <w:sz w:val="24"/>
      <w:szCs w:val="24"/>
      <w:u w:val="none"/>
    </w:rPr>
  </w:style>
  <w:style w:type="character" w:customStyle="1" w:styleId="142">
    <w:name w:val="a4red1"/>
    <w:autoRedefine/>
    <w:qFormat/>
    <w:uiPriority w:val="0"/>
    <w:rPr>
      <w:rFonts w:hint="default" w:ascii="Tahoma" w:hAnsi="Tahoma" w:cs="Tahoma"/>
      <w:color w:val="FF3300"/>
      <w:sz w:val="18"/>
      <w:szCs w:val="18"/>
      <w:u w:val="single"/>
    </w:rPr>
  </w:style>
  <w:style w:type="character" w:customStyle="1" w:styleId="143">
    <w:name w:val="Char Char12"/>
    <w:autoRedefine/>
    <w:qFormat/>
    <w:uiPriority w:val="0"/>
    <w:rPr>
      <w:rFonts w:eastAsia="宋体"/>
      <w:b/>
      <w:bCs/>
      <w:sz w:val="24"/>
      <w:szCs w:val="24"/>
      <w:lang w:val="en-US" w:eastAsia="zh-CN" w:bidi="ar-SA"/>
    </w:rPr>
  </w:style>
  <w:style w:type="character" w:customStyle="1" w:styleId="144">
    <w:name w:val="orange"/>
    <w:basedOn w:val="46"/>
    <w:autoRedefine/>
    <w:qFormat/>
    <w:uiPriority w:val="0"/>
  </w:style>
  <w:style w:type="character" w:customStyle="1" w:styleId="145">
    <w:name w:val="font01"/>
    <w:autoRedefine/>
    <w:qFormat/>
    <w:uiPriority w:val="0"/>
    <w:rPr>
      <w:rFonts w:hint="eastAsia" w:ascii="宋体" w:hAnsi="宋体" w:eastAsia="宋体" w:cs="宋体"/>
      <w:color w:val="FF0000"/>
      <w:sz w:val="24"/>
      <w:szCs w:val="24"/>
      <w:u w:val="none"/>
    </w:rPr>
  </w:style>
  <w:style w:type="character" w:customStyle="1" w:styleId="146">
    <w:name w:val="jianju1"/>
    <w:autoRedefine/>
    <w:qFormat/>
    <w:uiPriority w:val="0"/>
    <w:rPr>
      <w:color w:val="000000"/>
      <w:sz w:val="21"/>
      <w:szCs w:val="21"/>
      <w:u w:val="none"/>
    </w:rPr>
  </w:style>
  <w:style w:type="character" w:customStyle="1" w:styleId="147">
    <w:name w:val="fontb5"/>
    <w:basedOn w:val="46"/>
    <w:autoRedefine/>
    <w:qFormat/>
    <w:uiPriority w:val="0"/>
  </w:style>
  <w:style w:type="character" w:customStyle="1" w:styleId="148">
    <w:name w:val="_列表 Char"/>
    <w:autoRedefine/>
    <w:qFormat/>
    <w:uiPriority w:val="0"/>
    <w:rPr>
      <w:kern w:val="2"/>
      <w:sz w:val="24"/>
      <w:szCs w:val="24"/>
    </w:rPr>
  </w:style>
  <w:style w:type="character" w:customStyle="1" w:styleId="149">
    <w:name w:val="纯文本 字符"/>
    <w:link w:val="25"/>
    <w:autoRedefine/>
    <w:qFormat/>
    <w:uiPriority w:val="0"/>
    <w:rPr>
      <w:rFonts w:ascii="宋体" w:hAnsi="Courier New"/>
      <w:sz w:val="24"/>
      <w:szCs w:val="24"/>
    </w:rPr>
  </w:style>
  <w:style w:type="character" w:customStyle="1" w:styleId="150">
    <w:name w:val="纯文本 Char1"/>
    <w:autoRedefine/>
    <w:semiHidden/>
    <w:qFormat/>
    <w:uiPriority w:val="99"/>
    <w:rPr>
      <w:rFonts w:ascii="宋体" w:hAnsi="Courier New" w:eastAsia="宋体" w:cs="Courier New"/>
      <w:szCs w:val="21"/>
    </w:rPr>
  </w:style>
  <w:style w:type="character" w:customStyle="1" w:styleId="151">
    <w:name w:val="Char Char15"/>
    <w:autoRedefine/>
    <w:qFormat/>
    <w:uiPriority w:val="0"/>
    <w:rPr>
      <w:rFonts w:ascii="Arial" w:hAnsi="Arial" w:eastAsia="黑体"/>
      <w:b/>
      <w:bCs/>
      <w:kern w:val="2"/>
      <w:sz w:val="28"/>
      <w:szCs w:val="28"/>
      <w:lang w:val="en-US" w:eastAsia="zh-CN" w:bidi="ar-SA"/>
    </w:rPr>
  </w:style>
  <w:style w:type="character" w:customStyle="1" w:styleId="152">
    <w:name w:val="正文文本 3 字符"/>
    <w:link w:val="19"/>
    <w:autoRedefine/>
    <w:qFormat/>
    <w:uiPriority w:val="0"/>
    <w:rPr>
      <w:rFonts w:hAnsi="宋体" w:eastAsia="仿宋_GB2312"/>
      <w:b/>
      <w:bCs/>
      <w:sz w:val="24"/>
    </w:rPr>
  </w:style>
  <w:style w:type="character" w:customStyle="1" w:styleId="153">
    <w:name w:val="正文文本 3 Char1"/>
    <w:autoRedefine/>
    <w:semiHidden/>
    <w:qFormat/>
    <w:uiPriority w:val="99"/>
    <w:rPr>
      <w:rFonts w:ascii="Times New Roman" w:hAnsi="Times New Roman" w:eastAsia="宋体" w:cs="Times New Roman"/>
      <w:sz w:val="16"/>
      <w:szCs w:val="16"/>
    </w:rPr>
  </w:style>
  <w:style w:type="character" w:customStyle="1" w:styleId="154">
    <w:name w:val="font11"/>
    <w:autoRedefine/>
    <w:qFormat/>
    <w:uiPriority w:val="0"/>
    <w:rPr>
      <w:rFonts w:hint="default" w:ascii="Times New Roman" w:hAnsi="Times New Roman" w:cs="Times New Roman"/>
      <w:color w:val="000000"/>
      <w:sz w:val="24"/>
      <w:szCs w:val="24"/>
      <w:u w:val="none"/>
    </w:rPr>
  </w:style>
  <w:style w:type="character" w:customStyle="1" w:styleId="155">
    <w:name w:val="文档结构图 字符"/>
    <w:link w:val="17"/>
    <w:autoRedefine/>
    <w:semiHidden/>
    <w:qFormat/>
    <w:uiPriority w:val="0"/>
    <w:rPr>
      <w:sz w:val="24"/>
      <w:szCs w:val="24"/>
      <w:shd w:val="clear" w:color="auto" w:fill="000080"/>
    </w:rPr>
  </w:style>
  <w:style w:type="character" w:customStyle="1" w:styleId="156">
    <w:name w:val="文档结构图 Char1"/>
    <w:autoRedefine/>
    <w:semiHidden/>
    <w:qFormat/>
    <w:uiPriority w:val="99"/>
    <w:rPr>
      <w:rFonts w:ascii="宋体" w:hAnsi="Times New Roman" w:eastAsia="宋体" w:cs="Times New Roman"/>
      <w:sz w:val="18"/>
      <w:szCs w:val="18"/>
    </w:rPr>
  </w:style>
  <w:style w:type="character" w:customStyle="1" w:styleId="157">
    <w:name w:val="Char Char13"/>
    <w:autoRedefine/>
    <w:qFormat/>
    <w:uiPriority w:val="0"/>
    <w:rPr>
      <w:rFonts w:ascii="Arial" w:hAnsi="Arial" w:eastAsia="黑体"/>
      <w:b/>
      <w:bCs/>
      <w:kern w:val="2"/>
      <w:sz w:val="24"/>
      <w:szCs w:val="24"/>
      <w:lang w:val="en-US" w:eastAsia="zh-CN" w:bidi="ar-SA"/>
    </w:rPr>
  </w:style>
  <w:style w:type="character" w:customStyle="1" w:styleId="158">
    <w:name w:val="_标题4 Char"/>
    <w:autoRedefine/>
    <w:qFormat/>
    <w:uiPriority w:val="0"/>
    <w:rPr>
      <w:rFonts w:ascii="Tahoma" w:hAnsi="Tahoma" w:eastAsia="黑体"/>
      <w:bCs/>
      <w:kern w:val="2"/>
      <w:sz w:val="28"/>
      <w:szCs w:val="28"/>
      <w:lang w:val="en-US" w:eastAsia="zh-CN" w:bidi="ar-SA"/>
    </w:rPr>
  </w:style>
  <w:style w:type="character" w:customStyle="1" w:styleId="159">
    <w:name w:val="_表格标题 Char"/>
    <w:autoRedefine/>
    <w:qFormat/>
    <w:uiPriority w:val="0"/>
    <w:rPr>
      <w:rFonts w:eastAsia="宋体"/>
      <w:b/>
      <w:kern w:val="2"/>
      <w:sz w:val="24"/>
      <w:szCs w:val="24"/>
      <w:lang w:val="en-US" w:eastAsia="zh-CN" w:bidi="ar-SA"/>
    </w:rPr>
  </w:style>
  <w:style w:type="character" w:customStyle="1" w:styleId="160">
    <w:name w:val="批注主题 字符"/>
    <w:link w:val="42"/>
    <w:autoRedefine/>
    <w:qFormat/>
    <w:uiPriority w:val="0"/>
    <w:rPr>
      <w:b/>
      <w:bCs/>
      <w:sz w:val="24"/>
      <w:szCs w:val="24"/>
    </w:rPr>
  </w:style>
  <w:style w:type="character" w:customStyle="1" w:styleId="161">
    <w:name w:val="批注主题 Char1"/>
    <w:autoRedefine/>
    <w:semiHidden/>
    <w:qFormat/>
    <w:uiPriority w:val="99"/>
    <w:rPr>
      <w:rFonts w:ascii="Times New Roman" w:hAnsi="Times New Roman" w:eastAsia="宋体" w:cs="Times New Roman"/>
      <w:b/>
      <w:bCs/>
      <w:szCs w:val="24"/>
    </w:rPr>
  </w:style>
  <w:style w:type="character" w:customStyle="1" w:styleId="162">
    <w:name w:val="普通正文 Char"/>
    <w:autoRedefine/>
    <w:qFormat/>
    <w:uiPriority w:val="0"/>
    <w:rPr>
      <w:rFonts w:ascii="Arial" w:hAnsi="Arial" w:eastAsia="宋体"/>
      <w:sz w:val="24"/>
      <w:lang w:val="en-US" w:eastAsia="zh-CN" w:bidi="ar-SA"/>
    </w:rPr>
  </w:style>
  <w:style w:type="character" w:customStyle="1" w:styleId="163">
    <w:name w:val="Char Char7"/>
    <w:autoRedefine/>
    <w:qFormat/>
    <w:uiPriority w:val="0"/>
    <w:rPr>
      <w:sz w:val="18"/>
    </w:rPr>
  </w:style>
  <w:style w:type="character" w:customStyle="1" w:styleId="164">
    <w:name w:val="tw4winMark"/>
    <w:autoRedefine/>
    <w:qFormat/>
    <w:uiPriority w:val="0"/>
    <w:rPr>
      <w:rFonts w:ascii="Courier New" w:hAnsi="Courier New" w:cs="Courier New"/>
      <w:vanish/>
      <w:color w:val="800080"/>
      <w:vertAlign w:val="subscript"/>
    </w:rPr>
  </w:style>
  <w:style w:type="character" w:customStyle="1" w:styleId="165">
    <w:name w:val="普通(网站) 字符"/>
    <w:link w:val="39"/>
    <w:autoRedefine/>
    <w:qFormat/>
    <w:locked/>
    <w:uiPriority w:val="0"/>
    <w:rPr>
      <w:sz w:val="24"/>
      <w:szCs w:val="24"/>
    </w:rPr>
  </w:style>
  <w:style w:type="character" w:customStyle="1" w:styleId="166">
    <w:name w:val="Char Char16"/>
    <w:autoRedefine/>
    <w:qFormat/>
    <w:uiPriority w:val="0"/>
    <w:rPr>
      <w:rFonts w:eastAsia="宋体"/>
      <w:b/>
      <w:bCs/>
      <w:kern w:val="2"/>
      <w:sz w:val="32"/>
      <w:szCs w:val="32"/>
      <w:lang w:val="en-US" w:eastAsia="zh-CN" w:bidi="ar-SA"/>
    </w:rPr>
  </w:style>
  <w:style w:type="paragraph" w:customStyle="1" w:styleId="167">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68">
    <w:name w:val="缺省文本"/>
    <w:basedOn w:val="1"/>
    <w:autoRedefine/>
    <w:qFormat/>
    <w:uiPriority w:val="0"/>
    <w:pPr>
      <w:autoSpaceDE w:val="0"/>
      <w:autoSpaceDN w:val="0"/>
      <w:adjustRightInd w:val="0"/>
      <w:ind w:firstLine="454"/>
    </w:pPr>
    <w:rPr>
      <w:sz w:val="24"/>
    </w:rPr>
  </w:style>
  <w:style w:type="paragraph" w:customStyle="1" w:styleId="169">
    <w:name w:val="默认段落字体 Para Char Char Char Char Char Char Char Char Char1 Char Char Char Char"/>
    <w:basedOn w:val="1"/>
    <w:autoRedefine/>
    <w:qFormat/>
    <w:uiPriority w:val="0"/>
    <w:rPr>
      <w:rFonts w:ascii="Tahoma" w:hAnsi="Tahoma"/>
      <w:sz w:val="24"/>
      <w:szCs w:val="20"/>
    </w:rPr>
  </w:style>
  <w:style w:type="paragraph" w:customStyle="1" w:styleId="170">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171">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72">
    <w:name w:val="五级条标题"/>
    <w:basedOn w:val="173"/>
    <w:next w:val="1"/>
    <w:autoRedefine/>
    <w:qFormat/>
    <w:uiPriority w:val="0"/>
    <w:pPr>
      <w:tabs>
        <w:tab w:val="left" w:pos="360"/>
      </w:tabs>
      <w:outlineLvl w:val="6"/>
    </w:pPr>
  </w:style>
  <w:style w:type="paragraph" w:customStyle="1" w:styleId="173">
    <w:name w:val="四级条标题"/>
    <w:basedOn w:val="174"/>
    <w:next w:val="1"/>
    <w:autoRedefine/>
    <w:qFormat/>
    <w:uiPriority w:val="0"/>
    <w:pPr>
      <w:tabs>
        <w:tab w:val="left" w:pos="360"/>
      </w:tabs>
      <w:outlineLvl w:val="5"/>
    </w:pPr>
  </w:style>
  <w:style w:type="paragraph" w:customStyle="1" w:styleId="174">
    <w:name w:val="三级条标题"/>
    <w:basedOn w:val="175"/>
    <w:next w:val="1"/>
    <w:autoRedefine/>
    <w:qFormat/>
    <w:uiPriority w:val="0"/>
    <w:pPr>
      <w:tabs>
        <w:tab w:val="left" w:pos="360"/>
      </w:tabs>
      <w:outlineLvl w:val="4"/>
    </w:pPr>
  </w:style>
  <w:style w:type="paragraph" w:customStyle="1" w:styleId="175">
    <w:name w:val="二级条标题"/>
    <w:basedOn w:val="176"/>
    <w:next w:val="1"/>
    <w:autoRedefine/>
    <w:qFormat/>
    <w:uiPriority w:val="0"/>
    <w:pPr>
      <w:tabs>
        <w:tab w:val="left" w:pos="360"/>
      </w:tabs>
      <w:outlineLvl w:val="3"/>
    </w:pPr>
  </w:style>
  <w:style w:type="paragraph" w:customStyle="1" w:styleId="176">
    <w:name w:val="一级条标题"/>
    <w:basedOn w:val="177"/>
    <w:next w:val="1"/>
    <w:autoRedefine/>
    <w:qFormat/>
    <w:uiPriority w:val="0"/>
    <w:pPr>
      <w:tabs>
        <w:tab w:val="left" w:pos="360"/>
      </w:tabs>
      <w:spacing w:beforeLines="0" w:afterLines="0"/>
      <w:outlineLvl w:val="2"/>
    </w:pPr>
  </w:style>
  <w:style w:type="paragraph" w:customStyle="1" w:styleId="177">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78">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9">
    <w:name w:val="Char Char Char"/>
    <w:basedOn w:val="1"/>
    <w:autoRedefine/>
    <w:qFormat/>
    <w:uiPriority w:val="0"/>
  </w:style>
  <w:style w:type="paragraph" w:customStyle="1" w:styleId="180">
    <w:name w:val="Char Char Char Char Char Char Char Char Char Char Char Char1 Char"/>
    <w:basedOn w:val="17"/>
    <w:autoRedefine/>
    <w:qFormat/>
    <w:uiPriority w:val="0"/>
    <w:pPr>
      <w:spacing w:afterLines="0" w:line="240" w:lineRule="auto"/>
      <w:ind w:firstLine="0" w:firstLineChars="0"/>
    </w:pPr>
    <w:rPr>
      <w:rFonts w:ascii="Tahoma" w:hAnsi="Tahoma"/>
    </w:rPr>
  </w:style>
  <w:style w:type="paragraph" w:customStyle="1" w:styleId="181">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82">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183">
    <w:name w:val="_标题6"/>
    <w:basedOn w:val="9"/>
    <w:next w:val="184"/>
    <w:autoRedefine/>
    <w:qFormat/>
    <w:uiPriority w:val="0"/>
    <w:pPr>
      <w:ind w:left="4820" w:hanging="4820" w:firstLineChars="0"/>
    </w:pPr>
    <w:rPr>
      <w:rFonts w:ascii="Tahoma" w:hAnsi="Tahoma"/>
      <w:b w:val="0"/>
    </w:rPr>
  </w:style>
  <w:style w:type="paragraph" w:customStyle="1" w:styleId="184">
    <w:name w:val="_正文段落"/>
    <w:basedOn w:val="1"/>
    <w:autoRedefine/>
    <w:qFormat/>
    <w:uiPriority w:val="0"/>
    <w:pPr>
      <w:spacing w:beforeLines="15" w:afterLines="15" w:line="360" w:lineRule="auto"/>
      <w:ind w:firstLine="200" w:firstLineChars="200"/>
    </w:pPr>
  </w:style>
  <w:style w:type="paragraph" w:customStyle="1" w:styleId="185">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18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7">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188">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189">
    <w:name w:val="CM37"/>
    <w:basedOn w:val="58"/>
    <w:next w:val="58"/>
    <w:autoRedefine/>
    <w:qFormat/>
    <w:uiPriority w:val="0"/>
    <w:pPr>
      <w:spacing w:after="533"/>
    </w:pPr>
    <w:rPr>
      <w:rFonts w:ascii="宋体" w:hAnsi="Times New Roman"/>
      <w:color w:val="auto"/>
    </w:rPr>
  </w:style>
  <w:style w:type="paragraph" w:customStyle="1" w:styleId="190">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91">
    <w:name w:val="_标题3"/>
    <w:basedOn w:val="6"/>
    <w:next w:val="184"/>
    <w:autoRedefine/>
    <w:qFormat/>
    <w:uiPriority w:val="0"/>
    <w:pPr>
      <w:tabs>
        <w:tab w:val="left" w:pos="720"/>
      </w:tabs>
      <w:spacing w:beforeLines="50" w:afterLines="50"/>
      <w:ind w:left="720"/>
    </w:pPr>
    <w:rPr>
      <w:rFonts w:ascii="Arial" w:hAnsi="Arial" w:eastAsia="黑体"/>
      <w:sz w:val="30"/>
    </w:rPr>
  </w:style>
  <w:style w:type="paragraph" w:customStyle="1" w:styleId="192">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3">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194">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5">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6">
    <w:name w:val="Char Char Char Char Char Char"/>
    <w:basedOn w:val="1"/>
    <w:autoRedefine/>
    <w:qFormat/>
    <w:uiPriority w:val="0"/>
    <w:rPr>
      <w:rFonts w:ascii="Tahoma" w:hAnsi="Tahoma"/>
      <w:sz w:val="24"/>
      <w:szCs w:val="20"/>
    </w:rPr>
  </w:style>
  <w:style w:type="paragraph" w:customStyle="1" w:styleId="197">
    <w:name w:val="列出段落1"/>
    <w:basedOn w:val="1"/>
    <w:autoRedefine/>
    <w:qFormat/>
    <w:uiPriority w:val="0"/>
    <w:pPr>
      <w:ind w:firstLine="420" w:firstLineChars="200"/>
    </w:pPr>
    <w:rPr>
      <w:rFonts w:ascii="Calibri" w:hAnsi="Calibri"/>
      <w:szCs w:val="22"/>
    </w:rPr>
  </w:style>
  <w:style w:type="paragraph" w:customStyle="1" w:styleId="198">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99">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00">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1">
    <w:name w:val="图名"/>
    <w:basedOn w:val="1"/>
    <w:autoRedefine/>
    <w:qFormat/>
    <w:uiPriority w:val="0"/>
    <w:pPr>
      <w:spacing w:line="360" w:lineRule="auto"/>
      <w:jc w:val="center"/>
    </w:pPr>
    <w:rPr>
      <w:rFonts w:ascii="黑体" w:eastAsia="黑体"/>
      <w:b/>
      <w:sz w:val="32"/>
      <w:szCs w:val="32"/>
    </w:rPr>
  </w:style>
  <w:style w:type="paragraph" w:customStyle="1" w:styleId="202">
    <w:name w:val="_标题5"/>
    <w:basedOn w:val="8"/>
    <w:next w:val="184"/>
    <w:autoRedefine/>
    <w:qFormat/>
    <w:uiPriority w:val="0"/>
    <w:pPr>
      <w:ind w:left="4253" w:hanging="4253"/>
    </w:pPr>
    <w:rPr>
      <w:rFonts w:ascii="Arial" w:hAnsi="Arial" w:eastAsia="黑体"/>
      <w:b w:val="0"/>
      <w:sz w:val="24"/>
    </w:rPr>
  </w:style>
  <w:style w:type="paragraph" w:customStyle="1" w:styleId="203">
    <w:name w:val="标题 21"/>
    <w:basedOn w:val="1"/>
    <w:autoRedefine/>
    <w:qFormat/>
    <w:uiPriority w:val="0"/>
    <w:pPr>
      <w:spacing w:afterLines="100" w:line="360" w:lineRule="auto"/>
    </w:pPr>
    <w:rPr>
      <w:sz w:val="24"/>
    </w:rPr>
  </w:style>
  <w:style w:type="paragraph" w:customStyle="1" w:styleId="204">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205">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7">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8">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09">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1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11">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12">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3">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4">
    <w:name w:val="标题 12"/>
    <w:basedOn w:val="1"/>
    <w:autoRedefine/>
    <w:qFormat/>
    <w:uiPriority w:val="0"/>
    <w:pPr>
      <w:spacing w:afterLines="100" w:line="360" w:lineRule="auto"/>
    </w:pPr>
    <w:rPr>
      <w:sz w:val="24"/>
    </w:rPr>
  </w:style>
  <w:style w:type="paragraph" w:customStyle="1" w:styleId="215">
    <w:name w:val="font9"/>
    <w:basedOn w:val="1"/>
    <w:autoRedefine/>
    <w:qFormat/>
    <w:uiPriority w:val="0"/>
    <w:pPr>
      <w:widowControl/>
      <w:spacing w:before="100" w:beforeAutospacing="1" w:afterAutospacing="1"/>
      <w:jc w:val="left"/>
    </w:pPr>
    <w:rPr>
      <w:kern w:val="0"/>
      <w:sz w:val="20"/>
      <w:szCs w:val="20"/>
    </w:rPr>
  </w:style>
  <w:style w:type="paragraph" w:customStyle="1" w:styleId="21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7">
    <w:name w:val="p15"/>
    <w:basedOn w:val="1"/>
    <w:autoRedefine/>
    <w:qFormat/>
    <w:uiPriority w:val="0"/>
    <w:pPr>
      <w:widowControl/>
    </w:pPr>
    <w:rPr>
      <w:kern w:val="0"/>
      <w:sz w:val="24"/>
    </w:rPr>
  </w:style>
  <w:style w:type="paragraph" w:customStyle="1" w:styleId="218">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9">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20">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221">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22">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3">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224">
    <w:name w:val="默认段落字体 Para Char"/>
    <w:basedOn w:val="1"/>
    <w:autoRedefine/>
    <w:qFormat/>
    <w:uiPriority w:val="0"/>
    <w:rPr>
      <w:rFonts w:ascii="Tahoma" w:hAnsi="Tahoma"/>
      <w:sz w:val="24"/>
      <w:szCs w:val="20"/>
    </w:rPr>
  </w:style>
  <w:style w:type="paragraph" w:customStyle="1" w:styleId="225">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2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7">
    <w:name w:val="样式 标题 5口H5PIM 5h5Level 3 - iheading 51.1.1.1.1标题 5标ghfhg..."/>
    <w:basedOn w:val="8"/>
    <w:autoRedefine/>
    <w:qFormat/>
    <w:uiPriority w:val="0"/>
    <w:pPr>
      <w:adjustRightInd w:val="0"/>
      <w:spacing w:line="376" w:lineRule="atLeast"/>
      <w:ind w:left="992" w:hanging="420"/>
      <w:textAlignment w:val="baseline"/>
    </w:pPr>
    <w:rPr>
      <w:color w:val="000000"/>
      <w:sz w:val="24"/>
      <w:szCs w:val="20"/>
    </w:rPr>
  </w:style>
  <w:style w:type="paragraph" w:customStyle="1" w:styleId="228">
    <w:name w:val="列出段落2"/>
    <w:basedOn w:val="1"/>
    <w:autoRedefine/>
    <w:qFormat/>
    <w:uiPriority w:val="0"/>
    <w:pPr>
      <w:ind w:firstLine="420" w:firstLineChars="200"/>
    </w:pPr>
    <w:rPr>
      <w:rFonts w:ascii="Calibri" w:hAnsi="Calibri"/>
      <w:szCs w:val="22"/>
    </w:rPr>
  </w:style>
  <w:style w:type="paragraph" w:customStyle="1" w:styleId="229">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30">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1">
    <w:name w:val="标题 31"/>
    <w:basedOn w:val="1"/>
    <w:autoRedefine/>
    <w:qFormat/>
    <w:uiPriority w:val="0"/>
    <w:pPr>
      <w:spacing w:afterLines="100" w:line="360" w:lineRule="auto"/>
    </w:pPr>
    <w:rPr>
      <w:sz w:val="24"/>
    </w:rPr>
  </w:style>
  <w:style w:type="paragraph" w:customStyle="1" w:styleId="232">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233">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234">
    <w:name w:val="项目"/>
    <w:basedOn w:val="184"/>
    <w:autoRedefine/>
    <w:qFormat/>
    <w:uiPriority w:val="0"/>
    <w:pPr>
      <w:spacing w:beforeLines="0" w:afterLines="0"/>
      <w:ind w:firstLine="0" w:firstLineChars="0"/>
    </w:pPr>
    <w:rPr>
      <w:rFonts w:ascii="宋体" w:hAnsi="宋体"/>
      <w:sz w:val="24"/>
    </w:rPr>
  </w:style>
  <w:style w:type="paragraph" w:customStyle="1" w:styleId="235">
    <w:name w:val="_表格文字"/>
    <w:basedOn w:val="1"/>
    <w:autoRedefine/>
    <w:qFormat/>
    <w:uiPriority w:val="0"/>
    <w:pPr>
      <w:spacing w:beforeLines="10" w:afterLines="10"/>
    </w:pPr>
  </w:style>
  <w:style w:type="paragraph" w:customStyle="1" w:styleId="236">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7">
    <w:name w:val="Char"/>
    <w:basedOn w:val="1"/>
    <w:autoRedefine/>
    <w:qFormat/>
    <w:uiPriority w:val="0"/>
    <w:rPr>
      <w:sz w:val="24"/>
    </w:rPr>
  </w:style>
  <w:style w:type="paragraph" w:customStyle="1" w:styleId="238">
    <w:name w:val="样式 标题 5 + 右侧:  -0.18 字符"/>
    <w:basedOn w:val="1"/>
    <w:autoRedefine/>
    <w:qFormat/>
    <w:uiPriority w:val="0"/>
    <w:pPr>
      <w:tabs>
        <w:tab w:val="left" w:pos="1008"/>
      </w:tabs>
      <w:ind w:left="1008" w:hanging="1008"/>
    </w:pPr>
  </w:style>
  <w:style w:type="paragraph" w:customStyle="1" w:styleId="239">
    <w:name w:val="Char Char1 Char"/>
    <w:basedOn w:val="1"/>
    <w:autoRedefine/>
    <w:qFormat/>
    <w:uiPriority w:val="0"/>
    <w:pPr>
      <w:spacing w:line="360" w:lineRule="auto"/>
    </w:pPr>
    <w:rPr>
      <w:rFonts w:ascii="Tahoma" w:hAnsi="Tahoma"/>
      <w:sz w:val="24"/>
      <w:szCs w:val="20"/>
    </w:rPr>
  </w:style>
  <w:style w:type="paragraph" w:customStyle="1" w:styleId="240">
    <w:name w:val="_正文段落加粗"/>
    <w:basedOn w:val="184"/>
    <w:autoRedefine/>
    <w:qFormat/>
    <w:uiPriority w:val="0"/>
    <w:pPr>
      <w:spacing w:beforeLines="0" w:afterLines="0"/>
      <w:ind w:firstLine="480"/>
    </w:pPr>
    <w:rPr>
      <w:b/>
    </w:rPr>
  </w:style>
  <w:style w:type="paragraph" w:customStyle="1" w:styleId="241">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42">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243">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44">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6">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7">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48">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0">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251">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2">
    <w:name w:val="Char2"/>
    <w:basedOn w:val="1"/>
    <w:autoRedefine/>
    <w:qFormat/>
    <w:uiPriority w:val="0"/>
    <w:rPr>
      <w:rFonts w:ascii="Tahoma" w:hAnsi="Tahoma"/>
      <w:sz w:val="24"/>
      <w:szCs w:val="20"/>
    </w:rPr>
  </w:style>
  <w:style w:type="paragraph" w:customStyle="1" w:styleId="253">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4">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5">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6">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257">
    <w:name w:val="_标题4"/>
    <w:basedOn w:val="7"/>
    <w:next w:val="184"/>
    <w:autoRedefine/>
    <w:qFormat/>
    <w:uiPriority w:val="0"/>
    <w:pPr>
      <w:tabs>
        <w:tab w:val="left" w:pos="2160"/>
      </w:tabs>
      <w:spacing w:after="0" w:line="372" w:lineRule="auto"/>
      <w:ind w:left="3402" w:hanging="3402"/>
    </w:pPr>
    <w:rPr>
      <w:rFonts w:ascii="Tahoma" w:hAnsi="Tahoma" w:eastAsia="黑体"/>
    </w:rPr>
  </w:style>
  <w:style w:type="paragraph" w:customStyle="1" w:styleId="25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59">
    <w:name w:val="表"/>
    <w:basedOn w:val="1"/>
    <w:next w:val="11"/>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60">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61">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6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3">
    <w:name w:val="公文行文"/>
    <w:basedOn w:val="1"/>
    <w:autoRedefine/>
    <w:qFormat/>
    <w:uiPriority w:val="0"/>
    <w:pPr>
      <w:spacing w:line="360" w:lineRule="auto"/>
      <w:ind w:firstLine="200" w:firstLineChars="200"/>
    </w:pPr>
    <w:rPr>
      <w:rFonts w:eastAsia="仿宋_GB2312"/>
      <w:sz w:val="28"/>
    </w:rPr>
  </w:style>
  <w:style w:type="paragraph" w:customStyle="1" w:styleId="264">
    <w:name w:val="正文首行缩进两字符"/>
    <w:basedOn w:val="1"/>
    <w:autoRedefine/>
    <w:qFormat/>
    <w:uiPriority w:val="0"/>
    <w:pPr>
      <w:spacing w:line="300" w:lineRule="auto"/>
      <w:ind w:firstLine="200" w:firstLineChars="200"/>
    </w:pPr>
    <w:rPr>
      <w:rFonts w:ascii="Arial" w:hAnsi="Arial"/>
      <w:sz w:val="24"/>
    </w:rPr>
  </w:style>
  <w:style w:type="paragraph" w:customStyle="1" w:styleId="265">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6">
    <w:name w:val="_题注"/>
    <w:basedOn w:val="16"/>
    <w:autoRedefine/>
    <w:qFormat/>
    <w:uiPriority w:val="0"/>
    <w:pPr>
      <w:spacing w:before="0" w:afterLines="100"/>
      <w:jc w:val="center"/>
    </w:pPr>
    <w:rPr>
      <w:sz w:val="21"/>
      <w:szCs w:val="24"/>
    </w:rPr>
  </w:style>
  <w:style w:type="paragraph" w:customStyle="1" w:styleId="267">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68">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269">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70">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271">
    <w:name w:val="_列表"/>
    <w:basedOn w:val="184"/>
    <w:autoRedefine/>
    <w:qFormat/>
    <w:uiPriority w:val="0"/>
    <w:pPr>
      <w:spacing w:beforeLines="0" w:afterLines="0"/>
    </w:pPr>
    <w:rPr>
      <w:sz w:val="24"/>
    </w:rPr>
  </w:style>
  <w:style w:type="paragraph" w:customStyle="1" w:styleId="272">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3">
    <w:name w:val="标题 11"/>
    <w:basedOn w:val="1"/>
    <w:autoRedefine/>
    <w:qFormat/>
    <w:uiPriority w:val="0"/>
    <w:pPr>
      <w:spacing w:afterLines="100" w:line="360" w:lineRule="auto"/>
    </w:pPr>
    <w:rPr>
      <w:sz w:val="24"/>
    </w:rPr>
  </w:style>
  <w:style w:type="paragraph" w:customStyle="1" w:styleId="274">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275">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6">
    <w:name w:val="_标题1"/>
    <w:basedOn w:val="4"/>
    <w:next w:val="184"/>
    <w:autoRedefine/>
    <w:qFormat/>
    <w:uiPriority w:val="0"/>
    <w:pPr>
      <w:tabs>
        <w:tab w:val="left" w:pos="708"/>
        <w:tab w:val="left" w:pos="900"/>
      </w:tabs>
      <w:spacing w:after="0" w:line="576" w:lineRule="auto"/>
      <w:ind w:left="567" w:hanging="567"/>
      <w:jc w:val="center"/>
    </w:pPr>
    <w:rPr>
      <w:rFonts w:ascii="Arial" w:hAnsi="Arial" w:eastAsia="黑体"/>
      <w:b w:val="0"/>
    </w:rPr>
  </w:style>
  <w:style w:type="paragraph" w:customStyle="1" w:styleId="277">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8">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279">
    <w:name w:val="TOC 标题1"/>
    <w:basedOn w:val="4"/>
    <w:next w:val="1"/>
    <w:autoRedefine/>
    <w:qFormat/>
    <w:uiPriority w:val="39"/>
    <w:pPr>
      <w:outlineLvl w:val="9"/>
    </w:pPr>
  </w:style>
  <w:style w:type="paragraph" w:customStyle="1" w:styleId="280">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81">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28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3">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4">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5">
    <w:name w:val="_标题2"/>
    <w:basedOn w:val="5"/>
    <w:next w:val="184"/>
    <w:autoRedefine/>
    <w:qFormat/>
    <w:uiPriority w:val="0"/>
    <w:pPr>
      <w:tabs>
        <w:tab w:val="left" w:pos="860"/>
      </w:tabs>
      <w:spacing w:beforeLines="50" w:afterLines="50" w:line="413" w:lineRule="auto"/>
      <w:ind w:left="1418" w:hanging="1418"/>
    </w:pPr>
    <w:rPr>
      <w:rFonts w:ascii="Tahoma" w:hAnsi="Tahoma"/>
    </w:rPr>
  </w:style>
  <w:style w:type="paragraph" w:customStyle="1" w:styleId="286">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7">
    <w:name w:val="_图片"/>
    <w:basedOn w:val="1"/>
    <w:next w:val="184"/>
    <w:autoRedefine/>
    <w:qFormat/>
    <w:uiPriority w:val="0"/>
    <w:pPr>
      <w:spacing w:before="46" w:line="360" w:lineRule="auto"/>
      <w:jc w:val="center"/>
    </w:pPr>
    <w:rPr>
      <w:sz w:val="18"/>
    </w:rPr>
  </w:style>
  <w:style w:type="paragraph" w:customStyle="1" w:styleId="288">
    <w:name w:val="投标文件 正文首行缩进"/>
    <w:basedOn w:val="2"/>
    <w:autoRedefine/>
    <w:qFormat/>
    <w:uiPriority w:val="0"/>
    <w:pPr>
      <w:spacing w:after="220"/>
      <w:ind w:left="0" w:leftChars="0" w:firstLine="200"/>
    </w:pPr>
    <w:rPr>
      <w:rFonts w:ascii="Arial" w:hAnsi="Arial"/>
      <w:sz w:val="21"/>
    </w:rPr>
  </w:style>
  <w:style w:type="paragraph" w:customStyle="1" w:styleId="289">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90">
    <w:name w:val="图"/>
    <w:basedOn w:val="1"/>
    <w:next w:val="11"/>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91">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292">
    <w:name w:val="正文段"/>
    <w:basedOn w:val="1"/>
    <w:autoRedefine/>
    <w:qFormat/>
    <w:uiPriority w:val="0"/>
    <w:pPr>
      <w:widowControl/>
      <w:snapToGrid w:val="0"/>
      <w:spacing w:afterLines="50"/>
      <w:ind w:firstLine="200" w:firstLineChars="200"/>
    </w:pPr>
    <w:rPr>
      <w:kern w:val="0"/>
      <w:sz w:val="24"/>
      <w:szCs w:val="20"/>
    </w:rPr>
  </w:style>
  <w:style w:type="paragraph" w:customStyle="1" w:styleId="293">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4">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5">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6">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297">
    <w:name w:val="表格文字"/>
    <w:basedOn w:val="1"/>
    <w:autoRedefine/>
    <w:qFormat/>
    <w:uiPriority w:val="0"/>
    <w:pPr>
      <w:spacing w:beforeLines="25" w:afterLines="25"/>
      <w:jc w:val="left"/>
    </w:pPr>
    <w:rPr>
      <w:spacing w:val="10"/>
      <w:sz w:val="24"/>
    </w:rPr>
  </w:style>
  <w:style w:type="paragraph" w:customStyle="1" w:styleId="298">
    <w:name w:val="标题 22"/>
    <w:basedOn w:val="1"/>
    <w:autoRedefine/>
    <w:qFormat/>
    <w:uiPriority w:val="0"/>
    <w:pPr>
      <w:spacing w:afterLines="100" w:line="360" w:lineRule="auto"/>
    </w:pPr>
    <w:rPr>
      <w:sz w:val="24"/>
    </w:rPr>
  </w:style>
  <w:style w:type="paragraph" w:customStyle="1" w:styleId="299">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0">
    <w:name w:val="_表格标题"/>
    <w:basedOn w:val="235"/>
    <w:autoRedefine/>
    <w:qFormat/>
    <w:uiPriority w:val="0"/>
    <w:pPr>
      <w:spacing w:beforeLines="30" w:afterLines="30"/>
      <w:jc w:val="center"/>
    </w:pPr>
    <w:rPr>
      <w:b/>
      <w:sz w:val="24"/>
    </w:rPr>
  </w:style>
  <w:style w:type="paragraph" w:customStyle="1" w:styleId="301">
    <w:name w:val="Char Char Char Char Char Char Char Char Char Char Char Char Char Char Char Char"/>
    <w:basedOn w:val="1"/>
    <w:autoRedefine/>
    <w:qFormat/>
    <w:uiPriority w:val="0"/>
    <w:rPr>
      <w:sz w:val="24"/>
    </w:rPr>
  </w:style>
  <w:style w:type="paragraph" w:customStyle="1" w:styleId="302">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303">
    <w:name w:val="CM13"/>
    <w:basedOn w:val="58"/>
    <w:next w:val="58"/>
    <w:autoRedefine/>
    <w:qFormat/>
    <w:uiPriority w:val="0"/>
    <w:pPr>
      <w:spacing w:line="468" w:lineRule="atLeast"/>
    </w:pPr>
    <w:rPr>
      <w:rFonts w:ascii="宋体" w:hAnsi="Times New Roman"/>
      <w:color w:val="auto"/>
    </w:rPr>
  </w:style>
  <w:style w:type="paragraph" w:customStyle="1" w:styleId="304">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5">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6">
    <w:name w:val="标题 32"/>
    <w:basedOn w:val="1"/>
    <w:autoRedefine/>
    <w:qFormat/>
    <w:uiPriority w:val="0"/>
    <w:pPr>
      <w:spacing w:afterLines="100" w:line="360" w:lineRule="auto"/>
    </w:pPr>
    <w:rPr>
      <w:sz w:val="24"/>
    </w:rPr>
  </w:style>
  <w:style w:type="paragraph" w:customStyle="1" w:styleId="307">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308">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09">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10">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311">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2">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13">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4">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5">
    <w:name w:val="插图"/>
    <w:basedOn w:val="25"/>
    <w:autoRedefine/>
    <w:qFormat/>
    <w:uiPriority w:val="0"/>
    <w:pPr>
      <w:tabs>
        <w:tab w:val="left" w:pos="425"/>
      </w:tabs>
      <w:spacing w:beforeLines="0" w:afterLines="0" w:line="240" w:lineRule="auto"/>
      <w:jc w:val="center"/>
    </w:pPr>
    <w:rPr>
      <w:sz w:val="21"/>
      <w:szCs w:val="21"/>
    </w:rPr>
  </w:style>
  <w:style w:type="paragraph" w:customStyle="1" w:styleId="316">
    <w:name w:val="模板普通正文"/>
    <w:basedOn w:val="3"/>
    <w:autoRedefine/>
    <w:qFormat/>
    <w:uiPriority w:val="0"/>
    <w:pPr>
      <w:spacing w:beforeLines="50" w:line="360" w:lineRule="auto"/>
      <w:ind w:left="0" w:leftChars="0" w:firstLine="490" w:firstLineChars="175"/>
      <w:jc w:val="left"/>
    </w:pPr>
    <w:rPr>
      <w:sz w:val="24"/>
    </w:rPr>
  </w:style>
  <w:style w:type="paragraph" w:customStyle="1" w:styleId="317">
    <w:name w:val="p0"/>
    <w:basedOn w:val="1"/>
    <w:autoRedefine/>
    <w:qFormat/>
    <w:uiPriority w:val="0"/>
    <w:pPr>
      <w:widowControl/>
    </w:pPr>
    <w:rPr>
      <w:rFonts w:ascii="華康辦公用具篇" w:hAnsi="華康辦公用具篇" w:cs="宋体"/>
      <w:kern w:val="0"/>
      <w:szCs w:val="21"/>
    </w:rPr>
  </w:style>
  <w:style w:type="paragraph" w:customStyle="1" w:styleId="318">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9">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320">
    <w:name w:val="Char Char1 Char Char Char Char"/>
    <w:basedOn w:val="17"/>
    <w:autoRedefine/>
    <w:qFormat/>
    <w:uiPriority w:val="0"/>
    <w:pPr>
      <w:spacing w:afterLines="0"/>
      <w:ind w:firstLine="540" w:firstLineChars="0"/>
    </w:pPr>
    <w:rPr>
      <w:rFonts w:eastAsia="仿宋_GB2312"/>
      <w:b/>
      <w:sz w:val="36"/>
      <w:szCs w:val="36"/>
    </w:rPr>
  </w:style>
  <w:style w:type="paragraph" w:customStyle="1" w:styleId="321">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22">
    <w:name w:val="程序段"/>
    <w:basedOn w:val="1"/>
    <w:autoRedefine/>
    <w:qFormat/>
    <w:uiPriority w:val="0"/>
    <w:pPr>
      <w:ind w:firstLine="420" w:firstLineChars="200"/>
    </w:pPr>
    <w:rPr>
      <w:rFonts w:ascii="Courier" w:hAnsi="Courier"/>
    </w:rPr>
  </w:style>
  <w:style w:type="paragraph" w:customStyle="1" w:styleId="323">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4">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25">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6">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32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8">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329">
    <w:name w:val="列出段落3"/>
    <w:basedOn w:val="1"/>
    <w:autoRedefine/>
    <w:qFormat/>
    <w:uiPriority w:val="0"/>
    <w:pPr>
      <w:ind w:firstLine="420" w:firstLineChars="200"/>
    </w:pPr>
    <w:rPr>
      <w:rFonts w:ascii="Calibri" w:hAnsi="Calibri"/>
      <w:szCs w:val="22"/>
    </w:rPr>
  </w:style>
  <w:style w:type="paragraph" w:customStyle="1" w:styleId="330">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31">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2">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3">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33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5">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6">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7">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33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9">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0">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41">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2">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343">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4">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5">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6">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48">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9">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52">
    <w:name w:val="xl28"/>
    <w:basedOn w:val="1"/>
    <w:autoRedefine/>
    <w:qFormat/>
    <w:uiPriority w:val="0"/>
    <w:pPr>
      <w:widowControl/>
      <w:spacing w:before="100" w:beforeAutospacing="1" w:afterAutospacing="1"/>
      <w:jc w:val="center"/>
    </w:pPr>
    <w:rPr>
      <w:kern w:val="0"/>
      <w:sz w:val="28"/>
      <w:szCs w:val="28"/>
    </w:rPr>
  </w:style>
  <w:style w:type="paragraph" w:customStyle="1" w:styleId="353">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5">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6">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8">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0">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1">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5">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366">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367">
    <w:name w:val="table_1stline"/>
    <w:basedOn w:val="1"/>
    <w:autoRedefine/>
    <w:qFormat/>
    <w:uiPriority w:val="0"/>
    <w:pPr>
      <w:widowControl/>
      <w:spacing w:before="120"/>
      <w:jc w:val="left"/>
    </w:pPr>
    <w:rPr>
      <w:rFonts w:eastAsia="MS Mincho"/>
      <w:bCs/>
      <w:kern w:val="0"/>
      <w:sz w:val="20"/>
      <w:szCs w:val="20"/>
      <w:lang w:val="de-DE" w:eastAsia="de-DE"/>
    </w:rPr>
  </w:style>
  <w:style w:type="paragraph" w:customStyle="1" w:styleId="368">
    <w:name w:val="table_lines"/>
    <w:basedOn w:val="1"/>
    <w:autoRedefine/>
    <w:qFormat/>
    <w:uiPriority w:val="0"/>
    <w:pPr>
      <w:widowControl/>
      <w:jc w:val="left"/>
    </w:pPr>
    <w:rPr>
      <w:rFonts w:eastAsia="MS Mincho"/>
      <w:kern w:val="0"/>
      <w:sz w:val="20"/>
      <w:szCs w:val="20"/>
      <w:lang w:val="de-DE" w:eastAsia="de-DE"/>
    </w:rPr>
  </w:style>
  <w:style w:type="character" w:customStyle="1" w:styleId="369">
    <w:name w:val="3zw1"/>
    <w:autoRedefine/>
    <w:qFormat/>
    <w:uiPriority w:val="0"/>
    <w:rPr>
      <w:color w:val="000000"/>
      <w:sz w:val="21"/>
      <w:szCs w:val="21"/>
    </w:rPr>
  </w:style>
  <w:style w:type="character" w:customStyle="1" w:styleId="370">
    <w:name w:val="正文2 Char Char"/>
    <w:link w:val="371"/>
    <w:autoRedefine/>
    <w:qFormat/>
    <w:uiPriority w:val="0"/>
    <w:rPr>
      <w:sz w:val="24"/>
    </w:rPr>
  </w:style>
  <w:style w:type="paragraph" w:customStyle="1" w:styleId="371">
    <w:name w:val="正文2"/>
    <w:basedOn w:val="1"/>
    <w:link w:val="370"/>
    <w:autoRedefine/>
    <w:qFormat/>
    <w:uiPriority w:val="0"/>
    <w:pPr>
      <w:spacing w:before="156" w:line="360" w:lineRule="auto"/>
      <w:ind w:firstLine="510" w:firstLineChars="200"/>
    </w:pPr>
    <w:rPr>
      <w:rFonts w:ascii="Calibri" w:hAnsi="Calibri"/>
      <w:kern w:val="0"/>
      <w:sz w:val="24"/>
      <w:szCs w:val="20"/>
    </w:rPr>
  </w:style>
  <w:style w:type="character" w:customStyle="1" w:styleId="372">
    <w:name w:val="标题 字符"/>
    <w:link w:val="41"/>
    <w:autoRedefine/>
    <w:qFormat/>
    <w:uiPriority w:val="0"/>
    <w:rPr>
      <w:rFonts w:ascii="Arial" w:hAnsi="Arial" w:eastAsia="仿宋_GB2312"/>
      <w:b/>
      <w:bCs/>
      <w:sz w:val="36"/>
      <w:szCs w:val="32"/>
    </w:rPr>
  </w:style>
  <w:style w:type="character" w:customStyle="1" w:styleId="373">
    <w:name w:val="标题 Char1"/>
    <w:autoRedefine/>
    <w:qFormat/>
    <w:uiPriority w:val="10"/>
    <w:rPr>
      <w:rFonts w:ascii="Cambria" w:hAnsi="Cambria" w:eastAsia="宋体" w:cs="Times New Roman"/>
      <w:b/>
      <w:bCs/>
      <w:sz w:val="32"/>
      <w:szCs w:val="32"/>
    </w:rPr>
  </w:style>
  <w:style w:type="character" w:customStyle="1" w:styleId="374">
    <w:name w:val="font101"/>
    <w:autoRedefine/>
    <w:qFormat/>
    <w:uiPriority w:val="0"/>
    <w:rPr>
      <w:rFonts w:hint="default" w:ascii="Times New Roman" w:hAnsi="Times New Roman" w:cs="Times New Roman"/>
      <w:color w:val="000000"/>
      <w:sz w:val="21"/>
      <w:szCs w:val="21"/>
      <w:u w:val="none"/>
    </w:rPr>
  </w:style>
  <w:style w:type="character" w:customStyle="1" w:styleId="375">
    <w:name w:val="页脚 字符"/>
    <w:autoRedefine/>
    <w:qFormat/>
    <w:uiPriority w:val="99"/>
  </w:style>
  <w:style w:type="character" w:customStyle="1" w:styleId="376">
    <w:name w:val="param-name1"/>
    <w:autoRedefine/>
    <w:qFormat/>
    <w:uiPriority w:val="0"/>
    <w:rPr>
      <w:rFonts w:cs="Times New Roman"/>
      <w:b/>
    </w:rPr>
  </w:style>
  <w:style w:type="character" w:customStyle="1" w:styleId="377">
    <w:name w:val="font91"/>
    <w:autoRedefine/>
    <w:qFormat/>
    <w:uiPriority w:val="0"/>
    <w:rPr>
      <w:rFonts w:hint="eastAsia" w:ascii="宋体" w:hAnsi="宋体" w:eastAsia="宋体" w:cs="宋体"/>
      <w:color w:val="000000"/>
      <w:sz w:val="21"/>
      <w:szCs w:val="21"/>
      <w:u w:val="none"/>
    </w:rPr>
  </w:style>
  <w:style w:type="character" w:customStyle="1" w:styleId="378">
    <w:name w:val="font71"/>
    <w:autoRedefine/>
    <w:qFormat/>
    <w:uiPriority w:val="0"/>
    <w:rPr>
      <w:rFonts w:hint="eastAsia" w:ascii="宋体" w:hAnsi="宋体" w:eastAsia="宋体" w:cs="宋体"/>
      <w:color w:val="000000"/>
      <w:sz w:val="21"/>
      <w:szCs w:val="21"/>
      <w:u w:val="none"/>
    </w:rPr>
  </w:style>
  <w:style w:type="character" w:customStyle="1" w:styleId="379">
    <w:name w:val="15"/>
    <w:autoRedefine/>
    <w:qFormat/>
    <w:uiPriority w:val="0"/>
    <w:rPr>
      <w:rFonts w:hint="eastAsia" w:ascii="宋体" w:hAnsi="宋体" w:eastAsia="宋体" w:cs="宋体"/>
      <w:color w:val="000000"/>
      <w:sz w:val="22"/>
      <w:szCs w:val="22"/>
    </w:rPr>
  </w:style>
  <w:style w:type="character" w:customStyle="1" w:styleId="380">
    <w:name w:val="font21"/>
    <w:autoRedefine/>
    <w:qFormat/>
    <w:uiPriority w:val="0"/>
    <w:rPr>
      <w:rFonts w:ascii="Arial" w:hAnsi="Arial" w:cs="Arial"/>
      <w:color w:val="000000"/>
      <w:sz w:val="21"/>
      <w:szCs w:val="21"/>
      <w:u w:val="none"/>
    </w:rPr>
  </w:style>
  <w:style w:type="character" w:customStyle="1" w:styleId="381">
    <w:name w:val="font161"/>
    <w:autoRedefine/>
    <w:qFormat/>
    <w:uiPriority w:val="0"/>
    <w:rPr>
      <w:rFonts w:hint="default" w:ascii="Times New Roman" w:hAnsi="Times New Roman" w:cs="Times New Roman"/>
      <w:color w:val="000000"/>
      <w:sz w:val="18"/>
      <w:szCs w:val="18"/>
      <w:u w:val="none"/>
    </w:rPr>
  </w:style>
  <w:style w:type="character" w:customStyle="1" w:styleId="382">
    <w:name w:val="font41"/>
    <w:autoRedefine/>
    <w:qFormat/>
    <w:uiPriority w:val="0"/>
    <w:rPr>
      <w:rFonts w:hint="eastAsia" w:ascii="宋体" w:hAnsi="宋体" w:eastAsia="宋体" w:cs="宋体"/>
      <w:color w:val="FF0000"/>
      <w:sz w:val="28"/>
      <w:szCs w:val="28"/>
      <w:u w:val="none"/>
    </w:rPr>
  </w:style>
  <w:style w:type="character" w:customStyle="1" w:styleId="383">
    <w:name w:val="apple-converted-space"/>
    <w:basedOn w:val="46"/>
    <w:autoRedefine/>
    <w:qFormat/>
    <w:uiPriority w:val="0"/>
  </w:style>
  <w:style w:type="character" w:customStyle="1" w:styleId="384">
    <w:name w:val="font151"/>
    <w:autoRedefine/>
    <w:qFormat/>
    <w:uiPriority w:val="0"/>
    <w:rPr>
      <w:rFonts w:hint="default" w:ascii="Times New Roman" w:hAnsi="Times New Roman" w:cs="Times New Roman"/>
      <w:color w:val="000000"/>
      <w:sz w:val="21"/>
      <w:szCs w:val="21"/>
      <w:u w:val="none"/>
    </w:rPr>
  </w:style>
  <w:style w:type="paragraph" w:customStyle="1" w:styleId="38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87">
    <w:name w:val="Body Text First Indent 21"/>
    <w:basedOn w:val="1"/>
    <w:autoRedefine/>
    <w:qFormat/>
    <w:uiPriority w:val="0"/>
    <w:pPr>
      <w:ind w:left="420" w:leftChars="200" w:firstLine="420"/>
    </w:pPr>
    <w:rPr>
      <w:szCs w:val="21"/>
    </w:rPr>
  </w:style>
  <w:style w:type="paragraph" w:customStyle="1" w:styleId="388">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character" w:customStyle="1" w:styleId="389">
    <w:name w:val="fontstyle01"/>
    <w:autoRedefine/>
    <w:qFormat/>
    <w:uiPriority w:val="0"/>
    <w:rPr>
      <w:rFonts w:hint="eastAsia" w:ascii="宋体" w:hAnsi="宋体" w:eastAsia="宋体"/>
      <w:color w:val="000000"/>
      <w:sz w:val="22"/>
      <w:szCs w:val="22"/>
    </w:rPr>
  </w:style>
  <w:style w:type="paragraph" w:customStyle="1" w:styleId="390">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styleId="391">
    <w:name w:val="No Spacing"/>
    <w:link w:val="394"/>
    <w:autoRedefine/>
    <w:qFormat/>
    <w:uiPriority w:val="1"/>
    <w:pPr>
      <w:widowControl w:val="0"/>
      <w:spacing w:line="360" w:lineRule="auto"/>
      <w:jc w:val="center"/>
    </w:pPr>
    <w:rPr>
      <w:rFonts w:ascii="宋体" w:hAnsi="宋体" w:eastAsia="宋体" w:cstheme="minorBidi"/>
      <w:kern w:val="2"/>
      <w:sz w:val="21"/>
      <w:szCs w:val="24"/>
      <w:lang w:val="en-US" w:eastAsia="zh-CN" w:bidi="ar-SA"/>
    </w:rPr>
  </w:style>
  <w:style w:type="paragraph" w:customStyle="1" w:styleId="392">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393">
    <w:name w:val="D&amp;L"/>
    <w:basedOn w:val="30"/>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character" w:customStyle="1" w:styleId="394">
    <w:name w:val="无间隔 字符"/>
    <w:basedOn w:val="46"/>
    <w:link w:val="391"/>
    <w:autoRedefine/>
    <w:qFormat/>
    <w:uiPriority w:val="1"/>
    <w:rPr>
      <w:rFonts w:ascii="宋体" w:hAnsi="宋体" w:cstheme="minorBidi"/>
      <w:kern w:val="2"/>
      <w:sz w:val="21"/>
      <w:szCs w:val="24"/>
    </w:rPr>
  </w:style>
  <w:style w:type="paragraph" w:customStyle="1" w:styleId="395">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96">
    <w:name w:val="未处理的提及1"/>
    <w:basedOn w:val="46"/>
    <w:autoRedefine/>
    <w:semiHidden/>
    <w:unhideWhenUsed/>
    <w:qFormat/>
    <w:uiPriority w:val="99"/>
    <w:rPr>
      <w:color w:val="605E5C"/>
      <w:shd w:val="clear" w:color="auto" w:fill="E1DFDD"/>
    </w:rPr>
  </w:style>
  <w:style w:type="paragraph" w:customStyle="1" w:styleId="397">
    <w:name w:val="字元 字元 字元 字元 字元 字元 字元 字元 字元 字元 字元"/>
    <w:basedOn w:val="1"/>
    <w:autoRedefine/>
    <w:qFormat/>
    <w:uiPriority w:val="0"/>
    <w:pPr>
      <w:tabs>
        <w:tab w:val="left" w:pos="600"/>
      </w:tabs>
      <w:ind w:left="600" w:hanging="360"/>
    </w:pPr>
  </w:style>
  <w:style w:type="character" w:customStyle="1" w:styleId="398">
    <w:name w:val="正文缩进 字符1"/>
    <w:autoRedefine/>
    <w:qFormat/>
    <w:locked/>
    <w:uiPriority w:val="0"/>
    <w:rPr>
      <w:rFonts w:ascii="宋体" w:hAnsi="宋体" w:eastAsia="宋体" w:cs="宋体"/>
      <w:spacing w:val="14"/>
      <w:kern w:val="24"/>
      <w:sz w:val="24"/>
      <w:szCs w:val="24"/>
      <w:lang w:val="en-US" w:eastAsia="zh-CN"/>
    </w:rPr>
  </w:style>
  <w:style w:type="table" w:customStyle="1" w:styleId="399">
    <w:name w:val="Table Normal"/>
    <w:autoRedefine/>
    <w:semiHidden/>
    <w:unhideWhenUsed/>
    <w:qFormat/>
    <w:uiPriority w:val="0"/>
    <w:tblPr>
      <w:tblCellMar>
        <w:top w:w="0" w:type="dxa"/>
        <w:left w:w="0" w:type="dxa"/>
        <w:bottom w:w="0" w:type="dxa"/>
        <w:right w:w="0" w:type="dxa"/>
      </w:tblCellMar>
    </w:tblPr>
  </w:style>
  <w:style w:type="paragraph" w:customStyle="1" w:styleId="400">
    <w:name w:val="Table Text"/>
    <w:basedOn w:val="1"/>
    <w:autoRedefine/>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lang w:eastAsia="en-US"/>
    </w:rPr>
  </w:style>
  <w:style w:type="paragraph" w:customStyle="1" w:styleId="401">
    <w:name w:val="BodyText"/>
    <w:basedOn w:val="1"/>
    <w:qFormat/>
    <w:uiPriority w:val="99"/>
    <w:pPr>
      <w:spacing w:after="120" w:line="360" w:lineRule="atLeast"/>
      <w:textAlignment w:val="baseline"/>
    </w:pPr>
    <w:rPr>
      <w:rFonts w:ascii="Arial" w:hAnsi="Arial"/>
      <w:szCs w:val="21"/>
    </w:rPr>
  </w:style>
  <w:style w:type="paragraph" w:customStyle="1" w:styleId="402">
    <w:name w:val="样式4"/>
    <w:basedOn w:val="1"/>
    <w:qFormat/>
    <w:uiPriority w:val="0"/>
    <w:pPr>
      <w:spacing w:line="360" w:lineRule="auto"/>
      <w:jc w:val="center"/>
    </w:pPr>
    <w:rPr>
      <w:rFonts w:ascii="Calibri" w:hAnsi="Calibri"/>
      <w:sz w:val="20"/>
    </w:rPr>
  </w:style>
  <w:style w:type="paragraph" w:customStyle="1" w:styleId="403">
    <w:name w:val="0正文"/>
    <w:autoRedefine/>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404">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405">
    <w:name w:val="未处理的提及2"/>
    <w:basedOn w:val="46"/>
    <w:semiHidden/>
    <w:unhideWhenUsed/>
    <w:qFormat/>
    <w:uiPriority w:val="99"/>
    <w:rPr>
      <w:color w:val="605E5C"/>
      <w:shd w:val="clear" w:color="auto" w:fill="E1DFDD"/>
    </w:rPr>
  </w:style>
  <w:style w:type="paragraph" w:customStyle="1" w:styleId="406">
    <w:name w:val="列表段落1"/>
    <w:basedOn w:val="1"/>
    <w:qFormat/>
    <w:uiPriority w:val="0"/>
    <w:pPr>
      <w:ind w:firstLine="420" w:firstLineChars="200"/>
    </w:pPr>
    <w:rPr>
      <w:snapToGrid w:val="0"/>
      <w:kern w:val="0"/>
    </w:rPr>
  </w:style>
  <w:style w:type="paragraph" w:customStyle="1" w:styleId="407">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408">
    <w:name w:val="未处理的提及3"/>
    <w:basedOn w:val="46"/>
    <w:semiHidden/>
    <w:unhideWhenUsed/>
    <w:qFormat/>
    <w:uiPriority w:val="99"/>
    <w:rPr>
      <w:color w:val="605E5C"/>
      <w:shd w:val="clear" w:color="auto" w:fill="E1DFDD"/>
    </w:rPr>
  </w:style>
  <w:style w:type="character" w:customStyle="1" w:styleId="409">
    <w:name w:val="未处理的提及4"/>
    <w:basedOn w:val="46"/>
    <w:semiHidden/>
    <w:unhideWhenUsed/>
    <w:qFormat/>
    <w:uiPriority w:val="99"/>
    <w:rPr>
      <w:color w:val="605E5C"/>
      <w:shd w:val="clear" w:color="auto" w:fill="E1DFDD"/>
    </w:rPr>
  </w:style>
  <w:style w:type="paragraph" w:customStyle="1" w:styleId="410">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27108</Words>
  <Characters>28694</Characters>
  <Lines>374</Lines>
  <Paragraphs>105</Paragraphs>
  <TotalTime>33</TotalTime>
  <ScaleCrop>false</ScaleCrop>
  <LinksUpToDate>false</LinksUpToDate>
  <CharactersWithSpaces>30360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2024-07-26T03:28:00Z</dcterms:created>
  <dc:creator>Administrator</dc:creator>
  <cp:lastModifiedBy>z</cp:lastModifiedBy>
  <cp:lastPrinted>2022-08-30T02:37:00Z</cp:lastPrinted>
  <dcterms:modified xsi:type="dcterms:W3CDTF">2025-02-20T08:54:39Z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B814E3CF806141299BDC997950A103C6_13</vt:lpwstr>
  </property>
  <property fmtid="{D5CDD505-2E9C-101B-9397-08002B2CF9AE}" pid="4" name="GrammarlyDocumentId">
    <vt:lpwstr>49797ad86749e9b243bff53f34f5d2cffed9b732c047b10421d1d1d0b206a161</vt:lpwstr>
  </property>
  <property fmtid="{D5CDD505-2E9C-101B-9397-08002B2CF9AE}" pid="5" name="KSOTemplateDocerSaveRecord">
    <vt:lpwstr>eyJoZGlkIjoiNjBkYjc3MDc4OTBiNTc3ODc0MmMxYTQ0ZjY4YThlZDUiLCJ1c2VySWQiOiI5MDUyMzQyNDYifQ==</vt:lpwstr>
  </property>
</Properties>
</file>