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宋体" w:hAnsi="宋体"/>
          <w:b/>
          <w:bCs/>
          <w:color w:val="auto"/>
          <w:sz w:val="72"/>
          <w:szCs w:val="72"/>
          <w:highlight w:val="none"/>
        </w:rPr>
      </w:pPr>
      <w:bookmarkStart w:id="0" w:name="_Toc110177688"/>
    </w:p>
    <w:p>
      <w:pPr>
        <w:spacing w:after="240"/>
        <w:jc w:val="center"/>
        <w:rPr>
          <w:rFonts w:ascii="宋体" w:hAnsi="宋体"/>
          <w:b/>
          <w:bCs/>
          <w:color w:val="auto"/>
          <w:sz w:val="72"/>
          <w:szCs w:val="72"/>
          <w:highlight w:val="none"/>
        </w:rPr>
      </w:pPr>
      <w:r>
        <w:rPr>
          <w:rFonts w:ascii="宋体" w:hAnsi="宋体"/>
          <w:b/>
          <w:bCs/>
          <w:color w:val="auto"/>
          <w:sz w:val="72"/>
          <w:szCs w:val="72"/>
          <w:highlight w:val="none"/>
        </w:rPr>
        <w:t>公开招标文件</w:t>
      </w:r>
    </w:p>
    <w:p>
      <w:pPr>
        <w:spacing w:after="240"/>
        <w:jc w:val="center"/>
        <w:rPr>
          <w:rFonts w:ascii="宋体" w:hAnsi="宋体"/>
          <w:color w:val="auto"/>
          <w:sz w:val="32"/>
          <w:szCs w:val="32"/>
          <w:highlight w:val="none"/>
        </w:rPr>
      </w:pPr>
      <w:r>
        <w:rPr>
          <w:rFonts w:ascii="宋体" w:hAnsi="宋体"/>
          <w:color w:val="auto"/>
          <w:sz w:val="32"/>
          <w:szCs w:val="32"/>
          <w:highlight w:val="none"/>
        </w:rPr>
        <w:t>（政府采购电子交易项目）</w:t>
      </w: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pStyle w:val="388"/>
        <w:ind w:left="560" w:firstLine="480"/>
        <w:rPr>
          <w:rFonts w:ascii="宋体" w:hAnsi="宋体" w:eastAsia="宋体" w:cs="Times New Roman"/>
          <w:color w:val="auto"/>
          <w:highlight w:val="none"/>
        </w:rPr>
      </w:pPr>
    </w:p>
    <w:p>
      <w:pPr>
        <w:tabs>
          <w:tab w:val="left" w:pos="2410"/>
        </w:tabs>
        <w:autoSpaceDE w:val="0"/>
        <w:autoSpaceDN w:val="0"/>
        <w:adjustRightInd w:val="0"/>
        <w:snapToGrid w:val="0"/>
        <w:spacing w:line="360" w:lineRule="auto"/>
        <w:rPr>
          <w:rFonts w:ascii="宋体" w:hAnsi="宋体"/>
          <w:b/>
          <w:color w:val="auto"/>
          <w:spacing w:val="20"/>
          <w:kern w:val="0"/>
          <w:sz w:val="32"/>
          <w:szCs w:val="32"/>
          <w:highlight w:val="none"/>
        </w:rPr>
      </w:pPr>
    </w:p>
    <w:p>
      <w:pPr>
        <w:tabs>
          <w:tab w:val="left" w:pos="2410"/>
        </w:tabs>
        <w:autoSpaceDE w:val="0"/>
        <w:autoSpaceDN w:val="0"/>
        <w:adjustRightInd w:val="0"/>
        <w:snapToGrid w:val="0"/>
        <w:spacing w:after="120" w:afterLines="50" w:line="480" w:lineRule="auto"/>
        <w:ind w:firstLine="643" w:firstLineChars="200"/>
        <w:rPr>
          <w:rFonts w:ascii="宋体" w:hAnsi="宋体"/>
          <w:b/>
          <w:color w:val="auto"/>
          <w:kern w:val="0"/>
          <w:sz w:val="32"/>
          <w:szCs w:val="32"/>
          <w:highlight w:val="none"/>
          <w:u w:val="single"/>
        </w:rPr>
      </w:pPr>
      <w:r>
        <w:rPr>
          <w:rFonts w:ascii="宋体" w:hAnsi="宋体"/>
          <w:b/>
          <w:color w:val="auto"/>
          <w:kern w:val="0"/>
          <w:sz w:val="32"/>
          <w:szCs w:val="32"/>
          <w:highlight w:val="none"/>
        </w:rPr>
        <w:t>项目名称：</w:t>
      </w:r>
      <w:r>
        <w:rPr>
          <w:rFonts w:ascii="宋体" w:hAnsi="宋体"/>
          <w:b/>
          <w:color w:val="auto"/>
          <w:kern w:val="0"/>
          <w:sz w:val="32"/>
          <w:szCs w:val="32"/>
          <w:highlight w:val="none"/>
          <w:u w:val="single"/>
        </w:rPr>
        <w:t>2024年宁波市食品安全抽检监测项目</w:t>
      </w:r>
    </w:p>
    <w:p>
      <w:pPr>
        <w:tabs>
          <w:tab w:val="left" w:pos="2410"/>
        </w:tabs>
        <w:autoSpaceDE w:val="0"/>
        <w:autoSpaceDN w:val="0"/>
        <w:adjustRightInd w:val="0"/>
        <w:snapToGrid w:val="0"/>
        <w:spacing w:after="120" w:afterLines="50" w:line="480" w:lineRule="auto"/>
        <w:ind w:firstLine="643" w:firstLineChars="200"/>
        <w:rPr>
          <w:rFonts w:ascii="宋体" w:hAnsi="宋体"/>
          <w:b/>
          <w:color w:val="auto"/>
          <w:kern w:val="0"/>
          <w:sz w:val="32"/>
          <w:szCs w:val="32"/>
          <w:highlight w:val="none"/>
        </w:rPr>
      </w:pPr>
      <w:r>
        <w:rPr>
          <w:rFonts w:ascii="宋体" w:hAnsi="宋体"/>
          <w:b/>
          <w:color w:val="auto"/>
          <w:kern w:val="0"/>
          <w:sz w:val="32"/>
          <w:szCs w:val="32"/>
          <w:highlight w:val="none"/>
        </w:rPr>
        <w:t>项目编号：</w:t>
      </w:r>
      <w:r>
        <w:rPr>
          <w:rFonts w:ascii="宋体" w:hAnsi="宋体"/>
          <w:b/>
          <w:color w:val="auto"/>
          <w:kern w:val="0"/>
          <w:sz w:val="32"/>
          <w:szCs w:val="32"/>
          <w:highlight w:val="none"/>
          <w:u w:val="single"/>
        </w:rPr>
        <w:t>NBMC-20242099G</w:t>
      </w:r>
    </w:p>
    <w:p>
      <w:pPr>
        <w:tabs>
          <w:tab w:val="left" w:pos="2410"/>
        </w:tabs>
        <w:autoSpaceDE w:val="0"/>
        <w:autoSpaceDN w:val="0"/>
        <w:adjustRightInd w:val="0"/>
        <w:snapToGrid w:val="0"/>
        <w:spacing w:after="120" w:afterLines="50" w:line="480" w:lineRule="auto"/>
        <w:ind w:firstLine="643" w:firstLineChars="200"/>
        <w:rPr>
          <w:rFonts w:ascii="宋体" w:hAnsi="宋体"/>
          <w:b/>
          <w:color w:val="auto"/>
          <w:kern w:val="0"/>
          <w:sz w:val="32"/>
          <w:szCs w:val="32"/>
          <w:highlight w:val="none"/>
          <w:u w:val="single"/>
        </w:rPr>
      </w:pPr>
      <w:r>
        <w:rPr>
          <w:rFonts w:ascii="宋体" w:hAnsi="宋体"/>
          <w:b/>
          <w:color w:val="auto"/>
          <w:kern w:val="0"/>
          <w:sz w:val="32"/>
          <w:szCs w:val="32"/>
          <w:highlight w:val="none"/>
        </w:rPr>
        <w:t>采 购 人：</w:t>
      </w:r>
      <w:r>
        <w:rPr>
          <w:rFonts w:ascii="宋体" w:hAnsi="宋体"/>
          <w:b/>
          <w:color w:val="auto"/>
          <w:kern w:val="0"/>
          <w:sz w:val="32"/>
          <w:szCs w:val="32"/>
          <w:highlight w:val="none"/>
          <w:u w:val="single"/>
        </w:rPr>
        <w:t>宁波市市场监督管理局</w:t>
      </w:r>
    </w:p>
    <w:p>
      <w:pPr>
        <w:tabs>
          <w:tab w:val="left" w:pos="2410"/>
        </w:tabs>
        <w:autoSpaceDE w:val="0"/>
        <w:autoSpaceDN w:val="0"/>
        <w:adjustRightInd w:val="0"/>
        <w:snapToGrid w:val="0"/>
        <w:spacing w:after="120" w:afterLines="50" w:line="480" w:lineRule="auto"/>
        <w:ind w:firstLine="643" w:firstLineChars="200"/>
        <w:rPr>
          <w:rFonts w:ascii="宋体" w:hAnsi="宋体"/>
          <w:b/>
          <w:color w:val="auto"/>
          <w:kern w:val="0"/>
          <w:sz w:val="32"/>
          <w:szCs w:val="32"/>
          <w:highlight w:val="none"/>
        </w:rPr>
      </w:pPr>
      <w:r>
        <w:rPr>
          <w:rFonts w:ascii="宋体" w:hAnsi="宋体"/>
          <w:b/>
          <w:color w:val="auto"/>
          <w:kern w:val="0"/>
          <w:sz w:val="32"/>
          <w:szCs w:val="32"/>
          <w:highlight w:val="none"/>
        </w:rPr>
        <w:t>采购代理机构：</w:t>
      </w:r>
      <w:r>
        <w:rPr>
          <w:rFonts w:ascii="宋体" w:hAnsi="宋体"/>
          <w:b/>
          <w:color w:val="auto"/>
          <w:kern w:val="0"/>
          <w:sz w:val="32"/>
          <w:szCs w:val="32"/>
          <w:highlight w:val="none"/>
          <w:u w:val="single"/>
        </w:rPr>
        <w:t>宁波名诚招标代理有限公司</w:t>
      </w:r>
    </w:p>
    <w:p>
      <w:pPr>
        <w:pStyle w:val="388"/>
        <w:ind w:left="560" w:firstLine="480"/>
        <w:rPr>
          <w:rFonts w:ascii="宋体" w:hAnsi="宋体" w:eastAsia="宋体" w:cs="Times New Roman"/>
          <w:color w:val="auto"/>
          <w:highlight w:val="none"/>
        </w:rPr>
      </w:pPr>
    </w:p>
    <w:p>
      <w:pPr>
        <w:pStyle w:val="24"/>
        <w:rPr>
          <w:color w:val="auto"/>
          <w:highlight w:val="none"/>
        </w:rPr>
      </w:pPr>
    </w:p>
    <w:p>
      <w:pPr>
        <w:pStyle w:val="24"/>
        <w:rPr>
          <w:color w:val="auto"/>
          <w:highlight w:val="none"/>
        </w:rPr>
        <w:sectPr>
          <w:headerReference r:id="rId3" w:type="default"/>
          <w:pgSz w:w="11906" w:h="16838"/>
          <w:pgMar w:top="1440" w:right="1440" w:bottom="1440" w:left="1610" w:header="851" w:footer="851" w:gutter="0"/>
          <w:cols w:space="720" w:num="1"/>
          <w:titlePg/>
          <w:docGrid w:linePitch="312" w:charSpace="0"/>
        </w:sectPr>
      </w:pPr>
    </w:p>
    <w:sdt>
      <w:sdtPr>
        <w:rPr>
          <w:rFonts w:ascii="宋体" w:hAnsi="宋体"/>
          <w:b w:val="0"/>
          <w:bCs w:val="0"/>
          <w:color w:val="auto"/>
          <w:kern w:val="2"/>
          <w:sz w:val="21"/>
          <w:szCs w:val="24"/>
          <w:highlight w:val="none"/>
          <w:lang w:val="zh-CN"/>
        </w:rPr>
        <w:id w:val="1"/>
        <w:docPartObj>
          <w:docPartGallery w:val="Table of Contents"/>
          <w:docPartUnique/>
        </w:docPartObj>
      </w:sdtPr>
      <w:sdtEndPr>
        <w:rPr>
          <w:rFonts w:ascii="宋体" w:hAnsi="宋体"/>
          <w:b w:val="0"/>
          <w:bCs w:val="0"/>
          <w:color w:val="auto"/>
          <w:kern w:val="2"/>
          <w:sz w:val="21"/>
          <w:szCs w:val="24"/>
          <w:highlight w:val="none"/>
          <w:lang w:val="zh-CN"/>
        </w:rPr>
      </w:sdtEndPr>
      <w:sdtContent>
        <w:p>
          <w:pPr>
            <w:pStyle w:val="272"/>
            <w:spacing w:before="0" w:after="0"/>
            <w:rPr>
              <w:rFonts w:ascii="宋体" w:hAnsi="宋体"/>
              <w:color w:val="auto"/>
              <w:highlight w:val="none"/>
            </w:rPr>
          </w:pPr>
          <w:r>
            <w:rPr>
              <w:rFonts w:ascii="宋体" w:hAnsi="宋体"/>
              <w:color w:val="auto"/>
              <w:highlight w:val="none"/>
              <w:lang w:val="zh-CN"/>
            </w:rPr>
            <w:t>目录</w:t>
          </w:r>
        </w:p>
        <w:p>
          <w:pPr>
            <w:pStyle w:val="30"/>
            <w:rPr>
              <w:color w:val="auto"/>
              <w:szCs w:val="22"/>
              <w:highlight w:val="none"/>
            </w:rPr>
          </w:pPr>
          <w:r>
            <w:rPr>
              <w:color w:val="auto"/>
              <w:sz w:val="24"/>
              <w:highlight w:val="none"/>
            </w:rPr>
            <w:fldChar w:fldCharType="begin"/>
          </w:r>
          <w:r>
            <w:rPr>
              <w:color w:val="auto"/>
              <w:sz w:val="24"/>
              <w:highlight w:val="none"/>
            </w:rPr>
            <w:instrText xml:space="preserve"> TOC \o "1-3" \h \z \u </w:instrText>
          </w:r>
          <w:r>
            <w:rPr>
              <w:color w:val="auto"/>
              <w:sz w:val="24"/>
              <w:highlight w:val="none"/>
            </w:rPr>
            <w:fldChar w:fldCharType="separate"/>
          </w:r>
          <w:r>
            <w:rPr>
              <w:color w:val="auto"/>
              <w:highlight w:val="none"/>
            </w:rPr>
            <w:fldChar w:fldCharType="begin"/>
          </w:r>
          <w:r>
            <w:rPr>
              <w:color w:val="auto"/>
              <w:highlight w:val="none"/>
            </w:rPr>
            <w:instrText xml:space="preserve"> HYPERLINK \l "_Toc110177688" </w:instrText>
          </w:r>
          <w:r>
            <w:rPr>
              <w:color w:val="auto"/>
              <w:highlight w:val="none"/>
            </w:rPr>
            <w:fldChar w:fldCharType="separate"/>
          </w:r>
          <w:r>
            <w:rPr>
              <w:rStyle w:val="50"/>
              <w:rFonts w:ascii="宋体" w:hAnsi="宋体"/>
              <w:color w:val="auto"/>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_Toc110177688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0"/>
            <w:rPr>
              <w:color w:val="auto"/>
              <w:szCs w:val="22"/>
              <w:highlight w:val="none"/>
            </w:rPr>
          </w:pPr>
          <w:r>
            <w:rPr>
              <w:color w:val="auto"/>
              <w:highlight w:val="none"/>
            </w:rPr>
            <w:fldChar w:fldCharType="begin"/>
          </w:r>
          <w:r>
            <w:rPr>
              <w:color w:val="auto"/>
              <w:highlight w:val="none"/>
            </w:rPr>
            <w:instrText xml:space="preserve"> HYPERLINK \l "_Toc110177689" </w:instrText>
          </w:r>
          <w:r>
            <w:rPr>
              <w:color w:val="auto"/>
              <w:highlight w:val="none"/>
            </w:rPr>
            <w:fldChar w:fldCharType="separate"/>
          </w:r>
          <w:r>
            <w:rPr>
              <w:rStyle w:val="50"/>
              <w:rFonts w:ascii="宋体" w:hAnsi="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_Toc110177689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0"/>
            <w:rPr>
              <w:color w:val="auto"/>
              <w:szCs w:val="22"/>
              <w:highlight w:val="none"/>
            </w:rPr>
          </w:pPr>
          <w:r>
            <w:rPr>
              <w:color w:val="auto"/>
              <w:highlight w:val="none"/>
            </w:rPr>
            <w:fldChar w:fldCharType="begin"/>
          </w:r>
          <w:r>
            <w:rPr>
              <w:color w:val="auto"/>
              <w:highlight w:val="none"/>
            </w:rPr>
            <w:instrText xml:space="preserve"> HYPERLINK \l "_Toc110177690" </w:instrText>
          </w:r>
          <w:r>
            <w:rPr>
              <w:color w:val="auto"/>
              <w:highlight w:val="none"/>
            </w:rPr>
            <w:fldChar w:fldCharType="separate"/>
          </w:r>
          <w:r>
            <w:rPr>
              <w:rStyle w:val="50"/>
              <w:rFonts w:ascii="宋体" w:hAnsi="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_Toc110177690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"_Toc110177691" </w:instrText>
          </w:r>
          <w:r>
            <w:rPr>
              <w:color w:val="auto"/>
              <w:highlight w:val="none"/>
            </w:rPr>
            <w:fldChar w:fldCharType="separate"/>
          </w:r>
          <w:r>
            <w:rPr>
              <w:rStyle w:val="50"/>
              <w:rFonts w:ascii="宋体" w:hAnsi="宋体"/>
              <w:color w:val="auto"/>
              <w:highlight w:val="none"/>
            </w:rPr>
            <w:t>一、总则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_Toc110177691 \h </w:instrText>
          </w:r>
          <w:r>
            <w:rPr>
              <w:rFonts w:ascii="宋体" w:hAnsi="宋体"/>
              <w:color w:val="auto"/>
              <w:highlight w:val="none"/>
            </w:rPr>
            <w:fldChar w:fldCharType="separate"/>
          </w:r>
          <w:r>
            <w:rPr>
              <w:rFonts w:ascii="宋体" w:hAnsi="宋体"/>
              <w:color w:val="auto"/>
              <w:highlight w:val="none"/>
            </w:rPr>
            <w:t>44</w:t>
          </w:r>
          <w:r>
            <w:rPr>
              <w:rFonts w:ascii="宋体" w:hAnsi="宋体"/>
              <w:color w:val="auto"/>
              <w:highlight w:val="none"/>
            </w:rPr>
            <w:fldChar w:fldCharType="end"/>
          </w:r>
          <w:r>
            <w:rPr>
              <w:rFonts w:ascii="宋体" w:hAnsi="宋体"/>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"_Toc110177692" </w:instrText>
          </w:r>
          <w:r>
            <w:rPr>
              <w:color w:val="auto"/>
              <w:highlight w:val="none"/>
            </w:rPr>
            <w:fldChar w:fldCharType="separate"/>
          </w:r>
          <w:r>
            <w:rPr>
              <w:rStyle w:val="50"/>
              <w:rFonts w:ascii="宋体" w:hAnsi="宋体"/>
              <w:color w:val="auto"/>
              <w:highlight w:val="none"/>
            </w:rPr>
            <w:t>二、招标文件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_Toc110177692 \h </w:instrText>
          </w:r>
          <w:r>
            <w:rPr>
              <w:rFonts w:ascii="宋体" w:hAnsi="宋体"/>
              <w:color w:val="auto"/>
              <w:highlight w:val="none"/>
            </w:rPr>
            <w:fldChar w:fldCharType="separate"/>
          </w:r>
          <w:r>
            <w:rPr>
              <w:rFonts w:ascii="宋体" w:hAnsi="宋体"/>
              <w:color w:val="auto"/>
              <w:highlight w:val="none"/>
            </w:rPr>
            <w:t>47</w:t>
          </w:r>
          <w:r>
            <w:rPr>
              <w:rFonts w:ascii="宋体" w:hAnsi="宋体"/>
              <w:color w:val="auto"/>
              <w:highlight w:val="none"/>
            </w:rPr>
            <w:fldChar w:fldCharType="end"/>
          </w:r>
          <w:r>
            <w:rPr>
              <w:rFonts w:ascii="宋体" w:hAnsi="宋体"/>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"_Toc110177693" </w:instrText>
          </w:r>
          <w:r>
            <w:rPr>
              <w:color w:val="auto"/>
              <w:highlight w:val="none"/>
            </w:rPr>
            <w:fldChar w:fldCharType="separate"/>
          </w:r>
          <w:r>
            <w:rPr>
              <w:rStyle w:val="50"/>
              <w:rFonts w:ascii="宋体" w:hAnsi="宋体"/>
              <w:color w:val="auto"/>
              <w:highlight w:val="none"/>
            </w:rPr>
            <w:t>三、投标文件的编制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_Toc110177693 \h </w:instrText>
          </w:r>
          <w:r>
            <w:rPr>
              <w:rFonts w:ascii="宋体" w:hAnsi="宋体"/>
              <w:color w:val="auto"/>
              <w:highlight w:val="none"/>
            </w:rPr>
            <w:fldChar w:fldCharType="separate"/>
          </w:r>
          <w:r>
            <w:rPr>
              <w:rFonts w:ascii="宋体" w:hAnsi="宋体"/>
              <w:color w:val="auto"/>
              <w:highlight w:val="none"/>
            </w:rPr>
            <w:t>48</w:t>
          </w:r>
          <w:r>
            <w:rPr>
              <w:rFonts w:ascii="宋体" w:hAnsi="宋体"/>
              <w:color w:val="auto"/>
              <w:highlight w:val="none"/>
            </w:rPr>
            <w:fldChar w:fldCharType="end"/>
          </w:r>
          <w:r>
            <w:rPr>
              <w:rFonts w:ascii="宋体" w:hAnsi="宋体"/>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"_Toc110177694" </w:instrText>
          </w:r>
          <w:r>
            <w:rPr>
              <w:color w:val="auto"/>
              <w:highlight w:val="none"/>
            </w:rPr>
            <w:fldChar w:fldCharType="separate"/>
          </w:r>
          <w:r>
            <w:rPr>
              <w:rStyle w:val="50"/>
              <w:rFonts w:ascii="宋体" w:hAnsi="宋体"/>
              <w:color w:val="auto"/>
              <w:highlight w:val="none"/>
            </w:rPr>
            <w:t>四、投标文件的提交</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_Toc110177694 \h </w:instrText>
          </w:r>
          <w:r>
            <w:rPr>
              <w:rFonts w:ascii="宋体" w:hAnsi="宋体"/>
              <w:color w:val="auto"/>
              <w:highlight w:val="none"/>
            </w:rPr>
            <w:fldChar w:fldCharType="separate"/>
          </w:r>
          <w:r>
            <w:rPr>
              <w:rFonts w:ascii="宋体" w:hAnsi="宋体"/>
              <w:color w:val="auto"/>
              <w:highlight w:val="none"/>
            </w:rPr>
            <w:t>50</w:t>
          </w:r>
          <w:r>
            <w:rPr>
              <w:rFonts w:ascii="宋体" w:hAnsi="宋体"/>
              <w:color w:val="auto"/>
              <w:highlight w:val="none"/>
            </w:rPr>
            <w:fldChar w:fldCharType="end"/>
          </w:r>
          <w:r>
            <w:rPr>
              <w:rFonts w:ascii="宋体" w:hAnsi="宋体"/>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"_Toc110177695" </w:instrText>
          </w:r>
          <w:r>
            <w:rPr>
              <w:color w:val="auto"/>
              <w:highlight w:val="none"/>
            </w:rPr>
            <w:fldChar w:fldCharType="separate"/>
          </w:r>
          <w:r>
            <w:rPr>
              <w:rStyle w:val="50"/>
              <w:rFonts w:ascii="宋体" w:hAnsi="宋体"/>
              <w:color w:val="auto"/>
              <w:highlight w:val="none"/>
            </w:rPr>
            <w:t>五、开标与评标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_Toc110177695 \h </w:instrText>
          </w:r>
          <w:r>
            <w:rPr>
              <w:rFonts w:ascii="宋体" w:hAnsi="宋体"/>
              <w:color w:val="auto"/>
              <w:highlight w:val="none"/>
            </w:rPr>
            <w:fldChar w:fldCharType="separate"/>
          </w:r>
          <w:r>
            <w:rPr>
              <w:rFonts w:ascii="宋体" w:hAnsi="宋体"/>
              <w:color w:val="auto"/>
              <w:highlight w:val="none"/>
            </w:rPr>
            <w:t>50</w:t>
          </w:r>
          <w:r>
            <w:rPr>
              <w:rFonts w:ascii="宋体" w:hAnsi="宋体"/>
              <w:color w:val="auto"/>
              <w:highlight w:val="none"/>
            </w:rPr>
            <w:fldChar w:fldCharType="end"/>
          </w:r>
          <w:r>
            <w:rPr>
              <w:rFonts w:ascii="宋体" w:hAnsi="宋体"/>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"_Toc110177696" </w:instrText>
          </w:r>
          <w:r>
            <w:rPr>
              <w:color w:val="auto"/>
              <w:highlight w:val="none"/>
            </w:rPr>
            <w:fldChar w:fldCharType="separate"/>
          </w:r>
          <w:r>
            <w:rPr>
              <w:rStyle w:val="50"/>
              <w:rFonts w:ascii="宋体" w:hAnsi="宋体"/>
              <w:color w:val="auto"/>
              <w:highlight w:val="none"/>
            </w:rPr>
            <w:t>六、授予合同</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_Toc110177696 \h </w:instrText>
          </w:r>
          <w:r>
            <w:rPr>
              <w:rFonts w:ascii="宋体" w:hAnsi="宋体"/>
              <w:color w:val="auto"/>
              <w:highlight w:val="none"/>
            </w:rPr>
            <w:fldChar w:fldCharType="separate"/>
          </w:r>
          <w:r>
            <w:rPr>
              <w:rFonts w:ascii="宋体" w:hAnsi="宋体"/>
              <w:color w:val="auto"/>
              <w:highlight w:val="none"/>
            </w:rPr>
            <w:t>53</w:t>
          </w:r>
          <w:r>
            <w:rPr>
              <w:rFonts w:ascii="宋体" w:hAnsi="宋体"/>
              <w:color w:val="auto"/>
              <w:highlight w:val="none"/>
            </w:rPr>
            <w:fldChar w:fldCharType="end"/>
          </w:r>
          <w:r>
            <w:rPr>
              <w:rFonts w:ascii="宋体" w:hAnsi="宋体"/>
              <w:color w:val="auto"/>
              <w:highlight w:val="none"/>
            </w:rPr>
            <w:fldChar w:fldCharType="end"/>
          </w:r>
        </w:p>
        <w:p>
          <w:pPr>
            <w:pStyle w:val="30"/>
            <w:rPr>
              <w:color w:val="auto"/>
              <w:szCs w:val="22"/>
              <w:highlight w:val="none"/>
            </w:rPr>
          </w:pPr>
          <w:r>
            <w:rPr>
              <w:color w:val="auto"/>
              <w:highlight w:val="none"/>
            </w:rPr>
            <w:fldChar w:fldCharType="begin"/>
          </w:r>
          <w:r>
            <w:rPr>
              <w:color w:val="auto"/>
              <w:highlight w:val="none"/>
            </w:rPr>
            <w:instrText xml:space="preserve"> HYPERLINK \l "_Toc110177697" </w:instrText>
          </w:r>
          <w:r>
            <w:rPr>
              <w:color w:val="auto"/>
              <w:highlight w:val="none"/>
            </w:rPr>
            <w:fldChar w:fldCharType="separate"/>
          </w:r>
          <w:r>
            <w:rPr>
              <w:rStyle w:val="50"/>
              <w:rFonts w:ascii="宋体" w:hAnsi="宋体"/>
              <w:color w:val="auto"/>
              <w:highlight w:val="none"/>
            </w:rPr>
            <w:t>第四章  评标方法和标准</w:t>
          </w:r>
          <w:r>
            <w:rPr>
              <w:color w:val="auto"/>
              <w:highlight w:val="none"/>
            </w:rPr>
            <w:tab/>
          </w:r>
          <w:r>
            <w:rPr>
              <w:color w:val="auto"/>
              <w:highlight w:val="none"/>
            </w:rPr>
            <w:fldChar w:fldCharType="begin"/>
          </w:r>
          <w:r>
            <w:rPr>
              <w:color w:val="auto"/>
              <w:highlight w:val="none"/>
            </w:rPr>
            <w:instrText xml:space="preserve"> PAGEREF _Toc110177697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"_Toc110177698" </w:instrText>
          </w:r>
          <w:r>
            <w:rPr>
              <w:color w:val="auto"/>
              <w:highlight w:val="none"/>
            </w:rPr>
            <w:fldChar w:fldCharType="separate"/>
          </w:r>
          <w:r>
            <w:rPr>
              <w:rStyle w:val="50"/>
              <w:rFonts w:ascii="宋体" w:hAnsi="宋体"/>
              <w:color w:val="auto"/>
              <w:highlight w:val="none"/>
            </w:rPr>
            <w:t>一、总则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_Toc110177698 \h </w:instrText>
          </w:r>
          <w:r>
            <w:rPr>
              <w:rFonts w:ascii="宋体" w:hAnsi="宋体"/>
              <w:color w:val="auto"/>
              <w:highlight w:val="none"/>
            </w:rPr>
            <w:fldChar w:fldCharType="separate"/>
          </w:r>
          <w:r>
            <w:rPr>
              <w:rFonts w:ascii="宋体" w:hAnsi="宋体"/>
              <w:color w:val="auto"/>
              <w:highlight w:val="none"/>
            </w:rPr>
            <w:t>55</w:t>
          </w:r>
          <w:r>
            <w:rPr>
              <w:rFonts w:ascii="宋体" w:hAnsi="宋体"/>
              <w:color w:val="auto"/>
              <w:highlight w:val="none"/>
            </w:rPr>
            <w:fldChar w:fldCharType="end"/>
          </w:r>
          <w:r>
            <w:rPr>
              <w:rFonts w:ascii="宋体" w:hAnsi="宋体"/>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"_Toc110177699" </w:instrText>
          </w:r>
          <w:r>
            <w:rPr>
              <w:color w:val="auto"/>
              <w:highlight w:val="none"/>
            </w:rPr>
            <w:fldChar w:fldCharType="separate"/>
          </w:r>
          <w:r>
            <w:rPr>
              <w:rStyle w:val="50"/>
              <w:rFonts w:ascii="宋体" w:hAnsi="宋体"/>
              <w:color w:val="auto"/>
              <w:highlight w:val="none"/>
            </w:rPr>
            <w:t>二、评标方法</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_Toc110177699 \h </w:instrText>
          </w:r>
          <w:r>
            <w:rPr>
              <w:rFonts w:ascii="宋体" w:hAnsi="宋体"/>
              <w:color w:val="auto"/>
              <w:highlight w:val="none"/>
            </w:rPr>
            <w:fldChar w:fldCharType="separate"/>
          </w:r>
          <w:r>
            <w:rPr>
              <w:rFonts w:ascii="宋体" w:hAnsi="宋体"/>
              <w:color w:val="auto"/>
              <w:highlight w:val="none"/>
            </w:rPr>
            <w:t>55</w:t>
          </w:r>
          <w:r>
            <w:rPr>
              <w:rFonts w:ascii="宋体" w:hAnsi="宋体"/>
              <w:color w:val="auto"/>
              <w:highlight w:val="none"/>
            </w:rPr>
            <w:fldChar w:fldCharType="end"/>
          </w:r>
          <w:r>
            <w:rPr>
              <w:rFonts w:ascii="宋体" w:hAnsi="宋体"/>
              <w:color w:val="auto"/>
              <w:highlight w:val="none"/>
            </w:rPr>
            <w:fldChar w:fldCharType="end"/>
          </w:r>
        </w:p>
        <w:p>
          <w:pPr>
            <w:pStyle w:val="35"/>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"_Toc110177700" </w:instrText>
          </w:r>
          <w:r>
            <w:rPr>
              <w:color w:val="auto"/>
              <w:highlight w:val="none"/>
            </w:rPr>
            <w:fldChar w:fldCharType="separate"/>
          </w:r>
          <w:r>
            <w:rPr>
              <w:rStyle w:val="50"/>
              <w:rFonts w:ascii="宋体" w:hAnsi="宋体"/>
              <w:color w:val="auto"/>
              <w:highlight w:val="none"/>
            </w:rPr>
            <w:t>三、评审程序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_Toc110177700 \h </w:instrText>
          </w:r>
          <w:r>
            <w:rPr>
              <w:rFonts w:ascii="宋体" w:hAnsi="宋体"/>
              <w:color w:val="auto"/>
              <w:highlight w:val="none"/>
            </w:rPr>
            <w:fldChar w:fldCharType="separate"/>
          </w:r>
          <w:r>
            <w:rPr>
              <w:rFonts w:ascii="宋体" w:hAnsi="宋体"/>
              <w:color w:val="auto"/>
              <w:highlight w:val="none"/>
            </w:rPr>
            <w:t>55</w:t>
          </w:r>
          <w:r>
            <w:rPr>
              <w:rFonts w:ascii="宋体" w:hAnsi="宋体"/>
              <w:color w:val="auto"/>
              <w:highlight w:val="none"/>
            </w:rPr>
            <w:fldChar w:fldCharType="end"/>
          </w:r>
          <w:r>
            <w:rPr>
              <w:rFonts w:ascii="宋体" w:hAnsi="宋体"/>
              <w:color w:val="auto"/>
              <w:highlight w:val="none"/>
            </w:rPr>
            <w:fldChar w:fldCharType="end"/>
          </w:r>
        </w:p>
        <w:p>
          <w:pPr>
            <w:pStyle w:val="30"/>
            <w:rPr>
              <w:color w:val="auto"/>
              <w:szCs w:val="22"/>
              <w:highlight w:val="none"/>
            </w:rPr>
          </w:pPr>
          <w:r>
            <w:rPr>
              <w:color w:val="auto"/>
              <w:highlight w:val="none"/>
            </w:rPr>
            <w:fldChar w:fldCharType="begin"/>
          </w:r>
          <w:r>
            <w:rPr>
              <w:color w:val="auto"/>
              <w:highlight w:val="none"/>
            </w:rPr>
            <w:instrText xml:space="preserve"> HYPERLINK \l "_Toc110177701" </w:instrText>
          </w:r>
          <w:r>
            <w:rPr>
              <w:color w:val="auto"/>
              <w:highlight w:val="none"/>
            </w:rPr>
            <w:fldChar w:fldCharType="separate"/>
          </w:r>
          <w:r>
            <w:rPr>
              <w:rStyle w:val="50"/>
              <w:rFonts w:ascii="宋体" w:hAnsi="宋体"/>
              <w:color w:val="auto"/>
              <w:highlight w:val="none"/>
            </w:rPr>
            <w:t>第五章  合同文本</w:t>
          </w:r>
          <w:r>
            <w:rPr>
              <w:color w:val="auto"/>
              <w:highlight w:val="none"/>
            </w:rPr>
            <w:tab/>
          </w:r>
          <w:r>
            <w:rPr>
              <w:color w:val="auto"/>
              <w:highlight w:val="none"/>
            </w:rPr>
            <w:fldChar w:fldCharType="begin"/>
          </w:r>
          <w:r>
            <w:rPr>
              <w:color w:val="auto"/>
              <w:highlight w:val="none"/>
            </w:rPr>
            <w:instrText xml:space="preserve"> PAGEREF _Toc110177701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30"/>
            <w:rPr>
              <w:color w:val="auto"/>
              <w:szCs w:val="22"/>
              <w:highlight w:val="none"/>
            </w:rPr>
          </w:pPr>
          <w:r>
            <w:rPr>
              <w:color w:val="auto"/>
              <w:highlight w:val="none"/>
            </w:rPr>
            <w:fldChar w:fldCharType="begin"/>
          </w:r>
          <w:r>
            <w:rPr>
              <w:color w:val="auto"/>
              <w:highlight w:val="none"/>
            </w:rPr>
            <w:instrText xml:space="preserve"> HYPERLINK \l "_Toc110177702" </w:instrText>
          </w:r>
          <w:r>
            <w:rPr>
              <w:color w:val="auto"/>
              <w:highlight w:val="none"/>
            </w:rPr>
            <w:fldChar w:fldCharType="separate"/>
          </w:r>
          <w:r>
            <w:rPr>
              <w:rStyle w:val="50"/>
              <w:rFonts w:ascii="宋体" w:hAnsi="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_Toc110177702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30"/>
            <w:rPr>
              <w:color w:val="auto"/>
              <w:szCs w:val="22"/>
              <w:highlight w:val="none"/>
            </w:rPr>
          </w:pPr>
          <w:r>
            <w:rPr>
              <w:color w:val="auto"/>
              <w:highlight w:val="none"/>
            </w:rPr>
            <w:fldChar w:fldCharType="begin"/>
          </w:r>
          <w:r>
            <w:rPr>
              <w:color w:val="auto"/>
              <w:highlight w:val="none"/>
            </w:rPr>
            <w:instrText xml:space="preserve"> HYPERLINK \l "_Toc110177703" </w:instrText>
          </w:r>
          <w:r>
            <w:rPr>
              <w:color w:val="auto"/>
              <w:highlight w:val="none"/>
            </w:rPr>
            <w:fldChar w:fldCharType="separate"/>
          </w:r>
          <w:r>
            <w:rPr>
              <w:rStyle w:val="50"/>
              <w:rFonts w:ascii="宋体" w:hAnsi="宋体"/>
              <w:color w:val="auto"/>
              <w:highlight w:val="none"/>
            </w:rPr>
            <w:t>第七章  政府采购供应商质疑函及投诉书范本</w:t>
          </w:r>
          <w:r>
            <w:rPr>
              <w:color w:val="auto"/>
              <w:highlight w:val="none"/>
            </w:rPr>
            <w:tab/>
          </w:r>
          <w:r>
            <w:rPr>
              <w:color w:val="auto"/>
              <w:highlight w:val="none"/>
            </w:rPr>
            <w:fldChar w:fldCharType="begin"/>
          </w:r>
          <w:r>
            <w:rPr>
              <w:color w:val="auto"/>
              <w:highlight w:val="none"/>
            </w:rPr>
            <w:instrText xml:space="preserve"> PAGEREF _Toc110177703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spacing w:line="360" w:lineRule="auto"/>
            <w:rPr>
              <w:rFonts w:ascii="宋体" w:hAnsi="宋体"/>
              <w:color w:val="auto"/>
              <w:highlight w:val="none"/>
            </w:rPr>
          </w:pPr>
          <w:r>
            <w:rPr>
              <w:rFonts w:ascii="宋体" w:hAnsi="宋体"/>
              <w:b/>
              <w:bCs/>
              <w:color w:val="auto"/>
              <w:sz w:val="24"/>
              <w:highlight w:val="none"/>
              <w:lang w:val="zh-CN"/>
            </w:rPr>
            <w:fldChar w:fldCharType="end"/>
          </w:r>
        </w:p>
      </w:sdtContent>
    </w:sdt>
    <w:p>
      <w:pPr>
        <w:spacing w:line="360" w:lineRule="auto"/>
        <w:rPr>
          <w:rFonts w:ascii="宋体" w:hAnsi="宋体"/>
          <w:color w:val="auto"/>
          <w:sz w:val="28"/>
          <w:szCs w:val="28"/>
          <w:highlight w:val="none"/>
        </w:rPr>
      </w:pPr>
    </w:p>
    <w:p>
      <w:pPr>
        <w:spacing w:line="360" w:lineRule="auto"/>
        <w:rPr>
          <w:rFonts w:ascii="宋体" w:hAnsi="宋体"/>
          <w:color w:val="auto"/>
          <w:kern w:val="0"/>
          <w:sz w:val="28"/>
          <w:szCs w:val="28"/>
          <w:highlight w:val="none"/>
        </w:rPr>
      </w:pPr>
      <w:r>
        <w:rPr>
          <w:rFonts w:ascii="宋体" w:hAnsi="宋体"/>
          <w:color w:val="auto"/>
          <w:sz w:val="28"/>
          <w:szCs w:val="28"/>
          <w:highlight w:val="none"/>
        </w:rPr>
        <w:br w:type="page"/>
      </w:r>
    </w:p>
    <w:p>
      <w:pPr>
        <w:pStyle w:val="24"/>
        <w:rPr>
          <w:color w:val="auto"/>
          <w:highlight w:val="none"/>
        </w:rPr>
        <w:sectPr>
          <w:footerReference r:id="rId5" w:type="first"/>
          <w:footerReference r:id="rId4" w:type="default"/>
          <w:pgSz w:w="11906" w:h="16838"/>
          <w:pgMar w:top="1440" w:right="1440" w:bottom="1440" w:left="1610" w:header="851" w:footer="851" w:gutter="0"/>
          <w:pgNumType w:start="1"/>
          <w:cols w:space="720" w:num="1"/>
          <w:docGrid w:linePitch="312" w:charSpace="0"/>
        </w:sectPr>
      </w:pPr>
    </w:p>
    <w:p>
      <w:pPr>
        <w:pStyle w:val="2"/>
        <w:rPr>
          <w:rFonts w:ascii="宋体" w:hAnsi="宋体"/>
          <w:color w:val="auto"/>
          <w:highlight w:val="none"/>
        </w:rPr>
      </w:pPr>
      <w:r>
        <w:rPr>
          <w:rFonts w:ascii="宋体" w:hAnsi="宋体"/>
          <w:color w:val="auto"/>
          <w:highlight w:val="none"/>
        </w:rPr>
        <w:t>第一章  投标邀请</w:t>
      </w:r>
      <w:bookmarkEnd w:id="0"/>
    </w:p>
    <w:p>
      <w:pPr>
        <w:pBdr>
          <w:top w:val="single" w:color="auto" w:sz="4" w:space="1"/>
          <w:left w:val="single" w:color="auto" w:sz="4" w:space="4"/>
          <w:bottom w:val="single" w:color="auto" w:sz="4" w:space="1"/>
          <w:right w:val="single" w:color="auto" w:sz="4" w:space="0"/>
        </w:pBdr>
        <w:spacing w:before="120" w:beforeLines="50" w:line="360" w:lineRule="auto"/>
        <w:ind w:firstLine="420" w:firstLineChars="200"/>
        <w:rPr>
          <w:rFonts w:ascii="宋体" w:hAnsi="宋体"/>
          <w:color w:val="auto"/>
          <w:szCs w:val="21"/>
          <w:highlight w:val="none"/>
        </w:rPr>
      </w:pPr>
      <w:r>
        <w:rPr>
          <w:rFonts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0"/>
        </w:pBdr>
        <w:spacing w:line="360" w:lineRule="auto"/>
        <w:ind w:firstLine="525" w:firstLineChars="250"/>
        <w:jc w:val="left"/>
        <w:rPr>
          <w:rFonts w:ascii="宋体" w:hAnsi="宋体"/>
          <w:color w:val="auto"/>
          <w:szCs w:val="21"/>
          <w:highlight w:val="none"/>
        </w:rPr>
      </w:pPr>
      <w:bookmarkStart w:id="1" w:name="_Hlk24379207"/>
      <w:bookmarkStart w:id="2" w:name="_Toc35393621"/>
      <w:bookmarkStart w:id="3" w:name="_Toc28359002"/>
      <w:bookmarkStart w:id="4" w:name="_Toc28359079"/>
      <w:bookmarkStart w:id="5" w:name="_Toc35393790"/>
      <w:r>
        <w:rPr>
          <w:rFonts w:ascii="宋体" w:hAnsi="宋体"/>
          <w:color w:val="auto"/>
          <w:kern w:val="0"/>
          <w:szCs w:val="21"/>
          <w:highlight w:val="none"/>
          <w:u w:val="single"/>
        </w:rPr>
        <w:t>2024年宁波市食品安全抽检监测项目</w:t>
      </w:r>
      <w:r>
        <w:rPr>
          <w:rFonts w:ascii="宋体" w:hAnsi="宋体"/>
          <w:color w:val="auto"/>
          <w:szCs w:val="21"/>
          <w:highlight w:val="none"/>
        </w:rPr>
        <w:t>招标项目的潜在投标人应在</w:t>
      </w:r>
      <w:r>
        <w:rPr>
          <w:rFonts w:ascii="宋体" w:hAnsi="宋体"/>
          <w:color w:val="auto"/>
          <w:szCs w:val="21"/>
          <w:highlight w:val="none"/>
          <w:u w:val="single"/>
        </w:rPr>
        <w:t>政采云平台（https：//www.zcygov.cn）</w:t>
      </w:r>
      <w:r>
        <w:rPr>
          <w:rFonts w:ascii="宋体" w:hAnsi="宋体"/>
          <w:bCs/>
          <w:color w:val="auto"/>
          <w:szCs w:val="21"/>
          <w:highlight w:val="none"/>
          <w:u w:val="single"/>
        </w:rPr>
        <w:t>获取（下载）招标文件，并于202</w:t>
      </w:r>
      <w:r>
        <w:rPr>
          <w:rFonts w:hint="eastAsia" w:ascii="宋体" w:hAnsi="宋体"/>
          <w:bCs/>
          <w:color w:val="auto"/>
          <w:szCs w:val="21"/>
          <w:highlight w:val="none"/>
          <w:u w:val="single"/>
        </w:rPr>
        <w:t>4</w:t>
      </w:r>
      <w:r>
        <w:rPr>
          <w:rFonts w:ascii="宋体" w:hAnsi="宋体"/>
          <w:bCs/>
          <w:color w:val="auto"/>
          <w:szCs w:val="21"/>
          <w:highlight w:val="none"/>
          <w:u w:val="single"/>
        </w:rPr>
        <w:t>年</w:t>
      </w:r>
      <w:r>
        <w:rPr>
          <w:rFonts w:hint="eastAsia" w:ascii="宋体" w:hAnsi="宋体"/>
          <w:bCs/>
          <w:color w:val="auto"/>
          <w:szCs w:val="21"/>
          <w:highlight w:val="none"/>
          <w:u w:val="single"/>
          <w:lang w:val="en-US" w:eastAsia="zh-CN"/>
        </w:rPr>
        <w:t>7</w:t>
      </w:r>
      <w:r>
        <w:rPr>
          <w:rFonts w:ascii="宋体" w:hAnsi="宋体"/>
          <w:bCs/>
          <w:color w:val="auto"/>
          <w:szCs w:val="21"/>
          <w:highlight w:val="none"/>
          <w:u w:val="single"/>
        </w:rPr>
        <w:t>月</w:t>
      </w:r>
      <w:r>
        <w:rPr>
          <w:rFonts w:hint="eastAsia" w:ascii="宋体" w:hAnsi="宋体"/>
          <w:bCs/>
          <w:color w:val="auto"/>
          <w:szCs w:val="21"/>
          <w:highlight w:val="none"/>
          <w:u w:val="single"/>
          <w:lang w:val="en-US" w:eastAsia="zh-CN"/>
        </w:rPr>
        <w:t>5</w:t>
      </w:r>
      <w:r>
        <w:rPr>
          <w:rFonts w:ascii="宋体" w:hAnsi="宋体"/>
          <w:bCs/>
          <w:color w:val="auto"/>
          <w:szCs w:val="21"/>
          <w:highlight w:val="none"/>
          <w:u w:val="single"/>
        </w:rPr>
        <w:t>日</w:t>
      </w:r>
      <w:r>
        <w:rPr>
          <w:rFonts w:hint="eastAsia" w:ascii="宋体" w:hAnsi="宋体"/>
          <w:bCs/>
          <w:color w:val="auto"/>
          <w:szCs w:val="21"/>
          <w:highlight w:val="none"/>
          <w:u w:val="single"/>
          <w:lang w:val="en-US" w:eastAsia="zh-CN"/>
        </w:rPr>
        <w:t>13</w:t>
      </w:r>
      <w:r>
        <w:rPr>
          <w:rFonts w:ascii="宋体" w:hAnsi="宋体"/>
          <w:bCs/>
          <w:color w:val="auto"/>
          <w:szCs w:val="21"/>
          <w:highlight w:val="none"/>
          <w:u w:val="single"/>
        </w:rPr>
        <w:t>点</w:t>
      </w:r>
      <w:r>
        <w:rPr>
          <w:rFonts w:hint="eastAsia" w:ascii="宋体" w:hAnsi="宋体"/>
          <w:bCs/>
          <w:color w:val="auto"/>
          <w:szCs w:val="21"/>
          <w:highlight w:val="none"/>
          <w:u w:val="single"/>
          <w:lang w:val="en-US" w:eastAsia="zh-CN"/>
        </w:rPr>
        <w:t>00</w:t>
      </w:r>
      <w:r>
        <w:rPr>
          <w:rFonts w:ascii="宋体" w:hAnsi="宋体"/>
          <w:bCs/>
          <w:color w:val="auto"/>
          <w:szCs w:val="21"/>
          <w:highlight w:val="none"/>
          <w:u w:val="single"/>
        </w:rPr>
        <w:t>分</w:t>
      </w:r>
      <w:r>
        <w:rPr>
          <w:rFonts w:ascii="宋体" w:hAnsi="宋体"/>
          <w:bCs/>
          <w:color w:val="auto"/>
          <w:szCs w:val="21"/>
          <w:highlight w:val="none"/>
        </w:rPr>
        <w:t>（北京时间）前递交（上传）投标文件</w:t>
      </w:r>
      <w:r>
        <w:rPr>
          <w:rFonts w:ascii="宋体" w:hAnsi="宋体"/>
          <w:color w:val="auto"/>
          <w:szCs w:val="21"/>
          <w:highlight w:val="none"/>
        </w:rPr>
        <w:t>。</w:t>
      </w:r>
    </w:p>
    <w:p>
      <w:pPr>
        <w:snapToGrid w:val="0"/>
        <w:spacing w:line="360" w:lineRule="auto"/>
        <w:rPr>
          <w:rFonts w:ascii="宋体" w:hAnsi="宋体"/>
          <w:b/>
          <w:color w:val="auto"/>
          <w:szCs w:val="21"/>
          <w:highlight w:val="none"/>
        </w:rPr>
      </w:pPr>
      <w:r>
        <w:rPr>
          <w:rFonts w:ascii="宋体" w:hAnsi="宋体"/>
          <w:b/>
          <w:color w:val="auto"/>
          <w:szCs w:val="21"/>
          <w:highlight w:val="none"/>
        </w:rPr>
        <w:t>一、项目基本情况</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项目编号：NBMC-20242099G</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项目名称：2024年宁波市食品安全抽检监测项目</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预算总金额（元）：</w:t>
      </w:r>
      <w:r>
        <w:rPr>
          <w:rFonts w:hint="eastAsia" w:ascii="宋体" w:hAnsi="宋体"/>
          <w:color w:val="auto"/>
          <w:szCs w:val="21"/>
          <w:highlight w:val="none"/>
        </w:rPr>
        <w:t>1450000</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最高限价（元）：</w:t>
      </w:r>
      <w:r>
        <w:rPr>
          <w:rFonts w:hint="eastAsia" w:ascii="宋体" w:hAnsi="宋体"/>
          <w:color w:val="auto"/>
          <w:szCs w:val="21"/>
          <w:highlight w:val="none"/>
        </w:rPr>
        <w:t>21</w:t>
      </w:r>
      <w:r>
        <w:rPr>
          <w:rFonts w:ascii="宋体" w:hAnsi="宋体"/>
          <w:color w:val="auto"/>
          <w:kern w:val="0"/>
          <w:szCs w:val="21"/>
          <w:highlight w:val="none"/>
          <w:lang w:bidi="ar"/>
        </w:rPr>
        <w:t>0000</w:t>
      </w:r>
      <w:r>
        <w:rPr>
          <w:rFonts w:hint="eastAsia" w:ascii="宋体" w:hAnsi="宋体"/>
          <w:color w:val="auto"/>
          <w:szCs w:val="21"/>
          <w:highlight w:val="none"/>
        </w:rPr>
        <w:t>、31</w:t>
      </w:r>
      <w:r>
        <w:rPr>
          <w:rFonts w:ascii="宋体" w:hAnsi="宋体"/>
          <w:color w:val="auto"/>
          <w:kern w:val="0"/>
          <w:szCs w:val="21"/>
          <w:highlight w:val="none"/>
          <w:lang w:bidi="ar"/>
        </w:rPr>
        <w:t>0000</w:t>
      </w:r>
      <w:r>
        <w:rPr>
          <w:rFonts w:hint="eastAsia" w:ascii="宋体" w:hAnsi="宋体"/>
          <w:color w:val="auto"/>
          <w:szCs w:val="21"/>
          <w:highlight w:val="none"/>
        </w:rPr>
        <w:t>、34</w:t>
      </w:r>
      <w:r>
        <w:rPr>
          <w:rFonts w:ascii="宋体" w:hAnsi="宋体"/>
          <w:color w:val="auto"/>
          <w:kern w:val="0"/>
          <w:szCs w:val="21"/>
          <w:highlight w:val="none"/>
          <w:lang w:bidi="ar"/>
        </w:rPr>
        <w:t>0000</w:t>
      </w:r>
      <w:r>
        <w:rPr>
          <w:rFonts w:hint="eastAsia" w:ascii="宋体" w:hAnsi="宋体"/>
          <w:color w:val="auto"/>
          <w:szCs w:val="21"/>
          <w:highlight w:val="none"/>
        </w:rPr>
        <w:t>、59</w:t>
      </w:r>
      <w:r>
        <w:rPr>
          <w:rFonts w:ascii="宋体" w:hAnsi="宋体"/>
          <w:color w:val="auto"/>
          <w:kern w:val="0"/>
          <w:szCs w:val="21"/>
          <w:highlight w:val="none"/>
          <w:lang w:bidi="ar"/>
        </w:rPr>
        <w:t>0000</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采购需求：</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标项</w:t>
      </w:r>
      <w:r>
        <w:rPr>
          <w:rFonts w:hint="eastAsia" w:ascii="宋体" w:hAnsi="宋体"/>
          <w:color w:val="auto"/>
          <w:szCs w:val="21"/>
          <w:highlight w:val="none"/>
        </w:rPr>
        <w:t>一</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标项名称：</w:t>
      </w:r>
      <w:r>
        <w:rPr>
          <w:rFonts w:hint="eastAsia" w:ascii="宋体" w:hAnsi="宋体"/>
          <w:color w:val="auto"/>
          <w:szCs w:val="21"/>
          <w:highlight w:val="none"/>
        </w:rPr>
        <w:t>风险隐患“回头看”专项抽检一</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数量：1</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预算金额（元）：</w:t>
      </w:r>
      <w:r>
        <w:rPr>
          <w:rFonts w:hint="eastAsia" w:ascii="宋体" w:hAnsi="宋体"/>
          <w:color w:val="auto"/>
          <w:szCs w:val="21"/>
          <w:highlight w:val="none"/>
        </w:rPr>
        <w:t>21</w:t>
      </w:r>
      <w:r>
        <w:rPr>
          <w:rFonts w:ascii="宋体" w:hAnsi="宋体"/>
          <w:color w:val="auto"/>
          <w:kern w:val="0"/>
          <w:szCs w:val="21"/>
          <w:highlight w:val="none"/>
          <w:lang w:bidi="ar"/>
        </w:rPr>
        <w:t>0000</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项目基本概况介绍：</w:t>
      </w:r>
      <w:r>
        <w:rPr>
          <w:rFonts w:hint="eastAsia" w:ascii="宋体" w:hAnsi="宋体"/>
          <w:color w:val="auto"/>
          <w:szCs w:val="21"/>
          <w:highlight w:val="none"/>
        </w:rPr>
        <w:t>完成210</w:t>
      </w:r>
      <w:r>
        <w:rPr>
          <w:rFonts w:ascii="宋体" w:hAnsi="宋体"/>
          <w:color w:val="auto"/>
          <w:szCs w:val="21"/>
          <w:highlight w:val="none"/>
        </w:rPr>
        <w:t>批次的食品检测，</w:t>
      </w:r>
      <w:r>
        <w:rPr>
          <w:rFonts w:hint="eastAsia" w:ascii="宋体" w:hAnsi="宋体"/>
          <w:color w:val="auto"/>
          <w:szCs w:val="21"/>
          <w:highlight w:val="none"/>
        </w:rPr>
        <w:t>完成标项二</w:t>
      </w:r>
      <w:r>
        <w:rPr>
          <w:rFonts w:hint="eastAsia" w:ascii="宋体" w:hAnsi="宋体" w:cs="宋体"/>
          <w:color w:val="auto"/>
          <w:kern w:val="0"/>
          <w:szCs w:val="21"/>
          <w:highlight w:val="none"/>
          <w:lang w:bidi="ar"/>
        </w:rPr>
        <w:t>中250批次的抽样</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标项</w:t>
      </w:r>
      <w:r>
        <w:rPr>
          <w:rFonts w:hint="eastAsia" w:ascii="宋体" w:hAnsi="宋体"/>
          <w:color w:val="auto"/>
          <w:szCs w:val="21"/>
          <w:highlight w:val="none"/>
        </w:rPr>
        <w:t>二</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标项名称：</w:t>
      </w:r>
      <w:r>
        <w:rPr>
          <w:rFonts w:hint="eastAsia" w:ascii="宋体" w:hAnsi="宋体"/>
          <w:color w:val="auto"/>
          <w:szCs w:val="21"/>
          <w:highlight w:val="none"/>
        </w:rPr>
        <w:t>风险隐患“回头看”专项抽检二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数量：1</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预算金额（元）：</w:t>
      </w:r>
      <w:r>
        <w:rPr>
          <w:rFonts w:hint="eastAsia" w:ascii="宋体" w:hAnsi="宋体"/>
          <w:color w:val="auto"/>
          <w:szCs w:val="21"/>
          <w:highlight w:val="none"/>
        </w:rPr>
        <w:t>31</w:t>
      </w:r>
      <w:r>
        <w:rPr>
          <w:rFonts w:ascii="宋体" w:hAnsi="宋体"/>
          <w:color w:val="auto"/>
          <w:kern w:val="0"/>
          <w:szCs w:val="21"/>
          <w:highlight w:val="none"/>
          <w:lang w:bidi="ar"/>
        </w:rPr>
        <w:t>0000</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项目基本概况介绍：</w:t>
      </w:r>
      <w:r>
        <w:rPr>
          <w:rFonts w:hint="eastAsia" w:ascii="宋体" w:hAnsi="宋体"/>
          <w:color w:val="auto"/>
          <w:szCs w:val="21"/>
          <w:highlight w:val="none"/>
        </w:rPr>
        <w:t>完成300</w:t>
      </w:r>
      <w:r>
        <w:rPr>
          <w:rFonts w:ascii="宋体" w:hAnsi="宋体"/>
          <w:color w:val="auto"/>
          <w:szCs w:val="21"/>
          <w:highlight w:val="none"/>
        </w:rPr>
        <w:t>批次的食品检测，</w:t>
      </w:r>
      <w:r>
        <w:rPr>
          <w:rFonts w:hint="eastAsia" w:ascii="宋体" w:hAnsi="宋体"/>
          <w:color w:val="auto"/>
          <w:szCs w:val="21"/>
          <w:highlight w:val="none"/>
        </w:rPr>
        <w:t>完成标项四中240批次</w:t>
      </w:r>
      <w:r>
        <w:rPr>
          <w:rFonts w:hint="eastAsia" w:ascii="宋体" w:hAnsi="宋体" w:cs="宋体"/>
          <w:color w:val="auto"/>
          <w:kern w:val="0"/>
          <w:szCs w:val="21"/>
          <w:highlight w:val="none"/>
          <w:lang w:bidi="ar"/>
        </w:rPr>
        <w:t>的抽样</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标项</w:t>
      </w:r>
      <w:r>
        <w:rPr>
          <w:rFonts w:hint="eastAsia" w:ascii="宋体" w:hAnsi="宋体"/>
          <w:color w:val="auto"/>
          <w:szCs w:val="21"/>
          <w:highlight w:val="none"/>
        </w:rPr>
        <w:t>三</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标项名称：</w:t>
      </w:r>
      <w:r>
        <w:rPr>
          <w:rStyle w:val="407"/>
          <w:rFonts w:hint="default"/>
          <w:color w:val="auto"/>
          <w:highlight w:val="none"/>
          <w:lang w:bidi="ar"/>
        </w:rPr>
        <w:t>重点食品专项抽检</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数量：1</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预算金额（元）：</w:t>
      </w:r>
      <w:r>
        <w:rPr>
          <w:rFonts w:hint="eastAsia" w:ascii="宋体" w:hAnsi="宋体"/>
          <w:color w:val="auto"/>
          <w:szCs w:val="21"/>
          <w:highlight w:val="none"/>
        </w:rPr>
        <w:t>34</w:t>
      </w:r>
      <w:r>
        <w:rPr>
          <w:rFonts w:ascii="宋体" w:hAnsi="宋体"/>
          <w:color w:val="auto"/>
          <w:kern w:val="0"/>
          <w:szCs w:val="21"/>
          <w:highlight w:val="none"/>
          <w:lang w:bidi="ar"/>
        </w:rPr>
        <w:t>0000</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项目基本概况介绍：</w:t>
      </w:r>
      <w:r>
        <w:rPr>
          <w:rFonts w:hint="eastAsia" w:ascii="宋体" w:hAnsi="宋体"/>
          <w:color w:val="auto"/>
          <w:szCs w:val="21"/>
          <w:highlight w:val="none"/>
        </w:rPr>
        <w:t>完成350</w:t>
      </w:r>
      <w:r>
        <w:rPr>
          <w:rFonts w:ascii="宋体" w:hAnsi="宋体"/>
          <w:color w:val="auto"/>
          <w:szCs w:val="21"/>
          <w:highlight w:val="none"/>
        </w:rPr>
        <w:t>批次的食品检测，</w:t>
      </w:r>
      <w:r>
        <w:rPr>
          <w:rFonts w:hint="eastAsia" w:ascii="宋体" w:hAnsi="宋体"/>
          <w:color w:val="auto"/>
          <w:szCs w:val="21"/>
          <w:highlight w:val="none"/>
        </w:rPr>
        <w:t>完成标项四</w:t>
      </w:r>
      <w:r>
        <w:rPr>
          <w:rFonts w:hint="eastAsia" w:ascii="宋体" w:hAnsi="宋体" w:cs="宋体"/>
          <w:color w:val="auto"/>
          <w:kern w:val="0"/>
          <w:szCs w:val="21"/>
          <w:highlight w:val="none"/>
          <w:lang w:bidi="ar"/>
        </w:rPr>
        <w:t>中350批次的抽样</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标项四</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标项名称：</w:t>
      </w:r>
      <w:r>
        <w:rPr>
          <w:rFonts w:hint="eastAsia" w:ascii="宋体" w:hAnsi="宋体"/>
          <w:color w:val="auto"/>
          <w:szCs w:val="21"/>
          <w:highlight w:val="none"/>
        </w:rPr>
        <w:t>全市</w:t>
      </w:r>
      <w:r>
        <w:rPr>
          <w:rStyle w:val="407"/>
          <w:rFonts w:hint="default"/>
          <w:color w:val="auto"/>
          <w:highlight w:val="none"/>
          <w:lang w:bidi="ar"/>
        </w:rPr>
        <w:t>食品安全综合抽检</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数量：1</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预算金额（元）：</w:t>
      </w:r>
      <w:r>
        <w:rPr>
          <w:rFonts w:hint="eastAsia" w:ascii="宋体" w:hAnsi="宋体"/>
          <w:color w:val="auto"/>
          <w:szCs w:val="21"/>
          <w:highlight w:val="none"/>
        </w:rPr>
        <w:t>59</w:t>
      </w:r>
      <w:r>
        <w:rPr>
          <w:rFonts w:ascii="宋体" w:hAnsi="宋体"/>
          <w:color w:val="auto"/>
          <w:kern w:val="0"/>
          <w:szCs w:val="21"/>
          <w:highlight w:val="none"/>
          <w:lang w:bidi="ar"/>
        </w:rPr>
        <w:t>0000</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项目基本概况介绍：</w:t>
      </w:r>
      <w:r>
        <w:rPr>
          <w:rFonts w:hint="eastAsia" w:ascii="宋体" w:hAnsi="宋体"/>
          <w:color w:val="auto"/>
          <w:szCs w:val="21"/>
          <w:highlight w:val="none"/>
        </w:rPr>
        <w:t>完成590</w:t>
      </w:r>
      <w:r>
        <w:rPr>
          <w:rFonts w:ascii="宋体" w:hAnsi="宋体"/>
          <w:color w:val="auto"/>
          <w:szCs w:val="21"/>
          <w:highlight w:val="none"/>
        </w:rPr>
        <w:t>批次的食品检测，</w:t>
      </w:r>
      <w:r>
        <w:rPr>
          <w:rFonts w:hint="eastAsia" w:ascii="宋体" w:hAnsi="宋体"/>
          <w:color w:val="auto"/>
          <w:szCs w:val="21"/>
          <w:highlight w:val="none"/>
        </w:rPr>
        <w:t>完成标项一中210批次、标项二中50批次和标项三全部350批次</w:t>
      </w:r>
      <w:r>
        <w:rPr>
          <w:rFonts w:hint="eastAsia" w:ascii="宋体" w:hAnsi="宋体" w:cs="宋体"/>
          <w:color w:val="auto"/>
          <w:kern w:val="0"/>
          <w:szCs w:val="21"/>
          <w:highlight w:val="none"/>
          <w:lang w:bidi="ar"/>
        </w:rPr>
        <w:t>的抽样</w:t>
      </w:r>
      <w:r>
        <w:rPr>
          <w:rFonts w:ascii="宋体" w:hAnsi="宋体"/>
          <w:color w:val="auto"/>
          <w:szCs w:val="21"/>
          <w:highlight w:val="none"/>
        </w:rPr>
        <w:t>。</w:t>
      </w:r>
    </w:p>
    <w:p>
      <w:pPr>
        <w:ind w:firstLine="420" w:firstLineChars="200"/>
        <w:rPr>
          <w:rFonts w:ascii="宋体" w:hAnsi="宋体"/>
          <w:color w:val="auto"/>
          <w:szCs w:val="21"/>
          <w:highlight w:val="none"/>
        </w:rPr>
      </w:pPr>
    </w:p>
    <w:bookmarkEnd w:id="1"/>
    <w:bookmarkEnd w:id="2"/>
    <w:bookmarkEnd w:id="3"/>
    <w:bookmarkEnd w:id="4"/>
    <w:bookmarkEnd w:id="5"/>
    <w:p>
      <w:pPr>
        <w:spacing w:line="360" w:lineRule="auto"/>
        <w:ind w:firstLine="420" w:firstLineChars="200"/>
        <w:rPr>
          <w:rFonts w:ascii="宋体" w:hAnsi="宋体"/>
          <w:color w:val="auto"/>
          <w:szCs w:val="21"/>
          <w:highlight w:val="none"/>
        </w:rPr>
      </w:pPr>
      <w:r>
        <w:rPr>
          <w:rFonts w:ascii="宋体" w:hAnsi="宋体"/>
          <w:color w:val="auto"/>
          <w:szCs w:val="21"/>
          <w:highlight w:val="none"/>
        </w:rPr>
        <w:t>合同履约期限：自合同签订生效之日起至项目完成止。</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本项目</w:t>
      </w:r>
      <w:r>
        <w:rPr>
          <w:rFonts w:hint="eastAsia" w:ascii="宋体" w:hAnsi="宋体"/>
          <w:color w:val="auto"/>
          <w:szCs w:val="21"/>
          <w:highlight w:val="none"/>
        </w:rPr>
        <w:t>（是）</w:t>
      </w:r>
      <w:r>
        <w:rPr>
          <w:rFonts w:ascii="宋体" w:hAnsi="宋体"/>
          <w:color w:val="auto"/>
          <w:szCs w:val="21"/>
          <w:highlight w:val="none"/>
        </w:rPr>
        <w:t>接受联合体投标。</w:t>
      </w:r>
    </w:p>
    <w:p>
      <w:pPr>
        <w:snapToGrid w:val="0"/>
        <w:spacing w:line="360" w:lineRule="auto"/>
        <w:rPr>
          <w:rFonts w:ascii="宋体" w:hAnsi="宋体"/>
          <w:b/>
          <w:color w:val="auto"/>
          <w:szCs w:val="21"/>
          <w:highlight w:val="none"/>
        </w:rPr>
      </w:pPr>
      <w:bookmarkStart w:id="6" w:name="_Toc35393791"/>
      <w:bookmarkStart w:id="7" w:name="_Toc28359003"/>
      <w:bookmarkStart w:id="8" w:name="_Toc35393622"/>
      <w:bookmarkStart w:id="9" w:name="_Toc28359080"/>
      <w:r>
        <w:rPr>
          <w:rFonts w:ascii="宋体" w:hAnsi="宋体"/>
          <w:b/>
          <w:color w:val="auto"/>
          <w:szCs w:val="21"/>
          <w:highlight w:val="none"/>
        </w:rPr>
        <w:t>二、申请人的资格要求：</w:t>
      </w:r>
      <w:bookmarkEnd w:id="6"/>
      <w:bookmarkEnd w:id="7"/>
      <w:bookmarkEnd w:id="8"/>
      <w:bookmarkEnd w:id="9"/>
    </w:p>
    <w:p>
      <w:pPr>
        <w:spacing w:line="360" w:lineRule="auto"/>
        <w:ind w:firstLine="420" w:firstLineChars="200"/>
        <w:rPr>
          <w:rFonts w:ascii="宋体" w:hAnsi="宋体"/>
          <w:color w:val="auto"/>
          <w:szCs w:val="21"/>
          <w:highlight w:val="none"/>
        </w:rPr>
      </w:pPr>
      <w:r>
        <w:rPr>
          <w:rFonts w:ascii="宋体" w:hAnsi="宋体"/>
          <w:color w:val="auto"/>
          <w:szCs w:val="21"/>
          <w:highlight w:val="none"/>
        </w:rPr>
        <w:t>1.满足《中华人民共和国政府采购法》第二十二条第一款的规定；未被“信用中国”（www.creditchina.gov.cn)、中国政府采购网（www.ccgp.gov.cn）列入失信被执行人、重大税收违法失信主体、政府采购严重违法失信行为记录名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2.单位负责人为同一人或者存在直接控股、管理关系的不同供应商，不得同时参加本项目的政府采购活动；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3.为本项目提供整体设计、规范编制或者项目管理、监理、检测等服务的供应商，不得再参加本项目的投标；</w:t>
      </w:r>
    </w:p>
    <w:p>
      <w:pPr>
        <w:spacing w:line="360" w:lineRule="auto"/>
        <w:ind w:firstLine="420" w:firstLineChars="200"/>
        <w:rPr>
          <w:rFonts w:ascii="宋体" w:hAnsi="宋体"/>
          <w:bCs/>
          <w:color w:val="auto"/>
          <w:szCs w:val="21"/>
          <w:highlight w:val="none"/>
        </w:rPr>
      </w:pPr>
      <w:bookmarkStart w:id="10" w:name="_Toc28359081"/>
      <w:bookmarkStart w:id="11" w:name="_Toc28359004"/>
      <w:r>
        <w:rPr>
          <w:rFonts w:ascii="宋体" w:hAnsi="宋体"/>
          <w:bCs/>
          <w:color w:val="auto"/>
          <w:szCs w:val="21"/>
          <w:highlight w:val="none"/>
        </w:rPr>
        <w:t>4.落实政府采购政策需满足的资格要求：标项</w:t>
      </w:r>
      <w:r>
        <w:rPr>
          <w:rFonts w:hint="eastAsia" w:ascii="宋体" w:hAnsi="宋体"/>
          <w:bCs/>
          <w:color w:val="auto"/>
          <w:szCs w:val="21"/>
          <w:highlight w:val="none"/>
        </w:rPr>
        <w:t>一</w:t>
      </w:r>
      <w:r>
        <w:rPr>
          <w:rFonts w:ascii="宋体" w:hAnsi="宋体"/>
          <w:bCs/>
          <w:color w:val="auto"/>
          <w:szCs w:val="21"/>
          <w:highlight w:val="none"/>
        </w:rPr>
        <w:t>要求</w:t>
      </w:r>
      <w:r>
        <w:rPr>
          <w:rFonts w:hint="eastAsia" w:ascii="宋体" w:hAnsi="宋体"/>
          <w:bCs/>
          <w:color w:val="auto"/>
          <w:szCs w:val="21"/>
          <w:highlight w:val="none"/>
        </w:rPr>
        <w:t>投标人为</w:t>
      </w:r>
      <w:r>
        <w:rPr>
          <w:rFonts w:ascii="宋体" w:hAnsi="宋体"/>
          <w:bCs/>
          <w:color w:val="auto"/>
          <w:szCs w:val="21"/>
          <w:highlight w:val="none"/>
        </w:rPr>
        <w:t>中小企业。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5.本项目的特定资格要求：投标人具备合法有效的《检验检测机构资质认定证书》（CMA）证书。</w:t>
      </w:r>
    </w:p>
    <w:p>
      <w:pPr>
        <w:snapToGrid w:val="0"/>
        <w:spacing w:line="360" w:lineRule="auto"/>
        <w:rPr>
          <w:rFonts w:ascii="宋体" w:hAnsi="宋体"/>
          <w:b/>
          <w:color w:val="auto"/>
          <w:szCs w:val="21"/>
          <w:highlight w:val="none"/>
        </w:rPr>
      </w:pPr>
      <w:bookmarkStart w:id="12" w:name="_Toc35393792"/>
      <w:bookmarkStart w:id="13" w:name="_Toc35393623"/>
      <w:r>
        <w:rPr>
          <w:rFonts w:ascii="宋体" w:hAnsi="宋体"/>
          <w:b/>
          <w:color w:val="auto"/>
          <w:szCs w:val="21"/>
          <w:highlight w:val="none"/>
        </w:rPr>
        <w:t>三、获取招标文件</w:t>
      </w:r>
      <w:bookmarkEnd w:id="10"/>
      <w:bookmarkEnd w:id="11"/>
      <w:bookmarkEnd w:id="12"/>
      <w:bookmarkEnd w:id="13"/>
    </w:p>
    <w:p>
      <w:pPr>
        <w:snapToGrid w:val="0"/>
        <w:spacing w:line="360" w:lineRule="auto"/>
        <w:ind w:firstLine="411" w:firstLineChars="196"/>
        <w:rPr>
          <w:rFonts w:ascii="宋体" w:hAnsi="宋体"/>
          <w:b/>
          <w:color w:val="auto"/>
          <w:szCs w:val="21"/>
          <w:highlight w:val="none"/>
        </w:rPr>
      </w:pPr>
      <w:r>
        <w:rPr>
          <w:rFonts w:ascii="宋体" w:hAnsi="宋体"/>
          <w:color w:val="auto"/>
          <w:szCs w:val="21"/>
          <w:highlight w:val="none"/>
        </w:rPr>
        <w:t>时间：</w:t>
      </w:r>
      <w:r>
        <w:rPr>
          <w:rFonts w:ascii="宋体" w:hAnsi="宋体"/>
          <w:color w:val="auto"/>
          <w:szCs w:val="21"/>
          <w:highlight w:val="none"/>
          <w:u w:val="single"/>
        </w:rPr>
        <w:t>202</w:t>
      </w:r>
      <w:r>
        <w:rPr>
          <w:rFonts w:hint="eastAsia" w:ascii="宋体" w:hAnsi="宋体"/>
          <w:color w:val="auto"/>
          <w:szCs w:val="21"/>
          <w:highlight w:val="none"/>
          <w:u w:val="single"/>
        </w:rPr>
        <w:t>4</w:t>
      </w:r>
      <w:r>
        <w:rPr>
          <w:rFonts w:ascii="宋体" w:hAnsi="宋体"/>
          <w:color w:val="auto"/>
          <w:szCs w:val="21"/>
          <w:highlight w:val="none"/>
          <w:u w:val="single"/>
        </w:rPr>
        <w:t>年</w:t>
      </w:r>
      <w:r>
        <w:rPr>
          <w:rFonts w:hint="eastAsia" w:ascii="宋体" w:hAnsi="宋体"/>
          <w:color w:val="auto"/>
          <w:szCs w:val="21"/>
          <w:highlight w:val="none"/>
          <w:u w:val="single"/>
          <w:lang w:val="en-US" w:eastAsia="zh-CN"/>
        </w:rPr>
        <w:t>6</w:t>
      </w:r>
      <w:r>
        <w:rPr>
          <w:rFonts w:ascii="宋体" w:hAnsi="宋体"/>
          <w:color w:val="auto"/>
          <w:szCs w:val="21"/>
          <w:highlight w:val="none"/>
          <w:u w:val="single"/>
        </w:rPr>
        <w:t>月</w:t>
      </w:r>
      <w:r>
        <w:rPr>
          <w:rFonts w:hint="eastAsia" w:ascii="宋体" w:hAnsi="宋体"/>
          <w:color w:val="auto"/>
          <w:szCs w:val="21"/>
          <w:highlight w:val="none"/>
          <w:u w:val="single"/>
          <w:lang w:val="en-US" w:eastAsia="zh-CN"/>
        </w:rPr>
        <w:t>14</w:t>
      </w:r>
      <w:r>
        <w:rPr>
          <w:rFonts w:ascii="宋体" w:hAnsi="宋体"/>
          <w:color w:val="auto"/>
          <w:szCs w:val="21"/>
          <w:highlight w:val="none"/>
          <w:u w:val="single"/>
        </w:rPr>
        <w:t>日至202</w:t>
      </w:r>
      <w:r>
        <w:rPr>
          <w:rFonts w:hint="eastAsia" w:ascii="宋体" w:hAnsi="宋体"/>
          <w:color w:val="auto"/>
          <w:szCs w:val="21"/>
          <w:highlight w:val="none"/>
          <w:u w:val="single"/>
        </w:rPr>
        <w:t>4</w:t>
      </w:r>
      <w:r>
        <w:rPr>
          <w:rFonts w:ascii="宋体" w:hAnsi="宋体"/>
          <w:color w:val="auto"/>
          <w:szCs w:val="21"/>
          <w:highlight w:val="none"/>
          <w:u w:val="single"/>
        </w:rPr>
        <w:t>年</w:t>
      </w:r>
      <w:r>
        <w:rPr>
          <w:rFonts w:hint="eastAsia" w:ascii="宋体" w:hAnsi="宋体"/>
          <w:color w:val="auto"/>
          <w:szCs w:val="21"/>
          <w:highlight w:val="none"/>
          <w:u w:val="single"/>
          <w:lang w:val="en-US" w:eastAsia="zh-CN"/>
        </w:rPr>
        <w:t>6</w:t>
      </w:r>
      <w:r>
        <w:rPr>
          <w:rFonts w:ascii="宋体" w:hAnsi="宋体"/>
          <w:color w:val="auto"/>
          <w:szCs w:val="21"/>
          <w:highlight w:val="none"/>
          <w:u w:val="single"/>
        </w:rPr>
        <w:t>月</w:t>
      </w:r>
      <w:r>
        <w:rPr>
          <w:rFonts w:hint="eastAsia" w:ascii="宋体" w:hAnsi="宋体"/>
          <w:color w:val="auto"/>
          <w:szCs w:val="21"/>
          <w:highlight w:val="none"/>
          <w:u w:val="single"/>
          <w:lang w:val="en-US" w:eastAsia="zh-CN"/>
        </w:rPr>
        <w:t>21</w:t>
      </w:r>
      <w:r>
        <w:rPr>
          <w:rFonts w:ascii="宋体" w:hAnsi="宋体"/>
          <w:color w:val="auto"/>
          <w:szCs w:val="21"/>
          <w:highlight w:val="none"/>
          <w:u w:val="single"/>
        </w:rPr>
        <w:t>日</w:t>
      </w:r>
      <w:r>
        <w:rPr>
          <w:rFonts w:ascii="宋体" w:hAnsi="宋体"/>
          <w:color w:val="auto"/>
          <w:szCs w:val="21"/>
          <w:highlight w:val="none"/>
        </w:rPr>
        <w:t>，每天上午</w:t>
      </w:r>
      <w:r>
        <w:rPr>
          <w:rFonts w:ascii="宋体" w:hAnsi="宋体"/>
          <w:color w:val="auto"/>
          <w:szCs w:val="21"/>
          <w:highlight w:val="none"/>
          <w:u w:val="single"/>
        </w:rPr>
        <w:t>00：00</w:t>
      </w:r>
      <w:r>
        <w:rPr>
          <w:rFonts w:ascii="宋体" w:hAnsi="宋体"/>
          <w:color w:val="auto"/>
          <w:szCs w:val="21"/>
          <w:highlight w:val="none"/>
        </w:rPr>
        <w:t>至</w:t>
      </w:r>
      <w:r>
        <w:rPr>
          <w:rFonts w:ascii="宋体" w:hAnsi="宋体"/>
          <w:color w:val="auto"/>
          <w:szCs w:val="21"/>
          <w:highlight w:val="none"/>
          <w:u w:val="single"/>
        </w:rPr>
        <w:t>12：00</w:t>
      </w:r>
      <w:r>
        <w:rPr>
          <w:rFonts w:ascii="宋体" w:hAnsi="宋体"/>
          <w:color w:val="auto"/>
          <w:szCs w:val="21"/>
          <w:highlight w:val="none"/>
        </w:rPr>
        <w:t>，下午</w:t>
      </w:r>
      <w:r>
        <w:rPr>
          <w:rFonts w:ascii="宋体" w:hAnsi="宋体"/>
          <w:color w:val="auto"/>
          <w:szCs w:val="21"/>
          <w:highlight w:val="none"/>
          <w:u w:val="single"/>
        </w:rPr>
        <w:t>12：00</w:t>
      </w:r>
      <w:r>
        <w:rPr>
          <w:rFonts w:ascii="宋体" w:hAnsi="宋体"/>
          <w:color w:val="auto"/>
          <w:szCs w:val="21"/>
          <w:highlight w:val="none"/>
        </w:rPr>
        <w:t>至</w:t>
      </w:r>
      <w:r>
        <w:rPr>
          <w:rFonts w:ascii="宋体" w:hAnsi="宋体"/>
          <w:color w:val="auto"/>
          <w:szCs w:val="21"/>
          <w:highlight w:val="none"/>
          <w:u w:val="single"/>
        </w:rPr>
        <w:t>23：59</w:t>
      </w:r>
      <w:r>
        <w:rPr>
          <w:rFonts w:ascii="宋体" w:hAnsi="宋体"/>
          <w:color w:val="auto"/>
          <w:szCs w:val="21"/>
          <w:highlight w:val="none"/>
        </w:rPr>
        <w:t>（北京时间，线上获取法定节假日均可，线下获取文件法定节假日除外）</w:t>
      </w:r>
    </w:p>
    <w:p>
      <w:pPr>
        <w:snapToGrid w:val="0"/>
        <w:spacing w:line="360" w:lineRule="auto"/>
        <w:ind w:firstLine="411" w:firstLineChars="196"/>
        <w:rPr>
          <w:rFonts w:ascii="宋体" w:hAnsi="宋体"/>
          <w:color w:val="auto"/>
          <w:szCs w:val="21"/>
          <w:highlight w:val="none"/>
          <w:u w:val="single"/>
        </w:rPr>
      </w:pPr>
      <w:r>
        <w:rPr>
          <w:rFonts w:ascii="宋体" w:hAnsi="宋体"/>
          <w:color w:val="auto"/>
          <w:szCs w:val="21"/>
          <w:highlight w:val="none"/>
        </w:rPr>
        <w:t>地点（网址）：</w:t>
      </w:r>
      <w:r>
        <w:rPr>
          <w:rFonts w:ascii="宋体" w:hAnsi="宋体"/>
          <w:color w:val="auto"/>
          <w:szCs w:val="21"/>
          <w:highlight w:val="none"/>
          <w:u w:val="single"/>
        </w:rPr>
        <w:t>政采云平台（https：//www.zcygov.cn）</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方式：供应商登录政采云平台（https://www.zcygov.cn/）在线申请获取采购文件（进入“项目采购”应用，在获取采购文件菜单中选择项目，申请获取采购文件）</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售价（元）：0</w:t>
      </w:r>
    </w:p>
    <w:p>
      <w:pPr>
        <w:snapToGrid w:val="0"/>
        <w:spacing w:line="360" w:lineRule="auto"/>
        <w:rPr>
          <w:rFonts w:ascii="宋体" w:hAnsi="宋体"/>
          <w:b/>
          <w:color w:val="auto"/>
          <w:szCs w:val="21"/>
          <w:highlight w:val="none"/>
        </w:rPr>
      </w:pPr>
      <w:bookmarkStart w:id="14" w:name="_Toc28359082"/>
      <w:bookmarkStart w:id="15" w:name="_Toc28359005"/>
      <w:bookmarkStart w:id="16" w:name="_Toc35393793"/>
      <w:bookmarkStart w:id="17" w:name="_Toc35393624"/>
      <w:r>
        <w:rPr>
          <w:rFonts w:ascii="宋体" w:hAnsi="宋体"/>
          <w:b/>
          <w:color w:val="auto"/>
          <w:szCs w:val="21"/>
          <w:highlight w:val="none"/>
        </w:rPr>
        <w:t>四、提交投标文件</w:t>
      </w:r>
      <w:bookmarkEnd w:id="14"/>
      <w:bookmarkEnd w:id="15"/>
      <w:r>
        <w:rPr>
          <w:rFonts w:ascii="宋体" w:hAnsi="宋体"/>
          <w:b/>
          <w:color w:val="auto"/>
          <w:szCs w:val="21"/>
          <w:highlight w:val="none"/>
        </w:rPr>
        <w:t>截止时间、开标时间和地点</w:t>
      </w:r>
      <w:bookmarkEnd w:id="16"/>
      <w:bookmarkEnd w:id="17"/>
    </w:p>
    <w:p>
      <w:pPr>
        <w:spacing w:line="360" w:lineRule="auto"/>
        <w:ind w:firstLine="420" w:firstLineChars="200"/>
        <w:rPr>
          <w:rFonts w:ascii="宋体" w:hAnsi="宋体"/>
          <w:bCs/>
          <w:color w:val="auto"/>
          <w:szCs w:val="21"/>
          <w:highlight w:val="none"/>
        </w:rPr>
      </w:pPr>
      <w:r>
        <w:rPr>
          <w:rFonts w:ascii="宋体" w:hAnsi="宋体"/>
          <w:color w:val="auto"/>
          <w:szCs w:val="21"/>
          <w:highlight w:val="none"/>
        </w:rPr>
        <w:t>提交投标文件截止时间：202</w:t>
      </w:r>
      <w:r>
        <w:rPr>
          <w:rFonts w:hint="eastAsia" w:ascii="宋体" w:hAnsi="宋体"/>
          <w:color w:val="auto"/>
          <w:szCs w:val="21"/>
          <w:highlight w:val="none"/>
        </w:rPr>
        <w:t>4</w:t>
      </w:r>
      <w:r>
        <w:rPr>
          <w:rFonts w:ascii="宋体" w:hAnsi="宋体"/>
          <w:bCs/>
          <w:color w:val="auto"/>
          <w:szCs w:val="21"/>
          <w:highlight w:val="none"/>
        </w:rPr>
        <w:t>年</w:t>
      </w:r>
      <w:r>
        <w:rPr>
          <w:rFonts w:hint="eastAsia" w:ascii="宋体" w:hAnsi="宋体"/>
          <w:bCs/>
          <w:color w:val="auto"/>
          <w:szCs w:val="21"/>
          <w:highlight w:val="none"/>
          <w:lang w:val="en-US" w:eastAsia="zh-CN"/>
        </w:rPr>
        <w:t>7</w:t>
      </w:r>
      <w:r>
        <w:rPr>
          <w:rFonts w:ascii="宋体" w:hAnsi="宋体"/>
          <w:bCs/>
          <w:color w:val="auto"/>
          <w:szCs w:val="21"/>
          <w:highlight w:val="none"/>
        </w:rPr>
        <w:t>月</w:t>
      </w:r>
      <w:r>
        <w:rPr>
          <w:rFonts w:hint="eastAsia" w:ascii="宋体" w:hAnsi="宋体"/>
          <w:bCs/>
          <w:color w:val="auto"/>
          <w:szCs w:val="21"/>
          <w:highlight w:val="none"/>
          <w:lang w:val="en-US" w:eastAsia="zh-CN"/>
        </w:rPr>
        <w:t>5</w:t>
      </w:r>
      <w:r>
        <w:rPr>
          <w:rFonts w:ascii="宋体" w:hAnsi="宋体"/>
          <w:bCs/>
          <w:color w:val="auto"/>
          <w:szCs w:val="21"/>
          <w:highlight w:val="none"/>
        </w:rPr>
        <w:t>日</w:t>
      </w:r>
      <w:r>
        <w:rPr>
          <w:rFonts w:hint="eastAsia" w:ascii="宋体" w:hAnsi="宋体"/>
          <w:bCs/>
          <w:color w:val="auto"/>
          <w:szCs w:val="21"/>
          <w:highlight w:val="none"/>
          <w:lang w:val="en-US" w:eastAsia="zh-CN"/>
        </w:rPr>
        <w:t>13</w:t>
      </w:r>
      <w:r>
        <w:rPr>
          <w:rFonts w:ascii="宋体" w:hAnsi="宋体"/>
          <w:bCs/>
          <w:color w:val="auto"/>
          <w:szCs w:val="21"/>
          <w:highlight w:val="none"/>
        </w:rPr>
        <w:t>:</w:t>
      </w:r>
      <w:r>
        <w:rPr>
          <w:rFonts w:hint="eastAsia" w:ascii="宋体" w:hAnsi="宋体"/>
          <w:bCs/>
          <w:color w:val="auto"/>
          <w:szCs w:val="21"/>
          <w:highlight w:val="none"/>
          <w:lang w:val="en-US" w:eastAsia="zh-CN"/>
        </w:rPr>
        <w:t>00</w:t>
      </w:r>
      <w:r>
        <w:rPr>
          <w:rFonts w:ascii="宋体" w:hAnsi="宋体"/>
          <w:bCs/>
          <w:color w:val="auto"/>
          <w:szCs w:val="21"/>
          <w:highlight w:val="none"/>
        </w:rPr>
        <w:t>（北京时间）</w:t>
      </w:r>
    </w:p>
    <w:p>
      <w:pPr>
        <w:spacing w:line="360" w:lineRule="auto"/>
        <w:ind w:firstLine="420" w:firstLineChars="200"/>
        <w:rPr>
          <w:rFonts w:ascii="宋体" w:hAnsi="宋体"/>
          <w:bCs/>
          <w:color w:val="auto"/>
          <w:szCs w:val="21"/>
          <w:highlight w:val="none"/>
        </w:rPr>
      </w:pPr>
      <w:r>
        <w:rPr>
          <w:rFonts w:ascii="宋体" w:hAnsi="宋体"/>
          <w:color w:val="auto"/>
          <w:szCs w:val="21"/>
          <w:highlight w:val="none"/>
        </w:rPr>
        <w:t>投标地点（网址）</w:t>
      </w:r>
      <w:r>
        <w:rPr>
          <w:rFonts w:ascii="宋体" w:hAnsi="宋体"/>
          <w:bCs/>
          <w:color w:val="auto"/>
          <w:szCs w:val="21"/>
          <w:highlight w:val="none"/>
        </w:rPr>
        <w:t>：</w:t>
      </w:r>
      <w:r>
        <w:rPr>
          <w:rFonts w:ascii="宋体" w:hAnsi="宋体"/>
          <w:color w:val="auto"/>
          <w:szCs w:val="21"/>
          <w:highlight w:val="none"/>
          <w:u w:val="single"/>
        </w:rPr>
        <w:t>政采云平台（https://www.zcygov.cn）</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开标时间：</w:t>
      </w:r>
      <w:r>
        <w:rPr>
          <w:rFonts w:ascii="宋体" w:hAnsi="宋体"/>
          <w:color w:val="auto"/>
          <w:szCs w:val="21"/>
          <w:highlight w:val="none"/>
        </w:rPr>
        <w:t>202</w:t>
      </w:r>
      <w:r>
        <w:rPr>
          <w:rFonts w:hint="eastAsia" w:ascii="宋体" w:hAnsi="宋体"/>
          <w:color w:val="auto"/>
          <w:szCs w:val="21"/>
          <w:highlight w:val="none"/>
        </w:rPr>
        <w:t>4</w:t>
      </w:r>
      <w:r>
        <w:rPr>
          <w:rFonts w:ascii="宋体" w:hAnsi="宋体"/>
          <w:bCs/>
          <w:color w:val="auto"/>
          <w:szCs w:val="21"/>
          <w:highlight w:val="none"/>
        </w:rPr>
        <w:t>年</w:t>
      </w:r>
      <w:r>
        <w:rPr>
          <w:rFonts w:hint="eastAsia" w:ascii="宋体" w:hAnsi="宋体"/>
          <w:bCs/>
          <w:color w:val="auto"/>
          <w:szCs w:val="21"/>
          <w:highlight w:val="none"/>
          <w:lang w:val="en-US" w:eastAsia="zh-CN"/>
        </w:rPr>
        <w:t>7</w:t>
      </w:r>
      <w:r>
        <w:rPr>
          <w:rFonts w:ascii="宋体" w:hAnsi="宋体"/>
          <w:bCs/>
          <w:color w:val="auto"/>
          <w:szCs w:val="21"/>
          <w:highlight w:val="none"/>
        </w:rPr>
        <w:t>月</w:t>
      </w:r>
      <w:r>
        <w:rPr>
          <w:rFonts w:hint="eastAsia" w:ascii="宋体" w:hAnsi="宋体"/>
          <w:bCs/>
          <w:color w:val="auto"/>
          <w:szCs w:val="21"/>
          <w:highlight w:val="none"/>
          <w:lang w:val="en-US" w:eastAsia="zh-CN"/>
        </w:rPr>
        <w:t>5</w:t>
      </w:r>
      <w:r>
        <w:rPr>
          <w:rFonts w:ascii="宋体" w:hAnsi="宋体"/>
          <w:bCs/>
          <w:color w:val="auto"/>
          <w:szCs w:val="21"/>
          <w:highlight w:val="none"/>
        </w:rPr>
        <w:t>日</w:t>
      </w:r>
      <w:r>
        <w:rPr>
          <w:rFonts w:hint="eastAsia" w:ascii="宋体" w:hAnsi="宋体"/>
          <w:bCs/>
          <w:color w:val="auto"/>
          <w:szCs w:val="21"/>
          <w:highlight w:val="none"/>
          <w:lang w:val="en-US" w:eastAsia="zh-CN"/>
        </w:rPr>
        <w:t>13</w:t>
      </w:r>
      <w:r>
        <w:rPr>
          <w:rFonts w:ascii="宋体" w:hAnsi="宋体"/>
          <w:bCs/>
          <w:color w:val="auto"/>
          <w:szCs w:val="21"/>
          <w:highlight w:val="none"/>
        </w:rPr>
        <w:t>:</w:t>
      </w:r>
      <w:r>
        <w:rPr>
          <w:rFonts w:hint="eastAsia" w:ascii="宋体" w:hAnsi="宋体"/>
          <w:bCs/>
          <w:color w:val="auto"/>
          <w:szCs w:val="21"/>
          <w:highlight w:val="none"/>
          <w:lang w:val="en-US" w:eastAsia="zh-CN"/>
        </w:rPr>
        <w:t>00</w:t>
      </w:r>
      <w:r>
        <w:rPr>
          <w:rFonts w:ascii="宋体" w:hAnsi="宋体"/>
          <w:bCs/>
          <w:color w:val="auto"/>
          <w:szCs w:val="21"/>
          <w:highlight w:val="none"/>
        </w:rPr>
        <w:t>（北京时间）</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开标地点（网址）：</w:t>
      </w:r>
      <w:r>
        <w:rPr>
          <w:rFonts w:ascii="宋体" w:hAnsi="宋体"/>
          <w:bCs/>
          <w:color w:val="auto"/>
          <w:szCs w:val="21"/>
          <w:highlight w:val="none"/>
          <w:u w:val="single"/>
        </w:rPr>
        <w:t>政采云平台（https://www.zcygov.cn）</w:t>
      </w:r>
      <w:bookmarkStart w:id="61" w:name="_GoBack"/>
      <w:bookmarkEnd w:id="61"/>
    </w:p>
    <w:p>
      <w:pPr>
        <w:snapToGrid w:val="0"/>
        <w:spacing w:line="360" w:lineRule="auto"/>
        <w:rPr>
          <w:rFonts w:ascii="宋体" w:hAnsi="宋体"/>
          <w:b/>
          <w:color w:val="auto"/>
          <w:szCs w:val="21"/>
          <w:highlight w:val="none"/>
        </w:rPr>
      </w:pPr>
      <w:bookmarkStart w:id="18" w:name="_Toc35393794"/>
      <w:bookmarkStart w:id="19" w:name="_Toc28359084"/>
      <w:bookmarkStart w:id="20" w:name="_Toc35393625"/>
      <w:bookmarkStart w:id="21" w:name="_Toc28359007"/>
      <w:r>
        <w:rPr>
          <w:rFonts w:ascii="宋体" w:hAnsi="宋体"/>
          <w:b/>
          <w:color w:val="auto"/>
          <w:szCs w:val="21"/>
          <w:highlight w:val="none"/>
        </w:rPr>
        <w:t>五、公告期限</w:t>
      </w:r>
      <w:bookmarkEnd w:id="18"/>
      <w:bookmarkEnd w:id="19"/>
      <w:bookmarkEnd w:id="20"/>
      <w:bookmarkEnd w:id="21"/>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自本公告发布之日起5个工作日。</w:t>
      </w:r>
    </w:p>
    <w:p>
      <w:pPr>
        <w:snapToGrid w:val="0"/>
        <w:spacing w:line="360" w:lineRule="auto"/>
        <w:rPr>
          <w:rFonts w:ascii="宋体" w:hAnsi="宋体"/>
          <w:b/>
          <w:color w:val="auto"/>
          <w:szCs w:val="21"/>
          <w:highlight w:val="none"/>
        </w:rPr>
      </w:pPr>
      <w:bookmarkStart w:id="22" w:name="_Toc35393795"/>
      <w:bookmarkStart w:id="23" w:name="_Toc35393626"/>
      <w:r>
        <w:rPr>
          <w:rFonts w:ascii="宋体" w:hAnsi="宋体"/>
          <w:b/>
          <w:color w:val="auto"/>
          <w:szCs w:val="21"/>
          <w:highlight w:val="none"/>
        </w:rPr>
        <w:t>六、其他补充事宜</w:t>
      </w:r>
      <w:bookmarkEnd w:id="22"/>
      <w:bookmarkEnd w:id="23"/>
    </w:p>
    <w:p>
      <w:pPr>
        <w:snapToGrid w:val="0"/>
        <w:spacing w:line="360" w:lineRule="auto"/>
        <w:ind w:firstLine="411" w:firstLineChars="196"/>
        <w:rPr>
          <w:rFonts w:ascii="宋体" w:hAnsi="宋体"/>
          <w:color w:val="auto"/>
          <w:szCs w:val="21"/>
          <w:highlight w:val="none"/>
        </w:rPr>
      </w:pPr>
      <w:bookmarkStart w:id="24" w:name="_Toc35393796"/>
      <w:bookmarkStart w:id="25" w:name="_Toc28359085"/>
      <w:bookmarkStart w:id="26" w:name="_Toc28359008"/>
      <w:bookmarkStart w:id="27" w:name="_Toc35393627"/>
      <w:r>
        <w:rPr>
          <w:rFonts w:ascii="宋体" w:hAnsi="宋体"/>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2.其他事项：</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1）为依法获取本项目招标文件及投标响应，潜在投标人应当按照《浙江省政府采购供应商注册及诚信管理暂行办法》的规定在“浙江政府采购网(http：//zfcg.czt.zj.gov.cn/)”政采云平台注册登记。中标人必须在采购人支付合同款项前成为注册供应商。</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（2）本项目依据《浙江省政府采购项目电子交易管理暂行办法》采用电子交易方式实施采购，电子交易平台为政采云平台(</w:t>
      </w:r>
      <w:r>
        <w:rPr>
          <w:rFonts w:ascii="宋体" w:hAnsi="宋体"/>
          <w:color w:val="auto"/>
          <w:szCs w:val="21"/>
          <w:highlight w:val="none"/>
          <w:u w:val="single"/>
        </w:rPr>
        <w:t>https：//www.zcygov.cn</w:t>
      </w:r>
      <w:r>
        <w:rPr>
          <w:rFonts w:ascii="宋体" w:hAnsi="宋体"/>
          <w:color w:val="auto"/>
          <w:szCs w:val="21"/>
          <w:highlight w:val="none"/>
        </w:rPr>
        <w:t>）。潜在投标人在参与本项目投标前应当完成政采云平台的账号注册、身份认证（CA数字证书申领）、“政采云电子交易客户端”下载安装。</w:t>
      </w:r>
    </w:p>
    <w:p>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3</w:t>
      </w:r>
      <w:r>
        <w:rPr>
          <w:rFonts w:hint="eastAsia" w:ascii="宋体" w:hAnsi="宋体" w:cs="Arial"/>
          <w:color w:val="auto"/>
          <w:szCs w:val="21"/>
          <w:highlight w:val="none"/>
        </w:rPr>
        <w:t>）投标人</w:t>
      </w:r>
      <w:r>
        <w:rPr>
          <w:rFonts w:ascii="宋体" w:hAnsi="宋体" w:cs="宋体"/>
          <w:color w:val="auto"/>
          <w:szCs w:val="21"/>
          <w:highlight w:val="none"/>
        </w:rPr>
        <w:t>如提供备份投标文件的，应于提交投标文件截止时间前，将以U盘存储的电子备份投标文件</w:t>
      </w:r>
      <w:r>
        <w:rPr>
          <w:rFonts w:hint="eastAsia" w:ascii="宋体" w:hAnsi="宋体" w:cs="宋体"/>
          <w:color w:val="auto"/>
          <w:szCs w:val="21"/>
          <w:highlight w:val="none"/>
        </w:rPr>
        <w:t>按照招标文件的规定密封、标注并盖章后</w:t>
      </w:r>
      <w:r>
        <w:rPr>
          <w:rFonts w:ascii="宋体" w:hAnsi="宋体" w:cs="宋体"/>
          <w:color w:val="auto"/>
          <w:szCs w:val="21"/>
          <w:highlight w:val="none"/>
        </w:rPr>
        <w:t>，递交至</w:t>
      </w:r>
      <w:r>
        <w:rPr>
          <w:rFonts w:hint="eastAsia" w:ascii="宋体" w:hAnsi="宋体" w:cs="Arial"/>
          <w:b/>
          <w:color w:val="auto"/>
          <w:szCs w:val="21"/>
          <w:highlight w:val="none"/>
        </w:rPr>
        <w:t>宁波市海曙区江汇城496号姚江时代14幢3楼</w:t>
      </w:r>
      <w:r>
        <w:rPr>
          <w:rFonts w:ascii="宋体" w:hAnsi="宋体" w:cs="宋体"/>
          <w:color w:val="auto"/>
          <w:szCs w:val="21"/>
          <w:highlight w:val="none"/>
        </w:rPr>
        <w:t>，逾期送达或未</w:t>
      </w:r>
      <w:r>
        <w:rPr>
          <w:rFonts w:hint="eastAsia" w:ascii="宋体" w:hAnsi="宋体" w:cs="宋体"/>
          <w:color w:val="auto"/>
          <w:szCs w:val="21"/>
          <w:highlight w:val="none"/>
        </w:rPr>
        <w:t>按照规定</w:t>
      </w:r>
      <w:r>
        <w:rPr>
          <w:rFonts w:ascii="宋体" w:hAnsi="宋体" w:cs="宋体"/>
          <w:color w:val="auto"/>
          <w:szCs w:val="21"/>
          <w:highlight w:val="none"/>
        </w:rPr>
        <w:t>密封</w:t>
      </w:r>
      <w:r>
        <w:rPr>
          <w:rFonts w:hint="eastAsia" w:ascii="宋体" w:hAnsi="宋体" w:cs="宋体"/>
          <w:color w:val="auto"/>
          <w:szCs w:val="21"/>
          <w:highlight w:val="none"/>
        </w:rPr>
        <w:t>包装的招标代理机构有权拒绝接收</w:t>
      </w:r>
      <w:r>
        <w:rPr>
          <w:rFonts w:ascii="宋体" w:hAnsi="宋体" w:cs="宋体"/>
          <w:color w:val="auto"/>
          <w:szCs w:val="21"/>
          <w:highlight w:val="none"/>
        </w:rPr>
        <w:t>。</w:t>
      </w:r>
    </w:p>
    <w:p>
      <w:pPr>
        <w:snapToGrid w:val="0"/>
        <w:spacing w:line="360" w:lineRule="auto"/>
        <w:ind w:firstLine="411" w:firstLineChars="196"/>
        <w:rPr>
          <w:rFonts w:ascii="宋体" w:hAnsi="宋体"/>
          <w:b/>
          <w:bCs/>
          <w:color w:val="auto"/>
          <w:szCs w:val="21"/>
          <w:highlight w:val="none"/>
        </w:rPr>
      </w:pPr>
      <w:r>
        <w:rPr>
          <w:rFonts w:ascii="宋体" w:hAnsi="宋体"/>
          <w:bCs/>
          <w:color w:val="auto"/>
          <w:szCs w:val="21"/>
          <w:highlight w:val="none"/>
        </w:rPr>
        <w:t>（4）落实政府采购政策：</w:t>
      </w:r>
      <w:r>
        <w:rPr>
          <w:rFonts w:ascii="宋体" w:hAnsi="宋体"/>
          <w:color w:val="auto"/>
          <w:szCs w:val="21"/>
          <w:highlight w:val="none"/>
        </w:rPr>
        <w:t>本项目</w:t>
      </w:r>
      <w:r>
        <w:rPr>
          <w:rFonts w:hint="eastAsia" w:ascii="宋体" w:hAnsi="宋体"/>
          <w:color w:val="auto"/>
          <w:szCs w:val="21"/>
          <w:highlight w:val="none"/>
        </w:rPr>
        <w:t>标项一</w:t>
      </w:r>
      <w:r>
        <w:rPr>
          <w:rFonts w:ascii="宋体" w:hAnsi="宋体"/>
          <w:color w:val="auto"/>
          <w:szCs w:val="21"/>
          <w:highlight w:val="none"/>
        </w:rPr>
        <w:t>专门面向中小企业采购</w:t>
      </w:r>
      <w:r>
        <w:rPr>
          <w:rFonts w:hint="eastAsia" w:ascii="宋体" w:hAnsi="宋体"/>
          <w:color w:val="auto"/>
          <w:szCs w:val="21"/>
          <w:highlight w:val="none"/>
        </w:rPr>
        <w:t>，</w:t>
      </w:r>
      <w:r>
        <w:rPr>
          <w:rFonts w:ascii="宋体" w:hAnsi="宋体"/>
          <w:color w:val="auto"/>
          <w:szCs w:val="21"/>
          <w:highlight w:val="none"/>
        </w:rPr>
        <w:t>其余标项对符合财政扶持政策的中小企业、监狱企业、残疾人福利性单位给予价格优惠。</w:t>
      </w:r>
    </w:p>
    <w:p>
      <w:pPr>
        <w:snapToGrid w:val="0"/>
        <w:spacing w:line="360" w:lineRule="auto"/>
        <w:rPr>
          <w:rFonts w:ascii="宋体" w:hAnsi="宋体"/>
          <w:b/>
          <w:color w:val="auto"/>
          <w:szCs w:val="21"/>
          <w:highlight w:val="none"/>
        </w:rPr>
      </w:pPr>
      <w:r>
        <w:rPr>
          <w:rFonts w:ascii="宋体" w:hAnsi="宋体"/>
          <w:b/>
          <w:color w:val="auto"/>
          <w:szCs w:val="21"/>
          <w:highlight w:val="none"/>
        </w:rPr>
        <w:t>七、对本次招标提出询问，请按以下方式联系。</w:t>
      </w:r>
      <w:bookmarkEnd w:id="24"/>
      <w:bookmarkEnd w:id="25"/>
      <w:bookmarkEnd w:id="26"/>
      <w:bookmarkEnd w:id="27"/>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1.采购人信息</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名称：宁波市市场监督管理局</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地址：宁波市鄞州区和济街69号</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传真：/</w:t>
      </w:r>
    </w:p>
    <w:p>
      <w:pPr>
        <w:snapToGrid w:val="0"/>
        <w:spacing w:line="360" w:lineRule="auto"/>
        <w:ind w:firstLine="411" w:firstLineChars="196"/>
        <w:rPr>
          <w:rFonts w:ascii="宋体" w:hAnsi="宋体"/>
          <w:color w:val="auto"/>
          <w:szCs w:val="21"/>
          <w:highlight w:val="none"/>
        </w:rPr>
      </w:pPr>
      <w:bookmarkStart w:id="28" w:name="_Toc28359086"/>
      <w:bookmarkStart w:id="29" w:name="_Toc28359009"/>
      <w:r>
        <w:rPr>
          <w:rFonts w:ascii="宋体" w:hAnsi="宋体"/>
          <w:color w:val="auto"/>
          <w:szCs w:val="21"/>
          <w:highlight w:val="none"/>
        </w:rPr>
        <w:t>项目联系人（询问）：鲁老师</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项目联系方式（询问）：0574-89189764</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质疑联系人：李老师</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质疑联系方式：0574-89189770</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2.采购代理机构信息</w:t>
      </w:r>
      <w:bookmarkEnd w:id="28"/>
      <w:bookmarkEnd w:id="29"/>
    </w:p>
    <w:p>
      <w:pPr>
        <w:snapToGrid w:val="0"/>
        <w:spacing w:line="360" w:lineRule="auto"/>
        <w:ind w:firstLine="411" w:firstLineChars="196"/>
        <w:rPr>
          <w:rFonts w:ascii="宋体" w:hAnsi="宋体"/>
          <w:color w:val="auto"/>
          <w:szCs w:val="21"/>
          <w:highlight w:val="none"/>
        </w:rPr>
      </w:pPr>
      <w:bookmarkStart w:id="30" w:name="_Toc28359087"/>
      <w:bookmarkStart w:id="31" w:name="_Toc28359010"/>
      <w:r>
        <w:rPr>
          <w:rFonts w:ascii="宋体" w:hAnsi="宋体"/>
          <w:color w:val="auto"/>
          <w:szCs w:val="21"/>
          <w:highlight w:val="none"/>
        </w:rPr>
        <w:t>名称：宁波名诚招标代理有限公司</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地址：宁波市海曙区江汇城496号姚江时代14幢3楼</w:t>
      </w:r>
    </w:p>
    <w:p>
      <w:pPr>
        <w:snapToGrid w:val="0"/>
        <w:spacing w:line="360" w:lineRule="auto"/>
        <w:ind w:firstLine="411" w:firstLineChars="196"/>
        <w:rPr>
          <w:rFonts w:hint="eastAsia" w:ascii="宋体" w:hAnsi="宋体" w:eastAsia="宋体"/>
          <w:color w:val="auto"/>
          <w:szCs w:val="21"/>
          <w:highlight w:val="none"/>
          <w:lang w:val="en-US" w:eastAsia="zh-CN"/>
        </w:rPr>
      </w:pPr>
      <w:r>
        <w:rPr>
          <w:rFonts w:ascii="宋体" w:hAnsi="宋体"/>
          <w:color w:val="auto"/>
          <w:szCs w:val="21"/>
          <w:highlight w:val="none"/>
        </w:rPr>
        <w:t>传真：</w:t>
      </w:r>
      <w:r>
        <w:rPr>
          <w:rFonts w:hint="eastAsia" w:ascii="宋体" w:hAnsi="宋体"/>
          <w:color w:val="auto"/>
          <w:szCs w:val="21"/>
          <w:highlight w:val="none"/>
          <w:lang w:val="en-US" w:eastAsia="zh-CN"/>
        </w:rPr>
        <w:t>/</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项目联系人（询问）：王立挺、</w:t>
      </w:r>
      <w:r>
        <w:rPr>
          <w:rFonts w:hint="eastAsia" w:ascii="宋体" w:hAnsi="宋体"/>
          <w:color w:val="auto"/>
          <w:szCs w:val="21"/>
          <w:highlight w:val="none"/>
        </w:rPr>
        <w:t>何晟昊、</w:t>
      </w:r>
      <w:r>
        <w:rPr>
          <w:rFonts w:ascii="宋体" w:hAnsi="宋体"/>
          <w:color w:val="auto"/>
          <w:szCs w:val="21"/>
          <w:highlight w:val="none"/>
        </w:rPr>
        <w:t>江森杰、金生华、任艳芬、王柯达、王裕挺</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项目联系方式（询问）：0574-87101259</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质疑联系人：方芳</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质疑联系方式：0574-87101271</w:t>
      </w:r>
    </w:p>
    <w:bookmarkEnd w:id="30"/>
    <w:bookmarkEnd w:id="31"/>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3.同级政府采购监督管理部门</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 xml:space="preserve">名称：宁波市财政局政府采购监管处 </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地址：宁波市海曙区中山西路19号</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传真：/</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联系人：李老师</w:t>
      </w:r>
    </w:p>
    <w:p>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t>监督投诉电话：0574-89388042</w:t>
      </w:r>
    </w:p>
    <w:p>
      <w:pPr>
        <w:pStyle w:val="18"/>
        <w:spacing w:after="0" w:line="360" w:lineRule="auto"/>
        <w:rPr>
          <w:rFonts w:ascii="宋体" w:hAnsi="宋体"/>
          <w:color w:val="auto"/>
          <w:sz w:val="21"/>
          <w:szCs w:val="21"/>
          <w:highlight w:val="none"/>
        </w:rPr>
      </w:pP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若对项目采购电子交易系统操作有疑问，可登录政采云（https://www.zcygov.cn/），点击右侧咨询小采，获取采小蜜智能服务管家帮助，或拨打政采云服务热线</w:t>
      </w:r>
      <w:r>
        <w:rPr>
          <w:rFonts w:ascii="宋体" w:hAnsi="宋体"/>
          <w:color w:val="auto"/>
          <w:szCs w:val="21"/>
          <w:highlight w:val="none"/>
        </w:rPr>
        <w:t>95763</w:t>
      </w:r>
      <w:r>
        <w:rPr>
          <w:rFonts w:hint="eastAsia" w:ascii="宋体" w:hAnsi="宋体"/>
          <w:color w:val="auto"/>
          <w:szCs w:val="21"/>
          <w:highlight w:val="none"/>
        </w:rPr>
        <w:t>获取热线服务帮助。</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CA问题联系电话（人工）：汇信CA 400-888-4636；天谷CA 400-087-8198。</w:t>
      </w:r>
    </w:p>
    <w:p>
      <w:pPr>
        <w:widowControl/>
        <w:jc w:val="left"/>
        <w:rPr>
          <w:rFonts w:ascii="宋体" w:hAnsi="宋体"/>
          <w:color w:val="auto"/>
          <w:szCs w:val="21"/>
          <w:highlight w:val="none"/>
        </w:rPr>
      </w:pPr>
      <w:r>
        <w:rPr>
          <w:rFonts w:ascii="宋体" w:hAnsi="宋体"/>
          <w:color w:val="auto"/>
          <w:szCs w:val="21"/>
          <w:highlight w:val="none"/>
        </w:rPr>
        <w:br w:type="page"/>
      </w:r>
    </w:p>
    <w:p>
      <w:pPr>
        <w:pStyle w:val="2"/>
        <w:spacing w:before="0" w:after="0"/>
        <w:rPr>
          <w:rFonts w:ascii="宋体" w:hAnsi="宋体"/>
          <w:color w:val="auto"/>
          <w:highlight w:val="none"/>
        </w:rPr>
      </w:pPr>
      <w:bookmarkStart w:id="32" w:name="_Toc110177689"/>
      <w:r>
        <w:rPr>
          <w:rFonts w:ascii="宋体" w:hAnsi="宋体"/>
          <w:color w:val="auto"/>
          <w:highlight w:val="none"/>
        </w:rPr>
        <w:t>第二章  采购需求</w:t>
      </w:r>
      <w:bookmarkEnd w:id="32"/>
    </w:p>
    <w:p>
      <w:pPr>
        <w:spacing w:line="360" w:lineRule="auto"/>
        <w:ind w:firstLine="435"/>
        <w:rPr>
          <w:rFonts w:ascii="宋体" w:hAnsi="宋体"/>
          <w:b/>
          <w:color w:val="auto"/>
          <w:szCs w:val="21"/>
          <w:highlight w:val="none"/>
        </w:rPr>
      </w:pPr>
      <w:r>
        <w:rPr>
          <w:rFonts w:ascii="宋体" w:hAnsi="宋体"/>
          <w:b/>
          <w:color w:val="auto"/>
          <w:szCs w:val="21"/>
          <w:highlight w:val="none"/>
        </w:rPr>
        <w:t>前注</w:t>
      </w:r>
    </w:p>
    <w:p>
      <w:pPr>
        <w:spacing w:line="360" w:lineRule="auto"/>
        <w:ind w:firstLine="420" w:firstLineChars="200"/>
        <w:rPr>
          <w:rFonts w:ascii="宋体" w:hAnsi="宋体"/>
          <w:bCs/>
          <w:color w:val="auto"/>
          <w:kern w:val="0"/>
          <w:szCs w:val="21"/>
          <w:highlight w:val="none"/>
        </w:rPr>
      </w:pPr>
      <w:r>
        <w:rPr>
          <w:rFonts w:ascii="宋体" w:hAnsi="宋体"/>
          <w:bCs/>
          <w:color w:val="auto"/>
          <w:kern w:val="0"/>
          <w:szCs w:val="21"/>
          <w:highlight w:val="none"/>
        </w:rPr>
        <w:t>本项目技术和服务的详细要求，投标人必须对其有明确的响应，并如实描述偏离情况。明确要求提供证明材料的，如在响应时仅复制粘贴或仅具有文字描述而未提供要求的佐证材料，其产生的影响直至被认定为未实质性响应的后果将由投标人自行承担。</w:t>
      </w:r>
    </w:p>
    <w:p>
      <w:pPr>
        <w:spacing w:line="360" w:lineRule="auto"/>
        <w:ind w:firstLine="435"/>
        <w:rPr>
          <w:rFonts w:ascii="宋体" w:hAnsi="宋体"/>
          <w:b/>
          <w:color w:val="auto"/>
          <w:szCs w:val="21"/>
          <w:highlight w:val="none"/>
        </w:rPr>
      </w:pPr>
      <w:r>
        <w:rPr>
          <w:rFonts w:ascii="宋体" w:hAnsi="宋体"/>
          <w:b/>
          <w:color w:val="auto"/>
          <w:szCs w:val="21"/>
          <w:highlight w:val="none"/>
        </w:rPr>
        <w:t>一、商务要求</w:t>
      </w:r>
    </w:p>
    <w:tbl>
      <w:tblPr>
        <w:tblStyle w:val="43"/>
        <w:tblW w:w="8930" w:type="dxa"/>
        <w:tblInd w:w="0" w:type="dxa"/>
        <w:tblLayout w:type="fixed"/>
        <w:tblCellMar>
          <w:top w:w="0" w:type="dxa"/>
          <w:left w:w="108" w:type="dxa"/>
          <w:bottom w:w="0" w:type="dxa"/>
          <w:right w:w="108" w:type="dxa"/>
        </w:tblCellMar>
      </w:tblPr>
      <w:tblGrid>
        <w:gridCol w:w="704"/>
        <w:gridCol w:w="1427"/>
        <w:gridCol w:w="6799"/>
      </w:tblGrid>
      <w:tr>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1"/>
                <w:highlight w:val="none"/>
              </w:rPr>
            </w:pPr>
            <w:r>
              <w:rPr>
                <w:rFonts w:ascii="宋体" w:hAnsi="宋体"/>
                <w:b/>
                <w:color w:val="auto"/>
                <w:szCs w:val="21"/>
                <w:highlight w:val="none"/>
              </w:rPr>
              <w:t>序号</w:t>
            </w:r>
          </w:p>
        </w:tc>
        <w:tc>
          <w:tcPr>
            <w:tcW w:w="14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1"/>
                <w:highlight w:val="none"/>
              </w:rPr>
            </w:pPr>
            <w:r>
              <w:rPr>
                <w:rFonts w:ascii="宋体" w:hAnsi="宋体"/>
                <w:b/>
                <w:color w:val="auto"/>
                <w:szCs w:val="21"/>
                <w:highlight w:val="none"/>
              </w:rPr>
              <w:t>项目</w:t>
            </w:r>
          </w:p>
        </w:tc>
        <w:tc>
          <w:tcPr>
            <w:tcW w:w="67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1"/>
                <w:highlight w:val="none"/>
              </w:rPr>
            </w:pPr>
            <w:r>
              <w:rPr>
                <w:rFonts w:ascii="宋体" w:hAnsi="宋体"/>
                <w:b/>
                <w:color w:val="auto"/>
                <w:szCs w:val="21"/>
                <w:highlight w:val="none"/>
              </w:rPr>
              <w:t>要求</w:t>
            </w:r>
          </w:p>
        </w:tc>
      </w:tr>
      <w:tr>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1</w:t>
            </w:r>
          </w:p>
        </w:tc>
        <w:tc>
          <w:tcPr>
            <w:tcW w:w="14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szCs w:val="21"/>
                <w:highlight w:val="none"/>
              </w:rPr>
            </w:pPr>
            <w:r>
              <w:rPr>
                <w:rFonts w:ascii="宋体" w:hAnsi="宋体"/>
                <w:color w:val="auto"/>
                <w:szCs w:val="21"/>
                <w:highlight w:val="none"/>
              </w:rPr>
              <w:t>服务期限</w:t>
            </w:r>
          </w:p>
        </w:tc>
        <w:tc>
          <w:tcPr>
            <w:tcW w:w="67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ascii="宋体" w:hAnsi="宋体"/>
                <w:color w:val="auto"/>
                <w:szCs w:val="21"/>
                <w:highlight w:val="none"/>
              </w:rPr>
              <w:t>自合同签订之日起至项目完成</w:t>
            </w:r>
          </w:p>
        </w:tc>
      </w:tr>
      <w:tr>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14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szCs w:val="21"/>
                <w:highlight w:val="none"/>
              </w:rPr>
            </w:pPr>
            <w:r>
              <w:rPr>
                <w:rFonts w:ascii="宋体" w:hAnsi="宋体"/>
                <w:color w:val="auto"/>
                <w:szCs w:val="21"/>
                <w:highlight w:val="none"/>
              </w:rPr>
              <w:t>服务地点</w:t>
            </w:r>
          </w:p>
        </w:tc>
        <w:tc>
          <w:tcPr>
            <w:tcW w:w="67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ascii="宋体" w:hAnsi="宋体"/>
                <w:color w:val="auto"/>
                <w:szCs w:val="21"/>
                <w:highlight w:val="none"/>
              </w:rPr>
              <w:t>宁波市</w:t>
            </w:r>
          </w:p>
        </w:tc>
      </w:tr>
      <w:tr>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3</w:t>
            </w:r>
          </w:p>
        </w:tc>
        <w:tc>
          <w:tcPr>
            <w:tcW w:w="14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szCs w:val="21"/>
                <w:highlight w:val="none"/>
              </w:rPr>
            </w:pPr>
            <w:r>
              <w:rPr>
                <w:rFonts w:ascii="宋体" w:hAnsi="宋体"/>
                <w:color w:val="auto"/>
                <w:szCs w:val="21"/>
                <w:highlight w:val="none"/>
              </w:rPr>
              <w:t>质量标准</w:t>
            </w:r>
          </w:p>
        </w:tc>
        <w:tc>
          <w:tcPr>
            <w:tcW w:w="67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ascii="宋体" w:hAnsi="宋体"/>
                <w:color w:val="auto"/>
                <w:szCs w:val="21"/>
                <w:highlight w:val="none"/>
              </w:rPr>
              <w:t>服务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符合招标文件的技术要求。</w:t>
            </w:r>
          </w:p>
        </w:tc>
      </w:tr>
      <w:tr>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4</w:t>
            </w:r>
          </w:p>
        </w:tc>
        <w:tc>
          <w:tcPr>
            <w:tcW w:w="14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szCs w:val="21"/>
                <w:highlight w:val="none"/>
              </w:rPr>
            </w:pPr>
            <w:r>
              <w:rPr>
                <w:rFonts w:ascii="宋体" w:hAnsi="宋体"/>
                <w:color w:val="auto"/>
                <w:szCs w:val="21"/>
                <w:highlight w:val="none"/>
              </w:rPr>
              <w:t>验收</w:t>
            </w:r>
          </w:p>
        </w:tc>
        <w:tc>
          <w:tcPr>
            <w:tcW w:w="67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双方按照确定的技术标准进行验收。验收前，乙方应向甲方提交所有验收必备资料。</w:t>
            </w:r>
          </w:p>
        </w:tc>
      </w:tr>
      <w:tr>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5</w:t>
            </w:r>
          </w:p>
        </w:tc>
        <w:tc>
          <w:tcPr>
            <w:tcW w:w="14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szCs w:val="21"/>
                <w:highlight w:val="none"/>
              </w:rPr>
            </w:pPr>
            <w:r>
              <w:rPr>
                <w:rFonts w:ascii="宋体" w:hAnsi="宋体"/>
                <w:color w:val="auto"/>
                <w:szCs w:val="21"/>
                <w:highlight w:val="none"/>
              </w:rPr>
              <w:t>签订合同时间</w:t>
            </w:r>
          </w:p>
        </w:tc>
        <w:tc>
          <w:tcPr>
            <w:tcW w:w="67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ascii="宋体" w:hAnsi="宋体"/>
                <w:color w:val="auto"/>
                <w:szCs w:val="21"/>
                <w:highlight w:val="none"/>
              </w:rPr>
              <w:t>采购人在中标通知书发出之日起30日内与中标人签订书面合同。</w:t>
            </w:r>
          </w:p>
        </w:tc>
      </w:tr>
      <w:tr>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6</w:t>
            </w:r>
          </w:p>
        </w:tc>
        <w:tc>
          <w:tcPr>
            <w:tcW w:w="14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szCs w:val="21"/>
                <w:highlight w:val="none"/>
              </w:rPr>
            </w:pPr>
            <w:r>
              <w:rPr>
                <w:rFonts w:ascii="宋体" w:hAnsi="宋体"/>
                <w:color w:val="auto"/>
                <w:szCs w:val="21"/>
                <w:highlight w:val="none"/>
              </w:rPr>
              <w:t>合同款项支付条件及方式</w:t>
            </w:r>
          </w:p>
        </w:tc>
        <w:tc>
          <w:tcPr>
            <w:tcW w:w="67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合同签订生效且具有实施条件之日起7个工作日内采购人支付合同总额的40%作为预付款；</w:t>
            </w:r>
          </w:p>
          <w:p>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所承担标项任务抽检完成后按照实际费用结算</w:t>
            </w:r>
            <w:r>
              <w:rPr>
                <w:rFonts w:hint="eastAsia" w:ascii="宋体" w:hAnsi="宋体"/>
                <w:color w:val="auto"/>
                <w:szCs w:val="21"/>
                <w:highlight w:val="none"/>
              </w:rPr>
              <w:t>合同款。</w:t>
            </w:r>
          </w:p>
        </w:tc>
      </w:tr>
      <w:tr>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7</w:t>
            </w:r>
          </w:p>
        </w:tc>
        <w:tc>
          <w:tcPr>
            <w:tcW w:w="14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szCs w:val="21"/>
                <w:highlight w:val="none"/>
              </w:rPr>
            </w:pPr>
            <w:r>
              <w:rPr>
                <w:rFonts w:ascii="宋体" w:hAnsi="宋体"/>
                <w:color w:val="auto"/>
                <w:szCs w:val="21"/>
                <w:highlight w:val="none"/>
              </w:rPr>
              <w:t>履约保证金</w:t>
            </w:r>
          </w:p>
        </w:tc>
        <w:tc>
          <w:tcPr>
            <w:tcW w:w="67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本项目无须中标人缴纳履约保证金</w:t>
            </w:r>
          </w:p>
        </w:tc>
      </w:tr>
      <w:tr>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8</w:t>
            </w:r>
          </w:p>
        </w:tc>
        <w:tc>
          <w:tcPr>
            <w:tcW w:w="14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szCs w:val="21"/>
                <w:highlight w:val="none"/>
              </w:rPr>
            </w:pPr>
            <w:r>
              <w:rPr>
                <w:rFonts w:ascii="宋体" w:hAnsi="宋体"/>
                <w:color w:val="auto"/>
                <w:szCs w:val="21"/>
                <w:highlight w:val="none"/>
              </w:rPr>
              <w:t>发票要求</w:t>
            </w:r>
          </w:p>
        </w:tc>
        <w:tc>
          <w:tcPr>
            <w:tcW w:w="67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中标人应在采购人支付费用前，依据相应的金额，先行向采购人提供足额且符合税法规定的发票。采购人在收到中标人提供的发票后在合同约定的时间内支付相应款项，否则采购人有权延迟支付而不被视为违约，亦无须承担任何责任。</w:t>
            </w:r>
          </w:p>
          <w:p>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9</w:t>
            </w:r>
          </w:p>
        </w:tc>
        <w:tc>
          <w:tcPr>
            <w:tcW w:w="14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szCs w:val="21"/>
                <w:highlight w:val="none"/>
              </w:rPr>
            </w:pPr>
            <w:r>
              <w:rPr>
                <w:rFonts w:ascii="宋体" w:hAnsi="宋体"/>
                <w:color w:val="auto"/>
                <w:szCs w:val="21"/>
                <w:highlight w:val="none"/>
              </w:rPr>
              <w:t>其他</w:t>
            </w:r>
          </w:p>
        </w:tc>
        <w:tc>
          <w:tcPr>
            <w:tcW w:w="67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ascii="宋体" w:hAnsi="宋体"/>
                <w:color w:val="auto"/>
                <w:kern w:val="1"/>
                <w:szCs w:val="21"/>
                <w:highlight w:val="none"/>
              </w:rPr>
              <w:t>在合同执行过程中，中标人应承担由于其行为所造成的采购人或第三人的人身伤害、财产损失或损坏的责任，无论何种原因造成，与采购人无涉，由此导致的损失由中标人承担，无论何种原因采购人先行支付的，采购人有权向中标人进行追偿。</w:t>
            </w:r>
          </w:p>
        </w:tc>
      </w:tr>
      <w:tr>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10</w:t>
            </w:r>
          </w:p>
        </w:tc>
        <w:tc>
          <w:tcPr>
            <w:tcW w:w="14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知识产权要求</w:t>
            </w:r>
          </w:p>
        </w:tc>
        <w:tc>
          <w:tcPr>
            <w:tcW w:w="67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投标人提供的产品未侵犯他人的知识产权。</w:t>
            </w:r>
          </w:p>
        </w:tc>
      </w:tr>
    </w:tbl>
    <w:p>
      <w:pPr>
        <w:spacing w:line="360" w:lineRule="auto"/>
        <w:ind w:firstLine="437"/>
        <w:rPr>
          <w:rFonts w:ascii="宋体" w:hAnsi="宋体"/>
          <w:b/>
          <w:color w:val="auto"/>
          <w:szCs w:val="21"/>
          <w:highlight w:val="none"/>
        </w:rPr>
      </w:pPr>
      <w:r>
        <w:rPr>
          <w:rFonts w:ascii="宋体" w:hAnsi="宋体"/>
          <w:b/>
          <w:color w:val="auto"/>
          <w:szCs w:val="21"/>
          <w:highlight w:val="none"/>
        </w:rPr>
        <w:t>二、项目概况</w:t>
      </w:r>
    </w:p>
    <w:p>
      <w:pPr>
        <w:tabs>
          <w:tab w:val="left" w:pos="851"/>
        </w:tabs>
        <w:spacing w:line="360" w:lineRule="auto"/>
        <w:ind w:firstLine="415" w:firstLineChars="198"/>
        <w:rPr>
          <w:rFonts w:ascii="宋体" w:hAnsi="宋体"/>
          <w:color w:val="auto"/>
          <w:szCs w:val="21"/>
          <w:highlight w:val="none"/>
        </w:rPr>
      </w:pPr>
      <w:r>
        <w:rPr>
          <w:rFonts w:ascii="宋体" w:hAnsi="宋体"/>
          <w:color w:val="auto"/>
          <w:szCs w:val="21"/>
          <w:highlight w:val="none"/>
        </w:rPr>
        <w:t>1.项目名称：2024年宁波市食品安全抽检监测项目</w:t>
      </w:r>
    </w:p>
    <w:p>
      <w:pPr>
        <w:tabs>
          <w:tab w:val="left" w:pos="851"/>
        </w:tabs>
        <w:spacing w:line="360" w:lineRule="auto"/>
        <w:ind w:firstLine="415" w:firstLineChars="198"/>
        <w:rPr>
          <w:rFonts w:ascii="宋体" w:hAnsi="宋体"/>
          <w:color w:val="auto"/>
          <w:szCs w:val="21"/>
          <w:highlight w:val="none"/>
        </w:rPr>
      </w:pPr>
      <w:r>
        <w:rPr>
          <w:rFonts w:ascii="宋体" w:hAnsi="宋体"/>
          <w:color w:val="auto"/>
          <w:szCs w:val="21"/>
          <w:highlight w:val="none"/>
        </w:rPr>
        <w:t>2.服务内容：完成宁波市局抽检监测任务</w:t>
      </w:r>
      <w:r>
        <w:rPr>
          <w:rFonts w:hint="eastAsia" w:ascii="宋体" w:hAnsi="宋体"/>
          <w:color w:val="auto"/>
          <w:szCs w:val="21"/>
          <w:highlight w:val="none"/>
        </w:rPr>
        <w:t>1450</w:t>
      </w:r>
      <w:r>
        <w:rPr>
          <w:rFonts w:ascii="宋体" w:hAnsi="宋体"/>
          <w:color w:val="auto"/>
          <w:szCs w:val="21"/>
          <w:highlight w:val="none"/>
        </w:rPr>
        <w:t>批次，主要涵盖</w:t>
      </w:r>
      <w:r>
        <w:rPr>
          <w:rFonts w:hint="eastAsia" w:ascii="宋体" w:hAnsi="宋体"/>
          <w:color w:val="auto"/>
          <w:szCs w:val="21"/>
          <w:highlight w:val="none"/>
        </w:rPr>
        <w:t>风险隐患“回头看”专项抽检一、风险隐患“回头看”专项抽检二、重点食品专项抽检、全市食品安全综合抽检</w:t>
      </w:r>
      <w:r>
        <w:rPr>
          <w:rFonts w:ascii="宋体" w:hAnsi="宋体"/>
          <w:color w:val="auto"/>
          <w:szCs w:val="21"/>
          <w:highlight w:val="none"/>
        </w:rPr>
        <w:t>，共分为</w:t>
      </w:r>
      <w:r>
        <w:rPr>
          <w:rFonts w:hint="eastAsia" w:ascii="宋体" w:hAnsi="宋体"/>
          <w:color w:val="auto"/>
          <w:szCs w:val="21"/>
          <w:highlight w:val="none"/>
        </w:rPr>
        <w:t>四</w:t>
      </w:r>
      <w:r>
        <w:rPr>
          <w:rFonts w:ascii="宋体" w:hAnsi="宋体"/>
          <w:color w:val="auto"/>
          <w:szCs w:val="21"/>
          <w:highlight w:val="none"/>
        </w:rPr>
        <w:t>个标项。</w:t>
      </w:r>
    </w:p>
    <w:p>
      <w:pPr>
        <w:tabs>
          <w:tab w:val="left" w:pos="851"/>
        </w:tabs>
        <w:spacing w:line="360" w:lineRule="auto"/>
        <w:ind w:firstLine="417" w:firstLineChars="198"/>
        <w:rPr>
          <w:rFonts w:ascii="宋体" w:hAnsi="宋体"/>
          <w:b/>
          <w:color w:val="auto"/>
          <w:szCs w:val="21"/>
          <w:highlight w:val="none"/>
        </w:rPr>
      </w:pPr>
      <w:r>
        <w:rPr>
          <w:rFonts w:ascii="宋体" w:hAnsi="宋体"/>
          <w:b/>
          <w:color w:val="auto"/>
          <w:szCs w:val="21"/>
          <w:highlight w:val="none"/>
        </w:rPr>
        <w:t>三、抽检工作要求</w:t>
      </w:r>
    </w:p>
    <w:p>
      <w:pPr>
        <w:snapToGrid w:val="0"/>
        <w:spacing w:line="360" w:lineRule="auto"/>
        <w:ind w:firstLine="420"/>
        <w:rPr>
          <w:rFonts w:ascii="宋体" w:hAnsi="宋体"/>
          <w:color w:val="auto"/>
          <w:szCs w:val="21"/>
          <w:highlight w:val="none"/>
        </w:rPr>
      </w:pPr>
      <w:r>
        <w:rPr>
          <w:rFonts w:ascii="宋体" w:hAnsi="宋体"/>
          <w:b/>
          <w:color w:val="auto"/>
          <w:szCs w:val="21"/>
          <w:highlight w:val="none"/>
        </w:rPr>
        <w:t>1、抽样要求</w:t>
      </w:r>
    </w:p>
    <w:p>
      <w:pPr>
        <w:snapToGrid w:val="0"/>
        <w:spacing w:line="360" w:lineRule="auto"/>
        <w:ind w:firstLine="420"/>
        <w:rPr>
          <w:rFonts w:ascii="宋体" w:hAnsi="宋体"/>
          <w:color w:val="auto"/>
          <w:szCs w:val="21"/>
          <w:highlight w:val="none"/>
        </w:rPr>
      </w:pPr>
      <w:r>
        <w:rPr>
          <w:rFonts w:ascii="宋体" w:hAnsi="宋体"/>
          <w:color w:val="auto"/>
          <w:szCs w:val="21"/>
          <w:highlight w:val="none"/>
        </w:rPr>
        <w:t>1.1本项目抽样工作严格按照国家市场监督管理总局《食品安全抽样检验管理办法》《</w:t>
      </w:r>
      <w:r>
        <w:rPr>
          <w:rFonts w:hint="eastAsia" w:ascii="宋体" w:hAnsi="宋体"/>
          <w:color w:val="auto"/>
          <w:szCs w:val="21"/>
          <w:highlight w:val="none"/>
        </w:rPr>
        <w:t>国家食品安全监督抽检实施细则（2024版）</w:t>
      </w:r>
      <w:r>
        <w:rPr>
          <w:rFonts w:ascii="宋体" w:hAnsi="宋体"/>
          <w:color w:val="auto"/>
          <w:szCs w:val="21"/>
          <w:highlight w:val="none"/>
        </w:rPr>
        <w:t>》等规定执行，实行抽检分离。样品采集严格按照监督抽检工作程序，履行法定手续</w:t>
      </w:r>
      <w:r>
        <w:rPr>
          <w:rFonts w:hint="eastAsia" w:ascii="宋体" w:hAnsi="宋体"/>
          <w:color w:val="auto"/>
          <w:szCs w:val="21"/>
          <w:highlight w:val="none"/>
        </w:rPr>
        <w:t>，应急和风险监测任务可以不</w:t>
      </w:r>
      <w:r>
        <w:rPr>
          <w:rFonts w:ascii="宋体" w:hAnsi="宋体"/>
          <w:color w:val="auto"/>
          <w:szCs w:val="21"/>
          <w:highlight w:val="none"/>
        </w:rPr>
        <w:t>实行抽检分离。</w:t>
      </w:r>
    </w:p>
    <w:p>
      <w:pPr>
        <w:snapToGrid w:val="0"/>
        <w:spacing w:line="360" w:lineRule="auto"/>
        <w:ind w:firstLine="420"/>
        <w:rPr>
          <w:rFonts w:ascii="宋体" w:hAnsi="宋体"/>
          <w:color w:val="auto"/>
          <w:szCs w:val="21"/>
          <w:highlight w:val="none"/>
        </w:rPr>
      </w:pPr>
      <w:r>
        <w:rPr>
          <w:rFonts w:ascii="宋体" w:hAnsi="宋体"/>
          <w:color w:val="auto"/>
          <w:szCs w:val="21"/>
          <w:highlight w:val="none"/>
        </w:rPr>
        <w:t>1.2抽样区域覆盖宁波市的全部县（区、市）级行政区域。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1.3项目中各品种的抽样时间原则上遵循合同履行过程中采购人提供的“抽检任务清单”中的要求，遇特殊情况，因采购人要求或经采购人同意，可适当调整。</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1.4抽样机构应在接到采购人通知后2天内，组织安排好相关人员及车辆，开展抽样工作</w:t>
      </w:r>
      <w:r>
        <w:rPr>
          <w:rFonts w:hint="eastAsia" w:ascii="宋体" w:hAnsi="宋体"/>
          <w:color w:val="auto"/>
          <w:szCs w:val="21"/>
          <w:highlight w:val="none"/>
        </w:rPr>
        <w:t>（应急情况根据采购人提出的要求配合实施）</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1.5行前准备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由抽样机构通过浙江政务服务网一体化平台，实施“双随机”抽样。通知选中的抽样人员，落实保密纪律；安排抽样行程，准备相关文书（抽样告知书、工作纪律反馈单）、证件、抽样设施设备等。</w:t>
      </w:r>
    </w:p>
    <w:p>
      <w:pPr>
        <w:spacing w:line="360" w:lineRule="auto"/>
        <w:ind w:firstLine="417" w:firstLineChars="199"/>
        <w:rPr>
          <w:rFonts w:ascii="宋体" w:hAnsi="宋体"/>
          <w:color w:val="auto"/>
          <w:szCs w:val="21"/>
          <w:highlight w:val="none"/>
        </w:rPr>
      </w:pPr>
      <w:r>
        <w:rPr>
          <w:rFonts w:ascii="宋体" w:hAnsi="宋体"/>
          <w:color w:val="auto"/>
          <w:szCs w:val="21"/>
          <w:highlight w:val="none"/>
        </w:rPr>
        <w:t>1.6抽样现场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w:t>
      </w:r>
      <w:r>
        <w:rPr>
          <w:rFonts w:ascii="宋体" w:hAnsi="宋体"/>
          <w:color w:val="auto"/>
          <w:szCs w:val="21"/>
          <w:highlight w:val="none"/>
        </w:rPr>
        <w:t>告知相关内容。抽样时应向被抽样单位出示《国家食品安全抽样检验告知书》和抽样人员有效身份证件，告知以下内容：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（1）抽检性质范围。指导被抽样单位阅读文书背面须知，告知抽检监测性质、抽检监测食品范围等相关信息。</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异议投诉渠道。告知被抽样单位如对抽样过程有异议，可在抽样完成后7个工作日内，向实施监督抽检的市场监督管理部门提出书面申请，并提交相关证明材料。告知投诉渠道，若检验机构在样品检验时不按要求违规联系企业的，可及时向当地市场监督管理部门投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w:t>
      </w:r>
      <w:r>
        <w:rPr>
          <w:rFonts w:ascii="宋体" w:hAnsi="宋体"/>
          <w:color w:val="auto"/>
          <w:szCs w:val="21"/>
          <w:highlight w:val="none"/>
        </w:rPr>
        <w:t>现场视频和拍照。抽样人员通过拍照和录像等方式对被抽样品状态、食品库存及其他可能影响抽检监测结果的情形进行现场信息采集，原则上要求全程视频录像，且现场采集的信息需包含：</w:t>
      </w:r>
    </w:p>
    <w:p>
      <w:pPr>
        <w:pStyle w:val="18"/>
        <w:spacing w:after="0" w:line="360" w:lineRule="auto"/>
        <w:ind w:firstLine="420"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（1）被抽样单位外观，如门牌、招牌或摊位号等信息；</w:t>
      </w:r>
    </w:p>
    <w:p>
      <w:pPr>
        <w:pStyle w:val="18"/>
        <w:spacing w:after="0" w:line="360" w:lineRule="auto"/>
        <w:ind w:firstLine="420"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（2）被抽样单位营业执照、许可证、备案凭证等资质证明文件照片；</w:t>
      </w:r>
    </w:p>
    <w:p>
      <w:pPr>
        <w:pStyle w:val="18"/>
        <w:spacing w:after="0" w:line="360" w:lineRule="auto"/>
        <w:ind w:firstLine="420"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（3）样品贮存环境；</w:t>
      </w:r>
    </w:p>
    <w:p>
      <w:pPr>
        <w:pStyle w:val="18"/>
        <w:spacing w:after="0" w:line="360" w:lineRule="auto"/>
        <w:ind w:firstLine="420"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（4）被抽样品的完整包装（标签）信息；</w:t>
      </w:r>
    </w:p>
    <w:p>
      <w:pPr>
        <w:pStyle w:val="18"/>
        <w:spacing w:after="0" w:line="360" w:lineRule="auto"/>
        <w:ind w:firstLine="420"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（5）抽取食用农产品时，还应采集承诺达标合格证、检验检疫票据、进货凭证等信息；</w:t>
      </w:r>
    </w:p>
    <w:p>
      <w:pPr>
        <w:pStyle w:val="18"/>
        <w:spacing w:after="0" w:line="360" w:lineRule="auto"/>
        <w:ind w:firstLine="420"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（6）有特殊储运要求的样品应当同时包含样品采取的防护措施。</w:t>
      </w:r>
    </w:p>
    <w:p>
      <w:pPr>
        <w:pStyle w:val="18"/>
        <w:spacing w:after="0" w:line="360" w:lineRule="auto"/>
        <w:ind w:firstLine="420"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（7）抽样人员现场抽取样品的照片；</w:t>
      </w:r>
    </w:p>
    <w:p>
      <w:pPr>
        <w:pStyle w:val="18"/>
        <w:spacing w:after="0" w:line="360" w:lineRule="auto"/>
        <w:ind w:firstLine="420"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（8）封样完毕后，所封样品码放整齐后的外观照片和封条近照；</w:t>
      </w:r>
    </w:p>
    <w:p>
      <w:pPr>
        <w:pStyle w:val="18"/>
        <w:spacing w:after="0" w:line="360" w:lineRule="auto"/>
        <w:ind w:firstLine="420"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（9）同时包含抽样人员和被抽样单位人员的照片；</w:t>
      </w:r>
    </w:p>
    <w:p>
      <w:pPr>
        <w:pStyle w:val="18"/>
        <w:spacing w:after="0" w:line="360" w:lineRule="auto"/>
        <w:ind w:firstLine="420"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（10）样品购置发票或相关购物凭证；</w:t>
      </w:r>
    </w:p>
    <w:p>
      <w:pPr>
        <w:pStyle w:val="18"/>
        <w:spacing w:after="0" w:line="360" w:lineRule="auto"/>
        <w:ind w:firstLine="420"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（11）其他需要采集的信息。</w:t>
      </w:r>
    </w:p>
    <w:p>
      <w:pPr>
        <w:pStyle w:val="19"/>
        <w:spacing w:after="0" w:line="360" w:lineRule="auto"/>
        <w:ind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网络抽样时，购买样品过程中应当通过截图、拍照或者录像等方式采集以下信息：</w:t>
      </w:r>
    </w:p>
    <w:p>
      <w:pPr>
        <w:pStyle w:val="19"/>
        <w:spacing w:after="0" w:line="360" w:lineRule="auto"/>
        <w:ind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（1）样品展示页信息，应当包括网店名称、网址、食品名称、规格型号、单价等；</w:t>
      </w:r>
    </w:p>
    <w:p>
      <w:pPr>
        <w:pStyle w:val="19"/>
        <w:spacing w:after="0" w:line="360" w:lineRule="auto"/>
        <w:ind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（2）网页上显示的被抽样单位营业执照、许可证等证件；</w:t>
      </w:r>
    </w:p>
    <w:p>
      <w:pPr>
        <w:pStyle w:val="19"/>
        <w:spacing w:after="0" w:line="360" w:lineRule="auto"/>
        <w:ind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（3）支付记录；</w:t>
      </w:r>
    </w:p>
    <w:p>
      <w:pPr>
        <w:pStyle w:val="19"/>
        <w:spacing w:after="0" w:line="360" w:lineRule="auto"/>
        <w:ind w:firstLineChars="200"/>
        <w:rPr>
          <w:rFonts w:ascii="宋体" w:hAnsi="宋体" w:cstheme="minorEastAsia"/>
          <w:color w:val="auto"/>
          <w:sz w:val="21"/>
          <w:szCs w:val="21"/>
          <w:highlight w:val="none"/>
        </w:rPr>
      </w:pPr>
      <w:r>
        <w:rPr>
          <w:rFonts w:hint="eastAsia" w:ascii="宋体" w:hAnsi="宋体" w:cstheme="minorEastAsia"/>
          <w:color w:val="auto"/>
          <w:sz w:val="21"/>
          <w:szCs w:val="21"/>
          <w:highlight w:val="none"/>
        </w:rPr>
        <w:t>（4）成功下单后的订单信息，包括订单编号、订单日期、样品明细、费用明细、收货人信息等；</w:t>
      </w:r>
    </w:p>
    <w:p>
      <w:pPr>
        <w:pStyle w:val="19"/>
        <w:spacing w:after="0" w:line="360" w:lineRule="auto"/>
        <w:ind w:firstLineChars="200"/>
        <w:rPr>
          <w:rFonts w:ascii="宋体" w:hAnsi="宋体"/>
          <w:color w:val="auto"/>
          <w:sz w:val="21"/>
          <w:szCs w:val="21"/>
          <w:highlight w:val="none"/>
        </w:rPr>
      </w:pPr>
      <w:r>
        <w:rPr>
          <w:rFonts w:hint="eastAsia" w:ascii="宋体" w:hAnsi="宋体" w:cstheme="minorEastAsia"/>
          <w:color w:val="auto"/>
          <w:sz w:val="21"/>
          <w:szCs w:val="21"/>
          <w:highlight w:val="none"/>
        </w:rPr>
        <w:t>（5）其他需要记录的信息。</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1.7样品取样</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抽样人员应当从食品生产者的成品库待销产品中或者从食品经营者仓库和用于经营的食品中随机抽取样品。至少有2名抽样人员同时现场抽取，不得由被抽样单位自行提供。</w:t>
      </w:r>
    </w:p>
    <w:p>
      <w:pPr>
        <w:spacing w:line="360" w:lineRule="auto"/>
        <w:ind w:firstLine="422" w:firstLineChars="200"/>
        <w:rPr>
          <w:rFonts w:ascii="宋体" w:hAnsi="宋体"/>
          <w:color w:val="auto"/>
          <w:szCs w:val="21"/>
          <w:highlight w:val="none"/>
        </w:rPr>
      </w:pPr>
      <w:r>
        <w:rPr>
          <w:rFonts w:ascii="宋体" w:hAnsi="宋体"/>
          <w:b/>
          <w:color w:val="auto"/>
          <w:szCs w:val="21"/>
          <w:highlight w:val="none"/>
        </w:rPr>
        <w:t>▲</w:t>
      </w:r>
      <w:r>
        <w:rPr>
          <w:rFonts w:ascii="宋体" w:hAnsi="宋体"/>
          <w:color w:val="auto"/>
          <w:szCs w:val="21"/>
          <w:highlight w:val="none"/>
        </w:rPr>
        <w:t>1.8信息单填写</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抽样要求采用PAD电子抽样，严格按照“国家食品安全抽样检验抽样单填表说明”要求在线填写抽样单，严格按照浙江省市场监督管理局“双随机”抽样要求在抽样单指定位置完整填写双随机抽样任务编号。现场抽样时，抽样人员（食用农产品抽样现场含监管人员）及被抽样单位人员应当由本人在抽样文书上共同签字或盖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1.9样品封存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样品一经抽取，抽样人员应在现场以妥善的方式进行封样，并贴上盖有抽样单位公章的封条，以防止样品被擅自拆封、动用及调换。</w:t>
      </w:r>
    </w:p>
    <w:p>
      <w:pPr>
        <w:spacing w:line="360" w:lineRule="auto"/>
        <w:ind w:firstLine="422" w:firstLineChars="200"/>
        <w:rPr>
          <w:rFonts w:ascii="宋体" w:hAnsi="宋体"/>
          <w:color w:val="auto"/>
          <w:szCs w:val="21"/>
          <w:highlight w:val="none"/>
        </w:rPr>
      </w:pPr>
      <w:r>
        <w:rPr>
          <w:rFonts w:ascii="宋体" w:hAnsi="宋体"/>
          <w:b/>
          <w:color w:val="auto"/>
          <w:szCs w:val="21"/>
          <w:highlight w:val="none"/>
        </w:rPr>
        <w:t>▲</w:t>
      </w:r>
      <w:r>
        <w:rPr>
          <w:rFonts w:ascii="宋体" w:hAnsi="宋体"/>
          <w:color w:val="auto"/>
          <w:szCs w:val="21"/>
          <w:highlight w:val="none"/>
        </w:rPr>
        <w:t>1.10抽样频次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以同一标称生产者或被抽检人销售的同一品牌、同一型号、同一规格、同一批次（生产日期）的食品作为一个抽检批次。国家食品安全抽检监测系统同一报送分类下，同一食品生产经营单位（门店）同一食品品种抽检频率不超过2批次/季度，同一食品生产经营单位（门店）累计不超过8批次/季度。</w:t>
      </w:r>
    </w:p>
    <w:p>
      <w:pPr>
        <w:spacing w:line="360" w:lineRule="auto"/>
        <w:ind w:firstLine="422" w:firstLineChars="200"/>
        <w:rPr>
          <w:rFonts w:ascii="宋体" w:hAnsi="宋体"/>
          <w:color w:val="auto"/>
          <w:szCs w:val="21"/>
          <w:highlight w:val="none"/>
        </w:rPr>
      </w:pPr>
      <w:r>
        <w:rPr>
          <w:rFonts w:ascii="宋体" w:hAnsi="宋体"/>
          <w:b/>
          <w:color w:val="auto"/>
          <w:szCs w:val="21"/>
          <w:highlight w:val="none"/>
        </w:rPr>
        <w:t>▲</w:t>
      </w:r>
      <w:r>
        <w:rPr>
          <w:rFonts w:ascii="宋体" w:hAnsi="宋体"/>
          <w:color w:val="auto"/>
          <w:szCs w:val="21"/>
          <w:highlight w:val="none"/>
        </w:rPr>
        <w:t>1.11样品费用支付</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各标项的预算费用已包含抽样费和买样费。每个中标</w:t>
      </w:r>
      <w:r>
        <w:rPr>
          <w:rFonts w:hint="eastAsia" w:ascii="宋体" w:hAnsi="宋体"/>
          <w:b/>
          <w:bCs/>
          <w:color w:val="auto"/>
          <w:szCs w:val="21"/>
          <w:highlight w:val="none"/>
        </w:rPr>
        <w:t>人</w:t>
      </w:r>
      <w:r>
        <w:rPr>
          <w:rFonts w:ascii="宋体" w:hAnsi="宋体"/>
          <w:b/>
          <w:bCs/>
          <w:color w:val="auto"/>
          <w:szCs w:val="21"/>
          <w:highlight w:val="none"/>
        </w:rPr>
        <w:t>各标项的投标报价以及投标报价明细表中的单批次检测费用报价均含该标项所需抽样批次的抽样费用及送至</w:t>
      </w:r>
      <w:r>
        <w:rPr>
          <w:rFonts w:hint="eastAsia" w:ascii="宋体" w:hAnsi="宋体"/>
          <w:b/>
          <w:bCs/>
          <w:color w:val="auto"/>
          <w:szCs w:val="21"/>
          <w:highlight w:val="none"/>
        </w:rPr>
        <w:t>承检机构</w:t>
      </w:r>
      <w:r>
        <w:rPr>
          <w:rFonts w:ascii="宋体" w:hAnsi="宋体"/>
          <w:b/>
          <w:bCs/>
          <w:color w:val="auto"/>
          <w:szCs w:val="21"/>
          <w:highlight w:val="none"/>
        </w:rPr>
        <w:t>检测的样品买样费用，采购人不再另外支付抽样费和买样费，投标</w:t>
      </w:r>
      <w:r>
        <w:rPr>
          <w:rFonts w:hint="eastAsia" w:ascii="宋体" w:hAnsi="宋体"/>
          <w:b/>
          <w:bCs/>
          <w:color w:val="auto"/>
          <w:szCs w:val="21"/>
          <w:highlight w:val="none"/>
        </w:rPr>
        <w:t>人</w:t>
      </w:r>
      <w:r>
        <w:rPr>
          <w:rFonts w:ascii="宋体" w:hAnsi="宋体"/>
          <w:b/>
          <w:bCs/>
          <w:color w:val="auto"/>
          <w:szCs w:val="21"/>
          <w:highlight w:val="none"/>
        </w:rPr>
        <w:t>在报价</w:t>
      </w:r>
      <w:r>
        <w:rPr>
          <w:rFonts w:hint="eastAsia" w:ascii="宋体" w:hAnsi="宋体"/>
          <w:b/>
          <w:bCs/>
          <w:color w:val="auto"/>
          <w:szCs w:val="21"/>
          <w:highlight w:val="none"/>
        </w:rPr>
        <w:t>时应充分考虑其中的成本等风险因素</w:t>
      </w:r>
      <w:r>
        <w:rPr>
          <w:rFonts w:ascii="宋体" w:hAnsi="宋体"/>
          <w:b/>
          <w:bCs/>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抽样机构的样品购买和处置工作应严格遵守《宁波市市场监督管理局抽检样品购买及处置管理办法（试行）》的规定。</w:t>
      </w:r>
    </w:p>
    <w:p>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2、样品交接要求</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2.1时限要求。抽样机构按照样品性质，在5个工作日内将样品和相关文书交接给承检机构。</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2.2核对信息。交接时，承检机构样品交接人员会同抽样机构，共同对样品的外包装、数量、存储方式、保质期、抽样单信息（生产日期、抽样日期、样品名称、被抽样单位营业执照号及许可证编号、双随机抽样任务编号）等逐一进行核对，现场封样并签字接收样品。如拒收样品的，应有合理理由，抽样机构做好拒收样品的登记记录，并加强追溯责任处理。</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2.3样品封样。检样、备样按照规定要求进行封存，保证无法替换。有条件的承检机构，可应用盲样编号管理制度。</w:t>
      </w:r>
    </w:p>
    <w:p>
      <w:pPr>
        <w:snapToGrid w:val="0"/>
        <w:spacing w:line="360" w:lineRule="auto"/>
        <w:ind w:firstLine="420"/>
        <w:rPr>
          <w:rFonts w:ascii="宋体" w:hAnsi="宋体"/>
          <w:b/>
          <w:color w:val="auto"/>
          <w:szCs w:val="21"/>
          <w:highlight w:val="none"/>
        </w:rPr>
      </w:pPr>
      <w:r>
        <w:rPr>
          <w:rFonts w:ascii="宋体" w:hAnsi="宋体"/>
          <w:b/>
          <w:color w:val="auto"/>
          <w:szCs w:val="21"/>
          <w:highlight w:val="none"/>
        </w:rPr>
        <w:t>3、检验时限要求</w:t>
      </w:r>
    </w:p>
    <w:p>
      <w:pPr>
        <w:snapToGrid w:val="0"/>
        <w:spacing w:line="360" w:lineRule="auto"/>
        <w:ind w:firstLine="420"/>
        <w:rPr>
          <w:rFonts w:ascii="宋体" w:hAnsi="宋体"/>
          <w:color w:val="auto"/>
          <w:szCs w:val="21"/>
          <w:highlight w:val="none"/>
        </w:rPr>
      </w:pPr>
      <w:r>
        <w:rPr>
          <w:rFonts w:ascii="宋体" w:hAnsi="宋体"/>
          <w:color w:val="auto"/>
          <w:szCs w:val="21"/>
          <w:highlight w:val="none"/>
        </w:rPr>
        <w:t>3.1样品采集完成后应有措施保障样品的有效性，确保检测样品和正常留样样品能复现产品质量状况。</w:t>
      </w:r>
    </w:p>
    <w:p>
      <w:pPr>
        <w:snapToGrid w:val="0"/>
        <w:spacing w:line="360" w:lineRule="auto"/>
        <w:ind w:firstLine="420"/>
        <w:rPr>
          <w:rFonts w:ascii="宋体" w:hAnsi="宋体"/>
          <w:color w:val="auto"/>
          <w:szCs w:val="21"/>
          <w:highlight w:val="none"/>
        </w:rPr>
      </w:pPr>
      <w:r>
        <w:rPr>
          <w:rFonts w:ascii="宋体" w:hAnsi="宋体"/>
          <w:color w:val="auto"/>
          <w:szCs w:val="21"/>
          <w:highlight w:val="none"/>
        </w:rPr>
        <w:t>3.2接样后20个工作日内在国抽系统上提交检测数据（不合格的样品要求同时出具纸质报告，连同抽样单、资质证明等相关纸质材料给采购人）。保质期短的产品应</w:t>
      </w:r>
      <w:r>
        <w:rPr>
          <w:rFonts w:hint="eastAsia" w:ascii="宋体" w:hAnsi="宋体"/>
          <w:color w:val="auto"/>
          <w:szCs w:val="21"/>
          <w:highlight w:val="none"/>
        </w:rPr>
        <w:t>在</w:t>
      </w:r>
      <w:r>
        <w:rPr>
          <w:rFonts w:ascii="宋体" w:hAnsi="宋体"/>
          <w:color w:val="auto"/>
          <w:szCs w:val="21"/>
          <w:highlight w:val="none"/>
        </w:rPr>
        <w:t>尽可能短</w:t>
      </w:r>
      <w:r>
        <w:rPr>
          <w:rFonts w:hint="eastAsia" w:ascii="宋体" w:hAnsi="宋体"/>
          <w:color w:val="auto"/>
          <w:szCs w:val="21"/>
          <w:highlight w:val="none"/>
        </w:rPr>
        <w:t>的</w:t>
      </w:r>
      <w:r>
        <w:rPr>
          <w:rFonts w:ascii="宋体" w:hAnsi="宋体"/>
          <w:color w:val="auto"/>
          <w:szCs w:val="21"/>
          <w:highlight w:val="none"/>
        </w:rPr>
        <w:t>期限内出具检测报告（紧急任务以采购人要求为准，特殊情况另行协商确定）。</w:t>
      </w:r>
    </w:p>
    <w:p>
      <w:pPr>
        <w:snapToGrid w:val="0"/>
        <w:spacing w:line="360" w:lineRule="auto"/>
        <w:ind w:firstLine="420"/>
        <w:rPr>
          <w:rFonts w:ascii="宋体" w:hAnsi="宋体"/>
          <w:color w:val="auto"/>
          <w:szCs w:val="21"/>
          <w:highlight w:val="none"/>
        </w:rPr>
      </w:pPr>
      <w:r>
        <w:rPr>
          <w:rFonts w:ascii="宋体" w:hAnsi="宋体"/>
          <w:color w:val="auto"/>
          <w:szCs w:val="21"/>
          <w:highlight w:val="none"/>
        </w:rPr>
        <w:t>3.3检测过程中，遇到不合格项目情况，需在检测结果确认后24小时内报采购人。</w:t>
      </w:r>
    </w:p>
    <w:p>
      <w:pPr>
        <w:snapToGrid w:val="0"/>
        <w:spacing w:line="360" w:lineRule="auto"/>
        <w:ind w:firstLine="422" w:firstLineChars="200"/>
        <w:rPr>
          <w:rFonts w:ascii="宋体" w:hAnsi="宋体"/>
          <w:color w:val="auto"/>
          <w:szCs w:val="21"/>
          <w:highlight w:val="none"/>
        </w:rPr>
      </w:pPr>
      <w:r>
        <w:rPr>
          <w:rFonts w:ascii="宋体" w:hAnsi="宋体"/>
          <w:b/>
          <w:color w:val="auto"/>
          <w:szCs w:val="21"/>
          <w:highlight w:val="none"/>
        </w:rPr>
        <w:t>4、检验检测要求</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4.1承检机构必须在规定的检验时间内按照采购</w:t>
      </w:r>
      <w:r>
        <w:rPr>
          <w:rFonts w:hint="eastAsia" w:ascii="宋体" w:hAnsi="宋体"/>
          <w:color w:val="auto"/>
          <w:szCs w:val="21"/>
          <w:highlight w:val="none"/>
        </w:rPr>
        <w:t>人</w:t>
      </w:r>
      <w:r>
        <w:rPr>
          <w:rFonts w:ascii="宋体" w:hAnsi="宋体"/>
          <w:color w:val="auto"/>
          <w:szCs w:val="21"/>
          <w:highlight w:val="none"/>
        </w:rPr>
        <w:t>要求</w:t>
      </w:r>
      <w:r>
        <w:rPr>
          <w:rFonts w:hint="eastAsia" w:ascii="宋体" w:hAnsi="宋体"/>
          <w:color w:val="auto"/>
          <w:szCs w:val="21"/>
          <w:highlight w:val="none"/>
        </w:rPr>
        <w:t>，</w:t>
      </w:r>
      <w:r>
        <w:rPr>
          <w:rFonts w:ascii="宋体" w:hAnsi="宋体"/>
          <w:color w:val="auto"/>
          <w:szCs w:val="21"/>
          <w:highlight w:val="none"/>
        </w:rPr>
        <w:t>依据《</w:t>
      </w:r>
      <w:r>
        <w:rPr>
          <w:rFonts w:hint="eastAsia" w:ascii="宋体" w:hAnsi="宋体"/>
          <w:color w:val="auto"/>
          <w:szCs w:val="21"/>
          <w:highlight w:val="none"/>
        </w:rPr>
        <w:t>国家食品安全监督抽检实施细则（2024版）</w:t>
      </w:r>
      <w:r>
        <w:rPr>
          <w:rFonts w:ascii="宋体" w:hAnsi="宋体"/>
          <w:color w:val="auto"/>
          <w:szCs w:val="21"/>
          <w:highlight w:val="none"/>
        </w:rPr>
        <w:t>》中的检测项目对产品进行检验。本次监督抽检的承检机构未经采购人同意，严禁将检验任务分包给其他检验机构或修改检测项目。</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4.2抽样单位和承检机构应将抽样及检验工作按要求合理分配，避免集中抽样、集中检验。</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4.3承检机构在检测过程中要严格加强对组织实施、样品抽样、实验室检测、数据报送等关键环节的质量控制，确保检测结果准确可靠。</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4.4若需要复检的，应通过省局双随机系统随机抽取复检机构进行复检。</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▲4.5提交的报告经复检后，更改结果的，由原检测单位支付并承担相应的复检费用；检测结果因异议、复检导致改判超过3批次的，采购人将扣除3倍相应批次的抽样检测费用（以单批次中标价格计算）。</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4.6实验室能力要求：承检机构承诺合同履行期间的食品检测实验室满足浙江省市场监督管理局关于《食品安全数字化实验室建设管理要求与分级标准（试行）》中C级实验室的标准要求（不要求在投标文件中提供单独的承诺函，只需响应要求即可）。</w:t>
      </w:r>
    </w:p>
    <w:p>
      <w:pPr>
        <w:snapToGrid w:val="0"/>
        <w:spacing w:line="360" w:lineRule="auto"/>
        <w:ind w:firstLine="422" w:firstLineChars="200"/>
        <w:rPr>
          <w:rFonts w:ascii="宋体" w:hAnsi="宋体"/>
          <w:b/>
          <w:color w:val="auto"/>
          <w:szCs w:val="21"/>
          <w:highlight w:val="none"/>
        </w:rPr>
      </w:pPr>
      <w:r>
        <w:rPr>
          <w:rFonts w:ascii="宋体" w:hAnsi="宋体"/>
          <w:b/>
          <w:color w:val="auto"/>
          <w:szCs w:val="21"/>
          <w:highlight w:val="none"/>
        </w:rPr>
        <w:t>5、检验报告要求</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5.1出具的检测报告应具有相关执法效力，并对检测结果做出科学分析。</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5.2所有抽检的样品均要按照采购人要求录入国家食品安全抽样检验信息系统，并出具电子报告。对于检验不合格的，按采购人要求及方式提供抽样文书、资质证明、检测报告等相关材料。</w:t>
      </w:r>
    </w:p>
    <w:p>
      <w:pPr>
        <w:snapToGrid w:val="0"/>
        <w:spacing w:line="360" w:lineRule="auto"/>
        <w:ind w:firstLine="422" w:firstLineChars="200"/>
        <w:rPr>
          <w:rFonts w:ascii="宋体" w:hAnsi="宋体"/>
          <w:b/>
          <w:color w:val="auto"/>
          <w:szCs w:val="21"/>
          <w:highlight w:val="none"/>
        </w:rPr>
      </w:pPr>
      <w:r>
        <w:rPr>
          <w:rFonts w:ascii="宋体" w:hAnsi="宋体"/>
          <w:b/>
          <w:color w:val="auto"/>
          <w:szCs w:val="21"/>
          <w:highlight w:val="none"/>
        </w:rPr>
        <w:t>6、数据报送要求</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所有抽样信息和检测结果统一由承检机构录入国家食品安全抽样检验信息系统。</w:t>
      </w:r>
    </w:p>
    <w:p>
      <w:pPr>
        <w:snapToGrid w:val="0"/>
        <w:spacing w:line="360" w:lineRule="auto"/>
        <w:ind w:firstLine="422" w:firstLineChars="200"/>
        <w:rPr>
          <w:rFonts w:ascii="宋体" w:hAnsi="宋体"/>
          <w:b/>
          <w:color w:val="auto"/>
          <w:szCs w:val="21"/>
          <w:highlight w:val="none"/>
        </w:rPr>
      </w:pPr>
      <w:r>
        <w:rPr>
          <w:rFonts w:ascii="宋体" w:hAnsi="宋体"/>
          <w:b/>
          <w:color w:val="auto"/>
          <w:szCs w:val="21"/>
          <w:highlight w:val="none"/>
        </w:rPr>
        <w:t>7、数据分析要求</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7.1数据分析：在抽检任务实施期间，承检机构需按采购人要求及方式，提供抽检数据汇总表、检验结果数据和质量分析报告（每类产品均须分析，合格率低于90%且5批次以上不合格的产品须重点分析）等。</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7.2质量分析：按照采购人具体要求及方式，承检机构完成并上报全部承检任务的质量分析报告。</w:t>
      </w:r>
    </w:p>
    <w:p>
      <w:pPr>
        <w:snapToGrid w:val="0"/>
        <w:spacing w:line="360" w:lineRule="auto"/>
        <w:ind w:firstLine="422" w:firstLineChars="200"/>
        <w:rPr>
          <w:rFonts w:ascii="宋体" w:hAnsi="宋体"/>
          <w:b/>
          <w:color w:val="auto"/>
          <w:szCs w:val="21"/>
          <w:highlight w:val="none"/>
        </w:rPr>
      </w:pPr>
      <w:r>
        <w:rPr>
          <w:rFonts w:ascii="宋体" w:hAnsi="宋体"/>
          <w:b/>
          <w:color w:val="auto"/>
          <w:szCs w:val="21"/>
          <w:highlight w:val="none"/>
        </w:rPr>
        <w:t>8、其他要求</w:t>
      </w:r>
    </w:p>
    <w:p>
      <w:pPr>
        <w:snapToGrid w:val="0"/>
        <w:spacing w:line="360" w:lineRule="auto"/>
        <w:ind w:firstLine="411" w:firstLineChars="196"/>
        <w:jc w:val="left"/>
        <w:rPr>
          <w:rFonts w:ascii="宋体" w:hAnsi="宋体"/>
          <w:color w:val="auto"/>
          <w:szCs w:val="21"/>
          <w:highlight w:val="none"/>
        </w:rPr>
      </w:pPr>
      <w:r>
        <w:rPr>
          <w:rFonts w:ascii="宋体" w:hAnsi="宋体"/>
          <w:color w:val="auto"/>
          <w:szCs w:val="21"/>
          <w:highlight w:val="none"/>
        </w:rPr>
        <w:t>8.1在采购人日常检测过程中，遇到食品安全突发事件或紧急任务需承检机构协助抽检样品或需要承检机构技术人员配合时，必须义务满足采购人的要求。</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8.2当有应急或突发任务发生需要承检机构协助抽检时，采购人从承检机构中选取，产生的抽检费用参照该机构在本项目投标中所报的同类产品和同类项目的报价，另行结算。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8.3当遇不可抗力原因造成承担的任务无法完成需要调整任务时，承检机构必须事前征得采购人的书面同意后方可进行。</w:t>
      </w:r>
    </w:p>
    <w:p>
      <w:pPr>
        <w:snapToGrid w:val="0"/>
        <w:spacing w:line="360" w:lineRule="auto"/>
        <w:ind w:firstLine="422" w:firstLineChars="200"/>
        <w:rPr>
          <w:rFonts w:ascii="宋体" w:hAnsi="宋体"/>
          <w:b/>
          <w:color w:val="auto"/>
          <w:szCs w:val="21"/>
          <w:highlight w:val="none"/>
        </w:rPr>
      </w:pPr>
      <w:r>
        <w:rPr>
          <w:rFonts w:ascii="宋体" w:hAnsi="宋体"/>
          <w:b/>
          <w:color w:val="auto"/>
          <w:szCs w:val="21"/>
          <w:highlight w:val="none"/>
        </w:rPr>
        <w:t>9、管理要求</w:t>
      </w:r>
    </w:p>
    <w:p>
      <w:pPr>
        <w:snapToGrid w:val="0"/>
        <w:spacing w:line="360" w:lineRule="auto"/>
        <w:ind w:firstLine="420"/>
        <w:rPr>
          <w:rFonts w:ascii="宋体" w:hAnsi="宋体"/>
          <w:color w:val="auto"/>
          <w:szCs w:val="21"/>
          <w:highlight w:val="none"/>
        </w:rPr>
      </w:pPr>
      <w:r>
        <w:rPr>
          <w:rFonts w:ascii="宋体" w:hAnsi="宋体"/>
          <w:color w:val="auto"/>
          <w:szCs w:val="21"/>
          <w:highlight w:val="none"/>
        </w:rPr>
        <w:t>承检机构应接受并遵守采购人的各项规定，严格履行承诺的义务，为宁波市食品安全工作做好服务，并接受以下各项管理要求：</w:t>
      </w:r>
    </w:p>
    <w:p>
      <w:pPr>
        <w:snapToGrid w:val="0"/>
        <w:spacing w:line="360" w:lineRule="auto"/>
        <w:ind w:firstLine="411" w:firstLineChars="196"/>
        <w:jc w:val="left"/>
        <w:rPr>
          <w:rFonts w:ascii="宋体" w:hAnsi="宋体"/>
          <w:color w:val="auto"/>
          <w:szCs w:val="21"/>
          <w:highlight w:val="none"/>
        </w:rPr>
      </w:pPr>
      <w:r>
        <w:rPr>
          <w:rFonts w:ascii="宋体" w:hAnsi="宋体"/>
          <w:color w:val="auto"/>
          <w:szCs w:val="21"/>
          <w:highlight w:val="none"/>
        </w:rPr>
        <w:t>（1）承检机构确定后，由采购人与承检机构签订项目合同。</w:t>
      </w:r>
    </w:p>
    <w:p>
      <w:pPr>
        <w:snapToGrid w:val="0"/>
        <w:spacing w:line="360" w:lineRule="auto"/>
        <w:ind w:firstLine="411" w:firstLineChars="196"/>
        <w:jc w:val="left"/>
        <w:rPr>
          <w:rFonts w:ascii="宋体" w:hAnsi="宋体"/>
          <w:color w:val="auto"/>
          <w:szCs w:val="21"/>
          <w:highlight w:val="none"/>
        </w:rPr>
      </w:pPr>
      <w:r>
        <w:rPr>
          <w:rFonts w:ascii="宋体" w:hAnsi="宋体"/>
          <w:color w:val="auto"/>
          <w:szCs w:val="21"/>
          <w:highlight w:val="none"/>
        </w:rPr>
        <w:t>（2）承检机构应遵守服务承诺，做好各项服务工作，认真履行义务。</w:t>
      </w:r>
    </w:p>
    <w:p>
      <w:pPr>
        <w:snapToGrid w:val="0"/>
        <w:spacing w:line="360" w:lineRule="auto"/>
        <w:ind w:firstLine="411" w:firstLineChars="196"/>
        <w:jc w:val="left"/>
        <w:rPr>
          <w:rFonts w:ascii="宋体" w:hAnsi="宋体"/>
          <w:color w:val="auto"/>
          <w:szCs w:val="21"/>
          <w:highlight w:val="none"/>
        </w:rPr>
      </w:pPr>
      <w:r>
        <w:rPr>
          <w:rFonts w:ascii="宋体" w:hAnsi="宋体"/>
          <w:color w:val="auto"/>
          <w:szCs w:val="21"/>
          <w:highlight w:val="none"/>
        </w:rPr>
        <w:t>（3）在服务期内，承检机构必须接受采购人、监管部门及相关部门的监督管理。</w:t>
      </w:r>
    </w:p>
    <w:p>
      <w:pPr>
        <w:snapToGrid w:val="0"/>
        <w:spacing w:line="360" w:lineRule="auto"/>
        <w:ind w:firstLine="411" w:firstLineChars="196"/>
        <w:jc w:val="left"/>
        <w:rPr>
          <w:rFonts w:ascii="宋体" w:hAnsi="宋体"/>
          <w:color w:val="auto"/>
          <w:szCs w:val="21"/>
          <w:highlight w:val="none"/>
        </w:rPr>
      </w:pPr>
      <w:r>
        <w:rPr>
          <w:rFonts w:ascii="宋体" w:hAnsi="宋体"/>
          <w:color w:val="auto"/>
          <w:szCs w:val="21"/>
          <w:highlight w:val="none"/>
        </w:rPr>
        <w:t>（4）质量管理：承检机构要严格按照</w:t>
      </w:r>
      <w:r>
        <w:rPr>
          <w:rFonts w:hint="eastAsia" w:ascii="宋体" w:hAnsi="宋体"/>
          <w:color w:val="auto"/>
          <w:szCs w:val="21"/>
          <w:highlight w:val="none"/>
        </w:rPr>
        <w:t>《浙江省食品安全抽检监测承检机构考核管理办法》</w:t>
      </w:r>
      <w:r>
        <w:rPr>
          <w:rFonts w:ascii="宋体" w:hAnsi="宋体"/>
          <w:color w:val="auto"/>
          <w:szCs w:val="21"/>
          <w:highlight w:val="none"/>
        </w:rPr>
        <w:t>，加强对样品采集、实验室检测、数据报送等关键环节的质量控制，确保检测结果准确可靠。采购人将通过飞行检查、能力验证、盲样比对等形式开展对承检机构的工作考核，并将有关问题向承检机构资质管理部门通报。</w:t>
      </w:r>
    </w:p>
    <w:p>
      <w:pPr>
        <w:snapToGrid w:val="0"/>
        <w:spacing w:line="360" w:lineRule="auto"/>
        <w:ind w:firstLine="411" w:firstLineChars="196"/>
        <w:jc w:val="left"/>
        <w:rPr>
          <w:rFonts w:ascii="宋体" w:hAnsi="宋体"/>
          <w:color w:val="auto"/>
          <w:szCs w:val="21"/>
          <w:highlight w:val="none"/>
        </w:rPr>
      </w:pPr>
      <w:r>
        <w:rPr>
          <w:rFonts w:ascii="宋体" w:hAnsi="宋体"/>
          <w:color w:val="auto"/>
          <w:szCs w:val="21"/>
          <w:highlight w:val="none"/>
        </w:rPr>
        <w:t>（5）业务建档制度：承检机构须针对宁波市市场监督管理局食品安全监督抽检业务建立单独的业务档案资料，并按规定进行备案。</w:t>
      </w:r>
    </w:p>
    <w:p>
      <w:pPr>
        <w:snapToGrid w:val="0"/>
        <w:spacing w:line="360" w:lineRule="auto"/>
        <w:ind w:firstLine="411" w:firstLineChars="196"/>
        <w:jc w:val="left"/>
        <w:rPr>
          <w:rFonts w:ascii="宋体" w:hAnsi="宋体"/>
          <w:color w:val="auto"/>
          <w:szCs w:val="21"/>
          <w:highlight w:val="none"/>
        </w:rPr>
      </w:pPr>
      <w:r>
        <w:rPr>
          <w:rFonts w:ascii="宋体" w:hAnsi="宋体"/>
          <w:color w:val="auto"/>
          <w:szCs w:val="21"/>
          <w:highlight w:val="none"/>
        </w:rPr>
        <w:t>（6）工作纪律：参与抽检监测的承检机构及其工作人员应严格按照要求进行抽样、检验和结果上报，不得随意更改抽样地点和样品信息，不得瞒报、谎报和故意漏报、错报检测数据，确保结果的真实客观和准确。不得擅自发布有关抽检监测的信息，不得在开展抽样工作前事先通知被抽检监测单位和接受相关单位馈赠，不得利用抽检监测结果开展有偿活动，牟取不正当利益。</w:t>
      </w:r>
    </w:p>
    <w:p>
      <w:pPr>
        <w:snapToGrid w:val="0"/>
        <w:spacing w:line="360" w:lineRule="auto"/>
        <w:ind w:firstLine="411" w:firstLineChars="196"/>
        <w:jc w:val="left"/>
        <w:rPr>
          <w:rFonts w:ascii="宋体" w:hAnsi="宋体"/>
          <w:color w:val="auto"/>
          <w:szCs w:val="21"/>
          <w:highlight w:val="none"/>
        </w:rPr>
      </w:pPr>
      <w:r>
        <w:rPr>
          <w:rFonts w:ascii="宋体" w:hAnsi="宋体"/>
          <w:color w:val="auto"/>
          <w:szCs w:val="21"/>
          <w:highlight w:val="none"/>
        </w:rPr>
        <w:t>（7）投诉制度：宁波市市场监督管理局有权对承检机构监督投诉。</w:t>
      </w:r>
    </w:p>
    <w:p>
      <w:pPr>
        <w:snapToGrid w:val="0"/>
        <w:spacing w:line="360" w:lineRule="auto"/>
        <w:ind w:firstLine="411" w:firstLineChars="196"/>
        <w:jc w:val="left"/>
        <w:rPr>
          <w:rFonts w:ascii="宋体" w:hAnsi="宋体"/>
          <w:color w:val="auto"/>
          <w:szCs w:val="21"/>
          <w:highlight w:val="none"/>
        </w:rPr>
      </w:pPr>
      <w:r>
        <w:rPr>
          <w:rFonts w:ascii="宋体" w:hAnsi="宋体"/>
          <w:color w:val="auto"/>
          <w:szCs w:val="21"/>
          <w:highlight w:val="none"/>
        </w:rPr>
        <w:t>（8）违规处理：采购人可在承检机构接受工作委托期间对其是否规范操作进行监督检查，如发现严重违法违规事件，采购人有权单方面解除合同。</w:t>
      </w:r>
    </w:p>
    <w:p>
      <w:pPr>
        <w:snapToGrid w:val="0"/>
        <w:spacing w:line="360" w:lineRule="auto"/>
        <w:ind w:firstLine="422" w:firstLineChars="200"/>
        <w:rPr>
          <w:rFonts w:ascii="宋体" w:hAnsi="宋体"/>
          <w:b/>
          <w:color w:val="auto"/>
          <w:szCs w:val="21"/>
          <w:highlight w:val="none"/>
        </w:rPr>
      </w:pPr>
      <w:r>
        <w:rPr>
          <w:rFonts w:ascii="宋体" w:hAnsi="宋体"/>
          <w:b/>
          <w:color w:val="auto"/>
          <w:szCs w:val="21"/>
          <w:highlight w:val="none"/>
        </w:rPr>
        <w:t>10、管理考核</w:t>
      </w:r>
    </w:p>
    <w:p>
      <w:pPr>
        <w:snapToGrid w:val="0"/>
        <w:spacing w:line="360" w:lineRule="auto"/>
        <w:ind w:firstLine="411" w:firstLineChars="196"/>
        <w:jc w:val="left"/>
        <w:rPr>
          <w:rFonts w:ascii="宋体" w:hAnsi="宋体"/>
          <w:color w:val="auto"/>
          <w:szCs w:val="21"/>
          <w:highlight w:val="none"/>
        </w:rPr>
      </w:pPr>
      <w:r>
        <w:rPr>
          <w:rFonts w:ascii="宋体" w:hAnsi="宋体"/>
          <w:color w:val="auto"/>
          <w:szCs w:val="21"/>
          <w:highlight w:val="none"/>
        </w:rPr>
        <w:t>本项目承检机构纳入宁波市市本级承检机构考核名单，接受采购人根据宁波市市场监督管理局关于《宁波市食品安全抽检监测承检机构考核管理办法（试行）》所规定的监督检查考核。承检机构</w:t>
      </w:r>
      <w:r>
        <w:rPr>
          <w:rFonts w:hint="eastAsia" w:ascii="宋体" w:hAnsi="宋体"/>
          <w:color w:val="auto"/>
          <w:szCs w:val="21"/>
          <w:highlight w:val="none"/>
        </w:rPr>
        <w:t>出现重大数据质量问题的</w:t>
      </w:r>
      <w:r>
        <w:rPr>
          <w:rFonts w:ascii="宋体" w:hAnsi="宋体"/>
          <w:color w:val="auto"/>
          <w:szCs w:val="21"/>
          <w:highlight w:val="none"/>
        </w:rPr>
        <w:t>经考核考评综合分数高于95分以上（含）的，按合同结算金额全额拨付经费；考评分数低于95分的，每低1分按合同结算金额扣减1%；低于55分（含）的，采购人有权要求承检机构根据考核结果返还已预（支）付的抽检费用。</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投标人近三年无食品检验数据严重质量问题并造成社会不良后果。投标人中标后需接受采购人组织的关于实验室质量体系检查与考核工作。发现存在严重问题的，采购人有权取消其中标资格，终止委托合同。</w:t>
      </w:r>
    </w:p>
    <w:p>
      <w:pPr>
        <w:snapToGrid w:val="0"/>
        <w:spacing w:line="360" w:lineRule="auto"/>
        <w:ind w:firstLine="413" w:firstLineChars="196"/>
        <w:jc w:val="left"/>
        <w:rPr>
          <w:rFonts w:ascii="宋体" w:hAnsi="宋体"/>
          <w:b/>
          <w:color w:val="auto"/>
          <w:szCs w:val="21"/>
          <w:highlight w:val="none"/>
        </w:rPr>
      </w:pPr>
      <w:r>
        <w:rPr>
          <w:rFonts w:ascii="宋体" w:hAnsi="宋体"/>
          <w:b/>
          <w:color w:val="auto"/>
          <w:szCs w:val="21"/>
          <w:highlight w:val="none"/>
        </w:rPr>
        <w:t>说明：</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采购人对承检机构的监督检查考核有权采用一票否决制。否决事项：由于承检工作质量造成严重不良社会影响；发现承检项目无资质授权、承检工作存在超范围检验、与被检单位串通、出具虚假检验结果等违规违纪行为；擅自租借其他单位检测设备或未经同意分包开展承检工作；存在不满足招标文件实质性要求的情形。</w:t>
      </w:r>
    </w:p>
    <w:p>
      <w:pPr>
        <w:pStyle w:val="20"/>
        <w:spacing w:after="0" w:line="360" w:lineRule="auto"/>
        <w:rPr>
          <w:rFonts w:ascii="宋体" w:hAnsi="宋体"/>
          <w:b/>
          <w:color w:val="auto"/>
          <w:sz w:val="21"/>
          <w:szCs w:val="21"/>
          <w:highlight w:val="none"/>
        </w:rPr>
      </w:pPr>
      <w:r>
        <w:rPr>
          <w:rFonts w:ascii="宋体" w:hAnsi="宋体"/>
          <w:b/>
          <w:color w:val="auto"/>
          <w:sz w:val="21"/>
          <w:szCs w:val="21"/>
          <w:highlight w:val="none"/>
        </w:rPr>
        <w:t>▲11、相关费用和报价说明</w:t>
      </w:r>
    </w:p>
    <w:p>
      <w:pPr>
        <w:spacing w:line="360" w:lineRule="auto"/>
        <w:ind w:firstLine="420" w:firstLineChars="200"/>
        <w:rPr>
          <w:rFonts w:ascii="宋体" w:hAnsi="宋体"/>
          <w:b/>
          <w:bCs/>
          <w:color w:val="auto"/>
          <w:szCs w:val="21"/>
          <w:highlight w:val="none"/>
        </w:rPr>
      </w:pPr>
      <w:r>
        <w:rPr>
          <w:rFonts w:ascii="宋体" w:hAnsi="宋体"/>
          <w:color w:val="auto"/>
          <w:szCs w:val="21"/>
          <w:highlight w:val="none"/>
        </w:rPr>
        <w:t>（1）</w:t>
      </w:r>
      <w:r>
        <w:rPr>
          <w:rFonts w:ascii="宋体" w:hAnsi="宋体"/>
          <w:b/>
          <w:bCs/>
          <w:color w:val="auto"/>
          <w:szCs w:val="21"/>
          <w:highlight w:val="none"/>
        </w:rPr>
        <w:t>各标项的预算费用已包含抽样费和买样费。每个中标</w:t>
      </w:r>
      <w:r>
        <w:rPr>
          <w:rFonts w:hint="eastAsia" w:ascii="宋体" w:hAnsi="宋体"/>
          <w:b/>
          <w:bCs/>
          <w:color w:val="auto"/>
          <w:szCs w:val="21"/>
          <w:highlight w:val="none"/>
        </w:rPr>
        <w:t>人</w:t>
      </w:r>
      <w:r>
        <w:rPr>
          <w:rFonts w:ascii="宋体" w:hAnsi="宋体"/>
          <w:b/>
          <w:bCs/>
          <w:color w:val="auto"/>
          <w:szCs w:val="21"/>
          <w:highlight w:val="none"/>
        </w:rPr>
        <w:t>的投标报价</w:t>
      </w:r>
      <w:r>
        <w:rPr>
          <w:rFonts w:hint="eastAsia" w:ascii="宋体" w:hAnsi="宋体"/>
          <w:b/>
          <w:bCs/>
          <w:color w:val="auto"/>
          <w:szCs w:val="21"/>
          <w:highlight w:val="none"/>
        </w:rPr>
        <w:t>的</w:t>
      </w:r>
      <w:r>
        <w:rPr>
          <w:rFonts w:ascii="宋体" w:hAnsi="宋体"/>
          <w:b/>
          <w:bCs/>
          <w:color w:val="auto"/>
          <w:szCs w:val="21"/>
          <w:highlight w:val="none"/>
        </w:rPr>
        <w:t>检测费用均含该标项所需抽样批次的抽样费用及送至</w:t>
      </w:r>
      <w:r>
        <w:rPr>
          <w:rFonts w:hint="eastAsia" w:ascii="宋体" w:hAnsi="宋体"/>
          <w:b/>
          <w:bCs/>
          <w:color w:val="auto"/>
          <w:szCs w:val="21"/>
          <w:highlight w:val="none"/>
        </w:rPr>
        <w:t>承检机构</w:t>
      </w:r>
      <w:r>
        <w:rPr>
          <w:rFonts w:ascii="宋体" w:hAnsi="宋体"/>
          <w:b/>
          <w:bCs/>
          <w:color w:val="auto"/>
          <w:szCs w:val="21"/>
          <w:highlight w:val="none"/>
        </w:rPr>
        <w:t>检测的样品买样费用，采购人不再另外支付抽样费和买样费，投标</w:t>
      </w:r>
      <w:r>
        <w:rPr>
          <w:rFonts w:hint="eastAsia" w:ascii="宋体" w:hAnsi="宋体"/>
          <w:b/>
          <w:bCs/>
          <w:color w:val="auto"/>
          <w:szCs w:val="21"/>
          <w:highlight w:val="none"/>
        </w:rPr>
        <w:t>人</w:t>
      </w:r>
      <w:r>
        <w:rPr>
          <w:rFonts w:ascii="宋体" w:hAnsi="宋体"/>
          <w:b/>
          <w:bCs/>
          <w:color w:val="auto"/>
          <w:szCs w:val="21"/>
          <w:highlight w:val="none"/>
        </w:rPr>
        <w:t>在报价中均予以考虑。</w:t>
      </w:r>
    </w:p>
    <w:p>
      <w:pPr>
        <w:snapToGrid w:val="0"/>
        <w:spacing w:line="360" w:lineRule="auto"/>
        <w:ind w:firstLine="363" w:firstLineChars="172"/>
        <w:rPr>
          <w:rFonts w:ascii="宋体" w:hAnsi="宋体"/>
          <w:color w:val="auto"/>
          <w:szCs w:val="21"/>
          <w:highlight w:val="none"/>
        </w:rPr>
      </w:pPr>
      <w:r>
        <w:rPr>
          <w:rFonts w:ascii="宋体" w:hAnsi="宋体"/>
          <w:b/>
          <w:color w:val="auto"/>
          <w:szCs w:val="21"/>
          <w:highlight w:val="none"/>
        </w:rPr>
        <w:t>（2）投标人按照《食品安全检验项目限价表》填报统一折扣率</w:t>
      </w:r>
      <w:r>
        <w:rPr>
          <w:rFonts w:ascii="宋体" w:hAnsi="宋体"/>
          <w:color w:val="auto"/>
          <w:szCs w:val="21"/>
          <w:highlight w:val="none"/>
        </w:rPr>
        <w:t>。合同费用结算时，在中标人的中标价格的基础上，对食用农产品大类同一批次样品使用同一检验方法检测的多个检测项目，按以下方式统一折扣：第1个项目折扣系数为1；第2-5个项目折扣系数为0.75；第6-10个项目折扣系数为0.5；第11个及以上项目折扣系数为0.25（按照差额定率累进法计算）。</w:t>
      </w:r>
    </w:p>
    <w:p>
      <w:pPr>
        <w:pStyle w:val="42"/>
        <w:spacing w:after="0"/>
        <w:ind w:left="0" w:leftChars="0" w:firstLine="404"/>
        <w:rPr>
          <w:rFonts w:hAnsi="宋体"/>
          <w:color w:val="auto"/>
          <w:sz w:val="21"/>
          <w:szCs w:val="21"/>
          <w:highlight w:val="none"/>
        </w:rPr>
      </w:pPr>
      <w:r>
        <w:rPr>
          <w:rFonts w:hAnsi="宋体"/>
          <w:color w:val="auto"/>
          <w:sz w:val="21"/>
          <w:szCs w:val="21"/>
          <w:highlight w:val="none"/>
        </w:rPr>
        <w:t>根据食品安全抽检工作需要，如涉及《</w:t>
      </w:r>
      <w:r>
        <w:rPr>
          <w:rFonts w:hint="eastAsia" w:hAnsi="宋体"/>
          <w:color w:val="auto"/>
          <w:sz w:val="21"/>
          <w:szCs w:val="21"/>
          <w:highlight w:val="none"/>
        </w:rPr>
        <w:t>国家食品安全监督抽检实施细则（2024版）</w:t>
      </w:r>
      <w:r>
        <w:rPr>
          <w:rFonts w:hAnsi="宋体"/>
          <w:color w:val="auto"/>
          <w:sz w:val="21"/>
          <w:szCs w:val="21"/>
          <w:highlight w:val="none"/>
        </w:rPr>
        <w:t>》未列入的产品、检测项目和检测方法时，参照</w:t>
      </w:r>
      <w:r>
        <w:rPr>
          <w:rFonts w:hint="eastAsia" w:hAnsi="宋体"/>
          <w:color w:val="auto"/>
          <w:sz w:val="21"/>
          <w:szCs w:val="21"/>
          <w:highlight w:val="none"/>
        </w:rPr>
        <w:t>省局指导价格</w:t>
      </w:r>
      <w:r>
        <w:rPr>
          <w:rFonts w:hAnsi="宋体"/>
          <w:color w:val="auto"/>
          <w:sz w:val="21"/>
          <w:szCs w:val="21"/>
          <w:highlight w:val="none"/>
        </w:rPr>
        <w:t>，</w:t>
      </w:r>
      <w:r>
        <w:rPr>
          <w:rFonts w:hint="eastAsia" w:hAnsi="宋体"/>
          <w:color w:val="auto"/>
          <w:sz w:val="21"/>
          <w:szCs w:val="21"/>
          <w:highlight w:val="none"/>
        </w:rPr>
        <w:t>与采购人</w:t>
      </w:r>
      <w:r>
        <w:rPr>
          <w:rFonts w:hAnsi="宋体"/>
          <w:color w:val="auto"/>
          <w:sz w:val="21"/>
          <w:szCs w:val="21"/>
          <w:highlight w:val="none"/>
        </w:rPr>
        <w:t>另行协商确定。</w:t>
      </w:r>
    </w:p>
    <w:p>
      <w:pPr>
        <w:snapToGrid w:val="0"/>
        <w:jc w:val="center"/>
        <w:rPr>
          <w:rFonts w:ascii="宋体" w:hAnsi="宋体"/>
          <w:color w:val="auto"/>
          <w:szCs w:val="21"/>
          <w:highlight w:val="none"/>
        </w:rPr>
      </w:pPr>
      <w:r>
        <w:rPr>
          <w:rFonts w:ascii="宋体" w:hAnsi="宋体"/>
          <w:b/>
          <w:bCs/>
          <w:color w:val="auto"/>
          <w:szCs w:val="21"/>
          <w:highlight w:val="none"/>
        </w:rPr>
        <w:t>食品安全检验项目限价表</w:t>
      </w:r>
    </w:p>
    <w:tbl>
      <w:tblPr>
        <w:tblStyle w:val="43"/>
        <w:tblW w:w="8715" w:type="dxa"/>
        <w:jc w:val="center"/>
        <w:tblLayout w:type="autofit"/>
        <w:tblCellMar>
          <w:top w:w="0" w:type="dxa"/>
          <w:left w:w="108" w:type="dxa"/>
          <w:bottom w:w="0" w:type="dxa"/>
          <w:right w:w="108" w:type="dxa"/>
        </w:tblCellMar>
      </w:tblPr>
      <w:tblGrid>
        <w:gridCol w:w="705"/>
        <w:gridCol w:w="2985"/>
        <w:gridCol w:w="3088"/>
        <w:gridCol w:w="1937"/>
      </w:tblGrid>
      <w:tr>
        <w:tblPrEx>
          <w:tblCellMar>
            <w:top w:w="0" w:type="dxa"/>
            <w:left w:w="108" w:type="dxa"/>
            <w:bottom w:w="0" w:type="dxa"/>
            <w:right w:w="108" w:type="dxa"/>
          </w:tblCellMar>
        </w:tblPrEx>
        <w:trPr>
          <w:trHeight w:val="480" w:hRule="atLeast"/>
          <w:tblHeade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color w:val="auto"/>
                <w:szCs w:val="21"/>
                <w:highlight w:val="none"/>
              </w:rPr>
            </w:pPr>
            <w:r>
              <w:rPr>
                <w:rFonts w:hint="eastAsia" w:ascii="宋体" w:hAnsi="宋体" w:cs="黑体"/>
                <w:color w:val="auto"/>
                <w:kern w:val="0"/>
                <w:szCs w:val="21"/>
                <w:highlight w:val="none"/>
                <w:lang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color w:val="auto"/>
                <w:szCs w:val="21"/>
                <w:highlight w:val="none"/>
              </w:rPr>
            </w:pPr>
            <w:r>
              <w:rPr>
                <w:rFonts w:hint="eastAsia" w:ascii="宋体" w:hAnsi="宋体" w:cs="黑体"/>
                <w:color w:val="auto"/>
                <w:kern w:val="0"/>
                <w:szCs w:val="21"/>
                <w:highlight w:val="none"/>
                <w:lang w:bidi="ar"/>
              </w:rPr>
              <w:t>项目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color w:val="auto"/>
                <w:szCs w:val="21"/>
                <w:highlight w:val="none"/>
              </w:rPr>
            </w:pPr>
            <w:r>
              <w:rPr>
                <w:rFonts w:hint="eastAsia" w:ascii="宋体" w:hAnsi="宋体" w:cs="黑体"/>
                <w:color w:val="auto"/>
                <w:kern w:val="0"/>
                <w:szCs w:val="21"/>
                <w:highlight w:val="none"/>
                <w:lang w:bidi="ar"/>
              </w:rPr>
              <w:t>检测方法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黑体"/>
                <w:color w:val="auto"/>
                <w:szCs w:val="21"/>
                <w:highlight w:val="none"/>
              </w:rPr>
            </w:pPr>
            <w:r>
              <w:rPr>
                <w:rFonts w:hint="eastAsia" w:ascii="宋体" w:hAnsi="宋体" w:cs="黑体"/>
                <w:color w:val="auto"/>
                <w:kern w:val="0"/>
                <w:szCs w:val="21"/>
                <w:highlight w:val="none"/>
                <w:lang w:bidi="ar"/>
              </w:rPr>
              <w:t>综合单价限价（元）</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镉（以</w:t>
            </w:r>
            <w:r>
              <w:rPr>
                <w:rFonts w:ascii="宋体" w:hAnsi="宋体"/>
                <w:color w:val="auto"/>
                <w:kern w:val="0"/>
                <w:szCs w:val="21"/>
                <w:highlight w:val="none"/>
                <w:lang w:bidi="ar"/>
              </w:rPr>
              <w:t>Cd</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苯并</w:t>
            </w:r>
            <w:r>
              <w:rPr>
                <w:rFonts w:ascii="宋体" w:hAnsi="宋体"/>
                <w:color w:val="auto"/>
                <w:kern w:val="0"/>
                <w:szCs w:val="21"/>
                <w:highlight w:val="none"/>
                <w:lang w:bidi="ar"/>
              </w:rPr>
              <w:t>[a]</w:t>
            </w:r>
            <w:r>
              <w:rPr>
                <w:rFonts w:hint="eastAsia" w:ascii="宋体" w:hAnsi="宋体" w:cs="宋体"/>
                <w:color w:val="auto"/>
                <w:kern w:val="0"/>
                <w:szCs w:val="21"/>
                <w:highlight w:val="none"/>
                <w:lang w:bidi="ar"/>
              </w:rPr>
              <w:t>芘</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玉米赤霉烯酮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5009.209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脱氧雪腐镰刀菌烯醇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赭曲霉毒素</w:t>
            </w:r>
            <w:r>
              <w:rPr>
                <w:rFonts w:ascii="宋体" w:hAnsi="宋体"/>
                <w:color w:val="auto"/>
                <w:kern w:val="0"/>
                <w:szCs w:val="21"/>
                <w:highlight w:val="none"/>
                <w:lang w:bidi="ar"/>
              </w:rPr>
              <w:t>A</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5009.96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黄曲霉毒素</w:t>
            </w:r>
            <w:r>
              <w:rPr>
                <w:rFonts w:ascii="宋体" w:hAnsi="宋体"/>
                <w:color w:val="auto"/>
                <w:kern w:val="0"/>
                <w:szCs w:val="21"/>
                <w:highlight w:val="none"/>
                <w:lang w:bidi="ar"/>
              </w:rPr>
              <w:t>B1</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偶氮甲酰胺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5009.283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过氧化苯甲酰</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22325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铅（以</w:t>
            </w:r>
            <w:r>
              <w:rPr>
                <w:rFonts w:ascii="宋体" w:hAnsi="宋体"/>
                <w:color w:val="auto"/>
                <w:kern w:val="0"/>
                <w:szCs w:val="21"/>
                <w:highlight w:val="none"/>
                <w:lang w:bidi="ar"/>
              </w:rPr>
              <w:t>Pb</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无机砷（以</w:t>
            </w:r>
            <w:r>
              <w:rPr>
                <w:rFonts w:ascii="宋体" w:hAnsi="宋体"/>
                <w:color w:val="auto"/>
                <w:kern w:val="0"/>
                <w:szCs w:val="21"/>
                <w:highlight w:val="none"/>
                <w:lang w:bidi="ar"/>
              </w:rPr>
              <w:t>As</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脱氢乙酸及其钠盐（以脱氢乙酸计）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5009.121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苯甲酸及其钠盐（以苯甲酸计）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山梨酸及其钾盐（以山梨酸计）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二氧化硫残留量</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5009.34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糖精钠（以糖精计）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菌落总数</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4789.2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46</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大肠菌群</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4789.3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14934</w:t>
            </w:r>
            <w:r>
              <w:rPr>
                <w:rFonts w:hint="eastAsia" w:ascii="宋体" w:hAnsi="宋体" w:cs="宋体"/>
                <w:color w:val="auto"/>
                <w:kern w:val="0"/>
                <w:szCs w:val="21"/>
                <w:highlight w:val="none"/>
                <w:lang w:bidi="ar"/>
              </w:rPr>
              <w:t>附录</w:t>
            </w:r>
            <w:r>
              <w:rPr>
                <w:rFonts w:ascii="宋体" w:hAnsi="宋体"/>
                <w:color w:val="auto"/>
                <w:kern w:val="0"/>
                <w:szCs w:val="21"/>
                <w:highlight w:val="none"/>
                <w:lang w:bidi="ar"/>
              </w:rPr>
              <w:t>B</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沙门氏菌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4789.4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金黄色葡萄球菌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4789.10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酸值</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酸价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5009.229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49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过氧化值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5009.227</w:t>
            </w:r>
            <w:r>
              <w:rPr>
                <w:rFonts w:hint="eastAsia" w:ascii="宋体" w:hAnsi="宋体" w:cs="宋体"/>
                <w:color w:val="auto"/>
                <w:kern w:val="0"/>
                <w:szCs w:val="21"/>
                <w:highlight w:val="none"/>
                <w:lang w:bidi="ar"/>
              </w:rPr>
              <w:t>、产品明示标准和质量要求</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溶剂残留量</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5009.262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特丁基对苯二酚（</w:t>
            </w:r>
            <w:r>
              <w:rPr>
                <w:rFonts w:ascii="宋体" w:hAnsi="宋体"/>
                <w:color w:val="auto"/>
                <w:kern w:val="0"/>
                <w:szCs w:val="21"/>
                <w:highlight w:val="none"/>
                <w:lang w:bidi="ar"/>
              </w:rPr>
              <w:t>TBHQ</w:t>
            </w:r>
            <w:r>
              <w:rPr>
                <w:rFonts w:hint="eastAsia" w:ascii="宋体" w:hAnsi="宋体" w:cs="宋体"/>
                <w:color w:val="auto"/>
                <w:kern w:val="0"/>
                <w:szCs w:val="21"/>
                <w:highlight w:val="none"/>
                <w:lang w:bidi="ar"/>
              </w:rPr>
              <w:t>）</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5009.32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乙基麦芽酚</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BJS 201708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氨基酸态氮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5009.235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13662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SB/T 10416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全氮（以氮计）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18186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65</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铵盐（以占氨基酸态氮的百分比计）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5009.234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对羟基苯甲酸酯类及其钠盐（以对羟基苯甲酸计）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5009.31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防腐剂混合使用时各自用量占其最大使用量的比例之和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三氯蔗糖</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22255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总酸（以乙酸计）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12456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不挥发酸（以乳酸计）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18187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甜蜜素（以环己基氨基磺酸计）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5009.97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罗丹明</w:t>
            </w:r>
            <w:r>
              <w:rPr>
                <w:rFonts w:ascii="宋体" w:hAnsi="宋体"/>
                <w:color w:val="auto"/>
                <w:kern w:val="0"/>
                <w:szCs w:val="21"/>
                <w:highlight w:val="none"/>
                <w:lang w:bidi="ar"/>
              </w:rPr>
              <w:t>B</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 2430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BJS 201905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苏丹红Ⅰ、苏丹红Ⅱ、苏丹红Ⅲ、苏丹红Ⅳ</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19681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谷氨酸钠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SB/T 10371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5009.43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呈味核苷酸二钠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SB/T 10371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罂粟碱</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BJS 201802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吗啡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BJS 201802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可待因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BJS 201802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那可丁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BJS 201802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阿斯巴甜</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5009.263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氯化钠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5009.42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钡（以</w:t>
            </w:r>
            <w:r>
              <w:rPr>
                <w:rFonts w:ascii="宋体" w:hAnsi="宋体"/>
                <w:color w:val="auto"/>
                <w:kern w:val="0"/>
                <w:szCs w:val="21"/>
                <w:highlight w:val="none"/>
                <w:lang w:bidi="ar"/>
              </w:rPr>
              <w:t>Ba</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5009.42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碘（以</w:t>
            </w:r>
            <w:r>
              <w:rPr>
                <w:rFonts w:ascii="宋体" w:hAnsi="宋体"/>
                <w:color w:val="auto"/>
                <w:kern w:val="0"/>
                <w:szCs w:val="21"/>
                <w:highlight w:val="none"/>
                <w:lang w:bidi="ar"/>
              </w:rPr>
              <w:t>I</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5009.42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总砷（以</w:t>
            </w:r>
            <w:r>
              <w:rPr>
                <w:rFonts w:ascii="宋体" w:hAnsi="宋体"/>
                <w:color w:val="auto"/>
                <w:kern w:val="0"/>
                <w:szCs w:val="21"/>
                <w:highlight w:val="none"/>
                <w:lang w:bidi="ar"/>
              </w:rPr>
              <w:t>As</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总汞（以</w:t>
            </w:r>
            <w:r>
              <w:rPr>
                <w:rFonts w:ascii="宋体" w:hAnsi="宋体"/>
                <w:color w:val="auto"/>
                <w:kern w:val="0"/>
                <w:szCs w:val="21"/>
                <w:highlight w:val="none"/>
                <w:lang w:bidi="ar"/>
              </w:rPr>
              <w:t>Hg</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72</w:t>
            </w:r>
          </w:p>
        </w:tc>
      </w:tr>
      <w:tr>
        <w:tblPrEx>
          <w:tblCellMar>
            <w:top w:w="0" w:type="dxa"/>
            <w:left w:w="108" w:type="dxa"/>
            <w:bottom w:w="0" w:type="dxa"/>
            <w:right w:w="108" w:type="dxa"/>
          </w:tblCellMar>
        </w:tblPrEx>
        <w:trPr>
          <w:trHeight w:val="49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亚铁氰化钾</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亚铁氰化钠（以亚铁氰根计）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5009.42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过氧化值（以脂肪计）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19300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5009.227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胭脂红</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9695.6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氯霉素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31658.2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31658.20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22338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18932.19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20756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铬（以</w:t>
            </w:r>
            <w:r>
              <w:rPr>
                <w:rFonts w:ascii="宋体" w:hAnsi="宋体"/>
                <w:color w:val="auto"/>
                <w:kern w:val="0"/>
                <w:szCs w:val="21"/>
                <w:highlight w:val="none"/>
                <w:lang w:bidi="ar"/>
              </w:rPr>
              <w:t>Cr</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5009.123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纳他霉素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5009.286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酸性橙Ⅱ</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 3536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单核细胞增生李斯特氏菌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4789.30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致泻大肠埃希氏菌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4789.6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商业无菌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4789.26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w:t>
            </w:r>
          </w:p>
        </w:tc>
      </w:tr>
      <w:tr>
        <w:tblPrEx>
          <w:tblCellMar>
            <w:top w:w="0" w:type="dxa"/>
            <w:left w:w="108" w:type="dxa"/>
            <w:bottom w:w="0" w:type="dxa"/>
            <w:right w:w="108" w:type="dxa"/>
          </w:tblCellMar>
        </w:tblPrEx>
        <w:trPr>
          <w:trHeight w:val="49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蛋白质</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5009.5</w:t>
            </w:r>
            <w:r>
              <w:rPr>
                <w:rFonts w:hint="eastAsia" w:ascii="宋体" w:hAnsi="宋体" w:cs="宋体"/>
                <w:color w:val="auto"/>
                <w:kern w:val="0"/>
                <w:szCs w:val="21"/>
                <w:highlight w:val="none"/>
                <w:lang w:bidi="ar"/>
              </w:rPr>
              <w:t>、产品明示标准和质量要求</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非脂乳固体</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5413.39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酸度</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5009.239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脂肪</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三聚氰胺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22388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丙二醇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5009.251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乳酸菌数</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4789.35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酵母</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4789.15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霉菌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4789.15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界限指标</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锂</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界限指标</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锶</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界限指标</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界限指标</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偏硅酸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界限指标</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硒</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界限指标</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游离二氧化碳</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界限指标</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溶解性总固体</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镍</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溴酸盐</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8538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5750.10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硝酸盐（以</w:t>
            </w:r>
            <w:r>
              <w:rPr>
                <w:rFonts w:ascii="宋体" w:hAnsi="宋体"/>
                <w:color w:val="auto"/>
                <w:kern w:val="0"/>
                <w:szCs w:val="21"/>
                <w:highlight w:val="none"/>
                <w:lang w:bidi="ar"/>
              </w:rPr>
              <w:t>NO3-</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亚硝酸盐（以</w:t>
            </w:r>
            <w:r>
              <w:rPr>
                <w:rFonts w:ascii="宋体" w:hAnsi="宋体"/>
                <w:color w:val="auto"/>
                <w:kern w:val="0"/>
                <w:szCs w:val="21"/>
                <w:highlight w:val="none"/>
                <w:lang w:bidi="ar"/>
              </w:rPr>
              <w:t>NO2-</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铜绿假单胞菌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电导率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17323</w:t>
            </w:r>
            <w:r>
              <w:rPr>
                <w:rFonts w:hint="eastAsia" w:ascii="宋体" w:hAnsi="宋体" w:cs="宋体"/>
                <w:color w:val="auto"/>
                <w:kern w:val="0"/>
                <w:szCs w:val="21"/>
                <w:highlight w:val="none"/>
                <w:lang w:bidi="ar"/>
              </w:rPr>
              <w:t>附录</w:t>
            </w:r>
            <w:r>
              <w:rPr>
                <w:rFonts w:ascii="宋体" w:hAnsi="宋体"/>
                <w:color w:val="auto"/>
                <w:kern w:val="0"/>
                <w:szCs w:val="21"/>
                <w:highlight w:val="none"/>
                <w:lang w:bidi="ar"/>
              </w:rPr>
              <w:t>A</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耗氧量（以</w:t>
            </w:r>
            <w:r>
              <w:rPr>
                <w:rFonts w:ascii="宋体" w:hAnsi="宋体"/>
                <w:color w:val="auto"/>
                <w:kern w:val="0"/>
                <w:szCs w:val="21"/>
                <w:highlight w:val="none"/>
                <w:lang w:bidi="ar"/>
              </w:rPr>
              <w:t>O2</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5750.7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余氯（游离氯）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5750.11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三氯甲烷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5750.10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展青霉素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5009.185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安赛蜜</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5009.140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3538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苋菜红</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GB5009.35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21916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1743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柠檬黄</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GB5009.35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21916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1743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日落黄</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GB5009.35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21916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1743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亮蓝</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GB5009.35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21916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1743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诱惑红</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21916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二氧化碳气容量</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10792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茶多酚</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21733</w:t>
            </w:r>
            <w:r>
              <w:rPr>
                <w:rFonts w:hint="eastAsia" w:ascii="宋体" w:hAnsi="宋体" w:cs="宋体"/>
                <w:color w:val="auto"/>
                <w:kern w:val="0"/>
                <w:szCs w:val="21"/>
                <w:highlight w:val="none"/>
                <w:lang w:bidi="ar"/>
              </w:rPr>
              <w:t>附录</w:t>
            </w:r>
            <w:r>
              <w:rPr>
                <w:rFonts w:ascii="宋体" w:hAnsi="宋体"/>
                <w:color w:val="auto"/>
                <w:kern w:val="0"/>
                <w:szCs w:val="21"/>
                <w:highlight w:val="none"/>
                <w:lang w:bidi="ar"/>
              </w:rPr>
              <w:t>A</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咖啡因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5009.139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相同色泽着色剂混合使用时各自用量占其最大使用量的比例之和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酸价（以脂肪计）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19300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5009.229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铝的残留量（干样品，以</w:t>
            </w:r>
            <w:r>
              <w:rPr>
                <w:rFonts w:ascii="宋体" w:hAnsi="宋体"/>
                <w:color w:val="auto"/>
                <w:kern w:val="0"/>
                <w:szCs w:val="21"/>
                <w:highlight w:val="none"/>
                <w:lang w:bidi="ar"/>
              </w:rPr>
              <w:t>Al</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5009.182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组胺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赤藓红</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21916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乙二胺四乙酸二钠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5009.278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3855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挥发性盐基氮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5009.228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副溶血性弧菌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4789.7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草甘膦</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 1923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吡虫啉</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23379</w:t>
            </w: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NY/T 1379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乙酰甲胺磷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5009.103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5009.145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联苯菊酯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5009.146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1969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灭多威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三氯杀螨醇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5009.176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氰戊菊酯和</w:t>
            </w:r>
            <w:r>
              <w:rPr>
                <w:rFonts w:ascii="宋体" w:hAnsi="宋体"/>
                <w:color w:val="auto"/>
                <w:kern w:val="0"/>
                <w:szCs w:val="21"/>
                <w:highlight w:val="none"/>
                <w:lang w:bidi="ar"/>
              </w:rPr>
              <w:t>S-</w:t>
            </w:r>
            <w:r>
              <w:rPr>
                <w:rFonts w:hint="eastAsia" w:ascii="宋体" w:hAnsi="宋体" w:cs="宋体"/>
                <w:color w:val="auto"/>
                <w:kern w:val="0"/>
                <w:szCs w:val="21"/>
                <w:highlight w:val="none"/>
                <w:lang w:bidi="ar"/>
              </w:rPr>
              <w:t>氰戊菊酯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23204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甲拌磷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23204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克百威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水胺硫磷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5009.20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氧乐果</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1379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毒死蜱</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2158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啶虫脒</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23584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多菌灵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1453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茚虫威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呋虫胺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GB/T 20770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酒精度</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5009.225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5009.266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氰化物（以</w:t>
            </w:r>
            <w:r>
              <w:rPr>
                <w:rFonts w:ascii="宋体" w:hAnsi="宋体"/>
                <w:color w:val="auto"/>
                <w:kern w:val="0"/>
                <w:szCs w:val="21"/>
                <w:highlight w:val="none"/>
                <w:lang w:bidi="ar"/>
              </w:rPr>
              <w:t>HCN</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5009.36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甲醛</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5009.49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亚硝酸盐（以</w:t>
            </w:r>
            <w:r>
              <w:rPr>
                <w:rFonts w:ascii="宋体" w:hAnsi="宋体"/>
                <w:color w:val="auto"/>
                <w:kern w:val="0"/>
                <w:szCs w:val="21"/>
                <w:highlight w:val="none"/>
                <w:lang w:bidi="ar"/>
              </w:rPr>
              <w:t>NaNO2</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5009.33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甲基汞（以</w:t>
            </w:r>
            <w:r>
              <w:rPr>
                <w:rFonts w:ascii="宋体" w:hAnsi="宋体"/>
                <w:color w:val="auto"/>
                <w:kern w:val="0"/>
                <w:szCs w:val="21"/>
                <w:highlight w:val="none"/>
                <w:lang w:bidi="ar"/>
              </w:rPr>
              <w:t>Hg</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炔螨特</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氯氰菊酯和高效氯氰菊酯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5009.146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NY/Y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蔗糖分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QB/T 5010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317-1998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35887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还原糖分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QB/T 5010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317-1998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35887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QB/T 5012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色值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QB/T 5010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317-1998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35887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QB/T 5012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干燥失重</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QB/T 1173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QB/T 1174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QB/T 5010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35887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QB/T 2343.2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5009.3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QB/T 5012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螨</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13104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总糖分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QB/T 5012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QB/T 2343.2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不溶于水杂质</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QB/T 2343.2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多氯联苯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5009.190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49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铝的残留量（以即食海蜇中</w:t>
            </w:r>
            <w:r>
              <w:rPr>
                <w:rFonts w:ascii="宋体" w:hAnsi="宋体"/>
                <w:color w:val="auto"/>
                <w:kern w:val="0"/>
                <w:szCs w:val="21"/>
                <w:highlight w:val="none"/>
                <w:lang w:bidi="ar"/>
              </w:rPr>
              <w:t>Al</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GB5009.182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霉菌和酵母</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4789.15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丙酸及其钠盐、钙盐（以丙酸计）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5009.120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碱性嫩黄</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BJS 202204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果糖和葡萄糖</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蔗糖</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呋喃西林代谢物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18932.24</w:t>
            </w: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781</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-4-2006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31656.13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呋喃妥因代谢物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18932.24</w:t>
            </w: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781</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-4-2006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31656.13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呋喃唑酮代谢物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18932.24</w:t>
            </w: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781</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-4-2006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31656.13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21311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洛硝哒唑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23410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175</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甲硝唑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21318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31658.23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23410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1928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2624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双甲脒</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23200.103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氟胺氰菊酯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31657.1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132</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诺氟沙星</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31657.2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20366</w:t>
            </w: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1077</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-1-2008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氧氟沙星</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31657.2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20366</w:t>
            </w: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1077</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-1-2008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21312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培氟沙星</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31657.2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20366</w:t>
            </w: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1077</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-1-2008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霉菌计数</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4789.15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嗜渗酵母计数</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14963</w:t>
            </w:r>
            <w:r>
              <w:rPr>
                <w:rFonts w:hint="eastAsia" w:ascii="宋体" w:hAnsi="宋体" w:cs="宋体"/>
                <w:color w:val="auto"/>
                <w:kern w:val="0"/>
                <w:szCs w:val="21"/>
                <w:highlight w:val="none"/>
                <w:lang w:bidi="ar"/>
              </w:rPr>
              <w:t>附录</w:t>
            </w:r>
            <w:r>
              <w:rPr>
                <w:rFonts w:ascii="宋体" w:hAnsi="宋体"/>
                <w:color w:val="auto"/>
                <w:kern w:val="0"/>
                <w:szCs w:val="21"/>
                <w:highlight w:val="none"/>
                <w:lang w:bidi="ar"/>
              </w:rPr>
              <w:t>A</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阴离子合成洗涤剂（以十二烷基苯磺酸钠计）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5750.4</w:t>
            </w:r>
            <w:r>
              <w:rPr>
                <w:rFonts w:hint="eastAsia" w:ascii="宋体" w:hAnsi="宋体" w:cs="宋体"/>
                <w:color w:val="auto"/>
                <w:kern w:val="0"/>
                <w:szCs w:val="21"/>
                <w:highlight w:val="none"/>
                <w:lang w:bidi="ar"/>
              </w:rPr>
              <w:t>第</w:t>
            </w:r>
            <w:r>
              <w:rPr>
                <w:rFonts w:ascii="宋体" w:hAnsi="宋体"/>
                <w:color w:val="auto"/>
                <w:kern w:val="0"/>
                <w:szCs w:val="21"/>
                <w:highlight w:val="none"/>
                <w:lang w:bidi="ar"/>
              </w:rPr>
              <w:t>10</w:t>
            </w:r>
            <w:r>
              <w:rPr>
                <w:rFonts w:hint="eastAsia" w:ascii="宋体" w:hAnsi="宋体" w:cs="宋体"/>
                <w:color w:val="auto"/>
                <w:kern w:val="0"/>
                <w:szCs w:val="21"/>
                <w:highlight w:val="none"/>
                <w:lang w:bidi="ar"/>
              </w:rPr>
              <w:t>章</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克伦特罗</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22286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31658.22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1924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莱克多巴胺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22286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31658.22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1924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沙丁胺醇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22286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31658.22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1924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五氯酚酸钠（以五氯酚计）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23200.92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恩诺沙星</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31658.17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20366</w:t>
            </w: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1077</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-1-2008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21312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氟苯尼考</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31658.5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31658.20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22338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20756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1865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地塞米松</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1031</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-2-2008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21981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尼卡巴嗪</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29690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沙拉沙星</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31658.17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21312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多西环素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31658.17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31659.2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甲氧苄啶</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21316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2538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49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r>
              <w:rPr>
                <w:rFonts w:hint="eastAsia" w:ascii="宋体" w:hAnsi="宋体" w:cs="宋体"/>
                <w:color w:val="auto"/>
                <w:kern w:val="0"/>
                <w:szCs w:val="21"/>
                <w:highlight w:val="none"/>
                <w:lang w:bidi="ar"/>
              </w:rPr>
              <w:t>氯苯氧乙酸钠（以</w:t>
            </w:r>
            <w:r>
              <w:rPr>
                <w:rFonts w:ascii="宋体" w:hAnsi="宋体"/>
                <w:color w:val="auto"/>
                <w:kern w:val="0"/>
                <w:szCs w:val="21"/>
                <w:highlight w:val="none"/>
                <w:lang w:bidi="ar"/>
              </w:rPr>
              <w:t>4-</w:t>
            </w:r>
            <w:r>
              <w:rPr>
                <w:rFonts w:hint="eastAsia" w:ascii="宋体" w:hAnsi="宋体" w:cs="宋体"/>
                <w:color w:val="auto"/>
                <w:kern w:val="0"/>
                <w:szCs w:val="21"/>
                <w:highlight w:val="none"/>
                <w:lang w:bidi="ar"/>
              </w:rPr>
              <w:t>氯苯氧乙酸钠计）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 3725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BJS 201703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r>
              <w:rPr>
                <w:rFonts w:hint="eastAsia" w:ascii="宋体" w:hAnsi="宋体" w:cs="宋体"/>
                <w:color w:val="auto"/>
                <w:kern w:val="0"/>
                <w:szCs w:val="21"/>
                <w:highlight w:val="none"/>
                <w:lang w:bidi="ar"/>
              </w:rPr>
              <w:t>苄基腺嘌呤</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BJS 201703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亚硫酸盐（以</w:t>
            </w:r>
            <w:r>
              <w:rPr>
                <w:rFonts w:ascii="宋体" w:hAnsi="宋体"/>
                <w:color w:val="auto"/>
                <w:kern w:val="0"/>
                <w:szCs w:val="21"/>
                <w:highlight w:val="none"/>
                <w:lang w:bidi="ar"/>
              </w:rPr>
              <w:t>SO2</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5009.34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百菌清</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5009.105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2320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甲氨基阿维菌素苯甲酸盐</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氯氟氰菊酯和高效氯氟氰菊酯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5009.146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氟虫腈</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1982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腐霉利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甲胺磷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5009.103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甲基异柳磷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5009.144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阿维菌素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23200.20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1379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唑虫酰胺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噻虫嗪</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23200.39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噻虫胺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GB23200.39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161</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杀扑磷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14553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敌敌畏</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5009.20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倍硫磷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灭蝇胺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 1725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咪鲜胺和咪鲜胺锰盐</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 1456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涕灭威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49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孔雀石绿</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19857</w:t>
            </w:r>
            <w:r>
              <w:rPr>
                <w:rFonts w:hint="eastAsia" w:ascii="宋体" w:hAnsi="宋体" w:cs="宋体"/>
                <w:color w:val="auto"/>
                <w:kern w:val="0"/>
                <w:szCs w:val="21"/>
                <w:highlight w:val="none"/>
                <w:lang w:bidi="ar"/>
              </w:rPr>
              <w:t>（液相色谱</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串联质谱法）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丙溴磷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2234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苯醚甲环唑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23200.49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5009.218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氯唑磷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三唑磷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烯酰吗啉</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戊菌唑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氯吡脲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吡唑醚菌酯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腈苯唑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氟环唑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140</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嘧菌酯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23200.46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23200.54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1453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1976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23200.34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戊唑醇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23200.121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地美硝唑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 2624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磺胺类（总量）</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31658.17</w:t>
            </w: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1025</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-23-2008</w:t>
            </w: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1077</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-1-2008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w:t>
            </w:r>
            <w:r>
              <w:rPr>
                <w:rFonts w:hint="eastAsia" w:ascii="宋体" w:hAnsi="宋体" w:cs="宋体"/>
                <w:color w:val="auto"/>
                <w:kern w:val="0"/>
                <w:szCs w:val="21"/>
                <w:highlight w:val="none"/>
                <w:lang w:bidi="ar"/>
              </w:rPr>
              <w:t>滴和</w:t>
            </w:r>
            <w:r>
              <w:rPr>
                <w:rFonts w:ascii="宋体" w:hAnsi="宋体"/>
                <w:color w:val="auto"/>
                <w:kern w:val="0"/>
                <w:szCs w:val="21"/>
                <w:highlight w:val="none"/>
                <w:lang w:bidi="ar"/>
              </w:rPr>
              <w:t>2,4-</w:t>
            </w:r>
            <w:r>
              <w:rPr>
                <w:rFonts w:hint="eastAsia" w:ascii="宋体" w:hAnsi="宋体" w:cs="宋体"/>
                <w:color w:val="auto"/>
                <w:kern w:val="0"/>
                <w:szCs w:val="21"/>
                <w:highlight w:val="none"/>
                <w:lang w:bidi="ar"/>
              </w:rPr>
              <w:t>滴钠盐</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 1434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吡蚜酮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 3860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敌百虫</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丁硫克百威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氟硅唑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GB23200.53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联苯肼酯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硫线磷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螺螨酯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内吸磷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23204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208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杀虫脒</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209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霜霉威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NY/T1379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辛硫磷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GB/T5009.102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3769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唑螨酯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乙螨唑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丙环唑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抗蚜威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1379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莠去津</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哒螨灵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狄氏剂</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对硫磷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5009.145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噁唑菌酮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二甲戊灵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1379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二嗪磷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 xml:space="preserve">GB 23200.113 </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 xml:space="preserve">GB/T 5009.107 </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 xml:space="preserve">GB/T 20769 </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己唑醇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甲基毒死蜱</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甲基对硫磷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甲氰菊酯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2233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甲霜灵和精甲霜灵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久效磷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乐果</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5009.145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硫环磷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230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马拉硫磷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231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嘧霉胺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232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灭线磷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23204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233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三唑醇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234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三唑酮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235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肟菌酯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 xml:space="preserve">GB 23200.8 </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7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236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溴氰菊酯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0217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5009.110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237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异丙威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23200.112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 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238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治螟磷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23200.113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100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239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地西泮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 3235</w:t>
            </w: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环丙沙星</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20366</w:t>
            </w: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1077</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-1-2008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21312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金刚烷胺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31660.5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4253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金刚乙胺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 4253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金霉素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SC/T 3015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 21317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喹乙醇（</w:t>
            </w:r>
            <w:r>
              <w:rPr>
                <w:rFonts w:ascii="宋体" w:hAnsi="宋体"/>
                <w:color w:val="auto"/>
                <w:kern w:val="0"/>
                <w:szCs w:val="21"/>
                <w:highlight w:val="none"/>
                <w:lang w:bidi="ar"/>
              </w:rPr>
              <w:t>MQCA</w:t>
            </w:r>
            <w:r>
              <w:rPr>
                <w:rFonts w:hint="eastAsia" w:ascii="宋体" w:hAnsi="宋体" w:cs="宋体"/>
                <w:color w:val="auto"/>
                <w:kern w:val="0"/>
                <w:szCs w:val="21"/>
                <w:highlight w:val="none"/>
                <w:lang w:bidi="ar"/>
              </w:rPr>
              <w:t>）</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20746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利巴韦林</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 4519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林可霉素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20762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氯丙嗪</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20763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四环素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GB/T21317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SC/T 3015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替米考星</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20762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1777.2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250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土霉素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GB/T21317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SC/T 3015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251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w:t>
            </w:r>
            <w:r>
              <w:rPr>
                <w:rFonts w:hint="eastAsia" w:ascii="宋体" w:hAnsi="宋体" w:cs="宋体"/>
                <w:color w:val="auto"/>
                <w:kern w:val="0"/>
                <w:szCs w:val="21"/>
                <w:highlight w:val="none"/>
                <w:lang w:bidi="ar"/>
              </w:rPr>
              <w:t>羟基</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癸烯酸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9697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252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α-</w:t>
            </w:r>
            <w:r>
              <w:rPr>
                <w:rFonts w:hint="eastAsia" w:ascii="宋体" w:hAnsi="宋体" w:cs="宋体"/>
                <w:color w:val="auto"/>
                <w:kern w:val="0"/>
                <w:szCs w:val="21"/>
                <w:highlight w:val="none"/>
                <w:lang w:bidi="ar"/>
              </w:rPr>
              <w:t>亚麻酸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253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α-</w:t>
            </w:r>
            <w:r>
              <w:rPr>
                <w:rFonts w:hint="eastAsia" w:ascii="宋体" w:hAnsi="宋体" w:cs="宋体"/>
                <w:color w:val="auto"/>
                <w:kern w:val="0"/>
                <w:szCs w:val="21"/>
                <w:highlight w:val="none"/>
                <w:lang w:bidi="ar"/>
              </w:rPr>
              <w:t>亚麻酸供能比</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254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丙二醛</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5009.181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255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不溶性膳食纤维</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5413.6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256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胆碱</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5413.20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257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碘</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5009.267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258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豆蔻酸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259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二十二碳六烯酸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二十二碳六烯酸与二十碳四烯酸的比</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二十二碳六烯酸与总脂肪酸比</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二十碳四烯酸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二十碳四烯酸与总脂肪酸比</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二十碳五烯酸与二十二碳六烯酸的比</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反式脂肪酸（</w:t>
            </w:r>
            <w:r>
              <w:rPr>
                <w:rFonts w:ascii="宋体" w:hAnsi="宋体"/>
                <w:color w:val="auto"/>
                <w:kern w:val="0"/>
                <w:szCs w:val="21"/>
                <w:highlight w:val="none"/>
                <w:lang w:bidi="ar"/>
              </w:rPr>
              <w:t>C18:1T</w:t>
            </w:r>
            <w:r>
              <w:rPr>
                <w:rFonts w:hint="eastAsia" w:ascii="宋体" w:hAnsi="宋体" w:cs="宋体"/>
                <w:color w:val="auto"/>
                <w:kern w:val="0"/>
                <w:szCs w:val="21"/>
                <w:highlight w:val="none"/>
                <w:lang w:bidi="ar"/>
              </w:rPr>
              <w:t>）</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5413.36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反式脂肪酸（</w:t>
            </w:r>
            <w:r>
              <w:rPr>
                <w:rFonts w:ascii="宋体" w:hAnsi="宋体"/>
                <w:color w:val="auto"/>
                <w:kern w:val="0"/>
                <w:szCs w:val="21"/>
                <w:highlight w:val="none"/>
                <w:lang w:bidi="ar"/>
              </w:rPr>
              <w:t>C18:2T+C18:3T</w:t>
            </w:r>
            <w:r>
              <w:rPr>
                <w:rFonts w:hint="eastAsia" w:ascii="宋体" w:hAnsi="宋体" w:cs="宋体"/>
                <w:color w:val="auto"/>
                <w:kern w:val="0"/>
                <w:szCs w:val="21"/>
                <w:highlight w:val="none"/>
                <w:lang w:bidi="ar"/>
              </w:rPr>
              <w:t>）</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5413.36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反式脂肪酸与总脂肪酸比值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GB5413.36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反式脂肪酸最高含量与总脂肪酸比值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GB5413.36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泛酸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5009.210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270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5009.18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19965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271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钙</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5009.92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272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过氧化物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6783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w:t>
            </w:r>
          </w:p>
        </w:tc>
      </w:tr>
      <w:tr>
        <w:tblPrEx>
          <w:tblCellMar>
            <w:top w:w="0" w:type="dxa"/>
            <w:left w:w="108" w:type="dxa"/>
            <w:bottom w:w="0" w:type="dxa"/>
            <w:right w:w="108" w:type="dxa"/>
          </w:tblCellMar>
        </w:tblPrEx>
        <w:trPr>
          <w:trHeight w:val="285"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273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核苷酸（胞嘧啶核苷酸</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5413.40</w:t>
            </w:r>
          </w:p>
        </w:tc>
        <w:tc>
          <w:tcPr>
            <w:tcW w:w="1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尿嘧啶核苷酸</w:t>
            </w: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285"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次黄嘌呤核苷酸</w:t>
            </w: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285"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鸟嘌呤核苷酸</w:t>
            </w: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285"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腺嘌呤核苷酸）</w:t>
            </w: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274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花生四烯酸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275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灰分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276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浑浊度</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5750.4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277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肌醇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5009.270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278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极性组分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279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钾</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5009.91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280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芥酸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281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芥酸与总脂肪酸比值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282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界限指标</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碘化物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283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界限指标</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二氧化碳</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284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警示语标注（限玻璃瓶装啤酒检测）</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2758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285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5009.87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286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5009.44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287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5009.241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288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锰</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5009.242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289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290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5009.91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291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能量</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10769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292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脲酶活性定性（脲酶）</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5413.31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293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脲酶试验（脲酶）</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5009.183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294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牛磺酸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295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肉豆蔻酸占总脂肪的比值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296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乳糖</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GB5413.5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297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乳糖占碳水化合物总量比</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GB5413.5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GB25596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10765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298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三甲胺氮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5009.179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299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生物素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GB5009.259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碳水化合物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GB25596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 10765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GB5009.90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维生素</w:t>
            </w:r>
            <w:r>
              <w:rPr>
                <w:rFonts w:ascii="宋体" w:hAnsi="宋体"/>
                <w:color w:val="auto"/>
                <w:kern w:val="0"/>
                <w:szCs w:val="21"/>
                <w:highlight w:val="none"/>
                <w:lang w:bidi="ar"/>
              </w:rPr>
              <w:t>A</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GB5009.82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33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维生素</w:t>
            </w:r>
            <w:r>
              <w:rPr>
                <w:rFonts w:ascii="宋体" w:hAnsi="宋体"/>
                <w:color w:val="auto"/>
                <w:kern w:val="0"/>
                <w:szCs w:val="21"/>
                <w:highlight w:val="none"/>
                <w:lang w:bidi="ar"/>
              </w:rPr>
              <w:t>B</w:t>
            </w:r>
            <w:r>
              <w:rPr>
                <w:rFonts w:ascii="宋体" w:hAnsi="宋体"/>
                <w:color w:val="auto"/>
                <w:kern w:val="0"/>
                <w:szCs w:val="21"/>
                <w:highlight w:val="none"/>
                <w:vertAlign w:val="subscript"/>
                <w:lang w:bidi="ar"/>
              </w:rPr>
              <w:t>1</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GB5009.84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33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维生素</w:t>
            </w:r>
            <w:r>
              <w:rPr>
                <w:rFonts w:ascii="宋体" w:hAnsi="宋体"/>
                <w:color w:val="auto"/>
                <w:kern w:val="0"/>
                <w:szCs w:val="21"/>
                <w:highlight w:val="none"/>
                <w:lang w:bidi="ar"/>
              </w:rPr>
              <w:t>B</w:t>
            </w:r>
            <w:r>
              <w:rPr>
                <w:rFonts w:ascii="宋体" w:hAnsi="宋体"/>
                <w:color w:val="auto"/>
                <w:kern w:val="0"/>
                <w:szCs w:val="21"/>
                <w:highlight w:val="none"/>
                <w:vertAlign w:val="subscript"/>
                <w:lang w:bidi="ar"/>
              </w:rPr>
              <w:t>12</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GB5413.14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33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维生素</w:t>
            </w:r>
            <w:r>
              <w:rPr>
                <w:rFonts w:ascii="宋体" w:hAnsi="宋体"/>
                <w:color w:val="auto"/>
                <w:kern w:val="0"/>
                <w:szCs w:val="21"/>
                <w:highlight w:val="none"/>
                <w:lang w:bidi="ar"/>
              </w:rPr>
              <w:t>B</w:t>
            </w:r>
            <w:r>
              <w:rPr>
                <w:rFonts w:ascii="宋体" w:hAnsi="宋体"/>
                <w:color w:val="auto"/>
                <w:kern w:val="0"/>
                <w:szCs w:val="21"/>
                <w:highlight w:val="none"/>
                <w:vertAlign w:val="subscript"/>
                <w:lang w:bidi="ar"/>
              </w:rPr>
              <w:t>2</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GB5009.85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33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维生素</w:t>
            </w:r>
            <w:r>
              <w:rPr>
                <w:rFonts w:ascii="宋体" w:hAnsi="宋体"/>
                <w:color w:val="auto"/>
                <w:kern w:val="0"/>
                <w:szCs w:val="21"/>
                <w:highlight w:val="none"/>
                <w:lang w:bidi="ar"/>
              </w:rPr>
              <w:t>B</w:t>
            </w:r>
            <w:r>
              <w:rPr>
                <w:rFonts w:ascii="宋体" w:hAnsi="宋体"/>
                <w:color w:val="auto"/>
                <w:kern w:val="0"/>
                <w:szCs w:val="21"/>
                <w:highlight w:val="none"/>
                <w:vertAlign w:val="subscript"/>
                <w:lang w:bidi="ar"/>
              </w:rPr>
              <w:t>6</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GB5009.154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维生素</w:t>
            </w:r>
            <w:r>
              <w:rPr>
                <w:rFonts w:ascii="宋体" w:hAnsi="宋体"/>
                <w:color w:val="auto"/>
                <w:kern w:val="0"/>
                <w:szCs w:val="21"/>
                <w:highlight w:val="none"/>
                <w:lang w:bidi="ar"/>
              </w:rPr>
              <w:t>C</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GB5413.18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维生素</w:t>
            </w:r>
            <w:r>
              <w:rPr>
                <w:rFonts w:ascii="宋体" w:hAnsi="宋体"/>
                <w:color w:val="auto"/>
                <w:kern w:val="0"/>
                <w:szCs w:val="21"/>
                <w:highlight w:val="none"/>
                <w:lang w:bidi="ar"/>
              </w:rPr>
              <w:t>D</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GB5009.82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维生素</w:t>
            </w:r>
            <w:r>
              <w:rPr>
                <w:rFonts w:ascii="宋体" w:hAnsi="宋体"/>
                <w:color w:val="auto"/>
                <w:kern w:val="0"/>
                <w:szCs w:val="21"/>
                <w:highlight w:val="none"/>
                <w:lang w:bidi="ar"/>
              </w:rPr>
              <w:t>E</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GB5009.82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33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维生素</w:t>
            </w:r>
            <w:r>
              <w:rPr>
                <w:rFonts w:ascii="宋体" w:hAnsi="宋体"/>
                <w:color w:val="auto"/>
                <w:kern w:val="0"/>
                <w:szCs w:val="21"/>
                <w:highlight w:val="none"/>
                <w:lang w:bidi="ar"/>
              </w:rPr>
              <w:t>K</w:t>
            </w:r>
            <w:r>
              <w:rPr>
                <w:rFonts w:ascii="宋体" w:hAnsi="宋体"/>
                <w:color w:val="auto"/>
                <w:kern w:val="0"/>
                <w:szCs w:val="21"/>
                <w:highlight w:val="none"/>
                <w:vertAlign w:val="subscript"/>
                <w:lang w:bidi="ar"/>
              </w:rPr>
              <w:t>1</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GB5009.158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硒</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5009.93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亚麻酸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亚油酸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317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亚油酸供能比</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318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烟酸（烟酰胺）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5009.89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319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叶黄素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GB5009.248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叶酸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月桂酸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322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月桂酸占总脂肪的比值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323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杂质度</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GB5413.30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7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终产品脂肪中月桂酸和肉豆蔻酸（十四烷酸）总量占总脂肪酸的比值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325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GB5009.91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326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总糖</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9697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327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左旋肉碱</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GB29989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328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游离性余氯（游离余氯）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 5750.11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329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阿力甜</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5009.263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330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靛蓝</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GB/T21916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331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叔丁基羟基茴香醚（</w:t>
            </w:r>
            <w:r>
              <w:rPr>
                <w:rFonts w:ascii="宋体" w:hAnsi="宋体"/>
                <w:color w:val="auto"/>
                <w:kern w:val="0"/>
                <w:szCs w:val="21"/>
                <w:highlight w:val="none"/>
                <w:lang w:bidi="ar"/>
              </w:rPr>
              <w:t>BHA</w:t>
            </w:r>
            <w:r>
              <w:rPr>
                <w:rFonts w:hint="eastAsia" w:ascii="宋体" w:hAnsi="宋体" w:cs="宋体"/>
                <w:color w:val="auto"/>
                <w:kern w:val="0"/>
                <w:szCs w:val="21"/>
                <w:highlight w:val="none"/>
                <w:lang w:bidi="ar"/>
              </w:rPr>
              <w:t>）</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5009.32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332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w:t>
            </w:r>
            <w:r>
              <w:rPr>
                <w:rFonts w:hint="eastAsia" w:ascii="宋体" w:hAnsi="宋体" w:cs="宋体"/>
                <w:color w:val="auto"/>
                <w:kern w:val="0"/>
                <w:szCs w:val="21"/>
                <w:highlight w:val="none"/>
                <w:lang w:bidi="ar"/>
              </w:rPr>
              <w:t>二叔丁基对甲酚（</w:t>
            </w:r>
            <w:r>
              <w:rPr>
                <w:rFonts w:ascii="宋体" w:hAnsi="宋体"/>
                <w:color w:val="auto"/>
                <w:kern w:val="0"/>
                <w:szCs w:val="21"/>
                <w:highlight w:val="none"/>
                <w:lang w:bidi="ar"/>
              </w:rPr>
              <w:t>BHT</w:t>
            </w:r>
            <w:r>
              <w:rPr>
                <w:rFonts w:hint="eastAsia" w:ascii="宋体" w:hAnsi="宋体" w:cs="宋体"/>
                <w:color w:val="auto"/>
                <w:kern w:val="0"/>
                <w:szCs w:val="21"/>
                <w:highlight w:val="none"/>
                <w:lang w:bidi="ar"/>
              </w:rPr>
              <w:t>）</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5009.32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333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没食子酸丙酯（</w:t>
            </w:r>
            <w:r>
              <w:rPr>
                <w:rFonts w:ascii="宋体" w:hAnsi="宋体"/>
                <w:color w:val="auto"/>
                <w:kern w:val="0"/>
                <w:szCs w:val="21"/>
                <w:highlight w:val="none"/>
                <w:lang w:bidi="ar"/>
              </w:rPr>
              <w:t>PG</w:t>
            </w:r>
            <w:r>
              <w:rPr>
                <w:rFonts w:hint="eastAsia" w:ascii="宋体" w:hAnsi="宋体" w:cs="宋体"/>
                <w:color w:val="auto"/>
                <w:kern w:val="0"/>
                <w:szCs w:val="21"/>
                <w:highlight w:val="none"/>
                <w:lang w:bidi="ar"/>
              </w:rPr>
              <w:t>）</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5009.32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334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纽甜</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5009.247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15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335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香兰素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国家食品药品监督管理总局</w:t>
            </w:r>
            <w:r>
              <w:rPr>
                <w:rFonts w:ascii="宋体" w:hAnsi="宋体"/>
                <w:color w:val="auto"/>
                <w:kern w:val="0"/>
                <w:szCs w:val="21"/>
                <w:highlight w:val="none"/>
                <w:lang w:bidi="ar"/>
              </w:rPr>
              <w:t xml:space="preserve"> </w:t>
            </w:r>
            <w:r>
              <w:rPr>
                <w:rFonts w:hint="eastAsia" w:ascii="宋体" w:hAnsi="宋体" w:cs="宋体"/>
                <w:color w:val="auto"/>
                <w:kern w:val="0"/>
                <w:szCs w:val="21"/>
                <w:highlight w:val="none"/>
                <w:lang w:bidi="ar"/>
              </w:rPr>
              <w:t>关于发布食品中香兰素、甲基香兰素和乙基香兰素等的测定等</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项食品补充检验方法的公告（</w:t>
            </w:r>
            <w:r>
              <w:rPr>
                <w:rFonts w:ascii="宋体" w:hAnsi="宋体"/>
                <w:color w:val="auto"/>
                <w:kern w:val="0"/>
                <w:szCs w:val="21"/>
                <w:highlight w:val="none"/>
                <w:lang w:bidi="ar"/>
              </w:rPr>
              <w:t>2017</w:t>
            </w:r>
            <w:r>
              <w:rPr>
                <w:rFonts w:hint="eastAsia" w:ascii="宋体" w:hAnsi="宋体" w:cs="宋体"/>
                <w:color w:val="auto"/>
                <w:kern w:val="0"/>
                <w:szCs w:val="21"/>
                <w:highlight w:val="none"/>
                <w:lang w:bidi="ar"/>
              </w:rPr>
              <w:t>年第</w:t>
            </w:r>
            <w:r>
              <w:rPr>
                <w:rFonts w:ascii="宋体" w:hAnsi="宋体"/>
                <w:color w:val="auto"/>
                <w:kern w:val="0"/>
                <w:szCs w:val="21"/>
                <w:highlight w:val="none"/>
                <w:lang w:bidi="ar"/>
              </w:rPr>
              <w:t>64</w:t>
            </w:r>
            <w:r>
              <w:rPr>
                <w:rFonts w:hint="eastAsia" w:ascii="宋体" w:hAnsi="宋体" w:cs="宋体"/>
                <w:color w:val="auto"/>
                <w:kern w:val="0"/>
                <w:szCs w:val="21"/>
                <w:highlight w:val="none"/>
                <w:lang w:bidi="ar"/>
              </w:rPr>
              <w:t>号）附件</w:t>
            </w:r>
            <w:r>
              <w:rPr>
                <w:rFonts w:ascii="宋体" w:hAnsi="宋体"/>
                <w:color w:val="auto"/>
                <w:kern w:val="0"/>
                <w:szCs w:val="21"/>
                <w:highlight w:val="none"/>
                <w:lang w:bidi="ar"/>
              </w:rPr>
              <w:t>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BJS 201705</w:t>
            </w:r>
            <w:r>
              <w:rPr>
                <w:rFonts w:hint="eastAsia" w:ascii="宋体" w:hAnsi="宋体" w:cs="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15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336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乙基香兰素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国家食品药品监督管理总局</w:t>
            </w:r>
            <w:r>
              <w:rPr>
                <w:rFonts w:ascii="宋体" w:hAnsi="宋体"/>
                <w:color w:val="auto"/>
                <w:kern w:val="0"/>
                <w:szCs w:val="21"/>
                <w:highlight w:val="none"/>
                <w:lang w:bidi="ar"/>
              </w:rPr>
              <w:t xml:space="preserve"> </w:t>
            </w:r>
            <w:r>
              <w:rPr>
                <w:rFonts w:hint="eastAsia" w:ascii="宋体" w:hAnsi="宋体" w:cs="宋体"/>
                <w:color w:val="auto"/>
                <w:kern w:val="0"/>
                <w:szCs w:val="21"/>
                <w:highlight w:val="none"/>
                <w:lang w:bidi="ar"/>
              </w:rPr>
              <w:t>关于发布食品中香兰素、甲基香兰素和乙基香兰素等的测定等</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项食品补充检验方法的公告（</w:t>
            </w:r>
            <w:r>
              <w:rPr>
                <w:rFonts w:ascii="宋体" w:hAnsi="宋体"/>
                <w:color w:val="auto"/>
                <w:kern w:val="0"/>
                <w:szCs w:val="21"/>
                <w:highlight w:val="none"/>
                <w:lang w:bidi="ar"/>
              </w:rPr>
              <w:t>2017</w:t>
            </w:r>
            <w:r>
              <w:rPr>
                <w:rFonts w:hint="eastAsia" w:ascii="宋体" w:hAnsi="宋体" w:cs="宋体"/>
                <w:color w:val="auto"/>
                <w:kern w:val="0"/>
                <w:szCs w:val="21"/>
                <w:highlight w:val="none"/>
                <w:lang w:bidi="ar"/>
              </w:rPr>
              <w:t>年第</w:t>
            </w:r>
            <w:r>
              <w:rPr>
                <w:rFonts w:ascii="宋体" w:hAnsi="宋体"/>
                <w:color w:val="auto"/>
                <w:kern w:val="0"/>
                <w:szCs w:val="21"/>
                <w:highlight w:val="none"/>
                <w:lang w:bidi="ar"/>
              </w:rPr>
              <w:t>64</w:t>
            </w:r>
            <w:r>
              <w:rPr>
                <w:rFonts w:hint="eastAsia" w:ascii="宋体" w:hAnsi="宋体" w:cs="宋体"/>
                <w:color w:val="auto"/>
                <w:kern w:val="0"/>
                <w:szCs w:val="21"/>
                <w:highlight w:val="none"/>
                <w:lang w:bidi="ar"/>
              </w:rPr>
              <w:t>号）附件</w:t>
            </w:r>
            <w:r>
              <w:rPr>
                <w:rFonts w:ascii="宋体" w:hAnsi="宋体"/>
                <w:color w:val="auto"/>
                <w:kern w:val="0"/>
                <w:szCs w:val="21"/>
                <w:highlight w:val="none"/>
                <w:lang w:bidi="ar"/>
              </w:rPr>
              <w:t>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BJS 201705</w:t>
            </w:r>
            <w:r>
              <w:rPr>
                <w:rFonts w:hint="eastAsia" w:ascii="宋体" w:hAnsi="宋体" w:cs="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337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乙酰磺胺酸钾（安赛蜜）</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GB/T5009.140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 3538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338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339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砷（以</w:t>
            </w:r>
            <w:r>
              <w:rPr>
                <w:rFonts w:ascii="宋体" w:hAnsi="宋体"/>
                <w:color w:val="auto"/>
                <w:kern w:val="0"/>
                <w:szCs w:val="21"/>
                <w:highlight w:val="none"/>
                <w:lang w:bidi="ar"/>
              </w:rPr>
              <w:t>As</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340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锡（以</w:t>
            </w:r>
            <w:r>
              <w:rPr>
                <w:rFonts w:ascii="宋体" w:hAnsi="宋体"/>
                <w:color w:val="auto"/>
                <w:kern w:val="0"/>
                <w:szCs w:val="21"/>
                <w:highlight w:val="none"/>
                <w:lang w:bidi="ar"/>
              </w:rPr>
              <w:t>Sn</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80</w:t>
            </w:r>
          </w:p>
        </w:tc>
      </w:tr>
      <w:tr>
        <w:tblPrEx>
          <w:tblCellMar>
            <w:top w:w="0" w:type="dxa"/>
            <w:left w:w="108" w:type="dxa"/>
            <w:bottom w:w="0" w:type="dxa"/>
            <w:right w:w="108" w:type="dxa"/>
          </w:tblCellMar>
        </w:tblPrEx>
        <w:trPr>
          <w:trHeight w:val="33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341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黄曲霉毒素</w:t>
            </w:r>
            <w:r>
              <w:rPr>
                <w:rFonts w:ascii="宋体" w:hAnsi="宋体"/>
                <w:color w:val="auto"/>
                <w:kern w:val="0"/>
                <w:szCs w:val="21"/>
                <w:highlight w:val="none"/>
                <w:lang w:bidi="ar"/>
              </w:rPr>
              <w:t>M</w:t>
            </w:r>
            <w:r>
              <w:rPr>
                <w:rFonts w:ascii="宋体" w:hAnsi="宋体"/>
                <w:color w:val="auto"/>
                <w:kern w:val="0"/>
                <w:szCs w:val="21"/>
                <w:highlight w:val="none"/>
                <w:vertAlign w:val="subscript"/>
                <w:lang w:bidi="ar"/>
              </w:rPr>
              <w:t>1</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342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阪崎肠杆菌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4789.40</w:t>
            </w:r>
            <w:r>
              <w:rPr>
                <w:rFonts w:hint="eastAsia" w:ascii="宋体" w:hAnsi="宋体" w:cs="宋体"/>
                <w:color w:val="auto"/>
                <w:kern w:val="0"/>
                <w:szCs w:val="21"/>
                <w:highlight w:val="none"/>
                <w:lang w:bidi="ar"/>
              </w:rPr>
              <w:t>第一法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343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产气荚膜梭菌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344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粪链球菌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345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蒂巴因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BJS 201802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346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富马酸二甲酯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 1723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347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w:t>
            </w:r>
            <w:r>
              <w:rPr>
                <w:rFonts w:hint="eastAsia" w:ascii="宋体" w:hAnsi="宋体" w:cs="宋体"/>
                <w:color w:val="auto"/>
                <w:kern w:val="0"/>
                <w:szCs w:val="21"/>
                <w:highlight w:val="none"/>
                <w:lang w:bidi="ar"/>
              </w:rPr>
              <w:t>二甲基亚硝胺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348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绦虫裂头蚴</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GB10136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349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吸虫囊蚴</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GB10136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线虫幼虫</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GB10136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氯化钾</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5009.42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r>
              <w:rPr>
                <w:rFonts w:hint="eastAsia" w:ascii="宋体" w:hAnsi="宋体" w:cs="宋体"/>
                <w:color w:val="auto"/>
                <w:kern w:val="0"/>
                <w:szCs w:val="21"/>
                <w:highlight w:val="none"/>
                <w:lang w:bidi="ar"/>
              </w:rPr>
              <w:t>氯</w:t>
            </w:r>
            <w:r>
              <w:rPr>
                <w:rFonts w:ascii="宋体" w:hAnsi="宋体"/>
                <w:color w:val="auto"/>
                <w:kern w:val="0"/>
                <w:szCs w:val="21"/>
                <w:highlight w:val="none"/>
                <w:lang w:bidi="ar"/>
              </w:rPr>
              <w:t>-1,2-</w:t>
            </w:r>
            <w:r>
              <w:rPr>
                <w:rFonts w:hint="eastAsia" w:ascii="宋体" w:hAnsi="宋体" w:cs="宋体"/>
                <w:color w:val="auto"/>
                <w:kern w:val="0"/>
                <w:szCs w:val="21"/>
                <w:highlight w:val="none"/>
                <w:lang w:bidi="ar"/>
              </w:rPr>
              <w:t>丙二醇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GB5009.191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153</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w:t>
            </w:r>
            <w:r>
              <w:rPr>
                <w:rFonts w:hint="eastAsia" w:ascii="宋体" w:hAnsi="宋体" w:cs="宋体"/>
                <w:color w:val="auto"/>
                <w:kern w:val="0"/>
                <w:szCs w:val="21"/>
                <w:highlight w:val="none"/>
                <w:lang w:bidi="ar"/>
              </w:rPr>
              <w:t>双去甲基西布曲明</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2006004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2012005</w:t>
            </w:r>
            <w:r>
              <w:rPr>
                <w:rFonts w:hint="eastAsia" w:ascii="宋体" w:hAnsi="宋体" w:cs="宋体"/>
                <w:color w:val="auto"/>
                <w:kern w:val="0"/>
                <w:szCs w:val="21"/>
                <w:highlight w:val="none"/>
                <w:lang w:bidi="ar"/>
              </w:rPr>
              <w:t>、食药监办</w:t>
            </w:r>
            <w:r>
              <w:rPr>
                <w:rFonts w:ascii="宋体" w:hAnsi="宋体"/>
                <w:color w:val="auto"/>
                <w:kern w:val="0"/>
                <w:szCs w:val="21"/>
                <w:highlight w:val="none"/>
                <w:lang w:bidi="ar"/>
              </w:rPr>
              <w:t>[2010]114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180</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w:t>
            </w:r>
            <w:r>
              <w:rPr>
                <w:rFonts w:hint="eastAsia" w:ascii="宋体" w:hAnsi="宋体" w:cs="宋体"/>
                <w:color w:val="auto"/>
                <w:kern w:val="0"/>
                <w:szCs w:val="21"/>
                <w:highlight w:val="none"/>
                <w:lang w:bidi="ar"/>
              </w:rPr>
              <w:t>单去甲基西布曲明</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2006004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2012005</w:t>
            </w:r>
            <w:r>
              <w:rPr>
                <w:rFonts w:hint="eastAsia" w:ascii="宋体" w:hAnsi="宋体" w:cs="宋体"/>
                <w:color w:val="auto"/>
                <w:kern w:val="0"/>
                <w:szCs w:val="21"/>
                <w:highlight w:val="none"/>
                <w:lang w:bidi="ar"/>
              </w:rPr>
              <w:t>、食药监办</w:t>
            </w:r>
            <w:r>
              <w:rPr>
                <w:rFonts w:ascii="宋体" w:hAnsi="宋体"/>
                <w:color w:val="auto"/>
                <w:kern w:val="0"/>
                <w:szCs w:val="21"/>
                <w:highlight w:val="none"/>
                <w:lang w:bidi="ar"/>
              </w:rPr>
              <w:t>[2010]114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β-</w:t>
            </w:r>
            <w:r>
              <w:rPr>
                <w:rFonts w:hint="eastAsia" w:ascii="宋体" w:hAnsi="宋体" w:cs="宋体"/>
                <w:color w:val="auto"/>
                <w:kern w:val="0"/>
                <w:szCs w:val="21"/>
                <w:highlight w:val="none"/>
                <w:lang w:bidi="ar"/>
              </w:rPr>
              <w:t>苯乙醇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GB/T13662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β-</w:t>
            </w:r>
            <w:r>
              <w:rPr>
                <w:rFonts w:hint="eastAsia" w:ascii="宋体" w:hAnsi="宋体" w:cs="宋体"/>
                <w:color w:val="auto"/>
                <w:kern w:val="0"/>
                <w:szCs w:val="21"/>
                <w:highlight w:val="none"/>
                <w:lang w:bidi="ar"/>
              </w:rPr>
              <w:t>胡萝卜素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GB5009.83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阿普唑仑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阿替洛尔</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2009032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2014008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艾氏剂</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GB/T5009.19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116</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360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艾司唑仑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361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氨苄青霉素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GB/T21315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362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氨基他达拉非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总局关于发布食品中那非类物质的测定和小麦粉中硫脲的测定</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项检验方法的公告</w:t>
            </w:r>
            <w:r>
              <w:rPr>
                <w:rFonts w:ascii="宋体" w:hAnsi="宋体"/>
                <w:color w:val="auto"/>
                <w:kern w:val="0"/>
                <w:szCs w:val="21"/>
                <w:highlight w:val="none"/>
                <w:lang w:bidi="ar"/>
              </w:rPr>
              <w:t>(2016</w:t>
            </w:r>
            <w:r>
              <w:rPr>
                <w:rFonts w:hint="eastAsia" w:ascii="宋体" w:hAnsi="宋体" w:cs="宋体"/>
                <w:color w:val="auto"/>
                <w:kern w:val="0"/>
                <w:szCs w:val="21"/>
                <w:highlight w:val="none"/>
                <w:lang w:bidi="ar"/>
              </w:rPr>
              <w:t>年第</w:t>
            </w:r>
            <w:r>
              <w:rPr>
                <w:rFonts w:ascii="宋体" w:hAnsi="宋体"/>
                <w:color w:val="auto"/>
                <w:kern w:val="0"/>
                <w:szCs w:val="21"/>
                <w:highlight w:val="none"/>
                <w:lang w:bidi="ar"/>
              </w:rPr>
              <w:t>196</w:t>
            </w:r>
            <w:r>
              <w:rPr>
                <w:rFonts w:hint="eastAsia" w:ascii="宋体" w:hAnsi="宋体" w:cs="宋体"/>
                <w:color w:val="auto"/>
                <w:kern w:val="0"/>
                <w:szCs w:val="21"/>
                <w:highlight w:val="none"/>
                <w:lang w:bidi="ar"/>
              </w:rPr>
              <w:t>号</w:t>
            </w:r>
            <w:r>
              <w:rPr>
                <w:rFonts w:ascii="宋体" w:hAnsi="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363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氨甲环酸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《关于印发保健食品中非法添加沙丁胺醇检验方法等</w:t>
            </w:r>
            <w:r>
              <w:rPr>
                <w:rFonts w:ascii="宋体" w:hAnsi="宋体"/>
                <w:color w:val="auto"/>
                <w:kern w:val="0"/>
                <w:szCs w:val="21"/>
                <w:highlight w:val="none"/>
                <w:lang w:bidi="ar"/>
              </w:rPr>
              <w:t>8</w:t>
            </w:r>
            <w:r>
              <w:rPr>
                <w:rFonts w:hint="eastAsia" w:ascii="宋体" w:hAnsi="宋体" w:cs="宋体"/>
                <w:color w:val="auto"/>
                <w:kern w:val="0"/>
                <w:szCs w:val="21"/>
                <w:highlight w:val="none"/>
                <w:lang w:bidi="ar"/>
              </w:rPr>
              <w:t>项检验方法的通知》</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157</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364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氨氯地平</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2009032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2014008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365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奥沙西泮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366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巴比妥</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367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饱和酸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116</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368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苯巴比妥</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369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苯丁锡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SN0592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370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苯霜灵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371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苯酰菌胺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372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苯线磷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GB/T5009.145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373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苯唑西林</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GB29682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374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苄青霉素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GB/T21315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375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丙草胺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GB23200.24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376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丙森锌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SN/T0711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377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丙酸睾酮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SN/T3235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180</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378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虫螨腈</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NY/T1379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SN/T1986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379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虫酰肼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179</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除虫脲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GB/T5009.147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NY/T1720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GB23200.13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144</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雌二醇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958</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-10-2007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GB/T21981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179</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醋氯芬酸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《关于印发保健食品中非法添加沙丁胺醇检验方法等</w:t>
            </w:r>
            <w:r>
              <w:rPr>
                <w:rFonts w:ascii="宋体" w:hAnsi="宋体"/>
                <w:color w:val="auto"/>
                <w:kern w:val="0"/>
                <w:szCs w:val="21"/>
                <w:highlight w:val="none"/>
                <w:lang w:bidi="ar"/>
              </w:rPr>
              <w:t>8</w:t>
            </w:r>
            <w:r>
              <w:rPr>
                <w:rFonts w:hint="eastAsia" w:ascii="宋体" w:hAnsi="宋体" w:cs="宋体"/>
                <w:color w:val="auto"/>
                <w:kern w:val="0"/>
                <w:szCs w:val="21"/>
                <w:highlight w:val="none"/>
                <w:lang w:bidi="ar"/>
              </w:rPr>
              <w:t>项检验方法的通知》</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达氟沙星</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GB/T21312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代森锰锌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SN/T0711</w:t>
            </w: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SN/T1541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稻瘟灵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GB/T5009.155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滴滴涕</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敌草快</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GB/T5009.221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敌菌灵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NY/T1722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389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敌瘟磷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GB/T20770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SN/T2324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地虫硫磷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淀粉</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GB9697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丁基羟基茴香醚（</w:t>
            </w:r>
            <w:r>
              <w:rPr>
                <w:rFonts w:ascii="宋体" w:hAnsi="宋体"/>
                <w:color w:val="auto"/>
                <w:kern w:val="0"/>
                <w:szCs w:val="21"/>
                <w:highlight w:val="none"/>
                <w:lang w:bidi="ar"/>
              </w:rPr>
              <w:t>BHA</w:t>
            </w:r>
            <w:r>
              <w:rPr>
                <w:rFonts w:hint="eastAsia" w:ascii="宋体" w:hAnsi="宋体" w:cs="宋体"/>
                <w:color w:val="auto"/>
                <w:kern w:val="0"/>
                <w:szCs w:val="21"/>
                <w:highlight w:val="none"/>
                <w:lang w:bidi="ar"/>
              </w:rPr>
              <w:t>）</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GB5009.32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丁醚脲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啶酰菌胺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动物源性成分鉴定</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SN/T2978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毒杀芬</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YC/T180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122</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对羟基苯甲酸丙酯及其钠盐（以对羟基苯甲酸计）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GB5009.31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SN/T3545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114</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噁喹酸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GB/T23198</w:t>
            </w: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1077</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-1-2008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噁霜灵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NY/T1379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二丁基羟基甲苯（</w:t>
            </w:r>
            <w:r>
              <w:rPr>
                <w:rFonts w:ascii="宋体" w:hAnsi="宋体"/>
                <w:color w:val="auto"/>
                <w:kern w:val="0"/>
                <w:szCs w:val="21"/>
                <w:highlight w:val="none"/>
                <w:lang w:bidi="ar"/>
              </w:rPr>
              <w:t>BHT</w:t>
            </w:r>
            <w:r>
              <w:rPr>
                <w:rFonts w:hint="eastAsia" w:ascii="宋体" w:hAnsi="宋体" w:cs="宋体"/>
                <w:color w:val="auto"/>
                <w:kern w:val="0"/>
                <w:szCs w:val="21"/>
                <w:highlight w:val="none"/>
                <w:lang w:bidi="ar"/>
              </w:rPr>
              <w:t>）</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GB5009.32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二十二碳二烯酸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二十四碳一烯酸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二十四烷酸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二十碳烯酸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二氧化钛</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GB5009.246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73</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伐地那非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总局关于发布食品中那非类物质的测定和小麦粉中硫脲的测定</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项检验方法的公告</w:t>
            </w:r>
            <w:r>
              <w:rPr>
                <w:rFonts w:ascii="宋体" w:hAnsi="宋体"/>
                <w:color w:val="auto"/>
                <w:kern w:val="0"/>
                <w:szCs w:val="21"/>
                <w:highlight w:val="none"/>
                <w:lang w:bidi="ar"/>
              </w:rPr>
              <w:t>(2016</w:t>
            </w:r>
            <w:r>
              <w:rPr>
                <w:rFonts w:hint="eastAsia" w:ascii="宋体" w:hAnsi="宋体" w:cs="宋体"/>
                <w:color w:val="auto"/>
                <w:kern w:val="0"/>
                <w:szCs w:val="21"/>
                <w:highlight w:val="none"/>
                <w:lang w:bidi="ar"/>
              </w:rPr>
              <w:t>年第</w:t>
            </w:r>
            <w:r>
              <w:rPr>
                <w:rFonts w:ascii="宋体" w:hAnsi="宋体"/>
                <w:color w:val="auto"/>
                <w:kern w:val="0"/>
                <w:szCs w:val="21"/>
                <w:highlight w:val="none"/>
                <w:lang w:bidi="ar"/>
              </w:rPr>
              <w:t>196</w:t>
            </w:r>
            <w:r>
              <w:rPr>
                <w:rFonts w:hint="eastAsia" w:ascii="宋体" w:hAnsi="宋体" w:cs="宋体"/>
                <w:color w:val="auto"/>
                <w:kern w:val="0"/>
                <w:szCs w:val="21"/>
                <w:highlight w:val="none"/>
                <w:lang w:bidi="ar"/>
              </w:rPr>
              <w:t>号</w:t>
            </w:r>
            <w:r>
              <w:rPr>
                <w:rFonts w:ascii="宋体" w:hAnsi="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非洛地平</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2009032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2014008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408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非糖固形物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GB/T13662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75</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409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芬氟拉明</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2006004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2012005</w:t>
            </w:r>
            <w:r>
              <w:rPr>
                <w:rFonts w:hint="eastAsia" w:ascii="宋体" w:hAnsi="宋体" w:cs="宋体"/>
                <w:color w:val="auto"/>
                <w:kern w:val="0"/>
                <w:szCs w:val="21"/>
                <w:highlight w:val="none"/>
                <w:lang w:bidi="ar"/>
              </w:rPr>
              <w:t>、食药监办</w:t>
            </w:r>
            <w:r>
              <w:rPr>
                <w:rFonts w:ascii="宋体" w:hAnsi="宋体"/>
                <w:color w:val="auto"/>
                <w:kern w:val="0"/>
                <w:szCs w:val="21"/>
                <w:highlight w:val="none"/>
                <w:lang w:bidi="ar"/>
              </w:rPr>
              <w:t>[2010]114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180</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酚酞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2006004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2012005</w:t>
            </w:r>
            <w:r>
              <w:rPr>
                <w:rFonts w:hint="eastAsia" w:ascii="宋体" w:hAnsi="宋体" w:cs="宋体"/>
                <w:color w:val="auto"/>
                <w:kern w:val="0"/>
                <w:szCs w:val="21"/>
                <w:highlight w:val="none"/>
                <w:lang w:bidi="ar"/>
              </w:rPr>
              <w:t>、食药监办</w:t>
            </w:r>
            <w:r>
              <w:rPr>
                <w:rFonts w:ascii="宋体" w:hAnsi="宋体"/>
                <w:color w:val="auto"/>
                <w:kern w:val="0"/>
                <w:szCs w:val="21"/>
                <w:highlight w:val="none"/>
                <w:lang w:bidi="ar"/>
              </w:rPr>
              <w:t>[2010]114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呋喃它酮代谢物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GB/T21311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hint="eastAsia" w:ascii="宋体" w:hAnsi="宋体"/>
                <w:color w:val="auto"/>
                <w:kern w:val="0"/>
                <w:szCs w:val="21"/>
                <w:highlight w:val="none"/>
                <w:lang w:bidi="ar"/>
              </w:rPr>
              <w:t>179</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呋塞米</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2006004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2012005</w:t>
            </w:r>
            <w:r>
              <w:rPr>
                <w:rFonts w:hint="eastAsia" w:ascii="宋体" w:hAnsi="宋体" w:cs="宋体"/>
                <w:color w:val="auto"/>
                <w:kern w:val="0"/>
                <w:szCs w:val="21"/>
                <w:highlight w:val="none"/>
                <w:lang w:bidi="ar"/>
              </w:rPr>
              <w:t>、食药监办</w:t>
            </w:r>
            <w:r>
              <w:rPr>
                <w:rFonts w:ascii="宋体" w:hAnsi="宋体"/>
                <w:color w:val="auto"/>
                <w:kern w:val="0"/>
                <w:szCs w:val="21"/>
                <w:highlight w:val="none"/>
                <w:lang w:bidi="ar"/>
              </w:rPr>
              <w:t>[2010]114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氟苯脲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NY/T1453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氟吡甲禾灵和高效氟吡甲禾灵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氟化物（以</w:t>
            </w:r>
            <w:r>
              <w:rPr>
                <w:rFonts w:ascii="宋体" w:hAnsi="宋体"/>
                <w:color w:val="auto"/>
                <w:kern w:val="0"/>
                <w:szCs w:val="21"/>
                <w:highlight w:val="none"/>
                <w:lang w:bidi="ar"/>
              </w:rPr>
              <w:t>F-</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氟甲喹</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GB/T21312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417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氟菌唑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NY/T1379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166</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418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氟铃脲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NY/T1720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SN/T2152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419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氟罗沙星</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1077</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-1-2008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氟氯氰菊酯和高效氟氯氰菊酯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GB/T23204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SN/T1117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氟氰戊菊酯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GB/T23204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氟酰脲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GB23200.34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福美双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SN/T0711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复原乳酸度</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GB5009.239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钙磷比值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干浸出物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GB/T15038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干物质含量</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格列本脲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2009029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2011008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151</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429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格列吡嗪</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2009029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2011008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151</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430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格列波脲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2009029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2011008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151</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431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格列喹酮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2009029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2011008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151</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432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格列美脲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2009029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2011008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151</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433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格列齐特</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2009029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2011008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434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功效</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标志性成分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企业标准</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435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固形物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GB/T10345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436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癸酸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125</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437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毫莫西地那非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总局关于发布食品中那非类物质的测定和小麦粉中硫脲的测定</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项检验方法的公告</w:t>
            </w:r>
            <w:r>
              <w:rPr>
                <w:rFonts w:ascii="宋体" w:hAnsi="宋体"/>
                <w:color w:val="auto"/>
                <w:kern w:val="0"/>
                <w:szCs w:val="21"/>
                <w:highlight w:val="none"/>
                <w:lang w:bidi="ar"/>
              </w:rPr>
              <w:t>(2016</w:t>
            </w:r>
            <w:r>
              <w:rPr>
                <w:rFonts w:hint="eastAsia" w:ascii="宋体" w:hAnsi="宋体" w:cs="宋体"/>
                <w:color w:val="auto"/>
                <w:kern w:val="0"/>
                <w:szCs w:val="21"/>
                <w:highlight w:val="none"/>
                <w:lang w:bidi="ar"/>
              </w:rPr>
              <w:t>年第</w:t>
            </w:r>
            <w:r>
              <w:rPr>
                <w:rFonts w:ascii="宋体" w:hAnsi="宋体"/>
                <w:color w:val="auto"/>
                <w:kern w:val="0"/>
                <w:szCs w:val="21"/>
                <w:highlight w:val="none"/>
                <w:lang w:bidi="ar"/>
              </w:rPr>
              <w:t>196</w:t>
            </w:r>
            <w:r>
              <w:rPr>
                <w:rFonts w:hint="eastAsia" w:ascii="宋体" w:hAnsi="宋体" w:cs="宋体"/>
                <w:color w:val="auto"/>
                <w:kern w:val="0"/>
                <w:szCs w:val="21"/>
                <w:highlight w:val="none"/>
                <w:lang w:bidi="ar"/>
              </w:rPr>
              <w:t>号</w:t>
            </w:r>
            <w:r>
              <w:rPr>
                <w:rFonts w:ascii="宋体" w:hAnsi="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438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禾草敌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GB/T5009.134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439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河豚毒素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GB5009.206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262</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440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红地那非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总局关于发布食品中那非类物质的测定和小麦粉中硫脲的测定</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项检验方法的公告</w:t>
            </w:r>
            <w:r>
              <w:rPr>
                <w:rFonts w:ascii="宋体" w:hAnsi="宋体"/>
                <w:color w:val="auto"/>
                <w:kern w:val="0"/>
                <w:szCs w:val="21"/>
                <w:highlight w:val="none"/>
                <w:lang w:bidi="ar"/>
              </w:rPr>
              <w:t>(2016</w:t>
            </w:r>
            <w:r>
              <w:rPr>
                <w:rFonts w:hint="eastAsia" w:ascii="宋体" w:hAnsi="宋体" w:cs="宋体"/>
                <w:color w:val="auto"/>
                <w:kern w:val="0"/>
                <w:szCs w:val="21"/>
                <w:highlight w:val="none"/>
                <w:lang w:bidi="ar"/>
              </w:rPr>
              <w:t>年第</w:t>
            </w:r>
            <w:r>
              <w:rPr>
                <w:rFonts w:ascii="宋体" w:hAnsi="宋体"/>
                <w:color w:val="auto"/>
                <w:kern w:val="0"/>
                <w:szCs w:val="21"/>
                <w:highlight w:val="none"/>
                <w:lang w:bidi="ar"/>
              </w:rPr>
              <w:t>196</w:t>
            </w:r>
            <w:r>
              <w:rPr>
                <w:rFonts w:hint="eastAsia" w:ascii="宋体" w:hAnsi="宋体" w:cs="宋体"/>
                <w:color w:val="auto"/>
                <w:kern w:val="0"/>
                <w:szCs w:val="21"/>
                <w:highlight w:val="none"/>
                <w:lang w:bidi="ar"/>
              </w:rPr>
              <w:t>号</w:t>
            </w:r>
            <w:r>
              <w:rPr>
                <w:rFonts w:ascii="宋体" w:hAnsi="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441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红霉素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GB/T20762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442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花生二烯酸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443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花生酸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444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花生一烯酸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445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滑石粉</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446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黄曲霉毒素</w:t>
            </w:r>
            <w:r>
              <w:rPr>
                <w:rFonts w:ascii="宋体" w:hAnsi="宋体"/>
                <w:color w:val="auto"/>
                <w:kern w:val="0"/>
                <w:szCs w:val="21"/>
                <w:highlight w:val="none"/>
                <w:lang w:bidi="ar"/>
              </w:rPr>
              <w:t>M1</w:t>
            </w:r>
            <w:r>
              <w:rPr>
                <w:rFonts w:hint="eastAsia" w:ascii="宋体" w:hAnsi="宋体" w:cs="宋体"/>
                <w:color w:val="auto"/>
                <w:kern w:val="0"/>
                <w:szCs w:val="21"/>
                <w:highlight w:val="none"/>
                <w:lang w:bidi="ar"/>
              </w:rPr>
              <w:t>或黄曲霉毒素</w:t>
            </w:r>
            <w:r>
              <w:rPr>
                <w:rFonts w:ascii="宋体" w:hAnsi="宋体"/>
                <w:color w:val="auto"/>
                <w:kern w:val="0"/>
                <w:szCs w:val="21"/>
                <w:highlight w:val="none"/>
                <w:lang w:bidi="ar"/>
              </w:rPr>
              <w:t>B1</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447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挥发性酚（以苯酚计）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448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己酸乙酯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GB/T10345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449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己烯雌酚</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GB/T21981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450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甲苯氟磺胺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155</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451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甲苯磺丁脲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2009029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2011008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452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甲砜霉素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GB/T22338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GB/T20756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453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甲基睾丸酮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SN/T3235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GB/T21981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454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甲基立枯磷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455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甲基硫环磷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456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甲基硫菌灵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NY/T1680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109</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457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甲萘威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GB/T5009.145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458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甲醛次硫酸氢钠（以甲醛计）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GB/T21126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459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碱性橙</w:t>
            </w:r>
            <w:r>
              <w:rPr>
                <w:rFonts w:ascii="宋体" w:hAnsi="宋体"/>
                <w:color w:val="auto"/>
                <w:kern w:val="0"/>
                <w:szCs w:val="21"/>
                <w:highlight w:val="none"/>
                <w:lang w:bidi="ar"/>
              </w:rPr>
              <w:t>21</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GB/T23496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460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碱性橙</w:t>
            </w:r>
            <w:r>
              <w:rPr>
                <w:rFonts w:ascii="宋体" w:hAnsi="宋体"/>
                <w:color w:val="auto"/>
                <w:kern w:val="0"/>
                <w:szCs w:val="21"/>
                <w:highlight w:val="none"/>
                <w:lang w:bidi="ar"/>
              </w:rPr>
              <w:t>22</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GB/T23496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461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碱性橙Ⅱ</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GB/T23496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462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胶囊壳中的铬</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《中国药典》</w:t>
            </w:r>
            <w:r>
              <w:rPr>
                <w:rFonts w:ascii="宋体" w:hAnsi="宋体"/>
                <w:color w:val="auto"/>
                <w:kern w:val="0"/>
                <w:szCs w:val="21"/>
                <w:highlight w:val="none"/>
                <w:lang w:bidi="ar"/>
              </w:rPr>
              <w:t>2015</w:t>
            </w:r>
            <w:r>
              <w:rPr>
                <w:rFonts w:hint="eastAsia" w:ascii="宋体" w:hAnsi="宋体" w:cs="宋体"/>
                <w:color w:val="auto"/>
                <w:kern w:val="0"/>
                <w:szCs w:val="21"/>
                <w:highlight w:val="none"/>
                <w:lang w:bidi="ar"/>
              </w:rPr>
              <w:t>年版</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463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结晶紫</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GB/T19857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464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精噁唑禾草灵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NY/T1379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156</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465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卡托普利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2009032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2014008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466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可可脂（以干物质计）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GB/T20705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GB/T20706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467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可溶性固形物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企业标准</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468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克菌丹</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SN0654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469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喹螨醚</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GB/T23204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GB23200.13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164</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劳拉西泮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151</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利血平</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2009032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2014008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邻苯二甲酸二（</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乙基）己酯（</w:t>
            </w:r>
            <w:r>
              <w:rPr>
                <w:rFonts w:ascii="宋体" w:hAnsi="宋体"/>
                <w:color w:val="auto"/>
                <w:kern w:val="0"/>
                <w:szCs w:val="21"/>
                <w:highlight w:val="none"/>
                <w:lang w:bidi="ar"/>
              </w:rPr>
              <w:t>DEHP</w:t>
            </w:r>
            <w:r>
              <w:rPr>
                <w:rFonts w:hint="eastAsia" w:ascii="宋体" w:hAnsi="宋体" w:cs="宋体"/>
                <w:color w:val="auto"/>
                <w:kern w:val="0"/>
                <w:szCs w:val="21"/>
                <w:highlight w:val="none"/>
                <w:lang w:bidi="ar"/>
              </w:rPr>
              <w:t>）</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GB5009.271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邻苯二甲酸二丁酯（</w:t>
            </w:r>
            <w:r>
              <w:rPr>
                <w:rFonts w:ascii="宋体" w:hAnsi="宋体"/>
                <w:color w:val="auto"/>
                <w:kern w:val="0"/>
                <w:szCs w:val="21"/>
                <w:highlight w:val="none"/>
                <w:lang w:bidi="ar"/>
              </w:rPr>
              <w:t>DBP</w:t>
            </w:r>
            <w:r>
              <w:rPr>
                <w:rFonts w:hint="eastAsia" w:ascii="宋体" w:hAnsi="宋体" w:cs="宋体"/>
                <w:color w:val="auto"/>
                <w:kern w:val="0"/>
                <w:szCs w:val="21"/>
                <w:highlight w:val="none"/>
                <w:lang w:bidi="ar"/>
              </w:rPr>
              <w:t>）</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GB5009.271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邻苯基苯酚</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邻氯青霉素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GB/T21315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林丹</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GB/T5009.162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磷胺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119</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硫代艾地那非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总局关于发布食品中那非类物质的测定和小麦粉中硫脲的测定</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项检验方法的公告</w:t>
            </w:r>
            <w:r>
              <w:rPr>
                <w:rFonts w:ascii="宋体" w:hAnsi="宋体"/>
                <w:color w:val="auto"/>
                <w:kern w:val="0"/>
                <w:szCs w:val="21"/>
                <w:highlight w:val="none"/>
                <w:lang w:bidi="ar"/>
              </w:rPr>
              <w:t>(2016</w:t>
            </w:r>
            <w:r>
              <w:rPr>
                <w:rFonts w:hint="eastAsia" w:ascii="宋体" w:hAnsi="宋体" w:cs="宋体"/>
                <w:color w:val="auto"/>
                <w:kern w:val="0"/>
                <w:szCs w:val="21"/>
                <w:highlight w:val="none"/>
                <w:lang w:bidi="ar"/>
              </w:rPr>
              <w:t>年第</w:t>
            </w:r>
            <w:r>
              <w:rPr>
                <w:rFonts w:ascii="宋体" w:hAnsi="宋体"/>
                <w:color w:val="auto"/>
                <w:kern w:val="0"/>
                <w:szCs w:val="21"/>
                <w:highlight w:val="none"/>
                <w:lang w:bidi="ar"/>
              </w:rPr>
              <w:t>196</w:t>
            </w:r>
            <w:r>
              <w:rPr>
                <w:rFonts w:hint="eastAsia" w:ascii="宋体" w:hAnsi="宋体" w:cs="宋体"/>
                <w:color w:val="auto"/>
                <w:kern w:val="0"/>
                <w:szCs w:val="21"/>
                <w:highlight w:val="none"/>
                <w:lang w:bidi="ar"/>
              </w:rPr>
              <w:t>号</w:t>
            </w:r>
            <w:r>
              <w:rPr>
                <w:rFonts w:ascii="宋体" w:hAnsi="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479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硫丹</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GB/T23204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480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六六六</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118</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481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罗通定</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482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洛伐他汀</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食药监办许</w:t>
            </w:r>
            <w:r>
              <w:rPr>
                <w:rFonts w:ascii="宋体" w:hAnsi="宋体"/>
                <w:color w:val="auto"/>
                <w:kern w:val="0"/>
                <w:szCs w:val="21"/>
                <w:highlight w:val="none"/>
                <w:lang w:bidi="ar"/>
              </w:rPr>
              <w:t>[2010]114</w:t>
            </w:r>
            <w:r>
              <w:rPr>
                <w:rFonts w:hint="eastAsia" w:ascii="宋体" w:hAnsi="宋体" w:cs="宋体"/>
                <w:color w:val="auto"/>
                <w:kern w:val="0"/>
                <w:szCs w:val="21"/>
                <w:highlight w:val="none"/>
                <w:lang w:bidi="ar"/>
              </w:rPr>
              <w:t>号</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483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洛伐他汀羟酸钠盐</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《关于印发保健食品中非法添加沙丁胺醇检验方法等</w:t>
            </w:r>
            <w:r>
              <w:rPr>
                <w:rFonts w:ascii="宋体" w:hAnsi="宋体"/>
                <w:color w:val="auto"/>
                <w:kern w:val="0"/>
                <w:szCs w:val="21"/>
                <w:highlight w:val="none"/>
                <w:lang w:bidi="ar"/>
              </w:rPr>
              <w:t>8</w:t>
            </w:r>
            <w:r>
              <w:rPr>
                <w:rFonts w:hint="eastAsia" w:ascii="宋体" w:hAnsi="宋体" w:cs="宋体"/>
                <w:color w:val="auto"/>
                <w:kern w:val="0"/>
                <w:szCs w:val="21"/>
                <w:highlight w:val="none"/>
                <w:lang w:bidi="ar"/>
              </w:rPr>
              <w:t>项检验方法的通知》</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484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氯苯胺灵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485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氯苯那敏</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486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氯丹</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119</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487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氯氮卓</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488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氯菊酯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GB/T23204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SN/T1117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150</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489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氯美扎酮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490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氯硝西泮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491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麻黄碱</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2006004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2012005</w:t>
            </w:r>
            <w:r>
              <w:rPr>
                <w:rFonts w:hint="eastAsia" w:ascii="宋体" w:hAnsi="宋体" w:cs="宋体"/>
                <w:color w:val="auto"/>
                <w:kern w:val="0"/>
                <w:szCs w:val="21"/>
                <w:highlight w:val="none"/>
                <w:lang w:bidi="ar"/>
              </w:rPr>
              <w:t>、食药监办</w:t>
            </w:r>
            <w:r>
              <w:rPr>
                <w:rFonts w:ascii="宋体" w:hAnsi="宋体"/>
                <w:color w:val="auto"/>
                <w:kern w:val="0"/>
                <w:szCs w:val="21"/>
                <w:highlight w:val="none"/>
                <w:lang w:bidi="ar"/>
              </w:rPr>
              <w:t>[2010]114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191</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492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马来酸罗格列酮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2009029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2011008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493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马来酸咪达唑仑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494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麦芽糖</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85</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495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美伐他汀</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《关于印发保健食品中非法添加沙丁胺醇检验方法等</w:t>
            </w:r>
            <w:r>
              <w:rPr>
                <w:rFonts w:ascii="宋体" w:hAnsi="宋体"/>
                <w:color w:val="auto"/>
                <w:kern w:val="0"/>
                <w:szCs w:val="21"/>
                <w:highlight w:val="none"/>
                <w:lang w:bidi="ar"/>
              </w:rPr>
              <w:t>8</w:t>
            </w:r>
            <w:r>
              <w:rPr>
                <w:rFonts w:hint="eastAsia" w:ascii="宋体" w:hAnsi="宋体" w:cs="宋体"/>
                <w:color w:val="auto"/>
                <w:kern w:val="0"/>
                <w:szCs w:val="21"/>
                <w:highlight w:val="none"/>
                <w:lang w:bidi="ar"/>
              </w:rPr>
              <w:t>项检验方法的通知》</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496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咪鲜胺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NY/T1456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497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醚菊酯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SN/T2151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498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米酵菌酸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GB5009.189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140</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499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嘧菌环胺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NY/T1379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灭菌丹</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SN/T2320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灭幼脲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GB/T5009.135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木焦油酸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木糖醇含量（以干基计）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GB1886.234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GB13509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98</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那红地那非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总局关于发布食品中那非类物质的测定和小麦粉中硫脲的测定</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项检验方法的公告</w:t>
            </w:r>
            <w:r>
              <w:rPr>
                <w:rFonts w:ascii="宋体" w:hAnsi="宋体"/>
                <w:color w:val="auto"/>
                <w:kern w:val="0"/>
                <w:szCs w:val="21"/>
                <w:highlight w:val="none"/>
                <w:lang w:bidi="ar"/>
              </w:rPr>
              <w:t>(2016</w:t>
            </w:r>
            <w:r>
              <w:rPr>
                <w:rFonts w:hint="eastAsia" w:ascii="宋体" w:hAnsi="宋体" w:cs="宋体"/>
                <w:color w:val="auto"/>
                <w:kern w:val="0"/>
                <w:szCs w:val="21"/>
                <w:highlight w:val="none"/>
                <w:lang w:bidi="ar"/>
              </w:rPr>
              <w:t>年第</w:t>
            </w:r>
            <w:r>
              <w:rPr>
                <w:rFonts w:ascii="宋体" w:hAnsi="宋体"/>
                <w:color w:val="auto"/>
                <w:kern w:val="0"/>
                <w:szCs w:val="21"/>
                <w:highlight w:val="none"/>
                <w:lang w:bidi="ar"/>
              </w:rPr>
              <w:t>196</w:t>
            </w:r>
            <w:r>
              <w:rPr>
                <w:rFonts w:hint="eastAsia" w:ascii="宋体" w:hAnsi="宋体" w:cs="宋体"/>
                <w:color w:val="auto"/>
                <w:kern w:val="0"/>
                <w:szCs w:val="21"/>
                <w:highlight w:val="none"/>
                <w:lang w:bidi="ar"/>
              </w:rPr>
              <w:t>号</w:t>
            </w:r>
            <w:r>
              <w:rPr>
                <w:rFonts w:ascii="宋体" w:hAnsi="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那莫西地那非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总局关于发布食品中那非类物质的测定和小麦粉中硫脲的测定</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项检验方法的公告</w:t>
            </w:r>
            <w:r>
              <w:rPr>
                <w:rFonts w:ascii="宋体" w:hAnsi="宋体"/>
                <w:color w:val="auto"/>
                <w:kern w:val="0"/>
                <w:szCs w:val="21"/>
                <w:highlight w:val="none"/>
                <w:lang w:bidi="ar"/>
              </w:rPr>
              <w:t>(2016</w:t>
            </w:r>
            <w:r>
              <w:rPr>
                <w:rFonts w:hint="eastAsia" w:ascii="宋体" w:hAnsi="宋体" w:cs="宋体"/>
                <w:color w:val="auto"/>
                <w:kern w:val="0"/>
                <w:szCs w:val="21"/>
                <w:highlight w:val="none"/>
                <w:lang w:bidi="ar"/>
              </w:rPr>
              <w:t>年第</w:t>
            </w:r>
            <w:r>
              <w:rPr>
                <w:rFonts w:ascii="宋体" w:hAnsi="宋体"/>
                <w:color w:val="auto"/>
                <w:kern w:val="0"/>
                <w:szCs w:val="21"/>
                <w:highlight w:val="none"/>
                <w:lang w:bidi="ar"/>
              </w:rPr>
              <w:t>196</w:t>
            </w:r>
            <w:r>
              <w:rPr>
                <w:rFonts w:hint="eastAsia" w:ascii="宋体" w:hAnsi="宋体" w:cs="宋体"/>
                <w:color w:val="auto"/>
                <w:kern w:val="0"/>
                <w:szCs w:val="21"/>
                <w:highlight w:val="none"/>
                <w:lang w:bidi="ar"/>
              </w:rPr>
              <w:t>号</w:t>
            </w:r>
            <w:r>
              <w:rPr>
                <w:rFonts w:ascii="宋体" w:hAnsi="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尼莫地平</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2009032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2014008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尼群地平</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2009032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2014008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508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尼索地平</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2009032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2014008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509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柠檬酸钠含量（以干物质计）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GB1886.25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GB6782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凝冻强度（</w:t>
            </w:r>
            <w:r>
              <w:rPr>
                <w:rFonts w:ascii="宋体" w:hAnsi="宋体"/>
                <w:color w:val="auto"/>
                <w:kern w:val="0"/>
                <w:szCs w:val="21"/>
                <w:highlight w:val="none"/>
                <w:lang w:bidi="ar"/>
              </w:rPr>
              <w:t>6.67%</w:t>
            </w:r>
            <w:r>
              <w:rPr>
                <w:rFonts w:hint="eastAsia" w:ascii="宋体" w:hAnsi="宋体" w:cs="宋体"/>
                <w:color w:val="auto"/>
                <w:kern w:val="0"/>
                <w:szCs w:val="21"/>
                <w:highlight w:val="none"/>
                <w:lang w:bidi="ar"/>
              </w:rPr>
              <w:t>）</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GB6783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牛源性成分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SN/T2557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399</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哌唑嗪</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2009032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2014008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硼酸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GB5009.275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硼酸盐（以</w:t>
            </w:r>
            <w:r>
              <w:rPr>
                <w:rFonts w:ascii="宋体" w:hAnsi="宋体"/>
                <w:color w:val="auto"/>
                <w:kern w:val="0"/>
                <w:szCs w:val="21"/>
                <w:highlight w:val="none"/>
                <w:lang w:bidi="ar"/>
              </w:rPr>
              <w:t>B</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GB/T5009.19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118</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羟基毫莫西地那非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总局关于发布食品中那非类物质的测定和小麦粉中硫脲的测定</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项检验方法的公告</w:t>
            </w:r>
            <w:r>
              <w:rPr>
                <w:rFonts w:ascii="宋体" w:hAnsi="宋体"/>
                <w:color w:val="auto"/>
                <w:kern w:val="0"/>
                <w:szCs w:val="21"/>
                <w:highlight w:val="none"/>
                <w:lang w:bidi="ar"/>
              </w:rPr>
              <w:t>(2016</w:t>
            </w:r>
            <w:r>
              <w:rPr>
                <w:rFonts w:hint="eastAsia" w:ascii="宋体" w:hAnsi="宋体" w:cs="宋体"/>
                <w:color w:val="auto"/>
                <w:kern w:val="0"/>
                <w:szCs w:val="21"/>
                <w:highlight w:val="none"/>
                <w:lang w:bidi="ar"/>
              </w:rPr>
              <w:t>年第</w:t>
            </w:r>
            <w:r>
              <w:rPr>
                <w:rFonts w:ascii="宋体" w:hAnsi="宋体"/>
                <w:color w:val="auto"/>
                <w:kern w:val="0"/>
                <w:szCs w:val="21"/>
                <w:highlight w:val="none"/>
                <w:lang w:bidi="ar"/>
              </w:rPr>
              <w:t>196</w:t>
            </w:r>
            <w:r>
              <w:rPr>
                <w:rFonts w:hint="eastAsia" w:ascii="宋体" w:hAnsi="宋体" w:cs="宋体"/>
                <w:color w:val="auto"/>
                <w:kern w:val="0"/>
                <w:szCs w:val="21"/>
                <w:highlight w:val="none"/>
                <w:lang w:bidi="ar"/>
              </w:rPr>
              <w:t>号</w:t>
            </w:r>
            <w:r>
              <w:rPr>
                <w:rFonts w:ascii="宋体" w:hAnsi="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517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羟基甲硝唑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GB/T21318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SN/T1928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518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羟甲基甲硝咪唑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GB/T21318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SN/T1928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519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羟脯氨酸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食药监食监三便函</w:t>
            </w:r>
            <w:r>
              <w:rPr>
                <w:rFonts w:ascii="宋体" w:hAnsi="宋体"/>
                <w:color w:val="auto"/>
                <w:kern w:val="0"/>
                <w:szCs w:val="21"/>
                <w:highlight w:val="none"/>
                <w:lang w:bidi="ar"/>
              </w:rPr>
              <w:t>[2014]73</w:t>
            </w:r>
            <w:r>
              <w:rPr>
                <w:rFonts w:hint="eastAsia" w:ascii="宋体" w:hAnsi="宋体" w:cs="宋体"/>
                <w:color w:val="auto"/>
                <w:kern w:val="0"/>
                <w:szCs w:val="21"/>
                <w:highlight w:val="none"/>
                <w:lang w:bidi="ar"/>
              </w:rPr>
              <w:t>号</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嗪氨灵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SN0695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125</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青藤碱</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氢氯噻嗪</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2009032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2014008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氢氰酸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GB5009.36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氰霜唑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GB23200.14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氰戊菊酯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GB/T23204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庆大霉素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GB/T21323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160</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去羟基洛伐他汀</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《关于印发保健食品中非法添加沙丁胺醇检验方法等</w:t>
            </w:r>
            <w:r>
              <w:rPr>
                <w:rFonts w:ascii="宋体" w:hAnsi="宋体"/>
                <w:color w:val="auto"/>
                <w:kern w:val="0"/>
                <w:szCs w:val="21"/>
                <w:highlight w:val="none"/>
                <w:lang w:bidi="ar"/>
              </w:rPr>
              <w:t>8</w:t>
            </w:r>
            <w:r>
              <w:rPr>
                <w:rFonts w:hint="eastAsia" w:ascii="宋体" w:hAnsi="宋体" w:cs="宋体"/>
                <w:color w:val="auto"/>
                <w:kern w:val="0"/>
                <w:szCs w:val="21"/>
                <w:highlight w:val="none"/>
                <w:lang w:bidi="ar"/>
              </w:rPr>
              <w:t>项检验方法的通知》</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群勃龙</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GB/T21981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溶血性链球菌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GB4789.11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乳固体</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GB13102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68</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瑞格列奈</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2009029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2011008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噻节因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NY/T1379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噻菌灵</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NY/T1680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166</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噻螨酮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GB/T20769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GB/T23376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噻嗪酮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GB/T23204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155</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三唑仑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色度</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杀虫环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GB/T5009.113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杀螟丹</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540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杀螟硫磷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GB/T14553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GB/T5009.20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541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杀线威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NY/T1453</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SN/T0134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542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山梨酸钾（以干基计）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GB1886.39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GB13736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543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山嵛酸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544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砷盐</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545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生物苄呋菊酯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GB/T20770</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SN/T2151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546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十七碳一烯酸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547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十七烷酸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548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十四碳以下脂肪酸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549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双氟沙星</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GB/T20366</w:t>
            </w: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1077</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-1-2008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双乙酰</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GB/T4928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73</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司可巴比妥</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司帕沙星</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GB/T20366</w:t>
            </w:r>
            <w:r>
              <w:rPr>
                <w:rFonts w:hint="eastAsia" w:ascii="宋体" w:hAnsi="宋体" w:cs="宋体"/>
                <w:color w:val="auto"/>
                <w:kern w:val="0"/>
                <w:szCs w:val="21"/>
                <w:highlight w:val="none"/>
                <w:lang w:bidi="ar"/>
              </w:rPr>
              <w:t>、农业部</w:t>
            </w:r>
            <w:r>
              <w:rPr>
                <w:rFonts w:ascii="宋体" w:hAnsi="宋体"/>
                <w:color w:val="auto"/>
                <w:kern w:val="0"/>
                <w:szCs w:val="21"/>
                <w:highlight w:val="none"/>
                <w:lang w:bidi="ar"/>
              </w:rPr>
              <w:t>1077</w:t>
            </w:r>
            <w:r>
              <w:rPr>
                <w:rFonts w:hint="eastAsia" w:ascii="宋体" w:hAnsi="宋体" w:cs="宋体"/>
                <w:color w:val="auto"/>
                <w:kern w:val="0"/>
                <w:szCs w:val="21"/>
                <w:highlight w:val="none"/>
                <w:lang w:bidi="ar"/>
              </w:rPr>
              <w:t>号公告</w:t>
            </w:r>
            <w:r>
              <w:rPr>
                <w:rFonts w:ascii="宋体" w:hAnsi="宋体"/>
                <w:color w:val="auto"/>
                <w:kern w:val="0"/>
                <w:szCs w:val="21"/>
                <w:highlight w:val="none"/>
                <w:lang w:bidi="ar"/>
              </w:rPr>
              <w:t>-1-2008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四氯化碳</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GB/T5750.8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四氯硝基苯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四螨嗪</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酸性红</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SN/T1743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92</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他达拉非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总局关于发布食品中那非类物质的测定和小麦粉中硫脲的测定</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项检验方法的公告</w:t>
            </w:r>
            <w:r>
              <w:rPr>
                <w:rFonts w:ascii="宋体" w:hAnsi="宋体"/>
                <w:color w:val="auto"/>
                <w:kern w:val="0"/>
                <w:szCs w:val="21"/>
                <w:highlight w:val="none"/>
                <w:lang w:bidi="ar"/>
              </w:rPr>
              <w:t>(2016</w:t>
            </w:r>
            <w:r>
              <w:rPr>
                <w:rFonts w:hint="eastAsia" w:ascii="宋体" w:hAnsi="宋体" w:cs="宋体"/>
                <w:color w:val="auto"/>
                <w:kern w:val="0"/>
                <w:szCs w:val="21"/>
                <w:highlight w:val="none"/>
                <w:lang w:bidi="ar"/>
              </w:rPr>
              <w:t>年第</w:t>
            </w:r>
            <w:r>
              <w:rPr>
                <w:rFonts w:ascii="宋体" w:hAnsi="宋体"/>
                <w:color w:val="auto"/>
                <w:kern w:val="0"/>
                <w:szCs w:val="21"/>
                <w:highlight w:val="none"/>
                <w:lang w:bidi="ar"/>
              </w:rPr>
              <w:t>196</w:t>
            </w:r>
            <w:r>
              <w:rPr>
                <w:rFonts w:hint="eastAsia" w:ascii="宋体" w:hAnsi="宋体" w:cs="宋体"/>
                <w:color w:val="auto"/>
                <w:kern w:val="0"/>
                <w:szCs w:val="21"/>
                <w:highlight w:val="none"/>
                <w:lang w:bidi="ar"/>
              </w:rPr>
              <w:t>号</w:t>
            </w:r>
            <w:r>
              <w:rPr>
                <w:rFonts w:ascii="宋体" w:hAnsi="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特丁硫磷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NY/T1379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特征性含量指标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产品明示指定检验方法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透光率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GB1886.25</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GB6782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45</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褪黑素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155</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伪伐地那非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总局关于发布食品中那非类物质的测定和小麦粉中硫脲的测定</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项检验方法的公告</w:t>
            </w:r>
            <w:r>
              <w:rPr>
                <w:rFonts w:ascii="宋体" w:hAnsi="宋体"/>
                <w:color w:val="auto"/>
                <w:kern w:val="0"/>
                <w:szCs w:val="21"/>
                <w:highlight w:val="none"/>
                <w:lang w:bidi="ar"/>
              </w:rPr>
              <w:t>(2016</w:t>
            </w:r>
            <w:r>
              <w:rPr>
                <w:rFonts w:hint="eastAsia" w:ascii="宋体" w:hAnsi="宋体" w:cs="宋体"/>
                <w:color w:val="auto"/>
                <w:kern w:val="0"/>
                <w:szCs w:val="21"/>
                <w:highlight w:val="none"/>
                <w:lang w:bidi="ar"/>
              </w:rPr>
              <w:t>年第</w:t>
            </w:r>
            <w:r>
              <w:rPr>
                <w:rFonts w:ascii="宋体" w:hAnsi="宋体"/>
                <w:color w:val="auto"/>
                <w:kern w:val="0"/>
                <w:szCs w:val="21"/>
                <w:highlight w:val="none"/>
                <w:lang w:bidi="ar"/>
              </w:rPr>
              <w:t>196</w:t>
            </w:r>
            <w:r>
              <w:rPr>
                <w:rFonts w:hint="eastAsia" w:ascii="宋体" w:hAnsi="宋体" w:cs="宋体"/>
                <w:color w:val="auto"/>
                <w:kern w:val="0"/>
                <w:szCs w:val="21"/>
                <w:highlight w:val="none"/>
                <w:lang w:bidi="ar"/>
              </w:rPr>
              <w:t>号</w:t>
            </w:r>
            <w:r>
              <w:rPr>
                <w:rFonts w:ascii="宋体" w:hAnsi="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146</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文拉法辛</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乌洛托品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SN/T2226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五氯硝基苯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GB/T5009.136</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GB/T5009.19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118</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西布曲明</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2006004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2012005</w:t>
            </w:r>
            <w:r>
              <w:rPr>
                <w:rFonts w:hint="eastAsia" w:ascii="宋体" w:hAnsi="宋体" w:cs="宋体"/>
                <w:color w:val="auto"/>
                <w:kern w:val="0"/>
                <w:szCs w:val="21"/>
                <w:highlight w:val="none"/>
                <w:lang w:bidi="ar"/>
              </w:rPr>
              <w:t>、食药监办</w:t>
            </w:r>
            <w:r>
              <w:rPr>
                <w:rFonts w:ascii="宋体" w:hAnsi="宋体"/>
                <w:color w:val="auto"/>
                <w:kern w:val="0"/>
                <w:szCs w:val="21"/>
                <w:highlight w:val="none"/>
                <w:lang w:bidi="ar"/>
              </w:rPr>
              <w:t>[2010]114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西地那非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总局关于发布食品中那非类物质的测定和小麦粉中硫脲的测定</w:t>
            </w:r>
            <w:r>
              <w:rPr>
                <w:rFonts w:ascii="宋体" w:hAnsi="宋体"/>
                <w:color w:val="auto"/>
                <w:kern w:val="0"/>
                <w:szCs w:val="21"/>
                <w:highlight w:val="none"/>
                <w:lang w:bidi="ar"/>
              </w:rPr>
              <w:t>2</w:t>
            </w:r>
            <w:r>
              <w:rPr>
                <w:rFonts w:hint="eastAsia" w:ascii="宋体" w:hAnsi="宋体" w:cs="宋体"/>
                <w:color w:val="auto"/>
                <w:kern w:val="0"/>
                <w:szCs w:val="21"/>
                <w:highlight w:val="none"/>
                <w:lang w:bidi="ar"/>
              </w:rPr>
              <w:t>项检验方法的公告</w:t>
            </w:r>
            <w:r>
              <w:rPr>
                <w:rFonts w:ascii="宋体" w:hAnsi="宋体"/>
                <w:color w:val="auto"/>
                <w:kern w:val="0"/>
                <w:szCs w:val="21"/>
                <w:highlight w:val="none"/>
                <w:lang w:bidi="ar"/>
              </w:rPr>
              <w:t>(2016</w:t>
            </w:r>
            <w:r>
              <w:rPr>
                <w:rFonts w:hint="eastAsia" w:ascii="宋体" w:hAnsi="宋体" w:cs="宋体"/>
                <w:color w:val="auto"/>
                <w:kern w:val="0"/>
                <w:szCs w:val="21"/>
                <w:highlight w:val="none"/>
                <w:lang w:bidi="ar"/>
              </w:rPr>
              <w:t>年第</w:t>
            </w:r>
            <w:r>
              <w:rPr>
                <w:rFonts w:ascii="宋体" w:hAnsi="宋体"/>
                <w:color w:val="auto"/>
                <w:kern w:val="0"/>
                <w:szCs w:val="21"/>
                <w:highlight w:val="none"/>
                <w:lang w:bidi="ar"/>
              </w:rPr>
              <w:t>196</w:t>
            </w:r>
            <w:r>
              <w:rPr>
                <w:rFonts w:hint="eastAsia" w:ascii="宋体" w:hAnsi="宋体" w:cs="宋体"/>
                <w:color w:val="auto"/>
                <w:kern w:val="0"/>
                <w:szCs w:val="21"/>
                <w:highlight w:val="none"/>
                <w:lang w:bidi="ar"/>
              </w:rPr>
              <w:t>号</w:t>
            </w:r>
            <w:r>
              <w:rPr>
                <w:rFonts w:ascii="宋体" w:hAnsi="宋体"/>
                <w:color w:val="auto"/>
                <w:kern w:val="0"/>
                <w:szCs w:val="21"/>
                <w:highlight w:val="none"/>
                <w:lang w:bidi="ar"/>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西马特罗</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GB/T22286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569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烯草酮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155</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570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硝苯地平</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2009032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2014008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571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硝西泮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572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辛伐他汀</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食药监办许</w:t>
            </w:r>
            <w:r>
              <w:rPr>
                <w:rFonts w:ascii="宋体" w:hAnsi="宋体"/>
                <w:color w:val="auto"/>
                <w:kern w:val="0"/>
                <w:szCs w:val="21"/>
                <w:highlight w:val="none"/>
                <w:lang w:bidi="ar"/>
              </w:rPr>
              <w:t>[2010]114</w:t>
            </w:r>
            <w:r>
              <w:rPr>
                <w:rFonts w:hint="eastAsia" w:ascii="宋体" w:hAnsi="宋体" w:cs="宋体"/>
                <w:color w:val="auto"/>
                <w:kern w:val="0"/>
                <w:szCs w:val="21"/>
                <w:highlight w:val="none"/>
                <w:lang w:bidi="ar"/>
              </w:rPr>
              <w:t>号</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573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新红</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GB5009.35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574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溴螨酯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NY/T1379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575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溴酸钾</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GB/T20188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576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亚胺硫磷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GB23200.8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GB/T20770</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577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亚油酸与</w:t>
            </w:r>
            <w:r>
              <w:rPr>
                <w:rFonts w:ascii="宋体" w:hAnsi="宋体"/>
                <w:color w:val="auto"/>
                <w:kern w:val="0"/>
                <w:szCs w:val="21"/>
                <w:highlight w:val="none"/>
                <w:lang w:bidi="ar"/>
              </w:rPr>
              <w:t>α-</w:t>
            </w:r>
            <w:r>
              <w:rPr>
                <w:rFonts w:hint="eastAsia" w:ascii="宋体" w:hAnsi="宋体" w:cs="宋体"/>
                <w:color w:val="auto"/>
                <w:kern w:val="0"/>
                <w:szCs w:val="21"/>
                <w:highlight w:val="none"/>
                <w:lang w:bidi="ar"/>
              </w:rPr>
              <w:t>亚麻酸比值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79</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578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盐酸苯乙双胍</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2009029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2011008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579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盐酸吡格列酮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2009029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2011008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盐酸丁二胍</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2009029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2011008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盐酸二甲双胍</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2009029</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2011008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盐酸二氧丙嗪</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《关于印发保健食品中非法添加沙丁胺醇检验方法等</w:t>
            </w:r>
            <w:r>
              <w:rPr>
                <w:rFonts w:ascii="宋体" w:hAnsi="宋体"/>
                <w:color w:val="auto"/>
                <w:kern w:val="0"/>
                <w:szCs w:val="21"/>
                <w:highlight w:val="none"/>
                <w:lang w:bidi="ar"/>
              </w:rPr>
              <w:t>8</w:t>
            </w:r>
            <w:r>
              <w:rPr>
                <w:rFonts w:hint="eastAsia" w:ascii="宋体" w:hAnsi="宋体" w:cs="宋体"/>
                <w:color w:val="auto"/>
                <w:kern w:val="0"/>
                <w:szCs w:val="21"/>
                <w:highlight w:val="none"/>
                <w:lang w:bidi="ar"/>
              </w:rPr>
              <w:t>项检验方法的通知》</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157</w:t>
            </w:r>
          </w:p>
        </w:tc>
      </w:tr>
      <w:tr>
        <w:tblPrEx>
          <w:tblCellMar>
            <w:top w:w="0" w:type="dxa"/>
            <w:left w:w="108" w:type="dxa"/>
            <w:bottom w:w="0" w:type="dxa"/>
            <w:right w:w="108" w:type="dxa"/>
          </w:tblCellMar>
        </w:tblPrEx>
        <w:trPr>
          <w:trHeight w:val="7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盐酸可乐定</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2009032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2014008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羊源性成分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SN/T2051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依维菌素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w:t>
            </w:r>
            <w:r>
              <w:rPr>
                <w:rFonts w:ascii="宋体" w:hAnsi="宋体"/>
                <w:color w:val="auto"/>
                <w:kern w:val="0"/>
                <w:szCs w:val="21"/>
                <w:highlight w:val="none"/>
                <w:lang w:bidi="ar"/>
              </w:rPr>
              <w:t>GB/T22968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乙霉威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乙酸乙酯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GB/T10345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乙烯菌核利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NY/T761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乙烯利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GB23200.16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118</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590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异菌脲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NY/T761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NY/T1277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140</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591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异戊巴比妥</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592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抑霉唑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GB/T20769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593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GB8538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594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荧光增白物质</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NY/T1257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595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蝇毒磷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596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硬脂酸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597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油酸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598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游离矿酸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GB5009.233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599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游离棉酚</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GB/T5009.37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玉米赤霉醇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GB5009.209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原麦汁浓度</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GB/T4928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增效醚</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GB23200.8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149</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扎来普隆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蔗糖转化酶活性</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GB/T4928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志贺氏菌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GB4789.5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终产品中月桂酸和肉豆蔻酸（十四烷酸）总量占总脂肪酸的比值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重金属（以</w:t>
            </w:r>
            <w:r>
              <w:rPr>
                <w:rFonts w:ascii="宋体" w:hAnsi="宋体"/>
                <w:color w:val="auto"/>
                <w:kern w:val="0"/>
                <w:szCs w:val="21"/>
                <w:highlight w:val="none"/>
                <w:lang w:bidi="ar"/>
              </w:rPr>
              <w:t>Pb</w:t>
            </w:r>
            <w:r>
              <w:rPr>
                <w:rFonts w:hint="eastAsia" w:ascii="宋体" w:hAnsi="宋体" w:cs="宋体"/>
                <w:color w:val="auto"/>
                <w:kern w:val="0"/>
                <w:szCs w:val="21"/>
                <w:highlight w:val="none"/>
                <w:lang w:bidi="ar"/>
              </w:rPr>
              <w:t>计）</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GB1886.245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69</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608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棕榈酸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609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棕榈一烯酸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棕榈油酸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GB5009.168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GB/T10345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w:t>
            </w:r>
          </w:p>
        </w:tc>
      </w:tr>
      <w:tr>
        <w:tblPrEx>
          <w:tblCellMar>
            <w:top w:w="0" w:type="dxa"/>
            <w:left w:w="108" w:type="dxa"/>
            <w:bottom w:w="0" w:type="dxa"/>
            <w:right w:w="108" w:type="dxa"/>
          </w:tblCellMar>
        </w:tblPrEx>
        <w:trPr>
          <w:trHeight w:val="9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佐匹克隆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国家食品药品监督管理局药品检验补充检验方法和检验项目批准件</w:t>
            </w:r>
            <w:r>
              <w:rPr>
                <w:rFonts w:ascii="宋体" w:hAnsi="宋体"/>
                <w:color w:val="auto"/>
                <w:kern w:val="0"/>
                <w:szCs w:val="21"/>
                <w:highlight w:val="none"/>
                <w:lang w:bidi="ar"/>
              </w:rPr>
              <w:t>2012004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2009024</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2013002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甲基嘧啶磷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丁草胺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氟酰胺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羰基价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617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致病性微生物</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618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其他餐饮食品</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550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619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T-2</w:t>
            </w:r>
            <w:r>
              <w:rPr>
                <w:rFonts w:hint="eastAsia" w:ascii="宋体" w:hAnsi="宋体" w:cs="宋体"/>
                <w:color w:val="auto"/>
                <w:kern w:val="0"/>
                <w:szCs w:val="21"/>
                <w:highlight w:val="none"/>
                <w:lang w:bidi="ar"/>
              </w:rPr>
              <w:t>毒素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脂肪酸组成</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1100</w:t>
            </w:r>
          </w:p>
        </w:tc>
      </w:tr>
      <w:tr>
        <w:tblPrEx>
          <w:tblCellMar>
            <w:top w:w="0" w:type="dxa"/>
            <w:left w:w="108" w:type="dxa"/>
            <w:bottom w:w="0" w:type="dxa"/>
            <w:right w:w="108" w:type="dxa"/>
          </w:tblCellMar>
        </w:tblPrEx>
        <w:trPr>
          <w:trHeight w:val="49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黄曲霉毒素（</w:t>
            </w:r>
            <w:r>
              <w:rPr>
                <w:rFonts w:ascii="宋体" w:hAnsi="宋体"/>
                <w:color w:val="auto"/>
                <w:kern w:val="0"/>
                <w:szCs w:val="21"/>
                <w:highlight w:val="none"/>
                <w:lang w:bidi="ar"/>
              </w:rPr>
              <w:t>B1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B2</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G2</w:t>
            </w:r>
            <w:r>
              <w:rPr>
                <w:rFonts w:hint="eastAsia" w:ascii="宋体" w:hAnsi="宋体" w:cs="宋体"/>
                <w:color w:val="auto"/>
                <w:kern w:val="0"/>
                <w:szCs w:val="21"/>
                <w:highlight w:val="none"/>
                <w:lang w:bidi="ar"/>
              </w:rPr>
              <w:t>）总量</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氨基甲酸乙酯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甜菊糖苷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128</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豪莫西地那非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羟基豪莫西地那非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总蒽醌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软胶囊壳中的铬</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苯丙醇胺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629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去甲伪麻黄碱</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伪麻黄碱</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甲基麻黄碱</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191</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安非他明</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甲基安非他明</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分特拉明</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氯卡色林</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安非他酮</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普伐他汀</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氟西汀</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639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吲达帕胺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苄基西布曲明</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豪莫西布曲明</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比沙可啶</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氯代西布曲明</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苯扎贝特</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布美他尼</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利莫那班</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非诺贝特</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奥利司他</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649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去甲基他达拉非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650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硫代西地那非</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651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铝含量</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652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棕榈烯酸</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总脂肪酸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653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亚麻酸</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总脂肪酸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654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花生酸</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总脂肪酸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655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山嵛酸</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总脂肪酸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656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油酸</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总脂肪酸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657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亚油酸</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总脂肪酸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658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花生酸</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山嵛酸</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总脂肪酸</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659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洛美沙星</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丙炔氟草胺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啶氧菌酯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多杀霉素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粉唑醇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伏杀硫磷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氟虫脲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氟啶脲</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氟磺胺草醚</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腈菌唑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联苯三唑醇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670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氯苯嘧啶醇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671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氯嘧磺隆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672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醚菌酯</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673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噻虫啉</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165</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674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三环唑</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675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霜霉威和霜霉威盐酸盐</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676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特布他林</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677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烯唑醇</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678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莠灭净</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679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辣椒素总量（天然辣椒素、二氢辣椒素、合成辣椒素）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396</w:t>
            </w:r>
          </w:p>
        </w:tc>
      </w:tr>
      <w:tr>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680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多环芳烃（苯并</w:t>
            </w:r>
            <w:r>
              <w:rPr>
                <w:rFonts w:ascii="宋体" w:hAnsi="宋体"/>
                <w:color w:val="auto"/>
                <w:kern w:val="0"/>
                <w:szCs w:val="21"/>
                <w:highlight w:val="none"/>
                <w:lang w:bidi="ar"/>
              </w:rPr>
              <w:t>[a]</w:t>
            </w:r>
            <w:r>
              <w:rPr>
                <w:rFonts w:hint="eastAsia" w:ascii="宋体" w:hAnsi="宋体" w:cs="宋体"/>
                <w:color w:val="auto"/>
                <w:kern w:val="0"/>
                <w:szCs w:val="21"/>
                <w:highlight w:val="none"/>
                <w:lang w:bidi="ar"/>
              </w:rPr>
              <w:t>芘、苯并</w:t>
            </w:r>
            <w:r>
              <w:rPr>
                <w:rFonts w:ascii="宋体" w:hAnsi="宋体"/>
                <w:color w:val="auto"/>
                <w:kern w:val="0"/>
                <w:szCs w:val="21"/>
                <w:highlight w:val="none"/>
                <w:lang w:bidi="ar"/>
              </w:rPr>
              <w:t>[a]</w:t>
            </w:r>
            <w:r>
              <w:rPr>
                <w:rFonts w:hint="eastAsia" w:ascii="宋体" w:hAnsi="宋体" w:cs="宋体"/>
                <w:color w:val="auto"/>
                <w:kern w:val="0"/>
                <w:szCs w:val="21"/>
                <w:highlight w:val="none"/>
                <w:lang w:bidi="ar"/>
              </w:rPr>
              <w:t>蒽、苯并</w:t>
            </w:r>
            <w:r>
              <w:rPr>
                <w:rFonts w:ascii="宋体" w:hAnsi="宋体"/>
                <w:color w:val="auto"/>
                <w:kern w:val="0"/>
                <w:szCs w:val="21"/>
                <w:highlight w:val="none"/>
                <w:lang w:bidi="ar"/>
              </w:rPr>
              <w:t>[b]</w:t>
            </w:r>
            <w:r>
              <w:rPr>
                <w:rFonts w:hint="eastAsia" w:ascii="宋体" w:hAnsi="宋体" w:cs="宋体"/>
                <w:color w:val="auto"/>
                <w:kern w:val="0"/>
                <w:szCs w:val="21"/>
                <w:highlight w:val="none"/>
                <w:lang w:bidi="ar"/>
              </w:rPr>
              <w:t>荧蒽、䓛）</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440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681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刚果红</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92</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682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磺胺二甲嘧啶</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683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硫氰酸钠</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以硫氰酸根计</w:t>
            </w:r>
            <w:r>
              <w:rPr>
                <w:rFonts w:ascii="宋体" w:hAnsi="宋体"/>
                <w:color w:val="auto"/>
                <w:kern w:val="0"/>
                <w:szCs w:val="21"/>
                <w:highlight w:val="none"/>
                <w:lang w:bidi="ar"/>
              </w:rPr>
              <w:t>)</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176</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684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蜡样芽胞杆菌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685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高氯酸盐</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686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氯酸盐</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143</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687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核桃源性成分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688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杏仁源性成分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689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花生源性成分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690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大豆源性成分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691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丙烯酰胺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692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氟苯尼考胺</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693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高果糖淀粉糖浆</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694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碳</w:t>
            </w:r>
            <w:r>
              <w:rPr>
                <w:rFonts w:ascii="宋体" w:hAnsi="宋体"/>
                <w:color w:val="auto"/>
                <w:kern w:val="0"/>
                <w:szCs w:val="21"/>
                <w:highlight w:val="none"/>
                <w:lang w:bidi="ar"/>
              </w:rPr>
              <w:t>-4</w:t>
            </w:r>
            <w:r>
              <w:rPr>
                <w:rFonts w:hint="eastAsia" w:ascii="宋体" w:hAnsi="宋体" w:cs="宋体"/>
                <w:color w:val="auto"/>
                <w:kern w:val="0"/>
                <w:szCs w:val="21"/>
                <w:highlight w:val="none"/>
                <w:lang w:bidi="ar"/>
              </w:rPr>
              <w:t>植物糖含量</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695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番泻苷</w:t>
            </w:r>
            <w:r>
              <w:rPr>
                <w:rFonts w:ascii="宋体" w:hAnsi="宋体"/>
                <w:color w:val="auto"/>
                <w:kern w:val="0"/>
                <w:szCs w:val="21"/>
                <w:highlight w:val="none"/>
                <w:lang w:bidi="ar"/>
              </w:rPr>
              <w:t>A</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696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番泻苷</w:t>
            </w:r>
            <w:r>
              <w:rPr>
                <w:rFonts w:ascii="宋体" w:hAnsi="宋体"/>
                <w:color w:val="auto"/>
                <w:kern w:val="0"/>
                <w:szCs w:val="21"/>
                <w:highlight w:val="none"/>
                <w:lang w:bidi="ar"/>
              </w:rPr>
              <w:t>B</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697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大黄素</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698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大黄酚</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154</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699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氯噻嗪</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167</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伏马毒素</w:t>
            </w:r>
            <w:r>
              <w:rPr>
                <w:rFonts w:ascii="宋体" w:hAnsi="宋体"/>
                <w:color w:val="auto"/>
                <w:kern w:val="0"/>
                <w:szCs w:val="21"/>
                <w:highlight w:val="none"/>
                <w:lang w:bidi="ar"/>
              </w:rPr>
              <w:t>B1</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B2</w:t>
            </w:r>
            <w:r>
              <w:rPr>
                <w:rFonts w:hint="eastAsia" w:ascii="宋体" w:hAnsi="宋体" w:cs="宋体"/>
                <w:color w:val="auto"/>
                <w:kern w:val="0"/>
                <w:szCs w:val="21"/>
                <w:highlight w:val="none"/>
                <w:lang w:bidi="ar"/>
              </w:rPr>
              <w:t>之和</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壬基酚</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双酚</w:t>
            </w:r>
            <w:r>
              <w:rPr>
                <w:rFonts w:ascii="宋体" w:hAnsi="宋体"/>
                <w:color w:val="auto"/>
                <w:kern w:val="0"/>
                <w:szCs w:val="21"/>
                <w:highlight w:val="none"/>
                <w:lang w:bidi="ar"/>
              </w:rPr>
              <w:t>A</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110</w:t>
            </w:r>
          </w:p>
        </w:tc>
      </w:tr>
      <w:tr>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崩解时限</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法定检测实验方法</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66</w:t>
            </w:r>
          </w:p>
        </w:tc>
      </w:tr>
      <w:tr>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土霉素/金霉素/四环素（组合含量）</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GB/T21317</w:t>
            </w:r>
            <w:r>
              <w:rPr>
                <w:rFonts w:hint="eastAsia" w:ascii="宋体" w:hAnsi="宋体" w:cs="宋体"/>
                <w:color w:val="auto"/>
                <w:kern w:val="0"/>
                <w:szCs w:val="21"/>
                <w:highlight w:val="none"/>
                <w:lang w:bidi="ar"/>
              </w:rPr>
              <w:t>、</w:t>
            </w:r>
            <w:r>
              <w:rPr>
                <w:rFonts w:ascii="宋体" w:hAnsi="宋体"/>
                <w:color w:val="auto"/>
                <w:kern w:val="0"/>
                <w:szCs w:val="21"/>
                <w:highlight w:val="none"/>
                <w:lang w:bidi="ar"/>
              </w:rPr>
              <w:t>SC/T 3015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741</w:t>
            </w:r>
          </w:p>
        </w:tc>
      </w:tr>
    </w:tbl>
    <w:p>
      <w:pPr>
        <w:numPr>
          <w:ilvl w:val="0"/>
          <w:numId w:val="2"/>
        </w:numPr>
        <w:snapToGrid w:val="0"/>
        <w:spacing w:before="120" w:beforeLines="50" w:line="360" w:lineRule="auto"/>
        <w:rPr>
          <w:rFonts w:ascii="宋体" w:hAnsi="宋体"/>
          <w:b/>
          <w:color w:val="auto"/>
          <w:szCs w:val="21"/>
          <w:highlight w:val="none"/>
        </w:rPr>
      </w:pPr>
      <w:r>
        <w:rPr>
          <w:rFonts w:ascii="宋体" w:hAnsi="宋体"/>
          <w:b/>
          <w:color w:val="auto"/>
          <w:szCs w:val="21"/>
          <w:highlight w:val="none"/>
        </w:rPr>
        <w:t>抽检任务清单</w:t>
      </w:r>
    </w:p>
    <w:tbl>
      <w:tblPr>
        <w:tblStyle w:val="43"/>
        <w:tblW w:w="8784" w:type="dxa"/>
        <w:tblInd w:w="0" w:type="dxa"/>
        <w:tblLayout w:type="autofit"/>
        <w:tblCellMar>
          <w:top w:w="0" w:type="dxa"/>
          <w:left w:w="108" w:type="dxa"/>
          <w:bottom w:w="0" w:type="dxa"/>
          <w:right w:w="108" w:type="dxa"/>
        </w:tblCellMar>
      </w:tblPr>
      <w:tblGrid>
        <w:gridCol w:w="511"/>
        <w:gridCol w:w="1027"/>
        <w:gridCol w:w="867"/>
        <w:gridCol w:w="1489"/>
        <w:gridCol w:w="1668"/>
        <w:gridCol w:w="805"/>
        <w:gridCol w:w="806"/>
        <w:gridCol w:w="805"/>
        <w:gridCol w:w="806"/>
      </w:tblGrid>
      <w:tr>
        <w:tblPrEx>
          <w:tblCellMar>
            <w:top w:w="0" w:type="dxa"/>
            <w:left w:w="108" w:type="dxa"/>
            <w:bottom w:w="0" w:type="dxa"/>
            <w:right w:w="108" w:type="dxa"/>
          </w:tblCellMar>
        </w:tblPrEx>
        <w:trPr>
          <w:trHeight w:val="49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食品大类</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食品亚类</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食品品种</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食品细类</w:t>
            </w:r>
          </w:p>
        </w:tc>
        <w:tc>
          <w:tcPr>
            <w:tcW w:w="80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标项一</w:t>
            </w:r>
          </w:p>
        </w:tc>
        <w:tc>
          <w:tcPr>
            <w:tcW w:w="8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标项二</w:t>
            </w:r>
          </w:p>
        </w:tc>
        <w:tc>
          <w:tcPr>
            <w:tcW w:w="80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标项三</w:t>
            </w:r>
          </w:p>
        </w:tc>
        <w:tc>
          <w:tcPr>
            <w:tcW w:w="80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标项四</w:t>
            </w:r>
          </w:p>
        </w:tc>
      </w:tr>
      <w:tr>
        <w:tblPrEx>
          <w:tblCellMar>
            <w:top w:w="0" w:type="dxa"/>
            <w:left w:w="108" w:type="dxa"/>
            <w:bottom w:w="0" w:type="dxa"/>
            <w:right w:w="108" w:type="dxa"/>
          </w:tblCellMar>
        </w:tblPrEx>
        <w:trPr>
          <w:trHeight w:val="270" w:hRule="atLeast"/>
        </w:trPr>
        <w:tc>
          <w:tcPr>
            <w:tcW w:w="55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350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590</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粮食加工品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小麦粉</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小麦粉</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小麦粉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大米</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大米</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挂面</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挂面</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挂面</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其他粮食加工品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谷物加工品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谷物加工品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谷物碾磨加工品</w:t>
            </w:r>
          </w:p>
        </w:tc>
        <w:tc>
          <w:tcPr>
            <w:tcW w:w="166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玉米粉（片、渣）</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其他谷物碾磨加工品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谷物粉类制成品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生湿面制品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发酵面制品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米粉制品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其他谷物粉类制成品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食用油、油脂及其制品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食用植物油</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食用植物油</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食用植物油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食用动物油脂</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食用动物油脂</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食用动物油脂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食用油脂制品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食用油脂制品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食用油脂制品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调味品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酱油</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酱油</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酱油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食醋</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食醋</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食醋</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酱类</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酿造酱</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黄豆酱、甜面酱等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调味料酒</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调味料酒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料酒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49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香辛料类</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香辛料类</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辣椒、花椒、辣椒粉、花椒粉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香辛料调味油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其他香辛料调味品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调味料</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半固体复合调味料</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火锅底料、麻辣烫底料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辣椒酱</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蛋黄酱、沙拉酱</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坚果与籽类的泥（酱）</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其他半固体调味料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固体复合调味料</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鸡粉、鸡精调味料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其他固体调味料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液体复合调味料</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蚝油、虾油、鱼露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其他液体调味料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味精</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味精</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味精</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食用盐</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食用盐</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低钠食用盐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风味食用盐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普通食用盐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特殊工艺食用盐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49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食品生产加工用盐</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食品生产加工用盐</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食品生产加工用盐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肉制品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预制肉制品</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腌腊肉制品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调理肉制品（非速冻）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腌腊肉制品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熟肉制品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发酵肉制品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发酵肉制品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酱卤肉制品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酱卤肉制品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油炸肉制品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油炸肉制品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熟肉干制品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熟肉干制品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熏烧烤肉制品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熏烧烤肉制品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49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熏煮香肠火腿制品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熏煮香肠火腿制品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乳制品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乳制品</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液体乳</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巴氏杀菌乳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发酵乳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灭菌乳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调制乳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高温杀菌乳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73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乳粉</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全脂乳粉、脱脂乳粉、部分脱脂乳粉、调制乳粉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r>
      <w:tr>
        <w:tblPrEx>
          <w:tblCellMar>
            <w:top w:w="0" w:type="dxa"/>
            <w:left w:w="108" w:type="dxa"/>
            <w:bottom w:w="0" w:type="dxa"/>
            <w:right w:w="108" w:type="dxa"/>
          </w:tblCellMar>
        </w:tblPrEx>
        <w:trPr>
          <w:trHeight w:val="49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乳清粉和乳清蛋白粉</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乳清粉和乳清蛋白粉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其他乳制品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炼乳、奶油、干酪、固态成型产品</w:t>
            </w:r>
            <w:r>
              <w:rPr>
                <w:rFonts w:ascii="宋体" w:hAnsi="宋体"/>
                <w:color w:val="auto"/>
                <w:kern w:val="0"/>
                <w:szCs w:val="21"/>
                <w:highlight w:val="none"/>
                <w:lang w:bidi="ar"/>
              </w:rPr>
              <w:t>)</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浓缩乳制品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奶油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55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nil"/>
              <w:left w:val="nil"/>
              <w:bottom w:val="nil"/>
              <w:right w:val="nil"/>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干酪、再制干酪、干酪制品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49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奶片、奶条等固态成型产品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饮料</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饮料</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包装饮用水</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饮用天然矿泉水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饮用纯净水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其他类饮用水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49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果蔬汁类及其饮料</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果、蔬汁类及其饮料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蛋白饮料</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蛋白饮料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碳酸饮料</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汽水</w:t>
            </w:r>
            <w:r>
              <w:rPr>
                <w:rFonts w:ascii="宋体" w:hAnsi="宋体"/>
                <w:color w:val="auto"/>
                <w:kern w:val="0"/>
                <w:szCs w:val="21"/>
                <w:highlight w:val="none"/>
                <w:lang w:bidi="ar"/>
              </w:rPr>
              <w:t>)</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碳酸饮料（汽水）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茶饮料</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茶饮料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固体饮料</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固体饮料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其他饮料</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其他饮料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750"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方便食品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方便食品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方便面</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油炸面、非油炸面、方便米粉（米线）和方便粉丝</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73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其他方便食品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方便粥、方便盒饭、冷面及其他熟制方便食品等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调味面制品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调味面制品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饼干</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饼干</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饼干</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饼干</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罐头</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罐头</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畜禽水产罐头</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畜禽肉类罐头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水产动物类罐头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果蔬罐头</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食用菌罐头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蔬菜类罐头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水果类罐头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其他罐头</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其他罐头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73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冷冻饮品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冷冻饮品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冷冻饮品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冰淇淋、雪糕、雪泥、冰棍、食用冰、甜味冰、其他类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速冻食品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速冻面米食品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速冻面米食品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速冻面米食品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速冻调制食品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速冻调理肉制品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速冻调理肉制品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49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速冻调制水产制品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速冻调制水产制品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速冻其他食品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速冻谷物食品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速冻谷物食品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速冻蔬菜制品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速冻蔬菜制品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速冻水果食品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速冻水果食品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510"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薯类和膨化食品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薯类和膨化食品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膨化食品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含油型膨化食品和非含油型膨化食品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薯类食品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干制薯类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冷冻薯类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薯泥（酱）类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薯粉类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其他类薯类食品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13</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糖果制品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糖果制品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含巧克力及制品</w:t>
            </w:r>
            <w:r>
              <w:rPr>
                <w:rFonts w:ascii="宋体" w:hAnsi="宋体"/>
                <w:color w:val="auto"/>
                <w:kern w:val="0"/>
                <w:szCs w:val="21"/>
                <w:highlight w:val="none"/>
                <w:lang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糖果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糖果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73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巧克力及巧克力制品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巧克力、巧克力制品、代可可脂巧克力及代可可脂巧克力制品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果冻</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果冻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300"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茶叶及相关制品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茶叶</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茶叶</w:t>
            </w:r>
          </w:p>
        </w:tc>
        <w:tc>
          <w:tcPr>
            <w:tcW w:w="1668" w:type="dxa"/>
            <w:tcBorders>
              <w:top w:val="nil"/>
              <w:left w:val="nil"/>
              <w:bottom w:val="nil"/>
              <w:right w:val="nil"/>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茶叶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8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含茶制品和代用茶</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含茶制品和代用茶</w:t>
            </w:r>
          </w:p>
        </w:tc>
        <w:tc>
          <w:tcPr>
            <w:tcW w:w="1668" w:type="dxa"/>
            <w:tcBorders>
              <w:top w:val="nil"/>
              <w:left w:val="nil"/>
              <w:bottom w:val="nil"/>
              <w:right w:val="nil"/>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含茶制品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代用茶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酒类</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蒸馏酒</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发酵酒</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果酒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果酒（发酵型）</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啤酒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啤酒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葡萄酒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葡萄酒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49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其他酒</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配制酒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以发酵酒为酒基的配制酒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49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以蒸馏酒及食用酒精为酒基的配制酒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其他发酵酒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其他发酵酒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其他蒸馏酒</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其他蒸馏酒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蔬菜制品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蔬菜制品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酱腌菜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酱腌菜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蔬菜干制品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蔬菜干制品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其他蔬菜制品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其他蔬菜制品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食用菌制品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干制食用菌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腌渍食用菌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水果制品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水果制品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蜜饯</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蜜饯</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水果干制品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水果干制品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果酱</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果酱</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76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18</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炒货食品及坚果制品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炒货食品及坚果制品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炒货食品及坚果制品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烘炒类、油炸类、其他类</w:t>
            </w:r>
            <w:r>
              <w:rPr>
                <w:rFonts w:ascii="宋体" w:hAnsi="宋体"/>
                <w:color w:val="auto"/>
                <w:kern w:val="0"/>
                <w:szCs w:val="21"/>
                <w:highlight w:val="none"/>
                <w:lang w:bidi="ar"/>
              </w:rPr>
              <w:t>)</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炒货食品及坚果制品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19</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蛋制品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蛋制品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再制蛋</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再制蛋</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干蛋类和冰蛋类</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干蛋类和冰蛋类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其他类</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20</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食糖</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食糖</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食糖</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白砂糖、精幼砂糖</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绵白糖</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红糖</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赤砂糖</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冰片糖</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冰糖</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方糖</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其他糖</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21</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可可及焙烤咖啡产品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焙炒咖啡</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焙炒咖啡</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焙炒咖啡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可可制品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可可制品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可可制品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22</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水产制品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水产制品</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干制水产品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藻类干制品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预制动物性水产干制品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盐渍水产品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盐渍鱼</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盐渍藻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其他盐渍水产品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鱼糜制品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预制鱼糜制品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生食水产品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生食动物性水产品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r>
      <w:tr>
        <w:tblPrEx>
          <w:tblCellMar>
            <w:top w:w="0" w:type="dxa"/>
            <w:left w:w="108" w:type="dxa"/>
            <w:bottom w:w="0" w:type="dxa"/>
            <w:right w:w="108" w:type="dxa"/>
          </w:tblCellMar>
        </w:tblPrEx>
        <w:trPr>
          <w:trHeight w:val="49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熟制动物性水产制品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熟制动物性水产制品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其他水产制品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其他水产制品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23</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淀粉及淀粉制品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淀粉及淀粉制品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淀粉</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淀粉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淀粉制品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粉丝粉条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其他淀粉制品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淀粉糖</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淀粉糖</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糕点</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糕点</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糕点</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糕点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月饼</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月饼</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粽子</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粽子</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粽子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25</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豆制品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豆制品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发酵性豆制品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腐乳、豆豉、纳豆等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非发酵性豆制品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豆干、豆腐、豆皮等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腐竹、油皮及其再制品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其他豆制品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其他豆制品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26</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蜂产品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蜂产品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蜂蜜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蜂蜜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52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蜂王浆</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含蜂王浆冻干品</w:t>
            </w:r>
            <w:r>
              <w:rPr>
                <w:rFonts w:ascii="宋体" w:hAnsi="宋体"/>
                <w:color w:val="auto"/>
                <w:kern w:val="0"/>
                <w:szCs w:val="21"/>
                <w:highlight w:val="none"/>
                <w:lang w:bidi="ar"/>
              </w:rPr>
              <w:t>)</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蜂王浆（含蜂王浆冻干品）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蜂花粉</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蜂花粉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蜂产品制品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蜂产品制品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27</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保健食品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保健食品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保健食品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保健食品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28</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餐饮食品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米面及其制品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48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小麦粉制品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66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馒头花卷（自制）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包子（自制）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油饼油条（自制）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肉制品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熟肉制品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肉冻皮冻（自制）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熏烧烤肉类（自制）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49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调味料</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调味料</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火锅麻辣烫底料（自制）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52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水产制品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预制水产制品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生食动物性水产品（自制）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r>
      <w:tr>
        <w:tblPrEx>
          <w:tblCellMar>
            <w:top w:w="0" w:type="dxa"/>
            <w:left w:w="108" w:type="dxa"/>
            <w:bottom w:w="0" w:type="dxa"/>
            <w:right w:w="108" w:type="dxa"/>
          </w:tblCellMar>
        </w:tblPrEx>
        <w:trPr>
          <w:trHeight w:val="51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坚果及籽类食品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坚果及籽类食品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花生制品（自制）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焙烤食品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焙烤食品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糕点（自制）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r>
      <w:tr>
        <w:tblPrEx>
          <w:tblCellMar>
            <w:top w:w="0" w:type="dxa"/>
            <w:left w:w="108" w:type="dxa"/>
            <w:bottom w:w="0" w:type="dxa"/>
            <w:right w:w="108" w:type="dxa"/>
          </w:tblCellMar>
        </w:tblPrEx>
        <w:trPr>
          <w:trHeight w:val="51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食用油、油脂及其制品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食用油、油脂及其制品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煎炸过程用油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淀粉制品</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粉丝粉条</w:t>
            </w:r>
            <w:r>
              <w:rPr>
                <w:rFonts w:ascii="宋体" w:hAnsi="宋体"/>
                <w:color w:val="auto"/>
                <w:kern w:val="0"/>
                <w:szCs w:val="21"/>
                <w:highlight w:val="none"/>
                <w:lang w:bidi="ar"/>
              </w:rPr>
              <w:t>(</w:t>
            </w:r>
            <w:r>
              <w:rPr>
                <w:rFonts w:hint="eastAsia" w:ascii="宋体" w:hAnsi="宋体" w:cs="宋体"/>
                <w:color w:val="auto"/>
                <w:kern w:val="0"/>
                <w:szCs w:val="21"/>
                <w:highlight w:val="none"/>
                <w:lang w:bidi="ar"/>
              </w:rPr>
              <w:t>自制</w:t>
            </w:r>
            <w:r>
              <w:rPr>
                <w:rFonts w:ascii="宋体" w:hAnsi="宋体"/>
                <w:color w:val="auto"/>
                <w:kern w:val="0"/>
                <w:szCs w:val="21"/>
                <w:highlight w:val="none"/>
                <w:lang w:bidi="ar"/>
              </w:rPr>
              <w:t>)</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粉丝粉条（自制）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109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餐饮具</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复用餐饮具</w:t>
            </w:r>
          </w:p>
        </w:tc>
        <w:tc>
          <w:tcPr>
            <w:tcW w:w="1668" w:type="dxa"/>
            <w:tcBorders>
              <w:top w:val="nil"/>
              <w:left w:val="nil"/>
              <w:bottom w:val="nil"/>
              <w:right w:val="nil"/>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复用餐饮具（餐馆自行消毒）、复用餐饮具（集中清洗消毒配送单位消毒）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其他餐饮食品</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其他餐饮食品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其他餐饮食品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15</w:t>
            </w:r>
          </w:p>
        </w:tc>
      </w:tr>
      <w:tr>
        <w:tblPrEx>
          <w:tblCellMar>
            <w:top w:w="0" w:type="dxa"/>
            <w:left w:w="108" w:type="dxa"/>
            <w:bottom w:w="0" w:type="dxa"/>
            <w:right w:w="108" w:type="dxa"/>
          </w:tblCellMar>
        </w:tblPrEx>
        <w:trPr>
          <w:trHeight w:val="285"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29</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食用农产品</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畜禽肉及副产品</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畜肉</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猪肉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16</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牛肉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羊肉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其他畜肉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禽肉</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鸡肉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鸭肉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其他禽肉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畜副产品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猪肝</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nil"/>
              <w:left w:val="nil"/>
              <w:bottom w:val="nil"/>
              <w:right w:val="nil"/>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牛肝</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羊肝</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猪肾</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牛肾</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羊肾</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其他畜副产品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禽副产品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鸡肝</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其他禽副产品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蔬菜</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豆芽</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豆芽</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鲜食用菌</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鲜食用菌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鳞茎类蔬菜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韭菜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葱</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芸薹属类蔬菜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菜薹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结球甘蓝</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叶菜类蔬菜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菠菜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大白菜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49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普通白菜（小白菜、小油菜、青菜）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芹菜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油麦菜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茄果类蔬菜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番茄</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辣椒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茄子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甜椒</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瓜类蔬菜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豆类蔬菜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豇豆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菜豆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食荚豌豆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根茎类和薯芋类蔬菜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胡萝卜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萝卜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山药</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r>
      <w:tr>
        <w:tblPrEx>
          <w:tblCellMar>
            <w:top w:w="0" w:type="dxa"/>
            <w:left w:w="108" w:type="dxa"/>
            <w:bottom w:w="0" w:type="dxa"/>
            <w:right w:w="108" w:type="dxa"/>
          </w:tblCellMar>
        </w:tblPrEx>
        <w:trPr>
          <w:trHeight w:val="28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水产品</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淡水产品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淡水鱼</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淡水虾</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淡水蟹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海水产品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海水鱼</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海水虾</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海水蟹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贝类</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贝类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其他水产品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其他水产品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w:t>
            </w:r>
          </w:p>
        </w:tc>
      </w:tr>
      <w:tr>
        <w:tblPrEx>
          <w:tblCellMar>
            <w:top w:w="0" w:type="dxa"/>
            <w:left w:w="108" w:type="dxa"/>
            <w:bottom w:w="0" w:type="dxa"/>
            <w:right w:w="108" w:type="dxa"/>
          </w:tblCellMar>
        </w:tblPrEx>
        <w:trPr>
          <w:trHeight w:val="28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水果类</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仁果类水果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苹果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核果类水果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枣</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桃</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油桃</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柑橘类水果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橙</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柚</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柠檬</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柑、橘</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浆果和其他小型水果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草莓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葡萄</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桑葚</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猕猴桃</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热带和亚热带水果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火龙果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杨梅</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荔枝</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芒果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橄榄</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番木瓜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龙眼</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香蕉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瓜果类水果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甜瓜类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r>
      <w:tr>
        <w:tblPrEx>
          <w:tblCellMar>
            <w:top w:w="0" w:type="dxa"/>
            <w:left w:w="108" w:type="dxa"/>
            <w:bottom w:w="0" w:type="dxa"/>
            <w:right w:w="108" w:type="dxa"/>
          </w:tblCellMar>
        </w:tblPrEx>
        <w:trPr>
          <w:trHeight w:val="28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鲜蛋</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鲜蛋</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鸡蛋</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24</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其他禽蛋</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豆类</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豆类</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豆类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85"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生干坚果与籽类食品</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生干坚果与籽类食品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生干坚果</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r>
      <w:tr>
        <w:tblPrEx>
          <w:tblCellMar>
            <w:top w:w="0" w:type="dxa"/>
            <w:left w:w="108" w:type="dxa"/>
            <w:bottom w:w="0" w:type="dxa"/>
            <w:right w:w="108" w:type="dxa"/>
          </w:tblCellMar>
        </w:tblPrEx>
        <w:trPr>
          <w:trHeight w:val="270"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生干籽类</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r>
    </w:tbl>
    <w:p>
      <w:pPr>
        <w:snapToGrid w:val="0"/>
        <w:spacing w:line="360" w:lineRule="auto"/>
        <w:rPr>
          <w:rFonts w:ascii="宋体" w:hAnsi="宋体"/>
          <w:b/>
          <w:color w:val="auto"/>
          <w:szCs w:val="21"/>
          <w:highlight w:val="none"/>
        </w:rPr>
      </w:pPr>
      <w:r>
        <w:rPr>
          <w:rFonts w:hint="eastAsia" w:ascii="宋体" w:hAnsi="宋体"/>
          <w:b/>
          <w:color w:val="auto"/>
          <w:szCs w:val="21"/>
          <w:highlight w:val="none"/>
        </w:rPr>
        <w:t>13、</w:t>
      </w:r>
      <w:r>
        <w:rPr>
          <w:rFonts w:ascii="宋体" w:hAnsi="宋体"/>
          <w:b/>
          <w:color w:val="auto"/>
          <w:szCs w:val="21"/>
          <w:highlight w:val="none"/>
        </w:rPr>
        <w:t>检验项目</w:t>
      </w:r>
    </w:p>
    <w:p>
      <w:pPr>
        <w:widowControl/>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根据采购人要求，</w:t>
      </w:r>
      <w:r>
        <w:rPr>
          <w:rFonts w:ascii="宋体" w:hAnsi="宋体"/>
          <w:color w:val="auto"/>
          <w:szCs w:val="21"/>
          <w:highlight w:val="none"/>
        </w:rPr>
        <w:t>按《</w:t>
      </w:r>
      <w:r>
        <w:rPr>
          <w:rFonts w:hint="eastAsia" w:ascii="宋体" w:hAnsi="宋体"/>
          <w:color w:val="auto"/>
          <w:szCs w:val="21"/>
          <w:highlight w:val="none"/>
        </w:rPr>
        <w:t>国家食品安全监督抽检实施细则（2024版</w:t>
      </w:r>
      <w:r>
        <w:rPr>
          <w:rFonts w:hint="eastAsia" w:ascii="宋体" w:hAnsi="宋体" w:cs="Arial"/>
          <w:color w:val="auto"/>
          <w:szCs w:val="21"/>
          <w:highlight w:val="none"/>
        </w:rPr>
        <w:t>）</w:t>
      </w:r>
      <w:r>
        <w:rPr>
          <w:rFonts w:ascii="宋体" w:hAnsi="宋体" w:cs="Arial"/>
          <w:color w:val="auto"/>
          <w:szCs w:val="21"/>
          <w:highlight w:val="none"/>
        </w:rPr>
        <w:t>》</w:t>
      </w:r>
      <w:r>
        <w:rPr>
          <w:rFonts w:hint="eastAsia" w:ascii="宋体" w:hAnsi="宋体"/>
          <w:color w:val="auto"/>
          <w:szCs w:val="21"/>
          <w:highlight w:val="none"/>
        </w:rPr>
        <w:t>中</w:t>
      </w:r>
      <w:r>
        <w:rPr>
          <w:rFonts w:ascii="宋体" w:hAnsi="宋体"/>
          <w:color w:val="auto"/>
          <w:szCs w:val="21"/>
          <w:highlight w:val="none"/>
        </w:rPr>
        <w:t>监督项目检测，如细则更新，按最新版执行。</w:t>
      </w:r>
      <w:bookmarkStart w:id="33" w:name="_Toc110177690"/>
      <w:bookmarkStart w:id="34" w:name="_Toc34844743"/>
    </w:p>
    <w:p>
      <w:pPr>
        <w:widowControl/>
        <w:jc w:val="left"/>
        <w:rPr>
          <w:rFonts w:eastAsiaTheme="minorEastAsia"/>
          <w:color w:val="auto"/>
          <w:szCs w:val="21"/>
          <w:highlight w:val="none"/>
        </w:rPr>
      </w:pPr>
    </w:p>
    <w:p>
      <w:pPr>
        <w:widowControl/>
        <w:jc w:val="left"/>
        <w:rPr>
          <w:rFonts w:eastAsiaTheme="minorEastAsia"/>
          <w:color w:val="auto"/>
          <w:szCs w:val="21"/>
          <w:highlight w:val="none"/>
        </w:rPr>
      </w:pPr>
    </w:p>
    <w:p>
      <w:pPr>
        <w:widowControl/>
        <w:jc w:val="left"/>
        <w:rPr>
          <w:rFonts w:ascii="宋体" w:hAnsi="宋体"/>
          <w:b/>
          <w:bCs/>
          <w:color w:val="auto"/>
          <w:kern w:val="44"/>
          <w:sz w:val="24"/>
          <w:szCs w:val="44"/>
          <w:highlight w:val="none"/>
        </w:rPr>
      </w:pPr>
      <w:r>
        <w:rPr>
          <w:rFonts w:ascii="宋体" w:hAnsi="宋体"/>
          <w:color w:val="auto"/>
          <w:highlight w:val="none"/>
        </w:rPr>
        <w:br w:type="page"/>
      </w:r>
    </w:p>
    <w:p>
      <w:pPr>
        <w:pStyle w:val="2"/>
        <w:rPr>
          <w:rFonts w:ascii="宋体" w:hAnsi="宋体"/>
          <w:color w:val="auto"/>
          <w:sz w:val="32"/>
          <w:highlight w:val="none"/>
        </w:rPr>
      </w:pPr>
      <w:r>
        <w:rPr>
          <w:rFonts w:ascii="宋体" w:hAnsi="宋体"/>
          <w:color w:val="auto"/>
          <w:highlight w:val="none"/>
        </w:rPr>
        <w:t>第三章  投标人须知</w:t>
      </w:r>
      <w:bookmarkEnd w:id="33"/>
      <w:bookmarkEnd w:id="34"/>
    </w:p>
    <w:p>
      <w:pPr>
        <w:spacing w:line="360" w:lineRule="auto"/>
        <w:jc w:val="center"/>
        <w:rPr>
          <w:rFonts w:ascii="宋体" w:hAnsi="宋体"/>
          <w:b/>
          <w:color w:val="auto"/>
          <w:szCs w:val="21"/>
          <w:highlight w:val="none"/>
        </w:rPr>
      </w:pPr>
      <w:r>
        <w:rPr>
          <w:rFonts w:ascii="宋体" w:hAnsi="宋体"/>
          <w:b/>
          <w:color w:val="auto"/>
          <w:szCs w:val="21"/>
          <w:highlight w:val="none"/>
        </w:rPr>
        <w:t>投标人须知前附表</w:t>
      </w:r>
    </w:p>
    <w:p>
      <w:pPr>
        <w:spacing w:line="360" w:lineRule="auto"/>
        <w:ind w:firstLine="424" w:firstLineChars="193"/>
        <w:jc w:val="left"/>
        <w:rPr>
          <w:rStyle w:val="381"/>
          <w:rFonts w:hint="default"/>
          <w:color w:val="auto"/>
          <w:szCs w:val="21"/>
          <w:highlight w:val="none"/>
        </w:rPr>
      </w:pPr>
      <w:r>
        <w:rPr>
          <w:rStyle w:val="381"/>
          <w:rFonts w:hint="default"/>
          <w:color w:val="auto"/>
          <w:szCs w:val="21"/>
          <w:highlight w:val="none"/>
        </w:rPr>
        <w:t>注：本表是本项目的具体要求，是对投标人须知的具体补充和修改，如有不一致，以本表为准。</w:t>
      </w:r>
    </w:p>
    <w:tbl>
      <w:tblPr>
        <w:tblStyle w:val="43"/>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817"/>
        <w:gridCol w:w="54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ascii="宋体" w:hAnsi="宋体"/>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ascii="宋体" w:hAnsi="宋体"/>
                <w:b/>
                <w:color w:val="auto"/>
                <w:szCs w:val="21"/>
                <w:highlight w:val="none"/>
              </w:rPr>
              <w:t>条款号</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ascii="宋体" w:hAnsi="宋体"/>
                <w:b/>
                <w:color w:val="auto"/>
                <w:szCs w:val="21"/>
                <w:highlight w:val="none"/>
              </w:rPr>
              <w:t>条款名称</w:t>
            </w:r>
          </w:p>
        </w:tc>
        <w:tc>
          <w:tcPr>
            <w:tcW w:w="5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ascii="宋体" w:hAnsi="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采购人</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ascii="宋体" w:hAnsi="宋体"/>
                <w:color w:val="auto"/>
                <w:szCs w:val="21"/>
                <w:highlight w:val="none"/>
              </w:rPr>
              <w:t>宁波市市场监督管理局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3.2</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采购代理机构</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ascii="宋体" w:hAnsi="宋体"/>
                <w:color w:val="auto"/>
                <w:szCs w:val="21"/>
                <w:highlight w:val="none"/>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3.3</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政府采购监督管理部门</w:t>
            </w:r>
          </w:p>
        </w:tc>
        <w:tc>
          <w:tcPr>
            <w:tcW w:w="5486" w:type="dxa"/>
            <w:tcBorders>
              <w:top w:val="single" w:color="auto" w:sz="4" w:space="0"/>
              <w:left w:val="single" w:color="auto" w:sz="4" w:space="0"/>
              <w:bottom w:val="single" w:color="auto" w:sz="4" w:space="0"/>
              <w:right w:val="single" w:color="auto" w:sz="4" w:space="0"/>
            </w:tcBorders>
            <w:vAlign w:val="center"/>
          </w:tcPr>
          <w:p>
            <w:pPr>
              <w:pStyle w:val="319"/>
              <w:widowControl w:val="0"/>
              <w:spacing w:before="0" w:beforeAutospacing="0" w:afterAutospacing="0"/>
              <w:jc w:val="both"/>
              <w:rPr>
                <w:bCs/>
                <w:color w:val="auto"/>
                <w:sz w:val="21"/>
                <w:szCs w:val="21"/>
                <w:highlight w:val="none"/>
              </w:rPr>
            </w:pPr>
            <w:r>
              <w:rPr>
                <w:bCs/>
                <w:color w:val="auto"/>
                <w:sz w:val="21"/>
                <w:szCs w:val="21"/>
                <w:highlight w:val="none"/>
              </w:rPr>
              <w:t xml:space="preserve">宁波市财政局政府采购监管处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10.3</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质疑函递交方式、接收部门、联系电话和通讯地址</w:t>
            </w:r>
          </w:p>
        </w:tc>
        <w:tc>
          <w:tcPr>
            <w:tcW w:w="5486" w:type="dxa"/>
            <w:tcBorders>
              <w:top w:val="single" w:color="auto" w:sz="4" w:space="0"/>
              <w:left w:val="single" w:color="auto" w:sz="4" w:space="0"/>
              <w:bottom w:val="single" w:color="auto" w:sz="4" w:space="0"/>
              <w:right w:val="single" w:color="auto" w:sz="4" w:space="0"/>
            </w:tcBorders>
            <w:vAlign w:val="center"/>
          </w:tcPr>
          <w:p>
            <w:pPr>
              <w:pStyle w:val="319"/>
              <w:widowControl w:val="0"/>
              <w:spacing w:before="0" w:beforeAutospacing="0" w:afterAutospacing="0"/>
              <w:jc w:val="both"/>
              <w:rPr>
                <w:b/>
                <w:color w:val="auto"/>
                <w:sz w:val="21"/>
                <w:szCs w:val="21"/>
                <w:highlight w:val="none"/>
              </w:rPr>
            </w:pPr>
            <w:r>
              <w:rPr>
                <w:color w:val="auto"/>
                <w:sz w:val="21"/>
                <w:szCs w:val="21"/>
                <w:highlight w:val="none"/>
              </w:rPr>
              <w:t>递交方式：</w:t>
            </w:r>
            <w:r>
              <w:rPr>
                <w:color w:val="auto"/>
                <w:sz w:val="21"/>
                <w:szCs w:val="21"/>
                <w:highlight w:val="none"/>
                <w:u w:val="single"/>
              </w:rPr>
              <w:t>书面形式</w:t>
            </w:r>
          </w:p>
          <w:p>
            <w:pPr>
              <w:pStyle w:val="319"/>
              <w:widowControl w:val="0"/>
              <w:spacing w:before="0" w:beforeAutospacing="0" w:afterAutospacing="0"/>
              <w:jc w:val="both"/>
              <w:rPr>
                <w:b/>
                <w:bCs/>
                <w:color w:val="auto"/>
                <w:sz w:val="21"/>
                <w:szCs w:val="21"/>
                <w:highlight w:val="none"/>
                <w:u w:val="single"/>
              </w:rPr>
            </w:pPr>
            <w:r>
              <w:rPr>
                <w:color w:val="auto"/>
                <w:sz w:val="21"/>
                <w:szCs w:val="21"/>
                <w:highlight w:val="none"/>
              </w:rPr>
              <w:t>接收部门：</w:t>
            </w:r>
            <w:r>
              <w:rPr>
                <w:color w:val="auto"/>
                <w:sz w:val="21"/>
                <w:szCs w:val="21"/>
                <w:highlight w:val="none"/>
                <w:u w:val="single"/>
              </w:rPr>
              <w:t>综合办</w:t>
            </w:r>
          </w:p>
          <w:p>
            <w:pPr>
              <w:pStyle w:val="319"/>
              <w:widowControl w:val="0"/>
              <w:spacing w:before="0" w:beforeAutospacing="0" w:afterAutospacing="0"/>
              <w:jc w:val="both"/>
              <w:rPr>
                <w:b/>
                <w:bCs/>
                <w:color w:val="auto"/>
                <w:sz w:val="21"/>
                <w:szCs w:val="21"/>
                <w:highlight w:val="none"/>
                <w:u w:val="single"/>
              </w:rPr>
            </w:pPr>
            <w:r>
              <w:rPr>
                <w:color w:val="auto"/>
                <w:sz w:val="21"/>
                <w:szCs w:val="21"/>
                <w:highlight w:val="none"/>
              </w:rPr>
              <w:t>联系电话：</w:t>
            </w:r>
            <w:r>
              <w:rPr>
                <w:bCs/>
                <w:color w:val="auto"/>
                <w:sz w:val="21"/>
                <w:szCs w:val="21"/>
                <w:highlight w:val="none"/>
                <w:u w:val="single"/>
              </w:rPr>
              <w:t>0574-87101271</w:t>
            </w:r>
          </w:p>
          <w:p>
            <w:pPr>
              <w:ind w:right="-143" w:rightChars="-68" w:firstLine="29" w:firstLineChars="14"/>
              <w:jc w:val="left"/>
              <w:rPr>
                <w:rFonts w:ascii="宋体" w:hAnsi="宋体"/>
                <w:bCs/>
                <w:color w:val="auto"/>
                <w:szCs w:val="21"/>
                <w:highlight w:val="none"/>
              </w:rPr>
            </w:pPr>
            <w:r>
              <w:rPr>
                <w:rFonts w:ascii="宋体" w:hAnsi="宋体"/>
                <w:color w:val="auto"/>
                <w:szCs w:val="21"/>
                <w:highlight w:val="none"/>
              </w:rPr>
              <w:t>通讯地址：</w:t>
            </w:r>
            <w:r>
              <w:rPr>
                <w:rFonts w:ascii="宋体" w:hAnsi="宋体"/>
                <w:bCs/>
                <w:color w:val="auto"/>
                <w:szCs w:val="21"/>
                <w:highlight w:val="none"/>
                <w:u w:val="single"/>
              </w:rPr>
              <w:t>宁波市海曙区江汇城496号姚江时代14幢3楼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13.1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采购代理服务费用的收取标准</w:t>
            </w:r>
          </w:p>
        </w:tc>
        <w:tc>
          <w:tcPr>
            <w:tcW w:w="5486"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参照</w:t>
            </w:r>
            <w:r>
              <w:rPr>
                <w:rFonts w:ascii="宋体" w:hAnsi="宋体"/>
                <w:bCs/>
                <w:color w:val="auto"/>
                <w:kern w:val="0"/>
                <w:szCs w:val="21"/>
                <w:highlight w:val="none"/>
              </w:rPr>
              <w:t>国家发改委发改办价格[2003]857号通知和原国家计委计价格[2002]1980号文件规定的收费费率为取费标准。</w:t>
            </w:r>
          </w:p>
          <w:p>
            <w:pPr>
              <w:rPr>
                <w:rFonts w:ascii="宋体" w:hAnsi="宋体"/>
                <w:color w:val="auto"/>
                <w:szCs w:val="21"/>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每个标项</w:t>
            </w:r>
            <w:r>
              <w:rPr>
                <w:rFonts w:ascii="宋体" w:hAnsi="宋体"/>
                <w:bCs/>
                <w:color w:val="auto"/>
                <w:kern w:val="0"/>
                <w:szCs w:val="21"/>
                <w:highlight w:val="none"/>
              </w:rPr>
              <w:t>以预算金额为计算基数，结合上述费率标准计算本项目的代理服务费用。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13.2</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采购代理服务费的支付</w:t>
            </w:r>
          </w:p>
        </w:tc>
        <w:tc>
          <w:tcPr>
            <w:tcW w:w="5486"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color w:val="auto"/>
                <w:szCs w:val="21"/>
                <w:highlight w:val="none"/>
              </w:rPr>
            </w:pPr>
            <w:r>
              <w:rPr>
                <w:rFonts w:ascii="宋体" w:hAnsi="宋体"/>
                <w:bCs/>
                <w:color w:val="auto"/>
                <w:szCs w:val="21"/>
                <w:highlight w:val="none"/>
              </w:rPr>
              <w:t>本项目代理服务费由中标人支付，中标人在中标通知书</w:t>
            </w:r>
            <w:r>
              <w:rPr>
                <w:rFonts w:hint="eastAsia" w:ascii="宋体" w:hAnsi="宋体"/>
                <w:bCs/>
                <w:color w:val="auto"/>
                <w:szCs w:val="21"/>
                <w:highlight w:val="none"/>
              </w:rPr>
              <w:t>发出后三个工作日内</w:t>
            </w:r>
            <w:r>
              <w:rPr>
                <w:rFonts w:ascii="宋体" w:hAnsi="宋体"/>
                <w:bCs/>
                <w:color w:val="auto"/>
                <w:szCs w:val="21"/>
                <w:highlight w:val="none"/>
              </w:rPr>
              <w:t>一次性全额支付，代理服务费金额为固定金额，不随合同金额的增减而浮动。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17.1</w:t>
            </w:r>
          </w:p>
        </w:tc>
        <w:tc>
          <w:tcPr>
            <w:tcW w:w="1817" w:type="dxa"/>
            <w:tcBorders>
              <w:top w:val="single" w:color="auto" w:sz="4" w:space="0"/>
              <w:left w:val="single" w:color="auto" w:sz="4" w:space="0"/>
              <w:bottom w:val="single" w:color="auto" w:sz="4" w:space="0"/>
              <w:right w:val="single" w:color="auto" w:sz="4" w:space="0"/>
            </w:tcBorders>
            <w:vAlign w:val="center"/>
          </w:tcPr>
          <w:p>
            <w:pPr>
              <w:pStyle w:val="319"/>
              <w:widowControl w:val="0"/>
              <w:spacing w:before="0" w:beforeAutospacing="0" w:afterAutospacing="0"/>
              <w:jc w:val="left"/>
              <w:rPr>
                <w:b/>
                <w:color w:val="auto"/>
                <w:sz w:val="21"/>
                <w:szCs w:val="21"/>
                <w:highlight w:val="none"/>
              </w:rPr>
            </w:pPr>
            <w:r>
              <w:rPr>
                <w:color w:val="auto"/>
                <w:sz w:val="21"/>
                <w:szCs w:val="21"/>
                <w:highlight w:val="none"/>
              </w:rPr>
              <w:t>现场考察</w:t>
            </w:r>
          </w:p>
        </w:tc>
        <w:tc>
          <w:tcPr>
            <w:tcW w:w="5486"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auto"/>
                <w:szCs w:val="21"/>
                <w:highlight w:val="none"/>
              </w:rPr>
            </w:pPr>
            <w:r>
              <w:rPr>
                <w:rFonts w:ascii="宋体" w:hAnsi="宋体"/>
                <w:color w:val="auto"/>
                <w:szCs w:val="21"/>
                <w:highlight w:val="none"/>
              </w:rPr>
              <w:sym w:font="Wingdings" w:char="F0FE"/>
            </w:r>
            <w:r>
              <w:rPr>
                <w:rFonts w:ascii="宋体" w:hAnsi="宋体"/>
                <w:color w:val="auto"/>
                <w:szCs w:val="21"/>
                <w:highlight w:val="none"/>
              </w:rPr>
              <w:t>不</w:t>
            </w:r>
            <w:r>
              <w:rPr>
                <w:rFonts w:ascii="宋体" w:hAnsi="宋体"/>
                <w:bCs/>
                <w:color w:val="auto"/>
                <w:szCs w:val="21"/>
                <w:highlight w:val="none"/>
              </w:rPr>
              <w:t>统一</w:t>
            </w:r>
            <w:r>
              <w:rPr>
                <w:rFonts w:ascii="宋体" w:hAnsi="宋体"/>
                <w:color w:val="auto"/>
                <w:szCs w:val="21"/>
                <w:highlight w:val="none"/>
              </w:rPr>
              <w:t>组织，投标人</w:t>
            </w:r>
            <w:r>
              <w:rPr>
                <w:rFonts w:ascii="宋体" w:hAnsi="宋体"/>
                <w:bCs/>
                <w:color w:val="auto"/>
                <w:szCs w:val="21"/>
                <w:highlight w:val="none"/>
              </w:rPr>
              <w:t>自行考察</w:t>
            </w:r>
            <w:r>
              <w:rPr>
                <w:rFonts w:ascii="宋体" w:hAnsi="宋体"/>
                <w:color w:val="auto"/>
                <w:szCs w:val="21"/>
                <w:highlight w:val="none"/>
              </w:rPr>
              <w:t>。</w:t>
            </w:r>
          </w:p>
          <w:p>
            <w:pPr>
              <w:rPr>
                <w:rFonts w:ascii="宋体" w:hAnsi="宋体"/>
                <w:bCs/>
                <w:color w:val="auto"/>
                <w:szCs w:val="21"/>
                <w:highlight w:val="none"/>
              </w:rPr>
            </w:pPr>
            <w:r>
              <w:rPr>
                <w:rFonts w:ascii="宋体" w:hAnsi="宋体"/>
                <w:color w:val="auto"/>
                <w:szCs w:val="21"/>
                <w:highlight w:val="none"/>
              </w:rPr>
              <w:t>□</w:t>
            </w:r>
            <w:r>
              <w:rPr>
                <w:rFonts w:ascii="宋体" w:hAnsi="宋体"/>
                <w:bCs/>
                <w:color w:val="auto"/>
                <w:szCs w:val="21"/>
                <w:highlight w:val="none"/>
              </w:rPr>
              <w:t>统一组织</w:t>
            </w:r>
          </w:p>
          <w:p>
            <w:pPr>
              <w:rPr>
                <w:rFonts w:ascii="宋体" w:hAnsi="宋体"/>
                <w:bCs/>
                <w:color w:val="auto"/>
                <w:szCs w:val="21"/>
                <w:highlight w:val="none"/>
                <w:u w:val="single"/>
              </w:rPr>
            </w:pPr>
            <w:r>
              <w:rPr>
                <w:rFonts w:ascii="宋体" w:hAnsi="宋体"/>
                <w:bCs/>
                <w:color w:val="auto"/>
                <w:szCs w:val="21"/>
                <w:highlight w:val="none"/>
              </w:rPr>
              <w:t>时间：</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ascii="宋体" w:hAnsi="宋体"/>
                <w:bCs/>
                <w:color w:val="auto"/>
                <w:szCs w:val="21"/>
                <w:highlight w:val="none"/>
              </w:rPr>
              <w:t>日</w:t>
            </w:r>
            <w:r>
              <w:rPr>
                <w:rFonts w:ascii="宋体" w:hAnsi="宋体"/>
                <w:bCs/>
                <w:color w:val="auto"/>
                <w:szCs w:val="21"/>
                <w:highlight w:val="none"/>
                <w:u w:val="single"/>
              </w:rPr>
              <w:t xml:space="preserve">  </w:t>
            </w:r>
            <w:r>
              <w:rPr>
                <w:rFonts w:ascii="宋体" w:hAnsi="宋体"/>
                <w:bCs/>
                <w:color w:val="auto"/>
                <w:szCs w:val="21"/>
                <w:highlight w:val="none"/>
              </w:rPr>
              <w:t>时</w:t>
            </w:r>
            <w:r>
              <w:rPr>
                <w:rFonts w:ascii="宋体" w:hAnsi="宋体"/>
                <w:bCs/>
                <w:color w:val="auto"/>
                <w:szCs w:val="21"/>
                <w:highlight w:val="none"/>
                <w:u w:val="single"/>
              </w:rPr>
              <w:t xml:space="preserve">  </w:t>
            </w:r>
            <w:r>
              <w:rPr>
                <w:rFonts w:ascii="宋体" w:hAnsi="宋体"/>
                <w:bCs/>
                <w:color w:val="auto"/>
                <w:szCs w:val="21"/>
                <w:highlight w:val="none"/>
              </w:rPr>
              <w:t>分</w:t>
            </w:r>
          </w:p>
          <w:p>
            <w:pPr>
              <w:rPr>
                <w:rFonts w:ascii="宋体" w:hAnsi="宋体"/>
                <w:bCs/>
                <w:color w:val="auto"/>
                <w:szCs w:val="21"/>
                <w:highlight w:val="none"/>
                <w:u w:val="single"/>
              </w:rPr>
            </w:pPr>
            <w:r>
              <w:rPr>
                <w:rFonts w:ascii="宋体" w:hAnsi="宋体"/>
                <w:bCs/>
                <w:color w:val="auto"/>
                <w:szCs w:val="21"/>
                <w:highlight w:val="none"/>
              </w:rPr>
              <w:t>地点：</w:t>
            </w:r>
            <w:r>
              <w:rPr>
                <w:rFonts w:ascii="宋体" w:hAnsi="宋体"/>
                <w:bCs/>
                <w:color w:val="auto"/>
                <w:szCs w:val="21"/>
                <w:highlight w:val="none"/>
                <w:u w:val="single"/>
              </w:rPr>
              <w:t xml:space="preserve">                       </w:t>
            </w:r>
          </w:p>
          <w:p>
            <w:pPr>
              <w:rPr>
                <w:rFonts w:ascii="宋体" w:hAnsi="宋体"/>
                <w:bCs/>
                <w:color w:val="auto"/>
                <w:szCs w:val="21"/>
                <w:highlight w:val="none"/>
              </w:rPr>
            </w:pPr>
            <w:r>
              <w:rPr>
                <w:rFonts w:ascii="宋体" w:hAnsi="宋体"/>
                <w:bCs/>
                <w:color w:val="auto"/>
                <w:szCs w:val="21"/>
                <w:highlight w:val="none"/>
              </w:rPr>
              <w:t>现场考察联系人及联系电话：</w:t>
            </w:r>
            <w:r>
              <w:rPr>
                <w:rFonts w:ascii="宋体" w:hAnsi="宋体"/>
                <w:bCs/>
                <w:color w:val="auto"/>
                <w:szCs w:val="21"/>
                <w:highlight w:val="none"/>
                <w:u w:val="single"/>
              </w:rPr>
              <w:t xml:space="preserve">                 </w:t>
            </w:r>
          </w:p>
          <w:p>
            <w:pPr>
              <w:pStyle w:val="319"/>
              <w:widowControl w:val="0"/>
              <w:spacing w:before="0" w:beforeAutospacing="0" w:afterAutospacing="0"/>
              <w:jc w:val="both"/>
              <w:rPr>
                <w:b/>
                <w:color w:val="auto"/>
                <w:sz w:val="21"/>
                <w:szCs w:val="21"/>
                <w:highlight w:val="none"/>
              </w:rPr>
            </w:pPr>
            <w:r>
              <w:rPr>
                <w:color w:val="auto"/>
                <w:sz w:val="21"/>
                <w:szCs w:val="21"/>
                <w:highlight w:val="none"/>
              </w:rPr>
              <w:t>备注：如投标人未参加采购人统一组织的现场考察，视同放弃现场考察，由此引起的一切责任由投标人自行承担。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8</w:t>
            </w:r>
          </w:p>
        </w:tc>
        <w:tc>
          <w:tcPr>
            <w:tcW w:w="892"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21.1</w:t>
            </w:r>
          </w:p>
        </w:tc>
        <w:tc>
          <w:tcPr>
            <w:tcW w:w="1817"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资格要求响应文件的组成</w:t>
            </w:r>
          </w:p>
        </w:tc>
        <w:tc>
          <w:tcPr>
            <w:tcW w:w="5486"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1.投标人资格声明函</w:t>
            </w:r>
            <w:r>
              <w:rPr>
                <w:rFonts w:ascii="宋体" w:hAnsi="宋体"/>
                <w:b/>
                <w:color w:val="auto"/>
                <w:szCs w:val="21"/>
                <w:highlight w:val="none"/>
              </w:rPr>
              <w:t>（联合体投标的，联合体各方均需提供）</w:t>
            </w:r>
            <w:r>
              <w:rPr>
                <w:rFonts w:ascii="宋体" w:hAnsi="宋体"/>
                <w:color w:val="auto"/>
                <w:szCs w:val="21"/>
                <w:highlight w:val="none"/>
              </w:rPr>
              <w:t>；</w:t>
            </w:r>
          </w:p>
          <w:p>
            <w:pPr>
              <w:rPr>
                <w:rFonts w:ascii="宋体" w:hAnsi="宋体"/>
                <w:color w:val="auto"/>
                <w:szCs w:val="21"/>
                <w:highlight w:val="none"/>
              </w:rPr>
            </w:pPr>
            <w:r>
              <w:rPr>
                <w:rFonts w:ascii="宋体" w:hAnsi="宋体"/>
                <w:color w:val="auto"/>
                <w:szCs w:val="21"/>
                <w:highlight w:val="none"/>
              </w:rPr>
              <w:t>2.法人或者其他组织的营业执照等登记证明文件复印件</w:t>
            </w:r>
            <w:r>
              <w:rPr>
                <w:rFonts w:ascii="宋体" w:hAnsi="宋体"/>
                <w:b/>
                <w:color w:val="auto"/>
                <w:szCs w:val="21"/>
                <w:highlight w:val="none"/>
              </w:rPr>
              <w:t>（联合体投标的，联合体各方均需提供）</w:t>
            </w:r>
            <w:r>
              <w:rPr>
                <w:rFonts w:ascii="宋体" w:hAnsi="宋体"/>
                <w:color w:val="auto"/>
                <w:szCs w:val="21"/>
                <w:highlight w:val="none"/>
              </w:rPr>
              <w:t>；</w:t>
            </w:r>
          </w:p>
          <w:p>
            <w:pPr>
              <w:rPr>
                <w:rFonts w:ascii="宋体" w:hAnsi="宋体"/>
                <w:b/>
                <w:color w:val="auto"/>
                <w:szCs w:val="21"/>
                <w:highlight w:val="none"/>
              </w:rPr>
            </w:pPr>
            <w:r>
              <w:rPr>
                <w:rFonts w:ascii="宋体" w:hAnsi="宋体"/>
                <w:color w:val="auto"/>
                <w:szCs w:val="21"/>
                <w:highlight w:val="none"/>
              </w:rPr>
              <w:t>3.中小企业声明函或残疾人福利性单位声明函或监狱企业证明文件</w:t>
            </w:r>
            <w:r>
              <w:rPr>
                <w:rFonts w:ascii="宋体" w:hAnsi="宋体"/>
                <w:b/>
                <w:color w:val="auto"/>
                <w:szCs w:val="21"/>
                <w:highlight w:val="none"/>
              </w:rPr>
              <w:t>（</w:t>
            </w:r>
            <w:r>
              <w:rPr>
                <w:rFonts w:hint="eastAsia" w:ascii="宋体" w:hAnsi="宋体"/>
                <w:b/>
                <w:color w:val="auto"/>
                <w:szCs w:val="21"/>
                <w:highlight w:val="none"/>
              </w:rPr>
              <w:t>标项二、三、四</w:t>
            </w:r>
            <w:r>
              <w:rPr>
                <w:rFonts w:ascii="宋体" w:hAnsi="宋体"/>
                <w:b/>
                <w:color w:val="auto"/>
                <w:szCs w:val="21"/>
                <w:highlight w:val="none"/>
              </w:rPr>
              <w:t>的投标人无须提供；</w:t>
            </w:r>
            <w:r>
              <w:rPr>
                <w:rFonts w:hint="eastAsia" w:ascii="宋体" w:hAnsi="宋体"/>
                <w:b/>
                <w:color w:val="auto"/>
                <w:szCs w:val="21"/>
                <w:highlight w:val="none"/>
              </w:rPr>
              <w:t>标项一</w:t>
            </w:r>
            <w:r>
              <w:rPr>
                <w:rFonts w:ascii="宋体" w:hAnsi="宋体"/>
                <w:b/>
                <w:color w:val="auto"/>
                <w:szCs w:val="21"/>
                <w:highlight w:val="none"/>
              </w:rPr>
              <w:t>的投标人必须提供上述文件的其中之一以证明自身符合该标项规定的投标人资格要求）；</w:t>
            </w:r>
          </w:p>
          <w:p>
            <w:pPr>
              <w:rPr>
                <w:rFonts w:ascii="宋体" w:hAnsi="宋体"/>
                <w:b/>
                <w:color w:val="auto"/>
                <w:szCs w:val="21"/>
                <w:highlight w:val="none"/>
              </w:rPr>
            </w:pPr>
            <w:r>
              <w:rPr>
                <w:rFonts w:hint="eastAsia" w:ascii="宋体" w:hAnsi="宋体"/>
                <w:color w:val="auto"/>
                <w:szCs w:val="21"/>
                <w:highlight w:val="none"/>
              </w:rPr>
              <w:t>4</w:t>
            </w:r>
            <w:r>
              <w:rPr>
                <w:rFonts w:ascii="宋体" w:hAnsi="宋体"/>
                <w:color w:val="auto"/>
                <w:szCs w:val="21"/>
                <w:highlight w:val="none"/>
              </w:rPr>
              <w:t>.特定资格要求的证明材料：合法有效的检验检测机构资质认定(CMA)证书复印件</w:t>
            </w:r>
            <w:r>
              <w:rPr>
                <w:rFonts w:ascii="宋体" w:hAnsi="宋体"/>
                <w:b/>
                <w:color w:val="auto"/>
                <w:szCs w:val="21"/>
                <w:highlight w:val="none"/>
              </w:rPr>
              <w:t>（联合体投标的，联合体各方均需提供）；</w:t>
            </w:r>
          </w:p>
          <w:p>
            <w:pPr>
              <w:rPr>
                <w:rFonts w:ascii="宋体" w:hAnsi="宋体"/>
                <w:color w:val="auto"/>
                <w:szCs w:val="21"/>
                <w:highlight w:val="none"/>
              </w:rPr>
            </w:pPr>
            <w:r>
              <w:rPr>
                <w:rFonts w:hint="eastAsia" w:ascii="宋体" w:hAnsi="宋体"/>
                <w:b/>
                <w:color w:val="auto"/>
                <w:szCs w:val="21"/>
                <w:highlight w:val="none"/>
              </w:rPr>
              <w:t>5</w:t>
            </w:r>
            <w:r>
              <w:rPr>
                <w:rFonts w:ascii="宋体" w:hAnsi="宋体"/>
                <w:b/>
                <w:color w:val="auto"/>
                <w:szCs w:val="21"/>
                <w:highlight w:val="none"/>
              </w:rPr>
              <w:t>.联合协议（非联合体投标无需提供）</w:t>
            </w:r>
            <w:r>
              <w:rPr>
                <w:rFonts w:ascii="宋体" w:hAnsi="宋体"/>
                <w:color w:val="auto"/>
                <w:szCs w:val="21"/>
                <w:highlight w:val="none"/>
              </w:rPr>
              <w:t>。</w:t>
            </w:r>
          </w:p>
          <w:p>
            <w:pPr>
              <w:rPr>
                <w:rFonts w:ascii="宋体" w:hAnsi="宋体"/>
                <w:b/>
                <w:color w:val="auto"/>
                <w:szCs w:val="21"/>
                <w:highlight w:val="none"/>
              </w:rPr>
            </w:pPr>
            <w:r>
              <w:rPr>
                <w:rFonts w:ascii="宋体" w:hAnsi="宋体"/>
                <w:b/>
                <w:color w:val="auto"/>
                <w:szCs w:val="21"/>
                <w:highlight w:val="none"/>
              </w:rPr>
              <w:t>注：联合体投标人中被联合一方提供的资料加盖自己单位的公章。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9</w:t>
            </w:r>
          </w:p>
        </w:tc>
        <w:tc>
          <w:tcPr>
            <w:tcW w:w="892"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1817"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商务技术文件的组成</w:t>
            </w:r>
          </w:p>
        </w:tc>
        <w:tc>
          <w:tcPr>
            <w:tcW w:w="5486"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1.投标函；</w:t>
            </w:r>
          </w:p>
          <w:p>
            <w:pPr>
              <w:rPr>
                <w:rFonts w:ascii="宋体" w:hAnsi="宋体"/>
                <w:color w:val="auto"/>
                <w:szCs w:val="21"/>
                <w:highlight w:val="none"/>
              </w:rPr>
            </w:pPr>
            <w:r>
              <w:rPr>
                <w:rFonts w:ascii="宋体" w:hAnsi="宋体"/>
                <w:color w:val="auto"/>
                <w:szCs w:val="21"/>
                <w:highlight w:val="none"/>
              </w:rPr>
              <w:t>2.法定代表人身份证复印件（双面）或授权委托书及其附件；</w:t>
            </w:r>
          </w:p>
          <w:p>
            <w:pPr>
              <w:rPr>
                <w:rFonts w:ascii="宋体" w:hAnsi="宋体"/>
                <w:color w:val="auto"/>
                <w:szCs w:val="21"/>
                <w:highlight w:val="none"/>
              </w:rPr>
            </w:pPr>
            <w:r>
              <w:rPr>
                <w:rFonts w:ascii="宋体" w:hAnsi="宋体"/>
                <w:color w:val="auto"/>
                <w:szCs w:val="21"/>
                <w:highlight w:val="none"/>
              </w:rPr>
              <w:t>3.商务要求响应表；</w:t>
            </w:r>
          </w:p>
          <w:p>
            <w:pPr>
              <w:rPr>
                <w:rFonts w:ascii="宋体" w:hAnsi="宋体"/>
                <w:color w:val="auto"/>
                <w:szCs w:val="21"/>
                <w:highlight w:val="none"/>
              </w:rPr>
            </w:pPr>
            <w:r>
              <w:rPr>
                <w:rFonts w:ascii="宋体" w:hAnsi="宋体"/>
                <w:color w:val="auto"/>
                <w:szCs w:val="21"/>
                <w:highlight w:val="none"/>
              </w:rPr>
              <w:t>4.服务要求响应表；</w:t>
            </w:r>
          </w:p>
          <w:p>
            <w:pPr>
              <w:rPr>
                <w:rFonts w:ascii="宋体" w:hAnsi="宋体"/>
                <w:color w:val="auto"/>
                <w:szCs w:val="21"/>
                <w:highlight w:val="none"/>
              </w:rPr>
            </w:pPr>
            <w:r>
              <w:rPr>
                <w:rFonts w:ascii="宋体" w:hAnsi="宋体"/>
                <w:color w:val="auto"/>
                <w:szCs w:val="21"/>
                <w:highlight w:val="none"/>
              </w:rPr>
              <w:t>5.项目实施人员情况表；</w:t>
            </w:r>
          </w:p>
          <w:p>
            <w:pPr>
              <w:rPr>
                <w:rFonts w:ascii="宋体" w:hAnsi="宋体"/>
                <w:color w:val="auto"/>
                <w:szCs w:val="21"/>
                <w:highlight w:val="none"/>
              </w:rPr>
            </w:pPr>
            <w:r>
              <w:rPr>
                <w:rFonts w:ascii="宋体" w:hAnsi="宋体"/>
                <w:color w:val="auto"/>
                <w:szCs w:val="21"/>
                <w:highlight w:val="none"/>
              </w:rPr>
              <w:t>6.类似项目业绩一览表；</w:t>
            </w:r>
          </w:p>
          <w:p>
            <w:pPr>
              <w:rPr>
                <w:rFonts w:ascii="宋体" w:hAnsi="宋体"/>
                <w:color w:val="auto"/>
                <w:szCs w:val="21"/>
                <w:highlight w:val="none"/>
              </w:rPr>
            </w:pPr>
            <w:r>
              <w:rPr>
                <w:rFonts w:ascii="宋体" w:hAnsi="宋体"/>
                <w:color w:val="auto"/>
                <w:szCs w:val="21"/>
                <w:highlight w:val="none"/>
              </w:rPr>
              <w:t>7.CMA附表对项目覆盖情况表；</w:t>
            </w:r>
          </w:p>
          <w:p>
            <w:pPr>
              <w:rPr>
                <w:rFonts w:ascii="宋体" w:hAnsi="宋体"/>
                <w:color w:val="auto"/>
                <w:szCs w:val="21"/>
                <w:highlight w:val="none"/>
              </w:rPr>
            </w:pPr>
            <w:r>
              <w:rPr>
                <w:rFonts w:ascii="宋体" w:hAnsi="宋体"/>
                <w:color w:val="auto"/>
                <w:szCs w:val="21"/>
                <w:highlight w:val="none"/>
              </w:rPr>
              <w:t>8.服务方案等与项目评审及履行合同有关的其他资料。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10</w:t>
            </w:r>
          </w:p>
        </w:tc>
        <w:tc>
          <w:tcPr>
            <w:tcW w:w="892"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1817"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报价要求响应文件的组成</w:t>
            </w:r>
          </w:p>
        </w:tc>
        <w:tc>
          <w:tcPr>
            <w:tcW w:w="5486"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1.开标一览表；</w:t>
            </w:r>
          </w:p>
          <w:p>
            <w:pPr>
              <w:rPr>
                <w:rFonts w:ascii="宋体" w:hAnsi="宋体"/>
                <w:color w:val="auto"/>
                <w:szCs w:val="21"/>
                <w:highlight w:val="none"/>
              </w:rPr>
            </w:pPr>
            <w:r>
              <w:rPr>
                <w:rFonts w:ascii="宋体" w:hAnsi="宋体"/>
                <w:color w:val="auto"/>
                <w:szCs w:val="21"/>
                <w:highlight w:val="none"/>
              </w:rPr>
              <w:t>2.中小企业声明函（如不符合可不提供）；</w:t>
            </w:r>
          </w:p>
          <w:p>
            <w:pPr>
              <w:rPr>
                <w:rFonts w:ascii="宋体" w:hAnsi="宋体"/>
                <w:color w:val="auto"/>
                <w:szCs w:val="21"/>
                <w:highlight w:val="none"/>
              </w:rPr>
            </w:pPr>
            <w:r>
              <w:rPr>
                <w:rFonts w:ascii="宋体" w:hAnsi="宋体"/>
                <w:color w:val="auto"/>
                <w:szCs w:val="21"/>
                <w:highlight w:val="none"/>
              </w:rPr>
              <w:t>3.残疾人福利性单位声明函（如不符合可不提供）；</w:t>
            </w:r>
          </w:p>
          <w:p>
            <w:pPr>
              <w:rPr>
                <w:rFonts w:ascii="宋体" w:hAnsi="宋体"/>
                <w:color w:val="auto"/>
                <w:szCs w:val="21"/>
                <w:highlight w:val="none"/>
              </w:rPr>
            </w:pPr>
            <w:r>
              <w:rPr>
                <w:rFonts w:ascii="宋体" w:hAnsi="宋体"/>
                <w:color w:val="auto"/>
                <w:szCs w:val="21"/>
                <w:highlight w:val="none"/>
              </w:rPr>
              <w:t>4.监狱企业证明文件（如不符合可不提供）；</w:t>
            </w:r>
          </w:p>
          <w:p>
            <w:pPr>
              <w:rPr>
                <w:rFonts w:ascii="宋体" w:hAnsi="宋体"/>
                <w:color w:val="auto"/>
                <w:szCs w:val="21"/>
                <w:highlight w:val="none"/>
              </w:rPr>
            </w:pPr>
            <w:r>
              <w:rPr>
                <w:rFonts w:ascii="宋体" w:hAnsi="宋体"/>
                <w:color w:val="auto"/>
                <w:szCs w:val="21"/>
                <w:highlight w:val="none"/>
              </w:rPr>
              <w:t>5.分包意向协议（如分包）。</w:t>
            </w:r>
          </w:p>
          <w:p>
            <w:pPr>
              <w:rPr>
                <w:rFonts w:ascii="宋体" w:hAnsi="宋体"/>
                <w:b/>
                <w:color w:val="auto"/>
                <w:szCs w:val="21"/>
                <w:highlight w:val="none"/>
              </w:rPr>
            </w:pPr>
            <w:r>
              <w:rPr>
                <w:rFonts w:ascii="宋体" w:hAnsi="宋体"/>
                <w:b/>
                <w:color w:val="auto"/>
                <w:szCs w:val="21"/>
                <w:highlight w:val="none"/>
              </w:rPr>
              <w:t>注：</w:t>
            </w:r>
            <w:r>
              <w:rPr>
                <w:rFonts w:hint="eastAsia" w:ascii="宋体" w:hAnsi="宋体"/>
                <w:b/>
                <w:color w:val="auto"/>
                <w:szCs w:val="21"/>
                <w:highlight w:val="none"/>
              </w:rPr>
              <w:t>标项一</w:t>
            </w:r>
            <w:r>
              <w:rPr>
                <w:rFonts w:ascii="宋体" w:hAnsi="宋体"/>
                <w:b/>
                <w:color w:val="auto"/>
                <w:szCs w:val="21"/>
                <w:highlight w:val="none"/>
              </w:rPr>
              <w:t>投标人无需在报价要求响应文件中再次提供上述序号2至4的文件。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26.1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投标有效期</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ascii="宋体" w:hAnsi="宋体"/>
                <w:color w:val="auto"/>
                <w:szCs w:val="21"/>
                <w:highlight w:val="none"/>
              </w:rPr>
              <w:t>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29.1</w:t>
            </w:r>
          </w:p>
        </w:tc>
        <w:tc>
          <w:tcPr>
            <w:tcW w:w="1817" w:type="dxa"/>
            <w:tcBorders>
              <w:top w:val="single" w:color="auto" w:sz="4" w:space="0"/>
              <w:left w:val="single" w:color="auto" w:sz="4" w:space="0"/>
              <w:bottom w:val="single" w:color="auto" w:sz="4" w:space="0"/>
              <w:right w:val="single" w:color="auto" w:sz="4" w:space="0"/>
            </w:tcBorders>
            <w:vAlign w:val="center"/>
          </w:tcPr>
          <w:p>
            <w:pPr>
              <w:pStyle w:val="319"/>
              <w:widowControl w:val="0"/>
              <w:spacing w:before="0" w:beforeAutospacing="0" w:afterAutospacing="0"/>
              <w:jc w:val="both"/>
              <w:rPr>
                <w:b/>
                <w:color w:val="auto"/>
                <w:sz w:val="21"/>
                <w:szCs w:val="21"/>
                <w:highlight w:val="none"/>
              </w:rPr>
            </w:pPr>
            <w:r>
              <w:rPr>
                <w:color w:val="auto"/>
                <w:sz w:val="21"/>
                <w:szCs w:val="21"/>
                <w:highlight w:val="none"/>
              </w:rPr>
              <w:t>投标截止时间及地点</w:t>
            </w:r>
          </w:p>
        </w:tc>
        <w:tc>
          <w:tcPr>
            <w:tcW w:w="5486" w:type="dxa"/>
            <w:tcBorders>
              <w:top w:val="single" w:color="auto" w:sz="4" w:space="0"/>
              <w:left w:val="single" w:color="auto" w:sz="4" w:space="0"/>
              <w:bottom w:val="single" w:color="auto" w:sz="4" w:space="0"/>
              <w:right w:val="single" w:color="auto" w:sz="4" w:space="0"/>
            </w:tcBorders>
            <w:vAlign w:val="center"/>
          </w:tcPr>
          <w:p>
            <w:pPr>
              <w:pStyle w:val="319"/>
              <w:widowControl w:val="0"/>
              <w:spacing w:before="0" w:beforeAutospacing="0" w:afterAutospacing="0"/>
              <w:jc w:val="both"/>
              <w:rPr>
                <w:b/>
                <w:color w:val="auto"/>
                <w:sz w:val="21"/>
                <w:szCs w:val="21"/>
                <w:highlight w:val="none"/>
              </w:rPr>
            </w:pPr>
            <w:r>
              <w:rPr>
                <w:color w:val="auto"/>
                <w:sz w:val="21"/>
                <w:szCs w:val="21"/>
                <w:highlight w:val="none"/>
              </w:rPr>
              <w:t>见</w:t>
            </w:r>
            <w:r>
              <w:rPr>
                <w:bCs/>
                <w:color w:val="auto"/>
                <w:sz w:val="21"/>
                <w:szCs w:val="21"/>
                <w:highlight w:val="none"/>
                <w:u w:val="single"/>
              </w:rPr>
              <w:t>招标公告（投标邀请）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31.2</w:t>
            </w:r>
          </w:p>
        </w:tc>
        <w:tc>
          <w:tcPr>
            <w:tcW w:w="1817" w:type="dxa"/>
            <w:tcBorders>
              <w:top w:val="single" w:color="auto" w:sz="4" w:space="0"/>
              <w:left w:val="single" w:color="auto" w:sz="4" w:space="0"/>
              <w:bottom w:val="single" w:color="auto" w:sz="4" w:space="0"/>
              <w:right w:val="single" w:color="auto" w:sz="4" w:space="0"/>
            </w:tcBorders>
            <w:vAlign w:val="center"/>
          </w:tcPr>
          <w:p>
            <w:pPr>
              <w:pStyle w:val="319"/>
              <w:widowControl w:val="0"/>
              <w:spacing w:before="0" w:beforeAutospacing="0" w:afterAutospacing="0"/>
              <w:jc w:val="both"/>
              <w:rPr>
                <w:b/>
                <w:color w:val="auto"/>
                <w:sz w:val="21"/>
                <w:szCs w:val="21"/>
                <w:highlight w:val="none"/>
              </w:rPr>
            </w:pPr>
            <w:r>
              <w:rPr>
                <w:color w:val="auto"/>
                <w:sz w:val="21"/>
                <w:szCs w:val="21"/>
                <w:highlight w:val="none"/>
              </w:rPr>
              <w:t>投标文件解密时间</w:t>
            </w:r>
          </w:p>
        </w:tc>
        <w:tc>
          <w:tcPr>
            <w:tcW w:w="5486" w:type="dxa"/>
            <w:tcBorders>
              <w:top w:val="single" w:color="auto" w:sz="4" w:space="0"/>
              <w:left w:val="single" w:color="auto" w:sz="4" w:space="0"/>
              <w:bottom w:val="single" w:color="auto" w:sz="4" w:space="0"/>
              <w:right w:val="single" w:color="auto" w:sz="4" w:space="0"/>
            </w:tcBorders>
            <w:vAlign w:val="center"/>
          </w:tcPr>
          <w:p>
            <w:pPr>
              <w:pStyle w:val="319"/>
              <w:widowControl w:val="0"/>
              <w:spacing w:before="0" w:beforeAutospacing="0" w:afterAutospacing="0"/>
              <w:jc w:val="both"/>
              <w:rPr>
                <w:b/>
                <w:color w:val="auto"/>
                <w:sz w:val="21"/>
                <w:szCs w:val="21"/>
                <w:highlight w:val="none"/>
              </w:rPr>
            </w:pPr>
            <w:r>
              <w:rPr>
                <w:color w:val="auto"/>
                <w:sz w:val="21"/>
                <w:szCs w:val="21"/>
                <w:highlight w:val="none"/>
              </w:rPr>
              <w:t>开标后30分钟内（以电子交易系统解密倒计时为准）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35.2</w:t>
            </w:r>
          </w:p>
        </w:tc>
        <w:tc>
          <w:tcPr>
            <w:tcW w:w="1817" w:type="dxa"/>
            <w:tcBorders>
              <w:top w:val="single" w:color="auto" w:sz="4" w:space="0"/>
              <w:left w:val="single" w:color="auto" w:sz="4" w:space="0"/>
              <w:bottom w:val="single" w:color="auto" w:sz="4" w:space="0"/>
              <w:right w:val="single" w:color="auto" w:sz="4" w:space="0"/>
            </w:tcBorders>
            <w:vAlign w:val="center"/>
          </w:tcPr>
          <w:p>
            <w:pPr>
              <w:pStyle w:val="319"/>
              <w:widowControl w:val="0"/>
              <w:spacing w:before="0" w:beforeAutospacing="0" w:afterAutospacing="0"/>
              <w:jc w:val="both"/>
              <w:rPr>
                <w:b/>
                <w:color w:val="auto"/>
                <w:sz w:val="21"/>
                <w:szCs w:val="21"/>
                <w:highlight w:val="none"/>
              </w:rPr>
            </w:pPr>
            <w:r>
              <w:rPr>
                <w:color w:val="auto"/>
                <w:sz w:val="21"/>
                <w:szCs w:val="21"/>
                <w:highlight w:val="none"/>
              </w:rPr>
              <w:t>评标方法</w:t>
            </w:r>
          </w:p>
        </w:tc>
        <w:tc>
          <w:tcPr>
            <w:tcW w:w="5486" w:type="dxa"/>
            <w:tcBorders>
              <w:top w:val="single" w:color="auto" w:sz="4" w:space="0"/>
              <w:left w:val="single" w:color="auto" w:sz="4" w:space="0"/>
              <w:bottom w:val="single" w:color="auto" w:sz="4" w:space="0"/>
              <w:right w:val="single" w:color="auto" w:sz="4" w:space="0"/>
            </w:tcBorders>
            <w:vAlign w:val="center"/>
          </w:tcPr>
          <w:p>
            <w:pPr>
              <w:pStyle w:val="319"/>
              <w:widowControl w:val="0"/>
              <w:spacing w:before="0" w:beforeAutospacing="0" w:afterAutospacing="0"/>
              <w:jc w:val="both"/>
              <w:rPr>
                <w:b/>
                <w:color w:val="auto"/>
                <w:sz w:val="21"/>
                <w:szCs w:val="21"/>
                <w:highlight w:val="none"/>
              </w:rPr>
            </w:pPr>
            <w:r>
              <w:rPr>
                <w:color w:val="auto"/>
                <w:sz w:val="21"/>
                <w:szCs w:val="21"/>
                <w:highlight w:val="none"/>
              </w:rPr>
              <w:t>综合评分法</w:t>
            </w:r>
          </w:p>
        </w:tc>
      </w:tr>
    </w:tbl>
    <w:p>
      <w:pPr>
        <w:spacing w:line="360" w:lineRule="auto"/>
        <w:rPr>
          <w:rFonts w:ascii="宋体" w:hAnsi="宋体"/>
          <w:b/>
          <w:color w:val="auto"/>
          <w:szCs w:val="21"/>
          <w:highlight w:val="none"/>
        </w:rPr>
      </w:pPr>
    </w:p>
    <w:p>
      <w:pPr>
        <w:pStyle w:val="18"/>
        <w:rPr>
          <w:rFonts w:ascii="宋体" w:hAnsi="宋体"/>
          <w:color w:val="auto"/>
          <w:sz w:val="21"/>
          <w:szCs w:val="21"/>
          <w:highlight w:val="none"/>
        </w:rPr>
      </w:pPr>
    </w:p>
    <w:p>
      <w:pPr>
        <w:pStyle w:val="278"/>
        <w:spacing w:before="0" w:beforeLines="0" w:after="0" w:afterLines="0"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br w:type="page"/>
      </w:r>
      <w:bookmarkStart w:id="35" w:name="_Toc110177691"/>
      <w:r>
        <w:rPr>
          <w:rFonts w:ascii="宋体" w:hAnsi="宋体" w:eastAsia="宋体"/>
          <w:color w:val="auto"/>
          <w:sz w:val="21"/>
          <w:szCs w:val="21"/>
          <w:highlight w:val="none"/>
        </w:rPr>
        <w:t>一、总则</w:t>
      </w:r>
      <w:bookmarkEnd w:id="35"/>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1.适用范围</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本招标文件适用于本次公开招标所述的服务采购。</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2.定义</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2.1书面形式：包括信件、电报、电传、传真、网上公告等可以有形地表现所载内容的形式。以电子数据交换、电子邮件等方式能够有形地表现所载内容，并可以随时调取查用的数据电文，视为书面形式。</w:t>
      </w:r>
    </w:p>
    <w:p>
      <w:pPr>
        <w:spacing w:line="360" w:lineRule="auto"/>
        <w:ind w:firstLine="420" w:firstLineChars="200"/>
        <w:rPr>
          <w:rFonts w:ascii="宋体" w:hAnsi="宋体" w:cs="宋体"/>
          <w:color w:val="auto"/>
          <w:szCs w:val="21"/>
          <w:highlight w:val="none"/>
        </w:rPr>
      </w:pPr>
      <w:r>
        <w:rPr>
          <w:rFonts w:hint="eastAsia" w:ascii="宋体" w:hAnsi="宋体" w:cs="Arial"/>
          <w:color w:val="auto"/>
          <w:szCs w:val="21"/>
          <w:highlight w:val="none"/>
        </w:rPr>
        <w:t>2.2标注</w:t>
      </w:r>
      <w:r>
        <w:rPr>
          <w:rFonts w:ascii="宋体" w:hAnsi="宋体" w:cs="Arial"/>
          <w:color w:val="auto"/>
          <w:szCs w:val="21"/>
          <w:highlight w:val="none"/>
        </w:rPr>
        <w:t>“▲”</w:t>
      </w:r>
      <w:r>
        <w:rPr>
          <w:rFonts w:hint="eastAsia" w:ascii="宋体" w:hAnsi="宋体" w:cs="Arial"/>
          <w:color w:val="auto"/>
          <w:szCs w:val="21"/>
          <w:highlight w:val="none"/>
        </w:rPr>
        <w:t>的属于招标文件的</w:t>
      </w:r>
      <w:r>
        <w:rPr>
          <w:rFonts w:ascii="宋体" w:hAnsi="宋体" w:cs="Arial"/>
          <w:color w:val="auto"/>
          <w:szCs w:val="21"/>
          <w:highlight w:val="none"/>
        </w:rPr>
        <w:t>实质性要求条款</w:t>
      </w:r>
      <w:r>
        <w:rPr>
          <w:rFonts w:hint="eastAsia" w:ascii="宋体" w:hAnsi="宋体" w:cs="宋体"/>
          <w:color w:val="auto"/>
          <w:szCs w:val="21"/>
          <w:highlight w:val="none"/>
        </w:rPr>
        <w:t>，“</w:t>
      </w:r>
      <w:r>
        <w:rPr>
          <w:rFonts w:ascii="宋体" w:hAnsi="宋体" w:cs="宋体"/>
          <w:color w:val="auto"/>
          <w:kern w:val="0"/>
          <w:szCs w:val="21"/>
          <w:highlight w:val="none"/>
        </w:rPr>
        <w:t></w:t>
      </w:r>
      <w:r>
        <w:rPr>
          <w:rFonts w:hint="eastAsia" w:ascii="宋体" w:hAnsi="宋体" w:cs="宋体"/>
          <w:color w:val="auto"/>
          <w:szCs w:val="21"/>
          <w:highlight w:val="none"/>
        </w:rPr>
        <w:t>”系指适用本项目的要求，“</w:t>
      </w:r>
      <w:r>
        <w:rPr>
          <w:rFonts w:ascii="Segoe UI Symbol" w:hAnsi="Segoe UI Symbol" w:cs="Segoe UI Symbol"/>
          <w:color w:val="auto"/>
          <w:kern w:val="0"/>
          <w:szCs w:val="21"/>
          <w:highlight w:val="none"/>
        </w:rPr>
        <w:t>☐</w:t>
      </w:r>
      <w:r>
        <w:rPr>
          <w:rFonts w:hint="eastAsia" w:ascii="宋体" w:hAnsi="宋体" w:cs="宋体"/>
          <w:color w:val="auto"/>
          <w:szCs w:val="21"/>
          <w:highlight w:val="none"/>
        </w:rPr>
        <w:t>”系指不适用本项目的要求。</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2.3公章：投标人在投标文件及通知等事项的书面文件中的单位盖章、公章等处，均仅指与投标当事人名称全称相一致的标准公章（行政章），不得使用其它形式，如带有“专用章”“业务章”等字样的印章。</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2.4“电子交易平台”是指本项目政府采购活动所依托的政府采购云平台（https://www.zcygov.cn/）。</w:t>
      </w:r>
    </w:p>
    <w:p>
      <w:pPr>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2.5电子签章：为投标人单位法定名称电子公章。</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2.6依法获取招标文件：供应商按照</w:t>
      </w:r>
      <w:r>
        <w:rPr>
          <w:rFonts w:ascii="宋体" w:hAnsi="宋体"/>
          <w:bCs/>
          <w:color w:val="auto"/>
          <w:szCs w:val="21"/>
          <w:highlight w:val="none"/>
          <w:u w:val="single"/>
        </w:rPr>
        <w:t>招标公告（投标邀请）</w:t>
      </w:r>
      <w:r>
        <w:rPr>
          <w:rFonts w:ascii="宋体" w:hAnsi="宋体"/>
          <w:bCs/>
          <w:color w:val="auto"/>
          <w:szCs w:val="21"/>
          <w:highlight w:val="none"/>
        </w:rPr>
        <w:t>第三条的约定实施</w:t>
      </w:r>
      <w:r>
        <w:rPr>
          <w:rFonts w:ascii="宋体" w:hAnsi="宋体"/>
          <w:color w:val="auto"/>
          <w:szCs w:val="21"/>
          <w:highlight w:val="none"/>
        </w:rPr>
        <w:t>。</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3.采购人、采购代理机构及投标人</w:t>
      </w:r>
    </w:p>
    <w:p>
      <w:pPr>
        <w:spacing w:line="360" w:lineRule="auto"/>
        <w:ind w:firstLine="435"/>
        <w:rPr>
          <w:rFonts w:ascii="宋体" w:hAnsi="宋体"/>
          <w:color w:val="auto"/>
          <w:szCs w:val="21"/>
          <w:highlight w:val="none"/>
        </w:rPr>
      </w:pPr>
      <w:r>
        <w:rPr>
          <w:rFonts w:ascii="宋体" w:hAnsi="宋体"/>
          <w:color w:val="auto"/>
          <w:szCs w:val="21"/>
          <w:highlight w:val="none"/>
        </w:rPr>
        <w:t>3.1采购人：是指依法开展政府采购活动的国家机关、事业单位、团体组织。本项目的采购人见</w:t>
      </w:r>
      <w:r>
        <w:rPr>
          <w:rFonts w:ascii="宋体" w:hAnsi="宋体"/>
          <w:color w:val="auto"/>
          <w:szCs w:val="21"/>
          <w:highlight w:val="none"/>
          <w:u w:val="single"/>
        </w:rPr>
        <w:t>投标人须知前附表</w:t>
      </w:r>
      <w:r>
        <w:rPr>
          <w:rFonts w:ascii="宋体" w:hAnsi="宋体"/>
          <w:color w:val="auto"/>
          <w:szCs w:val="21"/>
          <w:highlight w:val="none"/>
        </w:rPr>
        <w:t>。</w:t>
      </w:r>
    </w:p>
    <w:p>
      <w:pPr>
        <w:spacing w:line="360" w:lineRule="auto"/>
        <w:ind w:firstLine="435"/>
        <w:rPr>
          <w:rFonts w:ascii="宋体" w:hAnsi="宋体"/>
          <w:color w:val="auto"/>
          <w:szCs w:val="21"/>
          <w:highlight w:val="none"/>
        </w:rPr>
      </w:pPr>
      <w:r>
        <w:rPr>
          <w:rFonts w:ascii="宋体" w:hAnsi="宋体"/>
          <w:color w:val="auto"/>
          <w:szCs w:val="21"/>
          <w:highlight w:val="none"/>
        </w:rPr>
        <w:t>3.2采购代理机构：是指从事采购代理业务的社会中介机构。本项目的采购代理机构见</w:t>
      </w:r>
      <w:r>
        <w:rPr>
          <w:rFonts w:ascii="宋体" w:hAnsi="宋体"/>
          <w:color w:val="auto"/>
          <w:szCs w:val="21"/>
          <w:highlight w:val="none"/>
          <w:u w:val="single"/>
        </w:rPr>
        <w:t>投标人须知前附表</w:t>
      </w:r>
      <w:r>
        <w:rPr>
          <w:rFonts w:ascii="宋体" w:hAnsi="宋体"/>
          <w:color w:val="auto"/>
          <w:szCs w:val="21"/>
          <w:highlight w:val="none"/>
        </w:rPr>
        <w:t>。</w:t>
      </w:r>
    </w:p>
    <w:p>
      <w:pPr>
        <w:spacing w:line="360" w:lineRule="auto"/>
        <w:ind w:firstLine="435"/>
        <w:rPr>
          <w:rFonts w:ascii="宋体" w:hAnsi="宋体"/>
          <w:color w:val="auto"/>
          <w:szCs w:val="21"/>
          <w:highlight w:val="none"/>
        </w:rPr>
      </w:pPr>
      <w:r>
        <w:rPr>
          <w:rFonts w:ascii="宋体" w:hAnsi="宋体"/>
          <w:color w:val="auto"/>
          <w:szCs w:val="21"/>
          <w:highlight w:val="none"/>
        </w:rPr>
        <w:t>3.3政府采购监督管理部门：各级人民政府指定的有关部门依法履行与政府采购活动有关的监督管理职责。本项目的政府采购监督管理部门见</w:t>
      </w:r>
      <w:r>
        <w:rPr>
          <w:rFonts w:ascii="宋体" w:hAnsi="宋体"/>
          <w:color w:val="auto"/>
          <w:szCs w:val="21"/>
          <w:highlight w:val="none"/>
          <w:u w:val="single"/>
        </w:rPr>
        <w:t>投标人须知前附表</w:t>
      </w:r>
      <w:r>
        <w:rPr>
          <w:rFonts w:ascii="宋体" w:hAnsi="宋体"/>
          <w:color w:val="auto"/>
          <w:szCs w:val="21"/>
          <w:highlight w:val="none"/>
        </w:rPr>
        <w:t>。</w:t>
      </w:r>
    </w:p>
    <w:p>
      <w:pPr>
        <w:spacing w:line="360" w:lineRule="auto"/>
        <w:ind w:firstLine="435"/>
        <w:rPr>
          <w:rFonts w:ascii="宋体" w:hAnsi="宋体"/>
          <w:b/>
          <w:color w:val="auto"/>
          <w:szCs w:val="21"/>
          <w:highlight w:val="none"/>
        </w:rPr>
      </w:pPr>
      <w:r>
        <w:rPr>
          <w:rFonts w:ascii="宋体" w:hAnsi="宋体"/>
          <w:color w:val="auto"/>
          <w:szCs w:val="21"/>
          <w:highlight w:val="none"/>
        </w:rPr>
        <w:t>3.4投标人（供应商）：是指向采购人提供服务、货物或者工程的法人、其他组织或者自然人。本项目的投标人须满足</w:t>
      </w:r>
      <w:r>
        <w:rPr>
          <w:rFonts w:ascii="宋体" w:hAnsi="宋体"/>
          <w:color w:val="auto"/>
          <w:szCs w:val="21"/>
          <w:highlight w:val="none"/>
          <w:u w:val="single"/>
        </w:rPr>
        <w:t>招标公告（投标邀请）</w:t>
      </w:r>
      <w:r>
        <w:rPr>
          <w:rFonts w:ascii="宋体" w:hAnsi="宋体"/>
          <w:color w:val="auto"/>
          <w:szCs w:val="21"/>
          <w:highlight w:val="none"/>
        </w:rPr>
        <w:t>中关于申请人的资格要求的规定。</w:t>
      </w:r>
      <w:r>
        <w:rPr>
          <w:rFonts w:ascii="宋体" w:hAnsi="宋体"/>
          <w:b/>
          <w:color w:val="auto"/>
          <w:szCs w:val="21"/>
          <w:highlight w:val="none"/>
        </w:rPr>
        <w:t>本项目不接受分支机构投标。</w:t>
      </w:r>
    </w:p>
    <w:p>
      <w:pPr>
        <w:spacing w:line="360" w:lineRule="auto"/>
        <w:ind w:firstLine="435"/>
        <w:rPr>
          <w:rFonts w:ascii="宋体" w:hAnsi="宋体"/>
          <w:color w:val="auto"/>
          <w:szCs w:val="21"/>
          <w:highlight w:val="none"/>
        </w:rPr>
      </w:pPr>
      <w:bookmarkStart w:id="36" w:name="_Hlk60580614"/>
      <w:r>
        <w:rPr>
          <w:rFonts w:ascii="宋体" w:hAnsi="宋体"/>
          <w:color w:val="auto"/>
          <w:szCs w:val="21"/>
          <w:highlight w:val="none"/>
        </w:rPr>
        <w:t>本项目</w:t>
      </w:r>
      <w:r>
        <w:rPr>
          <w:rFonts w:hint="eastAsia" w:ascii="宋体" w:hAnsi="宋体"/>
          <w:color w:val="auto"/>
          <w:szCs w:val="21"/>
          <w:highlight w:val="none"/>
        </w:rPr>
        <w:t>标项一</w:t>
      </w:r>
      <w:r>
        <w:rPr>
          <w:rFonts w:ascii="宋体" w:hAnsi="宋体"/>
          <w:color w:val="auto"/>
          <w:szCs w:val="21"/>
          <w:highlight w:val="none"/>
        </w:rPr>
        <w:t>专门面向中小企业采购，如投标人非中小企业的，将被认定为投标无效。</w:t>
      </w:r>
    </w:p>
    <w:bookmarkEnd w:id="36"/>
    <w:p>
      <w:pPr>
        <w:spacing w:line="360" w:lineRule="auto"/>
        <w:ind w:firstLine="435"/>
        <w:rPr>
          <w:rFonts w:ascii="宋体" w:hAnsi="宋体"/>
          <w:bCs/>
          <w:color w:val="auto"/>
          <w:kern w:val="0"/>
          <w:szCs w:val="21"/>
          <w:highlight w:val="none"/>
        </w:rPr>
      </w:pPr>
      <w:bookmarkStart w:id="37" w:name="_Hlk60580861"/>
      <w:r>
        <w:rPr>
          <w:rFonts w:ascii="宋体" w:hAnsi="宋体"/>
          <w:bCs/>
          <w:color w:val="auto"/>
          <w:kern w:val="0"/>
          <w:szCs w:val="21"/>
          <w:highlight w:val="none"/>
        </w:rPr>
        <w:t>3.5本项目接受联合体投标</w:t>
      </w:r>
      <w:r>
        <w:rPr>
          <w:rFonts w:hint="eastAsia" w:ascii="宋体" w:hAnsi="宋体"/>
          <w:bCs/>
          <w:color w:val="auto"/>
          <w:kern w:val="0"/>
          <w:szCs w:val="21"/>
          <w:highlight w:val="none"/>
        </w:rPr>
        <w:t>，但必须满足以下要求：</w:t>
      </w:r>
    </w:p>
    <w:p>
      <w:pPr>
        <w:spacing w:line="360" w:lineRule="auto"/>
        <w:ind w:firstLine="435"/>
        <w:rPr>
          <w:rFonts w:ascii="宋体" w:hAnsi="宋体"/>
          <w:color w:val="auto"/>
          <w:szCs w:val="21"/>
          <w:highlight w:val="none"/>
        </w:rPr>
      </w:pPr>
      <w:r>
        <w:rPr>
          <w:rFonts w:hint="eastAsia" w:ascii="宋体" w:hAnsi="宋体"/>
          <w:color w:val="auto"/>
          <w:szCs w:val="21"/>
          <w:highlight w:val="none"/>
        </w:rPr>
        <w:t>（1）标项二、标项三、标项四只接受大中型企业与小微企业或小微企业与小微企业组成联合体投标，且组成联合体的成员最多为2个；标项一只接受中型企业与小微企业或小微企业与小微企业组成联合体投标，且组成联合体的成员最多为2个。</w:t>
      </w:r>
    </w:p>
    <w:p>
      <w:pPr>
        <w:spacing w:line="360" w:lineRule="auto"/>
        <w:ind w:firstLine="435"/>
        <w:rPr>
          <w:rFonts w:ascii="宋体" w:hAnsi="宋体"/>
          <w:color w:val="auto"/>
          <w:szCs w:val="21"/>
          <w:highlight w:val="none"/>
        </w:rPr>
      </w:pPr>
      <w:r>
        <w:rPr>
          <w:rFonts w:ascii="宋体" w:hAnsi="宋体"/>
          <w:color w:val="auto"/>
          <w:szCs w:val="21"/>
          <w:highlight w:val="none"/>
        </w:rPr>
        <w:t>（2）联合体各方均应符合</w:t>
      </w:r>
      <w:r>
        <w:rPr>
          <w:rFonts w:ascii="宋体" w:hAnsi="宋体"/>
          <w:color w:val="auto"/>
          <w:szCs w:val="21"/>
          <w:highlight w:val="none"/>
          <w:shd w:val="clear" w:color="auto" w:fill="FFFFFF"/>
        </w:rPr>
        <w:t>招标文件规定的资格要求。</w:t>
      </w:r>
    </w:p>
    <w:p>
      <w:pPr>
        <w:spacing w:line="360" w:lineRule="auto"/>
        <w:ind w:firstLine="435"/>
        <w:rPr>
          <w:rFonts w:ascii="宋体" w:hAnsi="宋体"/>
          <w:color w:val="auto"/>
          <w:szCs w:val="21"/>
          <w:highlight w:val="none"/>
        </w:rPr>
      </w:pPr>
      <w:r>
        <w:rPr>
          <w:rFonts w:ascii="宋体" w:hAnsi="宋体"/>
          <w:color w:val="auto"/>
          <w:szCs w:val="21"/>
          <w:highlight w:val="none"/>
        </w:rPr>
        <w:t>（3）联合体各方应签订联合协议，明确约定联合体各方承担的工作和相应的责任，并将联合协议作为投标文件的组成提交。</w:t>
      </w:r>
    </w:p>
    <w:p>
      <w:pPr>
        <w:spacing w:line="360" w:lineRule="auto"/>
        <w:ind w:firstLine="435"/>
        <w:rPr>
          <w:rFonts w:ascii="宋体" w:hAnsi="宋体"/>
          <w:color w:val="auto"/>
          <w:szCs w:val="21"/>
          <w:highlight w:val="none"/>
        </w:rPr>
      </w:pPr>
      <w:r>
        <w:rPr>
          <w:rFonts w:ascii="宋体" w:hAnsi="宋体"/>
          <w:color w:val="auto"/>
          <w:szCs w:val="21"/>
          <w:highlight w:val="none"/>
        </w:rPr>
        <w:t>（4）联合体中有同类资质的供应商按照联合体分工承担相同工作的，按照资质等级较低的供应商确定资质等级。</w:t>
      </w:r>
    </w:p>
    <w:p>
      <w:pPr>
        <w:spacing w:line="360" w:lineRule="auto"/>
        <w:ind w:firstLine="435"/>
        <w:rPr>
          <w:rFonts w:ascii="宋体" w:hAnsi="宋体"/>
          <w:color w:val="auto"/>
          <w:szCs w:val="21"/>
          <w:highlight w:val="none"/>
        </w:rPr>
      </w:pPr>
      <w:r>
        <w:rPr>
          <w:rFonts w:ascii="宋体" w:hAnsi="宋体"/>
          <w:color w:val="auto"/>
          <w:szCs w:val="21"/>
          <w:highlight w:val="none"/>
        </w:rPr>
        <w:t>（5）以联合体形式参加政府采购活动的，联合体各方不得再单独参加或者与其他供应商另外组成联合体参加本项目投标，否则相关投标均将被认定为</w:t>
      </w:r>
      <w:r>
        <w:rPr>
          <w:rFonts w:ascii="宋体" w:hAnsi="宋体"/>
          <w:b/>
          <w:color w:val="auto"/>
          <w:szCs w:val="21"/>
          <w:highlight w:val="none"/>
        </w:rPr>
        <w:t>投标无效</w:t>
      </w:r>
      <w:r>
        <w:rPr>
          <w:rFonts w:ascii="宋体" w:hAnsi="宋体"/>
          <w:color w:val="auto"/>
          <w:szCs w:val="21"/>
          <w:highlight w:val="none"/>
        </w:rPr>
        <w:t>。</w:t>
      </w:r>
    </w:p>
    <w:p>
      <w:pPr>
        <w:spacing w:line="360" w:lineRule="auto"/>
        <w:ind w:firstLine="435"/>
        <w:rPr>
          <w:rFonts w:ascii="宋体" w:hAnsi="宋体"/>
          <w:bCs/>
          <w:color w:val="auto"/>
          <w:kern w:val="0"/>
          <w:szCs w:val="21"/>
          <w:highlight w:val="none"/>
        </w:rPr>
      </w:pPr>
      <w:r>
        <w:rPr>
          <w:rFonts w:ascii="宋体" w:hAnsi="宋体"/>
          <w:color w:val="auto"/>
          <w:szCs w:val="21"/>
          <w:highlight w:val="none"/>
        </w:rPr>
        <w:t>（6）对联合体投标的其他资格要求见</w:t>
      </w:r>
      <w:r>
        <w:rPr>
          <w:rFonts w:ascii="宋体" w:hAnsi="宋体"/>
          <w:bCs/>
          <w:color w:val="auto"/>
          <w:kern w:val="0"/>
          <w:szCs w:val="21"/>
          <w:highlight w:val="none"/>
          <w:u w:val="single"/>
        </w:rPr>
        <w:t>招标公告（投标邀请）</w:t>
      </w:r>
      <w:r>
        <w:rPr>
          <w:rFonts w:ascii="宋体" w:hAnsi="宋体"/>
          <w:color w:val="auto"/>
          <w:szCs w:val="21"/>
          <w:highlight w:val="none"/>
        </w:rPr>
        <w:t>。</w:t>
      </w:r>
    </w:p>
    <w:bookmarkEnd w:id="37"/>
    <w:p>
      <w:pPr>
        <w:spacing w:line="360" w:lineRule="auto"/>
        <w:ind w:firstLine="435"/>
        <w:rPr>
          <w:rFonts w:ascii="宋体" w:hAnsi="宋体"/>
          <w:color w:val="auto"/>
          <w:szCs w:val="21"/>
          <w:highlight w:val="none"/>
        </w:rPr>
      </w:pPr>
      <w:r>
        <w:rPr>
          <w:rFonts w:ascii="宋体" w:hAnsi="宋体"/>
          <w:color w:val="auto"/>
          <w:szCs w:val="21"/>
          <w:highlight w:val="none"/>
        </w:rPr>
        <w:t>3.6单位负责人为同一人或者存在直接控股、管理关系的不同供应商，不得参加同一合同项下的政府采购活动。否则其投标将被认定为</w:t>
      </w:r>
      <w:r>
        <w:rPr>
          <w:rFonts w:ascii="宋体" w:hAnsi="宋体"/>
          <w:b/>
          <w:bCs/>
          <w:color w:val="auto"/>
          <w:szCs w:val="21"/>
          <w:highlight w:val="none"/>
        </w:rPr>
        <w:t>投标无效</w:t>
      </w:r>
      <w:r>
        <w:rPr>
          <w:rFonts w:ascii="宋体" w:hAnsi="宋体"/>
          <w:color w:val="auto"/>
          <w:szCs w:val="21"/>
          <w:highlight w:val="none"/>
        </w:rPr>
        <w:t>。</w:t>
      </w:r>
    </w:p>
    <w:p>
      <w:pPr>
        <w:spacing w:line="360" w:lineRule="auto"/>
        <w:ind w:firstLine="435"/>
        <w:rPr>
          <w:rFonts w:ascii="宋体" w:hAnsi="宋体"/>
          <w:color w:val="auto"/>
          <w:szCs w:val="21"/>
          <w:highlight w:val="none"/>
        </w:rPr>
      </w:pPr>
      <w:r>
        <w:rPr>
          <w:rFonts w:ascii="宋体" w:hAnsi="宋体"/>
          <w:color w:val="auto"/>
          <w:szCs w:val="21"/>
          <w:highlight w:val="none"/>
        </w:rPr>
        <w:t>3.7为本项目提供过整体设计、规范编制或者项目管理、监理、检测等服务的供应商，不得再参加本项目的采购活动。</w:t>
      </w:r>
      <w:bookmarkStart w:id="38" w:name="_Hlk13431092"/>
      <w:r>
        <w:rPr>
          <w:rFonts w:ascii="宋体" w:hAnsi="宋体"/>
          <w:color w:val="auto"/>
          <w:szCs w:val="21"/>
          <w:highlight w:val="none"/>
        </w:rPr>
        <w:t>否则其投标将被认定为</w:t>
      </w:r>
      <w:r>
        <w:rPr>
          <w:rFonts w:ascii="宋体" w:hAnsi="宋体"/>
          <w:b/>
          <w:color w:val="auto"/>
          <w:szCs w:val="21"/>
          <w:highlight w:val="none"/>
        </w:rPr>
        <w:t>投标无效</w:t>
      </w:r>
      <w:r>
        <w:rPr>
          <w:rFonts w:ascii="宋体" w:hAnsi="宋体"/>
          <w:color w:val="auto"/>
          <w:szCs w:val="21"/>
          <w:highlight w:val="none"/>
        </w:rPr>
        <w:t>。</w:t>
      </w:r>
      <w:bookmarkEnd w:id="38"/>
    </w:p>
    <w:p>
      <w:pPr>
        <w:spacing w:line="360" w:lineRule="auto"/>
        <w:ind w:firstLine="435"/>
        <w:rPr>
          <w:rFonts w:ascii="宋体" w:hAnsi="宋体"/>
          <w:b/>
          <w:color w:val="auto"/>
          <w:szCs w:val="21"/>
          <w:highlight w:val="none"/>
        </w:rPr>
      </w:pPr>
      <w:r>
        <w:rPr>
          <w:rFonts w:ascii="宋体" w:hAnsi="宋体"/>
          <w:b/>
          <w:color w:val="auto"/>
          <w:szCs w:val="21"/>
          <w:highlight w:val="none"/>
        </w:rPr>
        <w:t>4.资金来源</w:t>
      </w:r>
    </w:p>
    <w:p>
      <w:pPr>
        <w:spacing w:line="360" w:lineRule="auto"/>
        <w:ind w:firstLine="435"/>
        <w:rPr>
          <w:rFonts w:ascii="宋体" w:hAnsi="宋体"/>
          <w:color w:val="auto"/>
          <w:szCs w:val="21"/>
          <w:highlight w:val="none"/>
        </w:rPr>
      </w:pPr>
      <w:r>
        <w:rPr>
          <w:rFonts w:ascii="宋体" w:hAnsi="宋体"/>
          <w:color w:val="auto"/>
          <w:szCs w:val="21"/>
          <w:highlight w:val="none"/>
        </w:rPr>
        <w:t>4.1本项目的采购人已获得足以支付本次招标后所签订的合同项下的资金。</w:t>
      </w:r>
    </w:p>
    <w:p>
      <w:pPr>
        <w:spacing w:line="360" w:lineRule="auto"/>
        <w:ind w:firstLine="435"/>
        <w:rPr>
          <w:rFonts w:ascii="宋体" w:hAnsi="宋体"/>
          <w:color w:val="auto"/>
          <w:szCs w:val="21"/>
          <w:highlight w:val="none"/>
        </w:rPr>
      </w:pPr>
      <w:bookmarkStart w:id="39" w:name="_Hlk11702998"/>
      <w:r>
        <w:rPr>
          <w:rFonts w:ascii="宋体" w:hAnsi="宋体"/>
          <w:color w:val="auto"/>
          <w:szCs w:val="21"/>
          <w:highlight w:val="none"/>
        </w:rPr>
        <w:t>4.2项目预算金额和各标项最高限价见</w:t>
      </w:r>
      <w:r>
        <w:rPr>
          <w:rFonts w:ascii="宋体" w:hAnsi="宋体"/>
          <w:bCs/>
          <w:color w:val="auto"/>
          <w:kern w:val="0"/>
          <w:szCs w:val="21"/>
          <w:highlight w:val="none"/>
          <w:u w:val="single"/>
        </w:rPr>
        <w:t>招标公告（投标邀请）</w:t>
      </w:r>
      <w:r>
        <w:rPr>
          <w:rFonts w:ascii="宋体" w:hAnsi="宋体"/>
          <w:color w:val="auto"/>
          <w:szCs w:val="21"/>
          <w:highlight w:val="none"/>
        </w:rPr>
        <w:t>。</w:t>
      </w:r>
    </w:p>
    <w:bookmarkEnd w:id="39"/>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5.投标委托</w:t>
      </w:r>
    </w:p>
    <w:p>
      <w:pPr>
        <w:pStyle w:val="285"/>
        <w:rPr>
          <w:rFonts w:ascii="宋体" w:hAnsi="宋体"/>
          <w:color w:val="auto"/>
          <w:sz w:val="21"/>
          <w:szCs w:val="21"/>
          <w:highlight w:val="none"/>
        </w:rPr>
      </w:pPr>
      <w:r>
        <w:rPr>
          <w:rFonts w:hint="eastAsia" w:ascii="宋体" w:hAnsi="宋体"/>
          <w:color w:val="auto"/>
          <w:sz w:val="21"/>
          <w:szCs w:val="21"/>
          <w:highlight w:val="none"/>
        </w:rPr>
        <w:t>投标文件的签署人应当为投标人的法定代表人，并在投标文件中提供法定代表人身份证正反面复印件。如投标人委托他人签署投标文件办理投标事务的，投标文件中提供投标人</w:t>
      </w:r>
      <w:r>
        <w:rPr>
          <w:rFonts w:ascii="宋体" w:hAnsi="宋体"/>
          <w:color w:val="auto"/>
          <w:sz w:val="21"/>
          <w:szCs w:val="21"/>
          <w:highlight w:val="none"/>
        </w:rPr>
        <w:t>出具的授权委托书</w:t>
      </w:r>
      <w:r>
        <w:rPr>
          <w:rFonts w:hint="eastAsia" w:ascii="宋体" w:hAnsi="宋体"/>
          <w:color w:val="auto"/>
          <w:sz w:val="21"/>
          <w:szCs w:val="21"/>
          <w:highlight w:val="none"/>
        </w:rPr>
        <w:t>及</w:t>
      </w:r>
      <w:r>
        <w:rPr>
          <w:rFonts w:ascii="宋体" w:hAnsi="宋体"/>
          <w:color w:val="auto"/>
          <w:sz w:val="21"/>
          <w:szCs w:val="21"/>
          <w:highlight w:val="none"/>
        </w:rPr>
        <w:t>法定代表人</w:t>
      </w:r>
      <w:r>
        <w:rPr>
          <w:rFonts w:hint="eastAsia" w:ascii="宋体" w:hAnsi="宋体"/>
          <w:color w:val="auto"/>
          <w:sz w:val="21"/>
          <w:szCs w:val="21"/>
          <w:highlight w:val="none"/>
        </w:rPr>
        <w:t>和授权代表的身份证正反面复印件</w:t>
      </w:r>
      <w:r>
        <w:rPr>
          <w:rFonts w:ascii="宋体" w:hAnsi="宋体"/>
          <w:color w:val="auto"/>
          <w:sz w:val="21"/>
          <w:szCs w:val="21"/>
          <w:highlight w:val="none"/>
        </w:rPr>
        <w:t>。</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6.投标费用</w:t>
      </w:r>
    </w:p>
    <w:p>
      <w:pPr>
        <w:pStyle w:val="285"/>
        <w:rPr>
          <w:rFonts w:ascii="宋体" w:hAnsi="宋体"/>
          <w:color w:val="auto"/>
          <w:sz w:val="21"/>
          <w:szCs w:val="21"/>
          <w:highlight w:val="none"/>
        </w:rPr>
      </w:pPr>
      <w:r>
        <w:rPr>
          <w:rFonts w:ascii="宋体" w:hAnsi="宋体"/>
          <w:color w:val="auto"/>
          <w:sz w:val="21"/>
          <w:szCs w:val="21"/>
          <w:highlight w:val="none"/>
        </w:rPr>
        <w:t>不论投标的结果如何，投标人自行承担所有与准备和参加投标有关的费用。</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7.适用法律</w:t>
      </w:r>
    </w:p>
    <w:p>
      <w:pPr>
        <w:pStyle w:val="285"/>
        <w:rPr>
          <w:rFonts w:ascii="宋体" w:hAnsi="宋体"/>
          <w:color w:val="auto"/>
          <w:sz w:val="21"/>
          <w:szCs w:val="21"/>
          <w:highlight w:val="none"/>
        </w:rPr>
      </w:pPr>
      <w:r>
        <w:rPr>
          <w:rFonts w:ascii="宋体" w:hAnsi="宋体"/>
          <w:color w:val="auto"/>
          <w:sz w:val="21"/>
          <w:szCs w:val="21"/>
          <w:highlight w:val="none"/>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8.知识产权</w:t>
      </w:r>
    </w:p>
    <w:p>
      <w:pPr>
        <w:pStyle w:val="24"/>
        <w:rPr>
          <w:color w:val="auto"/>
          <w:highlight w:val="none"/>
        </w:rPr>
      </w:pPr>
      <w:r>
        <w:rPr>
          <w:color w:val="auto"/>
          <w:highlight w:val="none"/>
        </w:rPr>
        <w:t>投标人应保证在本项目使用的任何产品（包括部分使用），不会产生因第三方提出侵犯其著作权、专利权、商标权等知识产权而引起法律或经济纠纷。如果任何第三方提出侵权指控，由投标人与该第三方交涉并承担由此发生的一切责任、费用和赔偿。</w:t>
      </w:r>
    </w:p>
    <w:p>
      <w:pPr>
        <w:pStyle w:val="24"/>
        <w:rPr>
          <w:color w:val="auto"/>
          <w:highlight w:val="none"/>
        </w:rPr>
      </w:pPr>
      <w:r>
        <w:rPr>
          <w:color w:val="auto"/>
          <w:highlight w:val="none"/>
        </w:rPr>
        <w:t>投标人采用自身所不拥有的知识产权，无论是否在投标报价中单独列明，采购人均视为报价已包含投标人合法获取该知识产权的相关费用。</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9.转包与分包</w:t>
      </w:r>
    </w:p>
    <w:p>
      <w:pPr>
        <w:pStyle w:val="24"/>
        <w:rPr>
          <w:color w:val="auto"/>
          <w:highlight w:val="none"/>
        </w:rPr>
      </w:pPr>
      <w:r>
        <w:rPr>
          <w:color w:val="auto"/>
          <w:highlight w:val="none"/>
        </w:rPr>
        <w:t>9.1本项目不允许转包。</w:t>
      </w:r>
    </w:p>
    <w:p>
      <w:pPr>
        <w:pStyle w:val="24"/>
        <w:rPr>
          <w:color w:val="auto"/>
          <w:highlight w:val="none"/>
        </w:rPr>
      </w:pPr>
      <w:r>
        <w:rPr>
          <w:rFonts w:hint="eastAsia"/>
          <w:color w:val="auto"/>
          <w:highlight w:val="none"/>
        </w:rPr>
        <w:t>9.2本项目标项二、三、四允许大中型企业向一家或者多家小微企业分包，标项一允许中型企业向一家或者多家小微企业分包，但项目中的主体、关键性工作的必须由中标人完成。</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政府采购合同分包履行的，中标人就采购项目和分包项目向采购人负责，分包供应商就分包项目承担责任。</w:t>
      </w:r>
    </w:p>
    <w:p>
      <w:pPr>
        <w:tabs>
          <w:tab w:val="left" w:pos="426"/>
        </w:tabs>
        <w:snapToGrid w:val="0"/>
        <w:spacing w:line="360" w:lineRule="auto"/>
        <w:ind w:firstLine="422" w:firstLineChars="200"/>
        <w:rPr>
          <w:rFonts w:ascii="宋体" w:hAnsi="宋体"/>
          <w:b/>
          <w:color w:val="auto"/>
          <w:kern w:val="0"/>
          <w:szCs w:val="21"/>
          <w:highlight w:val="none"/>
        </w:rPr>
      </w:pPr>
      <w:r>
        <w:rPr>
          <w:rFonts w:ascii="宋体" w:hAnsi="宋体"/>
          <w:b/>
          <w:color w:val="auto"/>
          <w:kern w:val="0"/>
          <w:szCs w:val="21"/>
          <w:highlight w:val="none"/>
        </w:rPr>
        <w:t>10.质疑和投诉</w:t>
      </w:r>
    </w:p>
    <w:p>
      <w:pPr>
        <w:pStyle w:val="24"/>
        <w:rPr>
          <w:color w:val="auto"/>
          <w:highlight w:val="none"/>
        </w:rPr>
      </w:pPr>
      <w:r>
        <w:rPr>
          <w:color w:val="auto"/>
          <w:highlight w:val="none"/>
        </w:rPr>
        <w:t>10.1供应商认为招标文件、招标过程和中标结果使自己的权益受到损害的，可以根据《中华人民共和国政府采购法》《中华人民共和国政府采购法实施条例》和《政府采购质疑和投诉办法》的有关规定，依法向采购人或采购代理机构提出质疑。</w:t>
      </w:r>
    </w:p>
    <w:p>
      <w:pPr>
        <w:pStyle w:val="24"/>
        <w:rPr>
          <w:color w:val="auto"/>
          <w:highlight w:val="none"/>
        </w:rPr>
      </w:pPr>
      <w:r>
        <w:rPr>
          <w:color w:val="auto"/>
          <w:highlight w:val="none"/>
        </w:rPr>
        <w:t>10.2供应商应按《政府采购质疑和投诉办法》的要求，在法定质疑期内以书面形式提出质疑，超出法定质疑期提交的质疑将被拒绝。针对同一采购程序环节的质疑应一次性提出。</w:t>
      </w:r>
    </w:p>
    <w:p>
      <w:pPr>
        <w:pStyle w:val="24"/>
        <w:rPr>
          <w:color w:val="auto"/>
          <w:highlight w:val="none"/>
        </w:rPr>
      </w:pPr>
      <w:r>
        <w:rPr>
          <w:rFonts w:hint="eastAsia"/>
          <w:color w:val="auto"/>
          <w:highlight w:val="none"/>
        </w:rPr>
        <w:t>10.3采购代理机构的质疑函接收部门、</w:t>
      </w:r>
      <w:r>
        <w:rPr>
          <w:rFonts w:hint="eastAsia" w:cs="Times New Roman"/>
          <w:color w:val="auto"/>
          <w:highlight w:val="none"/>
        </w:rPr>
        <w:t>联系电话和通讯地址</w:t>
      </w:r>
      <w:r>
        <w:rPr>
          <w:rFonts w:hint="eastAsia" w:cs="Times New Roman"/>
          <w:color w:val="auto"/>
          <w:highlight w:val="none"/>
          <w:u w:val="single"/>
        </w:rPr>
        <w:t>详见投标人须知前附表</w:t>
      </w:r>
      <w:r>
        <w:rPr>
          <w:rFonts w:hint="eastAsia"/>
          <w:color w:val="auto"/>
          <w:highlight w:val="none"/>
        </w:rPr>
        <w:t>。</w:t>
      </w:r>
    </w:p>
    <w:p>
      <w:pPr>
        <w:pStyle w:val="24"/>
        <w:rPr>
          <w:color w:val="auto"/>
          <w:highlight w:val="none"/>
        </w:rPr>
      </w:pPr>
      <w:r>
        <w:rPr>
          <w:rFonts w:hint="eastAsia"/>
          <w:color w:val="auto"/>
          <w:highlight w:val="none"/>
        </w:rPr>
        <w:t>10.4质疑供应商对采购人、采购代理机构的答复不满意，或者采购人、采购代理机构未在规定时间内作出答复，可以在答复期满后15个工作日内向财政部门提起投诉，</w:t>
      </w:r>
      <w:r>
        <w:rPr>
          <w:rFonts w:hint="eastAsia" w:cs="Times New Roman"/>
          <w:color w:val="auto"/>
          <w:highlight w:val="none"/>
        </w:rPr>
        <w:t>财政部门信息详见</w:t>
      </w:r>
      <w:r>
        <w:rPr>
          <w:rFonts w:hint="eastAsia" w:cs="Times New Roman"/>
          <w:color w:val="auto"/>
          <w:highlight w:val="none"/>
          <w:u w:val="single"/>
        </w:rPr>
        <w:t>招标公告</w:t>
      </w:r>
      <w:r>
        <w:rPr>
          <w:rFonts w:hint="eastAsia"/>
          <w:color w:val="auto"/>
          <w:highlight w:val="none"/>
        </w:rPr>
        <w:t>。</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11.投标人信用记录查询及使用</w:t>
      </w:r>
    </w:p>
    <w:p>
      <w:pPr>
        <w:pStyle w:val="20"/>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11.1信用信息查询渠道：“信用中国”网站（www.creditchina.gov.cn）、中国政府采购网（www.ccgp.gov.cn）。</w:t>
      </w:r>
    </w:p>
    <w:p>
      <w:pPr>
        <w:pStyle w:val="20"/>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11.2信用信息查询截止时点：投标截止时间后至评审结束前。</w:t>
      </w:r>
    </w:p>
    <w:p>
      <w:pPr>
        <w:pStyle w:val="20"/>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11.3信用信息查询记录和证据留存的具体方式：由采购代理机构工作人员将查询网页打印并与其他采购文件一并存档备查。</w:t>
      </w:r>
    </w:p>
    <w:p>
      <w:pPr>
        <w:pStyle w:val="20"/>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投标人不良信用记录以采购代理机构查询结果为准。</w:t>
      </w:r>
      <w:bookmarkStart w:id="40" w:name="_Hlk24663338"/>
      <w:r>
        <w:rPr>
          <w:rFonts w:ascii="宋体" w:hAnsi="宋体"/>
          <w:color w:val="auto"/>
          <w:sz w:val="21"/>
          <w:szCs w:val="21"/>
          <w:highlight w:val="none"/>
        </w:rPr>
        <w:t>在招标文件规定的查询时间之外，网站信息发生的任何变更均不作为资格审查依据。</w:t>
      </w:r>
      <w:bookmarkEnd w:id="40"/>
      <w:r>
        <w:rPr>
          <w:rFonts w:ascii="宋体" w:hAnsi="宋体"/>
          <w:color w:val="auto"/>
          <w:sz w:val="21"/>
          <w:szCs w:val="21"/>
          <w:highlight w:val="none"/>
        </w:rPr>
        <w:t>投标人自行提供的网站查询结果材料亦不作为资格审查依据。</w:t>
      </w:r>
    </w:p>
    <w:p>
      <w:pPr>
        <w:pStyle w:val="20"/>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11.4信用信息的使用规则：投标人存在招标文件明确的不良信用记录的，其投标将被认定为</w:t>
      </w:r>
      <w:r>
        <w:rPr>
          <w:rFonts w:ascii="宋体" w:hAnsi="宋体"/>
          <w:b/>
          <w:color w:val="auto"/>
          <w:sz w:val="21"/>
          <w:szCs w:val="21"/>
          <w:highlight w:val="none"/>
        </w:rPr>
        <w:t>投标无效</w:t>
      </w:r>
      <w:r>
        <w:rPr>
          <w:rFonts w:ascii="宋体" w:hAnsi="宋体"/>
          <w:color w:val="auto"/>
          <w:sz w:val="21"/>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以联合体形式参加投标的，联合体任何成员存在不良信用记录的，联合体投标将被认定为</w:t>
      </w:r>
      <w:r>
        <w:rPr>
          <w:rFonts w:ascii="宋体" w:hAnsi="宋体"/>
          <w:b/>
          <w:color w:val="auto"/>
          <w:szCs w:val="21"/>
          <w:highlight w:val="none"/>
        </w:rPr>
        <w:t>投标无效</w:t>
      </w:r>
      <w:r>
        <w:rPr>
          <w:rFonts w:ascii="宋体" w:hAnsi="宋体"/>
          <w:color w:val="auto"/>
          <w:szCs w:val="21"/>
          <w:highlight w:val="none"/>
        </w:rPr>
        <w:t>。</w:t>
      </w:r>
    </w:p>
    <w:p>
      <w:pPr>
        <w:spacing w:line="360" w:lineRule="auto"/>
        <w:ind w:firstLine="422" w:firstLineChars="200"/>
        <w:jc w:val="left"/>
        <w:rPr>
          <w:rFonts w:ascii="宋体" w:hAnsi="宋体"/>
          <w:color w:val="auto"/>
          <w:szCs w:val="21"/>
          <w:highlight w:val="none"/>
        </w:rPr>
      </w:pPr>
      <w:r>
        <w:rPr>
          <w:rFonts w:ascii="宋体" w:hAnsi="宋体"/>
          <w:b/>
          <w:color w:val="auto"/>
          <w:szCs w:val="21"/>
          <w:highlight w:val="none"/>
        </w:rPr>
        <w:t>12.政府采购信息发布媒体</w:t>
      </w:r>
    </w:p>
    <w:p>
      <w:pPr>
        <w:pStyle w:val="20"/>
        <w:snapToGrid w:val="0"/>
        <w:spacing w:after="0"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本项目政府采购信息发布在</w:t>
      </w:r>
      <w:r>
        <w:rPr>
          <w:rFonts w:ascii="宋体" w:hAnsi="宋体"/>
          <w:bCs/>
          <w:color w:val="auto"/>
          <w:sz w:val="21"/>
          <w:szCs w:val="21"/>
          <w:highlight w:val="none"/>
        </w:rPr>
        <w:t>宁波政府采购网（http：//www.nbzfcg.cn/）、浙江政府采购网（https：//zfcg.czt.zj.gov.cn/）。</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13.采购代理服务费用的收取标准和方式</w:t>
      </w:r>
    </w:p>
    <w:p>
      <w:pPr>
        <w:pStyle w:val="20"/>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13.1采购代理服务费用的收取标准：见</w:t>
      </w:r>
      <w:r>
        <w:rPr>
          <w:rFonts w:ascii="宋体" w:hAnsi="宋体"/>
          <w:color w:val="auto"/>
          <w:sz w:val="21"/>
          <w:szCs w:val="21"/>
          <w:highlight w:val="none"/>
          <w:u w:val="single"/>
        </w:rPr>
        <w:t>投标人须知前附表</w:t>
      </w:r>
      <w:r>
        <w:rPr>
          <w:rFonts w:ascii="宋体" w:hAnsi="宋体"/>
          <w:color w:val="auto"/>
          <w:sz w:val="21"/>
          <w:szCs w:val="21"/>
          <w:highlight w:val="none"/>
        </w:rPr>
        <w:t>。</w:t>
      </w:r>
    </w:p>
    <w:p>
      <w:pPr>
        <w:pStyle w:val="20"/>
        <w:snapToGrid w:val="0"/>
        <w:spacing w:after="0" w:line="360" w:lineRule="auto"/>
        <w:ind w:left="0" w:leftChars="0" w:firstLine="420" w:firstLineChars="200"/>
        <w:jc w:val="left"/>
        <w:rPr>
          <w:rFonts w:ascii="宋体" w:hAnsi="宋体"/>
          <w:color w:val="auto"/>
          <w:sz w:val="21"/>
          <w:szCs w:val="21"/>
          <w:highlight w:val="none"/>
        </w:rPr>
      </w:pPr>
      <w:r>
        <w:rPr>
          <w:rFonts w:ascii="宋体" w:hAnsi="宋体"/>
          <w:color w:val="auto"/>
          <w:sz w:val="21"/>
          <w:szCs w:val="21"/>
          <w:highlight w:val="none"/>
        </w:rPr>
        <w:t>13.2采购代理服务费的支付：见</w:t>
      </w:r>
      <w:r>
        <w:rPr>
          <w:rFonts w:ascii="宋体" w:hAnsi="宋体"/>
          <w:color w:val="auto"/>
          <w:sz w:val="21"/>
          <w:szCs w:val="21"/>
          <w:highlight w:val="none"/>
          <w:u w:val="single"/>
        </w:rPr>
        <w:t>投标人须知前附表</w:t>
      </w:r>
      <w:r>
        <w:rPr>
          <w:rFonts w:ascii="宋体" w:hAnsi="宋体"/>
          <w:color w:val="auto"/>
          <w:sz w:val="21"/>
          <w:szCs w:val="21"/>
          <w:highlight w:val="none"/>
        </w:rPr>
        <w:t>。</w:t>
      </w:r>
    </w:p>
    <w:p>
      <w:pPr>
        <w:pStyle w:val="20"/>
        <w:snapToGrid w:val="0"/>
        <w:spacing w:after="0" w:line="360" w:lineRule="auto"/>
        <w:ind w:left="0" w:leftChars="0" w:firstLine="420" w:firstLineChars="200"/>
        <w:jc w:val="left"/>
        <w:rPr>
          <w:rFonts w:ascii="宋体" w:hAnsi="宋体"/>
          <w:bCs/>
          <w:color w:val="auto"/>
          <w:sz w:val="21"/>
          <w:szCs w:val="21"/>
          <w:highlight w:val="none"/>
        </w:rPr>
      </w:pPr>
      <w:r>
        <w:rPr>
          <w:rFonts w:ascii="宋体" w:hAnsi="宋体"/>
          <w:color w:val="auto"/>
          <w:sz w:val="21"/>
          <w:szCs w:val="21"/>
          <w:highlight w:val="none"/>
        </w:rPr>
        <w:t>13.3如招标文件约定代理服务费由中标人支付的，中标后，中标人应当将采购代理服务费交至代理机构银行账户，并将开票信息、开票要求、发票收件地址信息发送至3302172248@qq.com，代理机构</w:t>
      </w:r>
      <w:r>
        <w:rPr>
          <w:rFonts w:ascii="宋体" w:hAnsi="宋体"/>
          <w:bCs/>
          <w:color w:val="auto"/>
          <w:sz w:val="21"/>
          <w:szCs w:val="21"/>
          <w:highlight w:val="none"/>
        </w:rPr>
        <w:t>收款账户信息：</w:t>
      </w:r>
    </w:p>
    <w:p>
      <w:pPr>
        <w:snapToGrid w:val="0"/>
        <w:spacing w:line="360" w:lineRule="auto"/>
        <w:ind w:firstLine="472" w:firstLineChars="225"/>
        <w:rPr>
          <w:rFonts w:ascii="宋体" w:hAnsi="宋体"/>
          <w:bCs/>
          <w:color w:val="auto"/>
          <w:szCs w:val="21"/>
          <w:highlight w:val="none"/>
        </w:rPr>
      </w:pPr>
      <w:r>
        <w:rPr>
          <w:rFonts w:ascii="宋体" w:hAnsi="宋体"/>
          <w:bCs/>
          <w:color w:val="auto"/>
          <w:szCs w:val="21"/>
          <w:highlight w:val="none"/>
        </w:rPr>
        <w:t>开户银行：宁波银行海曙支行</w:t>
      </w:r>
    </w:p>
    <w:p>
      <w:pPr>
        <w:snapToGrid w:val="0"/>
        <w:spacing w:line="360" w:lineRule="auto"/>
        <w:ind w:firstLine="472" w:firstLineChars="225"/>
        <w:rPr>
          <w:rFonts w:ascii="宋体" w:hAnsi="宋体"/>
          <w:bCs/>
          <w:color w:val="auto"/>
          <w:szCs w:val="21"/>
          <w:highlight w:val="none"/>
        </w:rPr>
      </w:pPr>
      <w:r>
        <w:rPr>
          <w:rFonts w:ascii="宋体" w:hAnsi="宋体"/>
          <w:bCs/>
          <w:color w:val="auto"/>
          <w:szCs w:val="21"/>
          <w:highlight w:val="none"/>
        </w:rPr>
        <w:t>户名：宁波名诚招标代理有限公司</w:t>
      </w:r>
    </w:p>
    <w:p>
      <w:pPr>
        <w:snapToGrid w:val="0"/>
        <w:spacing w:line="360" w:lineRule="auto"/>
        <w:ind w:firstLine="472" w:firstLineChars="225"/>
        <w:rPr>
          <w:rFonts w:ascii="宋体" w:hAnsi="宋体"/>
          <w:bCs/>
          <w:color w:val="auto"/>
          <w:szCs w:val="21"/>
          <w:highlight w:val="none"/>
        </w:rPr>
      </w:pPr>
      <w:r>
        <w:rPr>
          <w:rFonts w:ascii="宋体" w:hAnsi="宋体"/>
          <w:bCs/>
          <w:color w:val="auto"/>
          <w:szCs w:val="21"/>
          <w:highlight w:val="none"/>
        </w:rPr>
        <w:t>账号：20010122000443166</w:t>
      </w:r>
    </w:p>
    <w:p>
      <w:pPr>
        <w:pStyle w:val="24"/>
        <w:rPr>
          <w:color w:val="auto"/>
          <w:highlight w:val="none"/>
        </w:rPr>
      </w:pPr>
      <w:r>
        <w:rPr>
          <w:color w:val="auto"/>
          <w:highlight w:val="none"/>
        </w:rPr>
        <w:t>14.其他</w:t>
      </w:r>
    </w:p>
    <w:p>
      <w:pPr>
        <w:pStyle w:val="24"/>
        <w:rPr>
          <w:color w:val="auto"/>
          <w:highlight w:val="none"/>
        </w:rPr>
      </w:pPr>
      <w:r>
        <w:rPr>
          <w:color w:val="auto"/>
          <w:highlight w:val="none"/>
        </w:rPr>
        <w:t>14.1招标文件的标题和序号只是为了查阅方便，不影响对招标文件的理解。</w:t>
      </w:r>
    </w:p>
    <w:p>
      <w:pPr>
        <w:pStyle w:val="24"/>
        <w:rPr>
          <w:color w:val="auto"/>
          <w:highlight w:val="none"/>
        </w:rPr>
      </w:pPr>
      <w:r>
        <w:rPr>
          <w:color w:val="auto"/>
          <w:highlight w:val="none"/>
        </w:rPr>
        <w:t>14.2投标人提交的投标文件针对招标文件同一条款出现不同表述（响应）的，在合同签订或履行中发现存在上述情形的，按照有利于采购人的标准执行。</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14.3招标文件要求携带原件备查的资料，如该资料可以通过互联网或者相关信息系统查询的，投标人能够当场提供账号、网址等进行查询、核实资料真伪及有关数据的，视同提供了原件。</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14.4投标人应当及时维护政采云注册信息，包含但不仅限于单位银行账户信息等。</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4.5根据《浙江省市场监督管理局关于改进食品安全抽检监测工作提升质量效益的实施意见（试行）》（浙市监食检【2020】20号）规定，</w:t>
      </w:r>
      <w:r>
        <w:rPr>
          <w:rFonts w:hint="eastAsia" w:ascii="宋体" w:hAnsi="宋体"/>
          <w:color w:val="auto"/>
          <w:szCs w:val="21"/>
          <w:highlight w:val="none"/>
        </w:rPr>
        <w:t>本项</w:t>
      </w:r>
      <w:r>
        <w:rPr>
          <w:rFonts w:ascii="宋体" w:hAnsi="宋体"/>
          <w:color w:val="auto"/>
          <w:szCs w:val="21"/>
          <w:highlight w:val="none"/>
        </w:rPr>
        <w:t>目中</w:t>
      </w:r>
      <w:r>
        <w:rPr>
          <w:rFonts w:hint="eastAsia" w:ascii="宋体" w:hAnsi="宋体"/>
          <w:color w:val="auto"/>
          <w:szCs w:val="21"/>
          <w:highlight w:val="none"/>
        </w:rPr>
        <w:t>标项一至标项四</w:t>
      </w:r>
      <w:r>
        <w:rPr>
          <w:rFonts w:ascii="宋体" w:hAnsi="宋体"/>
          <w:color w:val="auto"/>
          <w:szCs w:val="21"/>
          <w:highlight w:val="none"/>
        </w:rPr>
        <w:t>实行抽检分离服务方案，</w:t>
      </w:r>
      <w:r>
        <w:rPr>
          <w:rFonts w:hint="eastAsia" w:ascii="宋体" w:hAnsi="宋体"/>
          <w:color w:val="auto"/>
          <w:szCs w:val="21"/>
          <w:highlight w:val="none"/>
        </w:rPr>
        <w:t>即中标机构不得同时承担该标项抽样任务标项（批次）的检测任务</w:t>
      </w:r>
      <w:r>
        <w:rPr>
          <w:rFonts w:ascii="宋体" w:hAnsi="宋体"/>
          <w:color w:val="auto"/>
          <w:szCs w:val="21"/>
          <w:highlight w:val="none"/>
        </w:rPr>
        <w:t>。</w:t>
      </w:r>
    </w:p>
    <w:p>
      <w:pPr>
        <w:pStyle w:val="278"/>
        <w:spacing w:before="0" w:beforeLines="0" w:after="0" w:afterLines="0" w:line="360" w:lineRule="auto"/>
        <w:jc w:val="center"/>
        <w:rPr>
          <w:rFonts w:ascii="宋体" w:hAnsi="宋体" w:eastAsia="宋体"/>
          <w:color w:val="auto"/>
          <w:sz w:val="21"/>
          <w:szCs w:val="21"/>
          <w:highlight w:val="none"/>
        </w:rPr>
      </w:pPr>
      <w:bookmarkStart w:id="41" w:name="_Toc110177692"/>
      <w:r>
        <w:rPr>
          <w:rFonts w:ascii="宋体" w:hAnsi="宋体" w:eastAsia="宋体"/>
          <w:color w:val="auto"/>
          <w:sz w:val="21"/>
          <w:szCs w:val="21"/>
          <w:highlight w:val="none"/>
        </w:rPr>
        <w:t>二、招标文件</w:t>
      </w:r>
      <w:bookmarkEnd w:id="41"/>
    </w:p>
    <w:p>
      <w:pPr>
        <w:pStyle w:val="24"/>
        <w:rPr>
          <w:color w:val="auto"/>
          <w:highlight w:val="none"/>
        </w:rPr>
      </w:pPr>
      <w:r>
        <w:rPr>
          <w:color w:val="auto"/>
          <w:highlight w:val="none"/>
        </w:rPr>
        <w:t>15.招标文件的构成</w:t>
      </w:r>
    </w:p>
    <w:p>
      <w:pPr>
        <w:pStyle w:val="24"/>
        <w:rPr>
          <w:color w:val="auto"/>
          <w:highlight w:val="none"/>
        </w:rPr>
      </w:pPr>
      <w:r>
        <w:rPr>
          <w:color w:val="auto"/>
          <w:highlight w:val="none"/>
        </w:rPr>
        <w:t>招标文件共七章</w:t>
      </w:r>
      <w:r>
        <w:rPr>
          <w:rFonts w:hint="eastAsia"/>
          <w:color w:val="auto"/>
          <w:highlight w:val="none"/>
        </w:rPr>
        <w:t>，</w:t>
      </w:r>
      <w:r>
        <w:rPr>
          <w:color w:val="auto"/>
          <w:highlight w:val="none"/>
        </w:rPr>
        <w:t>由下列文件以及在招标过程中发出的澄清或修改文件组成，内容如下：</w:t>
      </w:r>
    </w:p>
    <w:p>
      <w:pPr>
        <w:pStyle w:val="24"/>
        <w:rPr>
          <w:color w:val="auto"/>
          <w:highlight w:val="none"/>
        </w:rPr>
      </w:pPr>
      <w:r>
        <w:rPr>
          <w:color w:val="auto"/>
          <w:highlight w:val="none"/>
        </w:rPr>
        <w:t>第一章  投标邀请</w:t>
      </w:r>
    </w:p>
    <w:p>
      <w:pPr>
        <w:pStyle w:val="24"/>
        <w:rPr>
          <w:color w:val="auto"/>
          <w:highlight w:val="none"/>
        </w:rPr>
      </w:pPr>
      <w:r>
        <w:rPr>
          <w:color w:val="auto"/>
          <w:highlight w:val="none"/>
        </w:rPr>
        <w:t>第二章  采购需求</w:t>
      </w:r>
    </w:p>
    <w:p>
      <w:pPr>
        <w:pStyle w:val="24"/>
        <w:rPr>
          <w:color w:val="auto"/>
          <w:highlight w:val="none"/>
        </w:rPr>
      </w:pPr>
      <w:r>
        <w:rPr>
          <w:color w:val="auto"/>
          <w:highlight w:val="none"/>
        </w:rPr>
        <w:t>第三章  投标人须知</w:t>
      </w:r>
    </w:p>
    <w:p>
      <w:pPr>
        <w:pStyle w:val="24"/>
        <w:rPr>
          <w:color w:val="auto"/>
          <w:highlight w:val="none"/>
        </w:rPr>
      </w:pPr>
      <w:r>
        <w:rPr>
          <w:color w:val="auto"/>
          <w:highlight w:val="none"/>
        </w:rPr>
        <w:t>第四章  评标方法和标准</w:t>
      </w:r>
    </w:p>
    <w:p>
      <w:pPr>
        <w:pStyle w:val="24"/>
        <w:rPr>
          <w:color w:val="auto"/>
          <w:highlight w:val="none"/>
        </w:rPr>
      </w:pPr>
      <w:r>
        <w:rPr>
          <w:color w:val="auto"/>
          <w:highlight w:val="none"/>
        </w:rPr>
        <w:t>第五章  合同文本</w:t>
      </w:r>
    </w:p>
    <w:p>
      <w:pPr>
        <w:pStyle w:val="24"/>
        <w:rPr>
          <w:color w:val="auto"/>
          <w:highlight w:val="none"/>
        </w:rPr>
      </w:pPr>
      <w:r>
        <w:rPr>
          <w:color w:val="auto"/>
          <w:highlight w:val="none"/>
        </w:rPr>
        <w:t>第六章  投标文件格式</w:t>
      </w:r>
    </w:p>
    <w:p>
      <w:pPr>
        <w:pStyle w:val="24"/>
        <w:rPr>
          <w:color w:val="auto"/>
          <w:highlight w:val="none"/>
        </w:rPr>
      </w:pPr>
      <w:r>
        <w:rPr>
          <w:color w:val="auto"/>
          <w:highlight w:val="none"/>
        </w:rPr>
        <w:t>第七章  政府采购供应商质疑函及投诉书范本</w:t>
      </w:r>
    </w:p>
    <w:p>
      <w:pPr>
        <w:pStyle w:val="12"/>
        <w:numPr>
          <w:ilvl w:val="0"/>
          <w:numId w:val="0"/>
        </w:numPr>
        <w:snapToGrid w:val="0"/>
        <w:spacing w:after="120" w:line="360" w:lineRule="auto"/>
        <w:ind w:firstLine="422" w:firstLineChars="200"/>
        <w:rPr>
          <w:rFonts w:ascii="宋体" w:hAnsi="宋体"/>
          <w:b/>
          <w:color w:val="auto"/>
          <w:sz w:val="21"/>
          <w:szCs w:val="21"/>
          <w:highlight w:val="none"/>
        </w:rPr>
      </w:pPr>
      <w:r>
        <w:rPr>
          <w:rFonts w:ascii="宋体" w:hAnsi="宋体"/>
          <w:b/>
          <w:color w:val="auto"/>
          <w:sz w:val="21"/>
          <w:szCs w:val="21"/>
          <w:highlight w:val="none"/>
        </w:rPr>
        <w:t>16.招标文件的询问、澄清和修改</w:t>
      </w:r>
    </w:p>
    <w:p>
      <w:pPr>
        <w:pStyle w:val="24"/>
        <w:rPr>
          <w:color w:val="auto"/>
          <w:highlight w:val="none"/>
        </w:rPr>
      </w:pPr>
      <w:r>
        <w:rPr>
          <w:color w:val="auto"/>
          <w:highlight w:val="none"/>
        </w:rPr>
        <w:t>16.1询问</w:t>
      </w:r>
    </w:p>
    <w:p>
      <w:pPr>
        <w:pStyle w:val="24"/>
        <w:rPr>
          <w:color w:val="auto"/>
          <w:highlight w:val="none"/>
        </w:rPr>
      </w:pPr>
      <w:r>
        <w:rPr>
          <w:bCs/>
          <w:color w:val="auto"/>
          <w:highlight w:val="none"/>
        </w:rPr>
        <w:t>投标人对招标文件有疑问，可以向</w:t>
      </w:r>
      <w:r>
        <w:rPr>
          <w:color w:val="auto"/>
          <w:highlight w:val="none"/>
        </w:rPr>
        <w:t>采购人或采购代理机构</w:t>
      </w:r>
      <w:r>
        <w:rPr>
          <w:bCs/>
          <w:color w:val="auto"/>
          <w:highlight w:val="none"/>
        </w:rPr>
        <w:t>询问，</w:t>
      </w:r>
      <w:r>
        <w:rPr>
          <w:color w:val="auto"/>
          <w:highlight w:val="none"/>
        </w:rPr>
        <w:t>采购人或采购代理机构将依法</w:t>
      </w:r>
      <w:r>
        <w:rPr>
          <w:bCs/>
          <w:color w:val="auto"/>
          <w:highlight w:val="none"/>
        </w:rPr>
        <w:t>对潜在投标人</w:t>
      </w:r>
      <w:r>
        <w:rPr>
          <w:color w:val="auto"/>
          <w:highlight w:val="none"/>
        </w:rPr>
        <w:t>的询问作出答复。</w:t>
      </w:r>
    </w:p>
    <w:p>
      <w:pPr>
        <w:pStyle w:val="24"/>
        <w:rPr>
          <w:color w:val="auto"/>
          <w:highlight w:val="none"/>
        </w:rPr>
      </w:pPr>
      <w:r>
        <w:rPr>
          <w:color w:val="auto"/>
          <w:highlight w:val="none"/>
        </w:rPr>
        <w:t>16.2澄清和修改</w:t>
      </w:r>
    </w:p>
    <w:p>
      <w:pPr>
        <w:pStyle w:val="24"/>
        <w:rPr>
          <w:color w:val="auto"/>
          <w:highlight w:val="none"/>
        </w:rPr>
      </w:pPr>
      <w:r>
        <w:rPr>
          <w:color w:val="auto"/>
          <w:highlight w:val="none"/>
        </w:rPr>
        <w:t>（1）采购人或采购代理机构可以主动地或在解答投标人提出的问题时对已发出的招标文件进行必要的澄清或者修改。</w:t>
      </w:r>
    </w:p>
    <w:p>
      <w:pPr>
        <w:pStyle w:val="24"/>
        <w:rPr>
          <w:color w:val="auto"/>
          <w:highlight w:val="none"/>
        </w:rPr>
      </w:pPr>
      <w:r>
        <w:rPr>
          <w:color w:val="auto"/>
          <w:highlight w:val="none"/>
        </w:rPr>
        <w:t>（2）更正信息将以书面形式在宁波政府采购网（http://www.nbzfcg.cn/）、浙江政府采购网（https://zfcg.czt.zj.gov.cn/）公开发布。政采云平台将发送短信通知所有获取采购文件的供应商，供应商自行登陆上述网站并浏览更正内容，并按照更正后的采购文件编制投标文件。</w:t>
      </w:r>
    </w:p>
    <w:p>
      <w:pPr>
        <w:pStyle w:val="24"/>
        <w:rPr>
          <w:color w:val="auto"/>
          <w:highlight w:val="none"/>
        </w:rPr>
      </w:pPr>
      <w:r>
        <w:rPr>
          <w:color w:val="auto"/>
          <w:highlight w:val="none"/>
        </w:rPr>
        <w:t>（3）供应商在收到书面通知后，认为澄清或者修改的内容影响投标文件编制的，应当在收到书面通知后及时将有关意见以书面形式向采购人、采购代理机构提出，否则，采购人、采购代理机构视为供应商完全接受澄清或者修改的内容，且不影响投标文件编制。</w:t>
      </w:r>
    </w:p>
    <w:p>
      <w:pPr>
        <w:pStyle w:val="24"/>
        <w:rPr>
          <w:color w:val="auto"/>
          <w:highlight w:val="none"/>
        </w:rPr>
      </w:pPr>
      <w:r>
        <w:rPr>
          <w:color w:val="auto"/>
          <w:highlight w:val="none"/>
        </w:rPr>
        <w:t>供应商要求澄清和回复的书面材料应当加盖单位公章并注明日期。</w:t>
      </w:r>
    </w:p>
    <w:p>
      <w:pPr>
        <w:pStyle w:val="24"/>
        <w:rPr>
          <w:color w:val="auto"/>
          <w:highlight w:val="none"/>
        </w:rPr>
      </w:pPr>
      <w:r>
        <w:rPr>
          <w:color w:val="auto"/>
          <w:highlight w:val="none"/>
        </w:rPr>
        <w:t>（4）供应商必须保证获取采购文件时所登记的项目联系人信息资料的真实和准确，并确保联系方式的畅通，否则，因此导致未及时收到通知事项造成的后果由供应商自行承担。</w:t>
      </w:r>
    </w:p>
    <w:p>
      <w:pPr>
        <w:pStyle w:val="24"/>
        <w:rPr>
          <w:color w:val="auto"/>
          <w:highlight w:val="none"/>
        </w:rPr>
      </w:pPr>
      <w:r>
        <w:rPr>
          <w:color w:val="auto"/>
          <w:highlight w:val="none"/>
        </w:rPr>
        <w:t>17.现场考察及召开开标前答疑会</w:t>
      </w:r>
    </w:p>
    <w:p>
      <w:pPr>
        <w:pStyle w:val="24"/>
        <w:rPr>
          <w:color w:val="auto"/>
          <w:highlight w:val="none"/>
        </w:rPr>
      </w:pPr>
      <w:r>
        <w:rPr>
          <w:color w:val="auto"/>
          <w:highlight w:val="none"/>
        </w:rPr>
        <w:t>17.1现场考察事项见</w:t>
      </w:r>
      <w:r>
        <w:rPr>
          <w:color w:val="auto"/>
          <w:highlight w:val="none"/>
          <w:u w:val="single"/>
        </w:rPr>
        <w:t>投标人须知前附表</w:t>
      </w:r>
      <w:r>
        <w:rPr>
          <w:color w:val="auto"/>
          <w:highlight w:val="none"/>
        </w:rPr>
        <w:t>。</w:t>
      </w:r>
    </w:p>
    <w:p>
      <w:pPr>
        <w:pStyle w:val="24"/>
        <w:rPr>
          <w:color w:val="auto"/>
          <w:highlight w:val="none"/>
        </w:rPr>
      </w:pPr>
      <w:r>
        <w:rPr>
          <w:color w:val="auto"/>
          <w:highlight w:val="none"/>
        </w:rPr>
        <w:t>17.2潜在投标人应当在通知的时间准时参加现场考察，否则自行承担未及时参加造成的后果。除采购人的原因外，投标人自行负责现场考察造成的自身或第三人的人身伤害、财产损失或损坏的责任。</w:t>
      </w:r>
    </w:p>
    <w:p>
      <w:pPr>
        <w:pStyle w:val="24"/>
        <w:rPr>
          <w:color w:val="auto"/>
          <w:highlight w:val="none"/>
        </w:rPr>
      </w:pPr>
      <w:r>
        <w:rPr>
          <w:color w:val="auto"/>
          <w:highlight w:val="none"/>
        </w:rPr>
        <w:t>17.3本项目不组织召开开标前答疑会。</w:t>
      </w:r>
    </w:p>
    <w:p>
      <w:pPr>
        <w:pStyle w:val="278"/>
        <w:spacing w:before="0" w:beforeLines="0" w:after="0" w:afterLines="0" w:line="360" w:lineRule="auto"/>
        <w:jc w:val="center"/>
        <w:rPr>
          <w:rFonts w:ascii="宋体" w:hAnsi="宋体" w:eastAsia="宋体"/>
          <w:color w:val="auto"/>
          <w:sz w:val="21"/>
          <w:szCs w:val="21"/>
          <w:highlight w:val="none"/>
        </w:rPr>
      </w:pPr>
      <w:bookmarkStart w:id="42" w:name="_Toc110177693"/>
      <w:r>
        <w:rPr>
          <w:rFonts w:ascii="宋体" w:hAnsi="宋体" w:eastAsia="宋体"/>
          <w:color w:val="auto"/>
          <w:sz w:val="21"/>
          <w:szCs w:val="21"/>
          <w:highlight w:val="none"/>
        </w:rPr>
        <w:t>三、投标文件的编制</w:t>
      </w:r>
      <w:bookmarkEnd w:id="42"/>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18.投标范围</w:t>
      </w:r>
    </w:p>
    <w:p>
      <w:pPr>
        <w:spacing w:line="360" w:lineRule="auto"/>
        <w:ind w:firstLine="435"/>
        <w:rPr>
          <w:rFonts w:ascii="宋体" w:hAnsi="宋体"/>
          <w:color w:val="auto"/>
          <w:szCs w:val="21"/>
          <w:highlight w:val="none"/>
        </w:rPr>
      </w:pPr>
      <w:r>
        <w:rPr>
          <w:rFonts w:ascii="宋体" w:hAnsi="宋体"/>
          <w:color w:val="auto"/>
          <w:szCs w:val="21"/>
          <w:highlight w:val="none"/>
        </w:rPr>
        <w:t>投标人应当对所投标项的“采购需求”所列的全部内容进行投标，如仅响应所投标项中的部分内容，其对该标项的投标将被认定为</w:t>
      </w:r>
      <w:r>
        <w:rPr>
          <w:rFonts w:ascii="宋体" w:hAnsi="宋体"/>
          <w:b/>
          <w:color w:val="auto"/>
          <w:szCs w:val="21"/>
          <w:highlight w:val="none"/>
        </w:rPr>
        <w:t>投标无效</w:t>
      </w:r>
      <w:r>
        <w:rPr>
          <w:rFonts w:ascii="宋体" w:hAnsi="宋体"/>
          <w:color w:val="auto"/>
          <w:szCs w:val="21"/>
          <w:highlight w:val="none"/>
        </w:rPr>
        <w:t>。</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19.投标文件中标准和计量单位的使用</w:t>
      </w:r>
    </w:p>
    <w:p>
      <w:pPr>
        <w:spacing w:line="360" w:lineRule="auto"/>
        <w:ind w:firstLine="435"/>
        <w:rPr>
          <w:rFonts w:ascii="宋体" w:hAnsi="宋体"/>
          <w:color w:val="auto"/>
          <w:szCs w:val="21"/>
          <w:highlight w:val="none"/>
        </w:rPr>
      </w:pPr>
      <w:bookmarkStart w:id="43" w:name="_Hlk16458980"/>
      <w:r>
        <w:rPr>
          <w:rFonts w:ascii="宋体" w:hAnsi="宋体"/>
          <w:color w:val="auto"/>
          <w:szCs w:val="21"/>
          <w:highlight w:val="none"/>
        </w:rPr>
        <w:t>19.1无论招标文件中是否要求，投标人所提供的服务以及伴随的货物均应符合国家强制性标准。</w:t>
      </w:r>
    </w:p>
    <w:bookmarkEnd w:id="43"/>
    <w:p>
      <w:pPr>
        <w:spacing w:line="360" w:lineRule="auto"/>
        <w:ind w:firstLine="435"/>
        <w:rPr>
          <w:rFonts w:ascii="宋体" w:hAnsi="宋体"/>
          <w:color w:val="auto"/>
          <w:szCs w:val="21"/>
          <w:highlight w:val="none"/>
        </w:rPr>
      </w:pPr>
      <w:r>
        <w:rPr>
          <w:rFonts w:hint="eastAsia" w:ascii="宋体" w:hAnsi="宋体"/>
          <w:color w:val="auto"/>
          <w:szCs w:val="21"/>
          <w:highlight w:val="none"/>
        </w:rPr>
        <w:t>19.2</w:t>
      </w:r>
      <w:r>
        <w:rPr>
          <w:rFonts w:ascii="宋体" w:hAnsi="宋体"/>
          <w:color w:val="auto"/>
          <w:szCs w:val="21"/>
          <w:highlight w:val="none"/>
        </w:rPr>
        <w:t>投标人与</w:t>
      </w:r>
      <w:r>
        <w:rPr>
          <w:rFonts w:hint="eastAsia" w:ascii="宋体" w:hAnsi="宋体"/>
          <w:color w:val="auto"/>
          <w:szCs w:val="21"/>
          <w:highlight w:val="none"/>
        </w:rPr>
        <w:t>采购人或</w:t>
      </w:r>
      <w:r>
        <w:rPr>
          <w:rFonts w:ascii="宋体" w:hAnsi="宋体"/>
          <w:color w:val="auto"/>
          <w:szCs w:val="21"/>
          <w:highlight w:val="none"/>
        </w:rPr>
        <w:t>采购</w:t>
      </w:r>
      <w:r>
        <w:rPr>
          <w:rFonts w:hint="eastAsia" w:ascii="宋体" w:hAnsi="宋体"/>
          <w:color w:val="auto"/>
          <w:szCs w:val="21"/>
          <w:highlight w:val="none"/>
        </w:rPr>
        <w:t>代理</w:t>
      </w:r>
      <w:r>
        <w:rPr>
          <w:rFonts w:ascii="宋体" w:hAnsi="宋体"/>
          <w:color w:val="auto"/>
          <w:szCs w:val="21"/>
          <w:highlight w:val="none"/>
        </w:rPr>
        <w:t>机构之间与投标有关的所有往来通知、函件和投标文件均用中文表述。投标人随投标文件提供的证明文件和资料可以为其它语言</w:t>
      </w:r>
      <w:r>
        <w:rPr>
          <w:rFonts w:hint="eastAsia" w:ascii="宋体" w:hAnsi="宋体"/>
          <w:color w:val="auto"/>
          <w:szCs w:val="21"/>
          <w:highlight w:val="none"/>
        </w:rPr>
        <w:t>（文字）</w:t>
      </w:r>
      <w:r>
        <w:rPr>
          <w:rFonts w:ascii="宋体" w:hAnsi="宋体"/>
          <w:color w:val="auto"/>
          <w:szCs w:val="21"/>
          <w:highlight w:val="none"/>
        </w:rPr>
        <w:t>，但</w:t>
      </w:r>
      <w:r>
        <w:rPr>
          <w:rFonts w:hint="eastAsia" w:ascii="宋体" w:hAnsi="宋体"/>
          <w:color w:val="auto"/>
          <w:szCs w:val="21"/>
          <w:highlight w:val="none"/>
        </w:rPr>
        <w:t>应当</w:t>
      </w:r>
      <w:r>
        <w:rPr>
          <w:rFonts w:ascii="宋体" w:hAnsi="宋体"/>
          <w:color w:val="auto"/>
          <w:szCs w:val="21"/>
          <w:highlight w:val="none"/>
        </w:rPr>
        <w:t>附中文译文</w:t>
      </w:r>
      <w:r>
        <w:rPr>
          <w:rFonts w:hint="eastAsia" w:ascii="宋体" w:hAnsi="宋体"/>
          <w:color w:val="auto"/>
          <w:szCs w:val="21"/>
          <w:highlight w:val="none"/>
        </w:rPr>
        <w:t>，未提供中文译文的视为未提供，</w:t>
      </w:r>
      <w:r>
        <w:rPr>
          <w:rFonts w:ascii="宋体" w:hAnsi="宋体"/>
          <w:color w:val="auto"/>
          <w:szCs w:val="21"/>
          <w:highlight w:val="none"/>
        </w:rPr>
        <w:t>翻译的中文资料与外文资料出现差异时，以中文为准。</w:t>
      </w:r>
    </w:p>
    <w:p>
      <w:pPr>
        <w:spacing w:line="360" w:lineRule="auto"/>
        <w:ind w:firstLine="435"/>
        <w:rPr>
          <w:rFonts w:ascii="宋体" w:hAnsi="宋体"/>
          <w:color w:val="auto"/>
          <w:szCs w:val="21"/>
          <w:highlight w:val="none"/>
        </w:rPr>
      </w:pPr>
      <w:r>
        <w:rPr>
          <w:rFonts w:ascii="宋体" w:hAnsi="宋体"/>
          <w:color w:val="auto"/>
          <w:szCs w:val="21"/>
          <w:highlight w:val="none"/>
        </w:rPr>
        <w:t>19.3除招标文件中有特殊要求外，投标文件中所使用的计量单位，应采用中华人民共和国法定计量单位。</w:t>
      </w:r>
    </w:p>
    <w:p>
      <w:pPr>
        <w:pStyle w:val="24"/>
        <w:rPr>
          <w:color w:val="auto"/>
          <w:highlight w:val="none"/>
        </w:rPr>
      </w:pPr>
      <w:r>
        <w:rPr>
          <w:color w:val="auto"/>
          <w:highlight w:val="none"/>
        </w:rPr>
        <w:t>20.投标文件的形式</w:t>
      </w:r>
    </w:p>
    <w:p>
      <w:pPr>
        <w:pStyle w:val="24"/>
        <w:rPr>
          <w:color w:val="auto"/>
          <w:highlight w:val="none"/>
        </w:rPr>
      </w:pPr>
      <w:r>
        <w:rPr>
          <w:color w:val="auto"/>
          <w:highlight w:val="none"/>
        </w:rPr>
        <w:t>本项目采用电子投标文件形式，分为电子加密投标文件和备份投标文件两种。</w:t>
      </w:r>
    </w:p>
    <w:p>
      <w:pPr>
        <w:pStyle w:val="24"/>
        <w:rPr>
          <w:color w:val="auto"/>
          <w:highlight w:val="none"/>
        </w:rPr>
      </w:pPr>
      <w:r>
        <w:rPr>
          <w:color w:val="auto"/>
          <w:highlight w:val="none"/>
        </w:rPr>
        <w:t>20.1电子加密投标文件是指通过“政采云电子投标客户端”完成投标文件编制后生成并加密的数据电文形式的加密标书，后缀名为【.jmbs】。</w:t>
      </w:r>
    </w:p>
    <w:p>
      <w:pPr>
        <w:pStyle w:val="24"/>
        <w:rPr>
          <w:color w:val="auto"/>
          <w:highlight w:val="none"/>
        </w:rPr>
      </w:pPr>
      <w:r>
        <w:rPr>
          <w:color w:val="auto"/>
          <w:highlight w:val="none"/>
        </w:rPr>
        <w:t>20.2备份投标文件是指与电子加密投标文件同时生成的数据电文形式的备份标书，后缀名为【.bfbs】。</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21.投标文件内容的构成</w:t>
      </w:r>
    </w:p>
    <w:p>
      <w:pPr>
        <w:pStyle w:val="24"/>
        <w:rPr>
          <w:color w:val="auto"/>
          <w:highlight w:val="none"/>
        </w:rPr>
      </w:pPr>
      <w:r>
        <w:rPr>
          <w:color w:val="auto"/>
          <w:highlight w:val="none"/>
        </w:rPr>
        <w:t>21.1投标人编写的投标文件应包含资格要求响应文件、商务技术文件和报价要求响应文件。</w:t>
      </w:r>
    </w:p>
    <w:p>
      <w:pPr>
        <w:pStyle w:val="24"/>
        <w:rPr>
          <w:color w:val="auto"/>
          <w:highlight w:val="none"/>
        </w:rPr>
      </w:pPr>
      <w:r>
        <w:rPr>
          <w:color w:val="auto"/>
          <w:highlight w:val="none"/>
        </w:rPr>
        <w:t>上述各项文件的组成内容见</w:t>
      </w:r>
      <w:r>
        <w:rPr>
          <w:color w:val="auto"/>
          <w:highlight w:val="none"/>
          <w:u w:val="single"/>
        </w:rPr>
        <w:t>投标人须知前附表</w:t>
      </w:r>
      <w:r>
        <w:rPr>
          <w:color w:val="auto"/>
          <w:highlight w:val="none"/>
        </w:rPr>
        <w:t>，未列入其中的内容，投标人认为需要的可以自行提供相关材料。</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21.2招标文件明确要求在投标文件中附（提交）证明材料而投标人未在投标文件中提供的，不被认定为对具体条款作出响应。</w:t>
      </w:r>
      <w:r>
        <w:rPr>
          <w:rFonts w:ascii="宋体" w:hAnsi="宋体"/>
          <w:b/>
          <w:color w:val="auto"/>
          <w:szCs w:val="21"/>
          <w:highlight w:val="none"/>
        </w:rPr>
        <w:t>提供的合同等证明材料应当是完整无删减、无遮挡（盖）、页码连续的原始文件的复印件，否则因证明材料缺少评审所需的关键或必要的信息或因中间页码缺失导致无法有效认定造成不予认可的风险和责任由投标人自行承担。</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22.投标文件的制作</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投标人应当安装“政采云电子投标客户端”，按照招标文件和政采云平台的要求编制并加密投标文件。投标文件的制作应满足以下规定：</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（1）由投标人使用电子交易系统提供的投标文件制作工具制作生成。</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（2）投标人应完整地填写投标函、开标一览表等招标文件提供的格式文件，以及为响应招标文件的要求及项目评审必须提供的其他材料。</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注：投标人应准确设置评审关联定位，避免未设置或设置错误导致投标文件被误读、漏读或者查找不到相关内容。</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23.投标文件的签署及盖章</w:t>
      </w:r>
    </w:p>
    <w:p>
      <w:pPr>
        <w:snapToGrid w:val="0"/>
        <w:spacing w:line="360" w:lineRule="auto"/>
        <w:ind w:firstLine="420" w:firstLineChars="200"/>
        <w:jc w:val="left"/>
        <w:rPr>
          <w:rFonts w:ascii="宋体" w:hAnsi="宋体"/>
          <w:b/>
          <w:color w:val="auto"/>
          <w:szCs w:val="21"/>
          <w:highlight w:val="none"/>
        </w:rPr>
      </w:pPr>
      <w:r>
        <w:rPr>
          <w:rFonts w:ascii="宋体" w:hAnsi="宋体"/>
          <w:color w:val="auto"/>
          <w:szCs w:val="21"/>
          <w:highlight w:val="none"/>
        </w:rPr>
        <w:t>电子签章操作指南详见《政府采购项目电子交易管理操作指南-供应商》,</w:t>
      </w:r>
      <w:r>
        <w:rPr>
          <w:rFonts w:ascii="宋体" w:hAnsi="宋体"/>
          <w:b/>
          <w:color w:val="auto"/>
          <w:szCs w:val="21"/>
          <w:highlight w:val="none"/>
        </w:rPr>
        <w:t>系统要求进行电子签章的文件，按系统要求签章。</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（1）招标文件要求签字的应当由投标人的法定代表人或经其正式授权的代表签字或盖章，</w:t>
      </w:r>
      <w:r>
        <w:rPr>
          <w:rFonts w:ascii="宋体" w:hAnsi="宋体"/>
          <w:b/>
          <w:color w:val="auto"/>
          <w:szCs w:val="21"/>
          <w:highlight w:val="none"/>
        </w:rPr>
        <w:t>因未获取电子姓名签章无法直接在系统中进行法定代表人或其授权代表电子签名操作的，可以线下签字或盖章后扫描上传。</w:t>
      </w:r>
    </w:p>
    <w:p>
      <w:pPr>
        <w:snapToGrid w:val="0"/>
        <w:spacing w:line="360" w:lineRule="auto"/>
        <w:ind w:firstLine="420" w:firstLineChars="200"/>
        <w:jc w:val="left"/>
        <w:rPr>
          <w:rFonts w:ascii="宋体" w:hAnsi="宋体"/>
          <w:color w:val="auto"/>
          <w:szCs w:val="21"/>
          <w:highlight w:val="none"/>
        </w:rPr>
      </w:pPr>
      <w:r>
        <w:rPr>
          <w:rFonts w:ascii="宋体" w:hAnsi="宋体"/>
          <w:color w:val="auto"/>
          <w:kern w:val="0"/>
          <w:szCs w:val="21"/>
          <w:highlight w:val="none"/>
        </w:rPr>
        <w:t>（2）《第六章  投标文件格式》提供的相关文件要求加盖公章处，投标人应加盖公章，</w:t>
      </w:r>
      <w:r>
        <w:rPr>
          <w:rFonts w:ascii="宋体" w:hAnsi="宋体"/>
          <w:color w:val="auto"/>
          <w:szCs w:val="21"/>
          <w:highlight w:val="none"/>
        </w:rPr>
        <w:t>可使用电子公章在线签章或线下加盖公章后扫描上传。</w:t>
      </w:r>
    </w:p>
    <w:p>
      <w:pPr>
        <w:snapToGrid w:val="0"/>
        <w:spacing w:line="360" w:lineRule="auto"/>
        <w:ind w:firstLine="422" w:firstLineChars="200"/>
        <w:jc w:val="left"/>
        <w:rPr>
          <w:rFonts w:ascii="宋体" w:hAnsi="宋体"/>
          <w:b/>
          <w:color w:val="auto"/>
          <w:kern w:val="0"/>
          <w:szCs w:val="21"/>
          <w:highlight w:val="none"/>
        </w:rPr>
      </w:pPr>
      <w:r>
        <w:rPr>
          <w:rFonts w:ascii="宋体" w:hAnsi="宋体"/>
          <w:b/>
          <w:color w:val="auto"/>
          <w:kern w:val="0"/>
          <w:szCs w:val="21"/>
          <w:highlight w:val="none"/>
        </w:rPr>
        <w:t>联合体投标的，联合协议及联合体各成员单位提供的本单位的供应商资格要求证明材料由各自单位盖章，其余投标文件资料由联合体牵头人按规定加盖联合体牵头人单位公章。</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（3）投标文件若有错、漏处等必须修改的，修改处应当加盖投标人公章或者由投标人的法定代表人或其授权代表签字或盖章</w:t>
      </w:r>
      <w:r>
        <w:rPr>
          <w:rFonts w:hint="eastAsia" w:ascii="宋体" w:hAnsi="宋体"/>
          <w:color w:val="auto"/>
          <w:szCs w:val="21"/>
          <w:highlight w:val="none"/>
        </w:rPr>
        <w:t>，否则不被认可的风险由投标人承担</w:t>
      </w:r>
      <w:r>
        <w:rPr>
          <w:rFonts w:ascii="宋体" w:hAnsi="宋体"/>
          <w:color w:val="auto"/>
          <w:szCs w:val="21"/>
          <w:highlight w:val="none"/>
        </w:rPr>
        <w:t>。</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24.投标报价要求</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24.1投标人的报价应当包括满足本次招标全部采购需求所要求提供的服务，以及伴随的货物。</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24.2投标人应在分项报价表上标明分项服务、伴随的货物（如适用）</w:t>
      </w:r>
      <w:r>
        <w:rPr>
          <w:rFonts w:hint="eastAsia" w:ascii="宋体" w:hAnsi="宋体"/>
          <w:color w:val="auto"/>
          <w:szCs w:val="21"/>
          <w:highlight w:val="none"/>
        </w:rPr>
        <w:t>的价格</w:t>
      </w:r>
      <w:r>
        <w:rPr>
          <w:rFonts w:ascii="宋体" w:hAnsi="宋体"/>
          <w:color w:val="auto"/>
          <w:szCs w:val="21"/>
          <w:highlight w:val="none"/>
        </w:rPr>
        <w:t>，未标明的视同包含在投标报价中。</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24.3投标报价及结算货币均为人民币，针对本项目的投标报价（包含分项报价）只允许有一个，不接受有选择的或有附加条件的投标报价（包含分项报价）。</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24.4</w:t>
      </w:r>
      <w:r>
        <w:rPr>
          <w:rFonts w:ascii="宋体" w:hAnsi="宋体"/>
          <w:b/>
          <w:color w:val="auto"/>
          <w:szCs w:val="21"/>
          <w:highlight w:val="none"/>
        </w:rPr>
        <w:t>投标报价（下浮率）不允许≥100%（即赠送），招标人不予接受，其投标响应将被拒绝，按照投标无效处理。</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25.投标保证金</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本项目无须投标人缴纳投标保证金。</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26.投标有效期</w:t>
      </w:r>
    </w:p>
    <w:p>
      <w:pPr>
        <w:pStyle w:val="24"/>
        <w:rPr>
          <w:color w:val="auto"/>
          <w:highlight w:val="none"/>
        </w:rPr>
      </w:pPr>
      <w:r>
        <w:rPr>
          <w:color w:val="auto"/>
          <w:highlight w:val="none"/>
        </w:rPr>
        <w:t>26.1投标有效期为从投标截止之日算起的日历天数，投标有效期见</w:t>
      </w:r>
      <w:r>
        <w:rPr>
          <w:color w:val="auto"/>
          <w:highlight w:val="none"/>
          <w:u w:val="single"/>
        </w:rPr>
        <w:t>投标人须知前附表</w:t>
      </w:r>
      <w:r>
        <w:rPr>
          <w:color w:val="auto"/>
          <w:highlight w:val="none"/>
        </w:rPr>
        <w:t>。</w:t>
      </w:r>
    </w:p>
    <w:p>
      <w:pPr>
        <w:spacing w:line="360" w:lineRule="auto"/>
        <w:ind w:firstLine="435"/>
        <w:rPr>
          <w:rFonts w:ascii="宋体" w:hAnsi="宋体"/>
          <w:color w:val="auto"/>
          <w:kern w:val="0"/>
          <w:szCs w:val="21"/>
          <w:highlight w:val="none"/>
        </w:rPr>
      </w:pPr>
      <w:r>
        <w:rPr>
          <w:rFonts w:ascii="宋体" w:hAnsi="宋体"/>
          <w:color w:val="auto"/>
          <w:kern w:val="0"/>
          <w:szCs w:val="21"/>
          <w:highlight w:val="none"/>
        </w:rPr>
        <w:t>26.2在投标有效期内，投标人的投标保持有效，投标人不得要求撤销或修改其投标文件。投标有效期不满足要求的投标，其投标将被认定为</w:t>
      </w:r>
      <w:r>
        <w:rPr>
          <w:rFonts w:ascii="宋体" w:hAnsi="宋体"/>
          <w:b/>
          <w:color w:val="auto"/>
          <w:kern w:val="0"/>
          <w:szCs w:val="21"/>
          <w:highlight w:val="none"/>
        </w:rPr>
        <w:t>投标无效</w:t>
      </w:r>
      <w:r>
        <w:rPr>
          <w:rFonts w:ascii="宋体" w:hAnsi="宋体"/>
          <w:color w:val="auto"/>
          <w:kern w:val="0"/>
          <w:szCs w:val="21"/>
          <w:highlight w:val="none"/>
        </w:rPr>
        <w:t>。</w:t>
      </w:r>
    </w:p>
    <w:p>
      <w:pPr>
        <w:spacing w:line="360" w:lineRule="auto"/>
        <w:ind w:firstLine="435"/>
        <w:rPr>
          <w:rFonts w:ascii="宋体" w:hAnsi="宋体"/>
          <w:color w:val="auto"/>
          <w:szCs w:val="21"/>
          <w:highlight w:val="none"/>
        </w:rPr>
      </w:pPr>
      <w:r>
        <w:rPr>
          <w:rFonts w:ascii="宋体" w:hAnsi="宋体"/>
          <w:color w:val="auto"/>
          <w:szCs w:val="21"/>
          <w:highlight w:val="none"/>
        </w:rPr>
        <w:t>26.3因特殊原因，采购人或采购代理机构可在原投标有效期截止之前，要求投标人延长投标文件的有效期。接受该要求的投标人将不会被要求和允许修正其投标文件。投标人也可以拒绝延长投标有效期的要求，且不承担任何责任。上述要求和答复都以书面形式提交。</w:t>
      </w:r>
    </w:p>
    <w:p>
      <w:pPr>
        <w:pStyle w:val="278"/>
        <w:spacing w:before="0" w:beforeLines="0" w:after="0" w:afterLines="0" w:line="360" w:lineRule="auto"/>
        <w:jc w:val="center"/>
        <w:rPr>
          <w:rFonts w:ascii="宋体" w:hAnsi="宋体" w:eastAsia="宋体"/>
          <w:color w:val="auto"/>
          <w:sz w:val="21"/>
          <w:szCs w:val="21"/>
          <w:highlight w:val="none"/>
        </w:rPr>
      </w:pPr>
      <w:bookmarkStart w:id="44" w:name="_Toc110177694"/>
      <w:r>
        <w:rPr>
          <w:rFonts w:ascii="宋体" w:hAnsi="宋体" w:eastAsia="宋体"/>
          <w:color w:val="auto"/>
          <w:sz w:val="21"/>
          <w:szCs w:val="21"/>
          <w:highlight w:val="none"/>
        </w:rPr>
        <w:t>四、投标文件的提交</w:t>
      </w:r>
      <w:bookmarkEnd w:id="44"/>
    </w:p>
    <w:p>
      <w:pPr>
        <w:pStyle w:val="24"/>
        <w:rPr>
          <w:color w:val="auto"/>
          <w:highlight w:val="none"/>
        </w:rPr>
      </w:pPr>
      <w:r>
        <w:rPr>
          <w:color w:val="auto"/>
          <w:highlight w:val="none"/>
        </w:rPr>
        <w:t>27.电子加密投标文件的提交</w:t>
      </w:r>
    </w:p>
    <w:p>
      <w:pPr>
        <w:pStyle w:val="24"/>
        <w:rPr>
          <w:color w:val="auto"/>
          <w:highlight w:val="none"/>
        </w:rPr>
      </w:pPr>
      <w:r>
        <w:rPr>
          <w:rFonts w:hint="eastAsia"/>
          <w:color w:val="auto"/>
          <w:highlight w:val="none"/>
        </w:rPr>
        <w:t>投标人应当在投标截止时间前将电子加密投标文件上传至政采云平台（https://www.zcygov.cn/），成功上传后，投标人可自行打印投标文件接收回执。</w:t>
      </w:r>
    </w:p>
    <w:p>
      <w:pPr>
        <w:pStyle w:val="24"/>
        <w:rPr>
          <w:color w:val="auto"/>
          <w:highlight w:val="none"/>
        </w:rPr>
      </w:pPr>
      <w:r>
        <w:rPr>
          <w:color w:val="auto"/>
          <w:highlight w:val="none"/>
        </w:rPr>
        <w:t>28.备份投标文件的提交</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可以在投标截止时间前提交备份投标文件。备份投标文件的载体必须密封包装，密封包装应当清楚的标明项目名称、项目编号、投标人名称并加盖公章。采购人或采购代理机构有权拒绝接收未按照规定密封、标注、盖章的备份投标文件。</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29.投标截止时间及地点</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29.1投标截止时间及地点见</w:t>
      </w:r>
      <w:r>
        <w:rPr>
          <w:rFonts w:ascii="宋体" w:hAnsi="宋体"/>
          <w:color w:val="auto"/>
          <w:szCs w:val="21"/>
          <w:highlight w:val="none"/>
          <w:u w:val="single"/>
        </w:rPr>
        <w:t>招标公告（投标邀请）</w:t>
      </w:r>
      <w:r>
        <w:rPr>
          <w:rFonts w:ascii="宋体" w:hAnsi="宋体"/>
          <w:color w:val="auto"/>
          <w:szCs w:val="21"/>
          <w:highlight w:val="none"/>
        </w:rPr>
        <w:t>。</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29.2采购人或采购代理机构可以根据项目情况，推迟投标截止时间。在此情况下，采购人、采购代理机构和投标人受投标截止时间约束的所有权利和义务均延长至新的截止时间。</w:t>
      </w:r>
    </w:p>
    <w:p>
      <w:pPr>
        <w:snapToGrid w:val="0"/>
        <w:spacing w:line="360" w:lineRule="auto"/>
        <w:ind w:firstLine="422" w:firstLineChars="200"/>
        <w:jc w:val="left"/>
        <w:rPr>
          <w:rFonts w:ascii="宋体" w:hAnsi="宋体"/>
          <w:color w:val="auto"/>
          <w:szCs w:val="21"/>
          <w:highlight w:val="none"/>
        </w:rPr>
      </w:pPr>
      <w:r>
        <w:rPr>
          <w:rFonts w:ascii="宋体" w:hAnsi="宋体"/>
          <w:b/>
          <w:color w:val="auto"/>
          <w:szCs w:val="21"/>
          <w:highlight w:val="none"/>
        </w:rPr>
        <w:t>30.投标文件的修改和撤回</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30.1投标人在投标截止时间前，可以对已经提交的投标文件进行补充、修改或者撤回。</w:t>
      </w:r>
    </w:p>
    <w:p>
      <w:pPr>
        <w:snapToGrid w:val="0"/>
        <w:spacing w:line="360" w:lineRule="auto"/>
        <w:ind w:firstLine="420" w:firstLineChars="200"/>
        <w:jc w:val="left"/>
        <w:rPr>
          <w:rFonts w:ascii="宋体" w:hAnsi="宋体"/>
          <w:color w:val="auto"/>
          <w:kern w:val="0"/>
          <w:szCs w:val="21"/>
          <w:highlight w:val="none"/>
        </w:rPr>
      </w:pPr>
      <w:r>
        <w:rPr>
          <w:rFonts w:ascii="宋体" w:hAnsi="宋体"/>
          <w:color w:val="auto"/>
          <w:szCs w:val="21"/>
          <w:highlight w:val="none"/>
        </w:rPr>
        <w:t>对已经完成传输递交的电子加密投标文件进行</w:t>
      </w:r>
      <w:r>
        <w:rPr>
          <w:rFonts w:ascii="宋体" w:hAnsi="宋体"/>
          <w:color w:val="auto"/>
          <w:kern w:val="0"/>
          <w:szCs w:val="21"/>
          <w:highlight w:val="none"/>
        </w:rPr>
        <w:t>补充或者修改的，应当先行撤回原文件，补充、修改后重新传输递交。投标人在投标截止时间前未重新完成传输递交的，</w:t>
      </w:r>
      <w:r>
        <w:rPr>
          <w:rFonts w:ascii="宋体" w:hAnsi="宋体"/>
          <w:b/>
          <w:color w:val="auto"/>
          <w:kern w:val="0"/>
          <w:szCs w:val="21"/>
          <w:highlight w:val="none"/>
        </w:rPr>
        <w:t>视为撤回投标文件</w:t>
      </w:r>
      <w:r>
        <w:rPr>
          <w:rFonts w:ascii="宋体" w:hAnsi="宋体"/>
          <w:color w:val="auto"/>
          <w:kern w:val="0"/>
          <w:szCs w:val="21"/>
          <w:highlight w:val="none"/>
        </w:rPr>
        <w:t>。投标截止时间后递交的电子加密投标文件，电子交易平台将拒收。</w:t>
      </w:r>
    </w:p>
    <w:p>
      <w:pPr>
        <w:snapToGrid w:val="0"/>
        <w:spacing w:line="360" w:lineRule="auto"/>
        <w:ind w:firstLine="420" w:firstLineChars="200"/>
        <w:jc w:val="left"/>
        <w:rPr>
          <w:rFonts w:ascii="宋体" w:hAnsi="宋体"/>
          <w:color w:val="auto"/>
          <w:kern w:val="0"/>
          <w:szCs w:val="21"/>
          <w:highlight w:val="none"/>
        </w:rPr>
      </w:pPr>
      <w:r>
        <w:rPr>
          <w:rFonts w:ascii="宋体" w:hAnsi="宋体"/>
          <w:color w:val="auto"/>
          <w:szCs w:val="21"/>
          <w:highlight w:val="none"/>
        </w:rPr>
        <w:t>30.2投标人在投标截止时间前递交了需要补充或修改的电子加密投标文件的备份投标文件的，可以重新提交补充或修改后的备份投标文件。</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30.3投标截止时间后，投标人不得对其投标文件进行补充、修改。</w:t>
      </w:r>
    </w:p>
    <w:p>
      <w:pPr>
        <w:pStyle w:val="278"/>
        <w:spacing w:before="0" w:beforeLines="0" w:after="0" w:afterLines="0" w:line="360" w:lineRule="auto"/>
        <w:jc w:val="center"/>
        <w:rPr>
          <w:rFonts w:ascii="宋体" w:hAnsi="宋体" w:eastAsia="宋体"/>
          <w:color w:val="auto"/>
          <w:sz w:val="21"/>
          <w:szCs w:val="21"/>
          <w:highlight w:val="none"/>
        </w:rPr>
      </w:pPr>
      <w:bookmarkStart w:id="45" w:name="_Toc110177695"/>
      <w:r>
        <w:rPr>
          <w:rFonts w:ascii="宋体" w:hAnsi="宋体" w:eastAsia="宋体"/>
          <w:color w:val="auto"/>
          <w:sz w:val="21"/>
          <w:szCs w:val="21"/>
          <w:highlight w:val="none"/>
        </w:rPr>
        <w:t>五、开标与评标</w:t>
      </w:r>
      <w:bookmarkEnd w:id="45"/>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31.开标</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31.1采购代理机构按招标文件规定的时间通过电子交易平台组织公开开标，所有投标人均应当准时在线参加。</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31.2开标时，采购代理机构依托电子交易平台发起开始解密指令，投标人应在30分钟内（以电子交易系统解密倒计时为准）对本单位的投标文件进行解密。</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31.3开标时，采购代理机构将通过网上开标系统公布开标结果，公布内容包括投标人名称、投标报价及招标文件规定的其他内容。</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31.4投标人如未在线参加开标的，视同认可开标结果，事后不得对开标结果提出异议。同时，投标人因未在线参加开标而导致电子加密投标文件无法按时解密等一切后果由投标人自行承担。</w:t>
      </w:r>
    </w:p>
    <w:p>
      <w:pPr>
        <w:snapToGrid w:val="0"/>
        <w:spacing w:line="360" w:lineRule="auto"/>
        <w:ind w:firstLine="420" w:firstLineChars="200"/>
        <w:jc w:val="left"/>
        <w:rPr>
          <w:rFonts w:ascii="宋体" w:hAnsi="宋体" w:cs="Arial"/>
          <w:color w:val="auto"/>
          <w:kern w:val="0"/>
          <w:szCs w:val="21"/>
          <w:highlight w:val="none"/>
        </w:rPr>
      </w:pPr>
      <w:r>
        <w:rPr>
          <w:rFonts w:hint="eastAsia" w:ascii="宋体" w:hAnsi="宋体"/>
          <w:color w:val="auto"/>
          <w:szCs w:val="21"/>
          <w:highlight w:val="none"/>
        </w:rPr>
        <w:t>31.5发生电子加密投标文件解密失败的情形，如投标人已按招标文件规定提交了备份投标文件的，将由采购代理机构按政采云平台操作规范将备份投标文件上传至政采云平台异常端口处理，上传成功后，电子加密投标文件自动失效；使用备份投标文件仍无法成功或投标人</w:t>
      </w:r>
      <w:r>
        <w:rPr>
          <w:rFonts w:hint="eastAsia" w:ascii="宋体" w:hAnsi="宋体" w:cs="Arial"/>
          <w:color w:val="auto"/>
          <w:kern w:val="0"/>
          <w:szCs w:val="21"/>
          <w:highlight w:val="none"/>
        </w:rPr>
        <w:t>未按规定提交备份投标文件的</w:t>
      </w:r>
      <w:r>
        <w:rPr>
          <w:rFonts w:hint="eastAsia" w:ascii="宋体" w:hAnsi="宋体"/>
          <w:color w:val="auto"/>
          <w:szCs w:val="21"/>
          <w:highlight w:val="none"/>
        </w:rPr>
        <w:t>，</w:t>
      </w:r>
      <w:r>
        <w:rPr>
          <w:rFonts w:hint="eastAsia" w:ascii="宋体" w:hAnsi="宋体"/>
          <w:b/>
          <w:color w:val="auto"/>
          <w:szCs w:val="21"/>
          <w:highlight w:val="none"/>
        </w:rPr>
        <w:t>视为撤回投标文件</w:t>
      </w:r>
      <w:r>
        <w:rPr>
          <w:rFonts w:hint="eastAsia" w:ascii="宋体" w:hAnsi="宋体"/>
          <w:color w:val="auto"/>
          <w:szCs w:val="21"/>
          <w:highlight w:val="none"/>
        </w:rPr>
        <w:t>。</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电子加密投标文件已按时解密的，备份投标文件自动失效。</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31.6开标过程由采购代理机构负责记录，由参加开标的投标人代表和相关工作人员签字确认后随采购文件一并存档。</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投标人代表对开标过程和开标记录有疑义，应当场提出询问。</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32.资格审查及组建评标委员会</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32.1开标结束后，采购人或采购代理机构依据法律法规和招标文件中规定的内容对投标人的资格进行审查，未通过资格审查的投标人不进入评标，通过资格审查的投标人不足3家的</w:t>
      </w:r>
      <w:r>
        <w:rPr>
          <w:rFonts w:hint="eastAsia" w:ascii="宋体" w:hAnsi="宋体"/>
          <w:color w:val="auto"/>
          <w:szCs w:val="21"/>
          <w:highlight w:val="none"/>
        </w:rPr>
        <w:t>标项</w:t>
      </w:r>
      <w:r>
        <w:rPr>
          <w:rFonts w:ascii="宋体" w:hAnsi="宋体"/>
          <w:color w:val="auto"/>
          <w:szCs w:val="21"/>
          <w:highlight w:val="none"/>
        </w:rPr>
        <w:t>不得进行评标。</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32.2评标委员会成员为5人以上单数组成。</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33.投标文件符合性审查与澄清</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33.1评标委员会负责对符合资格要求的投标人的投标文件进行符合性审查，以确定其是否满足招标文件的实质性要求。</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33.2对于投标文件中含义不明确、同类问题表述不一致或者有明显文字和计算错误的内容，以及评标委员会认为投标人的报价明显低于其他通过符合性审查投标人的报价，有可能</w:t>
      </w:r>
      <w:r>
        <w:rPr>
          <w:rFonts w:ascii="宋体" w:hAnsi="宋体"/>
          <w:color w:val="auto"/>
          <w:szCs w:val="21"/>
          <w:highlight w:val="none"/>
          <w:shd w:val="clear" w:color="auto" w:fill="FFFFFF"/>
        </w:rPr>
        <w:t>影响产品质量或者不能诚信履约的</w:t>
      </w:r>
      <w:r>
        <w:rPr>
          <w:rFonts w:ascii="宋体" w:hAnsi="宋体"/>
          <w:color w:val="auto"/>
          <w:szCs w:val="21"/>
          <w:highlight w:val="none"/>
        </w:rPr>
        <w:t>，评标委员会将以书面形式要求投标人作出必要的澄清、说明或者补正。</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投标人的澄清、说明或者补正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投标人的澄清、说明或者补正不得超出投标文件的范围或者改变投标文件的实质性内容。</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33.3投标人的澄清、说明或补正将作为投标文件的一部分。</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33.4报价修正</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投标文件报价出现不一致的，按照下列规定修正：</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（1）电子交易平台客户端里开标一览表录入的投标报价与报价要求响应文件中的开标一览表投标报价不一致的，以报价要求响应文件中的投标报价为准。</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（2）投标文件中开标一览表（报价表）内容与投标文件中其他内容不一致的，以开标一览表（报价表）为准；</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（3）投标文件中开标一览表（报价表）大写金额和小写金额不一致的，以大写金额为准。</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同时出现两种以上不一致的，按照前款规定的顺序修正。修正后的报价由投标人确认，经投标人确认后产生约束力，投标人不确认的，</w:t>
      </w:r>
      <w:r>
        <w:rPr>
          <w:rFonts w:ascii="宋体" w:hAnsi="宋体"/>
          <w:b/>
          <w:color w:val="auto"/>
          <w:szCs w:val="21"/>
          <w:highlight w:val="none"/>
        </w:rPr>
        <w:t>其投标无效</w:t>
      </w:r>
      <w:r>
        <w:rPr>
          <w:rFonts w:ascii="宋体" w:hAnsi="宋体"/>
          <w:color w:val="auto"/>
          <w:szCs w:val="21"/>
          <w:highlight w:val="none"/>
        </w:rPr>
        <w:t>。</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34.投标无效</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34.1根据本招标文件的规定，评标委员会审查每份投标文件，以确定其是否满足招标文件的实质性要求。投标人不得通过修正或撤销不符合要求的偏离，从而使其投标实质上响应招标文件要求。</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34.2投标人存在下列情况之一的，投标无效：</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（1）投标文件未按招标文件要求签署、盖章而影响投标文件法律效力的；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（2）不具备招标文件中规定的资格要求的（包括未提交合法有效的资格证明文件）；</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（3）未对招标文件的实质性条款作出响应（包括未按要求提交证明文件）的；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（4）报价超过招标文件中规定的预算金额或最高限价（如有）或单项限价（如有）的；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（5）投标文件含有采购人不能接受的附加条件的；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（6）投标文件中含有虚假材料的；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（7）投标人违背诚实信用原则的；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（8）仅提交备份投标文件的；</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（9）法律、法规和招标文件规定的其他无效情形。</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35.比较与评价</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35.1评标委员会按照招标文件规定的评标方法和标准，对符合性审查合格的投标文件进行商务和技术评估，综合比较与评价。</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35.2本项目采用综合评分法，评标严格按照招标文件的要求和条件进行，详细评标标准见招标文件第四章。</w:t>
      </w:r>
    </w:p>
    <w:p>
      <w:pPr>
        <w:snapToGrid w:val="0"/>
        <w:spacing w:line="360" w:lineRule="auto"/>
        <w:ind w:firstLine="420" w:firstLineChars="200"/>
        <w:jc w:val="left"/>
        <w:rPr>
          <w:rFonts w:ascii="宋体" w:hAnsi="宋体"/>
          <w:color w:val="auto"/>
          <w:szCs w:val="21"/>
          <w:highlight w:val="none"/>
        </w:rPr>
      </w:pPr>
      <w:bookmarkStart w:id="46" w:name="_Hlk60581117"/>
      <w:r>
        <w:rPr>
          <w:rFonts w:ascii="宋体" w:hAnsi="宋体"/>
          <w:color w:val="auto"/>
          <w:szCs w:val="21"/>
          <w:highlight w:val="none"/>
        </w:rPr>
        <w:t>35.3根据《政府采购促进中小企业发展管理办法》（财库〔2020〕46号）、《财政部 司法部关于政府采购支持监狱企业发展有关问题的通知》（财库〔2014〕68号）和《三部门联合发布关于促进残疾人就业政府采购政策的通知》（财库〔2017〕141号）及财政部门的规定，对满足价格扣除条件且在投标文件中提交了《中小企业声明函》《残疾人福利性单位声明函》或省级以上监狱管理局、戒毒管理局（含新疆生产建设兵团）出具的属于监狱企业的证明文件的投标人，其投标报价按照规定予以扣除后参与评审，具体扣除办法详见第五章。对于同时属于小微企业、监狱企业或残疾人福利性单位的，不重复进行投标报价扣除。</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第五章中规定的标准扣除后的价格参与评审。组成联合体或者接受分包的小微企业与联合体内其他企业、分包企业之间存在直接控股、管理关系的，不享受价格扣除优惠政策。</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本项目标项</w:t>
      </w:r>
      <w:r>
        <w:rPr>
          <w:rFonts w:hint="eastAsia" w:ascii="宋体" w:hAnsi="宋体"/>
          <w:b/>
          <w:color w:val="auto"/>
          <w:szCs w:val="21"/>
          <w:highlight w:val="none"/>
        </w:rPr>
        <w:t>一</w:t>
      </w:r>
      <w:r>
        <w:rPr>
          <w:rFonts w:ascii="宋体" w:hAnsi="宋体"/>
          <w:b/>
          <w:color w:val="auto"/>
          <w:szCs w:val="21"/>
          <w:highlight w:val="none"/>
        </w:rPr>
        <w:t>为专门面向中小企业采购，不执行价格评审优惠的扶持政策。</w:t>
      </w:r>
    </w:p>
    <w:bookmarkEnd w:id="46"/>
    <w:p>
      <w:pPr>
        <w:pStyle w:val="24"/>
        <w:rPr>
          <w:color w:val="auto"/>
          <w:highlight w:val="none"/>
        </w:rPr>
      </w:pPr>
      <w:r>
        <w:rPr>
          <w:color w:val="auto"/>
          <w:highlight w:val="none"/>
        </w:rPr>
        <w:t>36.废标的情形</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在本项目招标采购中，出现下列情形之一的，应予废标：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（1）符合资格要求的投标人或者对招标文件作实质响应的投标人不足三家的；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（2）出现影响采购公正的违法、违规行为的；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（3）投标人的报价均超过了采购预算，采购人不能支付的；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（4）因重大变故，采购任务取消的。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（5）电子交易平台无法正常运行，无法保证电子交易的公平、公正和安全的情况。</w:t>
      </w:r>
    </w:p>
    <w:p>
      <w:pPr>
        <w:pStyle w:val="24"/>
        <w:rPr>
          <w:color w:val="auto"/>
          <w:highlight w:val="none"/>
        </w:rPr>
      </w:pPr>
      <w:r>
        <w:rPr>
          <w:color w:val="auto"/>
          <w:highlight w:val="none"/>
        </w:rPr>
        <w:t>37.中止电子交易活动的情形</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（1）电子交易平台发生故障而无法登录访问的；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（2）电子交易平台应用或数据库出现错误，不能进行正常操作的；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（3）电子交易平台发现严重安全漏洞，有潜在泄密危险的；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（4）病毒发作导致不能进行正常操作的；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（5）其他无法保证电子交易的公平、公正和安全的情况。</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出现前款规定情形，不影响采购公平、公正性的，采购组织机构可以待上述情形消除后继续组织电子交易活动；影响或可能影响采购公平、公正性的，将重新采购。</w:t>
      </w:r>
    </w:p>
    <w:p>
      <w:pPr>
        <w:pStyle w:val="24"/>
        <w:rPr>
          <w:color w:val="auto"/>
          <w:highlight w:val="none"/>
        </w:rPr>
      </w:pPr>
      <w:r>
        <w:rPr>
          <w:color w:val="auto"/>
          <w:highlight w:val="none"/>
        </w:rPr>
        <w:t>38.中标候选人的确定原则及标准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本项目</w:t>
      </w:r>
      <w:r>
        <w:rPr>
          <w:rFonts w:hint="eastAsia" w:ascii="宋体" w:hAnsi="宋体"/>
          <w:color w:val="auto"/>
          <w:szCs w:val="21"/>
          <w:highlight w:val="none"/>
        </w:rPr>
        <w:t>每个标项的</w:t>
      </w:r>
      <w:r>
        <w:rPr>
          <w:rFonts w:ascii="宋体" w:hAnsi="宋体"/>
          <w:color w:val="auto"/>
          <w:szCs w:val="21"/>
          <w:highlight w:val="none"/>
        </w:rPr>
        <w:t>所有有效投标人均为中标候选人，评标结果按评审后得分由高到低顺序排列。得分相同的，按投标报价由低到高顺序排列。得分且投标报价相同的并列。</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39.编写评标报告</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根据全体评标委员会成员签字的原始评标记录和评标结果编写评标报告，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pPr>
        <w:pStyle w:val="278"/>
        <w:spacing w:before="0" w:beforeLines="0" w:after="0" w:afterLines="0" w:line="360" w:lineRule="auto"/>
        <w:jc w:val="center"/>
        <w:rPr>
          <w:rFonts w:ascii="宋体" w:hAnsi="宋体" w:eastAsia="宋体"/>
          <w:color w:val="auto"/>
          <w:sz w:val="21"/>
          <w:szCs w:val="21"/>
          <w:highlight w:val="none"/>
        </w:rPr>
      </w:pPr>
      <w:bookmarkStart w:id="47" w:name="_Toc110177696"/>
      <w:r>
        <w:rPr>
          <w:rFonts w:ascii="宋体" w:hAnsi="宋体" w:eastAsia="宋体"/>
          <w:color w:val="auto"/>
          <w:sz w:val="21"/>
          <w:szCs w:val="21"/>
          <w:highlight w:val="none"/>
        </w:rPr>
        <w:t>六、授予合同</w:t>
      </w:r>
      <w:bookmarkEnd w:id="47"/>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40.中标人的确定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shd w:val="clear" w:color="auto" w:fill="FFFFFF"/>
        </w:rPr>
        <w:t>40.1中标人确定主体为采购人，</w:t>
      </w:r>
      <w:r>
        <w:rPr>
          <w:rFonts w:ascii="宋体" w:hAnsi="宋体"/>
          <w:color w:val="auto"/>
          <w:szCs w:val="21"/>
          <w:highlight w:val="none"/>
        </w:rPr>
        <w:t>确定中标人的顺序按照</w:t>
      </w:r>
      <w:r>
        <w:rPr>
          <w:rFonts w:hint="eastAsia" w:ascii="宋体" w:hAnsi="宋体"/>
          <w:color w:val="auto"/>
          <w:szCs w:val="21"/>
          <w:highlight w:val="none"/>
        </w:rPr>
        <w:t>标项一</w:t>
      </w:r>
      <w:r>
        <w:rPr>
          <w:rFonts w:ascii="宋体" w:hAnsi="宋体"/>
          <w:color w:val="auto"/>
          <w:szCs w:val="21"/>
          <w:highlight w:val="none"/>
        </w:rPr>
        <w:t>至</w:t>
      </w:r>
      <w:r>
        <w:rPr>
          <w:rFonts w:hint="eastAsia" w:ascii="宋体" w:hAnsi="宋体"/>
          <w:color w:val="auto"/>
          <w:szCs w:val="21"/>
          <w:highlight w:val="none"/>
        </w:rPr>
        <w:t>标项四</w:t>
      </w:r>
      <w:r>
        <w:rPr>
          <w:rFonts w:ascii="宋体" w:hAnsi="宋体"/>
          <w:color w:val="auto"/>
          <w:szCs w:val="21"/>
          <w:highlight w:val="none"/>
        </w:rPr>
        <w:t>依次进行；每个标项确定排名第一的中标候选人为中标人。</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当投标人同时参加多个标项</w:t>
      </w:r>
      <w:r>
        <w:rPr>
          <w:rFonts w:hint="eastAsia" w:ascii="宋体" w:hAnsi="宋体"/>
          <w:bCs/>
          <w:color w:val="auto"/>
          <w:szCs w:val="21"/>
          <w:highlight w:val="none"/>
        </w:rPr>
        <w:t>（标项一至标项四）</w:t>
      </w:r>
      <w:r>
        <w:rPr>
          <w:rFonts w:ascii="宋体" w:hAnsi="宋体"/>
          <w:bCs/>
          <w:color w:val="auto"/>
          <w:szCs w:val="21"/>
          <w:highlight w:val="none"/>
        </w:rPr>
        <w:t>的投标且被推荐为两个及以上不能兼中标项的第一中标候选人时，按照规定的顺序，采购人确定该投标人为排序在前标项的中标人，该投标人将不再被确定为后续不能兼中标项的中标人，后续由该投标人作为第一中标候选人的标项由该标项排序在其之后第一顺位的中标候选人获得中标，如遇第一顺位的中标候选人也已在之前的标项中获得中标的，则按照顺序依次顺延，如后续无未获得中标的中标候选人的，则该标项重新采购。</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当出现中标人因为违法违规等被取消或丧失中标人资格的情形，合同已经签订并履行的标项不再按照上述规则调整，其余的标项在符合法定以及按照不兼中的原则下另行确定中标人。</w:t>
      </w:r>
    </w:p>
    <w:p>
      <w:pPr>
        <w:spacing w:line="360" w:lineRule="auto"/>
        <w:ind w:firstLine="420" w:firstLineChars="200"/>
        <w:rPr>
          <w:rFonts w:ascii="宋体" w:hAnsi="宋体"/>
          <w:color w:val="auto"/>
          <w:szCs w:val="21"/>
          <w:highlight w:val="none"/>
          <w:shd w:val="clear" w:color="auto" w:fill="FFFFFF"/>
        </w:rPr>
      </w:pPr>
      <w:r>
        <w:rPr>
          <w:rFonts w:ascii="宋体" w:hAnsi="宋体"/>
          <w:color w:val="auto"/>
          <w:szCs w:val="21"/>
          <w:highlight w:val="none"/>
          <w:shd w:val="clear" w:color="auto" w:fill="FFFFFF"/>
        </w:rPr>
        <w:t>40.2中标候选人并列的，由并列的供应商随机抽取的方式确定中标候选顺序，按照投标文件解密先后顺序进行。</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41.中标结果公告</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自中标人确定之日起2个工作日内，采购代理机构在招标公告发布媒体上公告中标结果。</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42.中标通知书和招标结果通知书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42.1在公告中标结果的同时，采购代理机构向中标人发出中标通知书，向未中标的投标人发出招标结果通知书。</w:t>
      </w:r>
    </w:p>
    <w:p>
      <w:pPr>
        <w:spacing w:line="360" w:lineRule="auto"/>
        <w:ind w:firstLine="435"/>
        <w:rPr>
          <w:rFonts w:ascii="宋体" w:hAnsi="宋体"/>
          <w:color w:val="auto"/>
          <w:szCs w:val="21"/>
          <w:highlight w:val="none"/>
        </w:rPr>
      </w:pPr>
      <w:r>
        <w:rPr>
          <w:rFonts w:ascii="宋体" w:hAnsi="宋体"/>
          <w:color w:val="auto"/>
          <w:szCs w:val="21"/>
          <w:highlight w:val="none"/>
        </w:rPr>
        <w:t>42.2因重大变故采购任务取消时，采购人有权拒绝任何投标人中标，且对受影响的投标人不承担任何责任。</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43.签订合同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采购人按照法律法规的规定与中标人签订书面合同。</w:t>
      </w:r>
    </w:p>
    <w:p>
      <w:pPr>
        <w:pStyle w:val="18"/>
        <w:rPr>
          <w:rFonts w:ascii="宋体" w:hAnsi="宋体"/>
          <w:color w:val="auto"/>
          <w:highlight w:val="none"/>
        </w:rPr>
      </w:pPr>
    </w:p>
    <w:p>
      <w:pPr>
        <w:pStyle w:val="19"/>
        <w:ind w:firstLine="280"/>
        <w:rPr>
          <w:rFonts w:ascii="宋体" w:hAnsi="宋体"/>
          <w:color w:val="auto"/>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pStyle w:val="2"/>
        <w:spacing w:before="0" w:after="0"/>
        <w:rPr>
          <w:rFonts w:ascii="宋体" w:hAnsi="宋体"/>
          <w:color w:val="auto"/>
          <w:szCs w:val="21"/>
          <w:highlight w:val="none"/>
        </w:rPr>
      </w:pPr>
      <w:bookmarkStart w:id="48" w:name="_Toc34844744"/>
      <w:bookmarkStart w:id="49" w:name="_Toc110177697"/>
      <w:r>
        <w:rPr>
          <w:rFonts w:ascii="宋体" w:hAnsi="宋体"/>
          <w:color w:val="auto"/>
          <w:highlight w:val="none"/>
        </w:rPr>
        <w:t>第四章  评标方法和标准</w:t>
      </w:r>
      <w:bookmarkEnd w:id="48"/>
      <w:bookmarkEnd w:id="49"/>
    </w:p>
    <w:p>
      <w:pPr>
        <w:pStyle w:val="278"/>
        <w:spacing w:before="0" w:beforeLines="0" w:after="0" w:afterLines="0" w:line="360" w:lineRule="auto"/>
        <w:jc w:val="center"/>
        <w:rPr>
          <w:rFonts w:ascii="宋体" w:hAnsi="宋体" w:eastAsia="宋体"/>
          <w:color w:val="auto"/>
          <w:sz w:val="21"/>
          <w:szCs w:val="21"/>
          <w:highlight w:val="none"/>
        </w:rPr>
      </w:pPr>
      <w:bookmarkStart w:id="50" w:name="_Toc110177698"/>
      <w:r>
        <w:rPr>
          <w:rFonts w:ascii="宋体" w:hAnsi="宋体" w:eastAsia="宋体"/>
          <w:color w:val="auto"/>
          <w:sz w:val="21"/>
          <w:szCs w:val="21"/>
          <w:highlight w:val="none"/>
        </w:rPr>
        <w:t>一、总则</w:t>
      </w:r>
      <w:bookmarkEnd w:id="50"/>
    </w:p>
    <w:p>
      <w:pPr>
        <w:spacing w:line="360" w:lineRule="auto"/>
        <w:ind w:firstLine="420" w:firstLineChars="200"/>
        <w:rPr>
          <w:rFonts w:ascii="宋体" w:hAnsi="宋体"/>
          <w:color w:val="auto"/>
          <w:szCs w:val="21"/>
          <w:highlight w:val="none"/>
        </w:rPr>
      </w:pPr>
      <w:r>
        <w:rPr>
          <w:rFonts w:ascii="宋体" w:hAnsi="宋体"/>
          <w:color w:val="auto"/>
          <w:szCs w:val="21"/>
          <w:highlight w:val="none"/>
        </w:rPr>
        <w:t>遵循公开、公正、公平、择优和诚实信用的原则，评标人员应本着认真、公正、诚实、廉洁的精神进行评标工作，择优推荐中标候选人。评标委员会成员必须严格遵守保密规定，不得泄露评标的有关情况。</w:t>
      </w:r>
    </w:p>
    <w:p>
      <w:pPr>
        <w:pStyle w:val="278"/>
        <w:spacing w:before="0" w:beforeLines="0" w:after="0" w:afterLines="0" w:line="360" w:lineRule="auto"/>
        <w:jc w:val="center"/>
        <w:rPr>
          <w:rFonts w:ascii="宋体" w:hAnsi="宋体" w:eastAsia="宋体"/>
          <w:color w:val="auto"/>
          <w:sz w:val="21"/>
          <w:szCs w:val="21"/>
          <w:highlight w:val="none"/>
        </w:rPr>
      </w:pPr>
      <w:bookmarkStart w:id="51" w:name="_Toc110177699"/>
      <w:r>
        <w:rPr>
          <w:rFonts w:ascii="宋体" w:hAnsi="宋体" w:eastAsia="宋体"/>
          <w:color w:val="auto"/>
          <w:sz w:val="21"/>
          <w:szCs w:val="21"/>
          <w:highlight w:val="none"/>
        </w:rPr>
        <w:t>二、评标方法</w:t>
      </w:r>
      <w:bookmarkEnd w:id="51"/>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本项目采用综合评分法进行评审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评标时，评标委员会各成员独立对每个投标人的投标文件进行评价，根据评委打分表的评分标准和评分范围，逐栏打分并汇总。单项评分均为小数点后四舍五入保留一位小数。评委打分表中分值重复的数值上限不含本数,下限含本数。投标人的最终评标得分为所有评委评分的算术平均数，小数点后四舍五入保留二位小数。</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2.价格扣除（价格优惠）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对满足价格扣除条件且在投标文件中提交了《中小企业声明函》《残疾人福利性单位声明函》或省级以上监狱管理局、戒毒管理局（含新疆生产建设兵团）出具的属于监狱企业的证明文件的投标人，对其投标报价给予</w:t>
      </w:r>
      <w:r>
        <w:rPr>
          <w:rFonts w:ascii="宋体" w:hAnsi="宋体"/>
          <w:color w:val="auto"/>
          <w:szCs w:val="21"/>
          <w:highlight w:val="none"/>
          <w:u w:val="single"/>
        </w:rPr>
        <w:t xml:space="preserve"> 10 </w:t>
      </w:r>
      <w:r>
        <w:rPr>
          <w:rFonts w:ascii="宋体" w:hAnsi="宋体"/>
          <w:color w:val="auto"/>
          <w:szCs w:val="21"/>
          <w:highlight w:val="none"/>
        </w:rPr>
        <w:t>%的扣除。</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hAnsi="宋体"/>
          <w:color w:val="auto"/>
          <w:szCs w:val="21"/>
          <w:highlight w:val="none"/>
          <w:u w:val="single"/>
        </w:rPr>
        <w:t xml:space="preserve"> 4 </w:t>
      </w:r>
      <w:r>
        <w:rPr>
          <w:rFonts w:ascii="宋体" w:hAnsi="宋体"/>
          <w:color w:val="auto"/>
          <w:szCs w:val="21"/>
          <w:highlight w:val="none"/>
        </w:rPr>
        <w:t>%的扣除。</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（3）符合采购标的对应的中小企业划分标准所属行业：</w:t>
      </w:r>
      <w:r>
        <w:rPr>
          <w:rFonts w:ascii="宋体" w:hAnsi="宋体"/>
          <w:b/>
          <w:color w:val="auto"/>
          <w:szCs w:val="21"/>
          <w:highlight w:val="none"/>
          <w:u w:val="single"/>
        </w:rPr>
        <w:t>2024年宁波市食品安全抽检监测项目</w:t>
      </w:r>
      <w:r>
        <w:rPr>
          <w:rFonts w:ascii="宋体" w:hAnsi="宋体"/>
          <w:b/>
          <w:color w:val="auto"/>
          <w:szCs w:val="21"/>
          <w:highlight w:val="none"/>
        </w:rPr>
        <w:t>，属于</w:t>
      </w:r>
      <w:r>
        <w:rPr>
          <w:rFonts w:ascii="宋体" w:hAnsi="宋体"/>
          <w:b/>
          <w:color w:val="auto"/>
          <w:szCs w:val="21"/>
          <w:highlight w:val="none"/>
          <w:u w:val="single"/>
        </w:rPr>
        <w:t>其他未列明行业</w:t>
      </w:r>
      <w:r>
        <w:rPr>
          <w:rFonts w:ascii="宋体" w:hAnsi="宋体"/>
          <w:b/>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中小企业划分标准以《工业和信息化部、国家统计局、国家发展和改革委员会、财政部关于印发中小企业划型标准规定的通知》（工信部联企业[2011]300号）规定的划分标准为准。</w:t>
      </w:r>
    </w:p>
    <w:p>
      <w:pPr>
        <w:snapToGrid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本项目</w:t>
      </w:r>
      <w:r>
        <w:rPr>
          <w:rFonts w:hint="eastAsia" w:ascii="宋体" w:hAnsi="宋体"/>
          <w:b/>
          <w:color w:val="auto"/>
          <w:szCs w:val="21"/>
          <w:highlight w:val="none"/>
        </w:rPr>
        <w:t>标项一</w:t>
      </w:r>
      <w:r>
        <w:rPr>
          <w:rFonts w:ascii="宋体" w:hAnsi="宋体"/>
          <w:b/>
          <w:color w:val="auto"/>
          <w:szCs w:val="21"/>
          <w:highlight w:val="none"/>
        </w:rPr>
        <w:t>为专门面向中小企业采购，不执行价格评审优惠的扶持政策。</w:t>
      </w:r>
    </w:p>
    <w:p>
      <w:pPr>
        <w:pStyle w:val="278"/>
        <w:spacing w:before="0" w:beforeLines="0" w:after="0" w:afterLines="0" w:line="360" w:lineRule="auto"/>
        <w:jc w:val="center"/>
        <w:rPr>
          <w:rFonts w:ascii="宋体" w:hAnsi="宋体" w:eastAsia="宋体"/>
          <w:color w:val="auto"/>
          <w:sz w:val="21"/>
          <w:szCs w:val="21"/>
          <w:highlight w:val="none"/>
        </w:rPr>
      </w:pPr>
      <w:bookmarkStart w:id="52" w:name="_Toc110177700"/>
      <w:r>
        <w:rPr>
          <w:rFonts w:ascii="宋体" w:hAnsi="宋体" w:eastAsia="宋体"/>
          <w:color w:val="auto"/>
          <w:sz w:val="21"/>
          <w:szCs w:val="21"/>
          <w:highlight w:val="none"/>
        </w:rPr>
        <w:t>三、评审程序</w:t>
      </w:r>
      <w:bookmarkEnd w:id="52"/>
    </w:p>
    <w:p>
      <w:pPr>
        <w:spacing w:line="360" w:lineRule="auto"/>
        <w:ind w:firstLine="435"/>
        <w:rPr>
          <w:rFonts w:ascii="宋体" w:hAnsi="宋体"/>
          <w:b/>
          <w:color w:val="auto"/>
          <w:szCs w:val="21"/>
          <w:highlight w:val="none"/>
        </w:rPr>
      </w:pPr>
      <w:r>
        <w:rPr>
          <w:rFonts w:ascii="宋体" w:hAnsi="宋体"/>
          <w:b/>
          <w:color w:val="auto"/>
          <w:szCs w:val="21"/>
          <w:highlight w:val="none"/>
        </w:rPr>
        <w:t>1.资格审查</w:t>
      </w:r>
    </w:p>
    <w:p>
      <w:pPr>
        <w:spacing w:line="360" w:lineRule="auto"/>
        <w:ind w:firstLine="435"/>
        <w:rPr>
          <w:rFonts w:ascii="宋体" w:hAnsi="宋体"/>
          <w:color w:val="auto"/>
          <w:szCs w:val="21"/>
          <w:highlight w:val="none"/>
        </w:rPr>
      </w:pPr>
      <w:r>
        <w:rPr>
          <w:rFonts w:ascii="宋体" w:hAnsi="宋体"/>
          <w:color w:val="auto"/>
          <w:szCs w:val="21"/>
          <w:highlight w:val="none"/>
        </w:rPr>
        <w:t>由采购人或采购代理机构对投标人进行资格审查。资格审查内容如下：</w:t>
      </w:r>
    </w:p>
    <w:tbl>
      <w:tblPr>
        <w:tblStyle w:val="43"/>
        <w:tblW w:w="88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268"/>
        <w:gridCol w:w="4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序号</w:t>
            </w:r>
          </w:p>
        </w:tc>
        <w:tc>
          <w:tcPr>
            <w:tcW w:w="1134" w:type="dxa"/>
            <w:tcBorders>
              <w:bottom w:val="single" w:color="auto" w:sz="4" w:space="0"/>
            </w:tcBorders>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评审内容</w:t>
            </w:r>
          </w:p>
        </w:tc>
        <w:tc>
          <w:tcPr>
            <w:tcW w:w="2268" w:type="dxa"/>
            <w:tcBorders>
              <w:bottom w:val="single" w:color="auto" w:sz="4" w:space="0"/>
            </w:tcBorders>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审查要求</w:t>
            </w:r>
          </w:p>
        </w:tc>
        <w:tc>
          <w:tcPr>
            <w:tcW w:w="4761" w:type="dxa"/>
            <w:tcBorders>
              <w:bottom w:val="single" w:color="auto" w:sz="4" w:space="0"/>
            </w:tcBorders>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1</w:t>
            </w:r>
          </w:p>
        </w:tc>
        <w:tc>
          <w:tcPr>
            <w:tcW w:w="1134" w:type="dxa"/>
            <w:vAlign w:val="center"/>
          </w:tcPr>
          <w:p>
            <w:pPr>
              <w:ind w:right="-10"/>
              <w:jc w:val="left"/>
              <w:rPr>
                <w:rFonts w:ascii="宋体" w:hAnsi="宋体"/>
                <w:color w:val="auto"/>
                <w:szCs w:val="21"/>
                <w:highlight w:val="none"/>
              </w:rPr>
            </w:pPr>
            <w:r>
              <w:rPr>
                <w:rFonts w:ascii="宋体" w:hAnsi="宋体"/>
                <w:color w:val="auto"/>
                <w:szCs w:val="21"/>
                <w:highlight w:val="none"/>
              </w:rPr>
              <w:t>基本资质</w:t>
            </w:r>
          </w:p>
        </w:tc>
        <w:tc>
          <w:tcPr>
            <w:tcW w:w="2268" w:type="dxa"/>
            <w:vAlign w:val="center"/>
          </w:tcPr>
          <w:p>
            <w:pPr>
              <w:ind w:right="-10"/>
              <w:jc w:val="left"/>
              <w:rPr>
                <w:rFonts w:ascii="宋体" w:hAnsi="宋体"/>
                <w:color w:val="auto"/>
                <w:szCs w:val="21"/>
                <w:highlight w:val="none"/>
              </w:rPr>
            </w:pPr>
            <w:r>
              <w:rPr>
                <w:rFonts w:ascii="宋体" w:hAnsi="宋体"/>
                <w:color w:val="auto"/>
                <w:szCs w:val="21"/>
                <w:highlight w:val="none"/>
              </w:rPr>
              <w:t>满足《中华人民共和国政府采购法》第二十二条第一款规定</w:t>
            </w:r>
          </w:p>
        </w:tc>
        <w:tc>
          <w:tcPr>
            <w:tcW w:w="4761" w:type="dxa"/>
            <w:vAlign w:val="center"/>
          </w:tcPr>
          <w:p>
            <w:pPr>
              <w:jc w:val="left"/>
              <w:rPr>
                <w:rFonts w:ascii="宋体" w:hAnsi="宋体"/>
                <w:color w:val="auto"/>
                <w:szCs w:val="21"/>
                <w:highlight w:val="none"/>
              </w:rPr>
            </w:pPr>
            <w:r>
              <w:rPr>
                <w:rFonts w:ascii="宋体" w:hAnsi="宋体"/>
                <w:color w:val="auto"/>
                <w:szCs w:val="21"/>
                <w:highlight w:val="none"/>
              </w:rPr>
              <w:t>资格要求响应文件内提供《供应商资格声明函》（联合体投标的，联合体各方均须提供）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2</w:t>
            </w:r>
          </w:p>
        </w:tc>
        <w:tc>
          <w:tcPr>
            <w:tcW w:w="1134" w:type="dxa"/>
            <w:vAlign w:val="center"/>
          </w:tcPr>
          <w:p>
            <w:pPr>
              <w:ind w:right="-10"/>
              <w:jc w:val="left"/>
              <w:rPr>
                <w:rFonts w:ascii="宋体" w:hAnsi="宋体"/>
                <w:color w:val="auto"/>
                <w:szCs w:val="21"/>
                <w:highlight w:val="none"/>
              </w:rPr>
            </w:pPr>
            <w:r>
              <w:rPr>
                <w:rFonts w:ascii="宋体" w:hAnsi="宋体"/>
                <w:color w:val="auto"/>
                <w:szCs w:val="21"/>
                <w:highlight w:val="none"/>
              </w:rPr>
              <w:t>营业执照</w:t>
            </w:r>
          </w:p>
        </w:tc>
        <w:tc>
          <w:tcPr>
            <w:tcW w:w="2268" w:type="dxa"/>
            <w:vAlign w:val="center"/>
          </w:tcPr>
          <w:p>
            <w:pPr>
              <w:ind w:right="-10"/>
              <w:jc w:val="left"/>
              <w:rPr>
                <w:rFonts w:ascii="宋体" w:hAnsi="宋体"/>
                <w:color w:val="auto"/>
                <w:szCs w:val="21"/>
                <w:highlight w:val="none"/>
              </w:rPr>
            </w:pPr>
            <w:r>
              <w:rPr>
                <w:rFonts w:hint="eastAsia" w:ascii="宋体" w:hAnsi="宋体"/>
                <w:color w:val="auto"/>
                <w:szCs w:val="21"/>
                <w:highlight w:val="none"/>
              </w:rPr>
              <w:t>有效的营业执照或事业单位法人证书或社会团体法人登记证书或民办非企业单位登记证书等机构登记证明复印件</w:t>
            </w:r>
          </w:p>
        </w:tc>
        <w:tc>
          <w:tcPr>
            <w:tcW w:w="4761" w:type="dxa"/>
            <w:vAlign w:val="center"/>
          </w:tcPr>
          <w:p>
            <w:pPr>
              <w:jc w:val="left"/>
              <w:rPr>
                <w:rFonts w:ascii="宋体" w:hAnsi="宋体"/>
                <w:color w:val="auto"/>
                <w:szCs w:val="21"/>
                <w:highlight w:val="none"/>
              </w:rPr>
            </w:pPr>
            <w:r>
              <w:rPr>
                <w:rFonts w:ascii="宋体" w:hAnsi="宋体"/>
                <w:color w:val="auto"/>
                <w:szCs w:val="21"/>
                <w:highlight w:val="none"/>
              </w:rPr>
              <w:t>资格要求响应文件内提供有效</w:t>
            </w:r>
            <w:r>
              <w:rPr>
                <w:rFonts w:ascii="宋体" w:hAnsi="宋体"/>
                <w:color w:val="auto"/>
                <w:kern w:val="1"/>
                <w:szCs w:val="21"/>
                <w:highlight w:val="none"/>
              </w:rPr>
              <w:t>的营业执照或事业单位法人证书或社会团体法人登记证书或民办非企业单位登记证书等机构登记证明，</w:t>
            </w:r>
            <w:r>
              <w:rPr>
                <w:rFonts w:ascii="宋体" w:hAnsi="宋体"/>
                <w:color w:val="auto"/>
                <w:szCs w:val="21"/>
                <w:highlight w:val="none"/>
              </w:rPr>
              <w:t>应完整清晰的体现出证明材料的全部内容。（联合体投标的，联合体各方均须提供）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3</w:t>
            </w:r>
          </w:p>
        </w:tc>
        <w:tc>
          <w:tcPr>
            <w:tcW w:w="1134" w:type="dxa"/>
            <w:vAlign w:val="center"/>
          </w:tcPr>
          <w:p>
            <w:pPr>
              <w:ind w:right="-10"/>
              <w:jc w:val="left"/>
              <w:rPr>
                <w:rFonts w:ascii="宋体" w:hAnsi="宋体"/>
                <w:color w:val="auto"/>
                <w:szCs w:val="21"/>
                <w:highlight w:val="none"/>
              </w:rPr>
            </w:pPr>
            <w:r>
              <w:rPr>
                <w:rFonts w:ascii="宋体" w:hAnsi="宋体"/>
                <w:color w:val="auto"/>
                <w:szCs w:val="21"/>
                <w:highlight w:val="none"/>
              </w:rPr>
              <w:t>落实政府采购政策需满足的资格要求</w:t>
            </w:r>
          </w:p>
        </w:tc>
        <w:tc>
          <w:tcPr>
            <w:tcW w:w="2268" w:type="dxa"/>
            <w:vAlign w:val="center"/>
          </w:tcPr>
          <w:p>
            <w:pPr>
              <w:ind w:right="-10"/>
              <w:jc w:val="left"/>
              <w:rPr>
                <w:rFonts w:ascii="宋体" w:hAnsi="宋体"/>
                <w:color w:val="auto"/>
                <w:szCs w:val="21"/>
                <w:highlight w:val="none"/>
              </w:rPr>
            </w:pPr>
            <w:r>
              <w:rPr>
                <w:rFonts w:hint="eastAsia" w:ascii="宋体" w:hAnsi="宋体"/>
                <w:color w:val="auto"/>
                <w:szCs w:val="21"/>
                <w:highlight w:val="none"/>
              </w:rPr>
              <w:t>服务由符合政策要求的中小企业承接</w:t>
            </w:r>
          </w:p>
        </w:tc>
        <w:tc>
          <w:tcPr>
            <w:tcW w:w="4761" w:type="dxa"/>
            <w:vAlign w:val="center"/>
          </w:tcPr>
          <w:p>
            <w:pPr>
              <w:jc w:val="left"/>
              <w:rPr>
                <w:rFonts w:ascii="宋体" w:hAnsi="宋体"/>
                <w:color w:val="auto"/>
                <w:szCs w:val="21"/>
                <w:highlight w:val="none"/>
              </w:rPr>
            </w:pPr>
            <w:r>
              <w:rPr>
                <w:rFonts w:ascii="宋体" w:hAnsi="宋体"/>
                <w:color w:val="auto"/>
                <w:szCs w:val="21"/>
                <w:highlight w:val="none"/>
              </w:rPr>
              <w:t>提供符合要求的中小企业声明函或残疾人福利性单位声明函或监狱企业证明文件（联合体投标的，联合体各方均须提供）</w:t>
            </w:r>
            <w:r>
              <w:rPr>
                <w:rFonts w:hint="eastAsia" w:ascii="宋体" w:hAnsi="宋体"/>
                <w:color w:val="auto"/>
                <w:szCs w:val="21"/>
                <w:highlight w:val="none"/>
              </w:rPr>
              <w:t>标项二、三、四</w:t>
            </w:r>
            <w:r>
              <w:rPr>
                <w:rFonts w:ascii="宋体" w:hAnsi="宋体"/>
                <w:color w:val="auto"/>
                <w:szCs w:val="21"/>
                <w:highlight w:val="none"/>
              </w:rPr>
              <w:t>的投标人无需提供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4</w:t>
            </w:r>
          </w:p>
        </w:tc>
        <w:tc>
          <w:tcPr>
            <w:tcW w:w="1134" w:type="dxa"/>
            <w:vAlign w:val="center"/>
          </w:tcPr>
          <w:p>
            <w:pPr>
              <w:ind w:right="-10"/>
              <w:jc w:val="left"/>
              <w:rPr>
                <w:rFonts w:ascii="宋体" w:hAnsi="宋体"/>
                <w:color w:val="auto"/>
                <w:szCs w:val="21"/>
                <w:highlight w:val="none"/>
              </w:rPr>
            </w:pPr>
            <w:r>
              <w:rPr>
                <w:rFonts w:ascii="宋体" w:hAnsi="宋体"/>
                <w:color w:val="auto"/>
                <w:szCs w:val="21"/>
                <w:highlight w:val="none"/>
              </w:rPr>
              <w:t>特定资质</w:t>
            </w:r>
          </w:p>
        </w:tc>
        <w:tc>
          <w:tcPr>
            <w:tcW w:w="2268" w:type="dxa"/>
            <w:vAlign w:val="center"/>
          </w:tcPr>
          <w:p>
            <w:pPr>
              <w:ind w:right="-10"/>
              <w:jc w:val="left"/>
              <w:rPr>
                <w:rFonts w:ascii="宋体" w:hAnsi="宋体"/>
                <w:color w:val="auto"/>
                <w:szCs w:val="21"/>
                <w:highlight w:val="none"/>
              </w:rPr>
            </w:pPr>
            <w:r>
              <w:rPr>
                <w:rFonts w:ascii="宋体" w:hAnsi="宋体"/>
                <w:color w:val="auto"/>
                <w:szCs w:val="21"/>
                <w:highlight w:val="none"/>
              </w:rPr>
              <w:t>合法有效的</w:t>
            </w:r>
            <w:r>
              <w:rPr>
                <w:rFonts w:ascii="宋体" w:hAnsi="宋体"/>
                <w:iCs/>
                <w:color w:val="auto"/>
                <w:szCs w:val="21"/>
                <w:highlight w:val="none"/>
              </w:rPr>
              <w:t>检验检测机构资质认定(CMA)证书</w:t>
            </w:r>
            <w:r>
              <w:rPr>
                <w:rFonts w:ascii="宋体" w:hAnsi="宋体"/>
                <w:color w:val="auto"/>
                <w:szCs w:val="21"/>
                <w:highlight w:val="none"/>
              </w:rPr>
              <w:t>复印件</w:t>
            </w:r>
          </w:p>
        </w:tc>
        <w:tc>
          <w:tcPr>
            <w:tcW w:w="4761" w:type="dxa"/>
            <w:vAlign w:val="center"/>
          </w:tcPr>
          <w:p>
            <w:pPr>
              <w:jc w:val="left"/>
              <w:rPr>
                <w:rFonts w:ascii="宋体" w:hAnsi="宋体"/>
                <w:color w:val="auto"/>
                <w:szCs w:val="21"/>
                <w:highlight w:val="none"/>
              </w:rPr>
            </w:pPr>
            <w:r>
              <w:rPr>
                <w:rFonts w:ascii="宋体" w:hAnsi="宋体"/>
                <w:color w:val="auto"/>
                <w:szCs w:val="21"/>
                <w:highlight w:val="none"/>
              </w:rPr>
              <w:t>资格要求响应文件内提供有效</w:t>
            </w:r>
            <w:r>
              <w:rPr>
                <w:rFonts w:ascii="宋体" w:hAnsi="宋体"/>
                <w:color w:val="auto"/>
                <w:kern w:val="1"/>
                <w:szCs w:val="21"/>
                <w:highlight w:val="none"/>
              </w:rPr>
              <w:t>的</w:t>
            </w:r>
            <w:r>
              <w:rPr>
                <w:rFonts w:ascii="宋体" w:hAnsi="宋体"/>
                <w:color w:val="auto"/>
                <w:szCs w:val="21"/>
                <w:highlight w:val="none"/>
              </w:rPr>
              <w:t>检验检测机构资质认定(CMA)证书复制件（包括拍照、复印、扫描等）</w:t>
            </w:r>
            <w:r>
              <w:rPr>
                <w:rFonts w:ascii="宋体" w:hAnsi="宋体"/>
                <w:color w:val="auto"/>
                <w:kern w:val="1"/>
                <w:szCs w:val="21"/>
                <w:highlight w:val="none"/>
              </w:rPr>
              <w:t>，</w:t>
            </w:r>
            <w:r>
              <w:rPr>
                <w:rFonts w:ascii="宋体" w:hAnsi="宋体"/>
                <w:color w:val="auto"/>
                <w:szCs w:val="21"/>
                <w:highlight w:val="none"/>
              </w:rPr>
              <w:t>应完整清晰的体现出证明材料的全部内容。（联合体投标的，联合体各方均须提供）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5</w:t>
            </w:r>
          </w:p>
        </w:tc>
        <w:tc>
          <w:tcPr>
            <w:tcW w:w="1134" w:type="dxa"/>
            <w:vAlign w:val="center"/>
          </w:tcPr>
          <w:p>
            <w:pPr>
              <w:ind w:right="-10"/>
              <w:jc w:val="left"/>
              <w:rPr>
                <w:rFonts w:ascii="宋体" w:hAnsi="宋体"/>
                <w:color w:val="auto"/>
                <w:szCs w:val="21"/>
                <w:highlight w:val="none"/>
              </w:rPr>
            </w:pPr>
            <w:r>
              <w:rPr>
                <w:rFonts w:ascii="宋体" w:hAnsi="宋体"/>
                <w:color w:val="auto"/>
                <w:szCs w:val="21"/>
                <w:highlight w:val="none"/>
              </w:rPr>
              <w:t>联合协议</w:t>
            </w:r>
          </w:p>
        </w:tc>
        <w:tc>
          <w:tcPr>
            <w:tcW w:w="2268" w:type="dxa"/>
            <w:vAlign w:val="center"/>
          </w:tcPr>
          <w:p>
            <w:pPr>
              <w:ind w:right="-107"/>
              <w:jc w:val="left"/>
              <w:rPr>
                <w:rFonts w:ascii="宋体" w:hAnsi="宋体"/>
                <w:color w:val="auto"/>
                <w:szCs w:val="21"/>
                <w:highlight w:val="none"/>
              </w:rPr>
            </w:pPr>
            <w:r>
              <w:rPr>
                <w:rFonts w:ascii="宋体" w:hAnsi="宋体"/>
                <w:color w:val="auto"/>
                <w:szCs w:val="21"/>
                <w:highlight w:val="none"/>
              </w:rPr>
              <w:t>格式、填写、签署及盖章符合招标文件要求</w:t>
            </w:r>
          </w:p>
        </w:tc>
        <w:tc>
          <w:tcPr>
            <w:tcW w:w="4761" w:type="dxa"/>
            <w:vAlign w:val="center"/>
          </w:tcPr>
          <w:p>
            <w:pPr>
              <w:adjustRightInd w:val="0"/>
              <w:snapToGrid w:val="0"/>
              <w:ind w:right="-10"/>
              <w:jc w:val="left"/>
              <w:rPr>
                <w:rFonts w:ascii="宋体" w:hAnsi="宋体"/>
                <w:color w:val="auto"/>
                <w:szCs w:val="21"/>
                <w:highlight w:val="none"/>
              </w:rPr>
            </w:pPr>
            <w:r>
              <w:rPr>
                <w:rFonts w:ascii="宋体" w:hAnsi="宋体"/>
                <w:color w:val="auto"/>
                <w:szCs w:val="21"/>
                <w:highlight w:val="none"/>
              </w:rPr>
              <w:t>资格要求响应文件内提供有效</w:t>
            </w:r>
            <w:r>
              <w:rPr>
                <w:rFonts w:ascii="宋体" w:hAnsi="宋体"/>
                <w:color w:val="auto"/>
                <w:kern w:val="1"/>
                <w:szCs w:val="21"/>
                <w:highlight w:val="none"/>
              </w:rPr>
              <w:t>的</w:t>
            </w:r>
            <w:r>
              <w:rPr>
                <w:rFonts w:ascii="宋体" w:hAnsi="宋体"/>
                <w:color w:val="auto"/>
                <w:szCs w:val="21"/>
                <w:highlight w:val="none"/>
              </w:rPr>
              <w:t>联合协议（未组成联合体投标的无须提供，否则必须提供）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6</w:t>
            </w:r>
          </w:p>
        </w:tc>
        <w:tc>
          <w:tcPr>
            <w:tcW w:w="1134" w:type="dxa"/>
            <w:vAlign w:val="center"/>
          </w:tcPr>
          <w:p>
            <w:pPr>
              <w:ind w:right="-10"/>
              <w:jc w:val="left"/>
              <w:rPr>
                <w:rFonts w:ascii="宋体" w:hAnsi="宋体"/>
                <w:color w:val="auto"/>
                <w:szCs w:val="21"/>
                <w:highlight w:val="none"/>
              </w:rPr>
            </w:pPr>
            <w:r>
              <w:rPr>
                <w:rFonts w:hint="eastAsia" w:ascii="宋体" w:hAnsi="宋体"/>
                <w:color w:val="auto"/>
                <w:szCs w:val="21"/>
                <w:highlight w:val="none"/>
              </w:rPr>
              <w:t>信用情况</w:t>
            </w:r>
          </w:p>
        </w:tc>
        <w:tc>
          <w:tcPr>
            <w:tcW w:w="2268" w:type="dxa"/>
            <w:vAlign w:val="center"/>
          </w:tcPr>
          <w:p>
            <w:pPr>
              <w:ind w:right="-10"/>
              <w:jc w:val="left"/>
              <w:rPr>
                <w:rFonts w:ascii="宋体" w:hAnsi="宋体"/>
                <w:color w:val="auto"/>
                <w:szCs w:val="21"/>
                <w:highlight w:val="none"/>
              </w:rPr>
            </w:pPr>
            <w:r>
              <w:rPr>
                <w:rFonts w:hint="eastAsia" w:ascii="宋体" w:hAnsi="宋体"/>
                <w:color w:val="auto"/>
                <w:szCs w:val="21"/>
                <w:highlight w:val="none"/>
              </w:rPr>
              <w:t>未被“信用中国”（www.creditchina.gov.cn)、中国政府采购网（www.ccgp.gov.cn）列入失信被执行人、重大税收违法失信主体、政府采购严重违法失信行为记录名单</w:t>
            </w:r>
          </w:p>
        </w:tc>
        <w:tc>
          <w:tcPr>
            <w:tcW w:w="4761" w:type="dxa"/>
            <w:vAlign w:val="center"/>
          </w:tcPr>
          <w:p>
            <w:pPr>
              <w:adjustRightInd w:val="0"/>
              <w:snapToGrid w:val="0"/>
              <w:ind w:right="-10"/>
              <w:jc w:val="left"/>
              <w:rPr>
                <w:rFonts w:ascii="宋体" w:hAnsi="宋体"/>
                <w:color w:val="auto"/>
                <w:szCs w:val="21"/>
                <w:highlight w:val="none"/>
              </w:rPr>
            </w:pPr>
            <w:r>
              <w:rPr>
                <w:rFonts w:hint="eastAsia" w:ascii="宋体" w:hAnsi="宋体"/>
                <w:color w:val="auto"/>
                <w:szCs w:val="21"/>
                <w:highlight w:val="none"/>
              </w:rPr>
              <w:t>无需提供材料。</w:t>
            </w:r>
          </w:p>
        </w:tc>
      </w:tr>
    </w:tbl>
    <w:p>
      <w:pPr>
        <w:spacing w:line="360" w:lineRule="auto"/>
        <w:ind w:firstLine="437"/>
        <w:rPr>
          <w:rFonts w:ascii="宋体" w:hAnsi="宋体"/>
          <w:color w:val="auto"/>
          <w:szCs w:val="21"/>
          <w:highlight w:val="none"/>
        </w:rPr>
      </w:pPr>
      <w:r>
        <w:rPr>
          <w:rFonts w:ascii="宋体" w:hAnsi="宋体"/>
          <w:b/>
          <w:bCs/>
          <w:color w:val="auto"/>
          <w:szCs w:val="21"/>
          <w:highlight w:val="none"/>
        </w:rPr>
        <w:t>资格审查指标通过标准：</w:t>
      </w:r>
      <w:r>
        <w:rPr>
          <w:rFonts w:ascii="宋体" w:hAnsi="宋体"/>
          <w:color w:val="auto"/>
          <w:szCs w:val="21"/>
          <w:highlight w:val="none"/>
        </w:rPr>
        <w:t>投标人必须通过资格审查表中的全部评审指标。</w:t>
      </w:r>
    </w:p>
    <w:p>
      <w:pPr>
        <w:spacing w:line="360" w:lineRule="auto"/>
        <w:ind w:firstLine="435"/>
        <w:rPr>
          <w:rFonts w:ascii="宋体" w:hAnsi="宋体"/>
          <w:b/>
          <w:color w:val="auto"/>
          <w:szCs w:val="21"/>
          <w:highlight w:val="none"/>
        </w:rPr>
      </w:pPr>
      <w:r>
        <w:rPr>
          <w:rFonts w:ascii="宋体" w:hAnsi="宋体"/>
          <w:b/>
          <w:color w:val="auto"/>
          <w:szCs w:val="21"/>
          <w:highlight w:val="none"/>
        </w:rPr>
        <w:t>2.符合性审查</w:t>
      </w:r>
    </w:p>
    <w:p>
      <w:pPr>
        <w:spacing w:line="360" w:lineRule="auto"/>
        <w:ind w:firstLine="437"/>
        <w:rPr>
          <w:rFonts w:ascii="宋体" w:hAnsi="宋体"/>
          <w:color w:val="auto"/>
          <w:szCs w:val="21"/>
          <w:highlight w:val="none"/>
        </w:rPr>
      </w:pPr>
      <w:r>
        <w:rPr>
          <w:rFonts w:ascii="宋体" w:hAnsi="宋体"/>
          <w:color w:val="auto"/>
          <w:szCs w:val="21"/>
          <w:highlight w:val="none"/>
        </w:rPr>
        <w:t>评标委员会对通过资格审查的投标人的投标文件进行符合性审查，以确定其是否满足招标文件的实质性要求。符合性审查内容如下：</w:t>
      </w:r>
    </w:p>
    <w:tbl>
      <w:tblPr>
        <w:tblStyle w:val="43"/>
        <w:tblW w:w="89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序号</w:t>
            </w:r>
          </w:p>
        </w:tc>
        <w:tc>
          <w:tcPr>
            <w:tcW w:w="1690" w:type="dxa"/>
            <w:tcBorders>
              <w:bottom w:val="single" w:color="auto" w:sz="4" w:space="0"/>
            </w:tcBorders>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评审内容</w:t>
            </w:r>
          </w:p>
        </w:tc>
        <w:tc>
          <w:tcPr>
            <w:tcW w:w="3260" w:type="dxa"/>
            <w:tcBorders>
              <w:bottom w:val="single" w:color="auto" w:sz="4" w:space="0"/>
            </w:tcBorders>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要求</w:t>
            </w:r>
          </w:p>
        </w:tc>
        <w:tc>
          <w:tcPr>
            <w:tcW w:w="3260" w:type="dxa"/>
            <w:tcBorders>
              <w:bottom w:val="single" w:color="auto" w:sz="4" w:space="0"/>
            </w:tcBorders>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1</w:t>
            </w:r>
          </w:p>
        </w:tc>
        <w:tc>
          <w:tcPr>
            <w:tcW w:w="1690" w:type="dxa"/>
            <w:vAlign w:val="center"/>
          </w:tcPr>
          <w:p>
            <w:pPr>
              <w:ind w:right="-10"/>
              <w:jc w:val="left"/>
              <w:rPr>
                <w:rFonts w:ascii="宋体" w:hAnsi="宋体"/>
                <w:color w:val="auto"/>
                <w:szCs w:val="21"/>
                <w:highlight w:val="none"/>
              </w:rPr>
            </w:pPr>
            <w:r>
              <w:rPr>
                <w:rFonts w:ascii="宋体" w:hAnsi="宋体"/>
                <w:color w:val="auto"/>
                <w:szCs w:val="21"/>
                <w:highlight w:val="none"/>
              </w:rPr>
              <w:t>投标报价</w:t>
            </w:r>
          </w:p>
        </w:tc>
        <w:tc>
          <w:tcPr>
            <w:tcW w:w="3260" w:type="dxa"/>
            <w:vAlign w:val="center"/>
          </w:tcPr>
          <w:p>
            <w:pPr>
              <w:ind w:right="-10"/>
              <w:jc w:val="left"/>
              <w:rPr>
                <w:rFonts w:ascii="宋体" w:hAnsi="宋体"/>
                <w:color w:val="auto"/>
                <w:szCs w:val="21"/>
                <w:highlight w:val="none"/>
              </w:rPr>
            </w:pPr>
            <w:r>
              <w:rPr>
                <w:rFonts w:ascii="宋体" w:hAnsi="宋体"/>
                <w:color w:val="auto"/>
                <w:szCs w:val="21"/>
                <w:highlight w:val="none"/>
              </w:rPr>
              <w:t>格式、金额（下浮率）符合招标文件要求并加盖公章</w:t>
            </w:r>
          </w:p>
        </w:tc>
        <w:tc>
          <w:tcPr>
            <w:tcW w:w="3260" w:type="dxa"/>
            <w:vAlign w:val="center"/>
          </w:tcPr>
          <w:p>
            <w:pPr>
              <w:adjustRightInd w:val="0"/>
              <w:snapToGrid w:val="0"/>
              <w:ind w:right="-10"/>
              <w:jc w:val="left"/>
              <w:rPr>
                <w:rFonts w:ascii="宋体" w:hAnsi="宋体"/>
                <w:color w:val="auto"/>
                <w:szCs w:val="21"/>
                <w:highlight w:val="none"/>
              </w:rPr>
            </w:pPr>
            <w:r>
              <w:rPr>
                <w:rFonts w:ascii="宋体" w:hAnsi="宋体"/>
                <w:color w:val="auto"/>
                <w:szCs w:val="21"/>
                <w:highlight w:val="none"/>
              </w:rPr>
              <w:t>投标文件内提供《开标一览表》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2</w:t>
            </w:r>
          </w:p>
        </w:tc>
        <w:tc>
          <w:tcPr>
            <w:tcW w:w="1690" w:type="dxa"/>
            <w:vAlign w:val="center"/>
          </w:tcPr>
          <w:p>
            <w:pPr>
              <w:ind w:right="-10"/>
              <w:jc w:val="left"/>
              <w:rPr>
                <w:rFonts w:ascii="宋体" w:hAnsi="宋体"/>
                <w:color w:val="auto"/>
                <w:szCs w:val="21"/>
                <w:highlight w:val="none"/>
              </w:rPr>
            </w:pPr>
            <w:r>
              <w:rPr>
                <w:rFonts w:ascii="宋体" w:hAnsi="宋体"/>
                <w:color w:val="auto"/>
                <w:szCs w:val="21"/>
                <w:highlight w:val="none"/>
              </w:rPr>
              <w:t>投标函</w:t>
            </w:r>
          </w:p>
        </w:tc>
        <w:tc>
          <w:tcPr>
            <w:tcW w:w="3260" w:type="dxa"/>
            <w:vAlign w:val="center"/>
          </w:tcPr>
          <w:p>
            <w:pPr>
              <w:ind w:right="-10"/>
              <w:jc w:val="left"/>
              <w:rPr>
                <w:rFonts w:ascii="宋体" w:hAnsi="宋体"/>
                <w:color w:val="auto"/>
                <w:szCs w:val="21"/>
                <w:highlight w:val="none"/>
              </w:rPr>
            </w:pPr>
            <w:r>
              <w:rPr>
                <w:rFonts w:ascii="宋体" w:hAnsi="宋体"/>
                <w:color w:val="auto"/>
                <w:szCs w:val="21"/>
                <w:highlight w:val="none"/>
              </w:rPr>
              <w:t>投标函格式、填写符合招标文件要求并加盖公章</w:t>
            </w:r>
          </w:p>
        </w:tc>
        <w:tc>
          <w:tcPr>
            <w:tcW w:w="3260" w:type="dxa"/>
            <w:vAlign w:val="center"/>
          </w:tcPr>
          <w:p>
            <w:pPr>
              <w:adjustRightInd w:val="0"/>
              <w:snapToGrid w:val="0"/>
              <w:ind w:right="-10"/>
              <w:jc w:val="left"/>
              <w:rPr>
                <w:rFonts w:ascii="宋体" w:hAnsi="宋体"/>
                <w:color w:val="auto"/>
                <w:szCs w:val="21"/>
                <w:highlight w:val="none"/>
              </w:rPr>
            </w:pPr>
            <w:r>
              <w:rPr>
                <w:rFonts w:ascii="宋体" w:hAnsi="宋体"/>
                <w:color w:val="auto"/>
                <w:szCs w:val="21"/>
                <w:highlight w:val="none"/>
              </w:rPr>
              <w:t>投标文件内提供《投标函》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3</w:t>
            </w:r>
          </w:p>
        </w:tc>
        <w:tc>
          <w:tcPr>
            <w:tcW w:w="1690" w:type="dxa"/>
            <w:vAlign w:val="center"/>
          </w:tcPr>
          <w:p>
            <w:pPr>
              <w:ind w:right="-10"/>
              <w:jc w:val="left"/>
              <w:rPr>
                <w:rFonts w:ascii="宋体" w:hAnsi="宋体"/>
                <w:color w:val="auto"/>
                <w:szCs w:val="21"/>
                <w:highlight w:val="none"/>
              </w:rPr>
            </w:pPr>
            <w:r>
              <w:rPr>
                <w:rFonts w:ascii="宋体" w:hAnsi="宋体"/>
                <w:color w:val="auto"/>
                <w:szCs w:val="21"/>
                <w:highlight w:val="none"/>
              </w:rPr>
              <w:t>投标文件签署</w:t>
            </w:r>
          </w:p>
        </w:tc>
        <w:tc>
          <w:tcPr>
            <w:tcW w:w="3260" w:type="dxa"/>
            <w:vAlign w:val="center"/>
          </w:tcPr>
          <w:p>
            <w:pPr>
              <w:ind w:right="-10"/>
              <w:jc w:val="left"/>
              <w:rPr>
                <w:rFonts w:ascii="宋体" w:hAnsi="宋体"/>
                <w:color w:val="auto"/>
                <w:szCs w:val="21"/>
                <w:highlight w:val="none"/>
              </w:rPr>
            </w:pPr>
            <w:r>
              <w:rPr>
                <w:rFonts w:ascii="宋体" w:hAnsi="宋体"/>
                <w:color w:val="auto"/>
                <w:szCs w:val="21"/>
                <w:highlight w:val="none"/>
              </w:rPr>
              <w:t>投标文件的签署人具有法定签署权或获得有效授权。</w:t>
            </w:r>
          </w:p>
        </w:tc>
        <w:tc>
          <w:tcPr>
            <w:tcW w:w="3260" w:type="dxa"/>
            <w:vAlign w:val="center"/>
          </w:tcPr>
          <w:p>
            <w:pPr>
              <w:adjustRightInd w:val="0"/>
              <w:snapToGrid w:val="0"/>
              <w:ind w:right="-10"/>
              <w:jc w:val="left"/>
              <w:rPr>
                <w:rFonts w:ascii="宋体" w:hAnsi="宋体"/>
                <w:color w:val="auto"/>
                <w:szCs w:val="21"/>
                <w:highlight w:val="none"/>
              </w:rPr>
            </w:pPr>
            <w:r>
              <w:rPr>
                <w:rFonts w:ascii="宋体" w:hAnsi="宋体"/>
                <w:color w:val="auto"/>
                <w:szCs w:val="21"/>
                <w:highlight w:val="none"/>
              </w:rPr>
              <w:t>法定代表人参加投标的，投标文件内提供身份证正反面复印件；授权代表参加投标的，投标文件内提供授权委托书及其附件。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4</w:t>
            </w:r>
          </w:p>
        </w:tc>
        <w:tc>
          <w:tcPr>
            <w:tcW w:w="1690" w:type="dxa"/>
            <w:vAlign w:val="center"/>
          </w:tcPr>
          <w:p>
            <w:pPr>
              <w:ind w:right="-10"/>
              <w:jc w:val="left"/>
              <w:rPr>
                <w:rFonts w:ascii="宋体" w:hAnsi="宋体"/>
                <w:color w:val="auto"/>
                <w:szCs w:val="21"/>
                <w:highlight w:val="none"/>
              </w:rPr>
            </w:pPr>
            <w:r>
              <w:rPr>
                <w:rFonts w:ascii="宋体" w:hAnsi="宋体"/>
                <w:color w:val="auto"/>
                <w:szCs w:val="21"/>
                <w:highlight w:val="none"/>
              </w:rPr>
              <w:t>投标文件盖章</w:t>
            </w:r>
          </w:p>
        </w:tc>
        <w:tc>
          <w:tcPr>
            <w:tcW w:w="3260" w:type="dxa"/>
            <w:vAlign w:val="center"/>
          </w:tcPr>
          <w:p>
            <w:pPr>
              <w:ind w:right="-10"/>
              <w:jc w:val="left"/>
              <w:rPr>
                <w:rFonts w:ascii="宋体" w:hAnsi="宋体"/>
                <w:color w:val="auto"/>
                <w:szCs w:val="21"/>
                <w:highlight w:val="none"/>
              </w:rPr>
            </w:pPr>
            <w:r>
              <w:rPr>
                <w:rFonts w:ascii="宋体" w:hAnsi="宋体"/>
                <w:color w:val="auto"/>
                <w:szCs w:val="21"/>
                <w:highlight w:val="none"/>
              </w:rPr>
              <w:t>投标文件按照招标文件要求进行盖章</w:t>
            </w:r>
          </w:p>
        </w:tc>
        <w:tc>
          <w:tcPr>
            <w:tcW w:w="3260" w:type="dxa"/>
            <w:vAlign w:val="center"/>
          </w:tcPr>
          <w:p>
            <w:pPr>
              <w:adjustRightInd w:val="0"/>
              <w:snapToGrid w:val="0"/>
              <w:ind w:right="-10"/>
              <w:jc w:val="left"/>
              <w:rPr>
                <w:rFonts w:ascii="宋体" w:hAnsi="宋体"/>
                <w:color w:val="auto"/>
                <w:szCs w:val="21"/>
                <w:highlight w:val="none"/>
              </w:rPr>
            </w:pPr>
            <w:r>
              <w:rPr>
                <w:rFonts w:ascii="宋体" w:hAnsi="宋体"/>
                <w:color w:val="auto"/>
                <w:szCs w:val="21"/>
                <w:highlight w:val="none"/>
              </w:rPr>
              <w:t>投标文件相关资料盖章满足招标文件要求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olor w:val="auto"/>
                <w:szCs w:val="21"/>
                <w:highlight w:val="none"/>
              </w:rPr>
            </w:pPr>
            <w:r>
              <w:rPr>
                <w:rFonts w:ascii="宋体" w:hAnsi="宋体"/>
                <w:color w:val="auto"/>
                <w:szCs w:val="21"/>
                <w:highlight w:val="none"/>
              </w:rPr>
              <w:t>5</w:t>
            </w:r>
          </w:p>
        </w:tc>
        <w:tc>
          <w:tcPr>
            <w:tcW w:w="1690" w:type="dxa"/>
            <w:vAlign w:val="center"/>
          </w:tcPr>
          <w:p>
            <w:pPr>
              <w:ind w:right="-10"/>
              <w:jc w:val="left"/>
              <w:rPr>
                <w:rFonts w:ascii="宋体" w:hAnsi="宋体"/>
                <w:color w:val="auto"/>
                <w:szCs w:val="21"/>
                <w:highlight w:val="none"/>
              </w:rPr>
            </w:pPr>
            <w:r>
              <w:rPr>
                <w:rFonts w:ascii="宋体" w:hAnsi="宋体"/>
                <w:color w:val="auto"/>
                <w:szCs w:val="21"/>
                <w:highlight w:val="none"/>
              </w:rPr>
              <w:t>采购需求要求响应</w:t>
            </w:r>
          </w:p>
        </w:tc>
        <w:tc>
          <w:tcPr>
            <w:tcW w:w="3260" w:type="dxa"/>
            <w:vAlign w:val="center"/>
          </w:tcPr>
          <w:p>
            <w:pPr>
              <w:ind w:right="-10"/>
              <w:jc w:val="left"/>
              <w:rPr>
                <w:rFonts w:ascii="宋体" w:hAnsi="宋体"/>
                <w:color w:val="auto"/>
                <w:szCs w:val="21"/>
                <w:highlight w:val="none"/>
              </w:rPr>
            </w:pPr>
            <w:r>
              <w:rPr>
                <w:rFonts w:ascii="宋体" w:hAnsi="宋体"/>
                <w:color w:val="auto"/>
                <w:szCs w:val="21"/>
                <w:highlight w:val="none"/>
              </w:rPr>
              <w:t>符合招标文件采购需求中明确的实质性要求。</w:t>
            </w:r>
          </w:p>
        </w:tc>
        <w:tc>
          <w:tcPr>
            <w:tcW w:w="3260" w:type="dxa"/>
            <w:vAlign w:val="center"/>
          </w:tcPr>
          <w:p>
            <w:pPr>
              <w:adjustRightInd w:val="0"/>
              <w:snapToGrid w:val="0"/>
              <w:ind w:right="-10"/>
              <w:jc w:val="left"/>
              <w:rPr>
                <w:rFonts w:ascii="宋体" w:hAnsi="宋体"/>
                <w:color w:val="auto"/>
                <w:szCs w:val="21"/>
                <w:highlight w:val="none"/>
              </w:rPr>
            </w:pPr>
            <w:r>
              <w:rPr>
                <w:rFonts w:ascii="宋体" w:hAnsi="宋体"/>
                <w:color w:val="auto"/>
                <w:szCs w:val="21"/>
                <w:highlight w:val="none"/>
              </w:rPr>
              <w:t>投标文件内提供商务要求响应表、服务要求响应表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pPr>
              <w:adjustRightInd w:val="0"/>
              <w:snapToGrid w:val="0"/>
              <w:ind w:right="-1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1690" w:type="dxa"/>
            <w:vAlign w:val="center"/>
          </w:tcPr>
          <w:p>
            <w:pPr>
              <w:ind w:right="-10"/>
              <w:jc w:val="left"/>
              <w:rPr>
                <w:rFonts w:ascii="宋体" w:hAnsi="宋体"/>
                <w:color w:val="auto"/>
                <w:szCs w:val="21"/>
                <w:highlight w:val="none"/>
              </w:rPr>
            </w:pPr>
            <w:r>
              <w:rPr>
                <w:rFonts w:ascii="宋体" w:hAnsi="宋体"/>
                <w:color w:val="auto"/>
                <w:szCs w:val="21"/>
                <w:highlight w:val="none"/>
              </w:rPr>
              <w:t>其他要求</w:t>
            </w:r>
          </w:p>
        </w:tc>
        <w:tc>
          <w:tcPr>
            <w:tcW w:w="3260" w:type="dxa"/>
            <w:vAlign w:val="center"/>
          </w:tcPr>
          <w:p>
            <w:pPr>
              <w:ind w:right="-10"/>
              <w:jc w:val="left"/>
              <w:rPr>
                <w:rFonts w:ascii="宋体" w:hAnsi="宋体"/>
                <w:color w:val="auto"/>
                <w:szCs w:val="21"/>
                <w:highlight w:val="none"/>
              </w:rPr>
            </w:pPr>
            <w:r>
              <w:rPr>
                <w:rFonts w:ascii="宋体" w:hAnsi="宋体"/>
                <w:color w:val="auto"/>
                <w:szCs w:val="21"/>
                <w:highlight w:val="none"/>
              </w:rPr>
              <w:t>符合法律、行政法规规定的其他条件或不存在招标文件列明的拒绝投标、无效投标、不允许存在的其他情形</w:t>
            </w:r>
          </w:p>
        </w:tc>
        <w:tc>
          <w:tcPr>
            <w:tcW w:w="3260" w:type="dxa"/>
            <w:vAlign w:val="center"/>
          </w:tcPr>
          <w:p>
            <w:pPr>
              <w:adjustRightInd w:val="0"/>
              <w:snapToGrid w:val="0"/>
              <w:ind w:right="-10"/>
              <w:jc w:val="left"/>
              <w:rPr>
                <w:rFonts w:ascii="宋体" w:hAnsi="宋体"/>
                <w:color w:val="auto"/>
                <w:szCs w:val="21"/>
                <w:highlight w:val="none"/>
              </w:rPr>
            </w:pPr>
            <w:r>
              <w:rPr>
                <w:rFonts w:ascii="宋体" w:hAnsi="宋体"/>
                <w:color w:val="auto"/>
                <w:szCs w:val="21"/>
                <w:highlight w:val="none"/>
              </w:rPr>
              <w:t>除招标文件要求提供的以外，无需额外提供材料。</w:t>
            </w:r>
          </w:p>
        </w:tc>
      </w:tr>
    </w:tbl>
    <w:p>
      <w:pPr>
        <w:spacing w:line="360" w:lineRule="auto"/>
        <w:ind w:firstLine="437"/>
        <w:rPr>
          <w:rFonts w:ascii="宋体" w:hAnsi="宋体"/>
          <w:color w:val="auto"/>
          <w:szCs w:val="21"/>
          <w:highlight w:val="none"/>
        </w:rPr>
      </w:pPr>
      <w:r>
        <w:rPr>
          <w:rFonts w:ascii="宋体" w:hAnsi="宋体"/>
          <w:b/>
          <w:bCs/>
          <w:color w:val="auto"/>
          <w:szCs w:val="21"/>
          <w:highlight w:val="none"/>
        </w:rPr>
        <w:t>符合性审查指标通过标准：</w:t>
      </w:r>
      <w:r>
        <w:rPr>
          <w:rFonts w:ascii="宋体" w:hAnsi="宋体"/>
          <w:color w:val="auto"/>
          <w:szCs w:val="21"/>
          <w:highlight w:val="none"/>
        </w:rPr>
        <w:t>投标人必须通过符合性审查表中的全部评审指标。</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3.详细审查和评分（评标标准兼评委打分表）</w:t>
      </w:r>
    </w:p>
    <w:tbl>
      <w:tblPr>
        <w:tblStyle w:val="4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blHeader/>
        </w:trPr>
        <w:tc>
          <w:tcPr>
            <w:tcW w:w="704" w:type="dxa"/>
            <w:vAlign w:val="center"/>
          </w:tcPr>
          <w:p>
            <w:pPr>
              <w:autoSpaceDE w:val="0"/>
              <w:autoSpaceDN w:val="0"/>
              <w:adjustRightInd w:val="0"/>
              <w:jc w:val="center"/>
              <w:rPr>
                <w:rFonts w:ascii="宋体" w:hAnsi="宋体"/>
                <w:b/>
                <w:bCs/>
                <w:color w:val="auto"/>
                <w:szCs w:val="21"/>
                <w:highlight w:val="none"/>
                <w:lang w:val="zh-CN"/>
              </w:rPr>
            </w:pPr>
            <w:r>
              <w:rPr>
                <w:rFonts w:ascii="宋体" w:hAnsi="宋体"/>
                <w:b/>
                <w:bCs/>
                <w:color w:val="auto"/>
                <w:szCs w:val="21"/>
                <w:highlight w:val="none"/>
                <w:lang w:val="zh-CN"/>
              </w:rPr>
              <w:t>序号</w:t>
            </w:r>
          </w:p>
        </w:tc>
        <w:tc>
          <w:tcPr>
            <w:tcW w:w="1134" w:type="dxa"/>
            <w:vAlign w:val="center"/>
          </w:tcPr>
          <w:p>
            <w:pPr>
              <w:autoSpaceDE w:val="0"/>
              <w:autoSpaceDN w:val="0"/>
              <w:adjustRightInd w:val="0"/>
              <w:jc w:val="center"/>
              <w:rPr>
                <w:rFonts w:ascii="宋体" w:hAnsi="宋体"/>
                <w:b/>
                <w:bCs/>
                <w:color w:val="auto"/>
                <w:szCs w:val="21"/>
                <w:highlight w:val="none"/>
                <w:lang w:val="zh-CN"/>
              </w:rPr>
            </w:pPr>
            <w:r>
              <w:rPr>
                <w:rFonts w:ascii="宋体" w:hAnsi="宋体"/>
                <w:b/>
                <w:bCs/>
                <w:color w:val="auto"/>
                <w:szCs w:val="21"/>
                <w:highlight w:val="none"/>
                <w:lang w:val="zh-CN"/>
              </w:rPr>
              <w:t>评审内容</w:t>
            </w:r>
          </w:p>
        </w:tc>
        <w:tc>
          <w:tcPr>
            <w:tcW w:w="992" w:type="dxa"/>
            <w:vAlign w:val="center"/>
          </w:tcPr>
          <w:p>
            <w:pPr>
              <w:autoSpaceDE w:val="0"/>
              <w:autoSpaceDN w:val="0"/>
              <w:adjustRightInd w:val="0"/>
              <w:jc w:val="center"/>
              <w:rPr>
                <w:rFonts w:ascii="宋体" w:hAnsi="宋体"/>
                <w:b/>
                <w:bCs/>
                <w:color w:val="auto"/>
                <w:szCs w:val="21"/>
                <w:highlight w:val="none"/>
                <w:lang w:val="zh-CN"/>
              </w:rPr>
            </w:pPr>
            <w:r>
              <w:rPr>
                <w:rFonts w:ascii="宋体" w:hAnsi="宋体"/>
                <w:b/>
                <w:bCs/>
                <w:color w:val="auto"/>
                <w:szCs w:val="21"/>
                <w:highlight w:val="none"/>
                <w:lang w:val="zh-CN"/>
              </w:rPr>
              <w:t>分值</w:t>
            </w:r>
          </w:p>
        </w:tc>
        <w:tc>
          <w:tcPr>
            <w:tcW w:w="6096" w:type="dxa"/>
            <w:vAlign w:val="center"/>
          </w:tcPr>
          <w:p>
            <w:pPr>
              <w:autoSpaceDE w:val="0"/>
              <w:autoSpaceDN w:val="0"/>
              <w:adjustRightInd w:val="0"/>
              <w:jc w:val="center"/>
              <w:rPr>
                <w:rFonts w:ascii="宋体" w:hAnsi="宋体"/>
                <w:b/>
                <w:bCs/>
                <w:color w:val="auto"/>
                <w:szCs w:val="21"/>
                <w:highlight w:val="none"/>
                <w:lang w:val="zh-CN"/>
              </w:rPr>
            </w:pPr>
            <w:r>
              <w:rPr>
                <w:rFonts w:ascii="宋体" w:hAnsi="宋体"/>
                <w:b/>
                <w:bCs/>
                <w:color w:val="auto"/>
                <w:szCs w:val="21"/>
                <w:highlight w:val="none"/>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ascii="宋体" w:hAnsi="宋体"/>
                <w:bCs/>
                <w:color w:val="auto"/>
                <w:szCs w:val="21"/>
                <w:highlight w:val="none"/>
                <w:lang w:val="zh-CN"/>
              </w:rPr>
            </w:pPr>
            <w:r>
              <w:rPr>
                <w:rFonts w:ascii="宋体" w:hAnsi="宋体"/>
                <w:bCs/>
                <w:color w:val="auto"/>
                <w:szCs w:val="21"/>
                <w:highlight w:val="none"/>
                <w:lang w:val="zh-CN"/>
              </w:rPr>
              <w:t>1</w:t>
            </w:r>
          </w:p>
        </w:tc>
        <w:tc>
          <w:tcPr>
            <w:tcW w:w="1134" w:type="dxa"/>
            <w:vAlign w:val="center"/>
          </w:tcPr>
          <w:p>
            <w:pPr>
              <w:jc w:val="center"/>
              <w:rPr>
                <w:rFonts w:ascii="宋体" w:hAnsi="宋体"/>
                <w:color w:val="auto"/>
                <w:szCs w:val="21"/>
                <w:highlight w:val="none"/>
              </w:rPr>
            </w:pPr>
            <w:r>
              <w:rPr>
                <w:rFonts w:hint="eastAsia" w:ascii="宋体" w:hAnsi="宋体"/>
                <w:bCs/>
                <w:color w:val="auto"/>
                <w:szCs w:val="21"/>
                <w:highlight w:val="none"/>
                <w:lang w:val="zh-CN"/>
              </w:rPr>
              <w:t>认可情况</w:t>
            </w:r>
          </w:p>
        </w:tc>
        <w:tc>
          <w:tcPr>
            <w:tcW w:w="992" w:type="dxa"/>
            <w:vAlign w:val="center"/>
          </w:tcPr>
          <w:p>
            <w:pPr>
              <w:autoSpaceDE w:val="0"/>
              <w:autoSpaceDN w:val="0"/>
              <w:adjustRightInd w:val="0"/>
              <w:jc w:val="center"/>
              <w:rPr>
                <w:rFonts w:ascii="宋体" w:hAnsi="宋体"/>
                <w:bCs/>
                <w:color w:val="auto"/>
                <w:szCs w:val="21"/>
                <w:highlight w:val="none"/>
                <w:lang w:val="zh-CN"/>
              </w:rPr>
            </w:pPr>
            <w:r>
              <w:rPr>
                <w:rFonts w:ascii="宋体" w:hAnsi="宋体"/>
                <w:bCs/>
                <w:color w:val="auto"/>
                <w:szCs w:val="21"/>
                <w:highlight w:val="none"/>
              </w:rPr>
              <w:t>2</w:t>
            </w:r>
          </w:p>
        </w:tc>
        <w:tc>
          <w:tcPr>
            <w:tcW w:w="6096" w:type="dxa"/>
            <w:vAlign w:val="center"/>
          </w:tcPr>
          <w:p>
            <w:pPr>
              <w:autoSpaceDE w:val="0"/>
              <w:autoSpaceDN w:val="0"/>
              <w:adjustRightInd w:val="0"/>
              <w:jc w:val="left"/>
              <w:rPr>
                <w:rFonts w:ascii="宋体" w:hAnsi="宋体"/>
                <w:bCs/>
                <w:color w:val="auto"/>
                <w:szCs w:val="21"/>
                <w:highlight w:val="none"/>
                <w:lang w:val="zh-CN"/>
              </w:rPr>
            </w:pPr>
            <w:r>
              <w:rPr>
                <w:rFonts w:ascii="宋体" w:hAnsi="宋体"/>
                <w:bCs/>
                <w:color w:val="auto"/>
                <w:szCs w:val="21"/>
                <w:highlight w:val="none"/>
                <w:lang w:val="zh-CN"/>
              </w:rPr>
              <w:t>投标人持有食品领域CNAS认可证书的，得2分。</w:t>
            </w:r>
          </w:p>
          <w:p>
            <w:pPr>
              <w:autoSpaceDE w:val="0"/>
              <w:autoSpaceDN w:val="0"/>
              <w:adjustRightInd w:val="0"/>
              <w:jc w:val="left"/>
              <w:rPr>
                <w:rFonts w:ascii="宋体" w:hAnsi="宋体"/>
                <w:color w:val="auto"/>
                <w:szCs w:val="21"/>
                <w:highlight w:val="none"/>
                <w:lang w:val="zh-CN"/>
              </w:rPr>
            </w:pPr>
            <w:r>
              <w:rPr>
                <w:rFonts w:hint="eastAsia" w:ascii="宋体" w:hAnsi="宋体"/>
                <w:bCs/>
                <w:color w:val="auto"/>
                <w:szCs w:val="21"/>
                <w:highlight w:val="none"/>
                <w:lang w:val="zh-CN"/>
              </w:rPr>
              <w:t>注：投标文件内提供证书复印件。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ascii="宋体" w:hAnsi="宋体"/>
                <w:bCs/>
                <w:color w:val="auto"/>
                <w:szCs w:val="21"/>
                <w:highlight w:val="none"/>
              </w:rPr>
            </w:pPr>
            <w:r>
              <w:rPr>
                <w:rFonts w:hint="eastAsia" w:ascii="宋体" w:hAnsi="宋体"/>
                <w:bCs/>
                <w:color w:val="auto"/>
                <w:szCs w:val="21"/>
                <w:highlight w:val="none"/>
              </w:rPr>
              <w:t>2</w:t>
            </w:r>
          </w:p>
        </w:tc>
        <w:tc>
          <w:tcPr>
            <w:tcW w:w="1134" w:type="dxa"/>
            <w:vAlign w:val="center"/>
          </w:tcPr>
          <w:p>
            <w:pPr>
              <w:jc w:val="center"/>
              <w:rPr>
                <w:rFonts w:ascii="宋体" w:hAnsi="宋体"/>
                <w:bCs/>
                <w:color w:val="auto"/>
                <w:szCs w:val="21"/>
                <w:highlight w:val="none"/>
                <w:lang w:val="zh-CN"/>
              </w:rPr>
            </w:pPr>
            <w:r>
              <w:rPr>
                <w:rFonts w:hint="eastAsia" w:ascii="宋体" w:hAnsi="宋体"/>
                <w:bCs/>
                <w:color w:val="auto"/>
                <w:szCs w:val="21"/>
                <w:highlight w:val="none"/>
                <w:lang w:val="zh-CN"/>
              </w:rPr>
              <w:t>食品复检机构</w:t>
            </w:r>
          </w:p>
        </w:tc>
        <w:tc>
          <w:tcPr>
            <w:tcW w:w="992" w:type="dxa"/>
            <w:vAlign w:val="center"/>
          </w:tcPr>
          <w:p>
            <w:pPr>
              <w:autoSpaceDE w:val="0"/>
              <w:autoSpaceDN w:val="0"/>
              <w:adjustRightInd w:val="0"/>
              <w:jc w:val="center"/>
              <w:rPr>
                <w:rFonts w:ascii="宋体" w:hAnsi="宋体"/>
                <w:bCs/>
                <w:color w:val="auto"/>
                <w:szCs w:val="21"/>
                <w:highlight w:val="none"/>
              </w:rPr>
            </w:pPr>
            <w:r>
              <w:rPr>
                <w:rFonts w:hint="eastAsia" w:ascii="宋体" w:hAnsi="宋体"/>
                <w:bCs/>
                <w:color w:val="auto"/>
                <w:szCs w:val="21"/>
                <w:highlight w:val="none"/>
              </w:rPr>
              <w:t>4</w:t>
            </w:r>
          </w:p>
        </w:tc>
        <w:tc>
          <w:tcPr>
            <w:tcW w:w="6096" w:type="dxa"/>
            <w:vAlign w:val="center"/>
          </w:tcPr>
          <w:p>
            <w:pPr>
              <w:autoSpaceDE w:val="0"/>
              <w:autoSpaceDN w:val="0"/>
              <w:adjustRightInd w:val="0"/>
              <w:jc w:val="left"/>
              <w:rPr>
                <w:rFonts w:ascii="宋体" w:hAnsi="宋体"/>
                <w:bCs/>
                <w:color w:val="auto"/>
                <w:szCs w:val="21"/>
                <w:highlight w:val="none"/>
                <w:lang w:val="zh-CN"/>
              </w:rPr>
            </w:pPr>
            <w:r>
              <w:rPr>
                <w:rFonts w:hint="eastAsia" w:ascii="宋体" w:hAnsi="宋体"/>
                <w:bCs/>
                <w:color w:val="auto"/>
                <w:szCs w:val="21"/>
                <w:highlight w:val="none"/>
                <w:lang w:val="zh-CN"/>
              </w:rPr>
              <w:t>投标人进入2020年国家市场监管总局、卫健委和农业部共同公布食品复检机构名录的，得4分。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ascii="宋体" w:hAnsi="宋体"/>
                <w:bCs/>
                <w:color w:val="auto"/>
                <w:szCs w:val="21"/>
                <w:highlight w:val="none"/>
                <w:lang w:val="zh-CN"/>
              </w:rPr>
            </w:pPr>
            <w:r>
              <w:rPr>
                <w:rFonts w:ascii="宋体" w:hAnsi="宋体"/>
                <w:bCs/>
                <w:color w:val="auto"/>
                <w:szCs w:val="21"/>
                <w:highlight w:val="none"/>
                <w:lang w:val="zh-CN"/>
              </w:rPr>
              <w:t>3</w:t>
            </w:r>
          </w:p>
        </w:tc>
        <w:tc>
          <w:tcPr>
            <w:tcW w:w="1134" w:type="dxa"/>
            <w:vAlign w:val="center"/>
          </w:tcPr>
          <w:p>
            <w:pPr>
              <w:jc w:val="center"/>
              <w:rPr>
                <w:rFonts w:ascii="宋体" w:hAnsi="宋体"/>
                <w:color w:val="auto"/>
                <w:szCs w:val="21"/>
                <w:highlight w:val="none"/>
              </w:rPr>
            </w:pPr>
            <w:r>
              <w:rPr>
                <w:rFonts w:ascii="宋体" w:hAnsi="宋体"/>
                <w:color w:val="auto"/>
                <w:szCs w:val="21"/>
                <w:highlight w:val="none"/>
              </w:rPr>
              <w:t>重点（应急）实验室</w:t>
            </w:r>
          </w:p>
        </w:tc>
        <w:tc>
          <w:tcPr>
            <w:tcW w:w="992" w:type="dxa"/>
            <w:vAlign w:val="center"/>
          </w:tcPr>
          <w:p>
            <w:pPr>
              <w:autoSpaceDE w:val="0"/>
              <w:autoSpaceDN w:val="0"/>
              <w:adjustRightInd w:val="0"/>
              <w:jc w:val="center"/>
              <w:rPr>
                <w:rFonts w:ascii="宋体" w:hAnsi="宋体"/>
                <w:bCs/>
                <w:color w:val="auto"/>
                <w:szCs w:val="21"/>
                <w:highlight w:val="none"/>
                <w:lang w:val="zh-CN"/>
              </w:rPr>
            </w:pPr>
            <w:r>
              <w:rPr>
                <w:rFonts w:ascii="宋体" w:hAnsi="宋体"/>
                <w:bCs/>
                <w:color w:val="auto"/>
                <w:szCs w:val="21"/>
                <w:highlight w:val="none"/>
              </w:rPr>
              <w:t>2</w:t>
            </w:r>
          </w:p>
        </w:tc>
        <w:tc>
          <w:tcPr>
            <w:tcW w:w="6096" w:type="dxa"/>
            <w:vAlign w:val="center"/>
          </w:tcPr>
          <w:p>
            <w:pPr>
              <w:numPr>
                <w:ilvl w:val="255"/>
                <w:numId w:val="0"/>
              </w:numPr>
              <w:autoSpaceDE w:val="0"/>
              <w:autoSpaceDN w:val="0"/>
              <w:jc w:val="left"/>
              <w:rPr>
                <w:rFonts w:ascii="宋体" w:hAnsi="宋体"/>
                <w:bCs/>
                <w:color w:val="auto"/>
                <w:szCs w:val="21"/>
                <w:highlight w:val="none"/>
                <w:lang w:val="zh-CN"/>
              </w:rPr>
            </w:pPr>
            <w:r>
              <w:rPr>
                <w:rFonts w:ascii="宋体" w:hAnsi="宋体"/>
                <w:bCs/>
                <w:color w:val="auto"/>
                <w:szCs w:val="21"/>
                <w:highlight w:val="none"/>
                <w:lang w:val="zh-CN"/>
              </w:rPr>
              <w:t>投标人</w:t>
            </w:r>
            <w:r>
              <w:rPr>
                <w:rFonts w:hint="eastAsia" w:ascii="宋体" w:hAnsi="宋体"/>
                <w:bCs/>
                <w:color w:val="auto"/>
                <w:szCs w:val="21"/>
                <w:highlight w:val="none"/>
                <w:lang w:val="zh-CN"/>
              </w:rPr>
              <w:t>为省级或以上</w:t>
            </w:r>
            <w:r>
              <w:rPr>
                <w:rFonts w:ascii="宋体" w:hAnsi="宋体"/>
                <w:bCs/>
                <w:color w:val="auto"/>
                <w:szCs w:val="21"/>
                <w:highlight w:val="none"/>
                <w:lang w:val="zh-CN"/>
              </w:rPr>
              <w:t>行政主管部门认定的食品重点实验室或食品检测中心</w:t>
            </w:r>
            <w:r>
              <w:rPr>
                <w:rFonts w:hint="eastAsia" w:ascii="宋体" w:hAnsi="宋体"/>
                <w:bCs/>
                <w:color w:val="auto"/>
                <w:szCs w:val="21"/>
                <w:highlight w:val="none"/>
                <w:lang w:val="zh-CN"/>
              </w:rPr>
              <w:t>或</w:t>
            </w:r>
            <w:r>
              <w:rPr>
                <w:rFonts w:ascii="宋体" w:hAnsi="宋体"/>
                <w:bCs/>
                <w:color w:val="auto"/>
                <w:szCs w:val="21"/>
                <w:highlight w:val="none"/>
                <w:lang w:val="zh-CN"/>
              </w:rPr>
              <w:t>具备市场监管部门认定的省级或以上食品安全应急实验室的，得</w:t>
            </w:r>
            <w:r>
              <w:rPr>
                <w:rFonts w:ascii="宋体" w:hAnsi="宋体"/>
                <w:bCs/>
                <w:color w:val="auto"/>
                <w:szCs w:val="21"/>
                <w:highlight w:val="none"/>
              </w:rPr>
              <w:t>2</w:t>
            </w:r>
            <w:r>
              <w:rPr>
                <w:rFonts w:ascii="宋体" w:hAnsi="宋体"/>
                <w:bCs/>
                <w:color w:val="auto"/>
                <w:szCs w:val="21"/>
                <w:highlight w:val="none"/>
                <w:lang w:val="zh-CN"/>
              </w:rPr>
              <w:t>分。</w:t>
            </w:r>
          </w:p>
          <w:p>
            <w:pPr>
              <w:pStyle w:val="18"/>
              <w:spacing w:after="0"/>
              <w:rPr>
                <w:rFonts w:ascii="宋体" w:hAnsi="宋体"/>
                <w:bCs/>
                <w:color w:val="auto"/>
                <w:sz w:val="21"/>
                <w:szCs w:val="21"/>
                <w:highlight w:val="none"/>
                <w:lang w:val="zh-CN"/>
              </w:rPr>
            </w:pPr>
            <w:r>
              <w:rPr>
                <w:rFonts w:ascii="宋体" w:hAnsi="宋体"/>
                <w:bCs/>
                <w:color w:val="auto"/>
                <w:sz w:val="21"/>
                <w:szCs w:val="21"/>
                <w:highlight w:val="none"/>
                <w:lang w:val="zh-CN"/>
              </w:rPr>
              <w:t>注：</w:t>
            </w:r>
            <w:r>
              <w:rPr>
                <w:rFonts w:hint="eastAsia" w:ascii="宋体" w:hAnsi="宋体"/>
                <w:bCs/>
                <w:color w:val="auto"/>
                <w:sz w:val="21"/>
                <w:szCs w:val="21"/>
                <w:highlight w:val="none"/>
                <w:lang w:val="zh-CN"/>
              </w:rPr>
              <w:t>投标文件内</w:t>
            </w:r>
            <w:r>
              <w:rPr>
                <w:rFonts w:ascii="宋体" w:hAnsi="宋体"/>
                <w:bCs/>
                <w:color w:val="auto"/>
                <w:sz w:val="21"/>
                <w:szCs w:val="21"/>
                <w:highlight w:val="none"/>
                <w:lang w:val="zh-CN"/>
              </w:rPr>
              <w:t>提供相关部门出具的有效认定文件进行佐证。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04" w:type="dxa"/>
            <w:vAlign w:val="center"/>
          </w:tcPr>
          <w:p>
            <w:pPr>
              <w:jc w:val="center"/>
              <w:rPr>
                <w:rFonts w:ascii="宋体" w:hAnsi="宋体"/>
                <w:bCs/>
                <w:color w:val="auto"/>
                <w:szCs w:val="21"/>
                <w:highlight w:val="none"/>
                <w:lang w:val="zh-CN"/>
              </w:rPr>
            </w:pPr>
            <w:r>
              <w:rPr>
                <w:rFonts w:ascii="宋体" w:hAnsi="宋体"/>
                <w:bCs/>
                <w:color w:val="auto"/>
                <w:szCs w:val="21"/>
                <w:highlight w:val="none"/>
                <w:lang w:val="zh-CN"/>
              </w:rPr>
              <w:t>4</w:t>
            </w:r>
          </w:p>
        </w:tc>
        <w:tc>
          <w:tcPr>
            <w:tcW w:w="1134" w:type="dxa"/>
            <w:vAlign w:val="center"/>
          </w:tcPr>
          <w:p>
            <w:pPr>
              <w:jc w:val="center"/>
              <w:rPr>
                <w:rFonts w:ascii="宋体" w:hAnsi="宋体"/>
                <w:color w:val="auto"/>
                <w:szCs w:val="21"/>
                <w:highlight w:val="none"/>
              </w:rPr>
            </w:pPr>
            <w:r>
              <w:rPr>
                <w:rFonts w:ascii="宋体" w:hAnsi="宋体"/>
                <w:color w:val="auto"/>
                <w:szCs w:val="21"/>
                <w:highlight w:val="none"/>
              </w:rPr>
              <w:t>检测能力</w:t>
            </w:r>
          </w:p>
        </w:tc>
        <w:tc>
          <w:tcPr>
            <w:tcW w:w="992" w:type="dxa"/>
            <w:vAlign w:val="center"/>
          </w:tcPr>
          <w:p>
            <w:pPr>
              <w:autoSpaceDE w:val="0"/>
              <w:autoSpaceDN w:val="0"/>
              <w:adjustRightInd w:val="0"/>
              <w:jc w:val="center"/>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0</w:t>
            </w:r>
          </w:p>
        </w:tc>
        <w:tc>
          <w:tcPr>
            <w:tcW w:w="6096" w:type="dxa"/>
            <w:vAlign w:val="center"/>
          </w:tcPr>
          <w:p>
            <w:pPr>
              <w:snapToGrid w:val="0"/>
              <w:jc w:val="left"/>
              <w:rPr>
                <w:rFonts w:ascii="宋体" w:hAnsi="宋体"/>
                <w:bCs/>
                <w:color w:val="auto"/>
                <w:szCs w:val="21"/>
                <w:highlight w:val="none"/>
                <w:lang w:val="zh-CN"/>
              </w:rPr>
            </w:pPr>
            <w:r>
              <w:rPr>
                <w:rFonts w:hint="eastAsia" w:ascii="宋体" w:hAnsi="宋体"/>
                <w:bCs/>
                <w:color w:val="auto"/>
                <w:szCs w:val="21"/>
                <w:highlight w:val="none"/>
                <w:lang w:val="zh-CN"/>
              </w:rPr>
              <w:t>根据投标人自身的CMA资质附表中的项目与所投标项中所覆盖食品类别、细类涉及的全部检测项目及相对应检验方法（按照《国家食品安全监督抽检实施细则（2024年版）》执行）进行比较，每缺1项，扣0.5分。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ascii="宋体" w:hAnsi="宋体"/>
                <w:bCs/>
                <w:color w:val="auto"/>
                <w:szCs w:val="21"/>
                <w:highlight w:val="none"/>
                <w:lang w:val="zh-CN"/>
              </w:rPr>
            </w:pPr>
            <w:r>
              <w:rPr>
                <w:rFonts w:ascii="宋体" w:hAnsi="宋体"/>
                <w:bCs/>
                <w:color w:val="auto"/>
                <w:szCs w:val="21"/>
                <w:highlight w:val="none"/>
                <w:lang w:val="zh-CN"/>
              </w:rPr>
              <w:t>5</w:t>
            </w:r>
          </w:p>
        </w:tc>
        <w:tc>
          <w:tcPr>
            <w:tcW w:w="1134" w:type="dxa"/>
            <w:vAlign w:val="center"/>
          </w:tcPr>
          <w:p>
            <w:pPr>
              <w:jc w:val="center"/>
              <w:rPr>
                <w:rFonts w:ascii="宋体" w:hAnsi="宋体"/>
                <w:color w:val="auto"/>
                <w:szCs w:val="21"/>
                <w:highlight w:val="none"/>
              </w:rPr>
            </w:pPr>
            <w:r>
              <w:rPr>
                <w:rFonts w:ascii="宋体" w:hAnsi="宋体"/>
                <w:color w:val="auto"/>
                <w:szCs w:val="21"/>
                <w:highlight w:val="none"/>
              </w:rPr>
              <w:t>实验室能力验证情况</w:t>
            </w:r>
          </w:p>
        </w:tc>
        <w:tc>
          <w:tcPr>
            <w:tcW w:w="992" w:type="dxa"/>
            <w:vAlign w:val="center"/>
          </w:tcPr>
          <w:p>
            <w:pPr>
              <w:autoSpaceDE w:val="0"/>
              <w:autoSpaceDN w:val="0"/>
              <w:adjustRightInd w:val="0"/>
              <w:jc w:val="center"/>
              <w:rPr>
                <w:rFonts w:ascii="宋体" w:hAnsi="宋体"/>
                <w:bCs/>
                <w:color w:val="auto"/>
                <w:szCs w:val="21"/>
                <w:highlight w:val="none"/>
                <w:lang w:val="zh-CN"/>
              </w:rPr>
            </w:pPr>
            <w:r>
              <w:rPr>
                <w:rFonts w:ascii="宋体" w:hAnsi="宋体"/>
                <w:bCs/>
                <w:color w:val="auto"/>
                <w:szCs w:val="21"/>
                <w:highlight w:val="none"/>
              </w:rPr>
              <w:t>2</w:t>
            </w:r>
          </w:p>
        </w:tc>
        <w:tc>
          <w:tcPr>
            <w:tcW w:w="6096" w:type="dxa"/>
            <w:vAlign w:val="center"/>
          </w:tcPr>
          <w:p>
            <w:pPr>
              <w:autoSpaceDE w:val="0"/>
              <w:autoSpaceDN w:val="0"/>
              <w:adjustRightInd w:val="0"/>
              <w:jc w:val="left"/>
              <w:rPr>
                <w:rFonts w:ascii="宋体" w:hAnsi="宋体"/>
                <w:bCs/>
                <w:color w:val="auto"/>
                <w:szCs w:val="21"/>
                <w:highlight w:val="none"/>
                <w:lang w:val="zh-CN"/>
              </w:rPr>
            </w:pPr>
            <w:r>
              <w:rPr>
                <w:rFonts w:ascii="宋体" w:hAnsi="宋体"/>
                <w:bCs/>
                <w:color w:val="auto"/>
                <w:szCs w:val="21"/>
                <w:highlight w:val="none"/>
                <w:lang w:val="zh-CN"/>
              </w:rPr>
              <w:t>20</w:t>
            </w:r>
            <w:r>
              <w:rPr>
                <w:rFonts w:ascii="宋体" w:hAnsi="宋体"/>
                <w:bCs/>
                <w:color w:val="auto"/>
                <w:szCs w:val="21"/>
                <w:highlight w:val="none"/>
              </w:rPr>
              <w:t>22</w:t>
            </w:r>
            <w:r>
              <w:rPr>
                <w:rFonts w:ascii="宋体" w:hAnsi="宋体"/>
                <w:bCs/>
                <w:color w:val="auto"/>
                <w:szCs w:val="21"/>
                <w:highlight w:val="none"/>
                <w:lang w:val="zh-CN"/>
              </w:rPr>
              <w:t>年1月1日至今，投标人参与国内相关机构组织的食品实验室能力验证活动获得满意结果的次数：</w:t>
            </w:r>
            <w:r>
              <w:rPr>
                <w:rFonts w:ascii="宋体" w:hAnsi="宋体"/>
                <w:bCs/>
                <w:color w:val="auto"/>
                <w:szCs w:val="21"/>
                <w:highlight w:val="none"/>
              </w:rPr>
              <w:t>1</w:t>
            </w:r>
            <w:r>
              <w:rPr>
                <w:rFonts w:ascii="宋体" w:hAnsi="宋体"/>
                <w:bCs/>
                <w:color w:val="auto"/>
                <w:szCs w:val="21"/>
                <w:highlight w:val="none"/>
                <w:lang w:val="zh-CN"/>
              </w:rPr>
              <w:t>次</w:t>
            </w:r>
            <w:r>
              <w:rPr>
                <w:rFonts w:ascii="宋体" w:hAnsi="宋体"/>
                <w:bCs/>
                <w:color w:val="auto"/>
                <w:szCs w:val="21"/>
                <w:highlight w:val="none"/>
              </w:rPr>
              <w:t>0.5</w:t>
            </w:r>
            <w:r>
              <w:rPr>
                <w:rFonts w:ascii="宋体" w:hAnsi="宋体"/>
                <w:bCs/>
                <w:color w:val="auto"/>
                <w:szCs w:val="21"/>
                <w:highlight w:val="none"/>
                <w:lang w:val="zh-CN"/>
              </w:rPr>
              <w:t>分，最高得2分。</w:t>
            </w:r>
          </w:p>
          <w:p>
            <w:pPr>
              <w:autoSpaceDE w:val="0"/>
              <w:autoSpaceDN w:val="0"/>
              <w:adjustRightInd w:val="0"/>
              <w:jc w:val="left"/>
              <w:rPr>
                <w:rFonts w:ascii="宋体" w:hAnsi="宋体"/>
                <w:bCs/>
                <w:color w:val="auto"/>
                <w:szCs w:val="21"/>
                <w:highlight w:val="none"/>
                <w:lang w:val="zh-CN"/>
              </w:rPr>
            </w:pPr>
            <w:r>
              <w:rPr>
                <w:rFonts w:ascii="宋体" w:hAnsi="宋体"/>
                <w:bCs/>
                <w:color w:val="auto"/>
                <w:szCs w:val="21"/>
                <w:highlight w:val="none"/>
                <w:lang w:val="zh-CN"/>
              </w:rPr>
              <w:t>注：能力验证项目应是食品领域的，以投标人提供的能力验证满意（合格）结果证明为依据。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ascii="宋体" w:hAnsi="宋体"/>
                <w:bCs/>
                <w:color w:val="auto"/>
                <w:szCs w:val="21"/>
                <w:highlight w:val="none"/>
                <w:lang w:val="zh-CN"/>
              </w:rPr>
            </w:pPr>
            <w:r>
              <w:rPr>
                <w:rFonts w:ascii="宋体" w:hAnsi="宋体"/>
                <w:bCs/>
                <w:color w:val="auto"/>
                <w:szCs w:val="21"/>
                <w:highlight w:val="none"/>
                <w:lang w:val="zh-CN"/>
              </w:rPr>
              <w:t>6</w:t>
            </w:r>
          </w:p>
        </w:tc>
        <w:tc>
          <w:tcPr>
            <w:tcW w:w="1134" w:type="dxa"/>
            <w:vAlign w:val="center"/>
          </w:tcPr>
          <w:p>
            <w:pPr>
              <w:jc w:val="center"/>
              <w:rPr>
                <w:rFonts w:ascii="宋体" w:hAnsi="宋体"/>
                <w:color w:val="auto"/>
                <w:szCs w:val="21"/>
                <w:highlight w:val="none"/>
              </w:rPr>
            </w:pPr>
            <w:r>
              <w:rPr>
                <w:rFonts w:ascii="宋体" w:hAnsi="宋体"/>
                <w:color w:val="auto"/>
                <w:szCs w:val="21"/>
                <w:highlight w:val="none"/>
              </w:rPr>
              <w:t>拟投入人员情况</w:t>
            </w:r>
          </w:p>
        </w:tc>
        <w:tc>
          <w:tcPr>
            <w:tcW w:w="992" w:type="dxa"/>
            <w:vAlign w:val="center"/>
          </w:tcPr>
          <w:p>
            <w:pPr>
              <w:autoSpaceDE w:val="0"/>
              <w:autoSpaceDN w:val="0"/>
              <w:adjustRightInd w:val="0"/>
              <w:jc w:val="center"/>
              <w:rPr>
                <w:rFonts w:ascii="宋体" w:hAnsi="宋体"/>
                <w:bCs/>
                <w:color w:val="auto"/>
                <w:szCs w:val="21"/>
                <w:highlight w:val="none"/>
                <w:lang w:val="zh-CN"/>
              </w:rPr>
            </w:pPr>
            <w:r>
              <w:rPr>
                <w:rFonts w:ascii="宋体" w:hAnsi="宋体"/>
                <w:bCs/>
                <w:color w:val="auto"/>
                <w:szCs w:val="21"/>
                <w:highlight w:val="none"/>
              </w:rPr>
              <w:t>15</w:t>
            </w:r>
          </w:p>
        </w:tc>
        <w:tc>
          <w:tcPr>
            <w:tcW w:w="6096" w:type="dxa"/>
            <w:vAlign w:val="center"/>
          </w:tcPr>
          <w:p>
            <w:pPr>
              <w:widowControl/>
              <w:adjustRightInd w:val="0"/>
              <w:snapToGrid w:val="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投标人拟派人员具有食品类正高级技术职称的得3分。</w:t>
            </w:r>
          </w:p>
          <w:p>
            <w:pPr>
              <w:widowControl/>
              <w:adjustRightInd w:val="0"/>
              <w:snapToGrid w:val="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投标人拟派人员具有食品类副高级及以上技术职称的，每人得2分，本项最高得10分。</w:t>
            </w:r>
          </w:p>
          <w:p>
            <w:pPr>
              <w:widowControl/>
              <w:adjustRightInd w:val="0"/>
              <w:snapToGrid w:val="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专职抽样人员数量：投标人</w:t>
            </w:r>
            <w:r>
              <w:rPr>
                <w:rFonts w:hint="eastAsia" w:ascii="宋体" w:hAnsi="宋体"/>
                <w:color w:val="auto"/>
                <w:szCs w:val="21"/>
                <w:highlight w:val="none"/>
              </w:rPr>
              <w:t>为项目配置</w:t>
            </w:r>
            <w:r>
              <w:rPr>
                <w:rFonts w:ascii="宋体" w:hAnsi="宋体"/>
                <w:color w:val="auto"/>
                <w:szCs w:val="21"/>
                <w:highlight w:val="none"/>
              </w:rPr>
              <w:t>从事抽样岗位满1年以上工作人员，每1人得0.4分，本项最高得2分。</w:t>
            </w:r>
          </w:p>
          <w:p>
            <w:pPr>
              <w:autoSpaceDE w:val="0"/>
              <w:autoSpaceDN w:val="0"/>
              <w:adjustRightInd w:val="0"/>
              <w:jc w:val="left"/>
              <w:rPr>
                <w:rFonts w:ascii="宋体" w:hAnsi="宋体"/>
                <w:bCs/>
                <w:color w:val="auto"/>
                <w:szCs w:val="21"/>
                <w:highlight w:val="none"/>
                <w:lang w:val="zh-CN"/>
              </w:rPr>
            </w:pPr>
            <w:r>
              <w:rPr>
                <w:rFonts w:ascii="宋体" w:hAnsi="宋体"/>
                <w:color w:val="auto"/>
                <w:szCs w:val="21"/>
                <w:highlight w:val="none"/>
              </w:rPr>
              <w:t>注：投标文件中提供相关职称证书复印件；抽样人员需提供相应抽样单扫描件、抽样人员工作证及培训记录扫描件用于证明从事抽样岗位工作年限及工作性质。未提供符合要求的材料不予计分，同一人员只按最高等级计算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704" w:type="dxa"/>
            <w:vMerge w:val="restart"/>
            <w:vAlign w:val="center"/>
          </w:tcPr>
          <w:p>
            <w:pPr>
              <w:jc w:val="center"/>
              <w:rPr>
                <w:rFonts w:ascii="宋体" w:hAnsi="宋体"/>
                <w:bCs/>
                <w:color w:val="auto"/>
                <w:szCs w:val="21"/>
                <w:highlight w:val="none"/>
                <w:lang w:val="zh-CN"/>
              </w:rPr>
            </w:pPr>
            <w:r>
              <w:rPr>
                <w:rFonts w:ascii="宋体" w:hAnsi="宋体"/>
                <w:bCs/>
                <w:color w:val="auto"/>
                <w:szCs w:val="21"/>
                <w:highlight w:val="none"/>
                <w:lang w:val="zh-CN"/>
              </w:rPr>
              <w:t>7</w:t>
            </w:r>
          </w:p>
        </w:tc>
        <w:tc>
          <w:tcPr>
            <w:tcW w:w="1134" w:type="dxa"/>
            <w:vMerge w:val="restart"/>
            <w:vAlign w:val="center"/>
          </w:tcPr>
          <w:p>
            <w:pPr>
              <w:jc w:val="center"/>
              <w:rPr>
                <w:rFonts w:ascii="宋体" w:hAnsi="宋体"/>
                <w:color w:val="auto"/>
                <w:szCs w:val="21"/>
                <w:highlight w:val="none"/>
              </w:rPr>
            </w:pPr>
            <w:r>
              <w:rPr>
                <w:rFonts w:ascii="宋体" w:hAnsi="宋体"/>
                <w:color w:val="auto"/>
                <w:szCs w:val="21"/>
                <w:highlight w:val="none"/>
              </w:rPr>
              <w:t>检测场地情况</w:t>
            </w:r>
          </w:p>
        </w:tc>
        <w:tc>
          <w:tcPr>
            <w:tcW w:w="992" w:type="dxa"/>
            <w:vMerge w:val="restart"/>
            <w:vAlign w:val="center"/>
          </w:tcPr>
          <w:p>
            <w:pPr>
              <w:autoSpaceDE w:val="0"/>
              <w:autoSpaceDN w:val="0"/>
              <w:adjustRightInd w:val="0"/>
              <w:jc w:val="center"/>
              <w:rPr>
                <w:rFonts w:ascii="宋体" w:hAnsi="宋体"/>
                <w:bCs/>
                <w:color w:val="auto"/>
                <w:szCs w:val="21"/>
                <w:highlight w:val="none"/>
                <w:lang w:val="zh-CN"/>
              </w:rPr>
            </w:pPr>
            <w:r>
              <w:rPr>
                <w:rFonts w:ascii="宋体" w:hAnsi="宋体"/>
                <w:bCs/>
                <w:color w:val="auto"/>
                <w:szCs w:val="21"/>
                <w:highlight w:val="none"/>
              </w:rPr>
              <w:t>5</w:t>
            </w:r>
          </w:p>
        </w:tc>
        <w:tc>
          <w:tcPr>
            <w:tcW w:w="6096" w:type="dxa"/>
            <w:vAlign w:val="center"/>
          </w:tcPr>
          <w:p>
            <w:pPr>
              <w:autoSpaceDE w:val="0"/>
              <w:autoSpaceDN w:val="0"/>
              <w:adjustRightInd w:val="0"/>
              <w:jc w:val="left"/>
              <w:rPr>
                <w:rFonts w:ascii="宋体" w:hAnsi="宋体"/>
                <w:bCs/>
                <w:color w:val="auto"/>
                <w:szCs w:val="21"/>
                <w:highlight w:val="none"/>
                <w:lang w:val="zh-CN"/>
              </w:rPr>
            </w:pPr>
            <w:r>
              <w:rPr>
                <w:rFonts w:hint="eastAsia" w:ascii="宋体" w:hAnsi="宋体"/>
                <w:bCs/>
                <w:color w:val="auto"/>
                <w:szCs w:val="21"/>
                <w:highlight w:val="none"/>
              </w:rPr>
              <w:t>（1）</w:t>
            </w:r>
            <w:r>
              <w:rPr>
                <w:rFonts w:ascii="宋体" w:hAnsi="宋体"/>
                <w:bCs/>
                <w:color w:val="auto"/>
                <w:szCs w:val="21"/>
                <w:highlight w:val="none"/>
                <w:lang w:val="zh-CN"/>
              </w:rPr>
              <w:t>投标人具有独立的、固定的食品检测场地，</w:t>
            </w:r>
            <w:r>
              <w:rPr>
                <w:rFonts w:hint="eastAsia" w:ascii="宋体" w:hAnsi="宋体"/>
                <w:bCs/>
                <w:color w:val="auto"/>
                <w:szCs w:val="21"/>
                <w:highlight w:val="none"/>
                <w:lang w:val="zh-CN"/>
              </w:rPr>
              <w:t>根据</w:t>
            </w:r>
            <w:r>
              <w:rPr>
                <w:rFonts w:ascii="宋体" w:hAnsi="宋体"/>
                <w:bCs/>
                <w:color w:val="auto"/>
                <w:szCs w:val="21"/>
                <w:highlight w:val="none"/>
                <w:lang w:val="zh-CN"/>
              </w:rPr>
              <w:t>实验室</w:t>
            </w:r>
            <w:r>
              <w:rPr>
                <w:rFonts w:hint="eastAsia" w:ascii="宋体" w:hAnsi="宋体"/>
                <w:bCs/>
                <w:color w:val="auto"/>
                <w:szCs w:val="21"/>
                <w:highlight w:val="none"/>
                <w:lang w:val="zh-CN"/>
              </w:rPr>
              <w:t>整体环境设置是否合理和规范进行评议，</w:t>
            </w:r>
            <w:r>
              <w:rPr>
                <w:rFonts w:hint="eastAsia" w:ascii="宋体" w:hAnsi="宋体"/>
                <w:color w:val="auto"/>
                <w:szCs w:val="21"/>
                <w:highlight w:val="none"/>
              </w:rPr>
              <w:t>包含各工作区域的空间布局、设施设备放置。</w:t>
            </w:r>
          </w:p>
          <w:p>
            <w:pPr>
              <w:autoSpaceDE w:val="0"/>
              <w:autoSpaceDN w:val="0"/>
              <w:adjustRightInd w:val="0"/>
              <w:jc w:val="left"/>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1 \* GB3</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ascii="宋体" w:hAnsi="宋体" w:cs="Segoe UI"/>
                <w:color w:val="auto"/>
                <w:szCs w:val="21"/>
                <w:highlight w:val="none"/>
                <w:shd w:val="clear" w:color="auto" w:fill="FFFFFF"/>
              </w:rPr>
              <w:t>合理划分工作区、样品准备区、检测区、数据处理区和休息区等，确保各区域之间既相对独立又便于协作。</w:t>
            </w:r>
            <w:r>
              <w:rPr>
                <w:rFonts w:hint="eastAsia" w:ascii="宋体" w:hAnsi="宋体" w:cs="Segoe UI"/>
                <w:color w:val="auto"/>
                <w:szCs w:val="21"/>
                <w:highlight w:val="none"/>
                <w:shd w:val="clear" w:color="auto" w:fill="FFFFFF"/>
              </w:rPr>
              <w:t>具有</w:t>
            </w:r>
            <w:r>
              <w:rPr>
                <w:rFonts w:ascii="宋体" w:hAnsi="宋体" w:cs="Segoe UI"/>
                <w:color w:val="auto"/>
                <w:szCs w:val="21"/>
                <w:highlight w:val="none"/>
                <w:shd w:val="clear" w:color="auto" w:fill="FFFFFF"/>
              </w:rPr>
              <w:t>合理的通道，确保人员流动与样品、减少交叉污染和安全隐患。按照检测流程的逻辑顺序布置设备，减少样品和人员的移动距离，提高作业效率。确保设备之间、设备与墙壁之间留有足够的安全间距，便于操作、维护和紧急疏散</w:t>
            </w:r>
            <w:r>
              <w:rPr>
                <w:rFonts w:hint="eastAsia" w:ascii="宋体" w:hAnsi="宋体" w:cs="Segoe UI"/>
                <w:color w:val="auto"/>
                <w:szCs w:val="21"/>
                <w:highlight w:val="none"/>
                <w:shd w:val="clear" w:color="auto" w:fill="FFFFFF"/>
              </w:rPr>
              <w:t>的得3分</w:t>
            </w:r>
            <w:r>
              <w:rPr>
                <w:rFonts w:ascii="宋体" w:hAnsi="宋体" w:cs="Segoe UI"/>
                <w:color w:val="auto"/>
                <w:szCs w:val="21"/>
                <w:highlight w:val="none"/>
                <w:shd w:val="clear" w:color="auto" w:fill="FFFFFF"/>
              </w:rPr>
              <w:t>。</w:t>
            </w:r>
          </w:p>
          <w:p>
            <w:pPr>
              <w:autoSpaceDE w:val="0"/>
              <w:autoSpaceDN w:val="0"/>
              <w:adjustRightInd w:val="0"/>
              <w:jc w:val="left"/>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2 \* GB3</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szCs w:val="21"/>
                <w:highlight w:val="none"/>
              </w:rPr>
              <w:t>检测场地设置具有合理的区域划分，设施设备放置合理，保持有足够的间距，空间环境不显局促的得2分；</w:t>
            </w:r>
          </w:p>
          <w:p>
            <w:pPr>
              <w:autoSpaceDE w:val="0"/>
              <w:autoSpaceDN w:val="0"/>
              <w:adjustRightInd w:val="0"/>
              <w:jc w:val="left"/>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3 \* GB3</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color w:val="auto"/>
                <w:szCs w:val="21"/>
                <w:highlight w:val="none"/>
              </w:rPr>
              <w:t>检测场地设置存在空间划分不合理或设施设备放置不合理或空间环境局促的得1分；</w:t>
            </w:r>
          </w:p>
          <w:p>
            <w:pPr>
              <w:autoSpaceDE w:val="0"/>
              <w:autoSpaceDN w:val="0"/>
              <w:adjustRightInd w:val="0"/>
              <w:jc w:val="left"/>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4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④</w:t>
            </w:r>
            <w:r>
              <w:rPr>
                <w:rFonts w:ascii="宋体" w:hAnsi="宋体"/>
                <w:color w:val="auto"/>
                <w:szCs w:val="21"/>
                <w:highlight w:val="none"/>
              </w:rPr>
              <w:fldChar w:fldCharType="end"/>
            </w:r>
            <w:r>
              <w:rPr>
                <w:rFonts w:hint="eastAsia" w:ascii="宋体" w:hAnsi="宋体"/>
                <w:color w:val="auto"/>
                <w:szCs w:val="21"/>
                <w:highlight w:val="none"/>
              </w:rPr>
              <w:t>未提供的不得分。</w:t>
            </w:r>
          </w:p>
          <w:p>
            <w:pPr>
              <w:autoSpaceDE w:val="0"/>
              <w:autoSpaceDN w:val="0"/>
              <w:adjustRightInd w:val="0"/>
              <w:jc w:val="left"/>
              <w:rPr>
                <w:rFonts w:ascii="宋体" w:hAnsi="宋体"/>
                <w:bCs/>
                <w:color w:val="auto"/>
                <w:szCs w:val="21"/>
                <w:highlight w:val="none"/>
                <w:lang w:val="zh-CN"/>
              </w:rPr>
            </w:pPr>
            <w:r>
              <w:rPr>
                <w:rFonts w:ascii="宋体" w:hAnsi="宋体"/>
                <w:bCs/>
                <w:color w:val="auto"/>
                <w:szCs w:val="21"/>
                <w:highlight w:val="none"/>
                <w:lang w:val="zh-CN"/>
              </w:rPr>
              <w:t>注：自有的提供房产</w:t>
            </w:r>
            <w:r>
              <w:rPr>
                <w:rFonts w:hint="eastAsia" w:ascii="宋体" w:hAnsi="宋体"/>
                <w:bCs/>
                <w:color w:val="auto"/>
                <w:szCs w:val="21"/>
                <w:highlight w:val="none"/>
                <w:lang w:val="zh-CN"/>
              </w:rPr>
              <w:t>（产权）</w:t>
            </w:r>
            <w:r>
              <w:rPr>
                <w:rFonts w:ascii="宋体" w:hAnsi="宋体"/>
                <w:bCs/>
                <w:color w:val="auto"/>
                <w:szCs w:val="21"/>
                <w:highlight w:val="none"/>
                <w:lang w:val="zh-CN"/>
              </w:rPr>
              <w:t>证复印件和</w:t>
            </w:r>
            <w:r>
              <w:rPr>
                <w:rFonts w:hint="eastAsia" w:ascii="宋体" w:hAnsi="宋体"/>
                <w:bCs/>
                <w:color w:val="auto"/>
                <w:szCs w:val="21"/>
                <w:highlight w:val="none"/>
                <w:lang w:val="zh-CN"/>
              </w:rPr>
              <w:t>场地布局</w:t>
            </w:r>
            <w:r>
              <w:rPr>
                <w:rFonts w:ascii="宋体" w:hAnsi="宋体"/>
                <w:bCs/>
                <w:color w:val="auto"/>
                <w:szCs w:val="21"/>
                <w:highlight w:val="none"/>
                <w:lang w:val="zh-CN"/>
              </w:rPr>
              <w:t>图；租赁的提供租赁合同、房产</w:t>
            </w:r>
            <w:r>
              <w:rPr>
                <w:rFonts w:hint="eastAsia" w:ascii="宋体" w:hAnsi="宋体"/>
                <w:bCs/>
                <w:color w:val="auto"/>
                <w:szCs w:val="21"/>
                <w:highlight w:val="none"/>
                <w:lang w:val="zh-CN"/>
              </w:rPr>
              <w:t>（产权）</w:t>
            </w:r>
            <w:r>
              <w:rPr>
                <w:rFonts w:ascii="宋体" w:hAnsi="宋体"/>
                <w:bCs/>
                <w:color w:val="auto"/>
                <w:szCs w:val="21"/>
                <w:highlight w:val="none"/>
                <w:lang w:val="zh-CN"/>
              </w:rPr>
              <w:t>证的复印件和</w:t>
            </w:r>
            <w:r>
              <w:rPr>
                <w:rFonts w:hint="eastAsia" w:ascii="宋体" w:hAnsi="宋体"/>
                <w:bCs/>
                <w:color w:val="auto"/>
                <w:szCs w:val="21"/>
                <w:highlight w:val="none"/>
                <w:lang w:val="zh-CN"/>
              </w:rPr>
              <w:t>场地布局</w:t>
            </w:r>
            <w:r>
              <w:rPr>
                <w:rFonts w:ascii="宋体" w:hAnsi="宋体"/>
                <w:bCs/>
                <w:color w:val="auto"/>
                <w:szCs w:val="21"/>
                <w:highlight w:val="none"/>
                <w:lang w:val="zh-CN"/>
              </w:rPr>
              <w:t>图</w:t>
            </w:r>
            <w:r>
              <w:rPr>
                <w:rFonts w:hint="eastAsia" w:ascii="宋体" w:hAnsi="宋体"/>
                <w:bCs/>
                <w:color w:val="auto"/>
                <w:szCs w:val="21"/>
                <w:highlight w:val="none"/>
                <w:lang w:val="zh-CN"/>
              </w:rPr>
              <w:t>；提供</w:t>
            </w:r>
            <w:r>
              <w:rPr>
                <w:rFonts w:ascii="宋体" w:hAnsi="宋体"/>
                <w:bCs/>
                <w:color w:val="auto"/>
                <w:szCs w:val="21"/>
                <w:highlight w:val="none"/>
                <w:lang w:val="zh-CN"/>
              </w:rPr>
              <w:t>实验室</w:t>
            </w:r>
            <w:r>
              <w:rPr>
                <w:rFonts w:hint="eastAsia" w:ascii="宋体" w:hAnsi="宋体"/>
                <w:bCs/>
                <w:color w:val="auto"/>
                <w:szCs w:val="21"/>
                <w:highlight w:val="none"/>
                <w:lang w:val="zh-CN"/>
              </w:rPr>
              <w:t>现场环境情况的彩色照片（图片），需丰富、清晰可辨</w:t>
            </w:r>
            <w:r>
              <w:rPr>
                <w:rFonts w:ascii="宋体" w:hAnsi="宋体"/>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04" w:type="dxa"/>
            <w:vMerge w:val="continue"/>
            <w:vAlign w:val="center"/>
          </w:tcPr>
          <w:p>
            <w:pPr>
              <w:jc w:val="center"/>
              <w:rPr>
                <w:rFonts w:ascii="宋体" w:hAnsi="宋体"/>
                <w:bCs/>
                <w:color w:val="auto"/>
                <w:szCs w:val="21"/>
                <w:highlight w:val="none"/>
                <w:lang w:val="zh-CN"/>
              </w:rPr>
            </w:pPr>
          </w:p>
        </w:tc>
        <w:tc>
          <w:tcPr>
            <w:tcW w:w="1134" w:type="dxa"/>
            <w:vMerge w:val="continue"/>
            <w:vAlign w:val="center"/>
          </w:tcPr>
          <w:p>
            <w:pPr>
              <w:jc w:val="center"/>
              <w:rPr>
                <w:rFonts w:ascii="宋体" w:hAnsi="宋体"/>
                <w:color w:val="auto"/>
                <w:szCs w:val="21"/>
                <w:highlight w:val="none"/>
              </w:rPr>
            </w:pPr>
          </w:p>
        </w:tc>
        <w:tc>
          <w:tcPr>
            <w:tcW w:w="992" w:type="dxa"/>
            <w:vMerge w:val="continue"/>
            <w:vAlign w:val="center"/>
          </w:tcPr>
          <w:p>
            <w:pPr>
              <w:autoSpaceDE w:val="0"/>
              <w:autoSpaceDN w:val="0"/>
              <w:adjustRightInd w:val="0"/>
              <w:jc w:val="center"/>
              <w:rPr>
                <w:rFonts w:ascii="宋体" w:hAnsi="宋体"/>
                <w:bCs/>
                <w:color w:val="auto"/>
                <w:szCs w:val="21"/>
                <w:highlight w:val="none"/>
              </w:rPr>
            </w:pPr>
          </w:p>
        </w:tc>
        <w:tc>
          <w:tcPr>
            <w:tcW w:w="6096" w:type="dxa"/>
            <w:vAlign w:val="center"/>
          </w:tcPr>
          <w:p>
            <w:pPr>
              <w:autoSpaceDE w:val="0"/>
              <w:autoSpaceDN w:val="0"/>
              <w:adjustRightInd w:val="0"/>
              <w:jc w:val="left"/>
              <w:rPr>
                <w:rFonts w:ascii="宋体" w:hAnsi="宋体"/>
                <w:bCs/>
                <w:color w:val="auto"/>
                <w:szCs w:val="21"/>
                <w:highlight w:val="none"/>
                <w:lang w:val="zh-CN"/>
              </w:rPr>
            </w:pPr>
            <w:r>
              <w:rPr>
                <w:rFonts w:hint="eastAsia" w:ascii="宋体" w:hAnsi="宋体"/>
                <w:bCs/>
                <w:color w:val="auto"/>
                <w:szCs w:val="21"/>
                <w:highlight w:val="none"/>
              </w:rPr>
              <w:t>（2）</w:t>
            </w:r>
            <w:r>
              <w:rPr>
                <w:rFonts w:ascii="宋体" w:hAnsi="宋体"/>
                <w:bCs/>
                <w:color w:val="auto"/>
                <w:szCs w:val="21"/>
                <w:highlight w:val="none"/>
                <w:lang w:val="zh-CN"/>
              </w:rPr>
              <w:t>投标人具备自建冷藏及冷冻食品保存专用冷库的得</w:t>
            </w:r>
            <w:r>
              <w:rPr>
                <w:rFonts w:ascii="宋体" w:hAnsi="宋体"/>
                <w:bCs/>
                <w:color w:val="auto"/>
                <w:szCs w:val="21"/>
                <w:highlight w:val="none"/>
              </w:rPr>
              <w:t>2</w:t>
            </w:r>
            <w:r>
              <w:rPr>
                <w:rFonts w:ascii="宋体" w:hAnsi="宋体"/>
                <w:bCs/>
                <w:color w:val="auto"/>
                <w:szCs w:val="21"/>
                <w:highlight w:val="none"/>
                <w:lang w:val="zh-CN"/>
              </w:rPr>
              <w:t>分，具备自建冷藏或冷冻食品保存专用冷库的得1分，无自建冷藏或冷冻食品保存专用冷库的不得分。</w:t>
            </w:r>
          </w:p>
          <w:p>
            <w:pPr>
              <w:autoSpaceDE w:val="0"/>
              <w:autoSpaceDN w:val="0"/>
              <w:adjustRightInd w:val="0"/>
              <w:jc w:val="left"/>
              <w:rPr>
                <w:rFonts w:ascii="宋体" w:hAnsi="宋体"/>
                <w:bCs/>
                <w:color w:val="auto"/>
                <w:szCs w:val="21"/>
                <w:highlight w:val="none"/>
              </w:rPr>
            </w:pPr>
            <w:r>
              <w:rPr>
                <w:rFonts w:ascii="宋体" w:hAnsi="宋体"/>
                <w:bCs/>
                <w:color w:val="auto"/>
                <w:szCs w:val="21"/>
                <w:highlight w:val="none"/>
                <w:lang w:val="zh-CN"/>
              </w:rPr>
              <w:t>注：投标文件内提供现场照片及自建证明材料，未提供或无法证明为自建的不予计分。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ascii="宋体" w:hAnsi="宋体"/>
                <w:bCs/>
                <w:color w:val="auto"/>
                <w:szCs w:val="21"/>
                <w:highlight w:val="none"/>
                <w:lang w:val="zh-CN"/>
              </w:rPr>
            </w:pPr>
            <w:r>
              <w:rPr>
                <w:rFonts w:ascii="宋体" w:hAnsi="宋体"/>
                <w:bCs/>
                <w:color w:val="auto"/>
                <w:szCs w:val="21"/>
                <w:highlight w:val="none"/>
                <w:lang w:val="zh-CN"/>
              </w:rPr>
              <w:t>8</w:t>
            </w:r>
          </w:p>
        </w:tc>
        <w:tc>
          <w:tcPr>
            <w:tcW w:w="1134" w:type="dxa"/>
            <w:vAlign w:val="center"/>
          </w:tcPr>
          <w:p>
            <w:pPr>
              <w:jc w:val="center"/>
              <w:rPr>
                <w:rFonts w:ascii="宋体" w:hAnsi="宋体"/>
                <w:color w:val="auto"/>
                <w:szCs w:val="21"/>
                <w:highlight w:val="none"/>
              </w:rPr>
            </w:pPr>
            <w:r>
              <w:rPr>
                <w:rFonts w:ascii="宋体" w:hAnsi="宋体"/>
                <w:color w:val="auto"/>
                <w:szCs w:val="21"/>
                <w:highlight w:val="none"/>
              </w:rPr>
              <w:t>检测设备情况</w:t>
            </w:r>
          </w:p>
        </w:tc>
        <w:tc>
          <w:tcPr>
            <w:tcW w:w="992" w:type="dxa"/>
            <w:vAlign w:val="center"/>
          </w:tcPr>
          <w:p>
            <w:pPr>
              <w:autoSpaceDE w:val="0"/>
              <w:autoSpaceDN w:val="0"/>
              <w:adjustRightInd w:val="0"/>
              <w:jc w:val="center"/>
              <w:rPr>
                <w:rFonts w:ascii="宋体" w:hAnsi="宋体"/>
                <w:bCs/>
                <w:color w:val="auto"/>
                <w:szCs w:val="21"/>
                <w:highlight w:val="none"/>
              </w:rPr>
            </w:pPr>
            <w:r>
              <w:rPr>
                <w:rFonts w:ascii="宋体" w:hAnsi="宋体"/>
                <w:bCs/>
                <w:color w:val="auto"/>
                <w:szCs w:val="21"/>
                <w:highlight w:val="none"/>
              </w:rPr>
              <w:t>10</w:t>
            </w:r>
          </w:p>
        </w:tc>
        <w:tc>
          <w:tcPr>
            <w:tcW w:w="6096" w:type="dxa"/>
            <w:vAlign w:val="center"/>
          </w:tcPr>
          <w:p>
            <w:pPr>
              <w:autoSpaceDE w:val="0"/>
              <w:autoSpaceDN w:val="0"/>
              <w:adjustRightInd w:val="0"/>
              <w:jc w:val="left"/>
              <w:rPr>
                <w:rFonts w:ascii="宋体" w:hAnsi="宋体"/>
                <w:bCs/>
                <w:color w:val="auto"/>
                <w:szCs w:val="21"/>
                <w:highlight w:val="none"/>
                <w:lang w:val="zh-CN"/>
              </w:rPr>
            </w:pPr>
            <w:r>
              <w:rPr>
                <w:rFonts w:ascii="宋体" w:hAnsi="宋体"/>
                <w:bCs/>
                <w:color w:val="auto"/>
                <w:szCs w:val="21"/>
                <w:highlight w:val="none"/>
                <w:lang w:val="zh-CN"/>
              </w:rPr>
              <w:t>投标人自有以下3种满足食品抽检项目的大型检验检测设备：</w:t>
            </w:r>
          </w:p>
          <w:p>
            <w:pPr>
              <w:autoSpaceDE w:val="0"/>
              <w:autoSpaceDN w:val="0"/>
              <w:adjustRightInd w:val="0"/>
              <w:jc w:val="left"/>
              <w:rPr>
                <w:rFonts w:ascii="宋体" w:hAnsi="宋体"/>
                <w:bCs/>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1 \* GB3 </w:instrText>
            </w:r>
            <w:r>
              <w:rPr>
                <w:rFonts w:ascii="宋体" w:hAnsi="宋体"/>
                <w:color w:val="auto"/>
                <w:szCs w:val="21"/>
                <w:highlight w:val="none"/>
              </w:rPr>
              <w:fldChar w:fldCharType="separate"/>
            </w:r>
            <w:r>
              <w:rPr>
                <w:rFonts w:ascii="宋体" w:hAnsi="宋体"/>
                <w:color w:val="auto"/>
                <w:szCs w:val="21"/>
                <w:highlight w:val="none"/>
              </w:rPr>
              <w:t>①</w:t>
            </w:r>
            <w:r>
              <w:rPr>
                <w:rFonts w:ascii="宋体" w:hAnsi="宋体"/>
                <w:color w:val="auto"/>
                <w:szCs w:val="21"/>
                <w:highlight w:val="none"/>
              </w:rPr>
              <w:fldChar w:fldCharType="end"/>
            </w:r>
            <w:r>
              <w:rPr>
                <w:rFonts w:ascii="宋体" w:hAnsi="宋体"/>
                <w:bCs/>
                <w:color w:val="auto"/>
                <w:szCs w:val="21"/>
                <w:highlight w:val="none"/>
                <w:lang w:val="zh-CN"/>
              </w:rPr>
              <w:t>气质联用仪，每台得1分，最高得</w:t>
            </w:r>
            <w:r>
              <w:rPr>
                <w:rFonts w:ascii="宋体" w:hAnsi="宋体"/>
                <w:bCs/>
                <w:color w:val="auto"/>
                <w:szCs w:val="21"/>
                <w:highlight w:val="none"/>
              </w:rPr>
              <w:t>3分；</w:t>
            </w:r>
          </w:p>
          <w:p>
            <w:pPr>
              <w:autoSpaceDE w:val="0"/>
              <w:autoSpaceDN w:val="0"/>
              <w:adjustRightInd w:val="0"/>
              <w:jc w:val="left"/>
              <w:rPr>
                <w:rFonts w:ascii="宋体" w:hAnsi="宋体"/>
                <w:bCs/>
                <w:color w:val="auto"/>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2 \* GB3 </w:instrText>
            </w:r>
            <w:r>
              <w:rPr>
                <w:rFonts w:ascii="宋体" w:hAnsi="宋体"/>
                <w:color w:val="auto"/>
                <w:kern w:val="0"/>
                <w:szCs w:val="21"/>
                <w:highlight w:val="none"/>
              </w:rPr>
              <w:fldChar w:fldCharType="separate"/>
            </w:r>
            <w:r>
              <w:rPr>
                <w:rFonts w:ascii="宋体" w:hAnsi="宋体"/>
                <w:color w:val="auto"/>
                <w:kern w:val="0"/>
                <w:szCs w:val="21"/>
                <w:highlight w:val="none"/>
              </w:rPr>
              <w:t>②</w:t>
            </w:r>
            <w:r>
              <w:rPr>
                <w:rFonts w:ascii="宋体" w:hAnsi="宋体"/>
                <w:color w:val="auto"/>
                <w:kern w:val="0"/>
                <w:szCs w:val="21"/>
                <w:highlight w:val="none"/>
              </w:rPr>
              <w:fldChar w:fldCharType="end"/>
            </w:r>
            <w:r>
              <w:rPr>
                <w:rFonts w:ascii="宋体" w:hAnsi="宋体"/>
                <w:bCs/>
                <w:color w:val="auto"/>
                <w:szCs w:val="21"/>
                <w:highlight w:val="none"/>
                <w:lang w:val="zh-CN"/>
              </w:rPr>
              <w:t>液质联用仪，每台得1分，最高得</w:t>
            </w:r>
            <w:r>
              <w:rPr>
                <w:rFonts w:ascii="宋体" w:hAnsi="宋体"/>
                <w:bCs/>
                <w:color w:val="auto"/>
                <w:szCs w:val="21"/>
                <w:highlight w:val="none"/>
              </w:rPr>
              <w:t>5分；</w:t>
            </w:r>
          </w:p>
          <w:p>
            <w:pPr>
              <w:autoSpaceDE w:val="0"/>
              <w:autoSpaceDN w:val="0"/>
              <w:adjustRightInd w:val="0"/>
              <w:jc w:val="left"/>
              <w:rPr>
                <w:rFonts w:ascii="宋体" w:hAnsi="宋体"/>
                <w:bCs/>
                <w:color w:val="auto"/>
                <w:szCs w:val="21"/>
                <w:highlight w:val="none"/>
                <w:lang w:val="zh-CN"/>
              </w:rPr>
            </w:pPr>
            <w:r>
              <w:rPr>
                <w:rFonts w:ascii="宋体" w:hAnsi="宋体"/>
                <w:color w:val="auto"/>
                <w:szCs w:val="21"/>
                <w:highlight w:val="none"/>
              </w:rPr>
              <w:fldChar w:fldCharType="begin"/>
            </w:r>
            <w:r>
              <w:rPr>
                <w:rFonts w:ascii="宋体" w:hAnsi="宋体"/>
                <w:color w:val="auto"/>
                <w:szCs w:val="21"/>
                <w:highlight w:val="none"/>
              </w:rPr>
              <w:instrText xml:space="preserve">= 3 \* GB3</w:instrText>
            </w:r>
            <w:r>
              <w:rPr>
                <w:rFonts w:ascii="宋体" w:hAnsi="宋体"/>
                <w:color w:val="auto"/>
                <w:szCs w:val="21"/>
                <w:highlight w:val="none"/>
              </w:rPr>
              <w:fldChar w:fldCharType="separate"/>
            </w:r>
            <w:r>
              <w:rPr>
                <w:rFonts w:ascii="宋体" w:hAnsi="宋体"/>
                <w:color w:val="auto"/>
                <w:szCs w:val="21"/>
                <w:highlight w:val="none"/>
              </w:rPr>
              <w:t>③</w:t>
            </w:r>
            <w:r>
              <w:rPr>
                <w:rFonts w:ascii="宋体" w:hAnsi="宋体"/>
                <w:color w:val="auto"/>
                <w:szCs w:val="21"/>
                <w:highlight w:val="none"/>
              </w:rPr>
              <w:fldChar w:fldCharType="end"/>
            </w:r>
            <w:r>
              <w:rPr>
                <w:rFonts w:ascii="宋体" w:hAnsi="宋体"/>
                <w:bCs/>
                <w:color w:val="auto"/>
                <w:szCs w:val="21"/>
                <w:highlight w:val="none"/>
                <w:lang w:val="zh-CN"/>
              </w:rPr>
              <w:t>电感耦合等离子体质谱仪，每台得1分，最高得</w:t>
            </w:r>
            <w:r>
              <w:rPr>
                <w:rFonts w:ascii="宋体" w:hAnsi="宋体"/>
                <w:bCs/>
                <w:color w:val="auto"/>
                <w:szCs w:val="21"/>
                <w:highlight w:val="none"/>
              </w:rPr>
              <w:t>2分</w:t>
            </w:r>
            <w:r>
              <w:rPr>
                <w:rFonts w:ascii="宋体" w:hAnsi="宋体"/>
                <w:bCs/>
                <w:color w:val="auto"/>
                <w:szCs w:val="21"/>
                <w:highlight w:val="none"/>
                <w:lang w:val="zh-CN"/>
              </w:rPr>
              <w:t>。</w:t>
            </w:r>
          </w:p>
          <w:p>
            <w:pPr>
              <w:autoSpaceDE w:val="0"/>
              <w:autoSpaceDN w:val="0"/>
              <w:adjustRightInd w:val="0"/>
              <w:jc w:val="left"/>
              <w:rPr>
                <w:rFonts w:ascii="宋体" w:hAnsi="宋体"/>
                <w:bCs/>
                <w:color w:val="auto"/>
                <w:szCs w:val="21"/>
                <w:highlight w:val="none"/>
                <w:lang w:val="zh-CN"/>
              </w:rPr>
            </w:pPr>
            <w:r>
              <w:rPr>
                <w:rFonts w:ascii="宋体" w:hAnsi="宋体"/>
                <w:bCs/>
                <w:color w:val="auto"/>
                <w:szCs w:val="21"/>
                <w:highlight w:val="none"/>
                <w:lang w:val="zh-CN"/>
              </w:rPr>
              <w:t>注：投标文件内提供设备清单及对应的设备购置发票（或购置合同）及有效期内的计量检定校准证书。证明资料不完整或不一致的不计分；同一台仪器设备不重复计分。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ascii="宋体" w:hAnsi="宋体"/>
                <w:bCs/>
                <w:color w:val="auto"/>
                <w:szCs w:val="21"/>
                <w:highlight w:val="none"/>
                <w:lang w:val="zh-CN"/>
              </w:rPr>
            </w:pPr>
            <w:r>
              <w:rPr>
                <w:rFonts w:ascii="宋体" w:hAnsi="宋体"/>
                <w:bCs/>
                <w:color w:val="auto"/>
                <w:szCs w:val="21"/>
                <w:highlight w:val="none"/>
                <w:lang w:val="zh-CN"/>
              </w:rPr>
              <w:t>9</w:t>
            </w:r>
          </w:p>
        </w:tc>
        <w:tc>
          <w:tcPr>
            <w:tcW w:w="1134" w:type="dxa"/>
            <w:vAlign w:val="center"/>
          </w:tcPr>
          <w:p>
            <w:pPr>
              <w:jc w:val="center"/>
              <w:rPr>
                <w:rFonts w:ascii="宋体" w:hAnsi="宋体"/>
                <w:color w:val="auto"/>
                <w:szCs w:val="21"/>
                <w:highlight w:val="none"/>
              </w:rPr>
            </w:pPr>
            <w:r>
              <w:rPr>
                <w:rFonts w:ascii="宋体" w:hAnsi="宋体"/>
                <w:color w:val="auto"/>
                <w:szCs w:val="21"/>
                <w:highlight w:val="none"/>
              </w:rPr>
              <w:t>抽样车辆、取证设备情况</w:t>
            </w:r>
          </w:p>
        </w:tc>
        <w:tc>
          <w:tcPr>
            <w:tcW w:w="992" w:type="dxa"/>
            <w:vAlign w:val="center"/>
          </w:tcPr>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rPr>
              <w:t>5</w:t>
            </w:r>
          </w:p>
        </w:tc>
        <w:tc>
          <w:tcPr>
            <w:tcW w:w="6096" w:type="dxa"/>
            <w:vAlign w:val="center"/>
          </w:tcPr>
          <w:p>
            <w:pPr>
              <w:autoSpaceDE w:val="0"/>
              <w:autoSpaceDN w:val="0"/>
              <w:adjustRightInd w:val="0"/>
              <w:jc w:val="left"/>
              <w:rPr>
                <w:rFonts w:ascii="宋体" w:hAnsi="宋体"/>
                <w:bCs/>
                <w:color w:val="auto"/>
                <w:szCs w:val="21"/>
                <w:highlight w:val="none"/>
                <w:lang w:val="zh-CN"/>
              </w:rPr>
            </w:pPr>
            <w:r>
              <w:rPr>
                <w:rFonts w:ascii="宋体" w:hAnsi="宋体"/>
                <w:color w:val="auto"/>
                <w:szCs w:val="21"/>
                <w:highlight w:val="none"/>
              </w:rPr>
              <w:fldChar w:fldCharType="begin"/>
            </w:r>
            <w:r>
              <w:rPr>
                <w:rFonts w:ascii="宋体" w:hAnsi="宋体"/>
                <w:color w:val="auto"/>
                <w:szCs w:val="21"/>
                <w:highlight w:val="none"/>
              </w:rPr>
              <w:instrText xml:space="preserve"> = 1 \* GB3 </w:instrText>
            </w:r>
            <w:r>
              <w:rPr>
                <w:rFonts w:ascii="宋体" w:hAnsi="宋体"/>
                <w:color w:val="auto"/>
                <w:szCs w:val="21"/>
                <w:highlight w:val="none"/>
              </w:rPr>
              <w:fldChar w:fldCharType="separate"/>
            </w:r>
            <w:r>
              <w:rPr>
                <w:rFonts w:ascii="宋体" w:hAnsi="宋体"/>
                <w:color w:val="auto"/>
                <w:szCs w:val="21"/>
                <w:highlight w:val="none"/>
              </w:rPr>
              <w:t>①</w:t>
            </w:r>
            <w:r>
              <w:rPr>
                <w:rFonts w:ascii="宋体" w:hAnsi="宋体"/>
                <w:color w:val="auto"/>
                <w:szCs w:val="21"/>
                <w:highlight w:val="none"/>
              </w:rPr>
              <w:fldChar w:fldCharType="end"/>
            </w:r>
            <w:r>
              <w:rPr>
                <w:rFonts w:ascii="宋体" w:hAnsi="宋体"/>
                <w:bCs/>
                <w:color w:val="auto"/>
                <w:szCs w:val="21"/>
                <w:highlight w:val="none"/>
                <w:lang w:val="zh-CN"/>
              </w:rPr>
              <w:t>投标人</w:t>
            </w:r>
            <w:r>
              <w:rPr>
                <w:rFonts w:hint="eastAsia" w:ascii="宋体" w:hAnsi="宋体"/>
                <w:bCs/>
                <w:color w:val="auto"/>
                <w:szCs w:val="21"/>
                <w:highlight w:val="none"/>
                <w:lang w:val="zh-CN"/>
              </w:rPr>
              <w:t>为项目配置</w:t>
            </w:r>
            <w:r>
              <w:rPr>
                <w:rFonts w:ascii="宋体" w:hAnsi="宋体"/>
                <w:bCs/>
                <w:color w:val="auto"/>
                <w:szCs w:val="21"/>
                <w:highlight w:val="none"/>
                <w:lang w:val="zh-CN"/>
              </w:rPr>
              <w:t>食品采样车辆，每辆得0.</w:t>
            </w:r>
            <w:r>
              <w:rPr>
                <w:rFonts w:ascii="宋体" w:hAnsi="宋体"/>
                <w:bCs/>
                <w:color w:val="auto"/>
                <w:szCs w:val="21"/>
                <w:highlight w:val="none"/>
              </w:rPr>
              <w:t>4</w:t>
            </w:r>
            <w:r>
              <w:rPr>
                <w:rFonts w:ascii="宋体" w:hAnsi="宋体"/>
                <w:bCs/>
                <w:color w:val="auto"/>
                <w:szCs w:val="21"/>
                <w:highlight w:val="none"/>
                <w:lang w:val="zh-CN"/>
              </w:rPr>
              <w:t>分，本项最高得</w:t>
            </w:r>
            <w:r>
              <w:rPr>
                <w:rFonts w:ascii="宋体" w:hAnsi="宋体"/>
                <w:bCs/>
                <w:color w:val="auto"/>
                <w:szCs w:val="21"/>
                <w:highlight w:val="none"/>
              </w:rPr>
              <w:t>2</w:t>
            </w:r>
            <w:r>
              <w:rPr>
                <w:rFonts w:ascii="宋体" w:hAnsi="宋体"/>
                <w:bCs/>
                <w:color w:val="auto"/>
                <w:szCs w:val="21"/>
                <w:highlight w:val="none"/>
                <w:lang w:val="zh-CN"/>
              </w:rPr>
              <w:t>分；</w:t>
            </w:r>
          </w:p>
          <w:p>
            <w:pPr>
              <w:autoSpaceDE w:val="0"/>
              <w:autoSpaceDN w:val="0"/>
              <w:adjustRightInd w:val="0"/>
              <w:jc w:val="left"/>
              <w:rPr>
                <w:rFonts w:ascii="宋体" w:hAnsi="宋体"/>
                <w:bCs/>
                <w:color w:val="auto"/>
                <w:szCs w:val="21"/>
                <w:highlight w:val="none"/>
                <w:lang w:val="zh-CN"/>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2 \* GB3 </w:instrText>
            </w:r>
            <w:r>
              <w:rPr>
                <w:rFonts w:ascii="宋体" w:hAnsi="宋体"/>
                <w:color w:val="auto"/>
                <w:kern w:val="0"/>
                <w:szCs w:val="21"/>
                <w:highlight w:val="none"/>
              </w:rPr>
              <w:fldChar w:fldCharType="separate"/>
            </w:r>
            <w:r>
              <w:rPr>
                <w:rFonts w:ascii="宋体" w:hAnsi="宋体"/>
                <w:color w:val="auto"/>
                <w:kern w:val="0"/>
                <w:szCs w:val="21"/>
                <w:highlight w:val="none"/>
              </w:rPr>
              <w:t>②</w:t>
            </w:r>
            <w:r>
              <w:rPr>
                <w:rFonts w:ascii="宋体" w:hAnsi="宋体"/>
                <w:color w:val="auto"/>
                <w:kern w:val="0"/>
                <w:szCs w:val="21"/>
                <w:highlight w:val="none"/>
              </w:rPr>
              <w:fldChar w:fldCharType="end"/>
            </w:r>
            <w:r>
              <w:rPr>
                <w:rFonts w:ascii="宋体" w:hAnsi="宋体"/>
                <w:bCs/>
                <w:color w:val="auto"/>
                <w:szCs w:val="21"/>
                <w:highlight w:val="none"/>
                <w:lang w:val="zh-CN"/>
              </w:rPr>
              <w:t>投标人</w:t>
            </w:r>
            <w:r>
              <w:rPr>
                <w:rFonts w:hint="eastAsia" w:ascii="宋体" w:hAnsi="宋体"/>
                <w:bCs/>
                <w:color w:val="auto"/>
                <w:szCs w:val="21"/>
                <w:highlight w:val="none"/>
                <w:lang w:val="zh-CN"/>
              </w:rPr>
              <w:t>为项目配置</w:t>
            </w:r>
            <w:r>
              <w:rPr>
                <w:rFonts w:ascii="宋体" w:hAnsi="宋体"/>
                <w:bCs/>
                <w:color w:val="auto"/>
                <w:szCs w:val="21"/>
                <w:highlight w:val="none"/>
                <w:lang w:val="zh-CN"/>
              </w:rPr>
              <w:t>食品采样车辆包含冷藏车</w:t>
            </w:r>
            <w:r>
              <w:rPr>
                <w:rFonts w:hint="eastAsia" w:ascii="宋体" w:hAnsi="宋体"/>
                <w:bCs/>
                <w:color w:val="auto"/>
                <w:szCs w:val="21"/>
                <w:highlight w:val="none"/>
                <w:lang w:val="zh-CN"/>
              </w:rPr>
              <w:t>的</w:t>
            </w:r>
            <w:r>
              <w:rPr>
                <w:rFonts w:ascii="宋体" w:hAnsi="宋体"/>
                <w:bCs/>
                <w:color w:val="auto"/>
                <w:szCs w:val="21"/>
                <w:highlight w:val="none"/>
                <w:lang w:val="zh-CN"/>
              </w:rPr>
              <w:t>，得1分；</w:t>
            </w:r>
          </w:p>
          <w:p>
            <w:pPr>
              <w:autoSpaceDE w:val="0"/>
              <w:autoSpaceDN w:val="0"/>
              <w:adjustRightInd w:val="0"/>
              <w:jc w:val="left"/>
              <w:rPr>
                <w:rFonts w:ascii="宋体" w:hAnsi="宋体"/>
                <w:bCs/>
                <w:color w:val="auto"/>
                <w:szCs w:val="21"/>
                <w:highlight w:val="none"/>
                <w:lang w:val="zh-CN"/>
              </w:rPr>
            </w:pPr>
            <w:r>
              <w:rPr>
                <w:rFonts w:ascii="宋体" w:hAnsi="宋体"/>
                <w:color w:val="auto"/>
                <w:szCs w:val="21"/>
                <w:highlight w:val="none"/>
              </w:rPr>
              <w:fldChar w:fldCharType="begin"/>
            </w:r>
            <w:r>
              <w:rPr>
                <w:rFonts w:ascii="宋体" w:hAnsi="宋体"/>
                <w:color w:val="auto"/>
                <w:szCs w:val="21"/>
                <w:highlight w:val="none"/>
              </w:rPr>
              <w:instrText xml:space="preserve">= 3 \* GB3</w:instrText>
            </w:r>
            <w:r>
              <w:rPr>
                <w:rFonts w:ascii="宋体" w:hAnsi="宋体"/>
                <w:color w:val="auto"/>
                <w:szCs w:val="21"/>
                <w:highlight w:val="none"/>
              </w:rPr>
              <w:fldChar w:fldCharType="separate"/>
            </w:r>
            <w:r>
              <w:rPr>
                <w:rFonts w:ascii="宋体" w:hAnsi="宋体"/>
                <w:color w:val="auto"/>
                <w:szCs w:val="21"/>
                <w:highlight w:val="none"/>
              </w:rPr>
              <w:t>③</w:t>
            </w:r>
            <w:r>
              <w:rPr>
                <w:rFonts w:ascii="宋体" w:hAnsi="宋体"/>
                <w:color w:val="auto"/>
                <w:szCs w:val="21"/>
                <w:highlight w:val="none"/>
              </w:rPr>
              <w:fldChar w:fldCharType="end"/>
            </w:r>
            <w:r>
              <w:rPr>
                <w:rFonts w:ascii="宋体" w:hAnsi="宋体"/>
                <w:bCs/>
                <w:color w:val="auto"/>
                <w:szCs w:val="21"/>
                <w:highlight w:val="none"/>
                <w:lang w:val="zh-CN"/>
              </w:rPr>
              <w:t>投标人</w:t>
            </w:r>
            <w:r>
              <w:rPr>
                <w:rFonts w:hint="eastAsia" w:ascii="宋体" w:hAnsi="宋体"/>
                <w:bCs/>
                <w:color w:val="auto"/>
                <w:szCs w:val="21"/>
                <w:highlight w:val="none"/>
                <w:lang w:val="zh-CN"/>
              </w:rPr>
              <w:t>为项目配置</w:t>
            </w:r>
            <w:r>
              <w:rPr>
                <w:rFonts w:ascii="宋体" w:hAnsi="宋体"/>
                <w:bCs/>
                <w:color w:val="auto"/>
                <w:szCs w:val="21"/>
                <w:highlight w:val="none"/>
                <w:lang w:val="zh-CN"/>
              </w:rPr>
              <w:t>现场采集摄像信息执法仪，每台得0.2分，本项最高得</w:t>
            </w:r>
            <w:r>
              <w:rPr>
                <w:rFonts w:hint="eastAsia" w:ascii="宋体" w:hAnsi="宋体"/>
                <w:bCs/>
                <w:color w:val="auto"/>
                <w:szCs w:val="21"/>
                <w:highlight w:val="none"/>
              </w:rPr>
              <w:t>2</w:t>
            </w:r>
            <w:r>
              <w:rPr>
                <w:rFonts w:ascii="宋体" w:hAnsi="宋体"/>
                <w:bCs/>
                <w:color w:val="auto"/>
                <w:szCs w:val="21"/>
                <w:highlight w:val="none"/>
                <w:lang w:val="zh-CN"/>
              </w:rPr>
              <w:t>分。</w:t>
            </w:r>
          </w:p>
          <w:p>
            <w:pPr>
              <w:autoSpaceDE w:val="0"/>
              <w:autoSpaceDN w:val="0"/>
              <w:adjustRightInd w:val="0"/>
              <w:jc w:val="left"/>
              <w:rPr>
                <w:rFonts w:ascii="宋体" w:hAnsi="宋体"/>
                <w:bCs/>
                <w:color w:val="auto"/>
                <w:szCs w:val="21"/>
                <w:highlight w:val="none"/>
                <w:lang w:val="zh-CN"/>
              </w:rPr>
            </w:pPr>
            <w:r>
              <w:rPr>
                <w:rFonts w:ascii="宋体" w:hAnsi="宋体"/>
                <w:bCs/>
                <w:color w:val="auto"/>
                <w:szCs w:val="21"/>
                <w:highlight w:val="none"/>
                <w:lang w:val="zh-CN"/>
              </w:rPr>
              <w:t>注：投标文件内提供车辆和设备的实物照片；自有的提供购置合同或购置发票</w:t>
            </w:r>
            <w:r>
              <w:rPr>
                <w:rFonts w:hint="eastAsia" w:ascii="宋体" w:hAnsi="宋体"/>
                <w:bCs/>
                <w:color w:val="auto"/>
                <w:szCs w:val="21"/>
                <w:highlight w:val="none"/>
                <w:lang w:val="zh-CN"/>
              </w:rPr>
              <w:t>复印件</w:t>
            </w:r>
            <w:r>
              <w:rPr>
                <w:rFonts w:ascii="宋体" w:hAnsi="宋体"/>
                <w:bCs/>
                <w:color w:val="auto"/>
                <w:szCs w:val="21"/>
                <w:highlight w:val="none"/>
                <w:lang w:val="zh-CN"/>
              </w:rPr>
              <w:t>，租赁的提供租赁合同</w:t>
            </w:r>
            <w:r>
              <w:rPr>
                <w:rFonts w:hint="eastAsia" w:ascii="宋体" w:hAnsi="宋体"/>
                <w:bCs/>
                <w:color w:val="auto"/>
                <w:szCs w:val="21"/>
                <w:highlight w:val="none"/>
                <w:lang w:val="zh-CN"/>
              </w:rPr>
              <w:t>复印件</w:t>
            </w:r>
            <w:r>
              <w:rPr>
                <w:rFonts w:ascii="宋体" w:hAnsi="宋体"/>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04" w:type="dxa"/>
            <w:vMerge w:val="restart"/>
            <w:vAlign w:val="center"/>
          </w:tcPr>
          <w:p>
            <w:pPr>
              <w:jc w:val="center"/>
              <w:rPr>
                <w:rFonts w:ascii="宋体" w:hAnsi="宋体"/>
                <w:bCs/>
                <w:color w:val="auto"/>
                <w:szCs w:val="21"/>
                <w:highlight w:val="none"/>
                <w:lang w:val="zh-CN"/>
              </w:rPr>
            </w:pPr>
            <w:r>
              <w:rPr>
                <w:rFonts w:ascii="宋体" w:hAnsi="宋体"/>
                <w:bCs/>
                <w:color w:val="auto"/>
                <w:szCs w:val="21"/>
                <w:highlight w:val="none"/>
                <w:lang w:val="zh-CN"/>
              </w:rPr>
              <w:t>10</w:t>
            </w:r>
          </w:p>
        </w:tc>
        <w:tc>
          <w:tcPr>
            <w:tcW w:w="1134" w:type="dxa"/>
            <w:vMerge w:val="restart"/>
            <w:vAlign w:val="center"/>
          </w:tcPr>
          <w:p>
            <w:pPr>
              <w:widowControl/>
              <w:jc w:val="center"/>
              <w:textAlignment w:val="center"/>
              <w:rPr>
                <w:rFonts w:ascii="宋体" w:hAnsi="宋体"/>
                <w:bCs/>
                <w:color w:val="auto"/>
                <w:szCs w:val="21"/>
                <w:highlight w:val="none"/>
                <w:lang w:val="zh-CN"/>
              </w:rPr>
            </w:pPr>
            <w:r>
              <w:rPr>
                <w:rFonts w:ascii="宋体" w:hAnsi="宋体"/>
                <w:color w:val="auto"/>
                <w:kern w:val="0"/>
                <w:szCs w:val="21"/>
                <w:highlight w:val="none"/>
                <w:lang w:bidi="ar"/>
              </w:rPr>
              <w:t>抽检分离和数字化实验室建设要求</w:t>
            </w:r>
          </w:p>
        </w:tc>
        <w:tc>
          <w:tcPr>
            <w:tcW w:w="992" w:type="dxa"/>
            <w:vAlign w:val="center"/>
          </w:tcPr>
          <w:p>
            <w:pPr>
              <w:widowControl/>
              <w:jc w:val="center"/>
              <w:textAlignment w:val="center"/>
              <w:rPr>
                <w:rFonts w:ascii="宋体" w:hAnsi="宋体"/>
                <w:bCs/>
                <w:color w:val="auto"/>
                <w:szCs w:val="21"/>
                <w:highlight w:val="none"/>
                <w:lang w:val="zh-CN"/>
              </w:rPr>
            </w:pPr>
            <w:r>
              <w:rPr>
                <w:rFonts w:ascii="宋体" w:hAnsi="宋体"/>
                <w:color w:val="auto"/>
                <w:kern w:val="0"/>
                <w:szCs w:val="21"/>
                <w:highlight w:val="none"/>
                <w:lang w:bidi="ar"/>
              </w:rPr>
              <w:t>5</w:t>
            </w:r>
          </w:p>
        </w:tc>
        <w:tc>
          <w:tcPr>
            <w:tcW w:w="6096" w:type="dxa"/>
            <w:vAlign w:val="center"/>
          </w:tcPr>
          <w:p>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具备相关的管理制度，能实现抽样、制样、检验、审核、批准五个环节的分离，根据工作性质和岗位要求设置相应部门、配备相应人员，形成以中心（组）为单位的工作环节，做到各环节人员相对独立，流程相互分离，工作紧密衔接，确保食品抽检全程质控。根据</w:t>
            </w:r>
            <w:r>
              <w:rPr>
                <w:rFonts w:hint="eastAsia" w:ascii="宋体" w:hAnsi="宋体"/>
                <w:color w:val="auto"/>
                <w:szCs w:val="21"/>
                <w:highlight w:val="none"/>
              </w:rPr>
              <w:t>投标人</w:t>
            </w:r>
            <w:r>
              <w:rPr>
                <w:rFonts w:ascii="宋体" w:hAnsi="宋体"/>
                <w:color w:val="auto"/>
                <w:szCs w:val="21"/>
                <w:highlight w:val="none"/>
              </w:rPr>
              <w:t>提供的相关材料进行评审。</w:t>
            </w:r>
          </w:p>
          <w:p>
            <w:pPr>
              <w:jc w:val="left"/>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1 \* GB3 </w:instrText>
            </w:r>
            <w:r>
              <w:rPr>
                <w:rFonts w:ascii="宋体" w:hAnsi="宋体"/>
                <w:color w:val="auto"/>
                <w:szCs w:val="21"/>
                <w:highlight w:val="none"/>
              </w:rPr>
              <w:fldChar w:fldCharType="separate"/>
            </w:r>
            <w:r>
              <w:rPr>
                <w:rFonts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投标人</w:t>
            </w:r>
            <w:r>
              <w:rPr>
                <w:rFonts w:hint="eastAsia" w:ascii="宋体" w:hAnsi="宋体"/>
                <w:iCs/>
                <w:color w:val="auto"/>
                <w:szCs w:val="21"/>
                <w:highlight w:val="none"/>
              </w:rPr>
              <w:t>提供的</w:t>
            </w:r>
            <w:r>
              <w:rPr>
                <w:rFonts w:ascii="宋体" w:hAnsi="宋体"/>
                <w:color w:val="auto"/>
                <w:szCs w:val="21"/>
                <w:highlight w:val="none"/>
              </w:rPr>
              <w:t>相关管理制度</w:t>
            </w:r>
            <w:r>
              <w:rPr>
                <w:rFonts w:hint="eastAsia" w:ascii="宋体" w:hAnsi="宋体"/>
                <w:color w:val="auto"/>
                <w:szCs w:val="21"/>
                <w:highlight w:val="none"/>
              </w:rPr>
              <w:t>包含上述所有评审因素，实现</w:t>
            </w:r>
            <w:r>
              <w:rPr>
                <w:rFonts w:ascii="宋体" w:hAnsi="宋体"/>
                <w:color w:val="auto"/>
                <w:szCs w:val="21"/>
                <w:highlight w:val="none"/>
              </w:rPr>
              <w:t>抽样、制样、检验、审核、批准五个环节的分离，根据工作性质和岗位要求设置相应部门、配备相应人员，形成以中心（组）为单位的工作环节，做到各环节人员相对独立，流程相互分离，工作紧密衔接，确保食品抽检全程质控</w:t>
            </w:r>
            <w:r>
              <w:rPr>
                <w:rFonts w:hint="eastAsia" w:ascii="宋体" w:hAnsi="宋体"/>
                <w:color w:val="auto"/>
                <w:szCs w:val="21"/>
                <w:highlight w:val="none"/>
              </w:rPr>
              <w:t>的得5分；</w:t>
            </w:r>
          </w:p>
          <w:p>
            <w:pPr>
              <w:autoSpaceDE w:val="0"/>
              <w:autoSpaceDN w:val="0"/>
              <w:adjustRightInd w:val="0"/>
              <w:jc w:val="left"/>
              <w:rPr>
                <w:rFonts w:ascii="宋体" w:hAnsi="宋体"/>
                <w:color w:val="auto"/>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2 \* GB3 </w:instrText>
            </w:r>
            <w:r>
              <w:rPr>
                <w:rFonts w:ascii="宋体" w:hAnsi="宋体"/>
                <w:color w:val="auto"/>
                <w:kern w:val="0"/>
                <w:szCs w:val="21"/>
                <w:highlight w:val="none"/>
              </w:rPr>
              <w:fldChar w:fldCharType="separate"/>
            </w:r>
            <w:r>
              <w:rPr>
                <w:rFonts w:ascii="宋体" w:hAnsi="宋体"/>
                <w:color w:val="auto"/>
                <w:kern w:val="0"/>
                <w:szCs w:val="21"/>
                <w:highlight w:val="none"/>
              </w:rPr>
              <w:t>②</w:t>
            </w:r>
            <w:r>
              <w:rPr>
                <w:rFonts w:ascii="宋体" w:hAnsi="宋体"/>
                <w:color w:val="auto"/>
                <w:kern w:val="0"/>
                <w:szCs w:val="21"/>
                <w:highlight w:val="none"/>
              </w:rPr>
              <w:fldChar w:fldCharType="end"/>
            </w:r>
            <w:r>
              <w:rPr>
                <w:rFonts w:hint="eastAsia" w:ascii="宋体" w:hAnsi="宋体"/>
                <w:color w:val="auto"/>
                <w:szCs w:val="21"/>
                <w:highlight w:val="none"/>
              </w:rPr>
              <w:t>投标人</w:t>
            </w:r>
            <w:r>
              <w:rPr>
                <w:rFonts w:hint="eastAsia" w:ascii="宋体" w:hAnsi="宋体"/>
                <w:iCs/>
                <w:color w:val="auto"/>
                <w:szCs w:val="21"/>
                <w:highlight w:val="none"/>
              </w:rPr>
              <w:t>提供的</w:t>
            </w:r>
            <w:r>
              <w:rPr>
                <w:rFonts w:ascii="宋体" w:hAnsi="宋体"/>
                <w:color w:val="auto"/>
                <w:szCs w:val="21"/>
                <w:highlight w:val="none"/>
              </w:rPr>
              <w:t>相关管理制度</w:t>
            </w:r>
            <w:r>
              <w:rPr>
                <w:rFonts w:hint="eastAsia" w:ascii="宋体" w:hAnsi="宋体"/>
                <w:color w:val="auto"/>
                <w:szCs w:val="21"/>
                <w:highlight w:val="none"/>
              </w:rPr>
              <w:t>包含上述所有评审因素，能够基本实现</w:t>
            </w:r>
            <w:r>
              <w:rPr>
                <w:rFonts w:ascii="宋体" w:hAnsi="宋体"/>
                <w:color w:val="auto"/>
                <w:szCs w:val="21"/>
                <w:highlight w:val="none"/>
              </w:rPr>
              <w:t>抽样、制样、检验、审核、批准五个环节的分离</w:t>
            </w:r>
            <w:r>
              <w:rPr>
                <w:rFonts w:hint="eastAsia" w:ascii="宋体" w:hAnsi="宋体"/>
                <w:color w:val="auto"/>
                <w:szCs w:val="21"/>
                <w:highlight w:val="none"/>
              </w:rPr>
              <w:t>，能够基本做到</w:t>
            </w:r>
            <w:r>
              <w:rPr>
                <w:rFonts w:ascii="宋体" w:hAnsi="宋体"/>
                <w:color w:val="auto"/>
                <w:szCs w:val="21"/>
                <w:highlight w:val="none"/>
              </w:rPr>
              <w:t>各环节人员相对独立，流程相互分离，工作紧密衔接，</w:t>
            </w:r>
            <w:r>
              <w:rPr>
                <w:rFonts w:hint="eastAsia" w:ascii="宋体" w:hAnsi="宋体"/>
                <w:color w:val="auto"/>
                <w:szCs w:val="21"/>
                <w:highlight w:val="none"/>
              </w:rPr>
              <w:t>保障</w:t>
            </w:r>
            <w:r>
              <w:rPr>
                <w:rFonts w:ascii="宋体" w:hAnsi="宋体"/>
                <w:color w:val="auto"/>
                <w:szCs w:val="21"/>
                <w:highlight w:val="none"/>
              </w:rPr>
              <w:t>食品抽检全程质控</w:t>
            </w:r>
            <w:r>
              <w:rPr>
                <w:rFonts w:hint="eastAsia" w:ascii="宋体" w:hAnsi="宋体"/>
                <w:color w:val="auto"/>
                <w:szCs w:val="21"/>
                <w:highlight w:val="none"/>
              </w:rPr>
              <w:t>的得3分；</w:t>
            </w:r>
          </w:p>
          <w:p>
            <w:pPr>
              <w:adjustRightInd w:val="0"/>
              <w:spacing w:line="300" w:lineRule="exact"/>
              <w:jc w:val="left"/>
              <w:textAlignment w:val="baseline"/>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3 \* GB3</w:instrText>
            </w:r>
            <w:r>
              <w:rPr>
                <w:rFonts w:ascii="宋体" w:hAnsi="宋体"/>
                <w:color w:val="auto"/>
                <w:szCs w:val="21"/>
                <w:highlight w:val="none"/>
              </w:rPr>
              <w:fldChar w:fldCharType="separate"/>
            </w:r>
            <w:r>
              <w:rPr>
                <w:rFonts w:ascii="宋体" w:hAnsi="宋体"/>
                <w:color w:val="auto"/>
                <w:szCs w:val="21"/>
                <w:highlight w:val="none"/>
              </w:rPr>
              <w:t>③</w:t>
            </w:r>
            <w:r>
              <w:rPr>
                <w:rFonts w:ascii="宋体" w:hAnsi="宋体"/>
                <w:color w:val="auto"/>
                <w:szCs w:val="21"/>
                <w:highlight w:val="none"/>
              </w:rPr>
              <w:fldChar w:fldCharType="end"/>
            </w:r>
            <w:r>
              <w:rPr>
                <w:rFonts w:hint="eastAsia" w:ascii="宋体" w:hAnsi="宋体"/>
                <w:color w:val="auto"/>
                <w:szCs w:val="21"/>
                <w:highlight w:val="none"/>
              </w:rPr>
              <w:t>投标人</w:t>
            </w:r>
            <w:r>
              <w:rPr>
                <w:rFonts w:hint="eastAsia" w:ascii="宋体" w:hAnsi="宋体"/>
                <w:iCs/>
                <w:color w:val="auto"/>
                <w:szCs w:val="21"/>
                <w:highlight w:val="none"/>
              </w:rPr>
              <w:t>提供的</w:t>
            </w:r>
            <w:r>
              <w:rPr>
                <w:rFonts w:ascii="宋体" w:hAnsi="宋体"/>
                <w:color w:val="auto"/>
                <w:szCs w:val="21"/>
                <w:highlight w:val="none"/>
              </w:rPr>
              <w:t>相关管理制度</w:t>
            </w:r>
            <w:r>
              <w:rPr>
                <w:rFonts w:hint="eastAsia" w:ascii="宋体" w:hAnsi="宋体"/>
                <w:color w:val="auto"/>
                <w:szCs w:val="21"/>
                <w:highlight w:val="none"/>
              </w:rPr>
              <w:t>内容不能实现</w:t>
            </w:r>
            <w:r>
              <w:rPr>
                <w:rFonts w:ascii="宋体" w:hAnsi="宋体"/>
                <w:color w:val="auto"/>
                <w:szCs w:val="21"/>
                <w:highlight w:val="none"/>
              </w:rPr>
              <w:t>抽样、制样、检验、审核、批准五个环节的分离</w:t>
            </w:r>
            <w:r>
              <w:rPr>
                <w:rFonts w:hint="eastAsia" w:ascii="宋体" w:hAnsi="宋体"/>
                <w:color w:val="auto"/>
                <w:szCs w:val="21"/>
                <w:highlight w:val="none"/>
              </w:rPr>
              <w:t>或不能达到</w:t>
            </w:r>
            <w:r>
              <w:rPr>
                <w:rFonts w:ascii="宋体" w:hAnsi="宋体"/>
                <w:color w:val="auto"/>
                <w:szCs w:val="21"/>
                <w:highlight w:val="none"/>
              </w:rPr>
              <w:t>各环节人员相对独立，流程相互分离</w:t>
            </w:r>
            <w:r>
              <w:rPr>
                <w:rFonts w:hint="eastAsia" w:ascii="宋体" w:hAnsi="宋体"/>
                <w:color w:val="auto"/>
                <w:szCs w:val="21"/>
                <w:highlight w:val="none"/>
              </w:rPr>
              <w:t>的得1分；</w:t>
            </w:r>
          </w:p>
          <w:p>
            <w:pPr>
              <w:adjustRightInd w:val="0"/>
              <w:spacing w:line="300" w:lineRule="exact"/>
              <w:jc w:val="left"/>
              <w:textAlignment w:val="baseline"/>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4 \* GB3 </w:instrText>
            </w:r>
            <w:r>
              <w:rPr>
                <w:rFonts w:ascii="宋体" w:hAnsi="宋体"/>
                <w:color w:val="auto"/>
                <w:szCs w:val="21"/>
                <w:highlight w:val="none"/>
              </w:rPr>
              <w:fldChar w:fldCharType="separate"/>
            </w:r>
            <w:r>
              <w:rPr>
                <w:rFonts w:ascii="宋体" w:hAnsi="宋体"/>
                <w:color w:val="auto"/>
                <w:szCs w:val="21"/>
                <w:highlight w:val="none"/>
              </w:rPr>
              <w:t>④</w:t>
            </w:r>
            <w:r>
              <w:rPr>
                <w:rFonts w:ascii="宋体" w:hAnsi="宋体"/>
                <w:color w:val="auto"/>
                <w:szCs w:val="21"/>
                <w:highlight w:val="none"/>
              </w:rPr>
              <w:fldChar w:fldCharType="end"/>
            </w:r>
            <w:r>
              <w:rPr>
                <w:rFonts w:ascii="宋体" w:hAnsi="宋体"/>
                <w:color w:val="auto"/>
                <w:szCs w:val="21"/>
                <w:highlight w:val="none"/>
              </w:rPr>
              <w:t>未提供</w:t>
            </w:r>
            <w:r>
              <w:rPr>
                <w:rFonts w:hint="eastAsia" w:ascii="宋体" w:hAnsi="宋体"/>
                <w:color w:val="auto"/>
                <w:szCs w:val="21"/>
                <w:highlight w:val="none"/>
              </w:rPr>
              <w:t>方案</w:t>
            </w:r>
            <w:r>
              <w:rPr>
                <w:rFonts w:ascii="宋体" w:hAnsi="宋体"/>
                <w:color w:val="auto"/>
                <w:szCs w:val="21"/>
                <w:highlight w:val="none"/>
              </w:rPr>
              <w:t>的</w:t>
            </w:r>
            <w:r>
              <w:rPr>
                <w:rFonts w:hint="eastAsia" w:ascii="宋体" w:hAnsi="宋体"/>
                <w:color w:val="auto"/>
                <w:szCs w:val="21"/>
                <w:highlight w:val="none"/>
              </w:rPr>
              <w:t>不得分</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704" w:type="dxa"/>
            <w:vMerge w:val="continue"/>
            <w:vAlign w:val="center"/>
          </w:tcPr>
          <w:p>
            <w:pPr>
              <w:jc w:val="center"/>
              <w:rPr>
                <w:rFonts w:ascii="宋体" w:hAnsi="宋体"/>
                <w:bCs/>
                <w:color w:val="auto"/>
                <w:szCs w:val="21"/>
                <w:highlight w:val="none"/>
                <w:lang w:val="zh-CN"/>
              </w:rPr>
            </w:pPr>
          </w:p>
        </w:tc>
        <w:tc>
          <w:tcPr>
            <w:tcW w:w="1134" w:type="dxa"/>
            <w:vMerge w:val="continue"/>
            <w:vAlign w:val="center"/>
          </w:tcPr>
          <w:p>
            <w:pPr>
              <w:widowControl/>
              <w:jc w:val="center"/>
              <w:textAlignment w:val="center"/>
              <w:rPr>
                <w:rFonts w:ascii="宋体" w:hAnsi="宋体"/>
                <w:color w:val="auto"/>
                <w:kern w:val="0"/>
                <w:szCs w:val="21"/>
                <w:highlight w:val="none"/>
                <w:lang w:bidi="ar"/>
              </w:rPr>
            </w:pPr>
          </w:p>
        </w:tc>
        <w:tc>
          <w:tcPr>
            <w:tcW w:w="992" w:type="dxa"/>
            <w:vAlign w:val="center"/>
          </w:tcPr>
          <w:p>
            <w:pPr>
              <w:jc w:val="center"/>
              <w:textAlignment w:val="center"/>
              <w:rPr>
                <w:rFonts w:ascii="宋体" w:hAnsi="宋体"/>
                <w:color w:val="auto"/>
                <w:kern w:val="0"/>
                <w:szCs w:val="21"/>
                <w:highlight w:val="none"/>
                <w:lang w:bidi="ar"/>
              </w:rPr>
            </w:pPr>
            <w:r>
              <w:rPr>
                <w:rFonts w:ascii="宋体" w:hAnsi="宋体"/>
                <w:color w:val="auto"/>
                <w:kern w:val="0"/>
                <w:szCs w:val="21"/>
                <w:highlight w:val="none"/>
                <w:lang w:bidi="ar"/>
              </w:rPr>
              <w:t>3</w:t>
            </w:r>
          </w:p>
        </w:tc>
        <w:tc>
          <w:tcPr>
            <w:tcW w:w="6096" w:type="dxa"/>
            <w:vAlign w:val="center"/>
          </w:tcPr>
          <w:p>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数字化实验室。建有常态化平稳运行的LIMS信息化系统，覆盖全部检测信息、原始记录、检测结果，检测过程涉及的“人、机、料、法、环”各环节，实现数据信息电子化保存和处置。根据投标人提供的相关材料（需提供信息化系统电子化保存和处置的软件操作截图）进行评审，本项最高得3分。</w:t>
            </w:r>
          </w:p>
          <w:p>
            <w:pPr>
              <w:autoSpaceDE w:val="0"/>
              <w:autoSpaceDN w:val="0"/>
              <w:adjustRightInd w:val="0"/>
              <w:jc w:val="left"/>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1 \* GB3 </w:instrText>
            </w:r>
            <w:r>
              <w:rPr>
                <w:rFonts w:ascii="宋体" w:hAnsi="宋体"/>
                <w:color w:val="auto"/>
                <w:szCs w:val="21"/>
                <w:highlight w:val="none"/>
              </w:rPr>
              <w:fldChar w:fldCharType="separate"/>
            </w:r>
            <w:r>
              <w:rPr>
                <w:rFonts w:ascii="宋体" w:hAnsi="宋体"/>
                <w:color w:val="auto"/>
                <w:szCs w:val="21"/>
                <w:highlight w:val="none"/>
              </w:rPr>
              <w:t>①</w:t>
            </w:r>
            <w:r>
              <w:rPr>
                <w:rFonts w:ascii="宋体" w:hAnsi="宋体"/>
                <w:color w:val="auto"/>
                <w:szCs w:val="21"/>
                <w:highlight w:val="none"/>
              </w:rPr>
              <w:fldChar w:fldCharType="end"/>
            </w:r>
            <w:r>
              <w:rPr>
                <w:rFonts w:ascii="宋体" w:hAnsi="宋体"/>
                <w:color w:val="auto"/>
                <w:szCs w:val="21"/>
                <w:highlight w:val="none"/>
              </w:rPr>
              <w:t>LIMS信息化系统覆盖机构管理、资源管理、检测过程管理、体系管理及查询统计等实验室工作全流程，功能模块完整，信息访问及处理权限控制规范，符合“五分离”工作模式及实验室管理要求，可实现</w:t>
            </w:r>
            <w:r>
              <w:rPr>
                <w:rFonts w:ascii="宋体" w:hAnsi="宋体"/>
                <w:bCs/>
                <w:color w:val="auto"/>
                <w:szCs w:val="21"/>
                <w:highlight w:val="none"/>
                <w:lang w:val="zh-CN"/>
              </w:rPr>
              <w:t>实验室</w:t>
            </w:r>
            <w:r>
              <w:rPr>
                <w:rFonts w:ascii="宋体" w:hAnsi="宋体"/>
                <w:color w:val="auto"/>
                <w:szCs w:val="21"/>
                <w:highlight w:val="none"/>
              </w:rPr>
              <w:t>检验业务无纸化管理的得3分；</w:t>
            </w:r>
          </w:p>
          <w:p>
            <w:pPr>
              <w:autoSpaceDE w:val="0"/>
              <w:autoSpaceDN w:val="0"/>
              <w:adjustRightInd w:val="0"/>
              <w:jc w:val="left"/>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2 \* GB3 </w:instrText>
            </w:r>
            <w:r>
              <w:rPr>
                <w:rFonts w:ascii="宋体" w:hAnsi="宋体"/>
                <w:color w:val="auto"/>
                <w:szCs w:val="21"/>
                <w:highlight w:val="none"/>
              </w:rPr>
              <w:fldChar w:fldCharType="separate"/>
            </w:r>
            <w:r>
              <w:rPr>
                <w:rFonts w:ascii="宋体" w:hAnsi="宋体"/>
                <w:color w:val="auto"/>
                <w:szCs w:val="21"/>
                <w:highlight w:val="none"/>
              </w:rPr>
              <w:t>②</w:t>
            </w:r>
            <w:r>
              <w:rPr>
                <w:rFonts w:ascii="宋体" w:hAnsi="宋体"/>
                <w:color w:val="auto"/>
                <w:szCs w:val="21"/>
                <w:highlight w:val="none"/>
              </w:rPr>
              <w:fldChar w:fldCharType="end"/>
            </w:r>
            <w:r>
              <w:rPr>
                <w:rFonts w:ascii="宋体" w:hAnsi="宋体"/>
                <w:color w:val="auto"/>
                <w:szCs w:val="21"/>
                <w:highlight w:val="none"/>
              </w:rPr>
              <w:t>LIMS信息化系统覆盖实验室工作主要流程，功能模块基本完整，权限控制较为规范的得2分；</w:t>
            </w:r>
          </w:p>
          <w:p>
            <w:pPr>
              <w:autoSpaceDE w:val="0"/>
              <w:autoSpaceDN w:val="0"/>
              <w:adjustRightInd w:val="0"/>
              <w:jc w:val="left"/>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3 \* GB3</w:instrText>
            </w:r>
            <w:r>
              <w:rPr>
                <w:rFonts w:ascii="宋体" w:hAnsi="宋体"/>
                <w:color w:val="auto"/>
                <w:szCs w:val="21"/>
                <w:highlight w:val="none"/>
              </w:rPr>
              <w:fldChar w:fldCharType="separate"/>
            </w:r>
            <w:r>
              <w:rPr>
                <w:rFonts w:ascii="宋体" w:hAnsi="宋体"/>
                <w:color w:val="auto"/>
                <w:szCs w:val="21"/>
                <w:highlight w:val="none"/>
              </w:rPr>
              <w:t>③</w:t>
            </w:r>
            <w:r>
              <w:rPr>
                <w:rFonts w:ascii="宋体" w:hAnsi="宋体"/>
                <w:color w:val="auto"/>
                <w:szCs w:val="21"/>
                <w:highlight w:val="none"/>
              </w:rPr>
              <w:fldChar w:fldCharType="end"/>
            </w:r>
            <w:r>
              <w:rPr>
                <w:rFonts w:ascii="宋体" w:hAnsi="宋体"/>
                <w:color w:val="auto"/>
                <w:szCs w:val="21"/>
                <w:highlight w:val="none"/>
              </w:rPr>
              <w:t>具备基础的LIMS信息化系统，能够完成检验检测数据的信息化管理，无权限分级控制的得1分；</w:t>
            </w:r>
          </w:p>
          <w:p>
            <w:pPr>
              <w:autoSpaceDE w:val="0"/>
              <w:autoSpaceDN w:val="0"/>
              <w:adjustRightInd w:val="0"/>
              <w:jc w:val="left"/>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4 \* GB3 </w:instrText>
            </w:r>
            <w:r>
              <w:rPr>
                <w:rFonts w:ascii="宋体" w:hAnsi="宋体"/>
                <w:color w:val="auto"/>
                <w:szCs w:val="21"/>
                <w:highlight w:val="none"/>
              </w:rPr>
              <w:fldChar w:fldCharType="separate"/>
            </w:r>
            <w:r>
              <w:rPr>
                <w:rFonts w:ascii="宋体" w:hAnsi="宋体"/>
                <w:color w:val="auto"/>
                <w:szCs w:val="21"/>
                <w:highlight w:val="none"/>
              </w:rPr>
              <w:t>④</w:t>
            </w:r>
            <w:r>
              <w:rPr>
                <w:rFonts w:ascii="宋体" w:hAnsi="宋体"/>
                <w:color w:val="auto"/>
                <w:szCs w:val="21"/>
                <w:highlight w:val="none"/>
              </w:rPr>
              <w:fldChar w:fldCharType="end"/>
            </w:r>
            <w:r>
              <w:rPr>
                <w:rFonts w:ascii="宋体" w:hAnsi="宋体"/>
                <w:color w:val="auto"/>
                <w:szCs w:val="21"/>
                <w:highlight w:val="none"/>
              </w:rPr>
              <w:t>未提供相关材料的不得分。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ascii="宋体" w:hAnsi="宋体"/>
                <w:bCs/>
                <w:color w:val="auto"/>
                <w:szCs w:val="21"/>
                <w:highlight w:val="none"/>
                <w:lang w:val="zh-CN"/>
              </w:rPr>
            </w:pPr>
            <w:r>
              <w:rPr>
                <w:rFonts w:ascii="宋体" w:hAnsi="宋体"/>
                <w:bCs/>
                <w:color w:val="auto"/>
                <w:szCs w:val="21"/>
                <w:highlight w:val="none"/>
                <w:lang w:val="zh-CN"/>
              </w:rPr>
              <w:t>11</w:t>
            </w:r>
          </w:p>
        </w:tc>
        <w:tc>
          <w:tcPr>
            <w:tcW w:w="1134" w:type="dxa"/>
            <w:vAlign w:val="center"/>
          </w:tcPr>
          <w:p>
            <w:pPr>
              <w:jc w:val="center"/>
              <w:rPr>
                <w:rFonts w:ascii="宋体" w:hAnsi="宋体"/>
                <w:color w:val="auto"/>
                <w:szCs w:val="21"/>
                <w:highlight w:val="none"/>
                <w:lang w:val="zh-CN"/>
              </w:rPr>
            </w:pPr>
            <w:r>
              <w:rPr>
                <w:rFonts w:ascii="宋体" w:hAnsi="宋体"/>
                <w:bCs/>
                <w:color w:val="auto"/>
                <w:szCs w:val="21"/>
                <w:highlight w:val="none"/>
                <w:lang w:val="zh-CN"/>
              </w:rPr>
              <w:t>抽检任务的工作方案</w:t>
            </w:r>
          </w:p>
        </w:tc>
        <w:tc>
          <w:tcPr>
            <w:tcW w:w="992" w:type="dxa"/>
            <w:vAlign w:val="center"/>
          </w:tcPr>
          <w:p>
            <w:pPr>
              <w:autoSpaceDE w:val="0"/>
              <w:autoSpaceDN w:val="0"/>
              <w:adjustRightInd w:val="0"/>
              <w:jc w:val="center"/>
              <w:rPr>
                <w:rFonts w:ascii="宋体" w:hAnsi="宋体"/>
                <w:bCs/>
                <w:color w:val="auto"/>
                <w:szCs w:val="21"/>
                <w:highlight w:val="none"/>
              </w:rPr>
            </w:pPr>
            <w:r>
              <w:rPr>
                <w:rFonts w:ascii="宋体" w:hAnsi="宋体"/>
                <w:bCs/>
                <w:color w:val="auto"/>
                <w:szCs w:val="21"/>
                <w:highlight w:val="none"/>
              </w:rPr>
              <w:t>7</w:t>
            </w:r>
          </w:p>
        </w:tc>
        <w:tc>
          <w:tcPr>
            <w:tcW w:w="6096" w:type="dxa"/>
            <w:vAlign w:val="center"/>
          </w:tcPr>
          <w:p>
            <w:pPr>
              <w:autoSpaceDE w:val="0"/>
              <w:autoSpaceDN w:val="0"/>
              <w:adjustRightInd w:val="0"/>
              <w:jc w:val="left"/>
              <w:rPr>
                <w:rFonts w:ascii="宋体" w:hAnsi="宋体"/>
                <w:bCs/>
                <w:color w:val="auto"/>
                <w:szCs w:val="21"/>
                <w:highlight w:val="none"/>
                <w:lang w:val="zh-CN"/>
              </w:rPr>
            </w:pPr>
            <w:r>
              <w:rPr>
                <w:rFonts w:ascii="宋体" w:hAnsi="宋体"/>
                <w:bCs/>
                <w:color w:val="auto"/>
                <w:szCs w:val="21"/>
                <w:highlight w:val="none"/>
                <w:lang w:val="zh-CN"/>
              </w:rPr>
              <w:t>根据投标人提供的承担抽检任务的工作方案，包括工作目标、工作机制、实施方案、数据信息报送、技术支撑响应及提高不合格食品发现率措施进行评议，本项最高得</w:t>
            </w:r>
            <w:r>
              <w:rPr>
                <w:rFonts w:ascii="宋体" w:hAnsi="宋体"/>
                <w:bCs/>
                <w:color w:val="auto"/>
                <w:szCs w:val="21"/>
                <w:highlight w:val="none"/>
              </w:rPr>
              <w:t>7分</w:t>
            </w:r>
            <w:r>
              <w:rPr>
                <w:rFonts w:ascii="宋体" w:hAnsi="宋体"/>
                <w:bCs/>
                <w:color w:val="auto"/>
                <w:szCs w:val="21"/>
                <w:highlight w:val="none"/>
                <w:lang w:val="zh-CN"/>
              </w:rPr>
              <w:t>。</w:t>
            </w:r>
          </w:p>
          <w:p>
            <w:pPr>
              <w:rPr>
                <w:rFonts w:ascii="宋体" w:hAnsi="宋体"/>
                <w:color w:val="auto"/>
                <w:szCs w:val="21"/>
                <w:highlight w:val="none"/>
              </w:rPr>
            </w:pPr>
            <w:r>
              <w:rPr>
                <w:rFonts w:hint="eastAsia" w:ascii="宋体" w:hAnsi="宋体"/>
                <w:color w:val="auto"/>
                <w:szCs w:val="21"/>
                <w:highlight w:val="none"/>
              </w:rPr>
              <w:t>①工作方案涵盖上述所列举内容，工作目标明确，项目工作技术路线与方法正确、工作实施步骤与任务分解细致、工作进度安排妥当、组织架构及各部门职责分工明确，充分满足项目实施需要的得</w:t>
            </w:r>
            <w:r>
              <w:rPr>
                <w:rFonts w:ascii="宋体" w:hAnsi="宋体"/>
                <w:color w:val="auto"/>
                <w:szCs w:val="21"/>
                <w:highlight w:val="none"/>
              </w:rPr>
              <w:t>7</w:t>
            </w:r>
            <w:r>
              <w:rPr>
                <w:rFonts w:hint="eastAsia" w:ascii="宋体" w:hAnsi="宋体"/>
                <w:color w:val="auto"/>
                <w:szCs w:val="21"/>
                <w:highlight w:val="none"/>
              </w:rPr>
              <w:t>分；</w:t>
            </w:r>
          </w:p>
          <w:p>
            <w:pPr>
              <w:rPr>
                <w:rFonts w:ascii="宋体" w:hAnsi="宋体"/>
                <w:color w:val="auto"/>
                <w:szCs w:val="21"/>
                <w:highlight w:val="none"/>
              </w:rPr>
            </w:pPr>
            <w:r>
              <w:rPr>
                <w:rFonts w:hint="eastAsia" w:ascii="宋体" w:hAnsi="宋体"/>
                <w:color w:val="auto"/>
                <w:szCs w:val="21"/>
                <w:highlight w:val="none"/>
              </w:rPr>
              <w:t>②工作方案涵盖上述所列举内容，工作目标明确，项目工作技术路线与方法或工作实施步骤与任务分解或工作进度安排或组织架构及各部门职责分工略有不足但不会对项目顺利开展或对项目质量造成明显影响的得</w:t>
            </w:r>
            <w:r>
              <w:rPr>
                <w:rFonts w:ascii="宋体" w:hAnsi="宋体"/>
                <w:color w:val="auto"/>
                <w:szCs w:val="21"/>
                <w:highlight w:val="none"/>
              </w:rPr>
              <w:t>5</w:t>
            </w:r>
            <w:r>
              <w:rPr>
                <w:rFonts w:hint="eastAsia" w:ascii="宋体" w:hAnsi="宋体"/>
                <w:color w:val="auto"/>
                <w:szCs w:val="21"/>
                <w:highlight w:val="none"/>
              </w:rPr>
              <w:t>分；</w:t>
            </w:r>
          </w:p>
          <w:p>
            <w:pPr>
              <w:rPr>
                <w:rFonts w:ascii="宋体" w:hAnsi="宋体"/>
                <w:color w:val="auto"/>
                <w:szCs w:val="21"/>
                <w:highlight w:val="none"/>
              </w:rPr>
            </w:pPr>
            <w:r>
              <w:rPr>
                <w:rFonts w:hint="eastAsia" w:ascii="宋体" w:hAnsi="宋体"/>
                <w:color w:val="auto"/>
                <w:szCs w:val="21"/>
                <w:highlight w:val="none"/>
              </w:rPr>
              <w:t>③工作方案涵盖上述所列举内容，项目工作技术路线与方法或工作实施步骤与任务分解或工作进度安排或组织架构及各部门职责分工存在1项及以上明显不足的得</w:t>
            </w:r>
            <w:r>
              <w:rPr>
                <w:rFonts w:ascii="宋体" w:hAnsi="宋体"/>
                <w:color w:val="auto"/>
                <w:szCs w:val="21"/>
                <w:highlight w:val="none"/>
              </w:rPr>
              <w:t>3</w:t>
            </w:r>
            <w:r>
              <w:rPr>
                <w:rFonts w:hint="eastAsia" w:ascii="宋体" w:hAnsi="宋体"/>
                <w:color w:val="auto"/>
                <w:szCs w:val="21"/>
                <w:highlight w:val="none"/>
              </w:rPr>
              <w:t>分；</w:t>
            </w:r>
          </w:p>
          <w:p>
            <w:pPr>
              <w:autoSpaceDE w:val="0"/>
              <w:autoSpaceDN w:val="0"/>
              <w:adjustRightInd w:val="0"/>
              <w:jc w:val="left"/>
              <w:rPr>
                <w:rFonts w:ascii="宋体" w:hAnsi="宋体"/>
                <w:bCs/>
                <w:color w:val="auto"/>
                <w:szCs w:val="21"/>
                <w:highlight w:val="none"/>
                <w:lang w:val="zh-CN"/>
              </w:rPr>
            </w:pPr>
            <w:r>
              <w:rPr>
                <w:rFonts w:hint="eastAsia" w:ascii="宋体" w:hAnsi="宋体"/>
                <w:color w:val="auto"/>
                <w:szCs w:val="21"/>
                <w:highlight w:val="none"/>
              </w:rPr>
              <w:t>④</w:t>
            </w:r>
            <w:r>
              <w:rPr>
                <w:rFonts w:ascii="宋体" w:hAnsi="宋体"/>
                <w:color w:val="auto"/>
                <w:szCs w:val="21"/>
                <w:highlight w:val="none"/>
              </w:rPr>
              <w:t>未提供</w:t>
            </w:r>
            <w:r>
              <w:rPr>
                <w:rFonts w:hint="eastAsia" w:ascii="宋体" w:hAnsi="宋体"/>
                <w:color w:val="auto"/>
                <w:szCs w:val="21"/>
                <w:highlight w:val="none"/>
              </w:rPr>
              <w:t>方案</w:t>
            </w:r>
            <w:r>
              <w:rPr>
                <w:rFonts w:ascii="宋体" w:hAnsi="宋体"/>
                <w:color w:val="auto"/>
                <w:szCs w:val="21"/>
                <w:highlight w:val="none"/>
              </w:rPr>
              <w:t>的</w:t>
            </w:r>
            <w:r>
              <w:rPr>
                <w:rFonts w:hint="eastAsia" w:ascii="宋体" w:hAnsi="宋体"/>
                <w:color w:val="auto"/>
                <w:szCs w:val="21"/>
                <w:highlight w:val="none"/>
              </w:rPr>
              <w:t>不得分</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ascii="宋体" w:hAnsi="宋体"/>
                <w:bCs/>
                <w:color w:val="auto"/>
                <w:szCs w:val="21"/>
                <w:highlight w:val="none"/>
                <w:lang w:val="zh-CN"/>
              </w:rPr>
            </w:pPr>
            <w:r>
              <w:rPr>
                <w:rFonts w:ascii="宋体" w:hAnsi="宋体"/>
                <w:bCs/>
                <w:color w:val="auto"/>
                <w:szCs w:val="21"/>
                <w:highlight w:val="none"/>
                <w:lang w:val="zh-CN"/>
              </w:rPr>
              <w:t>12</w:t>
            </w:r>
          </w:p>
        </w:tc>
        <w:tc>
          <w:tcPr>
            <w:tcW w:w="1134" w:type="dxa"/>
            <w:vAlign w:val="center"/>
          </w:tcPr>
          <w:p>
            <w:pPr>
              <w:jc w:val="center"/>
              <w:rPr>
                <w:rFonts w:ascii="宋体" w:hAnsi="宋体"/>
                <w:color w:val="auto"/>
                <w:szCs w:val="21"/>
                <w:highlight w:val="none"/>
              </w:rPr>
            </w:pPr>
            <w:r>
              <w:rPr>
                <w:rFonts w:ascii="宋体" w:hAnsi="宋体"/>
                <w:color w:val="auto"/>
                <w:szCs w:val="21"/>
                <w:highlight w:val="none"/>
              </w:rPr>
              <w:t>质量控制措施</w:t>
            </w:r>
          </w:p>
        </w:tc>
        <w:tc>
          <w:tcPr>
            <w:tcW w:w="992" w:type="dxa"/>
            <w:vAlign w:val="center"/>
          </w:tcPr>
          <w:p>
            <w:pPr>
              <w:autoSpaceDE w:val="0"/>
              <w:autoSpaceDN w:val="0"/>
              <w:adjustRightInd w:val="0"/>
              <w:jc w:val="center"/>
              <w:rPr>
                <w:rFonts w:ascii="宋体" w:hAnsi="宋体"/>
                <w:bCs/>
                <w:color w:val="auto"/>
                <w:szCs w:val="21"/>
                <w:highlight w:val="none"/>
                <w:lang w:val="zh-CN"/>
              </w:rPr>
            </w:pPr>
            <w:r>
              <w:rPr>
                <w:rFonts w:ascii="宋体" w:hAnsi="宋体"/>
                <w:bCs/>
                <w:color w:val="auto"/>
                <w:szCs w:val="21"/>
                <w:highlight w:val="none"/>
              </w:rPr>
              <w:t>5</w:t>
            </w:r>
          </w:p>
        </w:tc>
        <w:tc>
          <w:tcPr>
            <w:tcW w:w="6096" w:type="dxa"/>
            <w:vAlign w:val="center"/>
          </w:tcPr>
          <w:p>
            <w:pPr>
              <w:autoSpaceDE w:val="0"/>
              <w:autoSpaceDN w:val="0"/>
              <w:adjustRightInd w:val="0"/>
              <w:jc w:val="left"/>
              <w:rPr>
                <w:rFonts w:ascii="宋体" w:hAnsi="宋体"/>
                <w:color w:val="auto"/>
                <w:szCs w:val="21"/>
                <w:highlight w:val="none"/>
              </w:rPr>
            </w:pPr>
            <w:r>
              <w:rPr>
                <w:rFonts w:ascii="宋体" w:hAnsi="宋体"/>
                <w:color w:val="auto"/>
                <w:szCs w:val="21"/>
                <w:highlight w:val="none"/>
                <w:lang w:val="zh-CN"/>
              </w:rPr>
              <w:t>根据投标人提供的承担抽检任务的</w:t>
            </w:r>
            <w:r>
              <w:rPr>
                <w:rFonts w:ascii="宋体" w:hAnsi="宋体"/>
                <w:color w:val="auto"/>
                <w:szCs w:val="21"/>
                <w:highlight w:val="none"/>
              </w:rPr>
              <w:t>质量控制计划及管理制度进行评议，包含覆盖本标项任务实验室内部检测全过程的质量控制方案及管理制度、检验过程质控手段</w:t>
            </w:r>
            <w:r>
              <w:rPr>
                <w:rFonts w:hint="eastAsia" w:ascii="宋体" w:hAnsi="宋体"/>
                <w:color w:val="auto"/>
                <w:szCs w:val="21"/>
                <w:highlight w:val="none"/>
              </w:rPr>
              <w:t>是否完善、</w:t>
            </w:r>
            <w:r>
              <w:rPr>
                <w:rFonts w:ascii="宋体" w:hAnsi="宋体"/>
                <w:color w:val="auto"/>
                <w:szCs w:val="21"/>
                <w:highlight w:val="none"/>
              </w:rPr>
              <w:t>合理</w:t>
            </w:r>
            <w:r>
              <w:rPr>
                <w:rFonts w:hint="eastAsia" w:ascii="宋体" w:hAnsi="宋体"/>
                <w:color w:val="auto"/>
                <w:szCs w:val="21"/>
                <w:highlight w:val="none"/>
              </w:rPr>
              <w:t>，</w:t>
            </w:r>
            <w:r>
              <w:rPr>
                <w:rFonts w:ascii="宋体" w:hAnsi="宋体"/>
                <w:color w:val="auto"/>
                <w:szCs w:val="21"/>
                <w:highlight w:val="none"/>
              </w:rPr>
              <w:t>质量控制记录设计内容</w:t>
            </w:r>
            <w:r>
              <w:rPr>
                <w:rFonts w:hint="eastAsia" w:ascii="宋体" w:hAnsi="宋体"/>
                <w:color w:val="auto"/>
                <w:szCs w:val="21"/>
                <w:highlight w:val="none"/>
              </w:rPr>
              <w:t>是否完善</w:t>
            </w:r>
            <w:r>
              <w:rPr>
                <w:rFonts w:ascii="宋体" w:hAnsi="宋体"/>
                <w:color w:val="auto"/>
                <w:szCs w:val="21"/>
                <w:highlight w:val="none"/>
              </w:rPr>
              <w:t>，本项最高得5分。</w:t>
            </w:r>
          </w:p>
          <w:p>
            <w:pPr>
              <w:autoSpaceDE w:val="0"/>
              <w:autoSpaceDN w:val="0"/>
              <w:adjustRightInd w:val="0"/>
              <w:snapToGrid w:val="0"/>
              <w:rPr>
                <w:rFonts w:ascii="宋体" w:hAnsi="宋体" w:cs="Arial"/>
                <w:color w:val="auto"/>
                <w:szCs w:val="21"/>
                <w:highlight w:val="none"/>
              </w:rPr>
            </w:pPr>
            <w:r>
              <w:rPr>
                <w:rFonts w:hint="eastAsia" w:ascii="宋体" w:hAnsi="宋体" w:cs="Arial"/>
                <w:color w:val="auto"/>
                <w:szCs w:val="21"/>
                <w:highlight w:val="none"/>
              </w:rPr>
              <w:t>①</w:t>
            </w:r>
            <w:r>
              <w:rPr>
                <w:rFonts w:hint="eastAsia" w:ascii="宋体" w:hAnsi="宋体"/>
                <w:color w:val="auto"/>
                <w:szCs w:val="21"/>
                <w:highlight w:val="none"/>
              </w:rPr>
              <w:t>投标人</w:t>
            </w:r>
            <w:r>
              <w:rPr>
                <w:rFonts w:hint="eastAsia" w:ascii="宋体" w:hAnsi="宋体"/>
                <w:iCs/>
                <w:color w:val="auto"/>
                <w:szCs w:val="21"/>
                <w:highlight w:val="none"/>
              </w:rPr>
              <w:t>提供的</w:t>
            </w:r>
            <w:r>
              <w:rPr>
                <w:rFonts w:hint="eastAsia" w:ascii="宋体" w:hAnsi="宋体" w:cs="Arial"/>
                <w:color w:val="auto"/>
                <w:szCs w:val="21"/>
                <w:highlight w:val="none"/>
              </w:rPr>
              <w:t>质量控制计划及管理制度</w:t>
            </w:r>
            <w:r>
              <w:rPr>
                <w:rFonts w:hint="eastAsia" w:ascii="宋体" w:hAnsi="宋体"/>
                <w:color w:val="auto"/>
                <w:szCs w:val="21"/>
                <w:highlight w:val="none"/>
              </w:rPr>
              <w:t>包含上述所有评审因素，具有</w:t>
            </w:r>
            <w:r>
              <w:rPr>
                <w:rFonts w:hint="eastAsia" w:ascii="宋体" w:hAnsi="宋体" w:cs="Arial"/>
                <w:color w:val="auto"/>
                <w:szCs w:val="21"/>
                <w:highlight w:val="none"/>
              </w:rPr>
              <w:t>覆盖任务实验室内部检测全过程的质量控制方案及管理制度；检验过程质控手段合理、措施适当；质量控制记录设计内容完善的得</w:t>
            </w:r>
            <w:r>
              <w:rPr>
                <w:rFonts w:ascii="宋体" w:hAnsi="宋体" w:cs="Arial"/>
                <w:color w:val="auto"/>
                <w:szCs w:val="21"/>
                <w:highlight w:val="none"/>
              </w:rPr>
              <w:t>5</w:t>
            </w:r>
            <w:r>
              <w:rPr>
                <w:rFonts w:hint="eastAsia" w:ascii="宋体" w:hAnsi="宋体" w:cs="Arial"/>
                <w:color w:val="auto"/>
                <w:szCs w:val="21"/>
                <w:highlight w:val="none"/>
              </w:rPr>
              <w:t>分；</w:t>
            </w:r>
          </w:p>
          <w:p>
            <w:pPr>
              <w:autoSpaceDE w:val="0"/>
              <w:autoSpaceDN w:val="0"/>
              <w:adjustRightInd w:val="0"/>
              <w:snapToGrid w:val="0"/>
              <w:rPr>
                <w:rFonts w:ascii="宋体" w:hAnsi="宋体" w:cs="Arial"/>
                <w:color w:val="auto"/>
                <w:szCs w:val="21"/>
                <w:highlight w:val="none"/>
              </w:rPr>
            </w:pPr>
            <w:r>
              <w:rPr>
                <w:rFonts w:hint="eastAsia" w:ascii="宋体" w:hAnsi="宋体" w:cs="Arial"/>
                <w:color w:val="auto"/>
                <w:szCs w:val="21"/>
                <w:highlight w:val="none"/>
              </w:rPr>
              <w:t>②</w:t>
            </w:r>
            <w:r>
              <w:rPr>
                <w:rFonts w:hint="eastAsia" w:ascii="宋体" w:hAnsi="宋体"/>
                <w:color w:val="auto"/>
                <w:szCs w:val="21"/>
                <w:highlight w:val="none"/>
              </w:rPr>
              <w:t>投标人</w:t>
            </w:r>
            <w:r>
              <w:rPr>
                <w:rFonts w:hint="eastAsia" w:ascii="宋体" w:hAnsi="宋体"/>
                <w:iCs/>
                <w:color w:val="auto"/>
                <w:szCs w:val="21"/>
                <w:highlight w:val="none"/>
              </w:rPr>
              <w:t>提供的</w:t>
            </w:r>
            <w:r>
              <w:rPr>
                <w:rFonts w:hint="eastAsia" w:ascii="宋体" w:hAnsi="宋体" w:cs="Arial"/>
                <w:color w:val="auto"/>
                <w:szCs w:val="21"/>
                <w:highlight w:val="none"/>
              </w:rPr>
              <w:t>质量控制计划及管理制度</w:t>
            </w:r>
            <w:r>
              <w:rPr>
                <w:rFonts w:hint="eastAsia" w:ascii="宋体" w:hAnsi="宋体"/>
                <w:color w:val="auto"/>
                <w:szCs w:val="21"/>
                <w:highlight w:val="none"/>
              </w:rPr>
              <w:t>包含上述所有评审因素，具有完善的</w:t>
            </w:r>
            <w:r>
              <w:rPr>
                <w:rFonts w:hint="eastAsia" w:ascii="宋体" w:hAnsi="宋体" w:cs="Arial"/>
                <w:color w:val="auto"/>
                <w:szCs w:val="21"/>
                <w:highlight w:val="none"/>
              </w:rPr>
              <w:t>内部检测全过程的质量控制方案及管理制度；检验过程质控手段符合项目质控需要、措施适当；质量控制记录设计内容包含主要要素的得</w:t>
            </w:r>
            <w:r>
              <w:rPr>
                <w:rFonts w:ascii="宋体" w:hAnsi="宋体" w:cs="Arial"/>
                <w:color w:val="auto"/>
                <w:szCs w:val="21"/>
                <w:highlight w:val="none"/>
              </w:rPr>
              <w:t>3.5</w:t>
            </w:r>
            <w:r>
              <w:rPr>
                <w:rFonts w:hint="eastAsia" w:ascii="宋体" w:hAnsi="宋体" w:cs="Arial"/>
                <w:color w:val="auto"/>
                <w:szCs w:val="21"/>
                <w:highlight w:val="none"/>
              </w:rPr>
              <w:t>分；</w:t>
            </w:r>
          </w:p>
          <w:p>
            <w:pPr>
              <w:autoSpaceDE w:val="0"/>
              <w:autoSpaceDN w:val="0"/>
              <w:adjustRightInd w:val="0"/>
              <w:snapToGrid w:val="0"/>
              <w:rPr>
                <w:rFonts w:ascii="宋体" w:hAnsi="宋体"/>
                <w:color w:val="auto"/>
                <w:szCs w:val="21"/>
                <w:highlight w:val="none"/>
              </w:rPr>
            </w:pPr>
            <w:r>
              <w:rPr>
                <w:rFonts w:hint="eastAsia" w:ascii="宋体" w:hAnsi="宋体" w:cs="Arial"/>
                <w:color w:val="auto"/>
                <w:szCs w:val="21"/>
                <w:highlight w:val="none"/>
              </w:rPr>
              <w:t>③</w:t>
            </w:r>
            <w:r>
              <w:rPr>
                <w:rFonts w:hint="eastAsia" w:ascii="宋体" w:hAnsi="宋体"/>
                <w:color w:val="auto"/>
                <w:szCs w:val="21"/>
                <w:highlight w:val="none"/>
              </w:rPr>
              <w:t>投标人</w:t>
            </w:r>
            <w:r>
              <w:rPr>
                <w:rFonts w:hint="eastAsia" w:ascii="宋体" w:hAnsi="宋体"/>
                <w:iCs/>
                <w:color w:val="auto"/>
                <w:szCs w:val="21"/>
                <w:highlight w:val="none"/>
              </w:rPr>
              <w:t>不具备</w:t>
            </w:r>
            <w:r>
              <w:rPr>
                <w:rFonts w:hint="eastAsia" w:ascii="宋体" w:hAnsi="宋体" w:cs="Arial"/>
                <w:color w:val="auto"/>
                <w:szCs w:val="21"/>
                <w:highlight w:val="none"/>
              </w:rPr>
              <w:t>质量控制方案和管理制度或质控手段不合理或质控措施不恰当、适用或质量控制记录设计主要要素欠缺的得</w:t>
            </w:r>
            <w:r>
              <w:rPr>
                <w:rFonts w:ascii="宋体" w:hAnsi="宋体" w:cs="Arial"/>
                <w:color w:val="auto"/>
                <w:szCs w:val="21"/>
                <w:highlight w:val="none"/>
              </w:rPr>
              <w:t>2</w:t>
            </w:r>
            <w:r>
              <w:rPr>
                <w:rFonts w:hint="eastAsia" w:ascii="宋体" w:hAnsi="宋体" w:cs="Arial"/>
                <w:color w:val="auto"/>
                <w:szCs w:val="21"/>
                <w:highlight w:val="none"/>
              </w:rPr>
              <w:t>分；</w:t>
            </w:r>
          </w:p>
          <w:p>
            <w:pPr>
              <w:autoSpaceDE w:val="0"/>
              <w:autoSpaceDN w:val="0"/>
              <w:adjustRightInd w:val="0"/>
              <w:jc w:val="left"/>
              <w:rPr>
                <w:rFonts w:ascii="宋体" w:hAnsi="宋体"/>
                <w:color w:val="auto"/>
                <w:szCs w:val="21"/>
                <w:highlight w:val="none"/>
              </w:rPr>
            </w:pPr>
            <w:r>
              <w:rPr>
                <w:rFonts w:ascii="宋体" w:hAnsi="宋体" w:cs="Arial"/>
                <w:color w:val="auto"/>
                <w:szCs w:val="21"/>
                <w:highlight w:val="none"/>
              </w:rPr>
              <w:fldChar w:fldCharType="begin"/>
            </w:r>
            <w:r>
              <w:rPr>
                <w:rFonts w:ascii="宋体" w:hAnsi="宋体" w:cs="Arial"/>
                <w:color w:val="auto"/>
                <w:szCs w:val="21"/>
                <w:highlight w:val="none"/>
              </w:rPr>
              <w:instrText xml:space="preserve"> </w:instrText>
            </w:r>
            <w:r>
              <w:rPr>
                <w:rFonts w:hint="eastAsia" w:ascii="宋体" w:hAnsi="宋体" w:cs="Arial"/>
                <w:color w:val="auto"/>
                <w:szCs w:val="21"/>
                <w:highlight w:val="none"/>
              </w:rPr>
              <w:instrText xml:space="preserve">= 4 \* GB3</w:instrText>
            </w:r>
            <w:r>
              <w:rPr>
                <w:rFonts w:ascii="宋体" w:hAnsi="宋体" w:cs="Arial"/>
                <w:color w:val="auto"/>
                <w:szCs w:val="21"/>
                <w:highlight w:val="none"/>
              </w:rPr>
              <w:instrText xml:space="preserve"> </w:instrText>
            </w:r>
            <w:r>
              <w:rPr>
                <w:rFonts w:ascii="宋体" w:hAnsi="宋体" w:cs="Arial"/>
                <w:color w:val="auto"/>
                <w:szCs w:val="21"/>
                <w:highlight w:val="none"/>
              </w:rPr>
              <w:fldChar w:fldCharType="separate"/>
            </w:r>
            <w:r>
              <w:rPr>
                <w:rFonts w:hint="eastAsia" w:ascii="宋体" w:hAnsi="宋体" w:cs="Arial"/>
                <w:color w:val="auto"/>
                <w:szCs w:val="21"/>
                <w:highlight w:val="none"/>
              </w:rPr>
              <w:t>④</w:t>
            </w:r>
            <w:r>
              <w:rPr>
                <w:rFonts w:ascii="宋体" w:hAnsi="宋体" w:cs="Arial"/>
                <w:color w:val="auto"/>
                <w:szCs w:val="21"/>
                <w:highlight w:val="none"/>
              </w:rPr>
              <w:fldChar w:fldCharType="end"/>
            </w:r>
            <w:r>
              <w:rPr>
                <w:rFonts w:hint="eastAsia" w:ascii="宋体" w:hAnsi="宋体" w:cs="Arial"/>
                <w:color w:val="auto"/>
                <w:szCs w:val="21"/>
                <w:highlight w:val="none"/>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ascii="宋体" w:hAnsi="宋体"/>
                <w:bCs/>
                <w:color w:val="auto"/>
                <w:szCs w:val="21"/>
                <w:highlight w:val="none"/>
                <w:lang w:val="zh-CN"/>
              </w:rPr>
            </w:pPr>
            <w:r>
              <w:rPr>
                <w:rFonts w:ascii="宋体" w:hAnsi="宋体"/>
                <w:bCs/>
                <w:color w:val="auto"/>
                <w:szCs w:val="21"/>
                <w:highlight w:val="none"/>
                <w:lang w:val="zh-CN"/>
              </w:rPr>
              <w:t>13</w:t>
            </w:r>
          </w:p>
        </w:tc>
        <w:tc>
          <w:tcPr>
            <w:tcW w:w="1134" w:type="dxa"/>
            <w:vAlign w:val="center"/>
          </w:tcPr>
          <w:p>
            <w:pPr>
              <w:jc w:val="center"/>
              <w:rPr>
                <w:rFonts w:ascii="宋体" w:hAnsi="宋体"/>
                <w:color w:val="auto"/>
                <w:szCs w:val="21"/>
                <w:highlight w:val="none"/>
              </w:rPr>
            </w:pPr>
            <w:r>
              <w:rPr>
                <w:rFonts w:ascii="宋体" w:hAnsi="宋体"/>
                <w:color w:val="auto"/>
                <w:szCs w:val="21"/>
                <w:highlight w:val="none"/>
              </w:rPr>
              <w:t>突发事件应急保障</w:t>
            </w:r>
          </w:p>
        </w:tc>
        <w:tc>
          <w:tcPr>
            <w:tcW w:w="992" w:type="dxa"/>
            <w:vAlign w:val="center"/>
          </w:tcPr>
          <w:p>
            <w:pPr>
              <w:autoSpaceDE w:val="0"/>
              <w:autoSpaceDN w:val="0"/>
              <w:adjustRightInd w:val="0"/>
              <w:jc w:val="center"/>
              <w:rPr>
                <w:rFonts w:ascii="宋体" w:hAnsi="宋体"/>
                <w:bCs/>
                <w:color w:val="auto"/>
                <w:szCs w:val="21"/>
                <w:highlight w:val="none"/>
                <w:lang w:val="zh-CN"/>
              </w:rPr>
            </w:pPr>
            <w:r>
              <w:rPr>
                <w:rFonts w:ascii="宋体" w:hAnsi="宋体"/>
                <w:bCs/>
                <w:color w:val="auto"/>
                <w:szCs w:val="21"/>
                <w:highlight w:val="none"/>
              </w:rPr>
              <w:t>4</w:t>
            </w:r>
          </w:p>
        </w:tc>
        <w:tc>
          <w:tcPr>
            <w:tcW w:w="6096" w:type="dxa"/>
            <w:vAlign w:val="center"/>
          </w:tcPr>
          <w:p>
            <w:pPr>
              <w:pStyle w:val="410"/>
              <w:jc w:val="both"/>
              <w:rPr>
                <w:rFonts w:hint="default" w:ascii="宋体" w:hAnsi="宋体" w:eastAsia="宋体"/>
                <w:color w:val="auto"/>
                <w:sz w:val="21"/>
                <w:szCs w:val="21"/>
                <w:highlight w:val="none"/>
                <w:lang w:eastAsia="zh-CN"/>
              </w:rPr>
            </w:pPr>
            <w:r>
              <w:rPr>
                <w:rFonts w:ascii="宋体" w:hAnsi="宋体" w:eastAsia="宋体"/>
                <w:color w:val="auto"/>
                <w:sz w:val="21"/>
                <w:szCs w:val="21"/>
                <w:highlight w:val="none"/>
              </w:rPr>
              <w:t>投标人考虑在本项目过程中可能会发生的突发情况（包括</w:t>
            </w:r>
            <w:r>
              <w:rPr>
                <w:rFonts w:ascii="宋体" w:hAnsi="宋体" w:eastAsia="宋体"/>
                <w:color w:val="auto"/>
                <w:sz w:val="21"/>
                <w:szCs w:val="21"/>
                <w:highlight w:val="none"/>
                <w:lang w:eastAsia="zh-CN"/>
              </w:rPr>
              <w:t>食品安全突发事件、仪器设备故障、交通意外情况、自然灾害、国抽系统抽样环节出现系统故障</w:t>
            </w:r>
            <w:r>
              <w:rPr>
                <w:rFonts w:ascii="宋体" w:hAnsi="宋体" w:eastAsia="宋体"/>
                <w:color w:val="auto"/>
                <w:sz w:val="21"/>
                <w:szCs w:val="21"/>
                <w:highlight w:val="none"/>
              </w:rPr>
              <w:t>）制定相应的应急处置方案：</w:t>
            </w:r>
          </w:p>
          <w:p>
            <w:pPr>
              <w:autoSpaceDE w:val="0"/>
              <w:autoSpaceDN w:val="0"/>
              <w:adjustRightInd w:val="0"/>
              <w:snapToGrid w:val="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1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投标人具有完善的应急事件处置领导机构，</w:t>
            </w:r>
            <w:r>
              <w:rPr>
                <w:rFonts w:ascii="宋体" w:hAnsi="宋体" w:cs="Segoe UI"/>
                <w:color w:val="auto"/>
                <w:szCs w:val="21"/>
                <w:highlight w:val="none"/>
                <w:shd w:val="clear" w:color="auto" w:fill="FFFFFF"/>
              </w:rPr>
              <w:t>职责分工</w:t>
            </w:r>
            <w:r>
              <w:rPr>
                <w:rFonts w:hint="eastAsia" w:ascii="宋体" w:hAnsi="宋体"/>
                <w:color w:val="auto"/>
                <w:szCs w:val="21"/>
                <w:highlight w:val="none"/>
              </w:rPr>
              <w:t>明确；设定了不同级别的应急响应措施，具有根据</w:t>
            </w:r>
            <w:r>
              <w:rPr>
                <w:rFonts w:ascii="宋体" w:hAnsi="宋体" w:cs="Segoe UI"/>
                <w:color w:val="auto"/>
                <w:szCs w:val="21"/>
                <w:highlight w:val="none"/>
                <w:shd w:val="clear" w:color="auto" w:fill="FFFFFF"/>
              </w:rPr>
              <w:t>突发事件的性质、严重程度和影响范围启动相应等级的响应计划</w:t>
            </w:r>
            <w:r>
              <w:rPr>
                <w:rFonts w:hint="eastAsia" w:ascii="宋体" w:hAnsi="宋体" w:cs="Segoe UI"/>
                <w:color w:val="auto"/>
                <w:szCs w:val="21"/>
                <w:highlight w:val="none"/>
                <w:shd w:val="clear" w:color="auto" w:fill="FFFFFF"/>
              </w:rPr>
              <w:t>；具有足够的</w:t>
            </w:r>
            <w:r>
              <w:rPr>
                <w:rFonts w:ascii="宋体" w:hAnsi="宋体" w:cs="Segoe UI"/>
                <w:color w:val="auto"/>
                <w:szCs w:val="21"/>
                <w:highlight w:val="none"/>
                <w:shd w:val="clear" w:color="auto" w:fill="FFFFFF"/>
              </w:rPr>
              <w:t>应急物资储备，确保紧急时刻能够迅速调配</w:t>
            </w:r>
            <w:r>
              <w:rPr>
                <w:rFonts w:hint="eastAsia" w:ascii="宋体" w:hAnsi="宋体" w:cs="Segoe UI"/>
                <w:color w:val="auto"/>
                <w:szCs w:val="21"/>
                <w:highlight w:val="none"/>
                <w:shd w:val="clear" w:color="auto" w:fill="FFFFFF"/>
              </w:rPr>
              <w:t>；定期对相关人员进行应急知识培训和实战演练，提升应对突发事件的能力和效率的得</w:t>
            </w:r>
            <w:r>
              <w:rPr>
                <w:rFonts w:ascii="宋体" w:hAnsi="宋体" w:cs="Segoe UI"/>
                <w:color w:val="auto"/>
                <w:szCs w:val="21"/>
                <w:highlight w:val="none"/>
                <w:shd w:val="clear" w:color="auto" w:fill="FFFFFF"/>
              </w:rPr>
              <w:t>4</w:t>
            </w:r>
            <w:r>
              <w:rPr>
                <w:rFonts w:hint="eastAsia" w:ascii="宋体" w:hAnsi="宋体" w:cs="Segoe UI"/>
                <w:color w:val="auto"/>
                <w:szCs w:val="21"/>
                <w:highlight w:val="none"/>
                <w:shd w:val="clear" w:color="auto" w:fill="FFFFFF"/>
              </w:rPr>
              <w:t>分；</w:t>
            </w:r>
          </w:p>
          <w:p>
            <w:pPr>
              <w:autoSpaceDE w:val="0"/>
              <w:autoSpaceDN w:val="0"/>
              <w:adjustRightInd w:val="0"/>
              <w:snapToGrid w:val="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2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szCs w:val="21"/>
                <w:highlight w:val="none"/>
              </w:rPr>
              <w:t>投标人设置了应急事件处置领导机构，</w:t>
            </w:r>
            <w:r>
              <w:rPr>
                <w:rFonts w:ascii="宋体" w:hAnsi="宋体" w:cs="Segoe UI"/>
                <w:color w:val="auto"/>
                <w:szCs w:val="21"/>
                <w:highlight w:val="none"/>
                <w:shd w:val="clear" w:color="auto" w:fill="FFFFFF"/>
              </w:rPr>
              <w:t>职责分工</w:t>
            </w:r>
            <w:r>
              <w:rPr>
                <w:rFonts w:hint="eastAsia" w:ascii="宋体" w:hAnsi="宋体" w:cs="Segoe UI"/>
                <w:color w:val="auto"/>
                <w:szCs w:val="21"/>
                <w:highlight w:val="none"/>
                <w:shd w:val="clear" w:color="auto" w:fill="FFFFFF"/>
              </w:rPr>
              <w:t>基本</w:t>
            </w:r>
            <w:r>
              <w:rPr>
                <w:rFonts w:hint="eastAsia" w:ascii="宋体" w:hAnsi="宋体"/>
                <w:color w:val="auto"/>
                <w:szCs w:val="21"/>
                <w:highlight w:val="none"/>
              </w:rPr>
              <w:t>明确；具有不同级别的应急响应措施，具有基本适用的根据</w:t>
            </w:r>
            <w:r>
              <w:rPr>
                <w:rFonts w:ascii="宋体" w:hAnsi="宋体" w:cs="Segoe UI"/>
                <w:color w:val="auto"/>
                <w:szCs w:val="21"/>
                <w:highlight w:val="none"/>
                <w:shd w:val="clear" w:color="auto" w:fill="FFFFFF"/>
              </w:rPr>
              <w:t>突发事件的性质、严重程度和影响范围启动相应等级的响应计划</w:t>
            </w:r>
            <w:r>
              <w:rPr>
                <w:rFonts w:hint="eastAsia" w:ascii="宋体" w:hAnsi="宋体" w:cs="Segoe UI"/>
                <w:color w:val="auto"/>
                <w:szCs w:val="21"/>
                <w:highlight w:val="none"/>
                <w:shd w:val="clear" w:color="auto" w:fill="FFFFFF"/>
              </w:rPr>
              <w:t>；配备了基本的</w:t>
            </w:r>
            <w:r>
              <w:rPr>
                <w:rFonts w:ascii="宋体" w:hAnsi="宋体" w:cs="Segoe UI"/>
                <w:color w:val="auto"/>
                <w:szCs w:val="21"/>
                <w:highlight w:val="none"/>
                <w:shd w:val="clear" w:color="auto" w:fill="FFFFFF"/>
              </w:rPr>
              <w:t>应急物资储备</w:t>
            </w:r>
            <w:r>
              <w:rPr>
                <w:rFonts w:hint="eastAsia" w:ascii="宋体" w:hAnsi="宋体" w:cs="Segoe UI"/>
                <w:color w:val="auto"/>
                <w:szCs w:val="21"/>
                <w:highlight w:val="none"/>
                <w:shd w:val="clear" w:color="auto" w:fill="FFFFFF"/>
              </w:rPr>
              <w:t>的得</w:t>
            </w:r>
            <w:r>
              <w:rPr>
                <w:rFonts w:ascii="宋体" w:hAnsi="宋体" w:cs="Segoe UI"/>
                <w:color w:val="auto"/>
                <w:szCs w:val="21"/>
                <w:highlight w:val="none"/>
                <w:shd w:val="clear" w:color="auto" w:fill="FFFFFF"/>
              </w:rPr>
              <w:t>2.5</w:t>
            </w:r>
            <w:r>
              <w:rPr>
                <w:rFonts w:hint="eastAsia" w:ascii="宋体" w:hAnsi="宋体" w:cs="Segoe UI"/>
                <w:color w:val="auto"/>
                <w:szCs w:val="21"/>
                <w:highlight w:val="none"/>
                <w:shd w:val="clear" w:color="auto" w:fill="FFFFFF"/>
              </w:rPr>
              <w:t>分；</w:t>
            </w:r>
          </w:p>
          <w:p>
            <w:pPr>
              <w:autoSpaceDE w:val="0"/>
              <w:autoSpaceDN w:val="0"/>
              <w:adjustRightInd w:val="0"/>
              <w:snapToGrid w:val="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3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color w:val="auto"/>
                <w:szCs w:val="21"/>
                <w:highlight w:val="none"/>
              </w:rPr>
              <w:t>投标人未设置应急事件处置领导机构或人员</w:t>
            </w:r>
            <w:r>
              <w:rPr>
                <w:rFonts w:ascii="宋体" w:hAnsi="宋体" w:cs="Segoe UI"/>
                <w:color w:val="auto"/>
                <w:szCs w:val="21"/>
                <w:highlight w:val="none"/>
                <w:shd w:val="clear" w:color="auto" w:fill="FFFFFF"/>
              </w:rPr>
              <w:t>职责分工</w:t>
            </w:r>
            <w:r>
              <w:rPr>
                <w:rFonts w:hint="eastAsia" w:ascii="宋体" w:hAnsi="宋体" w:cs="Segoe UI"/>
                <w:color w:val="auto"/>
                <w:szCs w:val="21"/>
                <w:highlight w:val="none"/>
                <w:shd w:val="clear" w:color="auto" w:fill="FFFFFF"/>
              </w:rPr>
              <w:t>不</w:t>
            </w:r>
            <w:r>
              <w:rPr>
                <w:rFonts w:hint="eastAsia" w:ascii="宋体" w:hAnsi="宋体"/>
                <w:color w:val="auto"/>
                <w:szCs w:val="21"/>
                <w:highlight w:val="none"/>
              </w:rPr>
              <w:t>明确或无不同级别的应急响应措施或未配备</w:t>
            </w:r>
            <w:r>
              <w:rPr>
                <w:rFonts w:hint="eastAsia" w:ascii="宋体" w:hAnsi="宋体" w:cs="Segoe UI"/>
                <w:color w:val="auto"/>
                <w:szCs w:val="21"/>
                <w:highlight w:val="none"/>
                <w:shd w:val="clear" w:color="auto" w:fill="FFFFFF"/>
              </w:rPr>
              <w:t>足够的</w:t>
            </w:r>
            <w:r>
              <w:rPr>
                <w:rFonts w:ascii="宋体" w:hAnsi="宋体" w:cs="Segoe UI"/>
                <w:color w:val="auto"/>
                <w:szCs w:val="21"/>
                <w:highlight w:val="none"/>
                <w:shd w:val="clear" w:color="auto" w:fill="FFFFFF"/>
              </w:rPr>
              <w:t>应急物资储备</w:t>
            </w:r>
            <w:r>
              <w:rPr>
                <w:rFonts w:hint="eastAsia" w:ascii="宋体" w:hAnsi="宋体" w:cs="Segoe UI"/>
                <w:color w:val="auto"/>
                <w:szCs w:val="21"/>
                <w:highlight w:val="none"/>
                <w:shd w:val="clear" w:color="auto" w:fill="FFFFFF"/>
              </w:rPr>
              <w:t>的得</w:t>
            </w:r>
            <w:r>
              <w:rPr>
                <w:rFonts w:ascii="宋体" w:hAnsi="宋体" w:cs="Segoe UI"/>
                <w:color w:val="auto"/>
                <w:szCs w:val="21"/>
                <w:highlight w:val="none"/>
                <w:shd w:val="clear" w:color="auto" w:fill="FFFFFF"/>
              </w:rPr>
              <w:t>1</w:t>
            </w:r>
            <w:r>
              <w:rPr>
                <w:rFonts w:hint="eastAsia" w:ascii="宋体" w:hAnsi="宋体" w:cs="Segoe UI"/>
                <w:color w:val="auto"/>
                <w:szCs w:val="21"/>
                <w:highlight w:val="none"/>
                <w:shd w:val="clear" w:color="auto" w:fill="FFFFFF"/>
              </w:rPr>
              <w:t>分；</w:t>
            </w:r>
          </w:p>
          <w:p>
            <w:pPr>
              <w:autoSpaceDE w:val="0"/>
              <w:autoSpaceDN w:val="0"/>
              <w:adjustRightInd w:val="0"/>
              <w:jc w:val="left"/>
              <w:rPr>
                <w:rFonts w:ascii="宋体" w:hAnsi="宋体"/>
                <w:bCs/>
                <w:color w:val="auto"/>
                <w:szCs w:val="21"/>
                <w:highlight w:val="none"/>
                <w:lang w:val="zh-CN"/>
              </w:rPr>
            </w:pPr>
            <w:r>
              <w:rPr>
                <w:rFonts w:ascii="宋体" w:hAnsi="宋体" w:cs="Arial"/>
                <w:color w:val="auto"/>
                <w:szCs w:val="21"/>
                <w:highlight w:val="none"/>
              </w:rPr>
              <w:fldChar w:fldCharType="begin"/>
            </w:r>
            <w:r>
              <w:rPr>
                <w:rFonts w:ascii="宋体" w:hAnsi="宋体" w:cs="Arial"/>
                <w:color w:val="auto"/>
                <w:szCs w:val="21"/>
                <w:highlight w:val="none"/>
              </w:rPr>
              <w:instrText xml:space="preserve"> </w:instrText>
            </w:r>
            <w:r>
              <w:rPr>
                <w:rFonts w:hint="eastAsia" w:ascii="宋体" w:hAnsi="宋体" w:cs="Arial"/>
                <w:color w:val="auto"/>
                <w:szCs w:val="21"/>
                <w:highlight w:val="none"/>
              </w:rPr>
              <w:instrText xml:space="preserve">= 4 \* GB3</w:instrText>
            </w:r>
            <w:r>
              <w:rPr>
                <w:rFonts w:ascii="宋体" w:hAnsi="宋体" w:cs="Arial"/>
                <w:color w:val="auto"/>
                <w:szCs w:val="21"/>
                <w:highlight w:val="none"/>
              </w:rPr>
              <w:instrText xml:space="preserve"> </w:instrText>
            </w:r>
            <w:r>
              <w:rPr>
                <w:rFonts w:ascii="宋体" w:hAnsi="宋体" w:cs="Arial"/>
                <w:color w:val="auto"/>
                <w:szCs w:val="21"/>
                <w:highlight w:val="none"/>
              </w:rPr>
              <w:fldChar w:fldCharType="separate"/>
            </w:r>
            <w:r>
              <w:rPr>
                <w:rFonts w:hint="eastAsia" w:ascii="宋体" w:hAnsi="宋体" w:cs="Arial"/>
                <w:color w:val="auto"/>
                <w:szCs w:val="21"/>
                <w:highlight w:val="none"/>
              </w:rPr>
              <w:t>④</w:t>
            </w:r>
            <w:r>
              <w:rPr>
                <w:rFonts w:ascii="宋体" w:hAnsi="宋体" w:cs="Arial"/>
                <w:color w:val="auto"/>
                <w:szCs w:val="21"/>
                <w:highlight w:val="none"/>
              </w:rPr>
              <w:fldChar w:fldCharType="end"/>
            </w:r>
            <w:r>
              <w:rPr>
                <w:rFonts w:hint="eastAsia" w:ascii="宋体" w:hAnsi="宋体" w:cs="Arial"/>
                <w:color w:val="auto"/>
                <w:szCs w:val="21"/>
                <w:highlight w:val="none"/>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ascii="宋体" w:hAnsi="宋体"/>
                <w:bCs/>
                <w:color w:val="auto"/>
                <w:szCs w:val="21"/>
                <w:highlight w:val="none"/>
                <w:lang w:val="zh-CN"/>
              </w:rPr>
            </w:pPr>
            <w:r>
              <w:rPr>
                <w:rFonts w:ascii="宋体" w:hAnsi="宋体"/>
                <w:bCs/>
                <w:color w:val="auto"/>
                <w:szCs w:val="21"/>
                <w:highlight w:val="none"/>
                <w:lang w:val="zh-CN"/>
              </w:rPr>
              <w:t>14</w:t>
            </w:r>
          </w:p>
        </w:tc>
        <w:tc>
          <w:tcPr>
            <w:tcW w:w="1134" w:type="dxa"/>
            <w:vAlign w:val="center"/>
          </w:tcPr>
          <w:p>
            <w:pPr>
              <w:jc w:val="center"/>
              <w:rPr>
                <w:rFonts w:ascii="宋体" w:hAnsi="宋体"/>
                <w:color w:val="auto"/>
                <w:szCs w:val="21"/>
                <w:highlight w:val="none"/>
              </w:rPr>
            </w:pPr>
            <w:r>
              <w:rPr>
                <w:rFonts w:ascii="宋体" w:hAnsi="宋体"/>
                <w:color w:val="auto"/>
                <w:szCs w:val="21"/>
                <w:highlight w:val="none"/>
              </w:rPr>
              <w:t>服务响应能力</w:t>
            </w:r>
          </w:p>
        </w:tc>
        <w:tc>
          <w:tcPr>
            <w:tcW w:w="992" w:type="dxa"/>
            <w:vAlign w:val="center"/>
          </w:tcPr>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rPr>
              <w:t>6</w:t>
            </w:r>
          </w:p>
        </w:tc>
        <w:tc>
          <w:tcPr>
            <w:tcW w:w="6096" w:type="dxa"/>
            <w:vAlign w:val="center"/>
          </w:tcPr>
          <w:p>
            <w:pPr>
              <w:adjustRightInd w:val="0"/>
              <w:snapToGrid w:val="0"/>
              <w:rPr>
                <w:rFonts w:ascii="宋体" w:hAnsi="宋体"/>
                <w:color w:val="auto"/>
                <w:kern w:val="0"/>
                <w:szCs w:val="21"/>
                <w:highlight w:val="none"/>
              </w:rPr>
            </w:pPr>
            <w:r>
              <w:rPr>
                <w:rFonts w:ascii="宋体" w:hAnsi="宋体"/>
                <w:color w:val="auto"/>
                <w:kern w:val="0"/>
                <w:szCs w:val="21"/>
                <w:highlight w:val="none"/>
              </w:rPr>
              <w:t>为保证抽检样品新鲜度及应急保障任务快速响应需求，由采购人所在地（宁波市鄞州区和济街69号）到投标人食品检测实验室所在地，样品进入实验室的时间≤</w:t>
            </w:r>
            <w:r>
              <w:rPr>
                <w:rFonts w:hint="eastAsia" w:ascii="宋体" w:hAnsi="宋体"/>
                <w:color w:val="auto"/>
                <w:kern w:val="0"/>
                <w:szCs w:val="21"/>
                <w:highlight w:val="none"/>
              </w:rPr>
              <w:t>1</w:t>
            </w:r>
            <w:r>
              <w:rPr>
                <w:rFonts w:ascii="宋体" w:hAnsi="宋体"/>
                <w:color w:val="auto"/>
                <w:kern w:val="0"/>
                <w:szCs w:val="21"/>
                <w:highlight w:val="none"/>
              </w:rPr>
              <w:t>小时</w:t>
            </w:r>
            <w:r>
              <w:rPr>
                <w:rFonts w:hint="eastAsia" w:ascii="宋体" w:hAnsi="宋体"/>
                <w:color w:val="auto"/>
                <w:kern w:val="0"/>
                <w:szCs w:val="21"/>
                <w:highlight w:val="none"/>
              </w:rPr>
              <w:t>30分</w:t>
            </w:r>
            <w:r>
              <w:rPr>
                <w:rFonts w:ascii="宋体" w:hAnsi="宋体"/>
                <w:color w:val="auto"/>
                <w:kern w:val="0"/>
                <w:szCs w:val="21"/>
                <w:highlight w:val="none"/>
              </w:rPr>
              <w:t>的得</w:t>
            </w:r>
            <w:r>
              <w:rPr>
                <w:rFonts w:hint="eastAsia" w:ascii="宋体" w:hAnsi="宋体"/>
                <w:color w:val="auto"/>
                <w:kern w:val="0"/>
                <w:szCs w:val="21"/>
                <w:highlight w:val="none"/>
              </w:rPr>
              <w:t>6</w:t>
            </w:r>
            <w:r>
              <w:rPr>
                <w:rFonts w:ascii="宋体" w:hAnsi="宋体"/>
                <w:color w:val="auto"/>
                <w:kern w:val="0"/>
                <w:szCs w:val="21"/>
                <w:highlight w:val="none"/>
              </w:rPr>
              <w:t>分；时间＞</w:t>
            </w:r>
            <w:r>
              <w:rPr>
                <w:rFonts w:hint="eastAsia" w:ascii="宋体" w:hAnsi="宋体"/>
                <w:color w:val="auto"/>
                <w:kern w:val="0"/>
                <w:szCs w:val="21"/>
                <w:highlight w:val="none"/>
              </w:rPr>
              <w:t>1</w:t>
            </w:r>
            <w:r>
              <w:rPr>
                <w:rFonts w:ascii="宋体" w:hAnsi="宋体"/>
                <w:color w:val="auto"/>
                <w:kern w:val="0"/>
                <w:szCs w:val="21"/>
                <w:highlight w:val="none"/>
              </w:rPr>
              <w:t>小时</w:t>
            </w:r>
            <w:r>
              <w:rPr>
                <w:rFonts w:hint="eastAsia" w:ascii="宋体" w:hAnsi="宋体"/>
                <w:color w:val="auto"/>
                <w:kern w:val="0"/>
                <w:szCs w:val="21"/>
                <w:highlight w:val="none"/>
              </w:rPr>
              <w:t>30分</w:t>
            </w:r>
            <w:r>
              <w:rPr>
                <w:rFonts w:ascii="宋体" w:hAnsi="宋体"/>
                <w:color w:val="auto"/>
                <w:kern w:val="0"/>
                <w:szCs w:val="21"/>
                <w:highlight w:val="none"/>
              </w:rPr>
              <w:t>，≤3小时，得4分；时间＞3小时，≤5小时，得2分；时间＞5小时的得</w:t>
            </w:r>
            <w:r>
              <w:rPr>
                <w:rFonts w:hint="eastAsia" w:ascii="宋体" w:hAnsi="宋体"/>
                <w:color w:val="auto"/>
                <w:kern w:val="0"/>
                <w:szCs w:val="21"/>
                <w:highlight w:val="none"/>
              </w:rPr>
              <w:t>1</w:t>
            </w:r>
            <w:r>
              <w:rPr>
                <w:rFonts w:ascii="宋体" w:hAnsi="宋体"/>
                <w:color w:val="auto"/>
                <w:kern w:val="0"/>
                <w:szCs w:val="21"/>
                <w:highlight w:val="none"/>
              </w:rPr>
              <w:t>分。</w:t>
            </w:r>
          </w:p>
          <w:p>
            <w:pPr>
              <w:autoSpaceDE w:val="0"/>
              <w:autoSpaceDN w:val="0"/>
              <w:adjustRightInd w:val="0"/>
              <w:jc w:val="left"/>
              <w:rPr>
                <w:rFonts w:ascii="宋体" w:hAnsi="宋体"/>
                <w:bCs/>
                <w:color w:val="auto"/>
                <w:szCs w:val="21"/>
                <w:highlight w:val="none"/>
                <w:lang w:val="zh-CN"/>
              </w:rPr>
            </w:pPr>
            <w:r>
              <w:rPr>
                <w:rFonts w:ascii="宋体" w:hAnsi="宋体"/>
                <w:color w:val="auto"/>
                <w:szCs w:val="21"/>
                <w:highlight w:val="none"/>
              </w:rPr>
              <w:t>注：提供投标人食品检测实验室资质证书复印件及该实验室所在地点距离</w:t>
            </w:r>
            <w:r>
              <w:rPr>
                <w:rFonts w:hint="eastAsia" w:ascii="宋体" w:hAnsi="宋体"/>
                <w:color w:val="auto"/>
                <w:szCs w:val="21"/>
                <w:highlight w:val="none"/>
              </w:rPr>
              <w:t>采购人</w:t>
            </w:r>
            <w:r>
              <w:rPr>
                <w:rFonts w:ascii="宋体" w:hAnsi="宋体"/>
                <w:color w:val="auto"/>
                <w:szCs w:val="21"/>
                <w:highlight w:val="none"/>
              </w:rPr>
              <w:t>交通路程的百度等导航地图规划测算数据作为依据。投标人的子公司等具有独立的法人资格的机构所属实验室不予认可。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15</w:t>
            </w:r>
          </w:p>
        </w:tc>
        <w:tc>
          <w:tcPr>
            <w:tcW w:w="1134" w:type="dxa"/>
            <w:vAlign w:val="center"/>
          </w:tcPr>
          <w:p>
            <w:pPr>
              <w:jc w:val="center"/>
              <w:rPr>
                <w:rFonts w:ascii="宋体" w:hAnsi="宋体"/>
                <w:color w:val="auto"/>
                <w:szCs w:val="21"/>
                <w:highlight w:val="none"/>
              </w:rPr>
            </w:pPr>
            <w:r>
              <w:rPr>
                <w:rFonts w:ascii="宋体" w:hAnsi="宋体"/>
                <w:color w:val="auto"/>
                <w:szCs w:val="21"/>
                <w:highlight w:val="none"/>
              </w:rPr>
              <w:t>食品安全风险预警交流情况</w:t>
            </w:r>
          </w:p>
        </w:tc>
        <w:tc>
          <w:tcPr>
            <w:tcW w:w="992" w:type="dxa"/>
            <w:vAlign w:val="center"/>
          </w:tcPr>
          <w:p>
            <w:pPr>
              <w:autoSpaceDE w:val="0"/>
              <w:autoSpaceDN w:val="0"/>
              <w:adjustRightInd w:val="0"/>
              <w:jc w:val="center"/>
              <w:rPr>
                <w:rFonts w:ascii="宋体" w:hAnsi="宋体"/>
                <w:bCs/>
                <w:color w:val="auto"/>
                <w:szCs w:val="21"/>
                <w:highlight w:val="none"/>
              </w:rPr>
            </w:pPr>
            <w:r>
              <w:rPr>
                <w:rFonts w:ascii="宋体" w:hAnsi="宋体"/>
                <w:bCs/>
                <w:color w:val="auto"/>
                <w:szCs w:val="21"/>
                <w:highlight w:val="none"/>
              </w:rPr>
              <w:t>2</w:t>
            </w:r>
          </w:p>
        </w:tc>
        <w:tc>
          <w:tcPr>
            <w:tcW w:w="6096" w:type="dxa"/>
            <w:vAlign w:val="center"/>
          </w:tcPr>
          <w:p>
            <w:pPr>
              <w:adjustRightInd w:val="0"/>
              <w:snapToGrid w:val="0"/>
              <w:rPr>
                <w:rFonts w:ascii="宋体" w:hAnsi="宋体"/>
                <w:color w:val="auto"/>
                <w:szCs w:val="21"/>
                <w:highlight w:val="none"/>
              </w:rPr>
            </w:pPr>
            <w:r>
              <w:rPr>
                <w:rFonts w:ascii="宋体" w:hAnsi="宋体"/>
                <w:color w:val="auto"/>
                <w:szCs w:val="21"/>
                <w:highlight w:val="none"/>
              </w:rPr>
              <w:t>2021年1月1日至今，食品安全风险交流情况（得分按照就高原则计1项，不作累加）。</w:t>
            </w:r>
          </w:p>
          <w:p>
            <w:pPr>
              <w:adjustRightInd w:val="0"/>
              <w:snapToGrid w:val="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1 \* GB3 </w:instrText>
            </w:r>
            <w:r>
              <w:rPr>
                <w:rFonts w:ascii="宋体" w:hAnsi="宋体"/>
                <w:color w:val="auto"/>
                <w:szCs w:val="21"/>
                <w:highlight w:val="none"/>
              </w:rPr>
              <w:fldChar w:fldCharType="separate"/>
            </w:r>
            <w:r>
              <w:rPr>
                <w:rFonts w:ascii="宋体" w:hAnsi="宋体"/>
                <w:color w:val="auto"/>
                <w:szCs w:val="21"/>
                <w:highlight w:val="none"/>
              </w:rPr>
              <w:t>①</w:t>
            </w:r>
            <w:r>
              <w:rPr>
                <w:rFonts w:ascii="宋体" w:hAnsi="宋体"/>
                <w:color w:val="auto"/>
                <w:szCs w:val="21"/>
                <w:highlight w:val="none"/>
              </w:rPr>
              <w:fldChar w:fldCharType="end"/>
            </w:r>
            <w:r>
              <w:rPr>
                <w:rFonts w:ascii="宋体" w:hAnsi="宋体"/>
                <w:color w:val="auto"/>
                <w:szCs w:val="21"/>
                <w:highlight w:val="none"/>
              </w:rPr>
              <w:t>配合开展省级食品安全风险预警交流相关工作：2分；</w:t>
            </w:r>
          </w:p>
          <w:p>
            <w:pPr>
              <w:adjustRightInd w:val="0"/>
              <w:snapToGrid w:val="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2 \* GB3 </w:instrText>
            </w:r>
            <w:r>
              <w:rPr>
                <w:rFonts w:ascii="宋体" w:hAnsi="宋体"/>
                <w:color w:val="auto"/>
                <w:szCs w:val="21"/>
                <w:highlight w:val="none"/>
              </w:rPr>
              <w:fldChar w:fldCharType="separate"/>
            </w:r>
            <w:r>
              <w:rPr>
                <w:rFonts w:ascii="宋体" w:hAnsi="宋体"/>
                <w:color w:val="auto"/>
                <w:szCs w:val="21"/>
                <w:highlight w:val="none"/>
              </w:rPr>
              <w:t>②</w:t>
            </w:r>
            <w:r>
              <w:rPr>
                <w:rFonts w:ascii="宋体" w:hAnsi="宋体"/>
                <w:color w:val="auto"/>
                <w:szCs w:val="21"/>
                <w:highlight w:val="none"/>
              </w:rPr>
              <w:fldChar w:fldCharType="end"/>
            </w:r>
            <w:r>
              <w:rPr>
                <w:rFonts w:ascii="宋体" w:hAnsi="宋体"/>
                <w:color w:val="auto"/>
                <w:szCs w:val="21"/>
                <w:highlight w:val="none"/>
              </w:rPr>
              <w:t>配合开展设区市级食品安全风险预警交流相关工作：1分。</w:t>
            </w:r>
          </w:p>
          <w:p>
            <w:pPr>
              <w:adjustRightInd w:val="0"/>
              <w:snapToGrid w:val="0"/>
              <w:rPr>
                <w:rFonts w:ascii="宋体" w:hAnsi="宋体"/>
                <w:color w:val="auto"/>
                <w:szCs w:val="21"/>
                <w:highlight w:val="none"/>
              </w:rPr>
            </w:pPr>
            <w:r>
              <w:rPr>
                <w:rFonts w:ascii="宋体" w:hAnsi="宋体"/>
                <w:color w:val="auto"/>
                <w:szCs w:val="21"/>
                <w:highlight w:val="none"/>
              </w:rPr>
              <w:t>注：投标人须在投标文件中提供相关证明材料，证明材料为会议通知或任务书或指导性文件或分析报告（公开版）等文件，不具备上述工作经验或提供的材料没有食品安全风险预警交流工作内容的不得分。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16</w:t>
            </w:r>
          </w:p>
        </w:tc>
        <w:tc>
          <w:tcPr>
            <w:tcW w:w="1134" w:type="dxa"/>
            <w:vAlign w:val="center"/>
          </w:tcPr>
          <w:p>
            <w:pPr>
              <w:jc w:val="center"/>
              <w:rPr>
                <w:rFonts w:ascii="宋体" w:hAnsi="宋体"/>
                <w:color w:val="auto"/>
                <w:szCs w:val="21"/>
                <w:highlight w:val="none"/>
              </w:rPr>
            </w:pPr>
            <w:r>
              <w:rPr>
                <w:rFonts w:ascii="宋体" w:hAnsi="宋体"/>
                <w:color w:val="auto"/>
                <w:szCs w:val="21"/>
                <w:highlight w:val="none"/>
              </w:rPr>
              <w:t>项目业绩</w:t>
            </w:r>
          </w:p>
        </w:tc>
        <w:tc>
          <w:tcPr>
            <w:tcW w:w="992" w:type="dxa"/>
            <w:vAlign w:val="center"/>
          </w:tcPr>
          <w:p>
            <w:pPr>
              <w:autoSpaceDE w:val="0"/>
              <w:autoSpaceDN w:val="0"/>
              <w:adjustRightInd w:val="0"/>
              <w:jc w:val="center"/>
              <w:rPr>
                <w:rFonts w:ascii="宋体" w:hAnsi="宋体"/>
                <w:bCs/>
                <w:color w:val="auto"/>
                <w:szCs w:val="21"/>
                <w:highlight w:val="none"/>
              </w:rPr>
            </w:pPr>
            <w:r>
              <w:rPr>
                <w:rFonts w:ascii="宋体" w:hAnsi="宋体"/>
                <w:bCs/>
                <w:color w:val="auto"/>
                <w:szCs w:val="21"/>
                <w:highlight w:val="none"/>
              </w:rPr>
              <w:t>1</w:t>
            </w:r>
          </w:p>
        </w:tc>
        <w:tc>
          <w:tcPr>
            <w:tcW w:w="6096" w:type="dxa"/>
            <w:vAlign w:val="center"/>
          </w:tcPr>
          <w:p>
            <w:pPr>
              <w:adjustRightInd w:val="0"/>
              <w:snapToGrid w:val="0"/>
              <w:rPr>
                <w:rFonts w:ascii="宋体" w:hAnsi="宋体"/>
                <w:color w:val="auto"/>
                <w:szCs w:val="21"/>
                <w:highlight w:val="none"/>
              </w:rPr>
            </w:pPr>
            <w:r>
              <w:rPr>
                <w:rFonts w:ascii="宋体" w:hAnsi="宋体"/>
                <w:color w:val="auto"/>
                <w:szCs w:val="21"/>
                <w:highlight w:val="none"/>
              </w:rPr>
              <w:t>2021年1月1日至今，投标人承担过政府食品安全监管部门委托的食品安全监督抽检或风险监测工作的，每提供1个工作业绩证明得0.2分，本项最高得1分。</w:t>
            </w:r>
          </w:p>
          <w:p>
            <w:pPr>
              <w:autoSpaceDE w:val="0"/>
              <w:autoSpaceDN w:val="0"/>
              <w:adjustRightInd w:val="0"/>
              <w:jc w:val="left"/>
              <w:rPr>
                <w:rFonts w:ascii="宋体" w:hAnsi="宋体"/>
                <w:bCs/>
                <w:color w:val="auto"/>
                <w:szCs w:val="21"/>
                <w:highlight w:val="none"/>
                <w:lang w:val="zh-CN"/>
              </w:rPr>
            </w:pPr>
            <w:r>
              <w:rPr>
                <w:rFonts w:ascii="宋体" w:hAnsi="宋体"/>
                <w:color w:val="auto"/>
                <w:szCs w:val="21"/>
                <w:highlight w:val="none"/>
              </w:rPr>
              <w:t>注：投标文件内提供委托文件或合同（协议）复印件，每份材料（同一项目所属的委托）只计一次，不重复计分。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17</w:t>
            </w:r>
          </w:p>
        </w:tc>
        <w:tc>
          <w:tcPr>
            <w:tcW w:w="1134" w:type="dxa"/>
            <w:vAlign w:val="center"/>
          </w:tcPr>
          <w:p>
            <w:pPr>
              <w:jc w:val="center"/>
              <w:rPr>
                <w:rFonts w:ascii="宋体" w:hAnsi="宋体"/>
                <w:color w:val="auto"/>
                <w:szCs w:val="21"/>
                <w:highlight w:val="none"/>
              </w:rPr>
            </w:pPr>
            <w:r>
              <w:rPr>
                <w:rFonts w:ascii="宋体" w:hAnsi="宋体"/>
                <w:color w:val="auto"/>
                <w:szCs w:val="21"/>
                <w:highlight w:val="none"/>
              </w:rPr>
              <w:t>报价分</w:t>
            </w:r>
          </w:p>
        </w:tc>
        <w:tc>
          <w:tcPr>
            <w:tcW w:w="992" w:type="dxa"/>
            <w:vAlign w:val="center"/>
          </w:tcPr>
          <w:p>
            <w:pPr>
              <w:autoSpaceDE w:val="0"/>
              <w:autoSpaceDN w:val="0"/>
              <w:adjustRightInd w:val="0"/>
              <w:jc w:val="center"/>
              <w:rPr>
                <w:rFonts w:ascii="宋体" w:hAnsi="宋体"/>
                <w:bCs/>
                <w:color w:val="auto"/>
                <w:szCs w:val="21"/>
                <w:highlight w:val="none"/>
              </w:rPr>
            </w:pPr>
            <w:r>
              <w:rPr>
                <w:rFonts w:ascii="宋体" w:hAnsi="宋体"/>
                <w:bCs/>
                <w:color w:val="auto"/>
                <w:szCs w:val="21"/>
                <w:highlight w:val="none"/>
              </w:rPr>
              <w:t>12</w:t>
            </w:r>
          </w:p>
        </w:tc>
        <w:tc>
          <w:tcPr>
            <w:tcW w:w="6096" w:type="dxa"/>
            <w:vAlign w:val="center"/>
          </w:tcPr>
          <w:p>
            <w:pPr>
              <w:rPr>
                <w:rFonts w:ascii="宋体" w:hAnsi="宋体"/>
                <w:color w:val="auto"/>
                <w:szCs w:val="21"/>
                <w:highlight w:val="none"/>
              </w:rPr>
            </w:pPr>
            <w:r>
              <w:rPr>
                <w:rFonts w:ascii="宋体" w:hAnsi="宋体"/>
                <w:color w:val="auto"/>
                <w:szCs w:val="21"/>
                <w:highlight w:val="none"/>
              </w:rPr>
              <w:t>价格分统一采用低价优先法，即满足招标文件要求且投标价格最低的投标报价为评标基准价，其价格分为满分。其他投标人的价格分统一按照下列公式计算：</w:t>
            </w:r>
          </w:p>
          <w:p>
            <w:pPr>
              <w:adjustRightInd w:val="0"/>
              <w:snapToGrid w:val="0"/>
              <w:rPr>
                <w:rFonts w:ascii="宋体" w:hAnsi="宋体"/>
                <w:color w:val="auto"/>
                <w:szCs w:val="21"/>
                <w:highlight w:val="none"/>
              </w:rPr>
            </w:pPr>
            <w:r>
              <w:rPr>
                <w:rFonts w:ascii="宋体" w:hAnsi="宋体"/>
                <w:color w:val="auto"/>
                <w:szCs w:val="21"/>
                <w:highlight w:val="none"/>
              </w:rPr>
              <w:t>投标报价得分＝{(1-评标基准价）/（1-投标下浮率）}×（12）%×100。</w:t>
            </w:r>
          </w:p>
        </w:tc>
      </w:tr>
    </w:tbl>
    <w:p>
      <w:pPr>
        <w:pStyle w:val="18"/>
        <w:rPr>
          <w:rFonts w:ascii="宋体" w:hAnsi="宋体"/>
          <w:color w:val="auto"/>
          <w:highlight w:val="none"/>
        </w:rPr>
      </w:pPr>
    </w:p>
    <w:p>
      <w:pPr>
        <w:widowControl/>
        <w:jc w:val="left"/>
        <w:rPr>
          <w:rFonts w:ascii="宋体" w:hAnsi="宋体"/>
          <w:color w:val="auto"/>
          <w:spacing w:val="14"/>
          <w:szCs w:val="21"/>
          <w:highlight w:val="none"/>
        </w:rPr>
      </w:pPr>
      <w:r>
        <w:rPr>
          <w:rFonts w:ascii="宋体" w:hAnsi="宋体"/>
          <w:color w:val="auto"/>
          <w:spacing w:val="14"/>
          <w:szCs w:val="21"/>
          <w:highlight w:val="none"/>
        </w:rPr>
        <w:br w:type="page"/>
      </w:r>
    </w:p>
    <w:p>
      <w:pPr>
        <w:pStyle w:val="2"/>
        <w:spacing w:before="0" w:after="0"/>
        <w:rPr>
          <w:rFonts w:ascii="宋体" w:hAnsi="宋体"/>
          <w:color w:val="auto"/>
          <w:highlight w:val="none"/>
        </w:rPr>
      </w:pPr>
      <w:bookmarkStart w:id="53" w:name="_Toc110177701"/>
      <w:bookmarkStart w:id="54" w:name="_Toc34844745"/>
      <w:r>
        <w:rPr>
          <w:rFonts w:ascii="宋体" w:hAnsi="宋体"/>
          <w:color w:val="auto"/>
          <w:highlight w:val="none"/>
        </w:rPr>
        <w:t>第五章  合同文本</w:t>
      </w:r>
      <w:bookmarkEnd w:id="53"/>
      <w:bookmarkEnd w:id="54"/>
    </w:p>
    <w:p>
      <w:pPr>
        <w:pStyle w:val="24"/>
        <w:rPr>
          <w:color w:val="auto"/>
          <w:highlight w:val="none"/>
        </w:rPr>
      </w:pPr>
      <w:r>
        <w:rPr>
          <w:color w:val="auto"/>
          <w:highlight w:val="none"/>
        </w:rPr>
        <w:t>注：本合同文本为中标后签订合同的草案，有关条款和采购文件其他部分有冲突的，以其他部分约定为准，最终以投标响应约定签订。</w:t>
      </w:r>
    </w:p>
    <w:p>
      <w:pPr>
        <w:pStyle w:val="24"/>
        <w:rPr>
          <w:color w:val="auto"/>
          <w:highlight w:val="none"/>
        </w:rPr>
      </w:pPr>
    </w:p>
    <w:p>
      <w:pPr>
        <w:widowControl/>
        <w:spacing w:line="360" w:lineRule="auto"/>
        <w:ind w:right="-874" w:rightChars="-416"/>
        <w:jc w:val="left"/>
        <w:rPr>
          <w:rFonts w:ascii="宋体" w:hAnsi="宋体"/>
          <w:b/>
          <w:color w:val="auto"/>
          <w:kern w:val="0"/>
          <w:szCs w:val="21"/>
          <w:highlight w:val="none"/>
        </w:rPr>
      </w:pPr>
      <w:r>
        <w:rPr>
          <w:rFonts w:ascii="宋体" w:hAnsi="宋体"/>
          <w:b/>
          <w:color w:val="auto"/>
          <w:kern w:val="0"/>
          <w:szCs w:val="21"/>
          <w:highlight w:val="none"/>
        </w:rPr>
        <w:t>甲方(采购人)：</w:t>
      </w:r>
      <w:r>
        <w:rPr>
          <w:rFonts w:ascii="宋体" w:hAnsi="宋体"/>
          <w:color w:val="auto"/>
          <w:kern w:val="0"/>
          <w:szCs w:val="21"/>
          <w:highlight w:val="none"/>
          <w:u w:val="single"/>
        </w:rPr>
        <w:t xml:space="preserve">宁波市市场监督管理局   </w:t>
      </w:r>
    </w:p>
    <w:p>
      <w:pPr>
        <w:snapToGrid w:val="0"/>
        <w:spacing w:line="360" w:lineRule="auto"/>
        <w:rPr>
          <w:rFonts w:ascii="宋体" w:hAnsi="宋体"/>
          <w:color w:val="auto"/>
          <w:szCs w:val="21"/>
          <w:highlight w:val="none"/>
          <w:u w:val="single"/>
        </w:rPr>
      </w:pPr>
      <w:r>
        <w:rPr>
          <w:rFonts w:ascii="宋体" w:hAnsi="宋体"/>
          <w:b/>
          <w:color w:val="auto"/>
          <w:kern w:val="0"/>
          <w:szCs w:val="21"/>
          <w:highlight w:val="none"/>
        </w:rPr>
        <w:t>乙方(中标供应商)：</w:t>
      </w:r>
      <w:r>
        <w:rPr>
          <w:rFonts w:ascii="宋体" w:hAnsi="宋体"/>
          <w:b/>
          <w:color w:val="auto"/>
          <w:kern w:val="0"/>
          <w:szCs w:val="21"/>
          <w:highlight w:val="none"/>
          <w:u w:val="single"/>
        </w:rPr>
        <w:t xml:space="preserve">                   </w:t>
      </w:r>
    </w:p>
    <w:p>
      <w:pPr>
        <w:snapToGrid w:val="0"/>
        <w:spacing w:line="360" w:lineRule="auto"/>
        <w:ind w:left="-109" w:leftChars="-52" w:firstLine="527" w:firstLineChars="250"/>
        <w:rPr>
          <w:rFonts w:ascii="宋体" w:hAnsi="宋体"/>
          <w:color w:val="auto"/>
          <w:szCs w:val="21"/>
          <w:highlight w:val="none"/>
        </w:rPr>
      </w:pPr>
      <w:r>
        <w:rPr>
          <w:rFonts w:ascii="宋体" w:hAnsi="宋体"/>
          <w:b/>
          <w:color w:val="auto"/>
          <w:kern w:val="0"/>
          <w:szCs w:val="21"/>
          <w:highlight w:val="none"/>
          <w:u w:val="single"/>
        </w:rPr>
        <w:t>宁波市市场监督管理局</w:t>
      </w:r>
      <w:r>
        <w:rPr>
          <w:rFonts w:ascii="宋体" w:hAnsi="宋体"/>
          <w:color w:val="auto"/>
          <w:szCs w:val="21"/>
          <w:highlight w:val="none"/>
        </w:rPr>
        <w:t>（以下简称甲方），经公开招标，确定</w:t>
      </w:r>
      <w:r>
        <w:rPr>
          <w:rFonts w:ascii="宋体" w:hAnsi="宋体"/>
          <w:color w:val="auto"/>
          <w:szCs w:val="21"/>
          <w:highlight w:val="none"/>
          <w:u w:val="single"/>
        </w:rPr>
        <w:t xml:space="preserve">  </w:t>
      </w:r>
      <w:r>
        <w:rPr>
          <w:rFonts w:ascii="宋体" w:hAnsi="宋体"/>
          <w:b/>
          <w:color w:val="auto"/>
          <w:szCs w:val="21"/>
          <w:highlight w:val="none"/>
          <w:u w:val="single"/>
        </w:rPr>
        <w:t xml:space="preserve">（中标供应商名称） </w:t>
      </w:r>
      <w:r>
        <w:rPr>
          <w:rFonts w:ascii="宋体" w:hAnsi="宋体"/>
          <w:color w:val="auto"/>
          <w:szCs w:val="21"/>
          <w:highlight w:val="none"/>
          <w:u w:val="single"/>
        </w:rPr>
        <w:t>（以下简称乙方）</w:t>
      </w:r>
      <w:r>
        <w:rPr>
          <w:rFonts w:ascii="宋体" w:hAnsi="宋体"/>
          <w:color w:val="auto"/>
          <w:szCs w:val="21"/>
          <w:highlight w:val="none"/>
        </w:rPr>
        <w:t>为</w:t>
      </w:r>
      <w:r>
        <w:rPr>
          <w:rFonts w:ascii="宋体" w:hAnsi="宋体"/>
          <w:b/>
          <w:color w:val="auto"/>
          <w:kern w:val="0"/>
          <w:szCs w:val="21"/>
          <w:highlight w:val="none"/>
          <w:u w:val="single"/>
        </w:rPr>
        <w:t>2024年宁波市食品安全抽检监测项目</w:t>
      </w:r>
      <w:r>
        <w:rPr>
          <w:rFonts w:ascii="宋体" w:hAnsi="宋体"/>
          <w:b/>
          <w:color w:val="auto"/>
          <w:szCs w:val="21"/>
          <w:highlight w:val="none"/>
        </w:rPr>
        <w:t>标项(   )的</w:t>
      </w:r>
      <w:r>
        <w:rPr>
          <w:rFonts w:ascii="宋体" w:hAnsi="宋体"/>
          <w:color w:val="auto"/>
          <w:szCs w:val="21"/>
          <w:highlight w:val="none"/>
        </w:rPr>
        <w:t>中标供应商，为甲方提供因正常业务开展所需要委托的食品安全抽检服务。为明确双方责任、权利与义务，甲乙双方在遵守国家有关法律法规的前提下，经友好协商，就有关事项达成以下条款。</w:t>
      </w:r>
    </w:p>
    <w:p>
      <w:pPr>
        <w:pStyle w:val="24"/>
        <w:rPr>
          <w:color w:val="auto"/>
          <w:highlight w:val="none"/>
        </w:rPr>
      </w:pPr>
      <w:r>
        <w:rPr>
          <w:color w:val="auto"/>
          <w:highlight w:val="none"/>
        </w:rPr>
        <w:t>一、基本情况</w:t>
      </w:r>
    </w:p>
    <w:p>
      <w:pPr>
        <w:pStyle w:val="24"/>
        <w:rPr>
          <w:color w:val="auto"/>
          <w:highlight w:val="none"/>
        </w:rPr>
      </w:pPr>
      <w:r>
        <w:rPr>
          <w:color w:val="auto"/>
          <w:highlight w:val="none"/>
        </w:rPr>
        <w:t>1. 合同事项：2024年宁波市食品安全抽检监测项目</w:t>
      </w:r>
    </w:p>
    <w:p>
      <w:pPr>
        <w:pStyle w:val="24"/>
        <w:rPr>
          <w:color w:val="auto"/>
          <w:highlight w:val="none"/>
        </w:rPr>
      </w:pPr>
      <w:r>
        <w:rPr>
          <w:color w:val="auto"/>
          <w:highlight w:val="none"/>
        </w:rPr>
        <w:t>2. 食品抽检种类、品种、项目和批次：</w:t>
      </w:r>
      <w:r>
        <w:rPr>
          <w:color w:val="auto"/>
          <w:highlight w:val="none"/>
          <w:u w:val="single"/>
        </w:rPr>
        <w:t xml:space="preserve">                     </w:t>
      </w:r>
      <w:r>
        <w:rPr>
          <w:color w:val="auto"/>
          <w:highlight w:val="none"/>
        </w:rPr>
        <w:t>。</w:t>
      </w:r>
    </w:p>
    <w:p>
      <w:pPr>
        <w:pStyle w:val="24"/>
        <w:rPr>
          <w:color w:val="auto"/>
          <w:highlight w:val="none"/>
        </w:rPr>
      </w:pPr>
      <w:r>
        <w:rPr>
          <w:color w:val="auto"/>
          <w:highlight w:val="none"/>
        </w:rPr>
        <w:t>3. 抽检经费：按照完成的批次和中标价格（单价）结算。</w:t>
      </w:r>
    </w:p>
    <w:p>
      <w:pPr>
        <w:pStyle w:val="24"/>
        <w:rPr>
          <w:color w:val="auto"/>
          <w:highlight w:val="none"/>
        </w:rPr>
      </w:pPr>
      <w:r>
        <w:rPr>
          <w:color w:val="auto"/>
          <w:highlight w:val="none"/>
        </w:rPr>
        <w:t>4. 服务期限：自合同签订之日起至项目结束。</w:t>
      </w:r>
    </w:p>
    <w:p>
      <w:pPr>
        <w:pStyle w:val="24"/>
        <w:rPr>
          <w:color w:val="auto"/>
          <w:highlight w:val="none"/>
        </w:rPr>
      </w:pPr>
      <w:r>
        <w:rPr>
          <w:color w:val="auto"/>
          <w:highlight w:val="none"/>
        </w:rPr>
        <w:t>二、甲方委托乙方的具体事项</w:t>
      </w:r>
    </w:p>
    <w:p>
      <w:pPr>
        <w:pStyle w:val="24"/>
        <w:rPr>
          <w:color w:val="auto"/>
          <w:highlight w:val="none"/>
        </w:rPr>
      </w:pPr>
      <w:r>
        <w:rPr>
          <w:color w:val="auto"/>
          <w:highlight w:val="none"/>
        </w:rPr>
        <w:t>1. 按照有关法律法规和技术规范，承担宁波市市场监督管理局2024年宁波市食品安全抽检监测服务项目。</w:t>
      </w:r>
    </w:p>
    <w:p>
      <w:pPr>
        <w:pStyle w:val="24"/>
        <w:rPr>
          <w:color w:val="auto"/>
          <w:highlight w:val="none"/>
        </w:rPr>
      </w:pPr>
      <w:r>
        <w:rPr>
          <w:color w:val="auto"/>
          <w:highlight w:val="none"/>
        </w:rPr>
        <w:t>2. 按照甲方委托的食品抽检品种、项目、批次和采样区域制订抽检计划，并按照</w:t>
      </w:r>
      <w:r>
        <w:rPr>
          <w:bCs/>
          <w:color w:val="auto"/>
          <w:highlight w:val="none"/>
          <w:u w:val="single"/>
        </w:rPr>
        <w:t>2024年宁波市食品安全抽检监测项目</w:t>
      </w:r>
      <w:r>
        <w:rPr>
          <w:color w:val="auto"/>
          <w:highlight w:val="none"/>
        </w:rPr>
        <w:t>采购文件《第二章  采购需求》“三、抽检工作要求”规定执行。</w:t>
      </w:r>
    </w:p>
    <w:p>
      <w:pPr>
        <w:pStyle w:val="24"/>
        <w:rPr>
          <w:color w:val="auto"/>
          <w:highlight w:val="none"/>
        </w:rPr>
      </w:pPr>
      <w:r>
        <w:rPr>
          <w:color w:val="auto"/>
          <w:highlight w:val="none"/>
        </w:rPr>
        <w:t>3. 根据甲方认可的抽检计划采集样品。在组织抽样检测过程中，检测产品的种类、品种、项目、抽样地点及样品处理不得随意调整；如因客观情况必须进行调整的，需书面征得甲方同意。</w:t>
      </w:r>
    </w:p>
    <w:p>
      <w:pPr>
        <w:pStyle w:val="24"/>
        <w:rPr>
          <w:color w:val="auto"/>
          <w:highlight w:val="none"/>
        </w:rPr>
      </w:pPr>
      <w:r>
        <w:rPr>
          <w:color w:val="auto"/>
          <w:highlight w:val="none"/>
        </w:rPr>
        <w:t>4. 样品采集完成后应快速送检。</w:t>
      </w:r>
    </w:p>
    <w:p>
      <w:pPr>
        <w:pStyle w:val="24"/>
        <w:rPr>
          <w:color w:val="auto"/>
          <w:highlight w:val="none"/>
        </w:rPr>
      </w:pPr>
      <w:r>
        <w:rPr>
          <w:color w:val="auto"/>
          <w:highlight w:val="none"/>
        </w:rPr>
        <w:t>5. 按照有关法律法规和技术规范开展食品安全抽检监测。未经甲方同意，乙方不得少检或漏检产品和项目，不得将委托检测的产品分包给其他机构检测。乙方不得违法转包。</w:t>
      </w:r>
    </w:p>
    <w:p>
      <w:pPr>
        <w:pStyle w:val="24"/>
        <w:rPr>
          <w:color w:val="auto"/>
          <w:highlight w:val="none"/>
        </w:rPr>
      </w:pPr>
      <w:r>
        <w:rPr>
          <w:color w:val="auto"/>
          <w:highlight w:val="none"/>
        </w:rPr>
        <w:t>6. 抽样实施前，乙方应根据抽样文件要求组织培训，准备相关资料（如相关标准、抽样单、封条、样品购置告知书等）。应严格按照《食品安全抽样检验管理办法》（总局15号令）、《</w:t>
      </w:r>
      <w:r>
        <w:rPr>
          <w:rFonts w:hint="eastAsia"/>
          <w:color w:val="auto"/>
          <w:highlight w:val="none"/>
        </w:rPr>
        <w:t>食品安全抽样检验工作规范</w:t>
      </w:r>
      <w:r>
        <w:rPr>
          <w:color w:val="auto"/>
          <w:highlight w:val="none"/>
        </w:rPr>
        <w:t>》，以及各监管部门相关文件和规范要求组织开展食品安全抽验工作，抽样和检测结果报送过程须统一使用国家食品安全抽样检验信息系统。抽样时应全部采用拍照、录像等方式保存证据，采集被抽样品状态、食品库存及其他可能影响抽样检验结果的信息，采样时遇有特殊情况应在抽样单的备注信息中注明。参与抽样的所有人员需共同在抽样单和封条上签字。</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7. 乙方应按甲方工作要求和方式，提供抽检相关数据信息。</w:t>
      </w:r>
    </w:p>
    <w:p>
      <w:pPr>
        <w:pStyle w:val="24"/>
        <w:rPr>
          <w:color w:val="auto"/>
          <w:highlight w:val="none"/>
        </w:rPr>
      </w:pPr>
      <w:r>
        <w:rPr>
          <w:color w:val="auto"/>
          <w:highlight w:val="none"/>
        </w:rPr>
        <w:t>8. 规范备样品收集储存。所有备样根据《宁波市食品安全抽检备样处置实施办法（试行）》要求执行。</w:t>
      </w:r>
    </w:p>
    <w:p>
      <w:pPr>
        <w:pStyle w:val="24"/>
        <w:rPr>
          <w:color w:val="auto"/>
          <w:highlight w:val="none"/>
        </w:rPr>
      </w:pPr>
      <w:r>
        <w:rPr>
          <w:color w:val="auto"/>
          <w:highlight w:val="none"/>
        </w:rPr>
        <w:t>9. 参加由甲方组织的与抽检工作有关的宣传、培训活动。</w:t>
      </w:r>
    </w:p>
    <w:p>
      <w:pPr>
        <w:pStyle w:val="24"/>
        <w:rPr>
          <w:color w:val="auto"/>
          <w:highlight w:val="none"/>
        </w:rPr>
      </w:pPr>
      <w:r>
        <w:rPr>
          <w:color w:val="auto"/>
          <w:highlight w:val="none"/>
        </w:rPr>
        <w:t>三、甲方的权利和义务</w:t>
      </w:r>
    </w:p>
    <w:p>
      <w:pPr>
        <w:pStyle w:val="24"/>
        <w:rPr>
          <w:color w:val="auto"/>
          <w:highlight w:val="none"/>
        </w:rPr>
      </w:pPr>
      <w:r>
        <w:rPr>
          <w:color w:val="auto"/>
          <w:highlight w:val="none"/>
        </w:rPr>
        <w:t>1. 指定一名抽检工作联系人，确保通讯畅通，每日24小时开机，代表甲方处理食品抽检工作中的有关事宜。</w:t>
      </w:r>
    </w:p>
    <w:p>
      <w:pPr>
        <w:pStyle w:val="24"/>
        <w:rPr>
          <w:color w:val="auto"/>
          <w:highlight w:val="none"/>
        </w:rPr>
      </w:pPr>
      <w:r>
        <w:rPr>
          <w:color w:val="auto"/>
          <w:highlight w:val="none"/>
        </w:rPr>
        <w:t>2. 对乙方食品抽检计划完成情况予以审核确认，如期向乙方支付抽检费用。</w:t>
      </w:r>
    </w:p>
    <w:p>
      <w:pPr>
        <w:pStyle w:val="24"/>
        <w:rPr>
          <w:color w:val="auto"/>
          <w:highlight w:val="none"/>
        </w:rPr>
      </w:pPr>
      <w:r>
        <w:rPr>
          <w:color w:val="auto"/>
          <w:highlight w:val="none"/>
        </w:rPr>
        <w:t>3. 有权利就委托的事项提出合法、合理的要求。</w:t>
      </w:r>
    </w:p>
    <w:p>
      <w:pPr>
        <w:pStyle w:val="24"/>
        <w:rPr>
          <w:color w:val="auto"/>
          <w:highlight w:val="none"/>
        </w:rPr>
      </w:pPr>
      <w:r>
        <w:rPr>
          <w:color w:val="auto"/>
          <w:highlight w:val="none"/>
        </w:rPr>
        <w:t>4．有权利对乙方抽检行为进行考核。</w:t>
      </w:r>
    </w:p>
    <w:p>
      <w:pPr>
        <w:pStyle w:val="24"/>
        <w:rPr>
          <w:color w:val="auto"/>
          <w:highlight w:val="none"/>
        </w:rPr>
      </w:pPr>
      <w:r>
        <w:rPr>
          <w:color w:val="auto"/>
          <w:highlight w:val="none"/>
        </w:rPr>
        <w:t>5. 有权利派专家和工作人员监督抽检工作，但不得非法干预、影响检测过程和结果。参加监督的专家和工作人员必须出具授权书，并写明参加的具体人员姓名。</w:t>
      </w:r>
    </w:p>
    <w:p>
      <w:pPr>
        <w:pStyle w:val="24"/>
        <w:rPr>
          <w:color w:val="auto"/>
          <w:highlight w:val="none"/>
        </w:rPr>
      </w:pPr>
      <w:r>
        <w:rPr>
          <w:color w:val="auto"/>
          <w:highlight w:val="none"/>
        </w:rPr>
        <w:t>6．有义务保守检测工作的相关秘密。</w:t>
      </w:r>
    </w:p>
    <w:p>
      <w:pPr>
        <w:pStyle w:val="24"/>
        <w:rPr>
          <w:color w:val="auto"/>
          <w:highlight w:val="none"/>
        </w:rPr>
      </w:pPr>
      <w:r>
        <w:rPr>
          <w:color w:val="auto"/>
          <w:highlight w:val="none"/>
        </w:rPr>
        <w:t>7. 应遵守法律法规和各项食品检测规范和制度。</w:t>
      </w:r>
    </w:p>
    <w:p>
      <w:pPr>
        <w:pStyle w:val="24"/>
        <w:rPr>
          <w:color w:val="auto"/>
          <w:highlight w:val="none"/>
        </w:rPr>
      </w:pPr>
      <w:r>
        <w:rPr>
          <w:color w:val="auto"/>
          <w:highlight w:val="none"/>
        </w:rPr>
        <w:t>四、乙方的权利和义务</w:t>
      </w:r>
    </w:p>
    <w:p>
      <w:pPr>
        <w:pStyle w:val="24"/>
        <w:rPr>
          <w:color w:val="auto"/>
          <w:highlight w:val="none"/>
        </w:rPr>
      </w:pPr>
      <w:r>
        <w:rPr>
          <w:color w:val="auto"/>
          <w:highlight w:val="none"/>
        </w:rPr>
        <w:t>1. 指派一名熟悉本项目抽检情况的人员负责项目联络工作，联系电话：</w:t>
      </w:r>
      <w:r>
        <w:rPr>
          <w:color w:val="auto"/>
          <w:highlight w:val="none"/>
          <w:u w:val="single"/>
        </w:rPr>
        <w:t xml:space="preserve">          </w:t>
      </w:r>
      <w:r>
        <w:rPr>
          <w:color w:val="auto"/>
          <w:highlight w:val="none"/>
        </w:rPr>
        <w:t>，并确保通讯畅通，每日24小时开机，及时响应，如有变化应及时告知甲方。</w:t>
      </w:r>
    </w:p>
    <w:p>
      <w:pPr>
        <w:pStyle w:val="24"/>
        <w:rPr>
          <w:color w:val="auto"/>
          <w:highlight w:val="none"/>
        </w:rPr>
      </w:pPr>
      <w:r>
        <w:rPr>
          <w:color w:val="auto"/>
          <w:highlight w:val="none"/>
        </w:rPr>
        <w:t>2. 按照有关法律法规和技术规范要求，加强质量控制和规范管理，确保检测结果客观、准确，并按照委托时限上报。</w:t>
      </w:r>
    </w:p>
    <w:p>
      <w:pPr>
        <w:pStyle w:val="24"/>
        <w:rPr>
          <w:color w:val="auto"/>
          <w:highlight w:val="none"/>
        </w:rPr>
      </w:pPr>
      <w:r>
        <w:rPr>
          <w:color w:val="auto"/>
          <w:highlight w:val="none"/>
        </w:rPr>
        <w:t>3. 根据甲方要求制订食品抽检计划，同时可以根据甲方需求提出合理化建议。</w:t>
      </w:r>
    </w:p>
    <w:p>
      <w:pPr>
        <w:pStyle w:val="24"/>
        <w:rPr>
          <w:color w:val="auto"/>
          <w:highlight w:val="none"/>
        </w:rPr>
      </w:pPr>
      <w:r>
        <w:rPr>
          <w:color w:val="auto"/>
          <w:highlight w:val="none"/>
        </w:rPr>
        <w:t>4. 检测结果按相关国家标准、行业标准或企业标准判定，所检项目有一项不合格的，判定该产品该批次检测不合格，无判定指标的只出数据，不作结论。</w:t>
      </w:r>
    </w:p>
    <w:p>
      <w:pPr>
        <w:pStyle w:val="24"/>
        <w:rPr>
          <w:color w:val="auto"/>
          <w:highlight w:val="none"/>
        </w:rPr>
      </w:pPr>
      <w:r>
        <w:rPr>
          <w:color w:val="auto"/>
          <w:highlight w:val="none"/>
        </w:rPr>
        <w:t>5. 满足甲方合法、合理的要求，但对违法违规以及无理的要求有权拒绝。</w:t>
      </w:r>
    </w:p>
    <w:p>
      <w:pPr>
        <w:pStyle w:val="24"/>
        <w:rPr>
          <w:color w:val="auto"/>
          <w:highlight w:val="none"/>
        </w:rPr>
      </w:pPr>
      <w:r>
        <w:rPr>
          <w:color w:val="auto"/>
          <w:highlight w:val="none"/>
        </w:rPr>
        <w:t>6. 在委托事项范围内应及时答复甲方的询问和质疑。</w:t>
      </w:r>
    </w:p>
    <w:p>
      <w:pPr>
        <w:pStyle w:val="24"/>
        <w:rPr>
          <w:color w:val="auto"/>
          <w:highlight w:val="none"/>
        </w:rPr>
      </w:pPr>
      <w:r>
        <w:rPr>
          <w:color w:val="auto"/>
          <w:highlight w:val="none"/>
        </w:rPr>
        <w:t>7. 有义务保守检测工作的相关秘密。</w:t>
      </w:r>
    </w:p>
    <w:p>
      <w:pPr>
        <w:pStyle w:val="24"/>
        <w:rPr>
          <w:color w:val="auto"/>
          <w:highlight w:val="none"/>
        </w:rPr>
      </w:pPr>
      <w:r>
        <w:rPr>
          <w:color w:val="auto"/>
          <w:highlight w:val="none"/>
        </w:rPr>
        <w:t>8. 在采样过程中不得收取食品生产经营单位任何费用。</w:t>
      </w:r>
    </w:p>
    <w:p>
      <w:pPr>
        <w:pStyle w:val="24"/>
        <w:rPr>
          <w:color w:val="auto"/>
          <w:highlight w:val="none"/>
        </w:rPr>
      </w:pPr>
      <w:r>
        <w:rPr>
          <w:color w:val="auto"/>
          <w:highlight w:val="none"/>
        </w:rPr>
        <w:t>9. 样品购买和处置工作应严格遵守《宁波市市场监督管理局抽检样品购买及处置管理办法（试行）》。</w:t>
      </w:r>
    </w:p>
    <w:p>
      <w:pPr>
        <w:pStyle w:val="24"/>
        <w:rPr>
          <w:color w:val="auto"/>
          <w:highlight w:val="none"/>
        </w:rPr>
      </w:pPr>
      <w:r>
        <w:rPr>
          <w:color w:val="auto"/>
          <w:highlight w:val="none"/>
        </w:rPr>
        <w:t>10. 有义务向甲方举报食品生产经营单位违法违规行为。</w:t>
      </w:r>
    </w:p>
    <w:p>
      <w:pPr>
        <w:pStyle w:val="24"/>
        <w:rPr>
          <w:color w:val="auto"/>
          <w:highlight w:val="none"/>
        </w:rPr>
      </w:pPr>
      <w:r>
        <w:rPr>
          <w:color w:val="auto"/>
          <w:highlight w:val="none"/>
        </w:rPr>
        <w:t>11. 应遵守法律法规和食品检测技术规范和相关制度。</w:t>
      </w:r>
    </w:p>
    <w:p>
      <w:pPr>
        <w:pStyle w:val="24"/>
        <w:rPr>
          <w:color w:val="auto"/>
          <w:highlight w:val="none"/>
        </w:rPr>
      </w:pPr>
      <w:r>
        <w:rPr>
          <w:color w:val="auto"/>
          <w:highlight w:val="none"/>
        </w:rPr>
        <w:t>五、管理要求</w:t>
      </w:r>
    </w:p>
    <w:p>
      <w:pPr>
        <w:pStyle w:val="24"/>
        <w:rPr>
          <w:color w:val="auto"/>
          <w:highlight w:val="none"/>
        </w:rPr>
      </w:pPr>
      <w:r>
        <w:rPr>
          <w:color w:val="auto"/>
          <w:highlight w:val="none"/>
        </w:rPr>
        <w:t>乙方应接受并遵守甲方的各项规定，严格履行承诺的义务，为宁波市食品安全工作做好服务，并接受以下各项管理要求：</w:t>
      </w:r>
    </w:p>
    <w:p>
      <w:pPr>
        <w:pStyle w:val="24"/>
        <w:rPr>
          <w:color w:val="auto"/>
          <w:highlight w:val="none"/>
        </w:rPr>
      </w:pPr>
      <w:r>
        <w:rPr>
          <w:color w:val="auto"/>
          <w:highlight w:val="none"/>
        </w:rPr>
        <w:t>（1）乙方应遵守服务承诺，做好各项服务工作，认真履行义务。</w:t>
      </w:r>
    </w:p>
    <w:p>
      <w:pPr>
        <w:pStyle w:val="24"/>
        <w:rPr>
          <w:color w:val="auto"/>
          <w:highlight w:val="none"/>
        </w:rPr>
      </w:pPr>
      <w:r>
        <w:rPr>
          <w:color w:val="auto"/>
          <w:highlight w:val="none"/>
        </w:rPr>
        <w:t>（2）在服务期内，乙方必须接受甲方、监管部门及相关部门的监督管理。</w:t>
      </w:r>
    </w:p>
    <w:p>
      <w:pPr>
        <w:pStyle w:val="24"/>
        <w:rPr>
          <w:color w:val="auto"/>
          <w:highlight w:val="none"/>
        </w:rPr>
      </w:pPr>
      <w:r>
        <w:rPr>
          <w:color w:val="auto"/>
          <w:highlight w:val="none"/>
        </w:rPr>
        <w:t>（3）质量管理：乙方要严格按照</w:t>
      </w:r>
      <w:r>
        <w:rPr>
          <w:rFonts w:hint="eastAsia"/>
          <w:color w:val="auto"/>
          <w:highlight w:val="none"/>
        </w:rPr>
        <w:t>《浙江省食品安全抽检监测承检机构考核管理办法》</w:t>
      </w:r>
      <w:r>
        <w:rPr>
          <w:color w:val="auto"/>
          <w:highlight w:val="none"/>
        </w:rPr>
        <w:t>，加强对样品采集、实验室检测、数据报送等关键环节的质量控制，确保检测结果准确可靠。甲方将通过飞行检查、能力验证、盲样比对等形式开展对乙方的工作考核，并将有关问题向检验机构资质管理部门通报。</w:t>
      </w:r>
    </w:p>
    <w:p>
      <w:pPr>
        <w:pStyle w:val="24"/>
        <w:rPr>
          <w:color w:val="auto"/>
          <w:highlight w:val="none"/>
        </w:rPr>
      </w:pPr>
      <w:r>
        <w:rPr>
          <w:color w:val="auto"/>
          <w:highlight w:val="none"/>
        </w:rPr>
        <w:t>（4）业务建档制度：乙方须针对宁波市市场监督管理局食品安全监督抽检业务建立单独的业务档案资料，并按规定进行备案。</w:t>
      </w:r>
    </w:p>
    <w:p>
      <w:pPr>
        <w:pStyle w:val="24"/>
        <w:rPr>
          <w:color w:val="auto"/>
          <w:highlight w:val="none"/>
        </w:rPr>
      </w:pPr>
      <w:r>
        <w:rPr>
          <w:color w:val="auto"/>
          <w:highlight w:val="none"/>
        </w:rPr>
        <w:t>（5）工作纪律：乙方及其工作人员应严格按照要求进行抽样、检验和结果上报，不得随意更改抽样地点和样品信息，不得瞒报、谎报和故意漏报、错报检测数据，确保结果的真实客观和准确。不得擅自发布有关抽检监测的信息，不得在开展抽样工作前事先通知被抽检监测单位和接受相关单位馈赠，不得利用抽检监测结果开展有偿活动，牟取不正当利益。</w:t>
      </w:r>
    </w:p>
    <w:p>
      <w:pPr>
        <w:pStyle w:val="24"/>
        <w:rPr>
          <w:color w:val="auto"/>
          <w:highlight w:val="none"/>
        </w:rPr>
      </w:pPr>
      <w:r>
        <w:rPr>
          <w:color w:val="auto"/>
          <w:highlight w:val="none"/>
        </w:rPr>
        <w:t>（6）违规处理：甲方可在乙方接受工作委托期间对乙方是否规范操作进行监督检查，如发现严重违法违规事件，甲方有权单方面解除合同。</w:t>
      </w:r>
    </w:p>
    <w:p>
      <w:pPr>
        <w:pStyle w:val="24"/>
        <w:rPr>
          <w:color w:val="auto"/>
          <w:highlight w:val="none"/>
        </w:rPr>
      </w:pPr>
      <w:r>
        <w:rPr>
          <w:color w:val="auto"/>
          <w:highlight w:val="none"/>
        </w:rPr>
        <w:t>六、有关费用</w:t>
      </w:r>
    </w:p>
    <w:p>
      <w:pPr>
        <w:pStyle w:val="24"/>
        <w:rPr>
          <w:color w:val="auto"/>
          <w:highlight w:val="none"/>
        </w:rPr>
      </w:pPr>
      <w:r>
        <w:rPr>
          <w:color w:val="auto"/>
          <w:highlight w:val="none"/>
        </w:rPr>
        <w:t>1. 本项目暂定合同总金额为人民币（大写）：</w:t>
      </w:r>
      <w:r>
        <w:rPr>
          <w:color w:val="auto"/>
          <w:highlight w:val="none"/>
          <w:u w:val="single"/>
        </w:rPr>
        <w:t xml:space="preserve">           </w:t>
      </w:r>
      <w:r>
        <w:rPr>
          <w:color w:val="auto"/>
          <w:highlight w:val="none"/>
        </w:rPr>
        <w:t>（￥</w:t>
      </w:r>
      <w:r>
        <w:rPr>
          <w:color w:val="auto"/>
          <w:highlight w:val="none"/>
          <w:u w:val="single"/>
        </w:rPr>
        <w:t xml:space="preserve">     </w:t>
      </w:r>
      <w:r>
        <w:rPr>
          <w:color w:val="auto"/>
          <w:highlight w:val="none"/>
        </w:rPr>
        <w:t>），按实际发生的检测批次和合同单价进行核算、支付。</w:t>
      </w:r>
    </w:p>
    <w:p>
      <w:pPr>
        <w:pStyle w:val="24"/>
        <w:rPr>
          <w:color w:val="auto"/>
          <w:highlight w:val="none"/>
        </w:rPr>
      </w:pPr>
      <w:r>
        <w:rPr>
          <w:color w:val="auto"/>
          <w:highlight w:val="none"/>
        </w:rPr>
        <w:t>2. 支付安排：</w:t>
      </w:r>
    </w:p>
    <w:p>
      <w:pPr>
        <w:pStyle w:val="24"/>
        <w:rPr>
          <w:color w:val="auto"/>
          <w:highlight w:val="none"/>
        </w:rPr>
      </w:pPr>
      <w:r>
        <w:rPr>
          <w:color w:val="auto"/>
          <w:highlight w:val="none"/>
        </w:rPr>
        <w:t>3. 当有应急任务发生需要乙方协助抽检时，乙方应无条件配合，产生的抽样费用按照300元/批次进行结算，检测费用参照乙方在本项目投标中所报的同类产品和同类项目的报价，另行结算（如有两个报价按照就低原则）。</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4. 买样费：不再另外支付。</w:t>
      </w:r>
    </w:p>
    <w:p>
      <w:pPr>
        <w:pStyle w:val="24"/>
        <w:rPr>
          <w:color w:val="auto"/>
          <w:highlight w:val="none"/>
        </w:rPr>
      </w:pPr>
      <w:r>
        <w:rPr>
          <w:color w:val="auto"/>
          <w:highlight w:val="none"/>
        </w:rPr>
        <w:t>5. 检验费用结算的依据：乙方的结算单价按照中标单价确定。在此基础上，对食用农产品大类使用同一检验方法检测的多个检测项目，按以下方式统一折扣：第1个项目折扣系数为1；第2-5个项目折扣系数为0.75；第6-10个项目折扣系数为0.5；第11个及以上项目折扣系数为0.25（按照差额定率累进法计算）。买样费与检验费之和不高于中标金额（本标项预算金额）。</w:t>
      </w:r>
    </w:p>
    <w:p>
      <w:pPr>
        <w:pStyle w:val="24"/>
        <w:rPr>
          <w:color w:val="auto"/>
          <w:highlight w:val="none"/>
        </w:rPr>
      </w:pPr>
      <w:r>
        <w:rPr>
          <w:color w:val="auto"/>
          <w:highlight w:val="none"/>
        </w:rPr>
        <w:t>七、保密</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乙方在本合同履行期间获悉的甲方未向社会公开或只在一定范围内公开的信息、经验、技术、资料等，均为甲方商业秘密，乙方及其雇员负有严格保密义务。在项目实施过程中，乙方及其雇员对甲方所提供的商业秘密负有严格保密义务，未经甲方书面同意不得向任何第三人泄露，也不得用于本合同以外的其他任何目的，且保密责任不因合同的终止或解除而失效。如甲方提出要求，乙方须无条件与甲方签定单独的保密协议。项目完成后，乙方须把甲方提供的所有资料、数据完整归还甲方，并不得留存任何形式的复制品。</w:t>
      </w:r>
    </w:p>
    <w:p>
      <w:pPr>
        <w:pStyle w:val="24"/>
        <w:rPr>
          <w:color w:val="auto"/>
          <w:highlight w:val="none"/>
        </w:rPr>
      </w:pPr>
      <w:r>
        <w:rPr>
          <w:color w:val="auto"/>
          <w:highlight w:val="none"/>
        </w:rPr>
        <w:t>八、违约责任及处理</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1. 因乙方未履行义务而造成甲方无法完成检测任务的，乙方应当承担相应的违约金，并赔偿由此给甲方造成的损失，完成检测任务的时限由甲方根据实际情况确定。</w:t>
      </w:r>
    </w:p>
    <w:p>
      <w:pPr>
        <w:tabs>
          <w:tab w:val="left" w:pos="9135"/>
        </w:tabs>
        <w:spacing w:line="360" w:lineRule="auto"/>
        <w:ind w:firstLine="420" w:firstLineChars="200"/>
        <w:rPr>
          <w:rFonts w:ascii="宋体" w:hAnsi="宋体"/>
          <w:bCs/>
          <w:color w:val="auto"/>
          <w:szCs w:val="21"/>
          <w:highlight w:val="none"/>
        </w:rPr>
      </w:pPr>
      <w:r>
        <w:rPr>
          <w:rFonts w:ascii="宋体" w:hAnsi="宋体"/>
          <w:bCs/>
          <w:color w:val="auto"/>
          <w:szCs w:val="21"/>
          <w:highlight w:val="none"/>
        </w:rPr>
        <w:t>2</w:t>
      </w:r>
      <w:r>
        <w:rPr>
          <w:rFonts w:ascii="宋体" w:hAnsi="宋体"/>
          <w:color w:val="auto"/>
          <w:szCs w:val="21"/>
          <w:highlight w:val="none"/>
        </w:rPr>
        <w:t xml:space="preserve">. </w:t>
      </w:r>
      <w:r>
        <w:rPr>
          <w:rFonts w:ascii="宋体" w:hAnsi="宋体"/>
          <w:bCs/>
          <w:color w:val="auto"/>
          <w:szCs w:val="21"/>
          <w:highlight w:val="none"/>
        </w:rPr>
        <w:t>检测报告信息错误、未按照约定检测依据进行检测或者检测结论判断错误的，乙方应进行更正或免费重新进行检测，或在不合格食品后续调查中，有新的证据表明检测结论判断错误的，在甲方提供相应的材料后，乙方也应进行更正或免费重新进行检测。给甲方造成损失的应予以赔偿，由甲方原因造成上述错误的除外。</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3. 乙方发生违规操作或其他违法行为，一经发现立即终止该次检测活动，甲方将记录备案，并扣减相应的合同款作为违约赔偿金；乙方有严重违反《</w:t>
      </w:r>
      <w:r>
        <w:rPr>
          <w:rFonts w:ascii="宋体" w:hAnsi="宋体"/>
          <w:bCs/>
          <w:color w:val="auto"/>
          <w:szCs w:val="21"/>
          <w:highlight w:val="none"/>
        </w:rPr>
        <w:t>食品安全抽样检验管理办法》（国家食品药品监督管理总局令第15号）第50条规定情形的</w:t>
      </w:r>
      <w:r>
        <w:rPr>
          <w:rFonts w:ascii="宋体" w:hAnsi="宋体"/>
          <w:color w:val="auto"/>
          <w:szCs w:val="21"/>
          <w:highlight w:val="none"/>
        </w:rPr>
        <w:t>，甲方有权单方面解除合同，并将乙方列入不诚信供应商名单。如有需要将依法追究乙方和相关人员的法律责任。</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4. 甲方如发现乙方违反本合同规定，出现违法违规行为或严重违约行为的，甲方除单方解除合同外，将依法追究乙方和相关人员的法律责任，并将乙方列入不诚信供应商名单。</w:t>
      </w:r>
    </w:p>
    <w:p>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 在签订合同时，项目实施人员情况表须一并提供，表格所列人员（抽样人员）如需更换的，需向甲方提交书面申请，经甲方同意后方可更换。因发生重大安全事故、生病住院、终止劳动合同关系、被责令停止执业、羁押或判刑等其他情形，确已无法继续服务本项目的，乙方向甲方提出申请，经甲方同意后才可更换。</w:t>
      </w:r>
    </w:p>
    <w:p>
      <w:pPr>
        <w:adjustRightInd w:val="0"/>
        <w:snapToGrid w:val="0"/>
        <w:spacing w:line="360" w:lineRule="auto"/>
        <w:rPr>
          <w:rFonts w:ascii="宋体" w:hAnsi="宋体"/>
          <w:b/>
          <w:color w:val="auto"/>
          <w:szCs w:val="21"/>
          <w:highlight w:val="none"/>
        </w:rPr>
      </w:pPr>
      <w:r>
        <w:rPr>
          <w:rFonts w:ascii="宋体" w:hAnsi="宋体"/>
          <w:b/>
          <w:color w:val="auto"/>
          <w:szCs w:val="21"/>
          <w:highlight w:val="none"/>
        </w:rPr>
        <w:t>九、违约金计算</w:t>
      </w:r>
    </w:p>
    <w:p>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 乙方发生违规操作或其他违法行为，甲方扣除5倍的违规批次检测费金额作为违约金；乙方有严重违反《食品安全抽样检验管理办法》（国家食品药品监督管理总局令第15号）第50条规定情形的，经查证属实，甲方扣除合同总价金额的10%作为违约金。</w:t>
      </w:r>
    </w:p>
    <w:p>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 如检测结果因异议、复检导致改判超过3批次的，甲方扣除3倍相应批次的抽样检测费用（以单批次中标价格计算）作为违约金。</w:t>
      </w:r>
    </w:p>
    <w:p>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 乙方不能继续提供服务，应向甲方偿付违约金。违约金按合同总价金额的30％计算并支付。</w:t>
      </w:r>
    </w:p>
    <w:p>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 复检结论与初检结论不一致的，复检费用由初检机构承担。</w:t>
      </w:r>
    </w:p>
    <w:p>
      <w:pPr>
        <w:adjustRightInd w:val="0"/>
        <w:snapToGrid w:val="0"/>
        <w:spacing w:line="360" w:lineRule="auto"/>
        <w:rPr>
          <w:rFonts w:ascii="宋体" w:hAnsi="宋体"/>
          <w:b/>
          <w:color w:val="auto"/>
          <w:szCs w:val="21"/>
          <w:highlight w:val="none"/>
        </w:rPr>
      </w:pPr>
      <w:r>
        <w:rPr>
          <w:rFonts w:ascii="宋体" w:hAnsi="宋体"/>
          <w:b/>
          <w:color w:val="auto"/>
          <w:szCs w:val="21"/>
          <w:highlight w:val="none"/>
        </w:rPr>
        <w:t>十、税费</w:t>
      </w:r>
    </w:p>
    <w:p>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在中国境内、外发生的与本合同执行有关的税费由乙方负担。</w:t>
      </w:r>
    </w:p>
    <w:p>
      <w:pPr>
        <w:adjustRightInd w:val="0"/>
        <w:snapToGrid w:val="0"/>
        <w:spacing w:line="360" w:lineRule="auto"/>
        <w:rPr>
          <w:rFonts w:ascii="宋体" w:hAnsi="宋体"/>
          <w:b/>
          <w:color w:val="auto"/>
          <w:szCs w:val="21"/>
          <w:highlight w:val="none"/>
        </w:rPr>
      </w:pPr>
      <w:r>
        <w:rPr>
          <w:rFonts w:ascii="宋体" w:hAnsi="宋体"/>
          <w:b/>
          <w:color w:val="auto"/>
          <w:szCs w:val="21"/>
          <w:highlight w:val="none"/>
        </w:rPr>
        <w:t>十一、争议解决</w:t>
      </w:r>
    </w:p>
    <w:p>
      <w:pPr>
        <w:pStyle w:val="24"/>
        <w:rPr>
          <w:color w:val="auto"/>
          <w:highlight w:val="none"/>
        </w:rPr>
      </w:pPr>
      <w:r>
        <w:rPr>
          <w:color w:val="auto"/>
          <w:highlight w:val="none"/>
        </w:rPr>
        <w:t>1. 合同履行过程中发生争议时，双方应本着真诚合作的精神，通过友好协商解决。</w:t>
      </w:r>
    </w:p>
    <w:p>
      <w:pPr>
        <w:pStyle w:val="24"/>
        <w:rPr>
          <w:color w:val="auto"/>
          <w:highlight w:val="none"/>
        </w:rPr>
      </w:pPr>
      <w:r>
        <w:rPr>
          <w:color w:val="auto"/>
          <w:highlight w:val="none"/>
        </w:rPr>
        <w:t>2. 若争议经协商仍无法解决的，可向甲方所在地人民法院提起诉讼。</w:t>
      </w:r>
    </w:p>
    <w:p>
      <w:pPr>
        <w:pStyle w:val="24"/>
        <w:rPr>
          <w:color w:val="auto"/>
          <w:highlight w:val="none"/>
        </w:rPr>
      </w:pPr>
      <w:r>
        <w:rPr>
          <w:color w:val="auto"/>
          <w:highlight w:val="none"/>
        </w:rPr>
        <w:t>3. 在诉讼期间，合同中未涉及争议部分的条款仍须履行。</w:t>
      </w:r>
    </w:p>
    <w:p>
      <w:pPr>
        <w:adjustRightInd w:val="0"/>
        <w:snapToGrid w:val="0"/>
        <w:spacing w:line="360" w:lineRule="auto"/>
        <w:rPr>
          <w:rFonts w:ascii="宋体" w:hAnsi="宋体"/>
          <w:b/>
          <w:color w:val="auto"/>
          <w:szCs w:val="21"/>
          <w:highlight w:val="none"/>
        </w:rPr>
      </w:pPr>
      <w:r>
        <w:rPr>
          <w:rFonts w:ascii="宋体" w:hAnsi="宋体"/>
          <w:b/>
          <w:color w:val="auto"/>
          <w:szCs w:val="21"/>
          <w:highlight w:val="none"/>
        </w:rPr>
        <w:t>十二、其它</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1． 本项目招标文件及乙方提交的投标文件为本合同附属文件，合同中未明确的以上述文件为准。</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2． 在执行本合同的过程中，所有经双方签署确认的文件（包括会议纪要、补充协议、往来信函）即成为本合同的有效组成部分。</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3． 本合同文尾所载的联系方式为有效的联系方式，同时作为日后发生纠纷时包括法律文书在内的一切文件、信息送达的地址。相关文件、信息通过电子方式发送成功或/及投邮后5日即视为送达。如一方联系方式有变更，应及时书面通知对方，否则，由未通知或未及时通知方自行承担不利后果。</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4． 除甲方事先书面同意外，乙方不得部分或全部转让其应履行的合同项下的义务。</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5． 在合同执行过程中，乙方应自行承担由于其行为所造成的自身以及第三方的人身伤害、财产损失或损坏的责任。</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6． 本合同出现下列情况时终止：期限届满时自行终止；出现合同中列出的终止事由；法律规定的终止事由。</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7． 合同文件的组成及解释顺序：合同及其附件；中标通知书；招标文件、投标文件及其附件。</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8． 本合同未尽事宜，遵照《中华人民共和国民法典》有关条文履行。双方可签补充协议作为附件，补充协议与本合同具有同等效力。</w:t>
      </w:r>
    </w:p>
    <w:p>
      <w:pPr>
        <w:adjustRightInd w:val="0"/>
        <w:snapToGrid w:val="0"/>
        <w:spacing w:line="360" w:lineRule="auto"/>
        <w:rPr>
          <w:rFonts w:ascii="宋体" w:hAnsi="宋体"/>
          <w:b/>
          <w:color w:val="auto"/>
          <w:szCs w:val="21"/>
          <w:highlight w:val="none"/>
        </w:rPr>
      </w:pPr>
      <w:r>
        <w:rPr>
          <w:rFonts w:ascii="宋体" w:hAnsi="宋体"/>
          <w:b/>
          <w:color w:val="auto"/>
          <w:szCs w:val="21"/>
          <w:highlight w:val="none"/>
        </w:rPr>
        <w:t>十三、合同生效</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1． 本合同自甲乙双方法定代表人或授权代表签字、盖章之日起生效。</w:t>
      </w:r>
    </w:p>
    <w:p>
      <w:pPr>
        <w:pStyle w:val="378"/>
        <w:spacing w:line="360" w:lineRule="auto"/>
        <w:ind w:left="0" w:leftChars="0" w:firstLine="447" w:firstLineChars="213"/>
        <w:rPr>
          <w:rFonts w:ascii="宋体" w:hAnsi="宋体"/>
          <w:bCs/>
          <w:color w:val="auto"/>
          <w:highlight w:val="none"/>
        </w:rPr>
      </w:pPr>
      <w:r>
        <w:rPr>
          <w:rFonts w:ascii="宋体" w:hAnsi="宋体"/>
          <w:color w:val="auto"/>
          <w:highlight w:val="none"/>
        </w:rPr>
        <w:t xml:space="preserve">2． </w:t>
      </w:r>
      <w:r>
        <w:rPr>
          <w:rFonts w:ascii="宋体" w:hAnsi="宋体"/>
          <w:bCs/>
          <w:color w:val="auto"/>
          <w:highlight w:val="none"/>
        </w:rPr>
        <w:t>本合同一式</w:t>
      </w:r>
      <w:r>
        <w:rPr>
          <w:rFonts w:ascii="宋体" w:hAnsi="宋体"/>
          <w:bCs/>
          <w:color w:val="auto"/>
          <w:highlight w:val="none"/>
          <w:u w:val="single"/>
        </w:rPr>
        <w:t xml:space="preserve">  肆  </w:t>
      </w:r>
      <w:r>
        <w:rPr>
          <w:rFonts w:ascii="宋体" w:hAnsi="宋体"/>
          <w:bCs/>
          <w:color w:val="auto"/>
          <w:highlight w:val="none"/>
        </w:rPr>
        <w:t>份，甲乙双方各执</w:t>
      </w:r>
      <w:r>
        <w:rPr>
          <w:rFonts w:ascii="宋体" w:hAnsi="宋体"/>
          <w:bCs/>
          <w:color w:val="auto"/>
          <w:highlight w:val="none"/>
          <w:u w:val="single"/>
        </w:rPr>
        <w:t xml:space="preserve">  贰  </w:t>
      </w:r>
      <w:r>
        <w:rPr>
          <w:rFonts w:ascii="宋体" w:hAnsi="宋体"/>
          <w:bCs/>
          <w:color w:val="auto"/>
          <w:highlight w:val="none"/>
        </w:rPr>
        <w:t>份，具有同等法律效力。</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3． 合同签订时间：202</w:t>
      </w:r>
      <w:r>
        <w:rPr>
          <w:rFonts w:hint="eastAsia" w:ascii="宋体" w:hAnsi="宋体"/>
          <w:color w:val="auto"/>
          <w:szCs w:val="21"/>
          <w:highlight w:val="none"/>
        </w:rPr>
        <w:t>4</w:t>
      </w:r>
      <w:r>
        <w:rPr>
          <w:rFonts w:ascii="宋体" w:hAnsi="宋体"/>
          <w:color w:val="auto"/>
          <w:szCs w:val="21"/>
          <w:highlight w:val="none"/>
        </w:rPr>
        <w:t>年   月   日</w:t>
      </w:r>
    </w:p>
    <w:p>
      <w:pPr>
        <w:tabs>
          <w:tab w:val="left" w:pos="9135"/>
        </w:tabs>
        <w:spacing w:line="360" w:lineRule="auto"/>
        <w:ind w:firstLine="420" w:firstLineChars="200"/>
        <w:rPr>
          <w:rFonts w:ascii="宋体" w:hAnsi="宋体"/>
          <w:color w:val="auto"/>
          <w:szCs w:val="21"/>
          <w:highlight w:val="none"/>
        </w:rPr>
      </w:pPr>
      <w:r>
        <w:rPr>
          <w:rFonts w:ascii="宋体" w:hAnsi="宋体"/>
          <w:color w:val="auto"/>
          <w:szCs w:val="21"/>
          <w:highlight w:val="none"/>
        </w:rPr>
        <w:t>4． 合同订立地点：</w:t>
      </w:r>
    </w:p>
    <w:p>
      <w:pPr>
        <w:pStyle w:val="378"/>
        <w:spacing w:line="360" w:lineRule="auto"/>
        <w:ind w:left="0" w:leftChars="0" w:firstLine="447" w:firstLineChars="213"/>
        <w:rPr>
          <w:rFonts w:ascii="宋体" w:hAnsi="宋体"/>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r>
        <w:rPr>
          <w:color w:val="auto"/>
          <w:highlight w:val="none"/>
        </w:rPr>
        <w:t>甲方：（盖章）                            乙方：（盖章）</w:t>
      </w:r>
    </w:p>
    <w:p>
      <w:pPr>
        <w:pStyle w:val="24"/>
        <w:rPr>
          <w:color w:val="auto"/>
          <w:highlight w:val="none"/>
        </w:rPr>
      </w:pPr>
      <w:r>
        <w:rPr>
          <w:color w:val="auto"/>
          <w:highlight w:val="none"/>
        </w:rPr>
        <w:t>负责人签字：                              负责人签字：</w:t>
      </w:r>
    </w:p>
    <w:p>
      <w:pPr>
        <w:pStyle w:val="24"/>
        <w:rPr>
          <w:color w:val="auto"/>
          <w:highlight w:val="none"/>
        </w:rPr>
      </w:pPr>
      <w:r>
        <w:rPr>
          <w:color w:val="auto"/>
          <w:highlight w:val="none"/>
        </w:rPr>
        <w:t>联系人：                                  联系人：</w:t>
      </w:r>
    </w:p>
    <w:p>
      <w:pPr>
        <w:pStyle w:val="24"/>
        <w:rPr>
          <w:color w:val="auto"/>
          <w:highlight w:val="none"/>
        </w:rPr>
      </w:pPr>
      <w:r>
        <w:rPr>
          <w:color w:val="auto"/>
          <w:highlight w:val="none"/>
        </w:rPr>
        <w:t>地址：                                    地址：</w:t>
      </w:r>
    </w:p>
    <w:p>
      <w:pPr>
        <w:pStyle w:val="24"/>
        <w:rPr>
          <w:color w:val="auto"/>
          <w:highlight w:val="none"/>
        </w:rPr>
      </w:pPr>
      <w:r>
        <w:rPr>
          <w:color w:val="auto"/>
          <w:highlight w:val="none"/>
        </w:rPr>
        <w:t>联系电话：                                联系电话：</w:t>
      </w:r>
    </w:p>
    <w:p>
      <w:pPr>
        <w:pStyle w:val="24"/>
        <w:rPr>
          <w:color w:val="auto"/>
          <w:highlight w:val="none"/>
        </w:rPr>
      </w:pPr>
      <w:r>
        <w:rPr>
          <w:color w:val="auto"/>
          <w:highlight w:val="none"/>
        </w:rPr>
        <w:t>202</w:t>
      </w:r>
      <w:r>
        <w:rPr>
          <w:rFonts w:hint="eastAsia"/>
          <w:color w:val="auto"/>
          <w:highlight w:val="none"/>
        </w:rPr>
        <w:t>4</w:t>
      </w:r>
      <w:r>
        <w:rPr>
          <w:color w:val="auto"/>
          <w:highlight w:val="none"/>
        </w:rPr>
        <w:t>年   月   日                        202</w:t>
      </w:r>
      <w:r>
        <w:rPr>
          <w:rFonts w:hint="eastAsia"/>
          <w:color w:val="auto"/>
          <w:highlight w:val="none"/>
        </w:rPr>
        <w:t>4</w:t>
      </w:r>
      <w:r>
        <w:rPr>
          <w:color w:val="auto"/>
          <w:highlight w:val="none"/>
        </w:rPr>
        <w:t>年   月   日</w:t>
      </w:r>
    </w:p>
    <w:p>
      <w:pPr>
        <w:pStyle w:val="378"/>
        <w:spacing w:line="360" w:lineRule="auto"/>
        <w:ind w:left="0" w:leftChars="0" w:firstLine="447" w:firstLineChars="213"/>
        <w:rPr>
          <w:rFonts w:ascii="宋体" w:hAnsi="宋体"/>
          <w:color w:val="auto"/>
          <w:kern w:val="0"/>
          <w:highlight w:val="none"/>
        </w:rPr>
      </w:pPr>
      <w:r>
        <w:rPr>
          <w:rFonts w:ascii="宋体" w:hAnsi="宋体"/>
          <w:color w:val="auto"/>
          <w:highlight w:val="none"/>
        </w:rPr>
        <w:br w:type="page"/>
      </w:r>
    </w:p>
    <w:p>
      <w:pPr>
        <w:pStyle w:val="2"/>
        <w:rPr>
          <w:rFonts w:ascii="宋体" w:hAnsi="宋体"/>
          <w:color w:val="auto"/>
          <w:highlight w:val="none"/>
        </w:rPr>
      </w:pPr>
      <w:bookmarkStart w:id="55" w:name="_Toc110177702"/>
      <w:bookmarkStart w:id="56" w:name="_Toc34844746"/>
      <w:r>
        <w:rPr>
          <w:rFonts w:ascii="宋体" w:hAnsi="宋体"/>
          <w:color w:val="auto"/>
          <w:highlight w:val="none"/>
        </w:rPr>
        <w:t>第六章  投标文件格式</w:t>
      </w:r>
      <w:bookmarkEnd w:id="55"/>
      <w:bookmarkEnd w:id="56"/>
    </w:p>
    <w:p>
      <w:pPr>
        <w:snapToGrid w:val="0"/>
        <w:spacing w:line="360" w:lineRule="auto"/>
        <w:ind w:left="-23" w:leftChars="-11" w:right="-214" w:rightChars="-102" w:firstLine="21" w:firstLineChars="10"/>
        <w:jc w:val="left"/>
        <w:rPr>
          <w:rFonts w:ascii="宋体" w:hAnsi="宋体"/>
          <w:b/>
          <w:color w:val="auto"/>
          <w:szCs w:val="21"/>
          <w:highlight w:val="none"/>
        </w:rPr>
      </w:pPr>
      <w:r>
        <w:rPr>
          <w:rFonts w:ascii="宋体" w:hAnsi="宋体"/>
          <w:b/>
          <w:color w:val="auto"/>
          <w:szCs w:val="21"/>
          <w:highlight w:val="none"/>
        </w:rPr>
        <w:t>1.资格要求响应文件的有关格式</w:t>
      </w:r>
    </w:p>
    <w:p>
      <w:pPr>
        <w:pStyle w:val="20"/>
        <w:spacing w:after="0" w:line="360" w:lineRule="auto"/>
        <w:ind w:left="0" w:leftChars="0"/>
        <w:jc w:val="center"/>
        <w:rPr>
          <w:rFonts w:ascii="宋体" w:hAnsi="宋体"/>
          <w:b/>
          <w:color w:val="auto"/>
          <w:kern w:val="1"/>
          <w:sz w:val="21"/>
          <w:szCs w:val="21"/>
          <w:highlight w:val="none"/>
        </w:rPr>
      </w:pPr>
      <w:r>
        <w:rPr>
          <w:rFonts w:ascii="宋体" w:hAnsi="宋体"/>
          <w:b/>
          <w:color w:val="auto"/>
          <w:sz w:val="21"/>
          <w:szCs w:val="21"/>
          <w:highlight w:val="none"/>
        </w:rPr>
        <w:t>（1）投标人资格声明函</w:t>
      </w:r>
    </w:p>
    <w:p>
      <w:pPr>
        <w:spacing w:line="360" w:lineRule="auto"/>
        <w:rPr>
          <w:rFonts w:ascii="宋体" w:hAnsi="宋体"/>
          <w:b/>
          <w:color w:val="auto"/>
          <w:kern w:val="1"/>
          <w:szCs w:val="21"/>
          <w:highlight w:val="none"/>
        </w:rPr>
      </w:pPr>
      <w:r>
        <w:rPr>
          <w:rFonts w:ascii="宋体" w:hAnsi="宋体"/>
          <w:bCs/>
          <w:color w:val="auto"/>
          <w:szCs w:val="21"/>
          <w:highlight w:val="none"/>
        </w:rPr>
        <w:t>致：</w:t>
      </w:r>
      <w:r>
        <w:rPr>
          <w:rFonts w:ascii="宋体" w:hAnsi="宋体"/>
          <w:color w:val="auto"/>
          <w:szCs w:val="21"/>
          <w:highlight w:val="none"/>
          <w:u w:val="single"/>
        </w:rPr>
        <w:t>宁波市市场监督管理局、宁波名诚招标代理有限公司</w:t>
      </w:r>
    </w:p>
    <w:p>
      <w:pPr>
        <w:spacing w:line="360" w:lineRule="auto"/>
        <w:ind w:firstLine="424"/>
        <w:rPr>
          <w:rFonts w:ascii="宋体" w:hAnsi="宋体"/>
          <w:color w:val="auto"/>
          <w:szCs w:val="21"/>
          <w:highlight w:val="none"/>
        </w:rPr>
      </w:pPr>
      <w:r>
        <w:rPr>
          <w:rFonts w:ascii="宋体" w:hAnsi="宋体"/>
          <w:color w:val="auto"/>
          <w:szCs w:val="21"/>
          <w:highlight w:val="none"/>
        </w:rPr>
        <w:t>我方参与本项目政府采购活动，郑重承诺：</w:t>
      </w:r>
    </w:p>
    <w:p>
      <w:pPr>
        <w:spacing w:line="360" w:lineRule="auto"/>
        <w:ind w:firstLine="424"/>
        <w:rPr>
          <w:rFonts w:ascii="宋体" w:hAnsi="宋体"/>
          <w:color w:val="auto"/>
          <w:szCs w:val="21"/>
          <w:highlight w:val="none"/>
        </w:rPr>
      </w:pPr>
      <w:r>
        <w:rPr>
          <w:rFonts w:ascii="宋体" w:hAnsi="宋体"/>
          <w:color w:val="auto"/>
          <w:szCs w:val="21"/>
          <w:highlight w:val="none"/>
        </w:rPr>
        <w:t>一、具备《中华人民共和国政府采购法》第二十二条第一款规定的条件：</w:t>
      </w:r>
    </w:p>
    <w:p>
      <w:pPr>
        <w:spacing w:line="360" w:lineRule="auto"/>
        <w:ind w:firstLine="424"/>
        <w:rPr>
          <w:rFonts w:ascii="宋体" w:hAnsi="宋体"/>
          <w:color w:val="auto"/>
          <w:szCs w:val="21"/>
          <w:highlight w:val="none"/>
        </w:rPr>
      </w:pPr>
      <w:r>
        <w:rPr>
          <w:rFonts w:ascii="宋体" w:hAnsi="宋体"/>
          <w:color w:val="auto"/>
          <w:szCs w:val="21"/>
          <w:highlight w:val="none"/>
        </w:rPr>
        <w:t>1.具有独立承担民事责任的能力；</w:t>
      </w:r>
    </w:p>
    <w:p>
      <w:pPr>
        <w:spacing w:line="360" w:lineRule="auto"/>
        <w:ind w:firstLine="424"/>
        <w:rPr>
          <w:rFonts w:ascii="宋体" w:hAnsi="宋体"/>
          <w:color w:val="auto"/>
          <w:szCs w:val="21"/>
          <w:highlight w:val="none"/>
        </w:rPr>
      </w:pPr>
      <w:r>
        <w:rPr>
          <w:rFonts w:ascii="宋体" w:hAnsi="宋体"/>
          <w:color w:val="auto"/>
          <w:szCs w:val="21"/>
          <w:highlight w:val="none"/>
        </w:rPr>
        <w:t>2.具有良好的商业信誉和健全的财务会计制度；</w:t>
      </w:r>
    </w:p>
    <w:p>
      <w:pPr>
        <w:spacing w:line="360" w:lineRule="auto"/>
        <w:ind w:firstLine="424"/>
        <w:rPr>
          <w:rFonts w:ascii="宋体" w:hAnsi="宋体"/>
          <w:color w:val="auto"/>
          <w:szCs w:val="21"/>
          <w:highlight w:val="none"/>
        </w:rPr>
      </w:pPr>
      <w:r>
        <w:rPr>
          <w:rFonts w:ascii="宋体" w:hAnsi="宋体"/>
          <w:color w:val="auto"/>
          <w:szCs w:val="21"/>
          <w:highlight w:val="none"/>
        </w:rPr>
        <w:t>3.具有履行本项目合同所必需的设备和专业技术能力；</w:t>
      </w:r>
    </w:p>
    <w:p>
      <w:pPr>
        <w:spacing w:line="360" w:lineRule="auto"/>
        <w:ind w:firstLine="424"/>
        <w:rPr>
          <w:rFonts w:ascii="宋体" w:hAnsi="宋体"/>
          <w:color w:val="auto"/>
          <w:szCs w:val="21"/>
          <w:highlight w:val="none"/>
        </w:rPr>
      </w:pPr>
      <w:r>
        <w:rPr>
          <w:rFonts w:ascii="宋体" w:hAnsi="宋体"/>
          <w:color w:val="auto"/>
          <w:szCs w:val="21"/>
          <w:highlight w:val="none"/>
        </w:rPr>
        <w:t>4.有依法缴纳税收和社会保障资金的良好记录；</w:t>
      </w:r>
    </w:p>
    <w:p>
      <w:pPr>
        <w:spacing w:line="360" w:lineRule="auto"/>
        <w:ind w:firstLine="424"/>
        <w:rPr>
          <w:rFonts w:ascii="宋体" w:hAnsi="宋体"/>
          <w:color w:val="auto"/>
          <w:szCs w:val="21"/>
          <w:highlight w:val="none"/>
        </w:rPr>
      </w:pPr>
      <w:r>
        <w:rPr>
          <w:rFonts w:ascii="宋体" w:hAnsi="宋体"/>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ascii="宋体" w:hAnsi="宋体"/>
          <w:color w:val="auto"/>
          <w:szCs w:val="21"/>
          <w:highlight w:val="none"/>
        </w:rPr>
      </w:pPr>
      <w:r>
        <w:rPr>
          <w:rFonts w:ascii="宋体" w:hAnsi="宋体"/>
          <w:color w:val="auto"/>
          <w:szCs w:val="21"/>
          <w:highlight w:val="none"/>
        </w:rPr>
        <w:t>6.具有法律、行政法规规定的其他条件。</w:t>
      </w:r>
    </w:p>
    <w:p>
      <w:pPr>
        <w:spacing w:line="360" w:lineRule="auto"/>
        <w:ind w:firstLine="424"/>
        <w:rPr>
          <w:rFonts w:ascii="宋体" w:hAnsi="宋体"/>
          <w:color w:val="auto"/>
          <w:szCs w:val="21"/>
          <w:highlight w:val="none"/>
        </w:rPr>
      </w:pPr>
      <w:r>
        <w:rPr>
          <w:rFonts w:ascii="宋体" w:hAnsi="宋体"/>
          <w:color w:val="auto"/>
          <w:szCs w:val="21"/>
          <w:highlight w:val="none"/>
        </w:rPr>
        <w:t>二、未被“信用中国”（www.creditchina.gov.cn)、中国政府采购网（www.ccgp.gov.cn）列入失信被执行人、重大税收违法失信主体、政府采购严重违法失信行为记录名单。</w:t>
      </w:r>
    </w:p>
    <w:p>
      <w:pPr>
        <w:spacing w:line="360" w:lineRule="auto"/>
        <w:ind w:firstLine="424"/>
        <w:rPr>
          <w:rFonts w:ascii="宋体" w:hAnsi="宋体"/>
          <w:color w:val="auto"/>
          <w:szCs w:val="21"/>
          <w:highlight w:val="none"/>
        </w:rPr>
      </w:pPr>
      <w:r>
        <w:rPr>
          <w:rFonts w:ascii="宋体" w:hAnsi="宋体"/>
          <w:color w:val="auto"/>
          <w:szCs w:val="21"/>
          <w:highlight w:val="none"/>
        </w:rPr>
        <w:t>三、不存在以下情况：</w:t>
      </w:r>
    </w:p>
    <w:p>
      <w:pPr>
        <w:spacing w:line="360" w:lineRule="auto"/>
        <w:ind w:firstLine="424"/>
        <w:rPr>
          <w:rFonts w:ascii="宋体" w:hAnsi="宋体"/>
          <w:color w:val="auto"/>
          <w:szCs w:val="21"/>
          <w:highlight w:val="none"/>
        </w:rPr>
      </w:pPr>
      <w:r>
        <w:rPr>
          <w:rFonts w:ascii="宋体" w:hAnsi="宋体"/>
          <w:color w:val="auto"/>
          <w:szCs w:val="21"/>
          <w:highlight w:val="none"/>
        </w:rPr>
        <w:t>1、单位负责人为同一人或者存在直接控股、管理关系的不同供应商参加同一合同项下的政府采购活动的；</w:t>
      </w:r>
    </w:p>
    <w:p>
      <w:pPr>
        <w:spacing w:line="360" w:lineRule="auto"/>
        <w:ind w:firstLine="424"/>
        <w:rPr>
          <w:rFonts w:ascii="宋体" w:hAnsi="宋体"/>
          <w:color w:val="auto"/>
          <w:szCs w:val="21"/>
          <w:highlight w:val="none"/>
        </w:rPr>
      </w:pPr>
      <w:r>
        <w:rPr>
          <w:rFonts w:ascii="宋体" w:hAnsi="宋体"/>
          <w:color w:val="auto"/>
          <w:szCs w:val="21"/>
          <w:highlight w:val="none"/>
        </w:rPr>
        <w:t>2、为采购项目提供整体设计、规范编制或者项目管理、监理、检测等服务后再参加该采购项目的其他采购活动的。</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___    （填写全称并加盖公章)___________</w:t>
      </w:r>
    </w:p>
    <w:p>
      <w:pPr>
        <w:snapToGrid w:val="0"/>
        <w:spacing w:line="360" w:lineRule="auto"/>
        <w:ind w:firstLine="3685" w:firstLineChars="1755"/>
        <w:rPr>
          <w:rFonts w:ascii="宋体" w:hAnsi="宋体"/>
          <w:color w:val="auto"/>
          <w:szCs w:val="21"/>
          <w:highlight w:val="none"/>
        </w:rPr>
      </w:pPr>
      <w:r>
        <w:rPr>
          <w:rFonts w:ascii="宋体" w:hAnsi="宋体"/>
          <w:color w:val="auto"/>
          <w:szCs w:val="21"/>
          <w:highlight w:val="none"/>
        </w:rPr>
        <w:t>日  期：</w:t>
      </w:r>
    </w:p>
    <w:p>
      <w:pPr>
        <w:snapToGrid w:val="0"/>
        <w:spacing w:line="360" w:lineRule="auto"/>
        <w:ind w:firstLine="3685" w:firstLineChars="1755"/>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spacing w:line="360" w:lineRule="auto"/>
        <w:jc w:val="left"/>
        <w:rPr>
          <w:rFonts w:ascii="宋体" w:hAnsi="宋体"/>
          <w:b/>
          <w:color w:val="auto"/>
          <w:szCs w:val="21"/>
          <w:highlight w:val="none"/>
        </w:rPr>
      </w:pPr>
      <w:r>
        <w:rPr>
          <w:rFonts w:ascii="宋体" w:hAnsi="宋体"/>
          <w:b/>
          <w:color w:val="auto"/>
          <w:szCs w:val="21"/>
          <w:highlight w:val="none"/>
        </w:rPr>
        <w:t>注：投标人为联合体投标的，联合体成员都需要编制此件加盖各自单位公章后作为资格要求响应文件的组成部分。</w:t>
      </w:r>
    </w:p>
    <w:p>
      <w:pPr>
        <w:widowControl/>
        <w:jc w:val="left"/>
        <w:rPr>
          <w:rFonts w:ascii="宋体" w:hAnsi="宋体"/>
          <w:color w:val="auto"/>
          <w:szCs w:val="21"/>
          <w:highlight w:val="none"/>
        </w:rPr>
      </w:pPr>
      <w:r>
        <w:rPr>
          <w:rFonts w:ascii="宋体" w:hAnsi="宋体"/>
          <w:color w:val="auto"/>
          <w:szCs w:val="21"/>
          <w:highlight w:val="none"/>
        </w:rPr>
        <w:br w:type="page"/>
      </w:r>
    </w:p>
    <w:p>
      <w:pPr>
        <w:pStyle w:val="20"/>
        <w:spacing w:after="0" w:line="360" w:lineRule="auto"/>
        <w:ind w:left="0" w:leftChars="0" w:firstLine="422"/>
        <w:jc w:val="center"/>
        <w:rPr>
          <w:rFonts w:ascii="宋体" w:hAnsi="宋体"/>
          <w:b/>
          <w:color w:val="auto"/>
          <w:sz w:val="21"/>
          <w:szCs w:val="21"/>
          <w:highlight w:val="none"/>
        </w:rPr>
      </w:pPr>
      <w:r>
        <w:rPr>
          <w:rFonts w:ascii="宋体" w:hAnsi="宋体"/>
          <w:b/>
          <w:color w:val="auto"/>
          <w:sz w:val="21"/>
          <w:szCs w:val="21"/>
          <w:highlight w:val="none"/>
        </w:rPr>
        <w:t>（2）联合协议</w:t>
      </w:r>
    </w:p>
    <w:p>
      <w:pPr>
        <w:pStyle w:val="39"/>
        <w:spacing w:line="360" w:lineRule="auto"/>
        <w:rPr>
          <w:rFonts w:ascii="宋体" w:hAnsi="宋体" w:eastAsia="宋体" w:cs="Times New Roman"/>
          <w:color w:val="auto"/>
          <w:spacing w:val="-6"/>
          <w:sz w:val="21"/>
          <w:szCs w:val="21"/>
          <w:highlight w:val="none"/>
        </w:rPr>
      </w:pPr>
      <w:r>
        <w:rPr>
          <w:rFonts w:ascii="宋体" w:hAnsi="宋体" w:eastAsia="宋体" w:cs="Times New Roman"/>
          <w:color w:val="auto"/>
          <w:spacing w:val="-6"/>
          <w:sz w:val="21"/>
          <w:szCs w:val="21"/>
          <w:highlight w:val="none"/>
        </w:rPr>
        <w:t>（允许联合体投标且投标人为联合体投标的，请编制此件加盖公章后作为资格要求响应文件的组成部分）</w:t>
      </w:r>
    </w:p>
    <w:p>
      <w:pPr>
        <w:spacing w:line="360" w:lineRule="auto"/>
        <w:ind w:firstLine="435"/>
        <w:rPr>
          <w:rFonts w:ascii="宋体" w:hAnsi="宋体"/>
          <w:color w:val="auto"/>
          <w:szCs w:val="21"/>
          <w:highlight w:val="none"/>
          <w:u w:val="single"/>
        </w:rPr>
      </w:pPr>
      <w:r>
        <w:rPr>
          <w:rFonts w:ascii="宋体" w:hAnsi="宋体"/>
          <w:color w:val="auto"/>
          <w:szCs w:val="21"/>
          <w:highlight w:val="none"/>
        </w:rPr>
        <w:t>联合体成员一名称：</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35"/>
        <w:rPr>
          <w:rFonts w:ascii="宋体" w:hAnsi="宋体"/>
          <w:color w:val="auto"/>
          <w:szCs w:val="21"/>
          <w:highlight w:val="none"/>
          <w:u w:val="single"/>
        </w:rPr>
      </w:pPr>
      <w:r>
        <w:rPr>
          <w:rFonts w:ascii="宋体" w:hAnsi="宋体"/>
          <w:color w:val="auto"/>
          <w:szCs w:val="21"/>
          <w:highlight w:val="none"/>
        </w:rPr>
        <w:t>联合体成员二名称：</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35"/>
        <w:rPr>
          <w:rFonts w:ascii="宋体" w:hAnsi="宋体"/>
          <w:color w:val="auto"/>
          <w:szCs w:val="21"/>
          <w:highlight w:val="none"/>
        </w:rPr>
      </w:pPr>
      <w:r>
        <w:rPr>
          <w:rFonts w:ascii="宋体" w:hAnsi="宋体"/>
          <w:color w:val="auto"/>
          <w:szCs w:val="21"/>
          <w:highlight w:val="none"/>
        </w:rPr>
        <w:t>…</w:t>
      </w:r>
    </w:p>
    <w:p>
      <w:pPr>
        <w:spacing w:line="360" w:lineRule="auto"/>
        <w:ind w:firstLine="435"/>
        <w:rPr>
          <w:rFonts w:ascii="宋体" w:hAnsi="宋体"/>
          <w:color w:val="auto"/>
          <w:szCs w:val="21"/>
          <w:highlight w:val="none"/>
        </w:rPr>
      </w:pPr>
      <w:r>
        <w:rPr>
          <w:rFonts w:ascii="宋体" w:hAnsi="宋体"/>
          <w:color w:val="auto"/>
          <w:szCs w:val="21"/>
          <w:highlight w:val="none"/>
        </w:rPr>
        <w:t>上述各成员单位经过友好协商，自愿组成联合体，以一个投标人的身份参加本项目的投标，现就联合体投标事宜订立如下协议：</w:t>
      </w:r>
    </w:p>
    <w:p>
      <w:pPr>
        <w:spacing w:line="360" w:lineRule="auto"/>
        <w:ind w:firstLine="435"/>
        <w:rPr>
          <w:rFonts w:ascii="宋体" w:hAnsi="宋体"/>
          <w:color w:val="auto"/>
          <w:szCs w:val="21"/>
          <w:highlight w:val="none"/>
        </w:rPr>
      </w:pPr>
      <w:r>
        <w:rPr>
          <w:rFonts w:ascii="宋体" w:hAnsi="宋体"/>
          <w:color w:val="auto"/>
          <w:szCs w:val="21"/>
          <w:highlight w:val="none"/>
        </w:rPr>
        <w:t>1.各方一致决定，</w:t>
      </w:r>
      <w:r>
        <w:rPr>
          <w:rFonts w:ascii="宋体" w:hAnsi="宋体"/>
          <w:color w:val="auto"/>
          <w:szCs w:val="21"/>
          <w:highlight w:val="none"/>
          <w:u w:val="single"/>
        </w:rPr>
        <w:t xml:space="preserve">       （某成员单位名称）       </w:t>
      </w:r>
      <w:r>
        <w:rPr>
          <w:rFonts w:ascii="宋体" w:hAnsi="宋体"/>
          <w:color w:val="auto"/>
          <w:szCs w:val="21"/>
          <w:highlight w:val="none"/>
        </w:rPr>
        <w:t>为联合体牵头人，代表所有联合体成员负责投标和合同实施阶段的主办、协调工作。</w:t>
      </w:r>
    </w:p>
    <w:p>
      <w:pPr>
        <w:spacing w:line="360" w:lineRule="auto"/>
        <w:ind w:firstLine="435"/>
        <w:rPr>
          <w:rFonts w:ascii="宋体" w:hAnsi="宋体"/>
          <w:color w:val="auto"/>
          <w:szCs w:val="21"/>
          <w:highlight w:val="none"/>
        </w:rPr>
      </w:pPr>
      <w:r>
        <w:rPr>
          <w:rFonts w:ascii="宋体" w:hAnsi="宋体"/>
          <w:color w:val="auto"/>
          <w:szCs w:val="21"/>
          <w:highlight w:val="none"/>
        </w:rPr>
        <w:t>2.所有联合体成员共同签署授权书，授权书载明的授权代表根据招标文件规定及投标内容而对采购人、采购机构所作的任何合法承诺，包括书面澄清及响应等均对联合投标各方产生约束力。</w:t>
      </w:r>
    </w:p>
    <w:p>
      <w:pPr>
        <w:spacing w:line="360" w:lineRule="auto"/>
        <w:ind w:firstLine="435"/>
        <w:rPr>
          <w:rFonts w:ascii="宋体" w:hAnsi="宋体"/>
          <w:color w:val="auto"/>
          <w:szCs w:val="21"/>
          <w:highlight w:val="none"/>
        </w:rPr>
      </w:pPr>
      <w:r>
        <w:rPr>
          <w:rFonts w:ascii="宋体" w:hAnsi="宋体"/>
          <w:color w:val="auto"/>
          <w:szCs w:val="21"/>
          <w:highlight w:val="none"/>
        </w:rPr>
        <w:t>3.联合体中标后，联合体各方共同与采购人签订合同，就本项目对采购人承担连带责任。</w:t>
      </w:r>
    </w:p>
    <w:p>
      <w:pPr>
        <w:spacing w:line="360" w:lineRule="auto"/>
        <w:ind w:firstLine="435"/>
        <w:rPr>
          <w:rFonts w:ascii="宋体" w:hAnsi="宋体"/>
          <w:color w:val="auto"/>
          <w:szCs w:val="21"/>
          <w:highlight w:val="none"/>
        </w:rPr>
      </w:pPr>
      <w:r>
        <w:rPr>
          <w:rFonts w:ascii="宋体" w:hAnsi="宋体"/>
          <w:color w:val="auto"/>
          <w:szCs w:val="21"/>
          <w:highlight w:val="none"/>
        </w:rPr>
        <w:t>4.联合体各成员单位内部的职责分工及各方负责内容的合同金额占总合同金额的百分比如下：</w:t>
      </w:r>
    </w:p>
    <w:p>
      <w:pPr>
        <w:spacing w:line="360" w:lineRule="auto"/>
        <w:ind w:firstLine="435"/>
        <w:rPr>
          <w:rFonts w:ascii="宋体" w:hAnsi="宋体"/>
          <w:color w:val="auto"/>
          <w:szCs w:val="21"/>
          <w:highlight w:val="none"/>
          <w:u w:val="single"/>
        </w:rPr>
      </w:pPr>
      <w:r>
        <w:rPr>
          <w:rFonts w:ascii="宋体" w:hAnsi="宋体"/>
          <w:color w:val="auto"/>
          <w:szCs w:val="21"/>
          <w:highlight w:val="none"/>
        </w:rPr>
        <w:t>联合体成员一名称：</w:t>
      </w:r>
      <w:r>
        <w:rPr>
          <w:rFonts w:ascii="宋体" w:hAnsi="宋体"/>
          <w:color w:val="auto"/>
          <w:szCs w:val="21"/>
          <w:highlight w:val="none"/>
          <w:u w:val="single"/>
        </w:rPr>
        <w:t xml:space="preserve">          </w:t>
      </w:r>
      <w:r>
        <w:rPr>
          <w:rFonts w:ascii="宋体" w:hAnsi="宋体"/>
          <w:color w:val="auto"/>
          <w:szCs w:val="21"/>
          <w:highlight w:val="none"/>
        </w:rPr>
        <w:t>，承担</w:t>
      </w:r>
      <w:r>
        <w:rPr>
          <w:rFonts w:ascii="宋体" w:hAnsi="宋体"/>
          <w:color w:val="auto"/>
          <w:szCs w:val="21"/>
          <w:highlight w:val="none"/>
          <w:u w:val="single"/>
        </w:rPr>
        <w:t xml:space="preserve">          </w:t>
      </w:r>
      <w:r>
        <w:rPr>
          <w:rFonts w:ascii="宋体" w:hAnsi="宋体"/>
          <w:color w:val="auto"/>
          <w:szCs w:val="21"/>
          <w:highlight w:val="none"/>
        </w:rPr>
        <w:t>工作，负责内容的金额占总合同金额的百分比：</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35"/>
        <w:rPr>
          <w:rFonts w:ascii="宋体" w:hAnsi="宋体"/>
          <w:color w:val="auto"/>
          <w:szCs w:val="21"/>
          <w:highlight w:val="none"/>
        </w:rPr>
      </w:pPr>
      <w:r>
        <w:rPr>
          <w:rFonts w:ascii="宋体" w:hAnsi="宋体"/>
          <w:color w:val="auto"/>
          <w:szCs w:val="21"/>
          <w:highlight w:val="none"/>
        </w:rPr>
        <w:t>联合体成员二名称：</w:t>
      </w:r>
      <w:r>
        <w:rPr>
          <w:rFonts w:ascii="宋体" w:hAnsi="宋体"/>
          <w:color w:val="auto"/>
          <w:szCs w:val="21"/>
          <w:highlight w:val="none"/>
          <w:u w:val="single"/>
        </w:rPr>
        <w:t xml:space="preserve">          </w:t>
      </w:r>
      <w:r>
        <w:rPr>
          <w:rFonts w:ascii="宋体" w:hAnsi="宋体"/>
          <w:color w:val="auto"/>
          <w:szCs w:val="21"/>
          <w:highlight w:val="none"/>
        </w:rPr>
        <w:t>，承担</w:t>
      </w:r>
      <w:r>
        <w:rPr>
          <w:rFonts w:ascii="宋体" w:hAnsi="宋体"/>
          <w:color w:val="auto"/>
          <w:szCs w:val="21"/>
          <w:highlight w:val="none"/>
          <w:u w:val="single"/>
        </w:rPr>
        <w:t xml:space="preserve">          </w:t>
      </w:r>
      <w:r>
        <w:rPr>
          <w:rFonts w:ascii="宋体" w:hAnsi="宋体"/>
          <w:color w:val="auto"/>
          <w:szCs w:val="21"/>
          <w:highlight w:val="none"/>
        </w:rPr>
        <w:t>工作，负责内容的金额占总合同金额的百分比：</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35"/>
        <w:rPr>
          <w:rFonts w:ascii="宋体" w:hAnsi="宋体"/>
          <w:color w:val="auto"/>
          <w:szCs w:val="21"/>
          <w:highlight w:val="none"/>
        </w:rPr>
      </w:pPr>
      <w:r>
        <w:rPr>
          <w:rFonts w:ascii="宋体" w:hAnsi="宋体"/>
          <w:color w:val="auto"/>
          <w:szCs w:val="21"/>
          <w:highlight w:val="none"/>
        </w:rPr>
        <w:t>…</w:t>
      </w:r>
    </w:p>
    <w:p>
      <w:pPr>
        <w:spacing w:line="360" w:lineRule="auto"/>
        <w:ind w:firstLine="435"/>
        <w:rPr>
          <w:rFonts w:ascii="宋体" w:hAnsi="宋体"/>
          <w:color w:val="auto"/>
          <w:szCs w:val="21"/>
          <w:highlight w:val="none"/>
        </w:rPr>
      </w:pPr>
      <w:r>
        <w:rPr>
          <w:rFonts w:ascii="宋体" w:hAnsi="宋体"/>
          <w:color w:val="auto"/>
          <w:szCs w:val="21"/>
          <w:highlight w:val="none"/>
        </w:rPr>
        <w:t>5、本协议提交采购人、采购代理机构后，联合体各方不得以任何形式对上述内容进行修改或撤销。</w:t>
      </w:r>
    </w:p>
    <w:p>
      <w:pPr>
        <w:spacing w:line="360" w:lineRule="auto"/>
        <w:ind w:firstLine="435"/>
        <w:rPr>
          <w:rFonts w:ascii="宋体" w:hAnsi="宋体"/>
          <w:color w:val="auto"/>
          <w:szCs w:val="21"/>
          <w:highlight w:val="none"/>
        </w:rPr>
      </w:pPr>
      <w:r>
        <w:rPr>
          <w:rFonts w:ascii="宋体" w:hAnsi="宋体"/>
          <w:color w:val="auto"/>
          <w:szCs w:val="21"/>
          <w:highlight w:val="none"/>
        </w:rPr>
        <w:t>6．联合体中标后，本联合协议是合同的附件，对联合体各成员单位有合同约束力。</w:t>
      </w:r>
    </w:p>
    <w:p>
      <w:pPr>
        <w:spacing w:line="360" w:lineRule="auto"/>
        <w:ind w:firstLine="435"/>
        <w:rPr>
          <w:rFonts w:ascii="宋体" w:hAnsi="宋体"/>
          <w:color w:val="auto"/>
          <w:szCs w:val="21"/>
          <w:highlight w:val="none"/>
        </w:rPr>
      </w:pPr>
      <w:r>
        <w:rPr>
          <w:rFonts w:ascii="宋体" w:hAnsi="宋体"/>
          <w:color w:val="auto"/>
          <w:szCs w:val="21"/>
          <w:highlight w:val="none"/>
        </w:rPr>
        <w:t>7．本协议书自签署之日起生效，联合体未中标或者合同履行完毕后自动失效。</w:t>
      </w:r>
    </w:p>
    <w:p>
      <w:pPr>
        <w:spacing w:line="360" w:lineRule="auto"/>
        <w:ind w:firstLine="435"/>
        <w:rPr>
          <w:rFonts w:ascii="宋体" w:hAnsi="宋体"/>
          <w:color w:val="auto"/>
          <w:szCs w:val="21"/>
          <w:highlight w:val="none"/>
        </w:rPr>
      </w:pPr>
    </w:p>
    <w:p>
      <w:pPr>
        <w:spacing w:line="360" w:lineRule="auto"/>
        <w:ind w:firstLine="435"/>
        <w:rPr>
          <w:rFonts w:ascii="宋体" w:hAnsi="宋体"/>
          <w:color w:val="auto"/>
          <w:szCs w:val="21"/>
          <w:highlight w:val="none"/>
        </w:rPr>
      </w:pPr>
      <w:r>
        <w:rPr>
          <w:rFonts w:ascii="宋体" w:hAnsi="宋体"/>
          <w:color w:val="auto"/>
          <w:szCs w:val="21"/>
          <w:highlight w:val="none"/>
        </w:rPr>
        <w:t>联合体成员一：</w:t>
      </w:r>
      <w:r>
        <w:rPr>
          <w:rFonts w:ascii="宋体" w:hAnsi="宋体"/>
          <w:color w:val="auto"/>
          <w:szCs w:val="21"/>
          <w:highlight w:val="none"/>
          <w:u w:val="single"/>
        </w:rPr>
        <w:t xml:space="preserve">                       </w:t>
      </w:r>
      <w:r>
        <w:rPr>
          <w:rFonts w:ascii="宋体" w:hAnsi="宋体"/>
          <w:color w:val="auto"/>
          <w:szCs w:val="21"/>
          <w:highlight w:val="none"/>
        </w:rPr>
        <w:t>（公章）</w:t>
      </w:r>
    </w:p>
    <w:p>
      <w:pPr>
        <w:spacing w:line="360" w:lineRule="auto"/>
        <w:ind w:firstLine="435"/>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（签字或盖章）</w:t>
      </w:r>
    </w:p>
    <w:p>
      <w:pPr>
        <w:spacing w:line="360" w:lineRule="auto"/>
        <w:ind w:firstLine="435"/>
        <w:rPr>
          <w:rFonts w:ascii="宋体" w:hAnsi="宋体"/>
          <w:color w:val="auto"/>
          <w:szCs w:val="21"/>
          <w:highlight w:val="none"/>
        </w:rPr>
      </w:pPr>
      <w:r>
        <w:rPr>
          <w:rFonts w:ascii="宋体" w:hAnsi="宋体"/>
          <w:color w:val="auto"/>
          <w:szCs w:val="21"/>
          <w:highlight w:val="none"/>
        </w:rPr>
        <w:t>联合体成员二：</w:t>
      </w:r>
      <w:r>
        <w:rPr>
          <w:rFonts w:ascii="宋体" w:hAnsi="宋体"/>
          <w:color w:val="auto"/>
          <w:szCs w:val="21"/>
          <w:highlight w:val="none"/>
          <w:u w:val="single"/>
        </w:rPr>
        <w:t xml:space="preserve">                       </w:t>
      </w:r>
      <w:r>
        <w:rPr>
          <w:rFonts w:ascii="宋体" w:hAnsi="宋体"/>
          <w:color w:val="auto"/>
          <w:szCs w:val="21"/>
          <w:highlight w:val="none"/>
        </w:rPr>
        <w:t>（公章）</w:t>
      </w:r>
    </w:p>
    <w:p>
      <w:pPr>
        <w:spacing w:line="360" w:lineRule="auto"/>
        <w:ind w:firstLine="435"/>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（签字或盖章）</w:t>
      </w:r>
    </w:p>
    <w:p>
      <w:pPr>
        <w:spacing w:line="360" w:lineRule="auto"/>
        <w:ind w:firstLine="435"/>
        <w:rPr>
          <w:rFonts w:ascii="宋体" w:hAnsi="宋体"/>
          <w:color w:val="auto"/>
          <w:szCs w:val="21"/>
          <w:highlight w:val="none"/>
        </w:rPr>
      </w:pPr>
      <w:r>
        <w:rPr>
          <w:rFonts w:ascii="宋体" w:hAnsi="宋体"/>
          <w:color w:val="auto"/>
          <w:szCs w:val="21"/>
          <w:highlight w:val="none"/>
        </w:rPr>
        <w:t>…</w:t>
      </w:r>
    </w:p>
    <w:p>
      <w:pPr>
        <w:spacing w:line="360" w:lineRule="auto"/>
        <w:ind w:right="480" w:firstLine="4095" w:firstLineChars="1950"/>
        <w:rPr>
          <w:rFonts w:ascii="宋体" w:hAnsi="宋体"/>
          <w:color w:val="auto"/>
          <w:szCs w:val="21"/>
          <w:highlight w:val="none"/>
        </w:rPr>
      </w:pPr>
      <w:r>
        <w:rPr>
          <w:rFonts w:ascii="宋体" w:hAnsi="宋体"/>
          <w:color w:val="auto"/>
          <w:szCs w:val="21"/>
          <w:highlight w:val="none"/>
        </w:rPr>
        <w:t>签订日期：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widowControl/>
        <w:spacing w:line="360" w:lineRule="auto"/>
        <w:jc w:val="left"/>
        <w:rPr>
          <w:rFonts w:ascii="宋体" w:hAnsi="宋体"/>
          <w:b/>
          <w:color w:val="auto"/>
          <w:szCs w:val="21"/>
          <w:highlight w:val="none"/>
        </w:rPr>
      </w:pPr>
      <w:r>
        <w:rPr>
          <w:rFonts w:ascii="宋体" w:hAnsi="宋体"/>
          <w:b/>
          <w:color w:val="auto"/>
          <w:szCs w:val="21"/>
          <w:highlight w:val="none"/>
        </w:rPr>
        <w:t>注：联合体成员属于小微企业的，对该单位所承担的工作内容的填写必须足够详细，如投标人提供虚假资料以获得评审优势的，所产生的后果由供应商承担。中标后，采购人将按照本协议内容监督合同的履行。</w:t>
      </w:r>
    </w:p>
    <w:p>
      <w:pPr>
        <w:pStyle w:val="20"/>
        <w:spacing w:line="360" w:lineRule="auto"/>
        <w:ind w:left="0" w:leftChars="0"/>
        <w:jc w:val="center"/>
        <w:rPr>
          <w:rFonts w:ascii="宋体" w:hAnsi="宋体"/>
          <w:b/>
          <w:color w:val="auto"/>
          <w:spacing w:val="6"/>
          <w:sz w:val="21"/>
          <w:szCs w:val="21"/>
          <w:highlight w:val="none"/>
        </w:rPr>
      </w:pPr>
      <w:bookmarkStart w:id="57" w:name="OLE_LINK13"/>
      <w:bookmarkStart w:id="58" w:name="OLE_LINK14"/>
      <w:r>
        <w:rPr>
          <w:rFonts w:ascii="宋体" w:hAnsi="宋体"/>
          <w:color w:val="auto"/>
          <w:sz w:val="21"/>
          <w:szCs w:val="21"/>
          <w:highlight w:val="none"/>
        </w:rPr>
        <w:br w:type="page"/>
      </w:r>
      <w:bookmarkEnd w:id="57"/>
      <w:bookmarkEnd w:id="58"/>
    </w:p>
    <w:p>
      <w:pPr>
        <w:snapToGrid w:val="0"/>
        <w:spacing w:line="360" w:lineRule="auto"/>
        <w:ind w:left="-23" w:leftChars="-11" w:right="-214" w:rightChars="-102" w:firstLine="21" w:firstLineChars="10"/>
        <w:jc w:val="left"/>
        <w:rPr>
          <w:rFonts w:ascii="宋体" w:hAnsi="宋体"/>
          <w:b/>
          <w:color w:val="auto"/>
          <w:szCs w:val="21"/>
          <w:highlight w:val="none"/>
        </w:rPr>
      </w:pPr>
      <w:r>
        <w:rPr>
          <w:rFonts w:ascii="宋体" w:hAnsi="宋体"/>
          <w:b/>
          <w:color w:val="auto"/>
          <w:szCs w:val="21"/>
          <w:highlight w:val="none"/>
        </w:rPr>
        <w:t>2.商务技术文件的有关格式</w:t>
      </w:r>
    </w:p>
    <w:p>
      <w:pPr>
        <w:pStyle w:val="20"/>
        <w:spacing w:line="360" w:lineRule="auto"/>
        <w:ind w:left="0" w:leftChars="0"/>
        <w:jc w:val="center"/>
        <w:rPr>
          <w:rFonts w:ascii="宋体" w:hAnsi="宋体"/>
          <w:b/>
          <w:color w:val="auto"/>
          <w:sz w:val="21"/>
          <w:szCs w:val="21"/>
          <w:highlight w:val="none"/>
        </w:rPr>
      </w:pPr>
      <w:r>
        <w:rPr>
          <w:rFonts w:ascii="宋体" w:hAnsi="宋体"/>
          <w:b/>
          <w:color w:val="auto"/>
          <w:sz w:val="21"/>
          <w:szCs w:val="21"/>
          <w:highlight w:val="none"/>
        </w:rPr>
        <w:t>（1）投标函</w:t>
      </w:r>
    </w:p>
    <w:p>
      <w:pPr>
        <w:snapToGrid w:val="0"/>
        <w:spacing w:line="360" w:lineRule="auto"/>
        <w:rPr>
          <w:rFonts w:ascii="宋体" w:hAnsi="宋体"/>
          <w:color w:val="auto"/>
          <w:szCs w:val="21"/>
          <w:highlight w:val="none"/>
        </w:rPr>
      </w:pPr>
      <w:r>
        <w:rPr>
          <w:rFonts w:ascii="宋体" w:hAnsi="宋体"/>
          <w:color w:val="auto"/>
          <w:szCs w:val="21"/>
          <w:highlight w:val="none"/>
        </w:rPr>
        <w:t>致：</w:t>
      </w:r>
      <w:r>
        <w:rPr>
          <w:rFonts w:ascii="宋体" w:hAnsi="宋体"/>
          <w:color w:val="auto"/>
          <w:szCs w:val="21"/>
          <w:highlight w:val="none"/>
          <w:u w:val="single"/>
        </w:rPr>
        <w:t>宁波市市场监督管理局、宁波名诚招标代理有限公司</w:t>
      </w:r>
    </w:p>
    <w:p>
      <w:pPr>
        <w:spacing w:line="360" w:lineRule="auto"/>
        <w:ind w:firstLine="435"/>
        <w:rPr>
          <w:rFonts w:ascii="宋体" w:hAnsi="宋体"/>
          <w:color w:val="auto"/>
          <w:szCs w:val="21"/>
          <w:highlight w:val="none"/>
        </w:rPr>
      </w:pPr>
      <w:r>
        <w:rPr>
          <w:rFonts w:ascii="宋体" w:hAnsi="宋体"/>
          <w:color w:val="auto"/>
          <w:szCs w:val="21"/>
          <w:highlight w:val="none"/>
        </w:rPr>
        <w:t>我方参加你方组织的</w:t>
      </w:r>
      <w:r>
        <w:rPr>
          <w:rFonts w:ascii="宋体" w:hAnsi="宋体"/>
          <w:color w:val="auto"/>
          <w:szCs w:val="21"/>
          <w:highlight w:val="none"/>
          <w:u w:val="single"/>
        </w:rPr>
        <w:t>2024年宁波市食品安全抽检监测项目</w:t>
      </w:r>
      <w:r>
        <w:rPr>
          <w:rFonts w:ascii="宋体" w:hAnsi="宋体"/>
          <w:color w:val="auto"/>
          <w:szCs w:val="21"/>
          <w:highlight w:val="none"/>
        </w:rPr>
        <w:t>（项目编号：</w:t>
      </w:r>
      <w:r>
        <w:rPr>
          <w:rFonts w:ascii="宋体" w:hAnsi="宋体"/>
          <w:color w:val="auto"/>
          <w:szCs w:val="21"/>
          <w:highlight w:val="none"/>
          <w:u w:val="single"/>
        </w:rPr>
        <w:t>NBMC-20242099G</w:t>
      </w:r>
      <w:r>
        <w:rPr>
          <w:rFonts w:ascii="宋体" w:hAnsi="宋体"/>
          <w:color w:val="auto"/>
          <w:szCs w:val="21"/>
          <w:highlight w:val="none"/>
        </w:rPr>
        <w:t>）招标的有关活动，并对此项目进行投标。为此：</w:t>
      </w:r>
    </w:p>
    <w:p>
      <w:pPr>
        <w:spacing w:line="360" w:lineRule="auto"/>
        <w:ind w:firstLine="435"/>
        <w:rPr>
          <w:rFonts w:ascii="宋体" w:hAnsi="宋体"/>
          <w:color w:val="auto"/>
          <w:szCs w:val="21"/>
          <w:highlight w:val="none"/>
        </w:rPr>
      </w:pPr>
      <w:r>
        <w:rPr>
          <w:rFonts w:ascii="宋体" w:hAnsi="宋体"/>
          <w:color w:val="auto"/>
          <w:szCs w:val="21"/>
          <w:highlight w:val="none"/>
        </w:rPr>
        <w:t>1.按招标文件规定提供的服务以及伴随的货物的投标报价见《开标一览表》。</w:t>
      </w:r>
    </w:p>
    <w:p>
      <w:pPr>
        <w:spacing w:line="360" w:lineRule="auto"/>
        <w:ind w:firstLine="435"/>
        <w:rPr>
          <w:rFonts w:ascii="宋体" w:hAnsi="宋体"/>
          <w:color w:val="auto"/>
          <w:szCs w:val="21"/>
          <w:highlight w:val="none"/>
        </w:rPr>
      </w:pPr>
      <w:r>
        <w:rPr>
          <w:rFonts w:ascii="宋体" w:hAnsi="宋体"/>
          <w:color w:val="auto"/>
          <w:szCs w:val="21"/>
          <w:highlight w:val="none"/>
        </w:rPr>
        <w:t>2.我方将根据招标文件的规定，在合同约定的期限内完成合同规定的全部义务。</w:t>
      </w:r>
    </w:p>
    <w:p>
      <w:pPr>
        <w:spacing w:line="360" w:lineRule="auto"/>
        <w:ind w:firstLine="435"/>
        <w:rPr>
          <w:rFonts w:ascii="宋体" w:hAnsi="宋体"/>
          <w:color w:val="auto"/>
          <w:szCs w:val="21"/>
          <w:highlight w:val="none"/>
        </w:rPr>
      </w:pPr>
      <w:r>
        <w:rPr>
          <w:rFonts w:ascii="宋体" w:hAnsi="宋体"/>
          <w:color w:val="auto"/>
          <w:szCs w:val="21"/>
          <w:highlight w:val="none"/>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pPr>
        <w:spacing w:line="360" w:lineRule="auto"/>
        <w:ind w:firstLine="435"/>
        <w:rPr>
          <w:rFonts w:ascii="宋体" w:hAnsi="宋体"/>
          <w:color w:val="auto"/>
          <w:szCs w:val="21"/>
          <w:highlight w:val="none"/>
        </w:rPr>
      </w:pPr>
      <w:r>
        <w:rPr>
          <w:rFonts w:ascii="宋体" w:hAnsi="宋体"/>
          <w:color w:val="auto"/>
          <w:szCs w:val="21"/>
          <w:highlight w:val="none"/>
        </w:rPr>
        <w:t>4.我方的投标文件在招标文件规定的投标有效期之前均对我方具有约束力。</w:t>
      </w:r>
    </w:p>
    <w:p>
      <w:pPr>
        <w:spacing w:line="360" w:lineRule="auto"/>
        <w:ind w:firstLine="435"/>
        <w:rPr>
          <w:rFonts w:ascii="宋体" w:hAnsi="宋体"/>
          <w:color w:val="auto"/>
          <w:szCs w:val="21"/>
          <w:highlight w:val="none"/>
        </w:rPr>
      </w:pPr>
      <w:r>
        <w:rPr>
          <w:rFonts w:ascii="宋体" w:hAnsi="宋体"/>
          <w:color w:val="auto"/>
          <w:szCs w:val="21"/>
          <w:highlight w:val="none"/>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pPr>
        <w:spacing w:line="360" w:lineRule="auto"/>
        <w:ind w:firstLine="435"/>
        <w:rPr>
          <w:rFonts w:ascii="宋体" w:hAnsi="宋体"/>
          <w:color w:val="auto"/>
          <w:szCs w:val="21"/>
          <w:highlight w:val="none"/>
        </w:rPr>
      </w:pPr>
      <w:r>
        <w:rPr>
          <w:rFonts w:ascii="宋体" w:hAnsi="宋体"/>
          <w:color w:val="auto"/>
          <w:szCs w:val="21"/>
          <w:highlight w:val="none"/>
        </w:rPr>
        <w:t>6.我方完全理解最低报价并不是中标的唯一标准。</w:t>
      </w:r>
    </w:p>
    <w:p>
      <w:pPr>
        <w:spacing w:line="360" w:lineRule="auto"/>
        <w:ind w:firstLine="435"/>
        <w:rPr>
          <w:rFonts w:ascii="宋体" w:hAnsi="宋体"/>
          <w:color w:val="auto"/>
          <w:szCs w:val="21"/>
          <w:highlight w:val="none"/>
        </w:rPr>
      </w:pPr>
      <w:r>
        <w:rPr>
          <w:rFonts w:ascii="宋体" w:hAnsi="宋体"/>
          <w:color w:val="auto"/>
          <w:szCs w:val="21"/>
          <w:highlight w:val="none"/>
        </w:rPr>
        <w:t>7.如我方获得中标，承诺按照招标文件规定的金额、时间和方式支付采购代理服务费。因我方违约致使采购代理机构采取诉讼或仲裁等方式实现债权，为此支付的律师费、诉讼费、执行费、公证费、认证费、鉴定费、保全费、担保费、差旅费等为实现债权的一切费用由我方承担。</w:t>
      </w:r>
    </w:p>
    <w:p>
      <w:pPr>
        <w:snapToGrid w:val="0"/>
        <w:spacing w:line="360" w:lineRule="auto"/>
        <w:ind w:left="-23" w:leftChars="-11" w:right="-214" w:rightChars="-102" w:firstLine="447" w:firstLineChars="213"/>
        <w:jc w:val="left"/>
        <w:rPr>
          <w:rFonts w:ascii="宋体" w:hAnsi="宋体"/>
          <w:color w:val="auto"/>
          <w:szCs w:val="21"/>
          <w:highlight w:val="none"/>
        </w:rPr>
      </w:pPr>
      <w:r>
        <w:rPr>
          <w:rFonts w:ascii="宋体" w:hAnsi="宋体"/>
          <w:color w:val="auto"/>
          <w:szCs w:val="21"/>
          <w:highlight w:val="none"/>
        </w:rPr>
        <w:t>8.所有有关本次投标的函电请寄：</w:t>
      </w:r>
    </w:p>
    <w:p>
      <w:pPr>
        <w:snapToGrid w:val="0"/>
        <w:spacing w:line="360" w:lineRule="auto"/>
        <w:rPr>
          <w:rFonts w:ascii="宋体" w:hAnsi="宋体"/>
          <w:color w:val="auto"/>
          <w:szCs w:val="21"/>
          <w:highlight w:val="none"/>
        </w:rPr>
      </w:pPr>
      <w:r>
        <w:rPr>
          <w:rFonts w:ascii="宋体" w:hAnsi="宋体"/>
          <w:color w:val="auto"/>
          <w:szCs w:val="21"/>
          <w:highlight w:val="none"/>
        </w:rPr>
        <w:t>电话：</w:t>
      </w:r>
      <w:r>
        <w:rPr>
          <w:rFonts w:ascii="宋体" w:hAnsi="宋体"/>
          <w:color w:val="auto"/>
          <w:szCs w:val="21"/>
          <w:highlight w:val="none"/>
          <w:u w:val="single"/>
        </w:rPr>
        <w:t xml:space="preserve">           </w:t>
      </w:r>
      <w:r>
        <w:rPr>
          <w:rFonts w:ascii="宋体" w:hAnsi="宋体"/>
          <w:color w:val="auto"/>
          <w:szCs w:val="21"/>
          <w:highlight w:val="none"/>
        </w:rPr>
        <w:t xml:space="preserve">   电子邮箱：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ascii="宋体" w:hAnsi="宋体"/>
          <w:color w:val="auto"/>
          <w:szCs w:val="21"/>
          <w:highlight w:val="none"/>
        </w:rPr>
        <w:t>地址：</w:t>
      </w:r>
      <w:r>
        <w:rPr>
          <w:rFonts w:ascii="宋体" w:hAnsi="宋体"/>
          <w:color w:val="auto"/>
          <w:szCs w:val="21"/>
          <w:highlight w:val="none"/>
          <w:u w:val="single"/>
        </w:rPr>
        <w:t xml:space="preserve">           </w:t>
      </w:r>
      <w:r>
        <w:rPr>
          <w:rFonts w:ascii="宋体" w:hAnsi="宋体"/>
          <w:color w:val="auto"/>
          <w:szCs w:val="21"/>
          <w:highlight w:val="none"/>
        </w:rPr>
        <w:t xml:space="preserve">   邮编：</w:t>
      </w:r>
      <w:r>
        <w:rPr>
          <w:rFonts w:ascii="宋体" w:hAnsi="宋体"/>
          <w:color w:val="auto"/>
          <w:szCs w:val="21"/>
          <w:highlight w:val="none"/>
          <w:u w:val="single"/>
        </w:rPr>
        <w:t xml:space="preserve">           </w:t>
      </w:r>
    </w:p>
    <w:p>
      <w:pPr>
        <w:snapToGrid w:val="0"/>
        <w:spacing w:line="360" w:lineRule="auto"/>
        <w:ind w:right="-214" w:rightChars="-102"/>
        <w:jc w:val="left"/>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ind w:firstLine="4252" w:firstLineChars="2025"/>
        <w:rPr>
          <w:rFonts w:ascii="宋体" w:hAnsi="宋体"/>
          <w:color w:val="auto"/>
          <w:szCs w:val="21"/>
          <w:highlight w:val="none"/>
          <w:u w:val="single"/>
        </w:rPr>
      </w:pPr>
      <w:r>
        <w:rPr>
          <w:rFonts w:ascii="宋体" w:hAnsi="宋体"/>
          <w:color w:val="auto"/>
          <w:szCs w:val="21"/>
          <w:highlight w:val="none"/>
        </w:rPr>
        <w:t>投标人：</w:t>
      </w:r>
      <w:r>
        <w:rPr>
          <w:rFonts w:ascii="宋体" w:hAnsi="宋体"/>
          <w:color w:val="auto"/>
          <w:szCs w:val="21"/>
          <w:highlight w:val="none"/>
          <w:u w:val="single"/>
        </w:rPr>
        <w:t xml:space="preserve">   （填写全称并加盖公章) </w:t>
      </w:r>
    </w:p>
    <w:p>
      <w:pPr>
        <w:snapToGrid w:val="0"/>
        <w:spacing w:line="360" w:lineRule="auto"/>
        <w:ind w:firstLine="4252" w:firstLineChars="2025"/>
        <w:rPr>
          <w:rFonts w:ascii="宋体" w:hAnsi="宋体"/>
          <w:color w:val="auto"/>
          <w:szCs w:val="21"/>
          <w:highlight w:val="none"/>
        </w:rPr>
      </w:pPr>
      <w:r>
        <w:rPr>
          <w:rFonts w:ascii="宋体" w:hAnsi="宋体"/>
          <w:color w:val="auto"/>
          <w:szCs w:val="21"/>
          <w:highlight w:val="none"/>
        </w:rPr>
        <w:t>日  期：</w:t>
      </w:r>
    </w:p>
    <w:p>
      <w:pPr>
        <w:pStyle w:val="20"/>
        <w:spacing w:after="0" w:line="360" w:lineRule="auto"/>
        <w:ind w:left="0" w:leftChars="0"/>
        <w:jc w:val="center"/>
        <w:rPr>
          <w:rFonts w:ascii="宋体" w:hAnsi="宋体"/>
          <w:b/>
          <w:color w:val="auto"/>
          <w:sz w:val="21"/>
          <w:szCs w:val="21"/>
          <w:highlight w:val="none"/>
        </w:rPr>
      </w:pPr>
      <w:r>
        <w:rPr>
          <w:rFonts w:ascii="宋体" w:hAnsi="宋体"/>
          <w:b/>
          <w:color w:val="auto"/>
          <w:sz w:val="21"/>
          <w:szCs w:val="21"/>
          <w:highlight w:val="none"/>
        </w:rPr>
        <w:br w:type="page"/>
      </w:r>
      <w:r>
        <w:rPr>
          <w:rFonts w:ascii="宋体" w:hAnsi="宋体"/>
          <w:b/>
          <w:color w:val="auto"/>
          <w:sz w:val="21"/>
          <w:szCs w:val="21"/>
          <w:highlight w:val="none"/>
        </w:rPr>
        <w:t>（2）授权委托书</w:t>
      </w:r>
    </w:p>
    <w:p>
      <w:pPr>
        <w:pStyle w:val="20"/>
        <w:spacing w:line="360" w:lineRule="auto"/>
        <w:ind w:left="0" w:leftChars="0"/>
        <w:jc w:val="center"/>
        <w:rPr>
          <w:rFonts w:ascii="宋体" w:hAnsi="宋体"/>
          <w:b/>
          <w:color w:val="auto"/>
          <w:sz w:val="21"/>
          <w:szCs w:val="21"/>
          <w:highlight w:val="none"/>
        </w:rPr>
      </w:pPr>
      <w:r>
        <w:rPr>
          <w:rFonts w:ascii="宋体" w:hAnsi="宋体"/>
          <w:b/>
          <w:color w:val="auto"/>
          <w:sz w:val="21"/>
          <w:szCs w:val="21"/>
          <w:highlight w:val="none"/>
        </w:rPr>
        <w:t>授权委托书（适用于非联合体投标）</w:t>
      </w:r>
    </w:p>
    <w:p>
      <w:pPr>
        <w:snapToGrid w:val="0"/>
        <w:spacing w:line="360" w:lineRule="auto"/>
        <w:rPr>
          <w:rFonts w:ascii="宋体" w:hAnsi="宋体"/>
          <w:color w:val="auto"/>
          <w:szCs w:val="21"/>
          <w:highlight w:val="none"/>
        </w:rPr>
      </w:pPr>
      <w:r>
        <w:rPr>
          <w:rFonts w:ascii="宋体" w:hAnsi="宋体"/>
          <w:color w:val="auto"/>
          <w:szCs w:val="21"/>
          <w:highlight w:val="none"/>
        </w:rPr>
        <w:t>致：</w:t>
      </w:r>
      <w:r>
        <w:rPr>
          <w:rFonts w:ascii="宋体" w:hAnsi="宋体"/>
          <w:color w:val="auto"/>
          <w:szCs w:val="21"/>
          <w:highlight w:val="none"/>
          <w:u w:val="single"/>
        </w:rPr>
        <w:t>宁波市市场监督管理局、宁波名诚招标代理有限公司</w:t>
      </w:r>
    </w:p>
    <w:p>
      <w:pPr>
        <w:snapToGrid w:val="0"/>
        <w:spacing w:line="360" w:lineRule="auto"/>
        <w:ind w:firstLine="424" w:firstLineChars="202"/>
        <w:rPr>
          <w:rFonts w:ascii="宋体" w:hAnsi="宋体"/>
          <w:color w:val="auto"/>
          <w:szCs w:val="21"/>
          <w:highlight w:val="none"/>
        </w:rPr>
      </w:pPr>
      <w:r>
        <w:rPr>
          <w:rFonts w:ascii="宋体" w:hAnsi="宋体"/>
          <w:color w:val="auto"/>
          <w:szCs w:val="21"/>
          <w:highlight w:val="none"/>
        </w:rPr>
        <w:t>我</w:t>
      </w:r>
      <w:r>
        <w:rPr>
          <w:rFonts w:ascii="宋体" w:hAnsi="宋体"/>
          <w:color w:val="auto"/>
          <w:szCs w:val="21"/>
          <w:highlight w:val="none"/>
          <w:u w:val="single"/>
        </w:rPr>
        <w:t xml:space="preserve">    （姓名）     </w:t>
      </w:r>
      <w:r>
        <w:rPr>
          <w:rFonts w:ascii="宋体" w:hAnsi="宋体"/>
          <w:color w:val="auto"/>
          <w:szCs w:val="21"/>
          <w:highlight w:val="none"/>
        </w:rPr>
        <w:t>系</w:t>
      </w:r>
      <w:r>
        <w:rPr>
          <w:rFonts w:ascii="宋体" w:hAnsi="宋体"/>
          <w:color w:val="auto"/>
          <w:szCs w:val="21"/>
          <w:highlight w:val="none"/>
          <w:u w:val="single"/>
        </w:rPr>
        <w:t xml:space="preserve">    （投标人名称）   </w:t>
      </w:r>
      <w:r>
        <w:rPr>
          <w:rFonts w:ascii="宋体" w:hAnsi="宋体"/>
          <w:color w:val="auto"/>
          <w:szCs w:val="21"/>
          <w:highlight w:val="none"/>
        </w:rPr>
        <w:t>的法定代表人，现授权委托</w:t>
      </w:r>
      <w:r>
        <w:rPr>
          <w:rFonts w:ascii="宋体" w:hAnsi="宋体"/>
          <w:color w:val="auto"/>
          <w:szCs w:val="21"/>
          <w:highlight w:val="none"/>
          <w:u w:val="single"/>
        </w:rPr>
        <w:t xml:space="preserve">  （姓名）   </w:t>
      </w:r>
      <w:r>
        <w:rPr>
          <w:rFonts w:ascii="宋体" w:hAnsi="宋体"/>
          <w:color w:val="auto"/>
          <w:szCs w:val="21"/>
          <w:highlight w:val="none"/>
        </w:rPr>
        <w:t>、身份证号：</w:t>
      </w:r>
      <w:r>
        <w:rPr>
          <w:rFonts w:ascii="宋体" w:hAnsi="宋体"/>
          <w:color w:val="auto"/>
          <w:szCs w:val="21"/>
          <w:highlight w:val="none"/>
          <w:u w:val="single"/>
        </w:rPr>
        <w:t xml:space="preserve">                  </w:t>
      </w:r>
      <w:r>
        <w:rPr>
          <w:rFonts w:ascii="宋体" w:hAnsi="宋体"/>
          <w:color w:val="auto"/>
          <w:szCs w:val="21"/>
          <w:highlight w:val="none"/>
        </w:rPr>
        <w:t>以我方的名义参加</w:t>
      </w:r>
      <w:r>
        <w:rPr>
          <w:rFonts w:ascii="宋体" w:hAnsi="宋体"/>
          <w:color w:val="auto"/>
          <w:szCs w:val="21"/>
          <w:highlight w:val="none"/>
          <w:u w:val="single"/>
        </w:rPr>
        <w:t xml:space="preserve">         （项目名称）       </w:t>
      </w:r>
      <w:r>
        <w:rPr>
          <w:rFonts w:ascii="宋体" w:hAnsi="宋体"/>
          <w:color w:val="auto"/>
          <w:kern w:val="0"/>
          <w:szCs w:val="21"/>
          <w:highlight w:val="none"/>
          <w:lang w:val="zh-CN"/>
        </w:rPr>
        <w:t>政府采购</w:t>
      </w:r>
      <w:r>
        <w:rPr>
          <w:rFonts w:hint="eastAsia" w:ascii="宋体" w:hAnsi="宋体"/>
          <w:color w:val="auto"/>
          <w:kern w:val="0"/>
          <w:szCs w:val="21"/>
          <w:highlight w:val="none"/>
          <w:lang w:val="zh-CN"/>
        </w:rPr>
        <w:t>投标</w:t>
      </w:r>
      <w:r>
        <w:rPr>
          <w:rFonts w:ascii="宋体" w:hAnsi="宋体"/>
          <w:color w:val="auto"/>
          <w:kern w:val="0"/>
          <w:szCs w:val="21"/>
          <w:highlight w:val="none"/>
          <w:lang w:val="zh-CN"/>
        </w:rPr>
        <w:t>响应的一切事项，其法律后果由我方承担。</w:t>
      </w:r>
    </w:p>
    <w:p>
      <w:pPr>
        <w:snapToGrid w:val="0"/>
        <w:spacing w:line="360" w:lineRule="auto"/>
        <w:ind w:firstLine="424" w:firstLineChars="202"/>
        <w:rPr>
          <w:rFonts w:ascii="宋体" w:hAnsi="宋体"/>
          <w:color w:val="auto"/>
          <w:szCs w:val="21"/>
          <w:highlight w:val="none"/>
        </w:rPr>
      </w:pPr>
      <w:r>
        <w:rPr>
          <w:rFonts w:ascii="宋体" w:hAnsi="宋体"/>
          <w:color w:val="auto"/>
          <w:szCs w:val="21"/>
          <w:highlight w:val="none"/>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宋体" w:hAnsi="宋体"/>
          <w:color w:val="auto"/>
          <w:szCs w:val="21"/>
          <w:highlight w:val="none"/>
        </w:rPr>
      </w:pPr>
      <w:r>
        <w:rPr>
          <w:rFonts w:ascii="宋体" w:hAnsi="宋体"/>
          <w:color w:val="auto"/>
          <w:szCs w:val="21"/>
          <w:highlight w:val="none"/>
        </w:rPr>
        <w:t>授权代表无转委托权，特此授权。</w:t>
      </w:r>
    </w:p>
    <w:p>
      <w:pPr>
        <w:snapToGrid w:val="0"/>
        <w:spacing w:line="360" w:lineRule="auto"/>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ascii="宋体" w:hAnsi="宋体"/>
          <w:color w:val="auto"/>
          <w:szCs w:val="21"/>
          <w:highlight w:val="none"/>
        </w:rPr>
        <w:t>授权委托日期：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line="360" w:lineRule="auto"/>
        <w:rPr>
          <w:rFonts w:ascii="宋体" w:hAnsi="宋体"/>
          <w:color w:val="auto"/>
          <w:szCs w:val="21"/>
          <w:highlight w:val="none"/>
        </w:rPr>
      </w:pPr>
    </w:p>
    <w:p>
      <w:pPr>
        <w:pStyle w:val="18"/>
        <w:rPr>
          <w:rFonts w:ascii="宋体" w:hAnsi="宋体"/>
          <w:color w:val="auto"/>
          <w:sz w:val="21"/>
          <w:szCs w:val="21"/>
          <w:highlight w:val="none"/>
        </w:rPr>
      </w:pPr>
    </w:p>
    <w:p>
      <w:pPr>
        <w:pStyle w:val="20"/>
        <w:spacing w:line="360" w:lineRule="auto"/>
        <w:ind w:left="0" w:leftChars="0"/>
        <w:jc w:val="center"/>
        <w:rPr>
          <w:rFonts w:ascii="宋体" w:hAnsi="宋体"/>
          <w:b/>
          <w:color w:val="auto"/>
          <w:sz w:val="21"/>
          <w:szCs w:val="21"/>
          <w:highlight w:val="none"/>
        </w:rPr>
      </w:pPr>
      <w:r>
        <w:rPr>
          <w:rFonts w:ascii="宋体" w:hAnsi="宋体"/>
          <w:b/>
          <w:color w:val="auto"/>
          <w:sz w:val="21"/>
          <w:szCs w:val="21"/>
          <w:highlight w:val="none"/>
        </w:rPr>
        <w:t>授权委托书（适用于联合体投标）</w:t>
      </w:r>
    </w:p>
    <w:p>
      <w:pPr>
        <w:snapToGrid w:val="0"/>
        <w:spacing w:line="360" w:lineRule="auto"/>
        <w:rPr>
          <w:rFonts w:ascii="宋体" w:hAnsi="宋体"/>
          <w:color w:val="auto"/>
          <w:szCs w:val="21"/>
          <w:highlight w:val="none"/>
        </w:rPr>
      </w:pPr>
      <w:r>
        <w:rPr>
          <w:rFonts w:ascii="宋体" w:hAnsi="宋体"/>
          <w:color w:val="auto"/>
          <w:szCs w:val="21"/>
          <w:highlight w:val="none"/>
        </w:rPr>
        <w:t>致：</w:t>
      </w:r>
      <w:r>
        <w:rPr>
          <w:rFonts w:ascii="宋体" w:hAnsi="宋体"/>
          <w:color w:val="auto"/>
          <w:szCs w:val="21"/>
          <w:highlight w:val="none"/>
          <w:u w:val="single"/>
        </w:rPr>
        <w:t>宁波市市场监督管理局、宁波名诚招标代理有限公司</w:t>
      </w:r>
    </w:p>
    <w:p>
      <w:pPr>
        <w:snapToGrid w:val="0"/>
        <w:spacing w:line="360" w:lineRule="auto"/>
        <w:ind w:firstLine="576"/>
        <w:rPr>
          <w:rFonts w:ascii="宋体" w:hAnsi="宋体"/>
          <w:color w:val="auto"/>
          <w:kern w:val="0"/>
          <w:szCs w:val="21"/>
          <w:highlight w:val="none"/>
          <w:lang w:val="zh-CN"/>
        </w:rPr>
      </w:pPr>
      <w:r>
        <w:rPr>
          <w:rFonts w:ascii="宋体" w:hAnsi="宋体"/>
          <w:color w:val="auto"/>
          <w:kern w:val="0"/>
          <w:szCs w:val="21"/>
          <w:highlight w:val="none"/>
        </w:rPr>
        <w:t>现</w:t>
      </w:r>
      <w:r>
        <w:rPr>
          <w:rFonts w:ascii="宋体" w:hAnsi="宋体"/>
          <w:color w:val="auto"/>
          <w:kern w:val="0"/>
          <w:szCs w:val="21"/>
          <w:highlight w:val="none"/>
          <w:lang w:val="zh-CN"/>
        </w:rPr>
        <w:t>委托</w:t>
      </w:r>
      <w:r>
        <w:rPr>
          <w:rFonts w:ascii="宋体" w:hAnsi="宋体"/>
          <w:color w:val="auto"/>
          <w:kern w:val="0"/>
          <w:szCs w:val="21"/>
          <w:highlight w:val="none"/>
          <w:u w:val="single"/>
          <w:lang w:val="zh-CN"/>
        </w:rPr>
        <w:t xml:space="preserve">     （姓名）     </w:t>
      </w:r>
      <w:r>
        <w:rPr>
          <w:rFonts w:ascii="宋体" w:hAnsi="宋体"/>
          <w:color w:val="auto"/>
          <w:kern w:val="0"/>
          <w:szCs w:val="21"/>
          <w:highlight w:val="none"/>
          <w:lang w:val="zh-CN"/>
        </w:rPr>
        <w:t>为我方代理人（身份证号码：</w:t>
      </w:r>
      <w:r>
        <w:rPr>
          <w:rFonts w:ascii="宋体" w:hAnsi="宋体"/>
          <w:color w:val="auto"/>
          <w:kern w:val="0"/>
          <w:szCs w:val="21"/>
          <w:highlight w:val="none"/>
          <w:u w:val="single"/>
          <w:lang w:val="zh-CN"/>
        </w:rPr>
        <w:t xml:space="preserve">                  </w:t>
      </w:r>
      <w:r>
        <w:rPr>
          <w:rFonts w:ascii="宋体" w:hAnsi="宋体"/>
          <w:color w:val="auto"/>
          <w:kern w:val="0"/>
          <w:szCs w:val="21"/>
          <w:highlight w:val="none"/>
          <w:lang w:val="zh-CN"/>
        </w:rPr>
        <w:t>），以我方名义处理</w:t>
      </w:r>
      <w:r>
        <w:rPr>
          <w:rFonts w:ascii="宋体" w:hAnsi="宋体"/>
          <w:color w:val="auto"/>
          <w:szCs w:val="21"/>
          <w:highlight w:val="none"/>
          <w:u w:val="single"/>
        </w:rPr>
        <w:t xml:space="preserve">       （项目名称）    </w:t>
      </w:r>
      <w:r>
        <w:rPr>
          <w:rFonts w:ascii="宋体" w:hAnsi="宋体"/>
          <w:color w:val="auto"/>
          <w:kern w:val="0"/>
          <w:szCs w:val="21"/>
          <w:highlight w:val="none"/>
          <w:lang w:val="zh-CN"/>
        </w:rPr>
        <w:t>政府采购磋商响应的一切事项，其法律后果由我方承担。</w:t>
      </w:r>
    </w:p>
    <w:p>
      <w:pPr>
        <w:snapToGrid w:val="0"/>
        <w:spacing w:line="360" w:lineRule="auto"/>
        <w:ind w:firstLine="424" w:firstLineChars="202"/>
        <w:rPr>
          <w:rFonts w:ascii="宋体" w:hAnsi="宋体"/>
          <w:color w:val="auto"/>
          <w:szCs w:val="21"/>
          <w:highlight w:val="none"/>
        </w:rPr>
      </w:pPr>
      <w:r>
        <w:rPr>
          <w:rFonts w:ascii="宋体" w:hAnsi="宋体"/>
          <w:color w:val="auto"/>
          <w:szCs w:val="21"/>
          <w:highlight w:val="none"/>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宋体" w:hAnsi="宋体"/>
          <w:color w:val="auto"/>
          <w:szCs w:val="21"/>
          <w:highlight w:val="none"/>
        </w:rPr>
      </w:pPr>
      <w:r>
        <w:rPr>
          <w:rFonts w:ascii="宋体" w:hAnsi="宋体"/>
          <w:color w:val="auto"/>
          <w:szCs w:val="21"/>
          <w:highlight w:val="none"/>
        </w:rPr>
        <w:t>授权代表无转委托权，特此授权。</w:t>
      </w:r>
    </w:p>
    <w:p>
      <w:pPr>
        <w:snapToGrid w:val="0"/>
        <w:spacing w:line="360" w:lineRule="auto"/>
        <w:ind w:firstLine="576"/>
        <w:rPr>
          <w:rFonts w:ascii="宋体" w:hAnsi="宋体"/>
          <w:color w:val="auto"/>
          <w:kern w:val="0"/>
          <w:szCs w:val="21"/>
          <w:highlight w:val="none"/>
          <w:lang w:val="zh-CN"/>
        </w:rPr>
      </w:pPr>
    </w:p>
    <w:p>
      <w:pPr>
        <w:jc w:val="center"/>
        <w:rPr>
          <w:rFonts w:ascii="宋体" w:hAnsi="宋体"/>
          <w:b/>
          <w:color w:val="auto"/>
          <w:kern w:val="0"/>
          <w:szCs w:val="21"/>
          <w:highlight w:val="none"/>
        </w:rPr>
      </w:pPr>
    </w:p>
    <w:p>
      <w:pPr>
        <w:rPr>
          <w:rFonts w:ascii="宋体" w:hAnsi="宋体"/>
          <w:color w:val="auto"/>
          <w:szCs w:val="21"/>
          <w:highlight w:val="none"/>
        </w:rPr>
      </w:pPr>
    </w:p>
    <w:p>
      <w:pPr>
        <w:snapToGrid w:val="0"/>
        <w:spacing w:after="240" w:afterLines="100" w:line="360" w:lineRule="auto"/>
        <w:ind w:firstLine="4109" w:firstLineChars="1957"/>
        <w:rPr>
          <w:rFonts w:ascii="宋体" w:hAnsi="宋体"/>
          <w:color w:val="auto"/>
          <w:kern w:val="0"/>
          <w:szCs w:val="21"/>
          <w:highlight w:val="none"/>
          <w:lang w:val="zh-CN"/>
        </w:rPr>
      </w:pPr>
      <w:r>
        <w:rPr>
          <w:rFonts w:ascii="宋体" w:hAnsi="宋体"/>
          <w:color w:val="auto"/>
          <w:kern w:val="0"/>
          <w:szCs w:val="21"/>
          <w:highlight w:val="none"/>
          <w:lang w:val="zh-CN"/>
        </w:rPr>
        <w:t>联合体成员名称：</w:t>
      </w:r>
      <w:r>
        <w:rPr>
          <w:rFonts w:ascii="宋体" w:hAnsi="宋体"/>
          <w:color w:val="auto"/>
          <w:szCs w:val="21"/>
          <w:highlight w:val="none"/>
          <w:u w:val="single"/>
        </w:rPr>
        <w:t xml:space="preserve">  （填写全称并加盖公章）  </w:t>
      </w:r>
    </w:p>
    <w:p>
      <w:pPr>
        <w:snapToGrid w:val="0"/>
        <w:spacing w:after="240" w:afterLines="100" w:line="360" w:lineRule="auto"/>
        <w:ind w:firstLine="4109" w:firstLineChars="1957"/>
        <w:rPr>
          <w:rFonts w:ascii="宋体" w:hAnsi="宋体"/>
          <w:color w:val="auto"/>
          <w:kern w:val="0"/>
          <w:szCs w:val="21"/>
          <w:highlight w:val="none"/>
          <w:lang w:val="zh-CN"/>
        </w:rPr>
      </w:pPr>
      <w:r>
        <w:rPr>
          <w:rFonts w:ascii="宋体" w:hAnsi="宋体"/>
          <w:color w:val="auto"/>
          <w:kern w:val="0"/>
          <w:szCs w:val="21"/>
          <w:highlight w:val="none"/>
          <w:lang w:val="zh-CN"/>
        </w:rPr>
        <w:t>联合体成员名称：</w:t>
      </w:r>
      <w:r>
        <w:rPr>
          <w:rFonts w:ascii="宋体" w:hAnsi="宋体"/>
          <w:color w:val="auto"/>
          <w:szCs w:val="21"/>
          <w:highlight w:val="none"/>
          <w:u w:val="single"/>
        </w:rPr>
        <w:t xml:space="preserve">  （填写全称并加盖公章）   </w:t>
      </w:r>
    </w:p>
    <w:p>
      <w:pPr>
        <w:snapToGrid w:val="0"/>
        <w:spacing w:after="240" w:afterLines="100" w:line="360" w:lineRule="auto"/>
        <w:ind w:firstLine="4109" w:firstLineChars="1957"/>
        <w:rPr>
          <w:rFonts w:ascii="宋体" w:hAnsi="宋体"/>
          <w:color w:val="auto"/>
          <w:kern w:val="0"/>
          <w:szCs w:val="21"/>
          <w:highlight w:val="none"/>
          <w:lang w:val="zh-CN"/>
        </w:rPr>
      </w:pPr>
      <w:r>
        <w:rPr>
          <w:rFonts w:ascii="宋体" w:hAnsi="宋体"/>
          <w:color w:val="auto"/>
          <w:szCs w:val="21"/>
          <w:highlight w:val="none"/>
        </w:rPr>
        <w:t>授权委托日期</w:t>
      </w:r>
      <w:r>
        <w:rPr>
          <w:rFonts w:ascii="宋体" w:hAnsi="宋体"/>
          <w:color w:val="auto"/>
          <w:kern w:val="0"/>
          <w:szCs w:val="21"/>
          <w:highlight w:val="none"/>
          <w:lang w:val="zh-CN"/>
        </w:rPr>
        <w:t>：</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napToGrid w:val="0"/>
        <w:spacing w:line="360" w:lineRule="auto"/>
        <w:ind w:firstLine="576"/>
        <w:rPr>
          <w:rFonts w:ascii="宋体" w:hAnsi="宋体"/>
          <w:color w:val="auto"/>
          <w:kern w:val="0"/>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注：本项目只允许有唯一的投标人授权代表，后附投标人的法定代表人和授权代表身份证正反面复印件，其中，联合体投标的提供联合体牵头人的法定代表人身份证和授权代表身份证正反面复印件。</w:t>
      </w:r>
    </w:p>
    <w:p>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pPr>
        <w:pStyle w:val="20"/>
        <w:spacing w:line="360" w:lineRule="auto"/>
        <w:ind w:left="0" w:leftChars="0"/>
        <w:jc w:val="center"/>
        <w:rPr>
          <w:rFonts w:ascii="宋体" w:hAnsi="宋体"/>
          <w:color w:val="auto"/>
          <w:sz w:val="21"/>
          <w:szCs w:val="21"/>
          <w:highlight w:val="none"/>
        </w:rPr>
      </w:pPr>
      <w:r>
        <w:rPr>
          <w:rFonts w:ascii="宋体" w:hAnsi="宋体"/>
          <w:b/>
          <w:color w:val="auto"/>
          <w:sz w:val="21"/>
          <w:szCs w:val="21"/>
          <w:highlight w:val="none"/>
        </w:rPr>
        <w:t>（3）评委打分索引表</w:t>
      </w:r>
    </w:p>
    <w:tbl>
      <w:tblPr>
        <w:tblStyle w:val="4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440"/>
        <w:gridCol w:w="200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序号</w:t>
            </w:r>
          </w:p>
        </w:tc>
        <w:tc>
          <w:tcPr>
            <w:tcW w:w="3440"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评审因素</w:t>
            </w:r>
          </w:p>
        </w:tc>
        <w:tc>
          <w:tcPr>
            <w:tcW w:w="2003"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文件或证明材料所在页码区间</w:t>
            </w:r>
          </w:p>
        </w:tc>
        <w:tc>
          <w:tcPr>
            <w:tcW w:w="2835"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自评得分（由评委进行主观评审的不用填写自评得分）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1</w:t>
            </w:r>
          </w:p>
        </w:tc>
        <w:tc>
          <w:tcPr>
            <w:tcW w:w="3440" w:type="dxa"/>
            <w:vAlign w:val="center"/>
          </w:tcPr>
          <w:p>
            <w:pPr>
              <w:spacing w:line="300" w:lineRule="exact"/>
              <w:jc w:val="center"/>
              <w:rPr>
                <w:rFonts w:ascii="宋体" w:hAnsi="宋体"/>
                <w:color w:val="auto"/>
                <w:szCs w:val="21"/>
                <w:highlight w:val="none"/>
              </w:rPr>
            </w:pPr>
          </w:p>
        </w:tc>
        <w:tc>
          <w:tcPr>
            <w:tcW w:w="2003"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2</w:t>
            </w:r>
          </w:p>
        </w:tc>
        <w:tc>
          <w:tcPr>
            <w:tcW w:w="3440" w:type="dxa"/>
            <w:vAlign w:val="center"/>
          </w:tcPr>
          <w:p>
            <w:pPr>
              <w:spacing w:line="300" w:lineRule="exact"/>
              <w:jc w:val="center"/>
              <w:rPr>
                <w:rFonts w:ascii="宋体" w:hAnsi="宋体"/>
                <w:color w:val="auto"/>
                <w:szCs w:val="21"/>
                <w:highlight w:val="none"/>
              </w:rPr>
            </w:pPr>
          </w:p>
        </w:tc>
        <w:tc>
          <w:tcPr>
            <w:tcW w:w="2003"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3</w:t>
            </w:r>
          </w:p>
        </w:tc>
        <w:tc>
          <w:tcPr>
            <w:tcW w:w="3440" w:type="dxa"/>
            <w:vAlign w:val="center"/>
          </w:tcPr>
          <w:p>
            <w:pPr>
              <w:spacing w:line="300" w:lineRule="exact"/>
              <w:jc w:val="center"/>
              <w:rPr>
                <w:rFonts w:ascii="宋体" w:hAnsi="宋体"/>
                <w:color w:val="auto"/>
                <w:szCs w:val="21"/>
                <w:highlight w:val="none"/>
              </w:rPr>
            </w:pPr>
          </w:p>
        </w:tc>
        <w:tc>
          <w:tcPr>
            <w:tcW w:w="2003"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4</w:t>
            </w:r>
          </w:p>
        </w:tc>
        <w:tc>
          <w:tcPr>
            <w:tcW w:w="3440" w:type="dxa"/>
            <w:vAlign w:val="center"/>
          </w:tcPr>
          <w:p>
            <w:pPr>
              <w:spacing w:line="300" w:lineRule="exact"/>
              <w:jc w:val="center"/>
              <w:rPr>
                <w:rFonts w:ascii="宋体" w:hAnsi="宋体"/>
                <w:color w:val="auto"/>
                <w:szCs w:val="21"/>
                <w:highlight w:val="none"/>
              </w:rPr>
            </w:pPr>
          </w:p>
        </w:tc>
        <w:tc>
          <w:tcPr>
            <w:tcW w:w="2003"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5</w:t>
            </w:r>
          </w:p>
        </w:tc>
        <w:tc>
          <w:tcPr>
            <w:tcW w:w="3440" w:type="dxa"/>
            <w:vAlign w:val="center"/>
          </w:tcPr>
          <w:p>
            <w:pPr>
              <w:spacing w:line="300" w:lineRule="exact"/>
              <w:jc w:val="center"/>
              <w:rPr>
                <w:rFonts w:ascii="宋体" w:hAnsi="宋体"/>
                <w:color w:val="auto"/>
                <w:szCs w:val="21"/>
                <w:highlight w:val="none"/>
              </w:rPr>
            </w:pPr>
          </w:p>
        </w:tc>
        <w:tc>
          <w:tcPr>
            <w:tcW w:w="2003"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ascii="宋体" w:hAnsi="宋体"/>
                <w:color w:val="auto"/>
                <w:szCs w:val="21"/>
                <w:highlight w:val="none"/>
              </w:rPr>
              <w:t>...</w:t>
            </w:r>
          </w:p>
        </w:tc>
        <w:tc>
          <w:tcPr>
            <w:tcW w:w="3440" w:type="dxa"/>
            <w:vAlign w:val="center"/>
          </w:tcPr>
          <w:p>
            <w:pPr>
              <w:spacing w:line="300" w:lineRule="exact"/>
              <w:jc w:val="center"/>
              <w:rPr>
                <w:rFonts w:ascii="宋体" w:hAnsi="宋体"/>
                <w:color w:val="auto"/>
                <w:szCs w:val="21"/>
                <w:highlight w:val="none"/>
              </w:rPr>
            </w:pPr>
          </w:p>
        </w:tc>
        <w:tc>
          <w:tcPr>
            <w:tcW w:w="2003"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bl>
    <w:p>
      <w:pPr>
        <w:pStyle w:val="20"/>
        <w:spacing w:before="120" w:beforeLines="50" w:line="360" w:lineRule="auto"/>
        <w:ind w:left="141" w:leftChars="67"/>
        <w:rPr>
          <w:rFonts w:ascii="宋体" w:hAnsi="宋体"/>
          <w:color w:val="auto"/>
          <w:sz w:val="21"/>
          <w:szCs w:val="21"/>
          <w:highlight w:val="none"/>
        </w:rPr>
      </w:pPr>
      <w:r>
        <w:rPr>
          <w:rFonts w:ascii="宋体" w:hAnsi="宋体"/>
          <w:color w:val="auto"/>
          <w:sz w:val="21"/>
          <w:szCs w:val="21"/>
          <w:highlight w:val="none"/>
        </w:rPr>
        <w:t>注：按照评委打分表内容逐项填写，报价部分无需列入。</w:t>
      </w:r>
    </w:p>
    <w:p>
      <w:pPr>
        <w:pStyle w:val="20"/>
        <w:spacing w:line="360" w:lineRule="auto"/>
        <w:rPr>
          <w:rFonts w:ascii="宋体" w:hAnsi="宋体"/>
          <w:b/>
          <w:color w:val="auto"/>
          <w:sz w:val="21"/>
          <w:szCs w:val="21"/>
          <w:highlight w:val="none"/>
        </w:rPr>
      </w:pPr>
    </w:p>
    <w:p>
      <w:pPr>
        <w:snapToGrid w:val="0"/>
        <w:spacing w:before="50" w:after="50" w:line="360" w:lineRule="auto"/>
        <w:ind w:left="-21" w:leftChars="-72" w:right="-817" w:rightChars="-389" w:hanging="130" w:hangingChars="62"/>
        <w:rPr>
          <w:rFonts w:ascii="宋体" w:hAnsi="宋体"/>
          <w:color w:val="auto"/>
          <w:szCs w:val="21"/>
          <w:highlight w:val="none"/>
        </w:rPr>
        <w:sectPr>
          <w:headerReference r:id="rId6" w:type="default"/>
          <w:footerReference r:id="rId7" w:type="default"/>
          <w:footerReference r:id="rId8" w:type="even"/>
          <w:pgSz w:w="11906" w:h="16838"/>
          <w:pgMar w:top="1276" w:right="1416" w:bottom="1276" w:left="1610" w:header="851" w:footer="851" w:gutter="0"/>
          <w:cols w:space="720" w:num="1"/>
          <w:docGrid w:linePitch="312" w:charSpace="0"/>
        </w:sectPr>
      </w:pPr>
    </w:p>
    <w:p>
      <w:pPr>
        <w:snapToGrid w:val="0"/>
        <w:spacing w:before="50" w:after="50" w:line="360" w:lineRule="auto"/>
        <w:ind w:left="-20" w:leftChars="-72" w:right="-817" w:rightChars="-389" w:hanging="131" w:hangingChars="62"/>
        <w:jc w:val="center"/>
        <w:rPr>
          <w:rFonts w:ascii="宋体" w:hAnsi="宋体"/>
          <w:color w:val="auto"/>
          <w:szCs w:val="21"/>
          <w:highlight w:val="none"/>
        </w:rPr>
      </w:pPr>
      <w:r>
        <w:rPr>
          <w:rFonts w:ascii="宋体" w:hAnsi="宋体"/>
          <w:b/>
          <w:color w:val="auto"/>
          <w:szCs w:val="21"/>
          <w:highlight w:val="none"/>
        </w:rPr>
        <w:t>（4）服务要求响应表</w:t>
      </w:r>
    </w:p>
    <w:tbl>
      <w:tblPr>
        <w:tblStyle w:val="43"/>
        <w:tblW w:w="83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60"/>
        <w:gridCol w:w="3147"/>
        <w:gridCol w:w="1560"/>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kern w:val="1"/>
                <w:szCs w:val="21"/>
                <w:highlight w:val="none"/>
              </w:rPr>
              <w:t>项目</w:t>
            </w:r>
          </w:p>
        </w:tc>
        <w:tc>
          <w:tcPr>
            <w:tcW w:w="3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招标文件的服务要求</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投标响应</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1</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14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14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3</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14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4</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1"/>
                <w:szCs w:val="21"/>
                <w:highlight w:val="none"/>
              </w:rPr>
            </w:pPr>
          </w:p>
        </w:tc>
        <w:tc>
          <w:tcPr>
            <w:tcW w:w="314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5</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14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w:t>
            </w:r>
          </w:p>
        </w:tc>
        <w:tc>
          <w:tcPr>
            <w:tcW w:w="1560"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p>
        </w:tc>
        <w:tc>
          <w:tcPr>
            <w:tcW w:w="3147" w:type="dxa"/>
            <w:tcBorders>
              <w:top w:val="single" w:color="auto" w:sz="4" w:space="0"/>
              <w:left w:val="single" w:color="auto" w:sz="4" w:space="0"/>
              <w:right w:val="single" w:color="auto" w:sz="4" w:space="0"/>
            </w:tcBorders>
            <w:vAlign w:val="center"/>
          </w:tcPr>
          <w:p>
            <w:pPr>
              <w:jc w:val="left"/>
              <w:rPr>
                <w:rFonts w:ascii="宋体" w:hAnsi="宋体"/>
                <w:color w:val="auto"/>
                <w:kern w:val="0"/>
                <w:szCs w:val="21"/>
                <w:highlight w:val="none"/>
              </w:rPr>
            </w:pPr>
          </w:p>
        </w:tc>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widowControl/>
              <w:jc w:val="center"/>
              <w:rPr>
                <w:rFonts w:ascii="宋体" w:hAnsi="宋体"/>
                <w:color w:val="auto"/>
                <w:szCs w:val="21"/>
                <w:highlight w:val="none"/>
              </w:rPr>
            </w:pPr>
          </w:p>
        </w:tc>
      </w:tr>
    </w:tbl>
    <w:p>
      <w:pPr>
        <w:snapToGrid w:val="0"/>
        <w:spacing w:line="360" w:lineRule="auto"/>
        <w:ind w:left="-23" w:leftChars="-11" w:right="-57" w:rightChars="-27" w:firstLine="21" w:firstLineChars="10"/>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left="-23" w:leftChars="-11" w:right="-57" w:rightChars="-27" w:firstLine="21" w:firstLineChars="10"/>
        <w:rPr>
          <w:rFonts w:ascii="宋体" w:hAnsi="宋体"/>
          <w:color w:val="auto"/>
          <w:szCs w:val="21"/>
          <w:highlight w:val="none"/>
        </w:rPr>
      </w:pPr>
      <w:r>
        <w:rPr>
          <w:rFonts w:hint="eastAsia" w:ascii="宋体" w:hAnsi="宋体"/>
          <w:color w:val="auto"/>
          <w:szCs w:val="21"/>
          <w:highlight w:val="none"/>
        </w:rPr>
        <w:t>1.投标人保证：除本表列出的偏离外，响应招标文件《第二章  采购需求》列明的除商务要求以外的所有条款。</w:t>
      </w:r>
    </w:p>
    <w:p>
      <w:pPr>
        <w:snapToGrid w:val="0"/>
        <w:spacing w:line="360" w:lineRule="auto"/>
        <w:ind w:left="-23" w:leftChars="-11" w:right="-57" w:rightChars="-27" w:firstLine="21" w:firstLineChars="1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投标人必须与招标文件《第二章  采购需求》的相关条款逐项比较，如有偏离的，须在本表中列明，并填写偏离情况说明。如投标人未在本表中列出偏离项并填写偏离情况说明，即使其在投标文件的其他部分说明与招标文件要求有所不同或回避不答，亦视为响应招标文件《第二章  采购需求》所提出的相关条款要求并签署合同。若中标供应商以上述事项为借口而不履行合同签订手续及履行合同，则按照相关法律法规的规定处理，响应情况由评标委员会认定。</w:t>
      </w:r>
    </w:p>
    <w:p>
      <w:pPr>
        <w:snapToGrid w:val="0"/>
        <w:spacing w:line="360" w:lineRule="auto"/>
        <w:ind w:left="-23" w:leftChars="-11" w:right="-57" w:rightChars="-27" w:firstLine="21" w:firstLineChars="1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.投标人无论对《第二章  采购需求》得相关条款有无偏离（不响应或优于）都应当将本表盖章后作为投标文件的一部分提交，未在投标文件中提供本表的按照无效投标处理。</w:t>
      </w:r>
    </w:p>
    <w:p>
      <w:pPr>
        <w:snapToGrid w:val="0"/>
        <w:spacing w:line="360" w:lineRule="auto"/>
        <w:ind w:firstLine="3685" w:firstLineChars="1755"/>
        <w:rPr>
          <w:rFonts w:ascii="宋体" w:hAnsi="宋体"/>
          <w:color w:val="auto"/>
          <w:szCs w:val="21"/>
          <w:highlight w:val="none"/>
        </w:rPr>
      </w:pPr>
    </w:p>
    <w:p>
      <w:pPr>
        <w:snapToGrid w:val="0"/>
        <w:spacing w:line="360" w:lineRule="auto"/>
        <w:ind w:firstLine="4252" w:firstLineChars="2025"/>
        <w:rPr>
          <w:rFonts w:ascii="宋体" w:hAnsi="宋体"/>
          <w:color w:val="auto"/>
          <w:szCs w:val="21"/>
          <w:highlight w:val="none"/>
        </w:rPr>
      </w:pPr>
    </w:p>
    <w:p>
      <w:pPr>
        <w:snapToGrid w:val="0"/>
        <w:spacing w:line="360" w:lineRule="auto"/>
        <w:ind w:firstLine="4252" w:firstLineChars="2025"/>
        <w:rPr>
          <w:rFonts w:ascii="宋体" w:hAnsi="宋体"/>
          <w:color w:val="auto"/>
          <w:szCs w:val="21"/>
          <w:highlight w:val="none"/>
        </w:rPr>
      </w:pPr>
    </w:p>
    <w:p>
      <w:pPr>
        <w:snapToGrid w:val="0"/>
        <w:spacing w:line="360" w:lineRule="auto"/>
        <w:ind w:firstLine="4252" w:firstLineChars="2025"/>
        <w:rPr>
          <w:rFonts w:ascii="宋体" w:hAnsi="宋体"/>
          <w:color w:val="auto"/>
          <w:szCs w:val="21"/>
          <w:highlight w:val="none"/>
          <w:u w:val="single"/>
        </w:rPr>
      </w:pPr>
      <w:r>
        <w:rPr>
          <w:rFonts w:ascii="宋体" w:hAnsi="宋体"/>
          <w:color w:val="auto"/>
          <w:szCs w:val="21"/>
          <w:highlight w:val="none"/>
        </w:rPr>
        <w:t>投标人：</w:t>
      </w:r>
      <w:r>
        <w:rPr>
          <w:rFonts w:ascii="宋体" w:hAnsi="宋体"/>
          <w:color w:val="auto"/>
          <w:szCs w:val="21"/>
          <w:highlight w:val="none"/>
          <w:u w:val="single"/>
        </w:rPr>
        <w:t xml:space="preserve">   （填写全称并加盖公章) </w:t>
      </w:r>
    </w:p>
    <w:p>
      <w:pPr>
        <w:snapToGrid w:val="0"/>
        <w:spacing w:line="360" w:lineRule="auto"/>
        <w:ind w:firstLine="4252" w:firstLineChars="2025"/>
        <w:rPr>
          <w:rFonts w:ascii="宋体" w:hAnsi="宋体"/>
          <w:color w:val="auto"/>
          <w:szCs w:val="21"/>
          <w:highlight w:val="none"/>
        </w:rPr>
      </w:pPr>
      <w:r>
        <w:rPr>
          <w:rFonts w:ascii="宋体" w:hAnsi="宋体"/>
          <w:color w:val="auto"/>
          <w:szCs w:val="21"/>
          <w:highlight w:val="none"/>
        </w:rPr>
        <w:t>日  期：</w:t>
      </w:r>
    </w:p>
    <w:p>
      <w:pPr>
        <w:pStyle w:val="18"/>
        <w:rPr>
          <w:rFonts w:ascii="宋体" w:hAnsi="宋体"/>
          <w:color w:val="auto"/>
          <w:sz w:val="21"/>
          <w:szCs w:val="21"/>
          <w:highlight w:val="none"/>
        </w:rPr>
      </w:pPr>
    </w:p>
    <w:p>
      <w:pPr>
        <w:widowControl/>
        <w:jc w:val="left"/>
        <w:rPr>
          <w:rFonts w:ascii="宋体" w:hAnsi="宋体"/>
          <w:b/>
          <w:color w:val="auto"/>
          <w:kern w:val="0"/>
          <w:szCs w:val="21"/>
          <w:highlight w:val="none"/>
        </w:rPr>
      </w:pPr>
      <w:r>
        <w:rPr>
          <w:rFonts w:ascii="宋体" w:hAnsi="宋体"/>
          <w:b/>
          <w:color w:val="auto"/>
          <w:szCs w:val="21"/>
          <w:highlight w:val="none"/>
        </w:rPr>
        <w:br w:type="page"/>
      </w:r>
    </w:p>
    <w:p>
      <w:pPr>
        <w:snapToGrid w:val="0"/>
        <w:spacing w:before="50" w:after="50" w:line="360" w:lineRule="auto"/>
        <w:ind w:left="-21" w:leftChars="-10" w:right="-817" w:rightChars="-389" w:firstLine="19" w:firstLineChars="9"/>
        <w:jc w:val="center"/>
        <w:rPr>
          <w:rFonts w:ascii="宋体" w:hAnsi="宋体"/>
          <w:b/>
          <w:color w:val="auto"/>
          <w:szCs w:val="21"/>
          <w:highlight w:val="none"/>
        </w:rPr>
      </w:pPr>
      <w:r>
        <w:rPr>
          <w:rFonts w:ascii="宋体" w:hAnsi="宋体"/>
          <w:b/>
          <w:color w:val="auto"/>
          <w:szCs w:val="21"/>
          <w:highlight w:val="none"/>
        </w:rPr>
        <w:t>（5）商务要求响应表</w:t>
      </w:r>
    </w:p>
    <w:tbl>
      <w:tblPr>
        <w:tblStyle w:val="43"/>
        <w:tblW w:w="83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3998"/>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kern w:val="1"/>
                <w:szCs w:val="21"/>
                <w:highlight w:val="none"/>
              </w:rPr>
              <w:t>项目</w:t>
            </w:r>
          </w:p>
        </w:tc>
        <w:tc>
          <w:tcPr>
            <w:tcW w:w="39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招标文件的商务要求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投标响应</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9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9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3</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9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4</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9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5</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9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9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p>
        </w:tc>
      </w:tr>
    </w:tbl>
    <w:p>
      <w:pPr>
        <w:snapToGrid w:val="0"/>
        <w:spacing w:line="360" w:lineRule="auto"/>
        <w:ind w:left="-23" w:leftChars="-11" w:right="-57" w:rightChars="-27" w:firstLine="21" w:firstLineChars="10"/>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left="-23" w:leftChars="-11" w:right="-57" w:rightChars="-27" w:firstLine="21" w:firstLineChars="10"/>
        <w:rPr>
          <w:rFonts w:ascii="宋体" w:hAnsi="宋体"/>
          <w:color w:val="auto"/>
          <w:szCs w:val="21"/>
          <w:highlight w:val="none"/>
        </w:rPr>
      </w:pPr>
      <w:r>
        <w:rPr>
          <w:rFonts w:hint="eastAsia" w:ascii="宋体" w:hAnsi="宋体"/>
          <w:color w:val="auto"/>
          <w:szCs w:val="21"/>
          <w:highlight w:val="none"/>
        </w:rPr>
        <w:t>1.投标人保证：除本表列出的偏离外，响应招标文件《第二章  采购需求》列明的所有商务要求条款。</w:t>
      </w:r>
    </w:p>
    <w:p>
      <w:pPr>
        <w:snapToGrid w:val="0"/>
        <w:spacing w:line="360" w:lineRule="auto"/>
        <w:ind w:left="-23" w:leftChars="-11" w:right="-57" w:rightChars="-27" w:firstLine="21" w:firstLineChars="1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投标人必须与招标文件《第二章  采购需求》的所有商务要求条款逐项比较，如有偏离的，须在本表中列明，并填写偏离情况说明。如投标人未在本表中列出偏离项并填写偏离情况说明，即使其在投标文件的其他部分说明与招标文件要求有所不同或回避不答，亦视为响应招标文件《第二章  采购需求》所提出的商务要求条款要求并签署合同。若中标供应商以上述事项为借口而不履行合同签订手续及履行合同，则按照相关法律法规的规定处理，响应情况由评标委员会认定。</w:t>
      </w:r>
    </w:p>
    <w:p>
      <w:pPr>
        <w:snapToGrid w:val="0"/>
        <w:spacing w:line="360" w:lineRule="auto"/>
        <w:ind w:left="-23" w:leftChars="-11" w:right="-57" w:rightChars="-27" w:firstLine="21" w:firstLineChars="1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.投标人无论对《第二章  采购需求》的商务要求条款有无偏离（不响应或优于）都应当将本表盖章后作为投标文件的一部分提交，未在投标文件中提供本表的按照无效投标处理。</w:t>
      </w:r>
    </w:p>
    <w:p>
      <w:pPr>
        <w:snapToGrid w:val="0"/>
        <w:spacing w:line="360" w:lineRule="auto"/>
        <w:ind w:firstLine="3685" w:firstLineChars="1755"/>
        <w:rPr>
          <w:rFonts w:ascii="宋体" w:hAnsi="宋体"/>
          <w:color w:val="auto"/>
          <w:szCs w:val="21"/>
          <w:highlight w:val="none"/>
        </w:rPr>
      </w:pPr>
    </w:p>
    <w:p>
      <w:pPr>
        <w:snapToGrid w:val="0"/>
        <w:spacing w:line="360" w:lineRule="auto"/>
        <w:ind w:firstLine="4252" w:firstLineChars="2025"/>
        <w:rPr>
          <w:rFonts w:ascii="宋体" w:hAnsi="宋体"/>
          <w:color w:val="auto"/>
          <w:szCs w:val="21"/>
          <w:highlight w:val="none"/>
          <w:u w:val="single"/>
        </w:rPr>
      </w:pPr>
      <w:r>
        <w:rPr>
          <w:rFonts w:ascii="宋体" w:hAnsi="宋体"/>
          <w:color w:val="auto"/>
          <w:szCs w:val="21"/>
          <w:highlight w:val="none"/>
        </w:rPr>
        <w:t>投标人：</w:t>
      </w:r>
      <w:r>
        <w:rPr>
          <w:rFonts w:ascii="宋体" w:hAnsi="宋体"/>
          <w:color w:val="auto"/>
          <w:szCs w:val="21"/>
          <w:highlight w:val="none"/>
          <w:u w:val="single"/>
        </w:rPr>
        <w:t xml:space="preserve">   （填写全称并加盖公章) </w:t>
      </w:r>
    </w:p>
    <w:p>
      <w:pPr>
        <w:snapToGrid w:val="0"/>
        <w:spacing w:line="360" w:lineRule="auto"/>
        <w:ind w:firstLine="4252" w:firstLineChars="2025"/>
        <w:rPr>
          <w:rFonts w:ascii="宋体" w:hAnsi="宋体"/>
          <w:color w:val="auto"/>
          <w:szCs w:val="21"/>
          <w:highlight w:val="none"/>
        </w:rPr>
      </w:pPr>
      <w:r>
        <w:rPr>
          <w:rFonts w:ascii="宋体" w:hAnsi="宋体"/>
          <w:color w:val="auto"/>
          <w:szCs w:val="21"/>
          <w:highlight w:val="none"/>
        </w:rPr>
        <w:t>日  期：</w:t>
      </w:r>
    </w:p>
    <w:p>
      <w:pPr>
        <w:pStyle w:val="20"/>
        <w:spacing w:line="360" w:lineRule="auto"/>
        <w:ind w:left="0" w:leftChars="0"/>
        <w:jc w:val="center"/>
        <w:rPr>
          <w:rFonts w:ascii="宋体" w:hAnsi="宋体"/>
          <w:b/>
          <w:color w:val="auto"/>
          <w:sz w:val="21"/>
          <w:szCs w:val="21"/>
          <w:highlight w:val="none"/>
        </w:rPr>
      </w:pPr>
      <w:r>
        <w:rPr>
          <w:rFonts w:ascii="宋体" w:hAnsi="宋体"/>
          <w:color w:val="auto"/>
          <w:sz w:val="21"/>
          <w:szCs w:val="21"/>
          <w:highlight w:val="none"/>
        </w:rPr>
        <w:br w:type="page"/>
      </w:r>
      <w:r>
        <w:rPr>
          <w:rFonts w:ascii="宋体" w:hAnsi="宋体"/>
          <w:b/>
          <w:color w:val="auto"/>
          <w:sz w:val="21"/>
          <w:szCs w:val="21"/>
          <w:highlight w:val="none"/>
        </w:rPr>
        <w:t>（6）项目实施人员情况表</w:t>
      </w:r>
    </w:p>
    <w:tbl>
      <w:tblPr>
        <w:tblStyle w:val="4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color w:val="auto"/>
                <w:szCs w:val="21"/>
                <w:highlight w:val="none"/>
              </w:rPr>
            </w:pPr>
            <w:r>
              <w:rPr>
                <w:rFonts w:ascii="宋体" w:hAnsi="宋体"/>
                <w:bCs/>
                <w:color w:val="auto"/>
                <w:szCs w:val="21"/>
                <w:highlight w:val="none"/>
              </w:rPr>
              <w:t>序号</w:t>
            </w:r>
          </w:p>
        </w:tc>
        <w:tc>
          <w:tcPr>
            <w:tcW w:w="1527" w:type="dxa"/>
            <w:vAlign w:val="center"/>
          </w:tcPr>
          <w:p>
            <w:pPr>
              <w:jc w:val="center"/>
              <w:rPr>
                <w:rFonts w:ascii="宋体" w:hAnsi="宋体"/>
                <w:bCs/>
                <w:color w:val="auto"/>
                <w:szCs w:val="21"/>
                <w:highlight w:val="none"/>
              </w:rPr>
            </w:pPr>
            <w:r>
              <w:rPr>
                <w:rFonts w:ascii="宋体" w:hAnsi="宋体"/>
                <w:bCs/>
                <w:color w:val="auto"/>
                <w:szCs w:val="21"/>
                <w:highlight w:val="none"/>
              </w:rPr>
              <w:t>姓名</w:t>
            </w:r>
          </w:p>
        </w:tc>
        <w:tc>
          <w:tcPr>
            <w:tcW w:w="1167" w:type="dxa"/>
            <w:vAlign w:val="center"/>
          </w:tcPr>
          <w:p>
            <w:pPr>
              <w:jc w:val="center"/>
              <w:rPr>
                <w:rFonts w:ascii="宋体" w:hAnsi="宋体"/>
                <w:bCs/>
                <w:color w:val="auto"/>
                <w:szCs w:val="21"/>
                <w:highlight w:val="none"/>
              </w:rPr>
            </w:pPr>
            <w:r>
              <w:rPr>
                <w:rFonts w:ascii="宋体" w:hAnsi="宋体"/>
                <w:bCs/>
                <w:color w:val="auto"/>
                <w:szCs w:val="21"/>
                <w:highlight w:val="none"/>
              </w:rPr>
              <w:t>本项目中的岗位</w:t>
            </w:r>
          </w:p>
        </w:tc>
        <w:tc>
          <w:tcPr>
            <w:tcW w:w="1275" w:type="dxa"/>
            <w:vAlign w:val="center"/>
          </w:tcPr>
          <w:p>
            <w:pPr>
              <w:jc w:val="center"/>
              <w:rPr>
                <w:rFonts w:ascii="宋体" w:hAnsi="宋体"/>
                <w:bCs/>
                <w:color w:val="auto"/>
                <w:szCs w:val="21"/>
                <w:highlight w:val="none"/>
              </w:rPr>
            </w:pPr>
            <w:r>
              <w:rPr>
                <w:rFonts w:ascii="宋体" w:hAnsi="宋体"/>
                <w:bCs/>
                <w:color w:val="auto"/>
                <w:szCs w:val="21"/>
                <w:highlight w:val="none"/>
              </w:rPr>
              <w:t>本项目主要工作内容</w:t>
            </w:r>
          </w:p>
        </w:tc>
        <w:tc>
          <w:tcPr>
            <w:tcW w:w="851" w:type="dxa"/>
            <w:vAlign w:val="center"/>
          </w:tcPr>
          <w:p>
            <w:pPr>
              <w:jc w:val="center"/>
              <w:rPr>
                <w:rFonts w:ascii="宋体" w:hAnsi="宋体"/>
                <w:bCs/>
                <w:color w:val="auto"/>
                <w:szCs w:val="21"/>
                <w:highlight w:val="none"/>
              </w:rPr>
            </w:pPr>
            <w:r>
              <w:rPr>
                <w:rFonts w:ascii="宋体" w:hAnsi="宋体"/>
                <w:bCs/>
                <w:color w:val="auto"/>
                <w:szCs w:val="21"/>
                <w:highlight w:val="none"/>
              </w:rPr>
              <w:t>年龄</w:t>
            </w:r>
          </w:p>
        </w:tc>
        <w:tc>
          <w:tcPr>
            <w:tcW w:w="850" w:type="dxa"/>
            <w:vAlign w:val="center"/>
          </w:tcPr>
          <w:p>
            <w:pPr>
              <w:jc w:val="center"/>
              <w:rPr>
                <w:rFonts w:ascii="宋体" w:hAnsi="宋体"/>
                <w:bCs/>
                <w:color w:val="auto"/>
                <w:szCs w:val="21"/>
                <w:highlight w:val="none"/>
              </w:rPr>
            </w:pPr>
            <w:r>
              <w:rPr>
                <w:rFonts w:ascii="宋体" w:hAnsi="宋体"/>
                <w:bCs/>
                <w:color w:val="auto"/>
                <w:szCs w:val="21"/>
                <w:highlight w:val="none"/>
              </w:rPr>
              <w:t>性别</w:t>
            </w:r>
          </w:p>
        </w:tc>
        <w:tc>
          <w:tcPr>
            <w:tcW w:w="2014" w:type="dxa"/>
            <w:vAlign w:val="center"/>
          </w:tcPr>
          <w:p>
            <w:pPr>
              <w:jc w:val="center"/>
              <w:rPr>
                <w:rFonts w:ascii="宋体" w:hAnsi="宋体"/>
                <w:bCs/>
                <w:color w:val="auto"/>
                <w:szCs w:val="21"/>
                <w:highlight w:val="none"/>
              </w:rPr>
            </w:pPr>
            <w:r>
              <w:rPr>
                <w:rFonts w:ascii="宋体" w:hAnsi="宋体"/>
                <w:bCs/>
                <w:color w:val="auto"/>
                <w:szCs w:val="21"/>
                <w:highlight w:val="none"/>
              </w:rPr>
              <w:t>学历、职称、执业资格等个人能力情况说明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201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201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201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201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2014"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w:t>
            </w:r>
          </w:p>
        </w:tc>
        <w:tc>
          <w:tcPr>
            <w:tcW w:w="1527" w:type="dxa"/>
            <w:vAlign w:val="center"/>
          </w:tcPr>
          <w:p>
            <w:pPr>
              <w:rPr>
                <w:rFonts w:ascii="宋体" w:hAnsi="宋体"/>
                <w:color w:val="auto"/>
                <w:szCs w:val="21"/>
                <w:highlight w:val="none"/>
              </w:rPr>
            </w:pPr>
          </w:p>
        </w:tc>
        <w:tc>
          <w:tcPr>
            <w:tcW w:w="1167" w:type="dxa"/>
            <w:vAlign w:val="center"/>
          </w:tcPr>
          <w:p>
            <w:pPr>
              <w:rPr>
                <w:rFonts w:ascii="宋体" w:hAnsi="宋体"/>
                <w:color w:val="auto"/>
                <w:szCs w:val="21"/>
                <w:highlight w:val="none"/>
              </w:rPr>
            </w:pPr>
          </w:p>
        </w:tc>
        <w:tc>
          <w:tcPr>
            <w:tcW w:w="1275" w:type="dxa"/>
            <w:vAlign w:val="center"/>
          </w:tcPr>
          <w:p>
            <w:pPr>
              <w:rPr>
                <w:rFonts w:ascii="宋体" w:hAnsi="宋体"/>
                <w:color w:val="auto"/>
                <w:szCs w:val="21"/>
                <w:highlight w:val="none"/>
              </w:rPr>
            </w:pPr>
          </w:p>
        </w:tc>
        <w:tc>
          <w:tcPr>
            <w:tcW w:w="851" w:type="dxa"/>
            <w:vAlign w:val="center"/>
          </w:tcPr>
          <w:p>
            <w:pPr>
              <w:rPr>
                <w:rFonts w:ascii="宋体" w:hAnsi="宋体"/>
                <w:color w:val="auto"/>
                <w:szCs w:val="21"/>
                <w:highlight w:val="none"/>
              </w:rPr>
            </w:pPr>
          </w:p>
        </w:tc>
        <w:tc>
          <w:tcPr>
            <w:tcW w:w="850" w:type="dxa"/>
            <w:vAlign w:val="center"/>
          </w:tcPr>
          <w:p>
            <w:pPr>
              <w:rPr>
                <w:rFonts w:ascii="宋体" w:hAnsi="宋体"/>
                <w:color w:val="auto"/>
                <w:szCs w:val="21"/>
                <w:highlight w:val="none"/>
              </w:rPr>
            </w:pPr>
          </w:p>
        </w:tc>
        <w:tc>
          <w:tcPr>
            <w:tcW w:w="2014" w:type="dxa"/>
            <w:vAlign w:val="center"/>
          </w:tcPr>
          <w:p>
            <w:pPr>
              <w:rPr>
                <w:rFonts w:ascii="宋体" w:hAnsi="宋体"/>
                <w:color w:val="auto"/>
                <w:szCs w:val="21"/>
                <w:highlight w:val="none"/>
              </w:rPr>
            </w:pPr>
          </w:p>
        </w:tc>
      </w:tr>
    </w:tbl>
    <w:p>
      <w:pPr>
        <w:snapToGrid w:val="0"/>
        <w:spacing w:before="50" w:after="50" w:line="360" w:lineRule="auto"/>
        <w:ind w:left="-23" w:leftChars="-11" w:right="-57" w:rightChars="-27" w:firstLine="21" w:firstLineChars="10"/>
        <w:rPr>
          <w:rFonts w:ascii="宋体" w:hAnsi="宋体"/>
          <w:color w:val="auto"/>
          <w:szCs w:val="21"/>
          <w:highlight w:val="none"/>
        </w:rPr>
      </w:pPr>
      <w:r>
        <w:rPr>
          <w:rFonts w:ascii="宋体" w:hAnsi="宋体"/>
          <w:color w:val="auto"/>
          <w:szCs w:val="21"/>
          <w:highlight w:val="none"/>
        </w:rPr>
        <w:t>注：</w:t>
      </w:r>
    </w:p>
    <w:p>
      <w:pPr>
        <w:snapToGrid w:val="0"/>
        <w:spacing w:before="50" w:after="50" w:line="360" w:lineRule="auto"/>
        <w:ind w:left="-23" w:leftChars="-11" w:right="-57" w:rightChars="-27" w:firstLine="21" w:firstLineChars="10"/>
        <w:rPr>
          <w:rFonts w:ascii="宋体" w:hAnsi="宋体"/>
          <w:color w:val="auto"/>
          <w:szCs w:val="21"/>
          <w:highlight w:val="none"/>
        </w:rPr>
      </w:pPr>
      <w:r>
        <w:rPr>
          <w:rFonts w:ascii="宋体" w:hAnsi="宋体"/>
          <w:color w:val="auto"/>
          <w:szCs w:val="21"/>
          <w:highlight w:val="none"/>
        </w:rPr>
        <w:t>1.项目负责人等与评审因素相关的人员必须列入本表并明确，否则在评审中不予认可。项目负责人仅限一名，但招标文件另有要求的除外。</w:t>
      </w:r>
    </w:p>
    <w:p>
      <w:pPr>
        <w:snapToGrid w:val="0"/>
        <w:spacing w:before="50" w:after="50" w:line="360" w:lineRule="auto"/>
        <w:ind w:left="-23" w:leftChars="-11" w:right="-57" w:rightChars="-27" w:firstLine="21" w:firstLineChars="10"/>
        <w:rPr>
          <w:rFonts w:ascii="宋体" w:hAnsi="宋体"/>
          <w:color w:val="auto"/>
          <w:szCs w:val="21"/>
          <w:highlight w:val="none"/>
        </w:rPr>
      </w:pPr>
      <w:r>
        <w:rPr>
          <w:rFonts w:ascii="宋体" w:hAnsi="宋体"/>
          <w:color w:val="auto"/>
          <w:szCs w:val="21"/>
          <w:highlight w:val="none"/>
        </w:rPr>
        <w:t>2.列入本表的人员如要更换，需经采购人同意，擅自更换或不到位属于违约行为。</w:t>
      </w:r>
    </w:p>
    <w:p>
      <w:pPr>
        <w:snapToGrid w:val="0"/>
        <w:spacing w:before="50" w:after="50" w:line="360" w:lineRule="auto"/>
        <w:ind w:left="-23" w:leftChars="-11" w:right="-57" w:rightChars="-27" w:firstLine="21" w:firstLineChars="10"/>
        <w:rPr>
          <w:rFonts w:ascii="宋体" w:hAnsi="宋体"/>
          <w:color w:val="auto"/>
          <w:szCs w:val="21"/>
          <w:highlight w:val="none"/>
        </w:rPr>
      </w:pPr>
      <w:r>
        <w:rPr>
          <w:rFonts w:ascii="宋体" w:hAnsi="宋体"/>
          <w:color w:val="auto"/>
          <w:szCs w:val="21"/>
          <w:highlight w:val="none"/>
        </w:rPr>
        <w:t>3.学历、职称、执业资格等个人能力证明材料的复印件后附。</w:t>
      </w:r>
    </w:p>
    <w:p>
      <w:pPr>
        <w:snapToGrid w:val="0"/>
        <w:spacing w:before="50" w:after="50" w:line="360" w:lineRule="auto"/>
        <w:ind w:left="-23" w:leftChars="-11" w:right="-57" w:rightChars="-27" w:firstLine="21" w:firstLineChars="10"/>
        <w:rPr>
          <w:rFonts w:ascii="宋体" w:hAnsi="宋体" w:cs="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上述人员要求在投标文件中提供投标人为其在2024年</w:t>
      </w:r>
      <w:r>
        <w:rPr>
          <w:rFonts w:ascii="宋体" w:hAnsi="宋体"/>
          <w:color w:val="auto"/>
          <w:szCs w:val="21"/>
          <w:highlight w:val="none"/>
        </w:rPr>
        <w:t>1</w:t>
      </w:r>
      <w:r>
        <w:rPr>
          <w:rFonts w:hint="eastAsia" w:ascii="宋体" w:hAnsi="宋体"/>
          <w:color w:val="auto"/>
          <w:szCs w:val="21"/>
          <w:highlight w:val="none"/>
        </w:rPr>
        <w:t>月至投标截止时间期间任意一个月的社保证明或劳动合同复印件</w:t>
      </w:r>
      <w:r>
        <w:rPr>
          <w:rFonts w:hint="eastAsia" w:ascii="宋体" w:hAnsi="宋体" w:cs="宋体"/>
          <w:color w:val="auto"/>
          <w:szCs w:val="21"/>
          <w:highlight w:val="none"/>
        </w:rPr>
        <w:t>，社保证明必须是社保机构出具，可以是政务系统下载的复制件。</w:t>
      </w:r>
      <w:r>
        <w:rPr>
          <w:rFonts w:hint="eastAsia" w:ascii="宋体" w:hAnsi="宋体"/>
          <w:color w:val="auto"/>
          <w:szCs w:val="21"/>
          <w:highlight w:val="none"/>
        </w:rPr>
        <w:t>联合体投标的</w:t>
      </w:r>
      <w:r>
        <w:rPr>
          <w:rFonts w:hint="eastAsia" w:ascii="宋体" w:hAnsi="宋体" w:cs="宋体"/>
          <w:color w:val="auto"/>
          <w:szCs w:val="21"/>
          <w:highlight w:val="none"/>
        </w:rPr>
        <w:t>，联合体各成员单位各自提供。提供材料不符合要求的人员在评审中不予考量。</w:t>
      </w:r>
    </w:p>
    <w:p>
      <w:pPr>
        <w:snapToGrid w:val="0"/>
        <w:spacing w:before="50" w:after="50" w:line="360" w:lineRule="auto"/>
        <w:ind w:left="-23" w:leftChars="-11" w:right="-57" w:rightChars="-27" w:firstLine="21" w:firstLineChars="10"/>
        <w:rPr>
          <w:rFonts w:ascii="宋体" w:hAnsi="宋体"/>
          <w:b/>
          <w:color w:val="auto"/>
          <w:szCs w:val="21"/>
          <w:highlight w:val="none"/>
        </w:rPr>
      </w:pPr>
      <w:r>
        <w:rPr>
          <w:rFonts w:ascii="宋体" w:hAnsi="宋体"/>
          <w:b/>
          <w:color w:val="auto"/>
          <w:szCs w:val="21"/>
          <w:highlight w:val="none"/>
        </w:rPr>
        <w:t>5.投标文件内提供评分标准要求的证明材料，未提供佐证能力等证书证件复印件的将不被认定。</w:t>
      </w:r>
    </w:p>
    <w:p>
      <w:pPr>
        <w:snapToGrid w:val="0"/>
        <w:spacing w:line="360" w:lineRule="auto"/>
        <w:ind w:firstLine="4252" w:firstLineChars="2025"/>
        <w:rPr>
          <w:rFonts w:ascii="宋体" w:hAnsi="宋体"/>
          <w:color w:val="auto"/>
          <w:szCs w:val="21"/>
          <w:highlight w:val="none"/>
          <w:u w:val="single"/>
        </w:rPr>
      </w:pPr>
      <w:r>
        <w:rPr>
          <w:rFonts w:ascii="宋体" w:hAnsi="宋体"/>
          <w:color w:val="auto"/>
          <w:szCs w:val="21"/>
          <w:highlight w:val="none"/>
        </w:rPr>
        <w:t>投标人：</w:t>
      </w:r>
      <w:r>
        <w:rPr>
          <w:rFonts w:ascii="宋体" w:hAnsi="宋体"/>
          <w:color w:val="auto"/>
          <w:szCs w:val="21"/>
          <w:highlight w:val="none"/>
          <w:u w:val="single"/>
        </w:rPr>
        <w:t xml:space="preserve">   （填写全称并加盖公章) </w:t>
      </w:r>
    </w:p>
    <w:p>
      <w:pPr>
        <w:snapToGrid w:val="0"/>
        <w:spacing w:line="360" w:lineRule="auto"/>
        <w:ind w:firstLine="4252" w:firstLineChars="2025"/>
        <w:rPr>
          <w:rFonts w:ascii="宋体" w:hAnsi="宋体"/>
          <w:color w:val="auto"/>
          <w:szCs w:val="21"/>
          <w:highlight w:val="none"/>
        </w:rPr>
      </w:pPr>
      <w:r>
        <w:rPr>
          <w:rFonts w:ascii="宋体" w:hAnsi="宋体"/>
          <w:color w:val="auto"/>
          <w:szCs w:val="21"/>
          <w:highlight w:val="none"/>
        </w:rPr>
        <w:t>日  期：</w:t>
      </w:r>
    </w:p>
    <w:p>
      <w:pPr>
        <w:snapToGrid w:val="0"/>
        <w:spacing w:line="360" w:lineRule="auto"/>
        <w:rPr>
          <w:rFonts w:ascii="宋体" w:hAnsi="宋体"/>
          <w:color w:val="auto"/>
          <w:szCs w:val="21"/>
          <w:highlight w:val="none"/>
        </w:rPr>
      </w:pPr>
    </w:p>
    <w:p>
      <w:pPr>
        <w:pStyle w:val="20"/>
        <w:spacing w:line="360" w:lineRule="auto"/>
        <w:jc w:val="center"/>
        <w:rPr>
          <w:rFonts w:ascii="宋体" w:hAnsi="宋体"/>
          <w:color w:val="auto"/>
          <w:sz w:val="21"/>
          <w:szCs w:val="21"/>
          <w:highlight w:val="none"/>
        </w:rPr>
      </w:pPr>
    </w:p>
    <w:p>
      <w:pPr>
        <w:pStyle w:val="2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br w:type="page"/>
      </w:r>
      <w:r>
        <w:rPr>
          <w:rFonts w:ascii="宋体" w:hAnsi="宋体"/>
          <w:b/>
          <w:color w:val="auto"/>
          <w:sz w:val="21"/>
          <w:szCs w:val="21"/>
          <w:highlight w:val="none"/>
        </w:rPr>
        <w:t>（7）类似项目业绩一览表</w:t>
      </w:r>
    </w:p>
    <w:tbl>
      <w:tblPr>
        <w:tblStyle w:val="43"/>
        <w:tblW w:w="89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560"/>
        <w:gridCol w:w="2126"/>
        <w:gridCol w:w="1559"/>
        <w:gridCol w:w="29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序号</w:t>
            </w:r>
          </w:p>
        </w:tc>
        <w:tc>
          <w:tcPr>
            <w:tcW w:w="1560"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项目名称</w:t>
            </w:r>
          </w:p>
        </w:tc>
        <w:tc>
          <w:tcPr>
            <w:tcW w:w="2126" w:type="dxa"/>
            <w:tcBorders>
              <w:right w:val="single" w:color="auto" w:sz="4" w:space="0"/>
            </w:tcBorders>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主要服务内容</w:t>
            </w:r>
          </w:p>
        </w:tc>
        <w:tc>
          <w:tcPr>
            <w:tcW w:w="1559" w:type="dxa"/>
            <w:tcBorders>
              <w:left w:val="single" w:color="auto" w:sz="4" w:space="0"/>
            </w:tcBorders>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合同金额</w:t>
            </w:r>
            <w:r>
              <w:rPr>
                <w:rFonts w:hint="eastAsia" w:ascii="宋体" w:hAnsi="宋体"/>
                <w:bCs/>
                <w:color w:val="auto"/>
                <w:szCs w:val="21"/>
                <w:highlight w:val="none"/>
              </w:rPr>
              <w:t>（万元）</w:t>
            </w:r>
          </w:p>
        </w:tc>
        <w:tc>
          <w:tcPr>
            <w:tcW w:w="2977" w:type="dxa"/>
            <w:tcBorders>
              <w:right w:val="single" w:color="auto" w:sz="4" w:space="0"/>
            </w:tcBorders>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1</w:t>
            </w:r>
          </w:p>
        </w:tc>
        <w:tc>
          <w:tcPr>
            <w:tcW w:w="1560" w:type="dxa"/>
            <w:vAlign w:val="center"/>
          </w:tcPr>
          <w:p>
            <w:pPr>
              <w:jc w:val="center"/>
              <w:rPr>
                <w:rFonts w:ascii="宋体" w:hAnsi="宋体"/>
                <w:color w:val="auto"/>
                <w:szCs w:val="21"/>
                <w:highlight w:val="none"/>
              </w:rPr>
            </w:pPr>
          </w:p>
        </w:tc>
        <w:tc>
          <w:tcPr>
            <w:tcW w:w="2126" w:type="dxa"/>
            <w:tcBorders>
              <w:right w:val="single" w:color="auto" w:sz="4" w:space="0"/>
            </w:tcBorders>
            <w:vAlign w:val="center"/>
          </w:tcPr>
          <w:p>
            <w:pPr>
              <w:jc w:val="center"/>
              <w:rPr>
                <w:rFonts w:ascii="宋体" w:hAnsi="宋体"/>
                <w:color w:val="auto"/>
                <w:szCs w:val="21"/>
                <w:highlight w:val="none"/>
              </w:rPr>
            </w:pPr>
          </w:p>
        </w:tc>
        <w:tc>
          <w:tcPr>
            <w:tcW w:w="1559" w:type="dxa"/>
            <w:tcBorders>
              <w:left w:val="single" w:color="auto" w:sz="4" w:space="0"/>
            </w:tcBorders>
            <w:vAlign w:val="center"/>
          </w:tcPr>
          <w:p>
            <w:pPr>
              <w:jc w:val="center"/>
              <w:rPr>
                <w:rFonts w:ascii="宋体" w:hAnsi="宋体"/>
                <w:color w:val="auto"/>
                <w:szCs w:val="21"/>
                <w:highlight w:val="none"/>
              </w:rPr>
            </w:pPr>
          </w:p>
        </w:tc>
        <w:tc>
          <w:tcPr>
            <w:tcW w:w="2977" w:type="dxa"/>
            <w:tcBorders>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2</w:t>
            </w:r>
          </w:p>
        </w:tc>
        <w:tc>
          <w:tcPr>
            <w:tcW w:w="1560" w:type="dxa"/>
            <w:vAlign w:val="center"/>
          </w:tcPr>
          <w:p>
            <w:pPr>
              <w:jc w:val="center"/>
              <w:rPr>
                <w:rFonts w:ascii="宋体" w:hAnsi="宋体"/>
                <w:color w:val="auto"/>
                <w:szCs w:val="21"/>
                <w:highlight w:val="none"/>
              </w:rPr>
            </w:pPr>
          </w:p>
        </w:tc>
        <w:tc>
          <w:tcPr>
            <w:tcW w:w="2126" w:type="dxa"/>
            <w:tcBorders>
              <w:right w:val="single" w:color="auto" w:sz="4" w:space="0"/>
            </w:tcBorders>
            <w:vAlign w:val="center"/>
          </w:tcPr>
          <w:p>
            <w:pPr>
              <w:jc w:val="center"/>
              <w:rPr>
                <w:rFonts w:ascii="宋体" w:hAnsi="宋体"/>
                <w:color w:val="auto"/>
                <w:szCs w:val="21"/>
                <w:highlight w:val="none"/>
              </w:rPr>
            </w:pPr>
          </w:p>
        </w:tc>
        <w:tc>
          <w:tcPr>
            <w:tcW w:w="1559" w:type="dxa"/>
            <w:tcBorders>
              <w:left w:val="single" w:color="auto" w:sz="4" w:space="0"/>
            </w:tcBorders>
            <w:vAlign w:val="center"/>
          </w:tcPr>
          <w:p>
            <w:pPr>
              <w:jc w:val="center"/>
              <w:rPr>
                <w:rFonts w:ascii="宋体" w:hAnsi="宋体"/>
                <w:color w:val="auto"/>
                <w:szCs w:val="21"/>
                <w:highlight w:val="none"/>
              </w:rPr>
            </w:pPr>
          </w:p>
        </w:tc>
        <w:tc>
          <w:tcPr>
            <w:tcW w:w="2977" w:type="dxa"/>
            <w:tcBorders>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3</w:t>
            </w:r>
          </w:p>
        </w:tc>
        <w:tc>
          <w:tcPr>
            <w:tcW w:w="1560" w:type="dxa"/>
            <w:vAlign w:val="center"/>
          </w:tcPr>
          <w:p>
            <w:pPr>
              <w:jc w:val="center"/>
              <w:rPr>
                <w:rFonts w:ascii="宋体" w:hAnsi="宋体"/>
                <w:color w:val="auto"/>
                <w:szCs w:val="21"/>
                <w:highlight w:val="none"/>
              </w:rPr>
            </w:pPr>
          </w:p>
        </w:tc>
        <w:tc>
          <w:tcPr>
            <w:tcW w:w="2126" w:type="dxa"/>
            <w:tcBorders>
              <w:right w:val="single" w:color="auto" w:sz="4" w:space="0"/>
            </w:tcBorders>
            <w:vAlign w:val="center"/>
          </w:tcPr>
          <w:p>
            <w:pPr>
              <w:jc w:val="center"/>
              <w:rPr>
                <w:rFonts w:ascii="宋体" w:hAnsi="宋体"/>
                <w:color w:val="auto"/>
                <w:szCs w:val="21"/>
                <w:highlight w:val="none"/>
              </w:rPr>
            </w:pPr>
          </w:p>
        </w:tc>
        <w:tc>
          <w:tcPr>
            <w:tcW w:w="1559" w:type="dxa"/>
            <w:tcBorders>
              <w:left w:val="single" w:color="auto" w:sz="4" w:space="0"/>
            </w:tcBorders>
            <w:vAlign w:val="center"/>
          </w:tcPr>
          <w:p>
            <w:pPr>
              <w:jc w:val="center"/>
              <w:rPr>
                <w:rFonts w:ascii="宋体" w:hAnsi="宋体"/>
                <w:color w:val="auto"/>
                <w:szCs w:val="21"/>
                <w:highlight w:val="none"/>
              </w:rPr>
            </w:pPr>
          </w:p>
        </w:tc>
        <w:tc>
          <w:tcPr>
            <w:tcW w:w="2977" w:type="dxa"/>
            <w:tcBorders>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4</w:t>
            </w:r>
          </w:p>
        </w:tc>
        <w:tc>
          <w:tcPr>
            <w:tcW w:w="1560" w:type="dxa"/>
            <w:vAlign w:val="center"/>
          </w:tcPr>
          <w:p>
            <w:pPr>
              <w:jc w:val="center"/>
              <w:rPr>
                <w:rFonts w:ascii="宋体" w:hAnsi="宋体"/>
                <w:color w:val="auto"/>
                <w:szCs w:val="21"/>
                <w:highlight w:val="none"/>
              </w:rPr>
            </w:pPr>
          </w:p>
        </w:tc>
        <w:tc>
          <w:tcPr>
            <w:tcW w:w="2126" w:type="dxa"/>
            <w:tcBorders>
              <w:right w:val="single" w:color="auto" w:sz="4" w:space="0"/>
            </w:tcBorders>
            <w:vAlign w:val="center"/>
          </w:tcPr>
          <w:p>
            <w:pPr>
              <w:jc w:val="center"/>
              <w:rPr>
                <w:rFonts w:ascii="宋体" w:hAnsi="宋体"/>
                <w:color w:val="auto"/>
                <w:szCs w:val="21"/>
                <w:highlight w:val="none"/>
              </w:rPr>
            </w:pPr>
          </w:p>
        </w:tc>
        <w:tc>
          <w:tcPr>
            <w:tcW w:w="1559" w:type="dxa"/>
            <w:tcBorders>
              <w:left w:val="single" w:color="auto" w:sz="4" w:space="0"/>
            </w:tcBorders>
            <w:vAlign w:val="center"/>
          </w:tcPr>
          <w:p>
            <w:pPr>
              <w:jc w:val="center"/>
              <w:rPr>
                <w:rFonts w:ascii="宋体" w:hAnsi="宋体"/>
                <w:color w:val="auto"/>
                <w:szCs w:val="21"/>
                <w:highlight w:val="none"/>
              </w:rPr>
            </w:pPr>
          </w:p>
        </w:tc>
        <w:tc>
          <w:tcPr>
            <w:tcW w:w="2977" w:type="dxa"/>
            <w:tcBorders>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5</w:t>
            </w:r>
          </w:p>
        </w:tc>
        <w:tc>
          <w:tcPr>
            <w:tcW w:w="1560" w:type="dxa"/>
            <w:vAlign w:val="center"/>
          </w:tcPr>
          <w:p>
            <w:pPr>
              <w:jc w:val="center"/>
              <w:rPr>
                <w:rFonts w:ascii="宋体" w:hAnsi="宋体"/>
                <w:color w:val="auto"/>
                <w:szCs w:val="21"/>
                <w:highlight w:val="none"/>
              </w:rPr>
            </w:pPr>
          </w:p>
        </w:tc>
        <w:tc>
          <w:tcPr>
            <w:tcW w:w="2126" w:type="dxa"/>
            <w:tcBorders>
              <w:right w:val="single" w:color="auto" w:sz="4" w:space="0"/>
            </w:tcBorders>
            <w:vAlign w:val="center"/>
          </w:tcPr>
          <w:p>
            <w:pPr>
              <w:jc w:val="center"/>
              <w:rPr>
                <w:rFonts w:ascii="宋体" w:hAnsi="宋体"/>
                <w:color w:val="auto"/>
                <w:szCs w:val="21"/>
                <w:highlight w:val="none"/>
              </w:rPr>
            </w:pPr>
          </w:p>
        </w:tc>
        <w:tc>
          <w:tcPr>
            <w:tcW w:w="1559" w:type="dxa"/>
            <w:tcBorders>
              <w:left w:val="single" w:color="auto" w:sz="4" w:space="0"/>
            </w:tcBorders>
            <w:vAlign w:val="center"/>
          </w:tcPr>
          <w:p>
            <w:pPr>
              <w:jc w:val="center"/>
              <w:rPr>
                <w:rFonts w:ascii="宋体" w:hAnsi="宋体"/>
                <w:color w:val="auto"/>
                <w:szCs w:val="21"/>
                <w:highlight w:val="none"/>
              </w:rPr>
            </w:pPr>
          </w:p>
        </w:tc>
        <w:tc>
          <w:tcPr>
            <w:tcW w:w="2977" w:type="dxa"/>
            <w:tcBorders>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w:t>
            </w:r>
          </w:p>
        </w:tc>
        <w:tc>
          <w:tcPr>
            <w:tcW w:w="1560" w:type="dxa"/>
            <w:vAlign w:val="center"/>
          </w:tcPr>
          <w:p>
            <w:pPr>
              <w:jc w:val="center"/>
              <w:rPr>
                <w:rFonts w:ascii="宋体" w:hAnsi="宋体"/>
                <w:color w:val="auto"/>
                <w:szCs w:val="21"/>
                <w:highlight w:val="none"/>
              </w:rPr>
            </w:pPr>
          </w:p>
        </w:tc>
        <w:tc>
          <w:tcPr>
            <w:tcW w:w="2126" w:type="dxa"/>
            <w:tcBorders>
              <w:right w:val="single" w:color="auto" w:sz="4" w:space="0"/>
            </w:tcBorders>
            <w:vAlign w:val="center"/>
          </w:tcPr>
          <w:p>
            <w:pPr>
              <w:jc w:val="center"/>
              <w:rPr>
                <w:rFonts w:ascii="宋体" w:hAnsi="宋体"/>
                <w:color w:val="auto"/>
                <w:szCs w:val="21"/>
                <w:highlight w:val="none"/>
              </w:rPr>
            </w:pPr>
          </w:p>
        </w:tc>
        <w:tc>
          <w:tcPr>
            <w:tcW w:w="1559" w:type="dxa"/>
            <w:tcBorders>
              <w:left w:val="single" w:color="auto" w:sz="4" w:space="0"/>
            </w:tcBorders>
            <w:vAlign w:val="center"/>
          </w:tcPr>
          <w:p>
            <w:pPr>
              <w:jc w:val="center"/>
              <w:rPr>
                <w:rFonts w:ascii="宋体" w:hAnsi="宋体"/>
                <w:color w:val="auto"/>
                <w:szCs w:val="21"/>
                <w:highlight w:val="none"/>
              </w:rPr>
            </w:pPr>
          </w:p>
        </w:tc>
        <w:tc>
          <w:tcPr>
            <w:tcW w:w="2977" w:type="dxa"/>
            <w:tcBorders>
              <w:right w:val="single" w:color="auto" w:sz="4" w:space="0"/>
            </w:tcBorders>
            <w:vAlign w:val="center"/>
          </w:tcPr>
          <w:p>
            <w:pPr>
              <w:jc w:val="center"/>
              <w:rPr>
                <w:rFonts w:ascii="宋体" w:hAnsi="宋体"/>
                <w:color w:val="auto"/>
                <w:szCs w:val="21"/>
                <w:highlight w:val="none"/>
              </w:rPr>
            </w:pPr>
          </w:p>
        </w:tc>
      </w:tr>
    </w:tbl>
    <w:p>
      <w:pPr>
        <w:spacing w:line="360" w:lineRule="auto"/>
        <w:ind w:left="924" w:hanging="924" w:hangingChars="440"/>
        <w:rPr>
          <w:rFonts w:ascii="宋体" w:hAnsi="宋体"/>
          <w:color w:val="auto"/>
          <w:szCs w:val="21"/>
          <w:highlight w:val="none"/>
        </w:rPr>
      </w:pPr>
      <w:r>
        <w:rPr>
          <w:rFonts w:ascii="宋体" w:hAnsi="宋体"/>
          <w:bCs/>
          <w:color w:val="auto"/>
          <w:szCs w:val="21"/>
          <w:highlight w:val="none"/>
        </w:rPr>
        <w:t>注：根据评委打分表的要求提供证明材料</w:t>
      </w:r>
      <w:r>
        <w:rPr>
          <w:rFonts w:ascii="宋体" w:hAnsi="宋体"/>
          <w:color w:val="auto"/>
          <w:szCs w:val="21"/>
          <w:highlight w:val="none"/>
        </w:rPr>
        <w:t>。</w:t>
      </w:r>
    </w:p>
    <w:p>
      <w:pPr>
        <w:snapToGrid w:val="0"/>
        <w:spacing w:before="50" w:after="50" w:line="360" w:lineRule="auto"/>
        <w:ind w:left="-23" w:leftChars="-11" w:right="27" w:rightChars="13" w:firstLine="21" w:firstLineChars="10"/>
        <w:rPr>
          <w:rFonts w:ascii="宋体" w:hAnsi="宋体"/>
          <w:bCs/>
          <w:color w:val="auto"/>
          <w:szCs w:val="21"/>
          <w:highlight w:val="none"/>
        </w:rPr>
      </w:pPr>
    </w:p>
    <w:p>
      <w:pPr>
        <w:snapToGrid w:val="0"/>
        <w:spacing w:line="360" w:lineRule="auto"/>
        <w:ind w:firstLine="4200" w:firstLineChars="2000"/>
        <w:rPr>
          <w:rFonts w:ascii="宋体" w:hAnsi="宋体"/>
          <w:color w:val="auto"/>
          <w:szCs w:val="21"/>
          <w:highlight w:val="none"/>
          <w:u w:val="single"/>
        </w:rPr>
      </w:pPr>
      <w:r>
        <w:rPr>
          <w:rFonts w:ascii="宋体" w:hAnsi="宋体"/>
          <w:color w:val="auto"/>
          <w:szCs w:val="21"/>
          <w:highlight w:val="none"/>
        </w:rPr>
        <w:t>投标人：</w:t>
      </w:r>
      <w:r>
        <w:rPr>
          <w:rFonts w:ascii="宋体" w:hAnsi="宋体"/>
          <w:color w:val="auto"/>
          <w:szCs w:val="21"/>
          <w:highlight w:val="none"/>
          <w:u w:val="single"/>
        </w:rPr>
        <w:t xml:space="preserve">   （填写全称并加盖公章) </w:t>
      </w:r>
    </w:p>
    <w:p>
      <w:pPr>
        <w:snapToGrid w:val="0"/>
        <w:spacing w:line="360" w:lineRule="auto"/>
        <w:ind w:firstLine="4252" w:firstLineChars="2025"/>
        <w:rPr>
          <w:rFonts w:ascii="宋体" w:hAnsi="宋体"/>
          <w:color w:val="auto"/>
          <w:szCs w:val="21"/>
          <w:highlight w:val="none"/>
        </w:rPr>
      </w:pPr>
      <w:r>
        <w:rPr>
          <w:rFonts w:ascii="宋体" w:hAnsi="宋体"/>
          <w:color w:val="auto"/>
          <w:szCs w:val="21"/>
          <w:highlight w:val="none"/>
        </w:rPr>
        <w:t>日  期：</w:t>
      </w:r>
    </w:p>
    <w:p>
      <w:pPr>
        <w:rPr>
          <w:rFonts w:ascii="宋体" w:hAnsi="宋体"/>
          <w:color w:val="auto"/>
          <w:szCs w:val="21"/>
          <w:highlight w:val="none"/>
        </w:rPr>
      </w:pPr>
      <w:r>
        <w:rPr>
          <w:rFonts w:ascii="宋体" w:hAnsi="宋体"/>
          <w:color w:val="auto"/>
          <w:szCs w:val="21"/>
          <w:highlight w:val="none"/>
        </w:rPr>
        <w:br w:type="page"/>
      </w:r>
    </w:p>
    <w:p>
      <w:pPr>
        <w:pStyle w:val="20"/>
        <w:spacing w:line="360" w:lineRule="auto"/>
        <w:ind w:left="0" w:leftChars="0"/>
        <w:jc w:val="center"/>
        <w:rPr>
          <w:rFonts w:ascii="宋体" w:hAnsi="宋体"/>
          <w:b/>
          <w:color w:val="auto"/>
          <w:sz w:val="21"/>
          <w:szCs w:val="21"/>
          <w:highlight w:val="none"/>
        </w:rPr>
      </w:pPr>
      <w:r>
        <w:rPr>
          <w:rFonts w:ascii="宋体" w:hAnsi="宋体"/>
          <w:b/>
          <w:color w:val="auto"/>
          <w:sz w:val="21"/>
          <w:szCs w:val="21"/>
          <w:highlight w:val="none"/>
        </w:rPr>
        <w:t>（8）CMA附表对项目覆盖情况表</w:t>
      </w:r>
    </w:p>
    <w:tbl>
      <w:tblPr>
        <w:tblStyle w:val="43"/>
        <w:tblW w:w="8520" w:type="dxa"/>
        <w:tblInd w:w="-147" w:type="dxa"/>
        <w:tblLayout w:type="autofit"/>
        <w:tblCellMar>
          <w:top w:w="0" w:type="dxa"/>
          <w:left w:w="108" w:type="dxa"/>
          <w:bottom w:w="0" w:type="dxa"/>
          <w:right w:w="108" w:type="dxa"/>
        </w:tblCellMar>
      </w:tblPr>
      <w:tblGrid>
        <w:gridCol w:w="825"/>
        <w:gridCol w:w="2140"/>
        <w:gridCol w:w="2422"/>
        <w:gridCol w:w="1363"/>
        <w:gridCol w:w="900"/>
        <w:gridCol w:w="870"/>
      </w:tblGrid>
      <w:tr>
        <w:tblPrEx>
          <w:tblCellMar>
            <w:top w:w="0" w:type="dxa"/>
            <w:left w:w="108" w:type="dxa"/>
            <w:bottom w:w="0" w:type="dxa"/>
            <w:right w:w="108" w:type="dxa"/>
          </w:tblCellMar>
        </w:tblPrEx>
        <w:trPr>
          <w:trHeight w:val="54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auto"/>
                <w:szCs w:val="21"/>
                <w:highlight w:val="none"/>
              </w:rPr>
            </w:pPr>
            <w:r>
              <w:rPr>
                <w:rFonts w:ascii="宋体" w:hAnsi="宋体"/>
                <w:b/>
                <w:bCs/>
                <w:color w:val="auto"/>
                <w:kern w:val="0"/>
                <w:szCs w:val="21"/>
                <w:highlight w:val="none"/>
                <w:lang w:bidi="ar"/>
              </w:rPr>
              <w:t>序号</w:t>
            </w:r>
          </w:p>
        </w:tc>
        <w:tc>
          <w:tcPr>
            <w:tcW w:w="2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auto"/>
                <w:szCs w:val="21"/>
                <w:highlight w:val="none"/>
              </w:rPr>
            </w:pPr>
            <w:r>
              <w:rPr>
                <w:rFonts w:ascii="宋体" w:hAnsi="宋体"/>
                <w:b/>
                <w:bCs/>
                <w:color w:val="auto"/>
                <w:kern w:val="0"/>
                <w:szCs w:val="21"/>
                <w:highlight w:val="none"/>
                <w:lang w:bidi="ar"/>
              </w:rPr>
              <w:t>检验项目</w:t>
            </w:r>
          </w:p>
        </w:tc>
        <w:tc>
          <w:tcPr>
            <w:tcW w:w="2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auto"/>
                <w:szCs w:val="21"/>
                <w:highlight w:val="none"/>
              </w:rPr>
            </w:pPr>
            <w:r>
              <w:rPr>
                <w:rFonts w:ascii="宋体" w:hAnsi="宋体"/>
                <w:b/>
                <w:bCs/>
                <w:color w:val="auto"/>
                <w:kern w:val="0"/>
                <w:szCs w:val="21"/>
                <w:highlight w:val="none"/>
                <w:lang w:bidi="ar"/>
              </w:rPr>
              <w:t>检验方法</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auto"/>
                <w:szCs w:val="21"/>
                <w:highlight w:val="none"/>
              </w:rPr>
            </w:pPr>
            <w:r>
              <w:rPr>
                <w:rFonts w:ascii="宋体" w:hAnsi="宋体"/>
                <w:b/>
                <w:bCs/>
                <w:color w:val="auto"/>
                <w:kern w:val="0"/>
                <w:szCs w:val="21"/>
                <w:highlight w:val="none"/>
                <w:lang w:bidi="ar"/>
              </w:rPr>
              <w:t>是否具有检测资质（是/否）</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auto"/>
                <w:szCs w:val="21"/>
                <w:highlight w:val="none"/>
              </w:rPr>
            </w:pPr>
            <w:r>
              <w:rPr>
                <w:rFonts w:ascii="宋体" w:hAnsi="宋体"/>
                <w:b/>
                <w:bCs/>
                <w:color w:val="auto"/>
                <w:kern w:val="0"/>
                <w:szCs w:val="21"/>
                <w:highlight w:val="none"/>
                <w:lang w:bidi="ar"/>
              </w:rPr>
              <w:t>对应的资质附表</w:t>
            </w:r>
          </w:p>
        </w:tc>
      </w:tr>
      <w:tr>
        <w:tblPrEx>
          <w:tblCellMar>
            <w:top w:w="0" w:type="dxa"/>
            <w:left w:w="108" w:type="dxa"/>
            <w:bottom w:w="0" w:type="dxa"/>
            <w:right w:w="108" w:type="dxa"/>
          </w:tblCellMar>
        </w:tblPrEx>
        <w:trPr>
          <w:trHeight w:val="25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bCs/>
                <w:color w:val="auto"/>
                <w:szCs w:val="21"/>
                <w:highlight w:val="none"/>
              </w:rPr>
            </w:pPr>
          </w:p>
        </w:tc>
        <w:tc>
          <w:tcPr>
            <w:tcW w:w="2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bCs/>
                <w:color w:val="auto"/>
                <w:szCs w:val="21"/>
                <w:highlight w:val="none"/>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bCs/>
                <w:color w:val="auto"/>
                <w:szCs w:val="21"/>
                <w:highlight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bCs/>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auto"/>
                <w:szCs w:val="21"/>
                <w:highlight w:val="none"/>
              </w:rPr>
            </w:pPr>
            <w:r>
              <w:rPr>
                <w:rFonts w:ascii="宋体" w:hAnsi="宋体"/>
                <w:b/>
                <w:bCs/>
                <w:color w:val="auto"/>
                <w:kern w:val="0"/>
                <w:szCs w:val="21"/>
                <w:highlight w:val="none"/>
                <w:lang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auto"/>
                <w:szCs w:val="21"/>
                <w:highlight w:val="none"/>
              </w:rPr>
            </w:pPr>
            <w:r>
              <w:rPr>
                <w:rFonts w:ascii="宋体" w:hAnsi="宋体"/>
                <w:b/>
                <w:bCs/>
                <w:color w:val="auto"/>
                <w:kern w:val="0"/>
                <w:szCs w:val="21"/>
                <w:highlight w:val="none"/>
                <w:lang w:bidi="ar"/>
              </w:rPr>
              <w:t>页数</w:t>
            </w:r>
          </w:p>
        </w:tc>
      </w:tr>
      <w:tr>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镉（以Cd计）</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5009.15、GB 8538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苯并[a]芘</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GB 5009.27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51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szCs w:val="21"/>
                <w:highlight w:val="none"/>
              </w:rPr>
              <w:t>……</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szCs w:val="21"/>
                <w:highlight w:val="none"/>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ascii="宋体" w:hAnsi="宋体"/>
                <w:color w:val="auto"/>
                <w:kern w:val="0"/>
                <w:szCs w:val="21"/>
                <w:highlight w:val="none"/>
                <w:lang w:bidi="ar"/>
              </w:rPr>
              <w:t>7</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highlight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Cs w:val="21"/>
                <w:highlight w:val="none"/>
              </w:rPr>
            </w:pPr>
          </w:p>
        </w:tc>
      </w:tr>
      <w:tr>
        <w:tblPrEx>
          <w:tblCellMar>
            <w:top w:w="0" w:type="dxa"/>
            <w:left w:w="108" w:type="dxa"/>
            <w:bottom w:w="0" w:type="dxa"/>
            <w:right w:w="108" w:type="dxa"/>
          </w:tblCellMar>
        </w:tblPrEx>
        <w:trPr>
          <w:trHeight w:val="255" w:hRule="atLeast"/>
        </w:trPr>
        <w:tc>
          <w:tcPr>
            <w:tcW w:w="85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442"/>
              </w:tabs>
              <w:jc w:val="left"/>
              <w:rPr>
                <w:rFonts w:ascii="宋体" w:hAnsi="宋体"/>
                <w:color w:val="auto"/>
                <w:szCs w:val="21"/>
                <w:highlight w:val="none"/>
              </w:rPr>
            </w:pPr>
            <w:r>
              <w:rPr>
                <w:rFonts w:hint="eastAsia" w:ascii="宋体" w:hAnsi="宋体"/>
                <w:b/>
                <w:bCs/>
                <w:color w:val="auto"/>
                <w:szCs w:val="21"/>
                <w:highlight w:val="none"/>
              </w:rPr>
              <w:t>以上检测项目共计</w:t>
            </w:r>
            <w:r>
              <w:rPr>
                <w:rFonts w:ascii="宋体" w:hAnsi="宋体"/>
                <w:color w:val="auto"/>
                <w:szCs w:val="21"/>
                <w:highlight w:val="none"/>
                <w:u w:val="single"/>
              </w:rPr>
              <w:t xml:space="preserve">   </w:t>
            </w:r>
            <w:r>
              <w:rPr>
                <w:rFonts w:hint="eastAsia" w:ascii="宋体" w:hAnsi="宋体"/>
                <w:b/>
                <w:bCs/>
                <w:color w:val="auto"/>
                <w:szCs w:val="21"/>
                <w:highlight w:val="none"/>
              </w:rPr>
              <w:t>项，我单位具有检测资质</w:t>
            </w:r>
            <w:r>
              <w:rPr>
                <w:rFonts w:ascii="宋体" w:hAnsi="宋体"/>
                <w:color w:val="auto"/>
                <w:szCs w:val="21"/>
                <w:highlight w:val="none"/>
                <w:u w:val="single"/>
              </w:rPr>
              <w:t xml:space="preserve">   </w:t>
            </w:r>
            <w:r>
              <w:rPr>
                <w:rFonts w:hint="eastAsia" w:ascii="宋体" w:hAnsi="宋体"/>
                <w:b/>
                <w:bCs/>
                <w:color w:val="auto"/>
                <w:szCs w:val="21"/>
                <w:highlight w:val="none"/>
              </w:rPr>
              <w:t>项，不具有检测资质</w:t>
            </w:r>
            <w:r>
              <w:rPr>
                <w:rFonts w:ascii="宋体" w:hAnsi="宋体"/>
                <w:color w:val="auto"/>
                <w:szCs w:val="21"/>
                <w:highlight w:val="none"/>
                <w:u w:val="single"/>
              </w:rPr>
              <w:t xml:space="preserve">   </w:t>
            </w:r>
            <w:r>
              <w:rPr>
                <w:rFonts w:hint="eastAsia" w:ascii="宋体" w:hAnsi="宋体"/>
                <w:b/>
                <w:bCs/>
                <w:color w:val="auto"/>
                <w:szCs w:val="21"/>
                <w:highlight w:val="none"/>
              </w:rPr>
              <w:t>项，资质覆盖率为</w:t>
            </w:r>
            <w:r>
              <w:rPr>
                <w:rFonts w:ascii="宋体" w:hAnsi="宋体"/>
                <w:color w:val="auto"/>
                <w:szCs w:val="21"/>
                <w:highlight w:val="none"/>
                <w:u w:val="single"/>
              </w:rPr>
              <w:t xml:space="preserve">   </w:t>
            </w:r>
            <w:r>
              <w:rPr>
                <w:rFonts w:hint="eastAsia" w:ascii="宋体" w:hAnsi="宋体"/>
                <w:b/>
                <w:bCs/>
                <w:color w:val="auto"/>
                <w:szCs w:val="21"/>
                <w:highlight w:val="none"/>
              </w:rPr>
              <w:t xml:space="preserve"> ,不具有检测资质项目为</w:t>
            </w:r>
            <w:r>
              <w:rPr>
                <w:rFonts w:ascii="宋体" w:hAnsi="宋体"/>
                <w:color w:val="auto"/>
                <w:szCs w:val="21"/>
                <w:highlight w:val="none"/>
                <w:u w:val="single"/>
              </w:rPr>
              <w:t xml:space="preserve">   </w:t>
            </w:r>
            <w:r>
              <w:rPr>
                <w:rFonts w:hint="eastAsia" w:ascii="宋体" w:hAnsi="宋体"/>
                <w:b/>
                <w:bCs/>
                <w:color w:val="auto"/>
                <w:szCs w:val="21"/>
                <w:highlight w:val="none"/>
              </w:rPr>
              <w:t xml:space="preserve"> 。</w:t>
            </w:r>
          </w:p>
        </w:tc>
      </w:tr>
    </w:tbl>
    <w:p>
      <w:pPr>
        <w:snapToGrid w:val="0"/>
        <w:spacing w:before="50" w:after="50" w:line="360" w:lineRule="auto"/>
        <w:ind w:left="-23" w:leftChars="-11" w:right="27" w:rightChars="13" w:firstLine="21" w:firstLineChars="10"/>
        <w:rPr>
          <w:rFonts w:ascii="宋体" w:hAnsi="宋体"/>
          <w:color w:val="auto"/>
          <w:szCs w:val="21"/>
          <w:highlight w:val="none"/>
        </w:rPr>
      </w:pPr>
      <w:r>
        <w:rPr>
          <w:rFonts w:ascii="宋体" w:hAnsi="宋体"/>
          <w:color w:val="auto"/>
          <w:szCs w:val="21"/>
          <w:highlight w:val="none"/>
        </w:rPr>
        <w:t>注：</w:t>
      </w:r>
    </w:p>
    <w:p>
      <w:pPr>
        <w:snapToGrid w:val="0"/>
        <w:spacing w:before="50" w:after="50" w:line="360" w:lineRule="auto"/>
        <w:ind w:left="-23" w:leftChars="-11" w:right="27" w:rightChars="13" w:firstLine="21" w:firstLineChars="10"/>
        <w:rPr>
          <w:rFonts w:ascii="宋体" w:hAnsi="宋体"/>
          <w:color w:val="auto"/>
          <w:szCs w:val="21"/>
          <w:highlight w:val="none"/>
        </w:rPr>
      </w:pPr>
      <w:r>
        <w:rPr>
          <w:rFonts w:ascii="宋体" w:hAnsi="宋体"/>
          <w:b/>
          <w:bCs/>
          <w:color w:val="auto"/>
          <w:szCs w:val="21"/>
          <w:highlight w:val="none"/>
        </w:rPr>
        <w:t>1.</w:t>
      </w:r>
      <w:r>
        <w:rPr>
          <w:rFonts w:ascii="宋体" w:hAnsi="宋体"/>
          <w:b/>
          <w:bCs/>
          <w:color w:val="auto"/>
          <w:szCs w:val="21"/>
          <w:highlight w:val="none"/>
          <w:u w:val="single"/>
        </w:rPr>
        <w:t>提供检测资质附表扫描件并标出相关检测项目序号、页数供评委核查，不标明序号的导致评委难以查找核对的，将导致对其不利的评定，后果由投标人自行承担</w:t>
      </w:r>
      <w:r>
        <w:rPr>
          <w:rFonts w:ascii="宋体" w:hAnsi="宋体"/>
          <w:b/>
          <w:bCs/>
          <w:color w:val="auto"/>
          <w:szCs w:val="21"/>
          <w:highlight w:val="none"/>
        </w:rPr>
        <w:t>。</w:t>
      </w:r>
    </w:p>
    <w:p>
      <w:pPr>
        <w:snapToGrid w:val="0"/>
        <w:spacing w:before="50" w:after="50" w:line="360" w:lineRule="auto"/>
        <w:ind w:left="-23" w:leftChars="-11" w:right="27" w:rightChars="13" w:firstLine="21" w:firstLineChars="10"/>
        <w:rPr>
          <w:rFonts w:ascii="宋体" w:hAnsi="宋体"/>
          <w:color w:val="auto"/>
          <w:szCs w:val="21"/>
          <w:highlight w:val="none"/>
        </w:rPr>
      </w:pPr>
      <w:r>
        <w:rPr>
          <w:rFonts w:ascii="宋体" w:hAnsi="宋体"/>
          <w:color w:val="auto"/>
          <w:szCs w:val="21"/>
          <w:highlight w:val="none"/>
        </w:rPr>
        <w:t>2.投标人必须保证检测资质附表品种检测项目在合同履行过程中始终保持有效。</w:t>
      </w:r>
    </w:p>
    <w:p>
      <w:pPr>
        <w:pStyle w:val="18"/>
        <w:rPr>
          <w:rFonts w:ascii="宋体" w:hAnsi="宋体"/>
          <w:color w:val="auto"/>
          <w:kern w:val="2"/>
          <w:sz w:val="21"/>
          <w:szCs w:val="21"/>
          <w:highlight w:val="none"/>
        </w:rPr>
      </w:pPr>
      <w:r>
        <w:rPr>
          <w:rFonts w:ascii="宋体" w:hAnsi="宋体"/>
          <w:color w:val="auto"/>
          <w:kern w:val="2"/>
          <w:sz w:val="21"/>
          <w:szCs w:val="21"/>
          <w:highlight w:val="none"/>
        </w:rPr>
        <w:t>3.</w:t>
      </w:r>
      <w:r>
        <w:rPr>
          <w:rFonts w:hint="eastAsia" w:ascii="宋体" w:hAnsi="宋体"/>
          <w:color w:val="auto"/>
          <w:sz w:val="21"/>
          <w:szCs w:val="21"/>
          <w:highlight w:val="none"/>
        </w:rPr>
        <w:t>《国家食品安全监督抽检实施细则》</w:t>
      </w:r>
      <w:r>
        <w:rPr>
          <w:rFonts w:hint="eastAsia" w:ascii="宋体" w:hAnsi="宋体"/>
          <w:color w:val="auto"/>
          <w:kern w:val="2"/>
          <w:sz w:val="21"/>
          <w:szCs w:val="21"/>
          <w:highlight w:val="none"/>
        </w:rPr>
        <w:t>中</w:t>
      </w:r>
      <w:r>
        <w:rPr>
          <w:rFonts w:ascii="宋体" w:hAnsi="宋体"/>
          <w:color w:val="auto"/>
          <w:kern w:val="2"/>
          <w:sz w:val="21"/>
          <w:szCs w:val="21"/>
          <w:highlight w:val="none"/>
        </w:rPr>
        <w:t>检测方法有多个的，只要符合其中一种即可。</w:t>
      </w:r>
    </w:p>
    <w:p>
      <w:pPr>
        <w:snapToGrid w:val="0"/>
        <w:spacing w:line="360" w:lineRule="auto"/>
        <w:ind w:firstLine="4200" w:firstLineChars="2000"/>
        <w:rPr>
          <w:rFonts w:ascii="宋体" w:hAnsi="宋体"/>
          <w:color w:val="auto"/>
          <w:szCs w:val="21"/>
          <w:highlight w:val="none"/>
        </w:rPr>
      </w:pPr>
    </w:p>
    <w:p>
      <w:pPr>
        <w:snapToGrid w:val="0"/>
        <w:spacing w:line="360" w:lineRule="auto"/>
        <w:ind w:firstLine="4200" w:firstLineChars="2000"/>
        <w:rPr>
          <w:rFonts w:ascii="宋体" w:hAnsi="宋体"/>
          <w:color w:val="auto"/>
          <w:szCs w:val="21"/>
          <w:highlight w:val="none"/>
          <w:u w:val="single"/>
        </w:rPr>
      </w:pPr>
      <w:r>
        <w:rPr>
          <w:rFonts w:ascii="宋体" w:hAnsi="宋体"/>
          <w:color w:val="auto"/>
          <w:szCs w:val="21"/>
          <w:highlight w:val="none"/>
        </w:rPr>
        <w:t>投标人：</w:t>
      </w:r>
      <w:r>
        <w:rPr>
          <w:rFonts w:ascii="宋体" w:hAnsi="宋体"/>
          <w:color w:val="auto"/>
          <w:szCs w:val="21"/>
          <w:highlight w:val="none"/>
          <w:u w:val="single"/>
        </w:rPr>
        <w:t xml:space="preserve">   （填写全称并加盖公章) </w:t>
      </w:r>
    </w:p>
    <w:p>
      <w:pPr>
        <w:snapToGrid w:val="0"/>
        <w:spacing w:line="360" w:lineRule="auto"/>
        <w:ind w:firstLine="4252" w:firstLineChars="2025"/>
        <w:rPr>
          <w:rFonts w:ascii="宋体" w:hAnsi="宋体"/>
          <w:color w:val="auto"/>
          <w:szCs w:val="21"/>
          <w:highlight w:val="none"/>
        </w:rPr>
      </w:pPr>
      <w:r>
        <w:rPr>
          <w:rFonts w:ascii="宋体" w:hAnsi="宋体"/>
          <w:color w:val="auto"/>
          <w:szCs w:val="21"/>
          <w:highlight w:val="none"/>
        </w:rPr>
        <w:t>日  期：</w:t>
      </w:r>
    </w:p>
    <w:p>
      <w:pPr>
        <w:rPr>
          <w:rFonts w:ascii="宋体" w:hAnsi="宋体"/>
          <w:color w:val="auto"/>
          <w:szCs w:val="21"/>
          <w:highlight w:val="none"/>
        </w:rPr>
      </w:pPr>
      <w:r>
        <w:rPr>
          <w:rFonts w:ascii="宋体" w:hAnsi="宋体"/>
          <w:color w:val="auto"/>
          <w:szCs w:val="21"/>
          <w:highlight w:val="none"/>
        </w:rPr>
        <w:br w:type="page"/>
      </w:r>
    </w:p>
    <w:p>
      <w:pPr>
        <w:snapToGrid w:val="0"/>
        <w:spacing w:line="360" w:lineRule="auto"/>
        <w:ind w:right="-214" w:rightChars="-102"/>
        <w:jc w:val="left"/>
        <w:rPr>
          <w:rFonts w:ascii="宋体" w:hAnsi="宋体"/>
          <w:b/>
          <w:color w:val="auto"/>
          <w:szCs w:val="21"/>
          <w:highlight w:val="none"/>
        </w:rPr>
      </w:pPr>
      <w:r>
        <w:rPr>
          <w:rFonts w:ascii="宋体" w:hAnsi="宋体"/>
          <w:b/>
          <w:color w:val="auto"/>
          <w:szCs w:val="21"/>
          <w:highlight w:val="none"/>
        </w:rPr>
        <w:t>3.报价要求响应文件的有关格式</w:t>
      </w:r>
    </w:p>
    <w:p>
      <w:pPr>
        <w:pStyle w:val="20"/>
        <w:spacing w:line="360" w:lineRule="auto"/>
        <w:ind w:left="0" w:leftChars="0"/>
        <w:jc w:val="center"/>
        <w:rPr>
          <w:rFonts w:ascii="宋体" w:hAnsi="宋体"/>
          <w:color w:val="auto"/>
          <w:kern w:val="1"/>
          <w:sz w:val="21"/>
          <w:szCs w:val="21"/>
          <w:highlight w:val="none"/>
        </w:rPr>
      </w:pPr>
      <w:r>
        <w:rPr>
          <w:rFonts w:ascii="宋体" w:hAnsi="宋体"/>
          <w:b/>
          <w:color w:val="auto"/>
          <w:sz w:val="21"/>
          <w:szCs w:val="21"/>
          <w:highlight w:val="none"/>
        </w:rPr>
        <w:t>（1）开标一览表</w:t>
      </w:r>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689"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center"/>
              <w:rPr>
                <w:rFonts w:ascii="宋体" w:hAnsi="宋体"/>
                <w:color w:val="auto"/>
                <w:kern w:val="2"/>
                <w:sz w:val="21"/>
                <w:szCs w:val="21"/>
                <w:highlight w:val="none"/>
              </w:rPr>
            </w:pPr>
            <w:r>
              <w:rPr>
                <w:rFonts w:ascii="宋体" w:hAnsi="宋体"/>
                <w:color w:val="auto"/>
                <w:kern w:val="2"/>
                <w:sz w:val="21"/>
                <w:szCs w:val="21"/>
                <w:highlight w:val="none"/>
              </w:rPr>
              <w:t>项目名称</w:t>
            </w:r>
          </w:p>
        </w:tc>
        <w:tc>
          <w:tcPr>
            <w:tcW w:w="5528" w:type="dxa"/>
            <w:tcBorders>
              <w:top w:val="single" w:color="auto" w:sz="4" w:space="0"/>
              <w:left w:val="single" w:color="auto" w:sz="4" w:space="0"/>
              <w:bottom w:val="single" w:color="auto" w:sz="4" w:space="0"/>
              <w:right w:val="single" w:color="auto" w:sz="4" w:space="0"/>
            </w:tcBorders>
            <w:vAlign w:val="center"/>
          </w:tcPr>
          <w:p>
            <w:pPr>
              <w:pStyle w:val="20"/>
              <w:spacing w:after="0"/>
              <w:ind w:left="36" w:leftChars="17"/>
              <w:jc w:val="center"/>
              <w:rPr>
                <w:rFonts w:ascii="宋体" w:hAnsi="宋体"/>
                <w:color w:val="auto"/>
                <w:kern w:val="2"/>
                <w:sz w:val="21"/>
                <w:szCs w:val="21"/>
                <w:highlight w:val="none"/>
              </w:rPr>
            </w:pPr>
            <w:r>
              <w:rPr>
                <w:rFonts w:ascii="宋体" w:hAnsi="宋体"/>
                <w:color w:val="auto"/>
                <w:kern w:val="2"/>
                <w:sz w:val="21"/>
                <w:szCs w:val="21"/>
                <w:highlight w:val="none"/>
              </w:rPr>
              <w:t>2024年宁波市食品安全抽检监测项目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89"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color w:val="auto"/>
                <w:sz w:val="21"/>
                <w:szCs w:val="21"/>
                <w:highlight w:val="none"/>
              </w:rPr>
            </w:pPr>
            <w:r>
              <w:rPr>
                <w:rFonts w:ascii="宋体" w:hAnsi="宋体"/>
                <w:color w:val="auto"/>
                <w:kern w:val="2"/>
                <w:sz w:val="21"/>
                <w:szCs w:val="21"/>
                <w:highlight w:val="none"/>
              </w:rPr>
              <w:t>项目编号</w:t>
            </w:r>
          </w:p>
        </w:tc>
        <w:tc>
          <w:tcPr>
            <w:tcW w:w="5528"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color w:val="auto"/>
                <w:kern w:val="2"/>
                <w:sz w:val="21"/>
                <w:szCs w:val="21"/>
                <w:highlight w:val="none"/>
              </w:rPr>
            </w:pPr>
            <w:r>
              <w:rPr>
                <w:rFonts w:ascii="宋体" w:hAnsi="宋体"/>
                <w:color w:val="auto"/>
                <w:kern w:val="2"/>
                <w:sz w:val="21"/>
                <w:szCs w:val="21"/>
                <w:highlight w:val="none"/>
              </w:rPr>
              <w:t>NBMC-20242099G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89"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color w:val="auto"/>
                <w:kern w:val="2"/>
                <w:sz w:val="21"/>
                <w:szCs w:val="21"/>
                <w:highlight w:val="none"/>
              </w:rPr>
            </w:pPr>
            <w:r>
              <w:rPr>
                <w:rFonts w:ascii="宋体" w:hAnsi="宋体"/>
                <w:color w:val="auto"/>
                <w:kern w:val="2"/>
                <w:sz w:val="21"/>
                <w:szCs w:val="21"/>
                <w:highlight w:val="none"/>
              </w:rPr>
              <w:t>标项</w:t>
            </w:r>
          </w:p>
        </w:tc>
        <w:tc>
          <w:tcPr>
            <w:tcW w:w="5528"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89"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color w:val="auto"/>
                <w:sz w:val="21"/>
                <w:szCs w:val="21"/>
                <w:highlight w:val="none"/>
              </w:rPr>
            </w:pPr>
            <w:r>
              <w:rPr>
                <w:rFonts w:ascii="宋体" w:hAnsi="宋体"/>
                <w:color w:val="auto"/>
                <w:kern w:val="2"/>
                <w:sz w:val="21"/>
                <w:szCs w:val="21"/>
                <w:highlight w:val="none"/>
              </w:rPr>
              <w:t>投标报价</w:t>
            </w:r>
            <w:r>
              <w:rPr>
                <w:rFonts w:ascii="宋体" w:hAnsi="宋体"/>
                <w:color w:val="auto"/>
                <w:sz w:val="21"/>
                <w:szCs w:val="21"/>
                <w:highlight w:val="none"/>
              </w:rPr>
              <w:t>（下浮率）</w:t>
            </w:r>
          </w:p>
        </w:tc>
        <w:tc>
          <w:tcPr>
            <w:tcW w:w="5528"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color w:val="auto"/>
                <w:kern w:val="2"/>
                <w:sz w:val="21"/>
                <w:szCs w:val="21"/>
                <w:highlight w:val="none"/>
              </w:rPr>
            </w:pPr>
            <w:r>
              <w:rPr>
                <w:rFonts w:ascii="宋体" w:hAnsi="宋体"/>
                <w:color w:val="auto"/>
                <w:kern w:val="2"/>
                <w:sz w:val="21"/>
                <w:szCs w:val="21"/>
                <w:highlight w:val="none"/>
              </w:rPr>
              <w:t>%</w:t>
            </w:r>
          </w:p>
        </w:tc>
      </w:tr>
    </w:tbl>
    <w:p>
      <w:pPr>
        <w:snapToGrid w:val="0"/>
        <w:spacing w:before="50" w:after="50" w:line="360" w:lineRule="auto"/>
        <w:ind w:left="-23" w:leftChars="-11" w:right="27" w:rightChars="13" w:firstLine="21" w:firstLineChars="10"/>
        <w:rPr>
          <w:rFonts w:ascii="宋体" w:hAnsi="宋体"/>
          <w:bCs/>
          <w:color w:val="auto"/>
          <w:szCs w:val="21"/>
          <w:highlight w:val="none"/>
        </w:rPr>
      </w:pPr>
      <w:r>
        <w:rPr>
          <w:rFonts w:ascii="宋体" w:hAnsi="宋体"/>
          <w:bCs/>
          <w:color w:val="auto"/>
          <w:szCs w:val="21"/>
          <w:highlight w:val="none"/>
        </w:rPr>
        <w:t>注：</w:t>
      </w:r>
    </w:p>
    <w:p>
      <w:pPr>
        <w:snapToGrid w:val="0"/>
        <w:spacing w:before="50" w:after="50" w:line="360" w:lineRule="auto"/>
        <w:ind w:left="-23" w:leftChars="-11" w:right="27" w:rightChars="13" w:firstLine="21" w:firstLineChars="10"/>
        <w:rPr>
          <w:rFonts w:ascii="宋体" w:hAnsi="宋体"/>
          <w:bCs/>
          <w:color w:val="auto"/>
          <w:szCs w:val="21"/>
          <w:highlight w:val="none"/>
        </w:rPr>
      </w:pPr>
      <w:r>
        <w:rPr>
          <w:rFonts w:ascii="宋体" w:hAnsi="宋体"/>
          <w:bCs/>
          <w:color w:val="auto"/>
          <w:szCs w:val="21"/>
          <w:highlight w:val="none"/>
        </w:rPr>
        <w:t>1.报价一经涂改，应在涂改处加盖单位公章或由法定代表人或其授权代表签字，否则评标委员会将不接受该修改内容。</w:t>
      </w:r>
    </w:p>
    <w:p>
      <w:pPr>
        <w:snapToGrid w:val="0"/>
        <w:spacing w:before="50" w:after="50" w:line="360" w:lineRule="auto"/>
        <w:ind w:left="-23" w:leftChars="-11" w:right="27" w:rightChars="13" w:firstLine="21" w:firstLineChars="10"/>
        <w:rPr>
          <w:rFonts w:ascii="宋体" w:hAnsi="宋体"/>
          <w:b/>
          <w:bCs/>
          <w:color w:val="auto"/>
          <w:szCs w:val="21"/>
          <w:highlight w:val="none"/>
        </w:rPr>
      </w:pPr>
      <w:r>
        <w:rPr>
          <w:rFonts w:ascii="宋体" w:hAnsi="宋体"/>
          <w:bCs/>
          <w:color w:val="auto"/>
          <w:szCs w:val="21"/>
          <w:highlight w:val="none"/>
        </w:rPr>
        <w:t>2.下浮率以“%”的形式填写，投标人在</w:t>
      </w:r>
      <w:r>
        <w:rPr>
          <w:rFonts w:ascii="宋体" w:hAnsi="宋体"/>
          <w:b/>
          <w:bCs/>
          <w:color w:val="auto"/>
          <w:szCs w:val="21"/>
          <w:highlight w:val="none"/>
        </w:rPr>
        <w:t>《食品安全检验项目限价表》</w:t>
      </w:r>
      <w:r>
        <w:rPr>
          <w:rFonts w:ascii="宋体" w:hAnsi="宋体"/>
          <w:bCs/>
          <w:color w:val="auto"/>
          <w:szCs w:val="21"/>
          <w:highlight w:val="none"/>
        </w:rPr>
        <w:t>的检测费最高限价基础上进行报价，如优惠10%的应填写为“10%”，百分号前保留整数，本采购项目所有涉及的检验项目的下浮率必须一致，即只有一个下浮率报价，</w:t>
      </w:r>
      <w:r>
        <w:rPr>
          <w:rFonts w:ascii="宋体" w:hAnsi="宋体"/>
          <w:b/>
          <w:bCs/>
          <w:color w:val="auto"/>
          <w:szCs w:val="21"/>
          <w:highlight w:val="none"/>
        </w:rPr>
        <w:t>出现不一致的下浮率报价情况或要求按照不同的下浮率进行结算的视为报价含有附加条件，按照投标无效处理。</w:t>
      </w:r>
    </w:p>
    <w:p>
      <w:pPr>
        <w:snapToGrid w:val="0"/>
        <w:spacing w:before="50" w:after="50" w:line="360" w:lineRule="auto"/>
        <w:ind w:left="-23" w:leftChars="-11" w:right="27" w:rightChars="13" w:firstLine="21" w:firstLineChars="10"/>
        <w:rPr>
          <w:rFonts w:ascii="宋体" w:hAnsi="宋体"/>
          <w:bCs/>
          <w:color w:val="auto"/>
          <w:szCs w:val="21"/>
          <w:highlight w:val="none"/>
        </w:rPr>
      </w:pPr>
      <w:r>
        <w:rPr>
          <w:rFonts w:ascii="宋体" w:hAnsi="宋体"/>
          <w:bCs/>
          <w:color w:val="auto"/>
          <w:szCs w:val="21"/>
          <w:highlight w:val="none"/>
        </w:rPr>
        <w:t>3.投标报价高与低的认定：例如下浮率为20%的投标价格低于下浮率为10%的投标价格，在价格评议中以20%的下浮率作为评标基准价。</w:t>
      </w:r>
    </w:p>
    <w:p>
      <w:pPr>
        <w:snapToGrid w:val="0"/>
        <w:spacing w:before="50" w:after="50" w:line="360" w:lineRule="auto"/>
        <w:ind w:left="-23" w:leftChars="-11" w:right="27" w:rightChars="13" w:firstLine="21" w:firstLineChars="10"/>
        <w:rPr>
          <w:rFonts w:ascii="宋体" w:hAnsi="宋体"/>
          <w:color w:val="auto"/>
          <w:szCs w:val="21"/>
          <w:highlight w:val="none"/>
        </w:rPr>
      </w:pPr>
      <w:r>
        <w:rPr>
          <w:rFonts w:ascii="宋体" w:hAnsi="宋体"/>
          <w:color w:val="auto"/>
          <w:szCs w:val="21"/>
          <w:highlight w:val="none"/>
        </w:rPr>
        <w:t>4.在最高限价基础上，投标报价下浮超过20%（不含）的投标人应当提供对其报价的合理性及成本核算详细说明，相关材料编制在投标文件的报价要求响应文件中。投标报价合理性及成本核算详细说明材料应结合总体任务批次要求进行测算，应包括但不限于检测人员工资、抽样人员工资、仪器设备折旧、水电物业、试剂耗材、</w:t>
      </w:r>
      <w:r>
        <w:rPr>
          <w:rFonts w:hint="eastAsia" w:ascii="宋体" w:hAnsi="宋体"/>
          <w:color w:val="auto"/>
          <w:szCs w:val="21"/>
          <w:highlight w:val="none"/>
        </w:rPr>
        <w:t>买样费、</w:t>
      </w:r>
      <w:r>
        <w:rPr>
          <w:rFonts w:ascii="宋体" w:hAnsi="宋体"/>
          <w:color w:val="auto"/>
          <w:szCs w:val="21"/>
          <w:highlight w:val="none"/>
        </w:rPr>
        <w:t>交通费、税费等。</w:t>
      </w:r>
    </w:p>
    <w:p>
      <w:pPr>
        <w:spacing w:line="360" w:lineRule="auto"/>
        <w:ind w:firstLine="420" w:firstLineChars="200"/>
        <w:rPr>
          <w:rFonts w:ascii="宋体" w:hAnsi="宋体"/>
          <w:color w:val="auto"/>
          <w:szCs w:val="21"/>
          <w:highlight w:val="none"/>
        </w:rPr>
      </w:pPr>
    </w:p>
    <w:p>
      <w:pPr>
        <w:pStyle w:val="18"/>
        <w:rPr>
          <w:rFonts w:ascii="宋体" w:hAnsi="宋体"/>
          <w:color w:val="auto"/>
          <w:sz w:val="21"/>
          <w:szCs w:val="21"/>
          <w:highlight w:val="none"/>
        </w:rPr>
      </w:pPr>
    </w:p>
    <w:p>
      <w:pPr>
        <w:snapToGrid w:val="0"/>
        <w:spacing w:line="360" w:lineRule="auto"/>
        <w:ind w:firstLine="3685" w:firstLineChars="1755"/>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（填写全称并加盖公章)</w:t>
      </w:r>
    </w:p>
    <w:p>
      <w:pPr>
        <w:snapToGrid w:val="0"/>
        <w:spacing w:line="360" w:lineRule="auto"/>
        <w:ind w:firstLine="3685" w:firstLineChars="1755"/>
        <w:rPr>
          <w:rFonts w:ascii="宋体" w:hAnsi="宋体"/>
          <w:color w:val="auto"/>
          <w:szCs w:val="21"/>
          <w:highlight w:val="none"/>
        </w:rPr>
      </w:pPr>
      <w:r>
        <w:rPr>
          <w:rFonts w:ascii="宋体" w:hAnsi="宋体"/>
          <w:color w:val="auto"/>
          <w:szCs w:val="21"/>
          <w:highlight w:val="none"/>
        </w:rPr>
        <w:t>日  期：</w:t>
      </w:r>
    </w:p>
    <w:p>
      <w:pPr>
        <w:pStyle w:val="20"/>
        <w:spacing w:line="360" w:lineRule="auto"/>
        <w:ind w:left="0" w:leftChars="0"/>
        <w:jc w:val="center"/>
        <w:rPr>
          <w:rFonts w:ascii="宋体" w:hAnsi="宋体"/>
          <w:color w:val="auto"/>
          <w:sz w:val="21"/>
          <w:szCs w:val="21"/>
          <w:highlight w:val="none"/>
        </w:rPr>
      </w:pPr>
      <w:r>
        <w:rPr>
          <w:rFonts w:ascii="宋体" w:hAnsi="宋体"/>
          <w:b/>
          <w:color w:val="auto"/>
          <w:sz w:val="21"/>
          <w:szCs w:val="21"/>
          <w:highlight w:val="none"/>
        </w:rPr>
        <w:br w:type="page"/>
      </w:r>
    </w:p>
    <w:p>
      <w:pPr>
        <w:pStyle w:val="20"/>
        <w:spacing w:line="360" w:lineRule="auto"/>
        <w:ind w:left="0" w:leftChars="0"/>
        <w:jc w:val="center"/>
        <w:rPr>
          <w:rFonts w:ascii="宋体" w:hAnsi="宋体"/>
          <w:color w:val="auto"/>
          <w:sz w:val="21"/>
          <w:szCs w:val="21"/>
          <w:highlight w:val="none"/>
        </w:rPr>
      </w:pPr>
      <w:r>
        <w:rPr>
          <w:rFonts w:ascii="宋体" w:hAnsi="宋体"/>
          <w:b/>
          <w:color w:val="auto"/>
          <w:sz w:val="21"/>
          <w:szCs w:val="21"/>
          <w:highlight w:val="none"/>
        </w:rPr>
        <w:t>（2）中小企业声明函</w:t>
      </w:r>
    </w:p>
    <w:p>
      <w:pPr>
        <w:snapToGrid w:val="0"/>
        <w:spacing w:line="360" w:lineRule="auto"/>
        <w:ind w:left="-23" w:leftChars="-11" w:right="-214" w:rightChars="-102" w:firstLine="447" w:firstLineChars="213"/>
        <w:jc w:val="left"/>
        <w:rPr>
          <w:rFonts w:ascii="宋体" w:hAnsi="宋体"/>
          <w:color w:val="auto"/>
          <w:szCs w:val="21"/>
          <w:highlight w:val="none"/>
        </w:rPr>
      </w:pPr>
      <w:r>
        <w:rPr>
          <w:rFonts w:ascii="宋体" w:hAnsi="宋体"/>
          <w:color w:val="auto"/>
          <w:szCs w:val="21"/>
          <w:highlight w:val="none"/>
        </w:rPr>
        <w:t>本公司（联合体）郑重声明，根据《政府采购促进中小企业发展管理办法》（财库﹝2020﹞46号）的规定，本公司（联合体）参加</w:t>
      </w:r>
      <w:r>
        <w:rPr>
          <w:rFonts w:ascii="宋体" w:hAnsi="宋体"/>
          <w:color w:val="auto"/>
          <w:szCs w:val="21"/>
          <w:highlight w:val="none"/>
          <w:u w:val="single"/>
        </w:rPr>
        <w:t xml:space="preserve">  </w:t>
      </w:r>
      <w:r>
        <w:rPr>
          <w:rFonts w:ascii="宋体" w:hAnsi="宋体"/>
          <w:b/>
          <w:color w:val="auto"/>
          <w:szCs w:val="21"/>
          <w:highlight w:val="none"/>
          <w:u w:val="single"/>
        </w:rPr>
        <w:t xml:space="preserve">宁波市市场监督管理局 </w:t>
      </w:r>
      <w:r>
        <w:rPr>
          <w:rFonts w:ascii="宋体" w:hAnsi="宋体"/>
          <w:color w:val="auto"/>
          <w:szCs w:val="21"/>
          <w:highlight w:val="none"/>
          <w:u w:val="single"/>
        </w:rPr>
        <w:t xml:space="preserve"> </w:t>
      </w:r>
      <w:r>
        <w:rPr>
          <w:rFonts w:ascii="宋体" w:hAnsi="宋体"/>
          <w:color w:val="auto"/>
          <w:szCs w:val="21"/>
          <w:highlight w:val="none"/>
        </w:rPr>
        <w:t>的</w:t>
      </w:r>
      <w:r>
        <w:rPr>
          <w:rFonts w:ascii="宋体" w:hAnsi="宋体"/>
          <w:color w:val="auto"/>
          <w:szCs w:val="21"/>
          <w:highlight w:val="none"/>
          <w:u w:val="single"/>
        </w:rPr>
        <w:t xml:space="preserve"> </w:t>
      </w:r>
      <w:r>
        <w:rPr>
          <w:rFonts w:ascii="宋体" w:hAnsi="宋体"/>
          <w:b/>
          <w:color w:val="auto"/>
          <w:szCs w:val="21"/>
          <w:highlight w:val="none"/>
          <w:u w:val="single"/>
        </w:rPr>
        <w:t>2024年宁波市食品安全抽检监测项目</w:t>
      </w:r>
      <w:r>
        <w:rPr>
          <w:rFonts w:ascii="宋体" w:hAnsi="宋体"/>
          <w:color w:val="auto"/>
          <w:szCs w:val="21"/>
          <w:highlight w:val="none"/>
          <w:u w:val="single"/>
        </w:rPr>
        <w:t xml:space="preserve"> </w:t>
      </w:r>
      <w:r>
        <w:rPr>
          <w:rFonts w:ascii="宋体" w:hAnsi="宋体"/>
          <w:color w:val="auto"/>
          <w:szCs w:val="21"/>
          <w:highlight w:val="none"/>
        </w:rPr>
        <w:t>采购活动，服务全部由符合政策要求的中小企业承接。相关企业（含联合体中的中小企业、签订分包意向协议的中小企业）的具体情况如下：</w:t>
      </w:r>
    </w:p>
    <w:p>
      <w:pPr>
        <w:snapToGrid w:val="0"/>
        <w:spacing w:line="360" w:lineRule="auto"/>
        <w:ind w:left="-23" w:leftChars="-11" w:right="-214" w:rightChars="-102" w:firstLine="447" w:firstLineChars="213"/>
        <w:jc w:val="left"/>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 xml:space="preserve">  </w:t>
      </w:r>
      <w:r>
        <w:rPr>
          <w:rFonts w:ascii="宋体" w:hAnsi="宋体"/>
          <w:b/>
          <w:color w:val="auto"/>
          <w:szCs w:val="21"/>
          <w:highlight w:val="none"/>
          <w:u w:val="single"/>
        </w:rPr>
        <w:t>2024年宁波市食品安全抽检监测</w:t>
      </w:r>
      <w:r>
        <w:rPr>
          <w:rFonts w:ascii="宋体" w:hAnsi="宋体"/>
          <w:color w:val="auto"/>
          <w:szCs w:val="21"/>
          <w:highlight w:val="none"/>
          <w:u w:val="single"/>
        </w:rPr>
        <w:t xml:space="preserve">  </w:t>
      </w:r>
      <w:r>
        <w:rPr>
          <w:rFonts w:ascii="宋体" w:hAnsi="宋体"/>
          <w:color w:val="auto"/>
          <w:szCs w:val="21"/>
          <w:highlight w:val="none"/>
        </w:rPr>
        <w:t>，属于</w:t>
      </w:r>
      <w:r>
        <w:rPr>
          <w:rFonts w:ascii="宋体" w:hAnsi="宋体"/>
          <w:color w:val="auto"/>
          <w:szCs w:val="21"/>
          <w:highlight w:val="none"/>
          <w:u w:val="single"/>
        </w:rPr>
        <w:t xml:space="preserve">  </w:t>
      </w:r>
      <w:r>
        <w:rPr>
          <w:rFonts w:ascii="宋体" w:hAnsi="宋体"/>
          <w:b/>
          <w:color w:val="auto"/>
          <w:szCs w:val="21"/>
          <w:highlight w:val="none"/>
          <w:u w:val="single"/>
        </w:rPr>
        <w:t>其他未列明行业</w:t>
      </w:r>
      <w:r>
        <w:rPr>
          <w:rFonts w:ascii="宋体" w:hAnsi="宋体"/>
          <w:color w:val="auto"/>
          <w:szCs w:val="21"/>
          <w:highlight w:val="none"/>
          <w:u w:val="single"/>
        </w:rPr>
        <w:t xml:space="preserve">   </w:t>
      </w:r>
      <w:r>
        <w:rPr>
          <w:rFonts w:ascii="宋体" w:hAnsi="宋体"/>
          <w:color w:val="auto"/>
          <w:szCs w:val="21"/>
          <w:highlight w:val="none"/>
        </w:rPr>
        <w:t>；承接企业为</w:t>
      </w:r>
      <w:r>
        <w:rPr>
          <w:rFonts w:ascii="宋体" w:hAnsi="宋体"/>
          <w:color w:val="auto"/>
          <w:szCs w:val="21"/>
          <w:highlight w:val="none"/>
          <w:u w:val="single"/>
        </w:rPr>
        <w:t xml:space="preserve">  （企业名称）   </w:t>
      </w:r>
      <w:r>
        <w:rPr>
          <w:rFonts w:ascii="宋体" w:hAnsi="宋体"/>
          <w:color w:val="auto"/>
          <w:szCs w:val="21"/>
          <w:highlight w:val="none"/>
        </w:rPr>
        <w:t>，从业人员</w:t>
      </w:r>
      <w:r>
        <w:rPr>
          <w:rFonts w:ascii="宋体" w:hAnsi="宋体"/>
          <w:color w:val="auto"/>
          <w:szCs w:val="21"/>
          <w:highlight w:val="none"/>
          <w:u w:val="single"/>
        </w:rPr>
        <w:t xml:space="preserve">    </w:t>
      </w:r>
      <w:r>
        <w:rPr>
          <w:rFonts w:ascii="宋体" w:hAnsi="宋体"/>
          <w:color w:val="auto"/>
          <w:szCs w:val="21"/>
          <w:highlight w:val="none"/>
        </w:rPr>
        <w:t>人，营业收入为</w:t>
      </w:r>
      <w:r>
        <w:rPr>
          <w:rFonts w:ascii="宋体" w:hAnsi="宋体"/>
          <w:color w:val="auto"/>
          <w:szCs w:val="21"/>
          <w:highlight w:val="none"/>
          <w:u w:val="single"/>
        </w:rPr>
        <w:t xml:space="preserve">    </w:t>
      </w:r>
      <w:r>
        <w:rPr>
          <w:rFonts w:ascii="宋体" w:hAnsi="宋体"/>
          <w:color w:val="auto"/>
          <w:szCs w:val="21"/>
          <w:highlight w:val="none"/>
        </w:rPr>
        <w:t>万元，资产总额为</w:t>
      </w:r>
      <w:r>
        <w:rPr>
          <w:rFonts w:ascii="宋体" w:hAnsi="宋体"/>
          <w:color w:val="auto"/>
          <w:szCs w:val="21"/>
          <w:highlight w:val="none"/>
          <w:u w:val="single"/>
        </w:rPr>
        <w:t xml:space="preserve">    </w:t>
      </w:r>
      <w:r>
        <w:rPr>
          <w:rFonts w:ascii="宋体" w:hAnsi="宋体"/>
          <w:color w:val="auto"/>
          <w:szCs w:val="21"/>
          <w:highlight w:val="none"/>
        </w:rPr>
        <w:t>万元，属于</w:t>
      </w:r>
      <w:r>
        <w:rPr>
          <w:rFonts w:ascii="宋体" w:hAnsi="宋体"/>
          <w:color w:val="auto"/>
          <w:szCs w:val="21"/>
          <w:highlight w:val="none"/>
          <w:u w:val="single"/>
        </w:rPr>
        <w:t xml:space="preserve">      （中型企业、小型企业、微型企业）    </w:t>
      </w:r>
      <w:r>
        <w:rPr>
          <w:rFonts w:ascii="宋体" w:hAnsi="宋体"/>
          <w:color w:val="auto"/>
          <w:szCs w:val="21"/>
          <w:highlight w:val="none"/>
        </w:rPr>
        <w:t>；</w:t>
      </w:r>
    </w:p>
    <w:p>
      <w:pPr>
        <w:snapToGrid w:val="0"/>
        <w:spacing w:line="360" w:lineRule="auto"/>
        <w:ind w:left="-23" w:leftChars="-11" w:right="-214" w:rightChars="-102" w:firstLine="447" w:firstLineChars="213"/>
        <w:jc w:val="left"/>
        <w:rPr>
          <w:rFonts w:ascii="宋体" w:hAnsi="宋体"/>
          <w:color w:val="auto"/>
          <w:szCs w:val="21"/>
          <w:highlight w:val="none"/>
        </w:rPr>
      </w:pPr>
      <w:r>
        <w:rPr>
          <w:rFonts w:ascii="宋体" w:hAnsi="宋体"/>
          <w:color w:val="auto"/>
          <w:szCs w:val="21"/>
          <w:highlight w:val="none"/>
        </w:rPr>
        <w:t xml:space="preserve">2. </w:t>
      </w:r>
      <w:r>
        <w:rPr>
          <w:rFonts w:ascii="宋体" w:hAnsi="宋体"/>
          <w:color w:val="auto"/>
          <w:szCs w:val="21"/>
          <w:highlight w:val="none"/>
          <w:u w:val="single"/>
        </w:rPr>
        <w:t xml:space="preserve">  </w:t>
      </w:r>
      <w:r>
        <w:rPr>
          <w:rFonts w:ascii="宋体" w:hAnsi="宋体"/>
          <w:b/>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，属于</w:t>
      </w:r>
      <w:r>
        <w:rPr>
          <w:rFonts w:ascii="宋体" w:hAnsi="宋体"/>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；承接企业为</w:t>
      </w:r>
      <w:r>
        <w:rPr>
          <w:rFonts w:ascii="宋体" w:hAnsi="宋体"/>
          <w:color w:val="auto"/>
          <w:szCs w:val="21"/>
          <w:highlight w:val="none"/>
          <w:u w:val="single"/>
        </w:rPr>
        <w:t xml:space="preserve">  （企业名称）   </w:t>
      </w:r>
      <w:r>
        <w:rPr>
          <w:rFonts w:ascii="宋体" w:hAnsi="宋体"/>
          <w:color w:val="auto"/>
          <w:szCs w:val="21"/>
          <w:highlight w:val="none"/>
        </w:rPr>
        <w:t>，从业人员</w:t>
      </w:r>
      <w:r>
        <w:rPr>
          <w:rFonts w:ascii="宋体" w:hAnsi="宋体"/>
          <w:color w:val="auto"/>
          <w:szCs w:val="21"/>
          <w:highlight w:val="none"/>
          <w:u w:val="single"/>
        </w:rPr>
        <w:t xml:space="preserve">    </w:t>
      </w:r>
      <w:r>
        <w:rPr>
          <w:rFonts w:ascii="宋体" w:hAnsi="宋体"/>
          <w:color w:val="auto"/>
          <w:szCs w:val="21"/>
          <w:highlight w:val="none"/>
        </w:rPr>
        <w:t>人，营业收入为</w:t>
      </w:r>
      <w:r>
        <w:rPr>
          <w:rFonts w:ascii="宋体" w:hAnsi="宋体"/>
          <w:color w:val="auto"/>
          <w:szCs w:val="21"/>
          <w:highlight w:val="none"/>
          <w:u w:val="single"/>
        </w:rPr>
        <w:t xml:space="preserve">    </w:t>
      </w:r>
      <w:r>
        <w:rPr>
          <w:rFonts w:ascii="宋体" w:hAnsi="宋体"/>
          <w:color w:val="auto"/>
          <w:szCs w:val="21"/>
          <w:highlight w:val="none"/>
        </w:rPr>
        <w:t>万元，资产总额为</w:t>
      </w:r>
      <w:r>
        <w:rPr>
          <w:rFonts w:ascii="宋体" w:hAnsi="宋体"/>
          <w:color w:val="auto"/>
          <w:szCs w:val="21"/>
          <w:highlight w:val="none"/>
          <w:u w:val="single"/>
        </w:rPr>
        <w:t xml:space="preserve">    </w:t>
      </w:r>
      <w:r>
        <w:rPr>
          <w:rFonts w:ascii="宋体" w:hAnsi="宋体"/>
          <w:color w:val="auto"/>
          <w:szCs w:val="21"/>
          <w:highlight w:val="none"/>
        </w:rPr>
        <w:t>万元，属于</w:t>
      </w:r>
      <w:r>
        <w:rPr>
          <w:rFonts w:ascii="宋体" w:hAnsi="宋体"/>
          <w:color w:val="auto"/>
          <w:szCs w:val="21"/>
          <w:highlight w:val="none"/>
          <w:u w:val="single"/>
        </w:rPr>
        <w:t xml:space="preserve">      （中型企业、小型企业、微型企业）    </w:t>
      </w:r>
      <w:r>
        <w:rPr>
          <w:rFonts w:ascii="宋体" w:hAnsi="宋体"/>
          <w:color w:val="auto"/>
          <w:szCs w:val="21"/>
          <w:highlight w:val="none"/>
        </w:rPr>
        <w:t>；</w:t>
      </w:r>
    </w:p>
    <w:p>
      <w:pPr>
        <w:snapToGrid w:val="0"/>
        <w:spacing w:line="360" w:lineRule="auto"/>
        <w:ind w:left="-23" w:leftChars="-11" w:right="-214" w:rightChars="-102" w:firstLine="447" w:firstLineChars="213"/>
        <w:jc w:val="left"/>
        <w:rPr>
          <w:rFonts w:ascii="宋体" w:hAnsi="宋体"/>
          <w:color w:val="auto"/>
          <w:szCs w:val="21"/>
          <w:highlight w:val="none"/>
        </w:rPr>
      </w:pPr>
      <w:r>
        <w:rPr>
          <w:rFonts w:ascii="宋体" w:hAnsi="宋体"/>
          <w:color w:val="auto"/>
          <w:szCs w:val="21"/>
          <w:highlight w:val="none"/>
        </w:rPr>
        <w:t>……</w:t>
      </w:r>
    </w:p>
    <w:p>
      <w:pPr>
        <w:snapToGrid w:val="0"/>
        <w:spacing w:line="360" w:lineRule="auto"/>
        <w:ind w:left="-23" w:leftChars="-11" w:right="-214" w:rightChars="-102" w:firstLine="447" w:firstLineChars="213"/>
        <w:jc w:val="left"/>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4676" w:firstLineChars="2227"/>
        <w:jc w:val="left"/>
        <w:rPr>
          <w:rFonts w:ascii="宋体" w:hAnsi="宋体"/>
          <w:color w:val="auto"/>
          <w:szCs w:val="21"/>
          <w:highlight w:val="none"/>
        </w:rPr>
      </w:pPr>
    </w:p>
    <w:p>
      <w:pPr>
        <w:spacing w:line="360" w:lineRule="auto"/>
        <w:ind w:firstLine="4676" w:firstLineChars="2227"/>
        <w:jc w:val="left"/>
        <w:rPr>
          <w:rFonts w:ascii="宋体" w:hAnsi="宋体"/>
          <w:color w:val="auto"/>
          <w:szCs w:val="21"/>
          <w:highlight w:val="none"/>
        </w:rPr>
      </w:pPr>
    </w:p>
    <w:p>
      <w:pPr>
        <w:spacing w:line="360" w:lineRule="auto"/>
        <w:ind w:firstLine="4676" w:firstLineChars="2227"/>
        <w:jc w:val="left"/>
        <w:rPr>
          <w:rFonts w:ascii="宋体" w:hAnsi="宋体"/>
          <w:color w:val="auto"/>
          <w:szCs w:val="21"/>
          <w:highlight w:val="none"/>
        </w:rPr>
      </w:pPr>
      <w:r>
        <w:rPr>
          <w:rFonts w:ascii="宋体" w:hAnsi="宋体"/>
          <w:color w:val="auto"/>
          <w:szCs w:val="21"/>
          <w:highlight w:val="none"/>
        </w:rPr>
        <w:t>企业名称（盖章）：</w:t>
      </w:r>
    </w:p>
    <w:p>
      <w:pPr>
        <w:spacing w:line="360" w:lineRule="auto"/>
        <w:ind w:firstLine="4676" w:firstLineChars="2227"/>
        <w:jc w:val="left"/>
        <w:rPr>
          <w:rFonts w:ascii="宋体" w:hAnsi="宋体"/>
          <w:color w:val="auto"/>
          <w:szCs w:val="21"/>
          <w:highlight w:val="none"/>
        </w:rPr>
      </w:pPr>
      <w:r>
        <w:rPr>
          <w:rFonts w:ascii="宋体" w:hAnsi="宋体"/>
          <w:color w:val="auto"/>
          <w:szCs w:val="21"/>
          <w:highlight w:val="none"/>
        </w:rPr>
        <w:t>日 期</w:t>
      </w:r>
    </w:p>
    <w:p>
      <w:pPr>
        <w:snapToGrid w:val="0"/>
        <w:spacing w:before="50" w:after="50" w:line="360" w:lineRule="auto"/>
        <w:ind w:left="-23" w:leftChars="-11" w:right="-214" w:rightChars="-102" w:firstLine="447" w:firstLineChars="213"/>
        <w:jc w:val="left"/>
        <w:rPr>
          <w:rFonts w:ascii="宋体" w:hAnsi="宋体"/>
          <w:color w:val="auto"/>
          <w:szCs w:val="21"/>
          <w:highlight w:val="none"/>
        </w:rPr>
      </w:pPr>
    </w:p>
    <w:p>
      <w:pPr>
        <w:snapToGrid w:val="0"/>
        <w:spacing w:before="50" w:after="50" w:line="360" w:lineRule="auto"/>
        <w:ind w:left="-23" w:leftChars="-11" w:right="-214" w:rightChars="-102" w:firstLine="21" w:firstLineChars="10"/>
        <w:jc w:val="left"/>
        <w:rPr>
          <w:rFonts w:ascii="宋体" w:hAnsi="宋体"/>
          <w:b/>
          <w:color w:val="auto"/>
          <w:szCs w:val="21"/>
          <w:highlight w:val="none"/>
        </w:rPr>
      </w:pPr>
      <w:r>
        <w:rPr>
          <w:rFonts w:ascii="宋体" w:hAnsi="宋体"/>
          <w:b/>
          <w:color w:val="auto"/>
          <w:szCs w:val="21"/>
          <w:highlight w:val="none"/>
        </w:rPr>
        <w:t>请投标人仔细阅读填写说明：</w:t>
      </w:r>
    </w:p>
    <w:p>
      <w:pPr>
        <w:snapToGrid w:val="0"/>
        <w:spacing w:before="50" w:after="50" w:line="360" w:lineRule="auto"/>
        <w:ind w:right="-214" w:rightChars="-102"/>
        <w:jc w:val="left"/>
        <w:rPr>
          <w:rFonts w:ascii="宋体" w:hAnsi="宋体"/>
          <w:b/>
          <w:color w:val="auto"/>
          <w:szCs w:val="21"/>
          <w:highlight w:val="none"/>
        </w:rPr>
      </w:pPr>
      <w:r>
        <w:rPr>
          <w:rFonts w:ascii="宋体" w:hAnsi="宋体"/>
          <w:b/>
          <w:color w:val="auto"/>
          <w:szCs w:val="21"/>
          <w:highlight w:val="none"/>
        </w:rPr>
        <w:t>1.本项目为服务采购项目，服务由中小企业承接，即提供服务的人员为中小企业依照《中华人民共和国劳动合同法》订立劳动合同的从业人员。</w:t>
      </w:r>
    </w:p>
    <w:p>
      <w:pPr>
        <w:snapToGrid w:val="0"/>
        <w:spacing w:before="50" w:after="50" w:line="360" w:lineRule="auto"/>
        <w:ind w:right="-214" w:rightChars="-102"/>
        <w:jc w:val="left"/>
        <w:rPr>
          <w:rFonts w:ascii="宋体" w:hAnsi="宋体"/>
          <w:b/>
          <w:color w:val="auto"/>
          <w:szCs w:val="21"/>
          <w:highlight w:val="none"/>
        </w:rPr>
      </w:pPr>
      <w:r>
        <w:rPr>
          <w:rFonts w:ascii="宋体" w:hAnsi="宋体"/>
          <w:b/>
          <w:color w:val="auto"/>
          <w:szCs w:val="21"/>
          <w:highlight w:val="none"/>
        </w:rPr>
        <w:t>2.从业人员、营业收入、资产总额填报上一年度数据，无上一年度数据的新成立企业可不填报。</w:t>
      </w:r>
    </w:p>
    <w:p>
      <w:pPr>
        <w:snapToGrid w:val="0"/>
        <w:spacing w:before="50" w:after="50" w:line="360" w:lineRule="auto"/>
        <w:ind w:right="-214" w:rightChars="-102"/>
        <w:jc w:val="left"/>
        <w:rPr>
          <w:rFonts w:ascii="宋体" w:hAnsi="宋体"/>
          <w:b/>
          <w:color w:val="auto"/>
          <w:szCs w:val="21"/>
          <w:highlight w:val="none"/>
        </w:rPr>
      </w:pPr>
      <w:r>
        <w:rPr>
          <w:rFonts w:ascii="宋体" w:hAnsi="宋体"/>
          <w:b/>
          <w:color w:val="auto"/>
          <w:szCs w:val="21"/>
          <w:highlight w:val="none"/>
        </w:rPr>
        <w:t>3.投标人应当对其出具的《中小企业声明函》真实性负责，出具的《中小企业声明函》内容不实的，属于提供虚假材料。</w:t>
      </w:r>
    </w:p>
    <w:p>
      <w:pPr>
        <w:snapToGrid w:val="0"/>
        <w:spacing w:before="50" w:after="50" w:line="360" w:lineRule="auto"/>
        <w:ind w:right="-214" w:rightChars="-102"/>
        <w:jc w:val="left"/>
        <w:rPr>
          <w:rFonts w:ascii="宋体" w:hAnsi="宋体"/>
          <w:b/>
          <w:color w:val="auto"/>
          <w:szCs w:val="21"/>
          <w:highlight w:val="none"/>
        </w:rPr>
      </w:pPr>
      <w:r>
        <w:rPr>
          <w:rFonts w:ascii="宋体" w:hAnsi="宋体"/>
          <w:b/>
          <w:color w:val="auto"/>
          <w:szCs w:val="21"/>
          <w:highlight w:val="none"/>
        </w:rPr>
        <w:t>4.事业单位不属于企业不应提交本声明函，其他组织形式的供应商参与本项目并提交本声明函前请仔细阅读相关政策文件。</w:t>
      </w:r>
    </w:p>
    <w:p>
      <w:pPr>
        <w:snapToGrid w:val="0"/>
        <w:spacing w:before="50" w:after="50" w:line="360" w:lineRule="auto"/>
        <w:ind w:right="-214" w:rightChars="-102"/>
        <w:jc w:val="left"/>
        <w:rPr>
          <w:rFonts w:ascii="宋体" w:hAnsi="宋体"/>
          <w:b/>
          <w:color w:val="auto"/>
          <w:szCs w:val="21"/>
          <w:highlight w:val="none"/>
        </w:rPr>
      </w:pPr>
      <w:r>
        <w:rPr>
          <w:rFonts w:ascii="宋体" w:hAnsi="宋体"/>
          <w:b/>
          <w:color w:val="auto"/>
          <w:szCs w:val="21"/>
          <w:highlight w:val="none"/>
        </w:rPr>
        <w:t>5.联合体或项目分包的有关单位信息均填在同一张声明函中，并由联合体牵头人盖章。</w:t>
      </w:r>
    </w:p>
    <w:p>
      <w:pPr>
        <w:snapToGrid w:val="0"/>
        <w:spacing w:before="50" w:after="50" w:line="360" w:lineRule="auto"/>
        <w:ind w:right="-214" w:rightChars="-102"/>
        <w:jc w:val="left"/>
        <w:rPr>
          <w:rFonts w:ascii="宋体" w:hAnsi="宋体"/>
          <w:b/>
          <w:color w:val="auto"/>
          <w:szCs w:val="21"/>
          <w:highlight w:val="none"/>
        </w:rPr>
      </w:pPr>
      <w:r>
        <w:rPr>
          <w:rFonts w:ascii="宋体" w:hAnsi="宋体"/>
          <w:b/>
          <w:color w:val="auto"/>
          <w:szCs w:val="21"/>
          <w:highlight w:val="none"/>
        </w:rPr>
        <w:t>6.投标人应当谨慎填写并提供本表。</w:t>
      </w:r>
    </w:p>
    <w:p>
      <w:pPr>
        <w:snapToGrid w:val="0"/>
        <w:spacing w:before="50" w:after="50" w:line="360" w:lineRule="auto"/>
        <w:ind w:right="-214" w:rightChars="-102"/>
        <w:jc w:val="center"/>
        <w:rPr>
          <w:rFonts w:ascii="宋体" w:hAnsi="宋体"/>
          <w:b/>
          <w:color w:val="auto"/>
          <w:spacing w:val="6"/>
          <w:szCs w:val="21"/>
          <w:highlight w:val="none"/>
        </w:rPr>
      </w:pPr>
      <w:r>
        <w:rPr>
          <w:rFonts w:ascii="宋体" w:hAnsi="宋体"/>
          <w:color w:val="auto"/>
          <w:szCs w:val="21"/>
          <w:highlight w:val="none"/>
        </w:rPr>
        <w:br w:type="page"/>
      </w:r>
      <w:r>
        <w:rPr>
          <w:rFonts w:ascii="宋体" w:hAnsi="宋体"/>
          <w:b/>
          <w:color w:val="auto"/>
          <w:szCs w:val="21"/>
          <w:highlight w:val="none"/>
        </w:rPr>
        <w:t>（3）残疾人福利性单位声明函</w:t>
      </w:r>
    </w:p>
    <w:p>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本单位郑重声明，根据《财政部 民政部 中国残疾人联合会关于促进残疾人就业政府采购政策的通知》（财库</w:t>
      </w:r>
      <w:r>
        <w:rPr>
          <w:rFonts w:ascii="宋体" w:hAnsi="宋体"/>
          <w:color w:val="auto"/>
          <w:szCs w:val="21"/>
          <w:highlight w:val="none"/>
        </w:rPr>
        <w:t>〔2017〕 141</w:t>
      </w:r>
      <w:r>
        <w:rPr>
          <w:rFonts w:ascii="宋体" w:hAnsi="宋体"/>
          <w:color w:val="auto"/>
          <w:spacing w:val="6"/>
          <w:szCs w:val="21"/>
          <w:highlight w:val="none"/>
        </w:rPr>
        <w:t>号）的规定，本单位为符合条件的残疾人福利性单位，且本单位参加</w:t>
      </w:r>
      <w:r>
        <w:rPr>
          <w:rFonts w:ascii="宋体" w:hAnsi="宋体"/>
          <w:color w:val="auto"/>
          <w:spacing w:val="6"/>
          <w:szCs w:val="21"/>
          <w:highlight w:val="none"/>
          <w:u w:val="single"/>
        </w:rPr>
        <w:t xml:space="preserve">     （填采购人名称）    </w:t>
      </w:r>
      <w:r>
        <w:rPr>
          <w:rFonts w:ascii="宋体" w:hAnsi="宋体"/>
          <w:color w:val="auto"/>
          <w:spacing w:val="6"/>
          <w:szCs w:val="21"/>
          <w:highlight w:val="none"/>
        </w:rPr>
        <w:t>单位的</w:t>
      </w:r>
      <w:r>
        <w:rPr>
          <w:rFonts w:ascii="宋体" w:hAnsi="宋体"/>
          <w:color w:val="auto"/>
          <w:spacing w:val="6"/>
          <w:szCs w:val="21"/>
          <w:highlight w:val="none"/>
          <w:u w:val="single"/>
        </w:rPr>
        <w:t xml:space="preserve">    （填项目名称）    </w:t>
      </w:r>
      <w:r>
        <w:rPr>
          <w:rFonts w:ascii="宋体" w:hAnsi="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Cs w:val="21"/>
          <w:highlight w:val="none"/>
        </w:rPr>
      </w:pPr>
    </w:p>
    <w:p>
      <w:pPr>
        <w:spacing w:line="360" w:lineRule="auto"/>
        <w:ind w:firstLine="444" w:firstLineChars="200"/>
        <w:rPr>
          <w:rFonts w:ascii="宋体" w:hAnsi="宋体"/>
          <w:color w:val="auto"/>
          <w:spacing w:val="6"/>
          <w:szCs w:val="21"/>
          <w:highlight w:val="none"/>
        </w:rPr>
      </w:pPr>
    </w:p>
    <w:p>
      <w:pPr>
        <w:tabs>
          <w:tab w:val="left" w:pos="4860"/>
        </w:tabs>
        <w:spacing w:line="360" w:lineRule="auto"/>
        <w:ind w:right="1560" w:firstLine="444" w:firstLineChars="200"/>
        <w:jc w:val="center"/>
        <w:rPr>
          <w:rFonts w:ascii="宋体" w:hAnsi="宋体"/>
          <w:color w:val="auto"/>
          <w:spacing w:val="6"/>
          <w:szCs w:val="21"/>
          <w:highlight w:val="none"/>
        </w:rPr>
      </w:pPr>
      <w:r>
        <w:rPr>
          <w:rFonts w:ascii="宋体" w:hAnsi="宋体"/>
          <w:color w:val="auto"/>
          <w:spacing w:val="6"/>
          <w:szCs w:val="21"/>
          <w:highlight w:val="none"/>
        </w:rPr>
        <w:t>单位名称（盖章）：</w:t>
      </w:r>
    </w:p>
    <w:p>
      <w:pPr>
        <w:tabs>
          <w:tab w:val="left" w:pos="4860"/>
        </w:tabs>
        <w:spacing w:line="360" w:lineRule="auto"/>
        <w:ind w:right="1560" w:firstLine="444" w:firstLineChars="200"/>
        <w:jc w:val="center"/>
        <w:rPr>
          <w:rFonts w:ascii="宋体" w:hAnsi="宋体"/>
          <w:color w:val="auto"/>
          <w:spacing w:val="6"/>
          <w:szCs w:val="21"/>
          <w:highlight w:val="none"/>
        </w:rPr>
      </w:pPr>
      <w:r>
        <w:rPr>
          <w:rFonts w:ascii="宋体" w:hAnsi="宋体"/>
          <w:color w:val="auto"/>
          <w:spacing w:val="6"/>
          <w:szCs w:val="21"/>
          <w:highlight w:val="none"/>
        </w:rPr>
        <w:t>日  期：</w:t>
      </w:r>
    </w:p>
    <w:p>
      <w:pPr>
        <w:pStyle w:val="20"/>
        <w:snapToGrid w:val="0"/>
        <w:spacing w:line="360" w:lineRule="auto"/>
        <w:ind w:firstLine="437" w:firstLineChars="196"/>
        <w:rPr>
          <w:rFonts w:ascii="宋体" w:hAnsi="宋体"/>
          <w:b/>
          <w:color w:val="auto"/>
          <w:spacing w:val="6"/>
          <w:sz w:val="21"/>
          <w:szCs w:val="21"/>
          <w:highlight w:val="none"/>
        </w:rPr>
      </w:pPr>
    </w:p>
    <w:p>
      <w:pPr>
        <w:pStyle w:val="20"/>
        <w:snapToGrid w:val="0"/>
        <w:spacing w:line="360" w:lineRule="auto"/>
        <w:ind w:firstLine="437" w:firstLineChars="196"/>
        <w:rPr>
          <w:rFonts w:ascii="宋体" w:hAnsi="宋体"/>
          <w:b/>
          <w:color w:val="auto"/>
          <w:spacing w:val="6"/>
          <w:sz w:val="21"/>
          <w:szCs w:val="21"/>
          <w:highlight w:val="none"/>
        </w:rPr>
      </w:pPr>
    </w:p>
    <w:p>
      <w:pPr>
        <w:pStyle w:val="20"/>
        <w:snapToGrid w:val="0"/>
        <w:spacing w:line="360" w:lineRule="auto"/>
        <w:ind w:firstLine="437" w:firstLineChars="196"/>
        <w:rPr>
          <w:rFonts w:ascii="宋体" w:hAnsi="宋体"/>
          <w:b/>
          <w:color w:val="auto"/>
          <w:spacing w:val="6"/>
          <w:sz w:val="21"/>
          <w:szCs w:val="21"/>
          <w:highlight w:val="none"/>
        </w:rPr>
      </w:pPr>
    </w:p>
    <w:p>
      <w:pPr>
        <w:pStyle w:val="20"/>
        <w:snapToGrid w:val="0"/>
        <w:spacing w:line="360" w:lineRule="auto"/>
        <w:ind w:firstLine="437" w:firstLineChars="196"/>
        <w:rPr>
          <w:rFonts w:ascii="宋体" w:hAnsi="宋体"/>
          <w:b/>
          <w:color w:val="auto"/>
          <w:spacing w:val="6"/>
          <w:sz w:val="21"/>
          <w:szCs w:val="21"/>
          <w:highlight w:val="none"/>
        </w:rPr>
      </w:pPr>
    </w:p>
    <w:p>
      <w:pPr>
        <w:spacing w:line="360" w:lineRule="auto"/>
        <w:rPr>
          <w:rFonts w:ascii="宋体" w:hAnsi="宋体"/>
          <w:b/>
          <w:color w:val="auto"/>
          <w:szCs w:val="21"/>
          <w:highlight w:val="none"/>
        </w:rPr>
      </w:pPr>
    </w:p>
    <w:p>
      <w:pPr>
        <w:snapToGrid w:val="0"/>
        <w:spacing w:before="50" w:after="50" w:line="360" w:lineRule="auto"/>
        <w:ind w:left="-23" w:leftChars="-11" w:right="-214" w:rightChars="-102" w:firstLine="21" w:firstLineChars="10"/>
        <w:jc w:val="left"/>
        <w:rPr>
          <w:rFonts w:ascii="宋体" w:hAnsi="宋体"/>
          <w:b/>
          <w:color w:val="auto"/>
          <w:szCs w:val="21"/>
          <w:highlight w:val="none"/>
        </w:rPr>
      </w:pPr>
      <w:r>
        <w:rPr>
          <w:rFonts w:ascii="宋体" w:hAnsi="宋体"/>
          <w:b/>
          <w:color w:val="auto"/>
          <w:szCs w:val="21"/>
          <w:highlight w:val="none"/>
        </w:rPr>
        <w:t>填写说明：投标人不属于残疾人福利性单位无需且不应当提供本声明函，否则自行承担相应的责任。</w:t>
      </w:r>
    </w:p>
    <w:p>
      <w:pPr>
        <w:widowControl/>
        <w:jc w:val="left"/>
        <w:rPr>
          <w:rFonts w:ascii="宋体" w:hAnsi="宋体"/>
          <w:b/>
          <w:color w:val="auto"/>
          <w:kern w:val="0"/>
          <w:szCs w:val="21"/>
          <w:highlight w:val="none"/>
        </w:rPr>
      </w:pPr>
      <w:r>
        <w:rPr>
          <w:rFonts w:ascii="宋体" w:hAnsi="宋体"/>
          <w:b/>
          <w:color w:val="auto"/>
          <w:szCs w:val="21"/>
          <w:highlight w:val="none"/>
        </w:rPr>
        <w:br w:type="page"/>
      </w:r>
    </w:p>
    <w:p>
      <w:pPr>
        <w:pStyle w:val="20"/>
        <w:spacing w:line="360" w:lineRule="auto"/>
        <w:ind w:left="0" w:leftChars="0"/>
        <w:jc w:val="center"/>
        <w:rPr>
          <w:rFonts w:ascii="宋体" w:hAnsi="宋体"/>
          <w:b/>
          <w:color w:val="auto"/>
          <w:sz w:val="21"/>
          <w:szCs w:val="21"/>
          <w:highlight w:val="none"/>
        </w:rPr>
      </w:pPr>
      <w:r>
        <w:rPr>
          <w:rFonts w:ascii="宋体" w:hAnsi="宋体"/>
          <w:b/>
          <w:color w:val="auto"/>
          <w:sz w:val="21"/>
          <w:szCs w:val="21"/>
          <w:highlight w:val="none"/>
        </w:rPr>
        <w:t>（4）分包意向协议</w:t>
      </w:r>
    </w:p>
    <w:p>
      <w:pPr>
        <w:spacing w:line="360" w:lineRule="auto"/>
        <w:jc w:val="center"/>
        <w:rPr>
          <w:rFonts w:ascii="宋体" w:hAnsi="宋体"/>
          <w:b/>
          <w:color w:val="auto"/>
          <w:szCs w:val="21"/>
          <w:highlight w:val="none"/>
        </w:rPr>
      </w:pPr>
      <w:r>
        <w:rPr>
          <w:rFonts w:ascii="宋体" w:hAnsi="宋体"/>
          <w:b/>
          <w:color w:val="auto"/>
          <w:szCs w:val="21"/>
          <w:highlight w:val="none"/>
          <w:lang w:bidi="ar"/>
        </w:rPr>
        <w:t>（中标后对本项目非主体、非关键工作以分包方式履行的，请编制此件加盖公章后作为报价要求响应文件的组成部分）</w:t>
      </w:r>
    </w:p>
    <w:p>
      <w:pPr>
        <w:pStyle w:val="19"/>
        <w:ind w:firstLine="210"/>
        <w:rPr>
          <w:rFonts w:ascii="宋体" w:hAnsi="宋体"/>
          <w:color w:val="auto"/>
          <w:sz w:val="21"/>
          <w:szCs w:val="21"/>
          <w:highlight w:val="none"/>
          <w:lang w:bidi="ar"/>
        </w:rPr>
      </w:pPr>
    </w:p>
    <w:p>
      <w:pPr>
        <w:spacing w:line="360" w:lineRule="auto"/>
        <w:ind w:firstLine="371" w:firstLineChars="177"/>
        <w:jc w:val="left"/>
        <w:rPr>
          <w:rFonts w:ascii="宋体" w:hAnsi="宋体"/>
          <w:color w:val="auto"/>
          <w:szCs w:val="21"/>
          <w:highlight w:val="none"/>
        </w:rPr>
      </w:pPr>
      <w:r>
        <w:rPr>
          <w:rFonts w:ascii="宋体" w:hAnsi="宋体"/>
          <w:color w:val="auto"/>
          <w:szCs w:val="21"/>
          <w:highlight w:val="none"/>
          <w:u w:val="single"/>
          <w:lang w:bidi="ar"/>
        </w:rPr>
        <w:t xml:space="preserve">    （供应商名称）    </w:t>
      </w:r>
      <w:r>
        <w:rPr>
          <w:rFonts w:ascii="宋体" w:hAnsi="宋体"/>
          <w:color w:val="auto"/>
          <w:szCs w:val="21"/>
          <w:highlight w:val="none"/>
          <w:lang w:bidi="ar"/>
        </w:rPr>
        <w:t>若成为</w:t>
      </w:r>
      <w:r>
        <w:rPr>
          <w:rFonts w:ascii="宋体" w:hAnsi="宋体"/>
          <w:color w:val="auto"/>
          <w:szCs w:val="21"/>
          <w:highlight w:val="none"/>
          <w:u w:val="single"/>
        </w:rPr>
        <w:t>2024年宁波市食品安全抽检监测项目</w:t>
      </w:r>
      <w:r>
        <w:rPr>
          <w:rFonts w:ascii="宋体" w:hAnsi="宋体"/>
          <w:color w:val="auto"/>
          <w:szCs w:val="21"/>
          <w:highlight w:val="none"/>
          <w:lang w:bidi="ar"/>
        </w:rPr>
        <w:t>（项目编号：NBMC-20242099G）的中标人，将依照法规及采购文件的要求采取分包方式履行合同。</w:t>
      </w:r>
      <w:r>
        <w:rPr>
          <w:rFonts w:ascii="宋体" w:hAnsi="宋体"/>
          <w:color w:val="auto"/>
          <w:szCs w:val="21"/>
          <w:highlight w:val="none"/>
          <w:u w:val="single"/>
          <w:lang w:bidi="ar"/>
        </w:rPr>
        <w:t xml:space="preserve">    （投标人名称）    </w:t>
      </w:r>
      <w:r>
        <w:rPr>
          <w:rFonts w:ascii="宋体" w:hAnsi="宋体"/>
          <w:color w:val="auto"/>
          <w:szCs w:val="21"/>
          <w:highlight w:val="none"/>
          <w:lang w:bidi="ar"/>
        </w:rPr>
        <w:t>与</w:t>
      </w:r>
      <w:r>
        <w:rPr>
          <w:rFonts w:ascii="宋体" w:hAnsi="宋体"/>
          <w:color w:val="auto"/>
          <w:szCs w:val="21"/>
          <w:highlight w:val="none"/>
          <w:u w:val="single"/>
          <w:lang w:bidi="ar"/>
        </w:rPr>
        <w:t xml:space="preserve">    （分包供应商名称）   </w:t>
      </w:r>
      <w:r>
        <w:rPr>
          <w:rFonts w:ascii="宋体" w:hAnsi="宋体"/>
          <w:color w:val="auto"/>
          <w:szCs w:val="21"/>
          <w:highlight w:val="none"/>
          <w:lang w:bidi="ar"/>
        </w:rPr>
        <w:t>达成分包意向协议。</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lang w:bidi="ar"/>
        </w:rPr>
        <w:t>一、分包标的（工作内容）及数量</w:t>
      </w:r>
    </w:p>
    <w:p>
      <w:pPr>
        <w:spacing w:line="360" w:lineRule="auto"/>
        <w:ind w:firstLine="435"/>
        <w:rPr>
          <w:rFonts w:ascii="宋体" w:hAnsi="宋体"/>
          <w:color w:val="auto"/>
          <w:szCs w:val="21"/>
          <w:highlight w:val="none"/>
          <w:u w:val="single"/>
        </w:rPr>
      </w:pPr>
      <w:r>
        <w:rPr>
          <w:rFonts w:ascii="宋体" w:hAnsi="宋体"/>
          <w:color w:val="auto"/>
          <w:szCs w:val="21"/>
          <w:highlight w:val="none"/>
          <w:u w:val="single"/>
          <w:lang w:bidi="ar"/>
        </w:rPr>
        <w:t xml:space="preserve">    （投标人名称）   </w:t>
      </w:r>
      <w:r>
        <w:rPr>
          <w:rFonts w:ascii="宋体" w:hAnsi="宋体"/>
          <w:color w:val="auto"/>
          <w:szCs w:val="21"/>
          <w:highlight w:val="none"/>
          <w:lang w:bidi="ar"/>
        </w:rPr>
        <w:t>将</w:t>
      </w:r>
      <w:r>
        <w:rPr>
          <w:rFonts w:ascii="宋体" w:hAnsi="宋体"/>
          <w:color w:val="auto"/>
          <w:szCs w:val="21"/>
          <w:highlight w:val="none"/>
          <w:u w:val="single"/>
          <w:lang w:bidi="ar"/>
        </w:rPr>
        <w:t xml:space="preserve">   XX工作内容   </w:t>
      </w:r>
      <w:r>
        <w:rPr>
          <w:rFonts w:ascii="宋体" w:hAnsi="宋体"/>
          <w:color w:val="auto"/>
          <w:szCs w:val="21"/>
          <w:highlight w:val="none"/>
          <w:lang w:bidi="ar"/>
        </w:rPr>
        <w:t>分包给</w:t>
      </w:r>
      <w:r>
        <w:rPr>
          <w:rFonts w:ascii="宋体" w:hAnsi="宋体"/>
          <w:color w:val="auto"/>
          <w:szCs w:val="21"/>
          <w:highlight w:val="none"/>
          <w:u w:val="single"/>
          <w:lang w:bidi="ar"/>
        </w:rPr>
        <w:t xml:space="preserve">  （分包供应商名称）  </w:t>
      </w:r>
      <w:r>
        <w:rPr>
          <w:rFonts w:ascii="宋体" w:hAnsi="宋体"/>
          <w:color w:val="auto"/>
          <w:szCs w:val="21"/>
          <w:highlight w:val="none"/>
          <w:lang w:bidi="ar"/>
        </w:rPr>
        <w:t>，</w:t>
      </w:r>
      <w:r>
        <w:rPr>
          <w:rFonts w:ascii="宋体" w:hAnsi="宋体"/>
          <w:color w:val="auto"/>
          <w:szCs w:val="21"/>
          <w:highlight w:val="none"/>
          <w:u w:val="single"/>
          <w:lang w:bidi="ar"/>
        </w:rPr>
        <w:t xml:space="preserve">（分包供应商名称）   </w:t>
      </w:r>
      <w:r>
        <w:rPr>
          <w:rFonts w:ascii="宋体" w:hAnsi="宋体"/>
          <w:color w:val="auto"/>
          <w:szCs w:val="21"/>
          <w:highlight w:val="none"/>
          <w:lang w:bidi="ar"/>
        </w:rPr>
        <w:t>，具备承担</w:t>
      </w:r>
      <w:r>
        <w:rPr>
          <w:rFonts w:ascii="宋体" w:hAnsi="宋体"/>
          <w:color w:val="auto"/>
          <w:szCs w:val="21"/>
          <w:highlight w:val="none"/>
          <w:u w:val="single"/>
          <w:lang w:bidi="ar"/>
        </w:rPr>
        <w:t xml:space="preserve">   XX工作内容   </w:t>
      </w:r>
      <w:r>
        <w:rPr>
          <w:rFonts w:ascii="宋体" w:hAnsi="宋体"/>
          <w:color w:val="auto"/>
          <w:szCs w:val="21"/>
          <w:highlight w:val="none"/>
          <w:lang w:bidi="ar"/>
        </w:rPr>
        <w:t>相应资质条件且不得再次分包。</w:t>
      </w:r>
      <w:r>
        <w:rPr>
          <w:rFonts w:ascii="宋体" w:hAnsi="宋体"/>
          <w:color w:val="auto"/>
          <w:szCs w:val="21"/>
          <w:highlight w:val="none"/>
          <w:u w:val="single"/>
          <w:lang w:bidi="ar"/>
        </w:rPr>
        <w:t xml:space="preserve">  （分包供应商名称）</w:t>
      </w:r>
      <w:r>
        <w:rPr>
          <w:rFonts w:ascii="宋体" w:hAnsi="宋体"/>
          <w:b/>
          <w:color w:val="auto"/>
          <w:szCs w:val="21"/>
          <w:highlight w:val="none"/>
          <w:u w:val="single"/>
          <w:lang w:bidi="ar"/>
        </w:rPr>
        <w:t>在此声明作为政府采购项目的供应商，具备满足本招标项目规定的供应商资格条件</w:t>
      </w:r>
      <w:r>
        <w:rPr>
          <w:rFonts w:ascii="宋体" w:hAnsi="宋体"/>
          <w:color w:val="auto"/>
          <w:szCs w:val="21"/>
          <w:highlight w:val="none"/>
          <w:u w:val="single"/>
          <w:lang w:bidi="ar"/>
        </w:rPr>
        <w:t>。</w:t>
      </w:r>
      <w:r>
        <w:rPr>
          <w:rFonts w:ascii="宋体" w:hAnsi="宋体"/>
          <w:color w:val="auto"/>
          <w:szCs w:val="21"/>
          <w:highlight w:val="none"/>
          <w:lang w:bidi="ar"/>
        </w:rPr>
        <w:t>分包的工作</w:t>
      </w:r>
      <w:r>
        <w:rPr>
          <w:rFonts w:ascii="宋体" w:hAnsi="宋体"/>
          <w:color w:val="auto"/>
          <w:szCs w:val="21"/>
          <w:highlight w:val="none"/>
        </w:rPr>
        <w:t>内容的金额占本项目总合同金额的</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lang w:bidi="ar"/>
        </w:rPr>
      </w:pPr>
      <w:r>
        <w:rPr>
          <w:rFonts w:ascii="宋体" w:hAnsi="宋体"/>
          <w:color w:val="auto"/>
          <w:szCs w:val="21"/>
          <w:highlight w:val="none"/>
          <w:lang w:bidi="ar"/>
        </w:rPr>
        <w:t>二、分包工作履行期限、地点、方式</w:t>
      </w:r>
    </w:p>
    <w:p>
      <w:pPr>
        <w:pStyle w:val="18"/>
        <w:spacing w:after="0" w:line="360" w:lineRule="auto"/>
        <w:rPr>
          <w:rFonts w:ascii="宋体" w:hAnsi="宋体"/>
          <w:color w:val="auto"/>
          <w:sz w:val="21"/>
          <w:szCs w:val="21"/>
          <w:highlight w:val="none"/>
          <w:lang w:bidi="ar"/>
        </w:rPr>
      </w:pPr>
    </w:p>
    <w:p>
      <w:pPr>
        <w:spacing w:line="360" w:lineRule="auto"/>
        <w:ind w:firstLine="420" w:firstLineChars="200"/>
        <w:jc w:val="left"/>
        <w:rPr>
          <w:rFonts w:ascii="宋体" w:hAnsi="宋体"/>
          <w:color w:val="auto"/>
          <w:szCs w:val="21"/>
          <w:highlight w:val="none"/>
          <w:lang w:bidi="ar"/>
        </w:rPr>
      </w:pPr>
      <w:r>
        <w:rPr>
          <w:rFonts w:ascii="宋体" w:hAnsi="宋体"/>
          <w:color w:val="auto"/>
          <w:szCs w:val="21"/>
          <w:highlight w:val="none"/>
          <w:lang w:bidi="ar"/>
        </w:rPr>
        <w:t>三、质量</w:t>
      </w:r>
    </w:p>
    <w:p>
      <w:pPr>
        <w:pStyle w:val="18"/>
        <w:spacing w:after="0" w:line="360" w:lineRule="auto"/>
        <w:rPr>
          <w:rFonts w:ascii="宋体" w:hAnsi="宋体"/>
          <w:color w:val="auto"/>
          <w:sz w:val="21"/>
          <w:szCs w:val="21"/>
          <w:highlight w:val="none"/>
          <w:lang w:bidi="ar"/>
        </w:rPr>
      </w:pPr>
    </w:p>
    <w:p>
      <w:pPr>
        <w:spacing w:line="360" w:lineRule="auto"/>
        <w:ind w:firstLine="420" w:firstLineChars="200"/>
        <w:jc w:val="left"/>
        <w:rPr>
          <w:rFonts w:ascii="宋体" w:hAnsi="宋体"/>
          <w:color w:val="auto"/>
          <w:szCs w:val="21"/>
          <w:highlight w:val="none"/>
          <w:lang w:bidi="ar"/>
        </w:rPr>
      </w:pPr>
      <w:r>
        <w:rPr>
          <w:rFonts w:ascii="宋体" w:hAnsi="宋体"/>
          <w:color w:val="auto"/>
          <w:szCs w:val="21"/>
          <w:highlight w:val="none"/>
          <w:lang w:bidi="ar"/>
        </w:rPr>
        <w:t>四、价款或者报酬</w:t>
      </w:r>
    </w:p>
    <w:p>
      <w:pPr>
        <w:pStyle w:val="18"/>
        <w:spacing w:after="0" w:line="360" w:lineRule="auto"/>
        <w:rPr>
          <w:rFonts w:ascii="宋体" w:hAnsi="宋体"/>
          <w:color w:val="auto"/>
          <w:sz w:val="21"/>
          <w:szCs w:val="21"/>
          <w:highlight w:val="none"/>
          <w:lang w:bidi="ar"/>
        </w:rPr>
      </w:pPr>
    </w:p>
    <w:p>
      <w:pPr>
        <w:spacing w:line="360" w:lineRule="auto"/>
        <w:ind w:firstLine="420" w:firstLineChars="200"/>
        <w:jc w:val="left"/>
        <w:rPr>
          <w:rFonts w:ascii="宋体" w:hAnsi="宋体"/>
          <w:color w:val="auto"/>
          <w:szCs w:val="21"/>
          <w:highlight w:val="none"/>
          <w:lang w:bidi="ar"/>
        </w:rPr>
      </w:pPr>
      <w:r>
        <w:rPr>
          <w:rFonts w:ascii="宋体" w:hAnsi="宋体"/>
          <w:color w:val="auto"/>
          <w:szCs w:val="21"/>
          <w:highlight w:val="none"/>
          <w:lang w:bidi="ar"/>
        </w:rPr>
        <w:t>五、违约责任</w:t>
      </w:r>
    </w:p>
    <w:p>
      <w:pPr>
        <w:pStyle w:val="18"/>
        <w:spacing w:after="0" w:line="360" w:lineRule="auto"/>
        <w:rPr>
          <w:rFonts w:ascii="宋体" w:hAnsi="宋体"/>
          <w:color w:val="auto"/>
          <w:sz w:val="21"/>
          <w:szCs w:val="21"/>
          <w:highlight w:val="none"/>
          <w:lang w:bidi="ar"/>
        </w:rPr>
      </w:pPr>
    </w:p>
    <w:p>
      <w:pPr>
        <w:spacing w:line="360" w:lineRule="auto"/>
        <w:ind w:firstLine="420" w:firstLineChars="200"/>
        <w:jc w:val="left"/>
        <w:rPr>
          <w:rFonts w:ascii="宋体" w:hAnsi="宋体"/>
          <w:color w:val="auto"/>
          <w:szCs w:val="21"/>
          <w:highlight w:val="none"/>
          <w:lang w:bidi="ar"/>
        </w:rPr>
      </w:pPr>
      <w:r>
        <w:rPr>
          <w:rFonts w:ascii="宋体" w:hAnsi="宋体"/>
          <w:color w:val="auto"/>
          <w:szCs w:val="21"/>
          <w:highlight w:val="none"/>
          <w:lang w:bidi="ar"/>
        </w:rPr>
        <w:t>六、争议解决的办法</w:t>
      </w:r>
    </w:p>
    <w:p>
      <w:pPr>
        <w:pStyle w:val="18"/>
        <w:spacing w:after="0" w:line="360" w:lineRule="auto"/>
        <w:rPr>
          <w:rFonts w:ascii="宋体" w:hAnsi="宋体"/>
          <w:color w:val="auto"/>
          <w:sz w:val="21"/>
          <w:szCs w:val="21"/>
          <w:highlight w:val="none"/>
          <w:lang w:bidi="ar"/>
        </w:rPr>
      </w:pPr>
    </w:p>
    <w:p>
      <w:pPr>
        <w:spacing w:line="360" w:lineRule="auto"/>
        <w:ind w:firstLine="420" w:firstLineChars="200"/>
        <w:jc w:val="left"/>
        <w:rPr>
          <w:rFonts w:ascii="宋体" w:hAnsi="宋体"/>
          <w:color w:val="auto"/>
          <w:szCs w:val="21"/>
          <w:highlight w:val="none"/>
          <w:lang w:bidi="ar"/>
        </w:rPr>
      </w:pPr>
      <w:r>
        <w:rPr>
          <w:rFonts w:ascii="宋体" w:hAnsi="宋体"/>
          <w:color w:val="auto"/>
          <w:szCs w:val="21"/>
          <w:highlight w:val="none"/>
          <w:lang w:bidi="ar"/>
        </w:rPr>
        <w:t>七、其他</w:t>
      </w:r>
    </w:p>
    <w:p>
      <w:pPr>
        <w:spacing w:line="360" w:lineRule="auto"/>
        <w:ind w:firstLine="420" w:firstLineChars="200"/>
        <w:jc w:val="left"/>
        <w:rPr>
          <w:rFonts w:ascii="宋体" w:hAnsi="宋体"/>
          <w:color w:val="auto"/>
          <w:szCs w:val="21"/>
          <w:highlight w:val="none"/>
          <w:lang w:bidi="ar"/>
        </w:rPr>
      </w:pPr>
    </w:p>
    <w:p>
      <w:pPr>
        <w:spacing w:line="360" w:lineRule="auto"/>
        <w:ind w:firstLine="4092" w:firstLineChars="1949"/>
        <w:jc w:val="left"/>
        <w:rPr>
          <w:rFonts w:ascii="宋体" w:hAnsi="宋体"/>
          <w:color w:val="auto"/>
          <w:szCs w:val="21"/>
          <w:highlight w:val="none"/>
          <w:lang w:bidi="ar"/>
        </w:rPr>
      </w:pPr>
      <w:r>
        <w:rPr>
          <w:rFonts w:ascii="宋体" w:hAnsi="宋体"/>
          <w:color w:val="auto"/>
          <w:szCs w:val="21"/>
          <w:highlight w:val="none"/>
          <w:lang w:bidi="ar"/>
        </w:rPr>
        <w:t>投标人名称(盖公章)：</w:t>
      </w:r>
    </w:p>
    <w:p>
      <w:pPr>
        <w:spacing w:line="360" w:lineRule="auto"/>
        <w:ind w:firstLine="4092" w:firstLineChars="1949"/>
        <w:jc w:val="left"/>
        <w:rPr>
          <w:rFonts w:ascii="宋体" w:hAnsi="宋体"/>
          <w:color w:val="auto"/>
          <w:szCs w:val="21"/>
          <w:highlight w:val="none"/>
          <w:lang w:bidi="ar"/>
        </w:rPr>
      </w:pPr>
      <w:r>
        <w:rPr>
          <w:rFonts w:ascii="宋体" w:hAnsi="宋体"/>
          <w:color w:val="auto"/>
          <w:szCs w:val="21"/>
          <w:highlight w:val="none"/>
          <w:lang w:bidi="ar"/>
        </w:rPr>
        <w:t>分包供应商名称(盖公章)：</w:t>
      </w:r>
    </w:p>
    <w:p>
      <w:pPr>
        <w:spacing w:line="360" w:lineRule="auto"/>
        <w:ind w:firstLine="4092" w:firstLineChars="1949"/>
        <w:jc w:val="left"/>
        <w:rPr>
          <w:rFonts w:ascii="宋体" w:hAnsi="宋体"/>
          <w:color w:val="auto"/>
          <w:szCs w:val="21"/>
          <w:highlight w:val="none"/>
          <w:lang w:bidi="ar"/>
        </w:rPr>
      </w:pPr>
      <w:r>
        <w:rPr>
          <w:rFonts w:ascii="宋体" w:hAnsi="宋体"/>
          <w:color w:val="auto"/>
          <w:szCs w:val="21"/>
          <w:highlight w:val="none"/>
          <w:lang w:bidi="ar"/>
        </w:rPr>
        <w:t>日期：  年  月   日</w:t>
      </w:r>
    </w:p>
    <w:p>
      <w:pPr>
        <w:widowControl/>
        <w:spacing w:line="360" w:lineRule="auto"/>
        <w:jc w:val="left"/>
        <w:rPr>
          <w:rFonts w:ascii="宋体" w:hAnsi="宋体"/>
          <w:b/>
          <w:color w:val="auto"/>
          <w:szCs w:val="21"/>
          <w:highlight w:val="none"/>
        </w:rPr>
      </w:pPr>
    </w:p>
    <w:p>
      <w:pPr>
        <w:widowControl/>
        <w:spacing w:line="360" w:lineRule="auto"/>
        <w:jc w:val="left"/>
        <w:rPr>
          <w:rFonts w:ascii="宋体" w:hAnsi="宋体"/>
          <w:b/>
          <w:color w:val="auto"/>
          <w:szCs w:val="21"/>
          <w:highlight w:val="none"/>
        </w:rPr>
      </w:pPr>
      <w:r>
        <w:rPr>
          <w:rFonts w:ascii="宋体" w:hAnsi="宋体"/>
          <w:b/>
          <w:color w:val="auto"/>
          <w:szCs w:val="21"/>
          <w:highlight w:val="none"/>
        </w:rPr>
        <w:t>注：分包协议中必须明确分包供应商承担的所有工作内容，且必须足够细化。同时对上述分包的工作内容进行详细的费用测算，包含但不限于人工、社保、税费、利润等所有相关费用，以附件的形式在本表后提供。如投标人提供虚假资料以获得评审优势的，所产生的后果由供应商承担。中标后，采购人将按照本协议内容监督合同的履行。</w:t>
      </w:r>
    </w:p>
    <w:p>
      <w:pPr>
        <w:widowControl/>
        <w:jc w:val="left"/>
        <w:rPr>
          <w:rFonts w:ascii="宋体" w:hAnsi="宋体"/>
          <w:b/>
          <w:color w:val="auto"/>
          <w:szCs w:val="21"/>
          <w:highlight w:val="none"/>
        </w:rPr>
      </w:pPr>
      <w:r>
        <w:rPr>
          <w:rFonts w:ascii="宋体" w:hAnsi="宋体"/>
          <w:b/>
          <w:color w:val="auto"/>
          <w:szCs w:val="21"/>
          <w:highlight w:val="none"/>
        </w:rPr>
        <w:br w:type="page"/>
      </w:r>
    </w:p>
    <w:p>
      <w:pPr>
        <w:pStyle w:val="2"/>
        <w:rPr>
          <w:rFonts w:ascii="宋体" w:hAnsi="宋体"/>
          <w:color w:val="auto"/>
          <w:sz w:val="44"/>
          <w:highlight w:val="none"/>
        </w:rPr>
      </w:pPr>
      <w:bookmarkStart w:id="59" w:name="_Toc60582631"/>
      <w:bookmarkStart w:id="60" w:name="_Toc110177703"/>
      <w:r>
        <w:rPr>
          <w:rFonts w:ascii="宋体" w:hAnsi="宋体"/>
          <w:color w:val="auto"/>
          <w:highlight w:val="none"/>
        </w:rPr>
        <w:t>第七章  政府采购供应商质疑函及投诉书</w:t>
      </w:r>
      <w:bookmarkEnd w:id="59"/>
      <w:r>
        <w:rPr>
          <w:rFonts w:ascii="宋体" w:hAnsi="宋体"/>
          <w:color w:val="auto"/>
          <w:highlight w:val="none"/>
        </w:rPr>
        <w:t>范本</w:t>
      </w:r>
      <w:bookmarkEnd w:id="60"/>
    </w:p>
    <w:p>
      <w:pPr>
        <w:jc w:val="center"/>
        <w:rPr>
          <w:rFonts w:ascii="宋体" w:hAnsi="宋体"/>
          <w:b/>
          <w:bCs/>
          <w:color w:val="auto"/>
          <w:sz w:val="28"/>
          <w:szCs w:val="44"/>
          <w:highlight w:val="none"/>
        </w:rPr>
      </w:pPr>
      <w:r>
        <w:rPr>
          <w:rFonts w:ascii="宋体" w:hAnsi="宋体"/>
          <w:b/>
          <w:bCs/>
          <w:color w:val="auto"/>
          <w:sz w:val="28"/>
          <w:szCs w:val="44"/>
          <w:highlight w:val="none"/>
        </w:rPr>
        <w:t>质疑函</w:t>
      </w:r>
    </w:p>
    <w:p>
      <w:pPr>
        <w:adjustRightInd w:val="0"/>
        <w:snapToGrid w:val="0"/>
        <w:spacing w:line="360" w:lineRule="auto"/>
        <w:rPr>
          <w:rFonts w:ascii="宋体" w:hAnsi="宋体"/>
          <w:bCs/>
          <w:color w:val="auto"/>
          <w:sz w:val="22"/>
          <w:highlight w:val="none"/>
        </w:rPr>
      </w:pPr>
      <w:r>
        <w:rPr>
          <w:rFonts w:ascii="宋体" w:hAnsi="宋体"/>
          <w:bCs/>
          <w:color w:val="auto"/>
          <w:sz w:val="22"/>
          <w:highlight w:val="none"/>
        </w:rPr>
        <w:t>一、质疑供应商基本信息</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质疑供应商：</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地址：</w:t>
      </w:r>
      <w:r>
        <w:rPr>
          <w:rFonts w:ascii="宋体" w:hAnsi="宋体"/>
          <w:color w:val="auto"/>
          <w:sz w:val="22"/>
          <w:highlight w:val="none"/>
          <w:u w:val="dotted"/>
        </w:rPr>
        <w:t xml:space="preserve">                          </w:t>
      </w:r>
      <w:r>
        <w:rPr>
          <w:rFonts w:ascii="宋体" w:hAnsi="宋体"/>
          <w:color w:val="auto"/>
          <w:sz w:val="22"/>
          <w:highlight w:val="none"/>
        </w:rPr>
        <w:t>邮编：</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联系人：</w:t>
      </w:r>
      <w:r>
        <w:rPr>
          <w:rFonts w:ascii="宋体" w:hAnsi="宋体"/>
          <w:color w:val="auto"/>
          <w:sz w:val="22"/>
          <w:highlight w:val="none"/>
          <w:u w:val="dotted"/>
        </w:rPr>
        <w:t xml:space="preserve">                      </w:t>
      </w:r>
      <w:r>
        <w:rPr>
          <w:rFonts w:ascii="宋体" w:hAnsi="宋体"/>
          <w:color w:val="auto"/>
          <w:sz w:val="22"/>
          <w:highlight w:val="none"/>
        </w:rPr>
        <w:t>联系电话：</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授权代表：</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联系电话：</w:t>
      </w:r>
      <w:r>
        <w:rPr>
          <w:rFonts w:ascii="宋体" w:hAnsi="宋体"/>
          <w:color w:val="auto"/>
          <w:sz w:val="22"/>
          <w:highlight w:val="none"/>
          <w:u w:val="dotted"/>
        </w:rPr>
        <w:t xml:space="preserve">                                           </w:t>
      </w:r>
      <w:r>
        <w:rPr>
          <w:rFonts w:ascii="宋体" w:hAnsi="宋体"/>
          <w:color w:val="auto"/>
          <w:sz w:val="22"/>
          <w:highlight w:val="none"/>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 xml:space="preserve">地址： </w:t>
      </w:r>
      <w:r>
        <w:rPr>
          <w:rFonts w:ascii="宋体" w:hAnsi="宋体"/>
          <w:color w:val="auto"/>
          <w:sz w:val="22"/>
          <w:highlight w:val="none"/>
          <w:u w:val="dotted"/>
        </w:rPr>
        <w:t xml:space="preserve">                        </w:t>
      </w:r>
      <w:r>
        <w:rPr>
          <w:rFonts w:ascii="宋体" w:hAnsi="宋体"/>
          <w:color w:val="auto"/>
          <w:sz w:val="22"/>
          <w:highlight w:val="none"/>
        </w:rPr>
        <w:t>邮编：</w:t>
      </w:r>
      <w:r>
        <w:rPr>
          <w:rFonts w:ascii="宋体" w:hAnsi="宋体"/>
          <w:color w:val="auto"/>
          <w:sz w:val="22"/>
          <w:highlight w:val="none"/>
          <w:u w:val="dotted"/>
        </w:rPr>
        <w:t xml:space="preserve">                           </w:t>
      </w:r>
    </w:p>
    <w:p>
      <w:pPr>
        <w:adjustRightInd w:val="0"/>
        <w:snapToGrid w:val="0"/>
        <w:spacing w:line="360" w:lineRule="auto"/>
        <w:rPr>
          <w:rFonts w:ascii="宋体" w:hAnsi="宋体"/>
          <w:b/>
          <w:color w:val="auto"/>
          <w:sz w:val="22"/>
          <w:highlight w:val="none"/>
        </w:rPr>
      </w:pPr>
      <w:r>
        <w:rPr>
          <w:rFonts w:ascii="宋体" w:hAnsi="宋体"/>
          <w:b/>
          <w:color w:val="auto"/>
          <w:sz w:val="22"/>
          <w:highlight w:val="none"/>
        </w:rPr>
        <w:t>质疑函补正文书、质疑回复送达方式确认，按质疑供应商确认的送达方式进行文书送达视同送达。</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 xml:space="preserve">确认电子邮件送达： </w:t>
      </w:r>
      <w:r>
        <w:rPr>
          <w:rFonts w:ascii="宋体" w:hAnsi="宋体"/>
          <w:color w:val="auto"/>
          <w:sz w:val="22"/>
          <w:highlight w:val="none"/>
          <w:u w:val="dotted"/>
        </w:rPr>
        <w:t xml:space="preserve">                        </w:t>
      </w:r>
      <w:r>
        <w:rPr>
          <w:rFonts w:ascii="宋体" w:hAnsi="宋体"/>
          <w:color w:val="auto"/>
          <w:sz w:val="22"/>
          <w:highlight w:val="none"/>
        </w:rPr>
        <w:t>或</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 xml:space="preserve">确认传真送达： </w:t>
      </w:r>
      <w:r>
        <w:rPr>
          <w:rFonts w:ascii="宋体" w:hAnsi="宋体"/>
          <w:color w:val="auto"/>
          <w:sz w:val="22"/>
          <w:highlight w:val="none"/>
          <w:u w:val="dotted"/>
        </w:rPr>
        <w:t xml:space="preserve">                            </w:t>
      </w:r>
      <w:r>
        <w:rPr>
          <w:rFonts w:ascii="宋体" w:hAnsi="宋体"/>
          <w:color w:val="auto"/>
          <w:sz w:val="22"/>
          <w:highlight w:val="none"/>
        </w:rPr>
        <w:t>或</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其他方式：</w:t>
      </w:r>
      <w:r>
        <w:rPr>
          <w:rFonts w:ascii="宋体" w:hAnsi="宋体"/>
          <w:color w:val="auto"/>
          <w:sz w:val="22"/>
          <w:highlight w:val="none"/>
          <w:u w:val="dotted"/>
        </w:rPr>
        <w:t xml:space="preserve">                            </w:t>
      </w:r>
    </w:p>
    <w:p>
      <w:pPr>
        <w:adjustRightInd w:val="0"/>
        <w:snapToGrid w:val="0"/>
        <w:spacing w:line="360" w:lineRule="auto"/>
        <w:rPr>
          <w:rFonts w:ascii="宋体" w:hAnsi="宋体"/>
          <w:bCs/>
          <w:color w:val="auto"/>
          <w:sz w:val="22"/>
          <w:highlight w:val="none"/>
        </w:rPr>
      </w:pPr>
      <w:r>
        <w:rPr>
          <w:rFonts w:ascii="宋体" w:hAnsi="宋体"/>
          <w:bCs/>
          <w:color w:val="auto"/>
          <w:sz w:val="22"/>
          <w:highlight w:val="none"/>
        </w:rPr>
        <w:t>二、质疑项目基本情况</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质疑项目的名称：</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质疑项目的编号：</w:t>
      </w:r>
      <w:r>
        <w:rPr>
          <w:rFonts w:ascii="宋体" w:hAnsi="宋体"/>
          <w:color w:val="auto"/>
          <w:sz w:val="22"/>
          <w:highlight w:val="none"/>
          <w:u w:val="dotted"/>
        </w:rPr>
        <w:t xml:space="preserve">               </w:t>
      </w:r>
      <w:r>
        <w:rPr>
          <w:rFonts w:ascii="宋体" w:hAnsi="宋体"/>
          <w:color w:val="auto"/>
          <w:sz w:val="22"/>
          <w:highlight w:val="none"/>
        </w:rPr>
        <w:t>包号：</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采购人名称：</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采购文件获取日期：</w:t>
      </w:r>
      <w:r>
        <w:rPr>
          <w:rFonts w:ascii="宋体" w:hAnsi="宋体"/>
          <w:color w:val="auto"/>
          <w:sz w:val="22"/>
          <w:highlight w:val="none"/>
          <w:u w:val="dotted"/>
        </w:rPr>
        <w:t xml:space="preserve">                                           </w:t>
      </w:r>
    </w:p>
    <w:p>
      <w:pPr>
        <w:adjustRightInd w:val="0"/>
        <w:snapToGrid w:val="0"/>
        <w:spacing w:line="360" w:lineRule="auto"/>
        <w:rPr>
          <w:rFonts w:ascii="宋体" w:hAnsi="宋体"/>
          <w:bCs/>
          <w:color w:val="auto"/>
          <w:sz w:val="22"/>
          <w:highlight w:val="none"/>
        </w:rPr>
      </w:pPr>
      <w:r>
        <w:rPr>
          <w:rFonts w:ascii="宋体" w:hAnsi="宋体"/>
          <w:bCs/>
          <w:color w:val="auto"/>
          <w:sz w:val="22"/>
          <w:highlight w:val="none"/>
        </w:rPr>
        <w:t>三、质疑事项具体内容</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质疑事项1：</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事实依据：</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rPr>
      </w:pP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法律依据：</w:t>
      </w: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u w:val="dotted"/>
        </w:rPr>
        <w:t xml:space="preserve">                                                     </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质疑事项2</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w:t>
      </w:r>
    </w:p>
    <w:p>
      <w:pPr>
        <w:adjustRightInd w:val="0"/>
        <w:snapToGrid w:val="0"/>
        <w:spacing w:line="360" w:lineRule="auto"/>
        <w:rPr>
          <w:rFonts w:ascii="宋体" w:hAnsi="宋体"/>
          <w:bCs/>
          <w:color w:val="auto"/>
          <w:sz w:val="22"/>
          <w:highlight w:val="none"/>
        </w:rPr>
      </w:pPr>
    </w:p>
    <w:p>
      <w:pPr>
        <w:adjustRightInd w:val="0"/>
        <w:snapToGrid w:val="0"/>
        <w:spacing w:line="360" w:lineRule="auto"/>
        <w:rPr>
          <w:rFonts w:ascii="宋体" w:hAnsi="宋体"/>
          <w:bCs/>
          <w:color w:val="auto"/>
          <w:sz w:val="22"/>
          <w:highlight w:val="none"/>
        </w:rPr>
      </w:pPr>
      <w:r>
        <w:rPr>
          <w:rFonts w:ascii="宋体" w:hAnsi="宋体"/>
          <w:bCs/>
          <w:color w:val="auto"/>
          <w:sz w:val="22"/>
          <w:highlight w:val="none"/>
        </w:rPr>
        <w:t>四、与质疑事项相关的质疑请求</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请求：</w:t>
      </w:r>
      <w:r>
        <w:rPr>
          <w:rFonts w:ascii="宋体" w:hAnsi="宋体"/>
          <w:color w:val="auto"/>
          <w:sz w:val="22"/>
          <w:highlight w:val="none"/>
          <w:u w:val="dotted"/>
        </w:rPr>
        <w:t xml:space="preserve">                                               </w:t>
      </w:r>
    </w:p>
    <w:p>
      <w:pPr>
        <w:spacing w:line="360" w:lineRule="auto"/>
        <w:rPr>
          <w:rFonts w:ascii="宋体" w:hAnsi="宋体"/>
          <w:color w:val="auto"/>
          <w:sz w:val="22"/>
          <w:highlight w:val="none"/>
        </w:rPr>
      </w:pPr>
      <w:r>
        <w:rPr>
          <w:rFonts w:ascii="宋体" w:hAnsi="宋体"/>
          <w:color w:val="auto"/>
          <w:sz w:val="22"/>
          <w:highlight w:val="none"/>
        </w:rPr>
        <w:t xml:space="preserve">签字(签章)：                   公章：                      </w:t>
      </w:r>
    </w:p>
    <w:p>
      <w:pPr>
        <w:spacing w:line="360" w:lineRule="auto"/>
        <w:rPr>
          <w:rFonts w:ascii="宋体" w:hAnsi="宋体"/>
          <w:color w:val="auto"/>
          <w:sz w:val="22"/>
          <w:highlight w:val="none"/>
        </w:rPr>
      </w:pPr>
      <w:r>
        <w:rPr>
          <w:rFonts w:ascii="宋体" w:hAnsi="宋体"/>
          <w:color w:val="auto"/>
          <w:sz w:val="22"/>
          <w:highlight w:val="none"/>
        </w:rPr>
        <w:t xml:space="preserve">日期：    </w:t>
      </w:r>
    </w:p>
    <w:p>
      <w:pPr>
        <w:adjustRightInd w:val="0"/>
        <w:snapToGrid w:val="0"/>
        <w:spacing w:line="360" w:lineRule="auto"/>
        <w:rPr>
          <w:rFonts w:ascii="宋体" w:hAnsi="宋体"/>
          <w:color w:val="auto"/>
          <w:sz w:val="24"/>
          <w:highlight w:val="none"/>
        </w:rPr>
      </w:pPr>
    </w:p>
    <w:p>
      <w:pPr>
        <w:spacing w:line="360" w:lineRule="auto"/>
        <w:rPr>
          <w:rFonts w:ascii="宋体" w:hAnsi="宋体"/>
          <w:b/>
          <w:color w:val="auto"/>
          <w:highlight w:val="none"/>
        </w:rPr>
      </w:pPr>
      <w:r>
        <w:rPr>
          <w:rFonts w:ascii="宋体" w:hAnsi="宋体"/>
          <w:b/>
          <w:color w:val="auto"/>
          <w:highlight w:val="none"/>
        </w:rPr>
        <w:t>质疑函制作说明：</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1.供应商提出质疑时，应提交质疑函及质疑函电子文档和必要的证明材料。</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2.质疑供应商若委托代理人进行质疑的，质疑函应按要求列明“授权代表”的有关内容，并在附件中提交由质疑</w:t>
      </w:r>
      <w:r>
        <w:rPr>
          <w:rFonts w:ascii="宋体" w:hAnsi="宋体"/>
          <w:color w:val="auto"/>
          <w:kern w:val="0"/>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3.质疑供应商若对项目的某一分包进行质疑，质疑函中应列明具体分包号。</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4.质疑函的质疑事项应具体、明确，并有必要的事实依据和法律依据。</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5.质疑函的质疑请求应与质疑事项相关。</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widowControl/>
        <w:jc w:val="left"/>
        <w:rPr>
          <w:rFonts w:ascii="宋体" w:hAnsi="宋体"/>
          <w:b/>
          <w:color w:val="auto"/>
          <w:szCs w:val="21"/>
          <w:highlight w:val="none"/>
        </w:rPr>
      </w:pPr>
      <w:r>
        <w:rPr>
          <w:rFonts w:ascii="宋体" w:hAnsi="宋体"/>
          <w:b/>
          <w:color w:val="auto"/>
          <w:szCs w:val="21"/>
          <w:highlight w:val="none"/>
        </w:rPr>
        <w:br w:type="page"/>
      </w:r>
    </w:p>
    <w:p>
      <w:pPr>
        <w:jc w:val="center"/>
        <w:rPr>
          <w:rFonts w:ascii="宋体" w:hAnsi="宋体"/>
          <w:b/>
          <w:bCs/>
          <w:color w:val="auto"/>
          <w:sz w:val="28"/>
          <w:szCs w:val="44"/>
          <w:highlight w:val="none"/>
        </w:rPr>
      </w:pPr>
      <w:r>
        <w:rPr>
          <w:rFonts w:ascii="宋体" w:hAnsi="宋体"/>
          <w:b/>
          <w:bCs/>
          <w:color w:val="auto"/>
          <w:sz w:val="28"/>
          <w:szCs w:val="44"/>
          <w:highlight w:val="none"/>
        </w:rPr>
        <w:t>投诉书</w:t>
      </w:r>
    </w:p>
    <w:p>
      <w:pPr>
        <w:rPr>
          <w:rFonts w:ascii="宋体" w:hAnsi="宋体"/>
          <w:color w:val="auto"/>
          <w:sz w:val="22"/>
          <w:highlight w:val="none"/>
        </w:rPr>
      </w:pPr>
      <w:r>
        <w:rPr>
          <w:rFonts w:ascii="宋体" w:hAnsi="宋体"/>
          <w:color w:val="auto"/>
          <w:sz w:val="22"/>
          <w:highlight w:val="none"/>
        </w:rPr>
        <w:t>一、投诉相关主体基本情况</w:t>
      </w:r>
    </w:p>
    <w:p>
      <w:pPr>
        <w:rPr>
          <w:rFonts w:ascii="宋体" w:hAnsi="宋体"/>
          <w:color w:val="auto"/>
          <w:sz w:val="22"/>
          <w:highlight w:val="none"/>
          <w:u w:val="dotted"/>
        </w:rPr>
      </w:pPr>
      <w:r>
        <w:rPr>
          <w:rFonts w:ascii="宋体" w:hAnsi="宋体"/>
          <w:color w:val="auto"/>
          <w:sz w:val="22"/>
          <w:highlight w:val="none"/>
        </w:rPr>
        <w:t>投诉人：</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地     址：</w:t>
      </w:r>
      <w:r>
        <w:rPr>
          <w:rFonts w:ascii="宋体" w:hAnsi="宋体"/>
          <w:color w:val="auto"/>
          <w:sz w:val="22"/>
          <w:highlight w:val="none"/>
          <w:u w:val="dotted"/>
        </w:rPr>
        <w:t xml:space="preserve">                             </w:t>
      </w:r>
      <w:r>
        <w:rPr>
          <w:rFonts w:ascii="宋体" w:hAnsi="宋体"/>
          <w:color w:val="auto"/>
          <w:sz w:val="22"/>
          <w:highlight w:val="none"/>
        </w:rPr>
        <w:t>邮编：</w:t>
      </w:r>
      <w:r>
        <w:rPr>
          <w:rFonts w:ascii="宋体" w:hAnsi="宋体"/>
          <w:color w:val="auto"/>
          <w:sz w:val="22"/>
          <w:highlight w:val="none"/>
          <w:u w:val="dotted"/>
        </w:rPr>
        <w:t xml:space="preserve">        </w:t>
      </w:r>
    </w:p>
    <w:p>
      <w:pPr>
        <w:tabs>
          <w:tab w:val="left" w:pos="6510"/>
        </w:tabs>
        <w:jc w:val="left"/>
        <w:rPr>
          <w:rFonts w:ascii="宋体" w:hAnsi="宋体"/>
          <w:color w:val="auto"/>
          <w:sz w:val="22"/>
          <w:highlight w:val="none"/>
        </w:rPr>
      </w:pPr>
      <w:r>
        <w:rPr>
          <w:rFonts w:ascii="宋体" w:hAnsi="宋体"/>
          <w:color w:val="auto"/>
          <w:sz w:val="22"/>
          <w:highlight w:val="none"/>
        </w:rPr>
        <w:t>法定代表人/主要负责人：</w:t>
      </w:r>
      <w:r>
        <w:rPr>
          <w:rFonts w:ascii="宋体" w:hAnsi="宋体"/>
          <w:color w:val="auto"/>
          <w:sz w:val="22"/>
          <w:highlight w:val="none"/>
          <w:u w:val="dotted"/>
        </w:rPr>
        <w:t xml:space="preserve">                               </w:t>
      </w:r>
    </w:p>
    <w:p>
      <w:pPr>
        <w:tabs>
          <w:tab w:val="left" w:pos="6510"/>
        </w:tabs>
        <w:rPr>
          <w:rFonts w:ascii="宋体" w:hAnsi="宋体"/>
          <w:color w:val="auto"/>
          <w:sz w:val="22"/>
          <w:highlight w:val="none"/>
          <w:u w:val="dotted"/>
        </w:rPr>
      </w:pPr>
      <w:r>
        <w:rPr>
          <w:rFonts w:ascii="宋体" w:hAnsi="宋体"/>
          <w:color w:val="auto"/>
          <w:sz w:val="22"/>
          <w:highlight w:val="none"/>
        </w:rPr>
        <w:t>联系电话：</w:t>
      </w:r>
      <w:r>
        <w:rPr>
          <w:rFonts w:ascii="宋体" w:hAnsi="宋体"/>
          <w:color w:val="auto"/>
          <w:sz w:val="22"/>
          <w:highlight w:val="none"/>
          <w:u w:val="dotted"/>
        </w:rPr>
        <w:t xml:space="preserve">                                            </w:t>
      </w:r>
    </w:p>
    <w:p>
      <w:pPr>
        <w:rPr>
          <w:rFonts w:ascii="宋体" w:hAnsi="宋体"/>
          <w:color w:val="auto"/>
          <w:sz w:val="22"/>
          <w:highlight w:val="none"/>
          <w:u w:val="dotted"/>
        </w:rPr>
      </w:pPr>
      <w:r>
        <w:rPr>
          <w:rFonts w:ascii="宋体" w:hAnsi="宋体"/>
          <w:color w:val="auto"/>
          <w:sz w:val="22"/>
          <w:highlight w:val="none"/>
        </w:rPr>
        <w:t>授权代表：</w:t>
      </w:r>
      <w:r>
        <w:rPr>
          <w:rFonts w:ascii="宋体" w:hAnsi="宋体"/>
          <w:color w:val="auto"/>
          <w:sz w:val="22"/>
          <w:highlight w:val="none"/>
          <w:u w:val="dotted"/>
        </w:rPr>
        <w:t xml:space="preserve">             </w:t>
      </w:r>
      <w:r>
        <w:rPr>
          <w:rFonts w:ascii="宋体" w:hAnsi="宋体"/>
          <w:color w:val="auto"/>
          <w:sz w:val="22"/>
          <w:highlight w:val="none"/>
        </w:rPr>
        <w:t>联系电话</w:t>
      </w:r>
      <w:r>
        <w:rPr>
          <w:rFonts w:ascii="宋体" w:hAnsi="宋体"/>
          <w:color w:val="auto"/>
          <w:sz w:val="22"/>
          <w:highlight w:val="none"/>
          <w:u w:val="dotted"/>
        </w:rPr>
        <w:t xml:space="preserve">：                  </w:t>
      </w:r>
    </w:p>
    <w:p>
      <w:pPr>
        <w:rPr>
          <w:rFonts w:ascii="宋体" w:hAnsi="宋体"/>
          <w:color w:val="auto"/>
          <w:sz w:val="22"/>
          <w:highlight w:val="none"/>
          <w:u w:val="dotted"/>
        </w:rPr>
      </w:pPr>
      <w:r>
        <w:rPr>
          <w:rFonts w:ascii="宋体" w:hAnsi="宋体"/>
          <w:color w:val="auto"/>
          <w:sz w:val="22"/>
          <w:highlight w:val="none"/>
        </w:rPr>
        <w:t>地     址：</w:t>
      </w:r>
      <w:r>
        <w:rPr>
          <w:rFonts w:ascii="宋体" w:hAnsi="宋体"/>
          <w:color w:val="auto"/>
          <w:sz w:val="22"/>
          <w:highlight w:val="none"/>
          <w:u w:val="dotted"/>
        </w:rPr>
        <w:t xml:space="preserve">                             </w:t>
      </w:r>
      <w:r>
        <w:rPr>
          <w:rFonts w:ascii="宋体" w:hAnsi="宋体"/>
          <w:color w:val="auto"/>
          <w:sz w:val="22"/>
          <w:highlight w:val="none"/>
        </w:rPr>
        <w:t>邮编：</w:t>
      </w:r>
      <w:r>
        <w:rPr>
          <w:rFonts w:ascii="宋体" w:hAnsi="宋体"/>
          <w:color w:val="auto"/>
          <w:sz w:val="22"/>
          <w:highlight w:val="none"/>
          <w:u w:val="dotted"/>
        </w:rPr>
        <w:t xml:space="preserve">         </w:t>
      </w:r>
      <w:r>
        <w:rPr>
          <w:rFonts w:ascii="宋体" w:hAnsi="宋体"/>
          <w:color w:val="auto"/>
          <w:sz w:val="22"/>
          <w:highlight w:val="none"/>
          <w:u w:val="single"/>
        </w:rPr>
        <w:t xml:space="preserve"> </w:t>
      </w:r>
      <w:r>
        <w:rPr>
          <w:rFonts w:ascii="宋体" w:hAnsi="宋体"/>
          <w:color w:val="auto"/>
          <w:sz w:val="22"/>
          <w:highlight w:val="none"/>
          <w:u w:val="dotted"/>
        </w:rPr>
        <w:t xml:space="preserve">      </w:t>
      </w:r>
    </w:p>
    <w:p>
      <w:pPr>
        <w:rPr>
          <w:rFonts w:ascii="宋体" w:hAnsi="宋体"/>
          <w:b/>
          <w:color w:val="auto"/>
          <w:sz w:val="22"/>
          <w:highlight w:val="none"/>
        </w:rPr>
      </w:pPr>
      <w:r>
        <w:rPr>
          <w:rFonts w:ascii="宋体" w:hAnsi="宋体"/>
          <w:b/>
          <w:color w:val="auto"/>
          <w:sz w:val="22"/>
          <w:highlight w:val="none"/>
        </w:rPr>
        <w:t>投诉补正通知书、投诉受理通知书、投诉不予受理通知书、投诉调查函的送达方式确认，按投诉供应商确认的送达方式进行上述文书送达视同送达。</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 xml:space="preserve">确认电子邮件送达： </w:t>
      </w:r>
      <w:r>
        <w:rPr>
          <w:rFonts w:ascii="宋体" w:hAnsi="宋体"/>
          <w:color w:val="auto"/>
          <w:sz w:val="22"/>
          <w:highlight w:val="none"/>
          <w:u w:val="dotted"/>
        </w:rPr>
        <w:t xml:space="preserve">                        </w:t>
      </w:r>
      <w:r>
        <w:rPr>
          <w:rFonts w:ascii="宋体" w:hAnsi="宋体"/>
          <w:color w:val="auto"/>
          <w:sz w:val="22"/>
          <w:highlight w:val="none"/>
        </w:rPr>
        <w:t>或</w:t>
      </w:r>
    </w:p>
    <w:p>
      <w:pPr>
        <w:adjustRightInd w:val="0"/>
        <w:snapToGrid w:val="0"/>
        <w:spacing w:line="360" w:lineRule="auto"/>
        <w:rPr>
          <w:rFonts w:ascii="宋体" w:hAnsi="宋体"/>
          <w:color w:val="auto"/>
          <w:sz w:val="22"/>
          <w:highlight w:val="none"/>
          <w:u w:val="dotted"/>
        </w:rPr>
      </w:pPr>
      <w:r>
        <w:rPr>
          <w:rFonts w:ascii="宋体" w:hAnsi="宋体"/>
          <w:color w:val="auto"/>
          <w:sz w:val="22"/>
          <w:highlight w:val="none"/>
        </w:rPr>
        <w:t xml:space="preserve">确认传真送达： </w:t>
      </w:r>
      <w:r>
        <w:rPr>
          <w:rFonts w:ascii="宋体" w:hAnsi="宋体"/>
          <w:color w:val="auto"/>
          <w:sz w:val="22"/>
          <w:highlight w:val="none"/>
          <w:u w:val="dotted"/>
        </w:rPr>
        <w:t xml:space="preserve">                            </w:t>
      </w:r>
      <w:r>
        <w:rPr>
          <w:rFonts w:ascii="宋体" w:hAnsi="宋体"/>
          <w:color w:val="auto"/>
          <w:sz w:val="22"/>
          <w:highlight w:val="none"/>
        </w:rPr>
        <w:t>或</w:t>
      </w:r>
    </w:p>
    <w:p>
      <w:pPr>
        <w:adjustRightInd w:val="0"/>
        <w:snapToGrid w:val="0"/>
        <w:spacing w:line="360" w:lineRule="auto"/>
        <w:rPr>
          <w:rFonts w:ascii="宋体" w:hAnsi="宋体"/>
          <w:color w:val="auto"/>
          <w:sz w:val="22"/>
          <w:highlight w:val="none"/>
        </w:rPr>
      </w:pPr>
      <w:r>
        <w:rPr>
          <w:rFonts w:ascii="宋体" w:hAnsi="宋体"/>
          <w:color w:val="auto"/>
          <w:sz w:val="22"/>
          <w:highlight w:val="none"/>
        </w:rPr>
        <w:t>其他方式：</w:t>
      </w:r>
      <w:r>
        <w:rPr>
          <w:rFonts w:ascii="宋体" w:hAnsi="宋体"/>
          <w:color w:val="auto"/>
          <w:sz w:val="22"/>
          <w:highlight w:val="none"/>
          <w:u w:val="dotted"/>
        </w:rPr>
        <w:t xml:space="preserve">                            </w:t>
      </w:r>
    </w:p>
    <w:p>
      <w:pPr>
        <w:rPr>
          <w:rFonts w:ascii="宋体" w:hAnsi="宋体"/>
          <w:color w:val="auto"/>
          <w:sz w:val="22"/>
          <w:highlight w:val="none"/>
        </w:rPr>
      </w:pPr>
    </w:p>
    <w:p>
      <w:pPr>
        <w:rPr>
          <w:rFonts w:ascii="宋体" w:hAnsi="宋体"/>
          <w:color w:val="auto"/>
          <w:sz w:val="22"/>
          <w:highlight w:val="none"/>
          <w:u w:val="single"/>
        </w:rPr>
      </w:pPr>
      <w:r>
        <w:rPr>
          <w:rFonts w:ascii="宋体" w:hAnsi="宋体"/>
          <w:color w:val="auto"/>
          <w:sz w:val="22"/>
          <w:highlight w:val="none"/>
        </w:rPr>
        <w:t>被投诉人1：</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地     址：</w:t>
      </w:r>
      <w:r>
        <w:rPr>
          <w:rFonts w:ascii="宋体" w:hAnsi="宋体"/>
          <w:color w:val="auto"/>
          <w:sz w:val="22"/>
          <w:highlight w:val="none"/>
          <w:u w:val="dotted"/>
        </w:rPr>
        <w:t xml:space="preserve">                             </w:t>
      </w:r>
      <w:r>
        <w:rPr>
          <w:rFonts w:ascii="宋体" w:hAnsi="宋体"/>
          <w:color w:val="auto"/>
          <w:sz w:val="22"/>
          <w:highlight w:val="none"/>
        </w:rPr>
        <w:t>邮编：</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联系人：</w:t>
      </w:r>
      <w:r>
        <w:rPr>
          <w:rFonts w:ascii="宋体" w:hAnsi="宋体"/>
          <w:color w:val="auto"/>
          <w:sz w:val="22"/>
          <w:highlight w:val="none"/>
          <w:u w:val="dotted"/>
        </w:rPr>
        <w:t xml:space="preserve">               </w:t>
      </w:r>
      <w:r>
        <w:rPr>
          <w:rFonts w:ascii="宋体" w:hAnsi="宋体"/>
          <w:color w:val="auto"/>
          <w:sz w:val="22"/>
          <w:highlight w:val="none"/>
        </w:rPr>
        <w:t>联系电话：</w:t>
      </w:r>
      <w:r>
        <w:rPr>
          <w:rFonts w:ascii="宋体" w:hAnsi="宋体"/>
          <w:color w:val="auto"/>
          <w:sz w:val="22"/>
          <w:highlight w:val="none"/>
          <w:u w:val="dotted"/>
        </w:rPr>
        <w:t xml:space="preserve">                     </w:t>
      </w:r>
    </w:p>
    <w:p>
      <w:pPr>
        <w:rPr>
          <w:rFonts w:ascii="宋体" w:hAnsi="宋体"/>
          <w:color w:val="auto"/>
          <w:sz w:val="22"/>
          <w:highlight w:val="none"/>
        </w:rPr>
      </w:pPr>
      <w:r>
        <w:rPr>
          <w:rFonts w:ascii="宋体" w:hAnsi="宋体"/>
          <w:color w:val="auto"/>
          <w:sz w:val="22"/>
          <w:highlight w:val="none"/>
        </w:rPr>
        <w:t>被投诉人2</w:t>
      </w:r>
    </w:p>
    <w:p>
      <w:pPr>
        <w:rPr>
          <w:rFonts w:ascii="宋体" w:hAnsi="宋体"/>
          <w:color w:val="auto"/>
          <w:sz w:val="22"/>
          <w:highlight w:val="none"/>
          <w:u w:val="dotted"/>
        </w:rPr>
      </w:pPr>
      <w:r>
        <w:rPr>
          <w:rFonts w:ascii="宋体" w:hAnsi="宋体"/>
          <w:color w:val="auto"/>
          <w:sz w:val="22"/>
          <w:highlight w:val="none"/>
        </w:rPr>
        <w:t>……</w:t>
      </w:r>
    </w:p>
    <w:p>
      <w:pPr>
        <w:rPr>
          <w:rFonts w:ascii="宋体" w:hAnsi="宋体"/>
          <w:color w:val="auto"/>
          <w:sz w:val="22"/>
          <w:highlight w:val="none"/>
          <w:u w:val="single"/>
        </w:rPr>
      </w:pPr>
      <w:r>
        <w:rPr>
          <w:rFonts w:ascii="宋体" w:hAnsi="宋体"/>
          <w:color w:val="auto"/>
          <w:sz w:val="22"/>
          <w:highlight w:val="none"/>
        </w:rPr>
        <w:t>相关供应商（或其他第三人）：</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地     址：</w:t>
      </w:r>
      <w:r>
        <w:rPr>
          <w:rFonts w:ascii="宋体" w:hAnsi="宋体"/>
          <w:color w:val="auto"/>
          <w:sz w:val="22"/>
          <w:highlight w:val="none"/>
          <w:u w:val="dotted"/>
        </w:rPr>
        <w:t xml:space="preserve">                             </w:t>
      </w:r>
      <w:r>
        <w:rPr>
          <w:rFonts w:ascii="宋体" w:hAnsi="宋体"/>
          <w:color w:val="auto"/>
          <w:sz w:val="22"/>
          <w:highlight w:val="none"/>
        </w:rPr>
        <w:t>邮编：</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联系人：</w:t>
      </w:r>
      <w:r>
        <w:rPr>
          <w:rFonts w:ascii="宋体" w:hAnsi="宋体"/>
          <w:color w:val="auto"/>
          <w:sz w:val="22"/>
          <w:highlight w:val="none"/>
          <w:u w:val="dotted"/>
        </w:rPr>
        <w:t xml:space="preserve">               </w:t>
      </w:r>
      <w:r>
        <w:rPr>
          <w:rFonts w:ascii="宋体" w:hAnsi="宋体"/>
          <w:color w:val="auto"/>
          <w:sz w:val="22"/>
          <w:highlight w:val="none"/>
        </w:rPr>
        <w:t>联系电话：</w:t>
      </w:r>
      <w:r>
        <w:rPr>
          <w:rFonts w:ascii="宋体" w:hAnsi="宋体"/>
          <w:color w:val="auto"/>
          <w:sz w:val="22"/>
          <w:highlight w:val="none"/>
          <w:u w:val="dotted"/>
        </w:rPr>
        <w:t xml:space="preserve">                     </w:t>
      </w:r>
    </w:p>
    <w:p>
      <w:pPr>
        <w:rPr>
          <w:rFonts w:ascii="宋体" w:hAnsi="宋体"/>
          <w:color w:val="auto"/>
          <w:sz w:val="22"/>
          <w:highlight w:val="none"/>
        </w:rPr>
      </w:pPr>
      <w:r>
        <w:rPr>
          <w:rFonts w:ascii="宋体" w:hAnsi="宋体"/>
          <w:color w:val="auto"/>
          <w:sz w:val="22"/>
          <w:highlight w:val="none"/>
        </w:rPr>
        <w:t>二、投诉项目基本情况</w:t>
      </w:r>
    </w:p>
    <w:p>
      <w:pPr>
        <w:rPr>
          <w:rFonts w:ascii="宋体" w:hAnsi="宋体"/>
          <w:color w:val="auto"/>
          <w:sz w:val="22"/>
          <w:highlight w:val="none"/>
          <w:u w:val="dotted"/>
        </w:rPr>
      </w:pPr>
      <w:r>
        <w:rPr>
          <w:rFonts w:ascii="宋体" w:hAnsi="宋体"/>
          <w:color w:val="auto"/>
          <w:sz w:val="22"/>
          <w:highlight w:val="none"/>
        </w:rPr>
        <w:t>采购项目名称：</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采购项目编号：</w:t>
      </w:r>
      <w:r>
        <w:rPr>
          <w:rFonts w:ascii="宋体" w:hAnsi="宋体"/>
          <w:color w:val="auto"/>
          <w:sz w:val="22"/>
          <w:highlight w:val="none"/>
          <w:u w:val="dotted"/>
        </w:rPr>
        <w:t xml:space="preserve">                 </w:t>
      </w:r>
      <w:r>
        <w:rPr>
          <w:rFonts w:ascii="宋体" w:hAnsi="宋体"/>
          <w:color w:val="auto"/>
          <w:sz w:val="22"/>
          <w:highlight w:val="none"/>
        </w:rPr>
        <w:t>包号：</w:t>
      </w:r>
      <w:r>
        <w:rPr>
          <w:rFonts w:ascii="宋体" w:hAnsi="宋体"/>
          <w:color w:val="auto"/>
          <w:sz w:val="22"/>
          <w:highlight w:val="none"/>
          <w:u w:val="dotted"/>
        </w:rPr>
        <w:t xml:space="preserve">              </w:t>
      </w:r>
    </w:p>
    <w:p>
      <w:pPr>
        <w:rPr>
          <w:rFonts w:ascii="宋体" w:hAnsi="宋体"/>
          <w:color w:val="auto"/>
          <w:sz w:val="22"/>
          <w:highlight w:val="none"/>
        </w:rPr>
      </w:pPr>
      <w:r>
        <w:rPr>
          <w:rFonts w:ascii="宋体" w:hAnsi="宋体"/>
          <w:color w:val="auto"/>
          <w:sz w:val="22"/>
          <w:highlight w:val="none"/>
        </w:rPr>
        <w:t>采购人名称：</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代理机构名称：</w:t>
      </w:r>
      <w:r>
        <w:rPr>
          <w:rFonts w:ascii="宋体" w:hAnsi="宋体"/>
          <w:color w:val="auto"/>
          <w:sz w:val="22"/>
          <w:highlight w:val="none"/>
          <w:u w:val="dotted"/>
        </w:rPr>
        <w:t xml:space="preserve">                                       </w:t>
      </w:r>
    </w:p>
    <w:p>
      <w:pPr>
        <w:rPr>
          <w:rFonts w:ascii="宋体" w:hAnsi="宋体"/>
          <w:color w:val="auto"/>
          <w:sz w:val="22"/>
          <w:highlight w:val="none"/>
          <w:u w:val="dotted"/>
        </w:rPr>
      </w:pPr>
      <w:r>
        <w:rPr>
          <w:rFonts w:ascii="宋体" w:hAnsi="宋体"/>
          <w:color w:val="auto"/>
          <w:sz w:val="22"/>
          <w:highlight w:val="none"/>
        </w:rPr>
        <w:t>采购文件公告：</w:t>
      </w:r>
      <w:r>
        <w:rPr>
          <w:rFonts w:ascii="宋体" w:hAnsi="宋体"/>
          <w:color w:val="auto"/>
          <w:sz w:val="22"/>
          <w:highlight w:val="none"/>
          <w:u w:val="dotted"/>
        </w:rPr>
        <w:t xml:space="preserve">是/否 </w:t>
      </w:r>
      <w:r>
        <w:rPr>
          <w:rFonts w:ascii="宋体" w:hAnsi="宋体"/>
          <w:color w:val="auto"/>
          <w:sz w:val="22"/>
          <w:highlight w:val="none"/>
        </w:rPr>
        <w:t>公告期限：</w:t>
      </w: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采购结果公告：</w:t>
      </w:r>
      <w:r>
        <w:rPr>
          <w:rFonts w:ascii="宋体" w:hAnsi="宋体"/>
          <w:color w:val="auto"/>
          <w:sz w:val="22"/>
          <w:highlight w:val="none"/>
          <w:u w:val="dotted"/>
        </w:rPr>
        <w:t xml:space="preserve">是/否 </w:t>
      </w:r>
      <w:r>
        <w:rPr>
          <w:rFonts w:ascii="宋体" w:hAnsi="宋体"/>
          <w:color w:val="auto"/>
          <w:sz w:val="22"/>
          <w:highlight w:val="none"/>
        </w:rPr>
        <w:t>公告期限：</w:t>
      </w:r>
      <w:r>
        <w:rPr>
          <w:rFonts w:ascii="宋体" w:hAnsi="宋体"/>
          <w:color w:val="auto"/>
          <w:sz w:val="22"/>
          <w:highlight w:val="none"/>
          <w:u w:val="dotted"/>
        </w:rPr>
        <w:t xml:space="preserve">                        </w:t>
      </w:r>
    </w:p>
    <w:p>
      <w:pPr>
        <w:rPr>
          <w:rFonts w:ascii="宋体" w:hAnsi="宋体"/>
          <w:color w:val="auto"/>
          <w:sz w:val="22"/>
          <w:highlight w:val="none"/>
        </w:rPr>
      </w:pPr>
      <w:r>
        <w:rPr>
          <w:rFonts w:ascii="宋体" w:hAnsi="宋体"/>
          <w:color w:val="auto"/>
          <w:sz w:val="22"/>
          <w:highlight w:val="none"/>
        </w:rPr>
        <w:t>三、质疑基本情况</w:t>
      </w:r>
    </w:p>
    <w:p>
      <w:pPr>
        <w:ind w:firstLine="440" w:firstLineChars="200"/>
        <w:rPr>
          <w:rFonts w:ascii="宋体" w:hAnsi="宋体"/>
          <w:color w:val="auto"/>
          <w:sz w:val="22"/>
          <w:highlight w:val="none"/>
          <w:u w:val="dotted"/>
        </w:rPr>
      </w:pPr>
      <w:r>
        <w:rPr>
          <w:rFonts w:ascii="宋体" w:hAnsi="宋体"/>
          <w:color w:val="auto"/>
          <w:sz w:val="22"/>
          <w:highlight w:val="none"/>
        </w:rPr>
        <w:t>投诉人于</w:t>
      </w:r>
      <w:r>
        <w:rPr>
          <w:rFonts w:ascii="宋体" w:hAnsi="宋体"/>
          <w:color w:val="auto"/>
          <w:sz w:val="22"/>
          <w:highlight w:val="none"/>
          <w:u w:val="dotted"/>
        </w:rPr>
        <w:t xml:space="preserve">   </w:t>
      </w:r>
      <w:r>
        <w:rPr>
          <w:rFonts w:ascii="宋体" w:hAnsi="宋体"/>
          <w:color w:val="auto"/>
          <w:sz w:val="22"/>
          <w:highlight w:val="none"/>
        </w:rPr>
        <w:t>年</w:t>
      </w:r>
      <w:r>
        <w:rPr>
          <w:rFonts w:ascii="宋体" w:hAnsi="宋体"/>
          <w:color w:val="auto"/>
          <w:sz w:val="22"/>
          <w:highlight w:val="none"/>
          <w:u w:val="dotted"/>
        </w:rPr>
        <w:t xml:space="preserve">   </w:t>
      </w:r>
      <w:r>
        <w:rPr>
          <w:rFonts w:ascii="宋体" w:hAnsi="宋体"/>
          <w:color w:val="auto"/>
          <w:sz w:val="22"/>
          <w:highlight w:val="none"/>
        </w:rPr>
        <w:t>月</w:t>
      </w:r>
      <w:r>
        <w:rPr>
          <w:rFonts w:ascii="宋体" w:hAnsi="宋体"/>
          <w:color w:val="auto"/>
          <w:sz w:val="22"/>
          <w:highlight w:val="none"/>
          <w:u w:val="dotted"/>
        </w:rPr>
        <w:t xml:space="preserve">  </w:t>
      </w:r>
      <w:r>
        <w:rPr>
          <w:rFonts w:ascii="宋体" w:hAnsi="宋体"/>
          <w:color w:val="auto"/>
          <w:sz w:val="22"/>
          <w:highlight w:val="none"/>
        </w:rPr>
        <w:t>日,向</w:t>
      </w:r>
      <w:r>
        <w:rPr>
          <w:rFonts w:ascii="宋体" w:hAnsi="宋体"/>
          <w:color w:val="auto"/>
          <w:sz w:val="22"/>
          <w:highlight w:val="none"/>
          <w:u w:val="dotted"/>
        </w:rPr>
        <w:t xml:space="preserve">               </w:t>
      </w:r>
      <w:r>
        <w:rPr>
          <w:rFonts w:ascii="宋体" w:hAnsi="宋体"/>
          <w:color w:val="auto"/>
          <w:sz w:val="22"/>
          <w:highlight w:val="none"/>
        </w:rPr>
        <w:t>提出质疑，质疑事项为：</w:t>
      </w:r>
      <w:r>
        <w:rPr>
          <w:rFonts w:ascii="宋体" w:hAnsi="宋体"/>
          <w:color w:val="auto"/>
          <w:sz w:val="22"/>
          <w:highlight w:val="none"/>
          <w:u w:val="dotted"/>
        </w:rPr>
        <w:t xml:space="preserve">      </w:t>
      </w:r>
    </w:p>
    <w:p>
      <w:pPr>
        <w:rPr>
          <w:rFonts w:ascii="宋体" w:hAnsi="宋体"/>
          <w:color w:val="auto"/>
          <w:sz w:val="22"/>
          <w:highlight w:val="none"/>
          <w:u w:val="dotted"/>
        </w:rPr>
      </w:pPr>
      <w:r>
        <w:rPr>
          <w:rFonts w:ascii="宋体" w:hAnsi="宋体"/>
          <w:color w:val="auto"/>
          <w:sz w:val="22"/>
          <w:highlight w:val="none"/>
          <w:u w:val="dotted"/>
        </w:rPr>
        <w:t xml:space="preserve">                                                     </w:t>
      </w:r>
      <w:r>
        <w:rPr>
          <w:rFonts w:ascii="宋体" w:hAnsi="宋体"/>
          <w:color w:val="auto"/>
          <w:sz w:val="22"/>
          <w:highlight w:val="none"/>
        </w:rPr>
        <w:t xml:space="preserve">  </w:t>
      </w:r>
    </w:p>
    <w:p>
      <w:pPr>
        <w:ind w:firstLine="330" w:firstLineChars="150"/>
        <w:rPr>
          <w:rFonts w:ascii="宋体" w:hAnsi="宋体"/>
          <w:color w:val="auto"/>
          <w:sz w:val="22"/>
          <w:highlight w:val="none"/>
        </w:rPr>
      </w:pPr>
      <w:r>
        <w:rPr>
          <w:rFonts w:ascii="宋体" w:hAnsi="宋体"/>
          <w:color w:val="auto"/>
          <w:sz w:val="22"/>
          <w:highlight w:val="none"/>
          <w:u w:val="dotted"/>
        </w:rPr>
        <w:t>采购人/代理机构</w:t>
      </w:r>
      <w:r>
        <w:rPr>
          <w:rFonts w:ascii="宋体" w:hAnsi="宋体"/>
          <w:color w:val="auto"/>
          <w:sz w:val="22"/>
          <w:highlight w:val="none"/>
        </w:rPr>
        <w:t>于</w:t>
      </w:r>
      <w:r>
        <w:rPr>
          <w:rFonts w:ascii="宋体" w:hAnsi="宋体"/>
          <w:color w:val="auto"/>
          <w:sz w:val="22"/>
          <w:highlight w:val="none"/>
          <w:u w:val="dotted"/>
        </w:rPr>
        <w:t xml:space="preserve">   </w:t>
      </w:r>
      <w:r>
        <w:rPr>
          <w:rFonts w:ascii="宋体" w:hAnsi="宋体"/>
          <w:color w:val="auto"/>
          <w:sz w:val="22"/>
          <w:highlight w:val="none"/>
        </w:rPr>
        <w:t>年</w:t>
      </w:r>
      <w:r>
        <w:rPr>
          <w:rFonts w:ascii="宋体" w:hAnsi="宋体"/>
          <w:color w:val="auto"/>
          <w:sz w:val="22"/>
          <w:highlight w:val="none"/>
          <w:u w:val="dotted"/>
        </w:rPr>
        <w:t xml:space="preserve">   </w:t>
      </w:r>
      <w:r>
        <w:rPr>
          <w:rFonts w:ascii="宋体" w:hAnsi="宋体"/>
          <w:color w:val="auto"/>
          <w:sz w:val="22"/>
          <w:highlight w:val="none"/>
        </w:rPr>
        <w:t>月</w:t>
      </w:r>
      <w:r>
        <w:rPr>
          <w:rFonts w:ascii="宋体" w:hAnsi="宋体"/>
          <w:color w:val="auto"/>
          <w:sz w:val="22"/>
          <w:highlight w:val="none"/>
          <w:u w:val="dotted"/>
        </w:rPr>
        <w:t xml:space="preserve">   </w:t>
      </w:r>
      <w:r>
        <w:rPr>
          <w:rFonts w:ascii="宋体" w:hAnsi="宋体"/>
          <w:color w:val="auto"/>
          <w:sz w:val="22"/>
          <w:highlight w:val="none"/>
        </w:rPr>
        <w:t>日,就质疑事项作出了答复/没有在法定期限内作出答复。</w:t>
      </w:r>
    </w:p>
    <w:p>
      <w:pPr>
        <w:rPr>
          <w:rFonts w:ascii="宋体" w:hAnsi="宋体"/>
          <w:color w:val="auto"/>
          <w:sz w:val="22"/>
          <w:highlight w:val="none"/>
        </w:rPr>
      </w:pPr>
      <w:r>
        <w:rPr>
          <w:rFonts w:ascii="宋体" w:hAnsi="宋体"/>
          <w:color w:val="auto"/>
          <w:sz w:val="22"/>
          <w:highlight w:val="none"/>
        </w:rPr>
        <w:t>四、投诉事项具体内容</w:t>
      </w:r>
    </w:p>
    <w:p>
      <w:pPr>
        <w:rPr>
          <w:rFonts w:ascii="宋体" w:hAnsi="宋体"/>
          <w:color w:val="auto"/>
          <w:sz w:val="22"/>
          <w:highlight w:val="none"/>
          <w:u w:val="single"/>
        </w:rPr>
      </w:pPr>
      <w:r>
        <w:rPr>
          <w:rFonts w:ascii="宋体" w:hAnsi="宋体"/>
          <w:color w:val="auto"/>
          <w:sz w:val="22"/>
          <w:highlight w:val="none"/>
        </w:rPr>
        <w:t>投诉事项 1：</w:t>
      </w:r>
      <w:r>
        <w:rPr>
          <w:rFonts w:ascii="宋体" w:hAnsi="宋体"/>
          <w:color w:val="auto"/>
          <w:sz w:val="22"/>
          <w:highlight w:val="none"/>
          <w:u w:val="dotted"/>
        </w:rPr>
        <w:t xml:space="preserve">                                       </w:t>
      </w:r>
    </w:p>
    <w:p>
      <w:pPr>
        <w:rPr>
          <w:rFonts w:ascii="宋体" w:hAnsi="宋体"/>
          <w:color w:val="auto"/>
          <w:sz w:val="22"/>
          <w:highlight w:val="none"/>
        </w:rPr>
      </w:pPr>
      <w:r>
        <w:rPr>
          <w:rFonts w:ascii="宋体" w:hAnsi="宋体"/>
          <w:color w:val="auto"/>
          <w:sz w:val="22"/>
          <w:highlight w:val="none"/>
        </w:rPr>
        <w:t>事实依据：</w:t>
      </w:r>
      <w:r>
        <w:rPr>
          <w:rFonts w:ascii="宋体" w:hAnsi="宋体"/>
          <w:color w:val="auto"/>
          <w:sz w:val="22"/>
          <w:highlight w:val="none"/>
          <w:u w:val="dotted"/>
        </w:rPr>
        <w:t xml:space="preserve">                                         </w:t>
      </w:r>
    </w:p>
    <w:p>
      <w:pPr>
        <w:rPr>
          <w:rFonts w:ascii="宋体" w:hAnsi="宋体"/>
          <w:color w:val="auto"/>
          <w:sz w:val="22"/>
          <w:highlight w:val="none"/>
          <w:u w:val="dotted"/>
        </w:rPr>
      </w:pPr>
      <w:r>
        <w:rPr>
          <w:rFonts w:ascii="宋体" w:hAnsi="宋体"/>
          <w:color w:val="auto"/>
          <w:sz w:val="22"/>
          <w:highlight w:val="none"/>
          <w:u w:val="dotted"/>
        </w:rPr>
        <w:t xml:space="preserve">                                                      </w:t>
      </w:r>
    </w:p>
    <w:p>
      <w:pPr>
        <w:rPr>
          <w:rFonts w:ascii="宋体" w:hAnsi="宋体"/>
          <w:color w:val="auto"/>
          <w:sz w:val="22"/>
          <w:highlight w:val="none"/>
          <w:u w:val="single"/>
        </w:rPr>
      </w:pPr>
      <w:r>
        <w:rPr>
          <w:rFonts w:ascii="宋体" w:hAnsi="宋体"/>
          <w:color w:val="auto"/>
          <w:sz w:val="22"/>
          <w:highlight w:val="none"/>
        </w:rPr>
        <w:t>法律依据：</w:t>
      </w:r>
      <w:r>
        <w:rPr>
          <w:rFonts w:ascii="宋体" w:hAnsi="宋体"/>
          <w:color w:val="auto"/>
          <w:sz w:val="22"/>
          <w:highlight w:val="none"/>
          <w:u w:val="dotted"/>
        </w:rPr>
        <w:t xml:space="preserve">                                          </w:t>
      </w:r>
    </w:p>
    <w:p>
      <w:pPr>
        <w:rPr>
          <w:rFonts w:ascii="宋体" w:hAnsi="宋体"/>
          <w:color w:val="auto"/>
          <w:sz w:val="22"/>
          <w:highlight w:val="none"/>
          <w:u w:val="dotted"/>
        </w:rPr>
      </w:pPr>
      <w:r>
        <w:rPr>
          <w:rFonts w:ascii="宋体" w:hAnsi="宋体"/>
          <w:color w:val="auto"/>
          <w:sz w:val="22"/>
          <w:highlight w:val="none"/>
          <w:u w:val="dotted"/>
        </w:rPr>
        <w:t xml:space="preserve">                                                      </w:t>
      </w:r>
    </w:p>
    <w:p>
      <w:pPr>
        <w:rPr>
          <w:rFonts w:ascii="宋体" w:hAnsi="宋体"/>
          <w:color w:val="auto"/>
          <w:sz w:val="22"/>
          <w:highlight w:val="none"/>
        </w:rPr>
      </w:pPr>
      <w:r>
        <w:rPr>
          <w:rFonts w:ascii="宋体" w:hAnsi="宋体"/>
          <w:color w:val="auto"/>
          <w:sz w:val="22"/>
          <w:highlight w:val="none"/>
        </w:rPr>
        <w:t>投诉事项2</w:t>
      </w:r>
    </w:p>
    <w:p>
      <w:pPr>
        <w:rPr>
          <w:rFonts w:ascii="宋体" w:hAnsi="宋体"/>
          <w:color w:val="auto"/>
          <w:sz w:val="22"/>
          <w:highlight w:val="none"/>
          <w:u w:val="dotted"/>
        </w:rPr>
      </w:pPr>
      <w:r>
        <w:rPr>
          <w:rFonts w:ascii="宋体" w:hAnsi="宋体"/>
          <w:color w:val="auto"/>
          <w:sz w:val="22"/>
          <w:highlight w:val="none"/>
        </w:rPr>
        <w:t>……</w:t>
      </w:r>
    </w:p>
    <w:p>
      <w:pPr>
        <w:rPr>
          <w:rFonts w:ascii="宋体" w:hAnsi="宋体"/>
          <w:color w:val="auto"/>
          <w:sz w:val="22"/>
          <w:highlight w:val="none"/>
        </w:rPr>
      </w:pPr>
      <w:r>
        <w:rPr>
          <w:rFonts w:ascii="宋体" w:hAnsi="宋体"/>
          <w:color w:val="auto"/>
          <w:sz w:val="22"/>
          <w:highlight w:val="none"/>
        </w:rPr>
        <w:t>五、与投诉事项相关的投诉请求</w:t>
      </w:r>
    </w:p>
    <w:p>
      <w:pPr>
        <w:rPr>
          <w:rFonts w:ascii="宋体" w:hAnsi="宋体"/>
          <w:color w:val="auto"/>
          <w:sz w:val="22"/>
          <w:highlight w:val="none"/>
        </w:rPr>
      </w:pPr>
      <w:r>
        <w:rPr>
          <w:rFonts w:ascii="宋体" w:hAnsi="宋体"/>
          <w:color w:val="auto"/>
          <w:sz w:val="22"/>
          <w:highlight w:val="none"/>
        </w:rPr>
        <w:t>请求：</w:t>
      </w:r>
      <w:r>
        <w:rPr>
          <w:rFonts w:ascii="宋体" w:hAnsi="宋体"/>
          <w:color w:val="auto"/>
          <w:sz w:val="22"/>
          <w:highlight w:val="none"/>
          <w:u w:val="dotted"/>
        </w:rPr>
        <w:t xml:space="preserve">                                              </w:t>
      </w:r>
      <w:r>
        <w:rPr>
          <w:rFonts w:ascii="宋体" w:hAnsi="宋体"/>
          <w:color w:val="auto"/>
          <w:sz w:val="22"/>
          <w:highlight w:val="none"/>
        </w:rPr>
        <w:t xml:space="preserve"> </w:t>
      </w:r>
    </w:p>
    <w:p>
      <w:pPr>
        <w:rPr>
          <w:rFonts w:ascii="宋体" w:hAnsi="宋体"/>
          <w:color w:val="auto"/>
          <w:sz w:val="22"/>
          <w:highlight w:val="none"/>
          <w:u w:val="single"/>
        </w:rPr>
      </w:pPr>
      <w:r>
        <w:rPr>
          <w:rFonts w:ascii="宋体" w:hAnsi="宋体"/>
          <w:color w:val="auto"/>
          <w:sz w:val="22"/>
          <w:highlight w:val="none"/>
        </w:rPr>
        <w:t xml:space="preserve">                                                   </w:t>
      </w:r>
    </w:p>
    <w:p>
      <w:pPr>
        <w:rPr>
          <w:rFonts w:ascii="宋体" w:hAnsi="宋体"/>
          <w:color w:val="auto"/>
          <w:sz w:val="22"/>
          <w:highlight w:val="none"/>
        </w:rPr>
      </w:pPr>
      <w:r>
        <w:rPr>
          <w:rFonts w:ascii="宋体" w:hAnsi="宋体"/>
          <w:color w:val="auto"/>
          <w:sz w:val="22"/>
          <w:highlight w:val="none"/>
        </w:rPr>
        <w:t>签字(签章)：                   公章：</w:t>
      </w:r>
    </w:p>
    <w:p>
      <w:pPr>
        <w:rPr>
          <w:rFonts w:ascii="宋体" w:hAnsi="宋体"/>
          <w:color w:val="auto"/>
          <w:sz w:val="22"/>
          <w:highlight w:val="none"/>
        </w:rPr>
      </w:pPr>
      <w:r>
        <w:rPr>
          <w:rFonts w:ascii="宋体" w:hAnsi="宋体"/>
          <w:color w:val="auto"/>
          <w:sz w:val="22"/>
          <w:highlight w:val="none"/>
        </w:rPr>
        <w:t>日期：</w:t>
      </w:r>
    </w:p>
    <w:p>
      <w:pPr>
        <w:rPr>
          <w:rFonts w:ascii="宋体" w:hAnsi="宋体"/>
          <w:b/>
          <w:color w:val="auto"/>
          <w:sz w:val="24"/>
          <w:highlight w:val="none"/>
        </w:rPr>
      </w:pPr>
    </w:p>
    <w:p>
      <w:pPr>
        <w:spacing w:line="360" w:lineRule="auto"/>
        <w:rPr>
          <w:rFonts w:ascii="宋体" w:hAnsi="宋体"/>
          <w:b/>
          <w:color w:val="auto"/>
          <w:highlight w:val="none"/>
        </w:rPr>
      </w:pPr>
      <w:r>
        <w:rPr>
          <w:rFonts w:ascii="宋体" w:hAnsi="宋体"/>
          <w:b/>
          <w:color w:val="auto"/>
          <w:highlight w:val="none"/>
        </w:rPr>
        <w:t>投诉书制作说明：</w:t>
      </w:r>
    </w:p>
    <w:p>
      <w:pPr>
        <w:widowControl/>
        <w:spacing w:line="360" w:lineRule="auto"/>
        <w:ind w:firstLine="420" w:firstLineChars="200"/>
        <w:rPr>
          <w:rFonts w:ascii="宋体" w:hAnsi="宋体"/>
          <w:color w:val="auto"/>
          <w:kern w:val="0"/>
          <w:highlight w:val="none"/>
        </w:rPr>
      </w:pPr>
      <w:r>
        <w:rPr>
          <w:rFonts w:ascii="宋体" w:hAnsi="宋体"/>
          <w:color w:val="auto"/>
          <w:highlight w:val="none"/>
        </w:rPr>
        <w:t>1.投诉人提起投诉时，应当提交投诉书及投诉书电子文档和必要的证明材料，并按照被投诉人和与投诉事项有关的供应商数量提供投诉书副本。</w:t>
      </w:r>
    </w:p>
    <w:p>
      <w:pPr>
        <w:widowControl/>
        <w:spacing w:line="360" w:lineRule="auto"/>
        <w:ind w:firstLine="420" w:firstLineChars="200"/>
        <w:jc w:val="left"/>
        <w:rPr>
          <w:rFonts w:ascii="宋体" w:hAnsi="宋体"/>
          <w:color w:val="auto"/>
          <w:kern w:val="0"/>
          <w:highlight w:val="none"/>
        </w:rPr>
      </w:pPr>
      <w:r>
        <w:rPr>
          <w:rFonts w:ascii="宋体" w:hAnsi="宋体"/>
          <w:color w:val="auto"/>
          <w:highlight w:val="none"/>
        </w:rPr>
        <w:t>2.投诉人若委托代理人进行投诉的，投诉书应按照要求列明“授权代表”的有关内容，并在附件中提交由</w:t>
      </w:r>
      <w:r>
        <w:rPr>
          <w:rFonts w:ascii="宋体" w:hAnsi="宋体"/>
          <w:color w:val="auto"/>
          <w:kern w:val="0"/>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3.投诉人若对项目的某一分包进行投诉，投诉书应列明具体分包号。</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4.投诉书应简要列明质疑事项，质疑函、质疑答复等作为附件材料提供。</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5.投诉书的投诉事项应具体、明确，并有必要的事实依据和法律依据。</w:t>
      </w:r>
    </w:p>
    <w:p>
      <w:pPr>
        <w:widowControl/>
        <w:spacing w:line="360" w:lineRule="auto"/>
        <w:ind w:firstLine="420" w:firstLineChars="200"/>
        <w:jc w:val="left"/>
        <w:rPr>
          <w:rFonts w:ascii="宋体" w:hAnsi="宋体"/>
          <w:color w:val="auto"/>
          <w:highlight w:val="none"/>
        </w:rPr>
      </w:pPr>
      <w:r>
        <w:rPr>
          <w:rFonts w:ascii="宋体" w:hAnsi="宋体"/>
          <w:color w:val="auto"/>
          <w:highlight w:val="none"/>
        </w:rPr>
        <w:t>6.投诉书的投诉请求应与投诉事项相关。</w:t>
      </w:r>
    </w:p>
    <w:p>
      <w:pPr>
        <w:widowControl/>
        <w:spacing w:line="360" w:lineRule="auto"/>
        <w:ind w:firstLine="420" w:firstLineChars="200"/>
        <w:jc w:val="left"/>
        <w:rPr>
          <w:rFonts w:ascii="宋体" w:hAnsi="宋体"/>
          <w:color w:val="auto"/>
          <w:kern w:val="0"/>
          <w:highlight w:val="none"/>
        </w:rPr>
      </w:pPr>
      <w:r>
        <w:rPr>
          <w:rFonts w:ascii="宋体" w:hAnsi="宋体"/>
          <w:color w:val="auto"/>
          <w:highlight w:val="none"/>
        </w:rPr>
        <w:t>7.投诉人为自然人的，投诉书应当由本人签字；投诉人为法人或者其他组织的，投诉书应当由法定代表人、主要负责人，或者其授权代表签字或者盖章，并加盖公章。</w:t>
      </w:r>
    </w:p>
    <w:p>
      <w:pPr>
        <w:pStyle w:val="18"/>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color w:val="auto"/>
          <w:highlight w:val="none"/>
        </w:rPr>
      </w:pPr>
    </w:p>
    <w:p>
      <w:pPr>
        <w:rPr>
          <w:color w:val="auto"/>
          <w:highlight w:val="none"/>
        </w:rPr>
      </w:pPr>
    </w:p>
    <w:p>
      <w:pPr>
        <w:rPr>
          <w:color w:val="auto"/>
          <w:highlight w:val="none"/>
        </w:rPr>
      </w:pPr>
    </w:p>
    <w:sectPr>
      <w:headerReference r:id="rId9" w:type="default"/>
      <w:footerReference r:id="rId10" w:type="default"/>
      <w:footerReference r:id="rId11"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Segoe Print"/>
    <w:panose1 w:val="00000000000000000000"/>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0000000000000000000"/>
    <w:charset w:val="00"/>
    <w:family w:val="swiss"/>
    <w:pitch w:val="default"/>
    <w:sig w:usb0="00000000" w:usb1="000000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7"/>
      </w:rPr>
    </w:pPr>
    <w:r>
      <w:fldChar w:fldCharType="begin"/>
    </w:r>
    <w:r>
      <w:rPr>
        <w:rStyle w:val="47"/>
      </w:rPr>
      <w:instrText xml:space="preserve">PAGE  </w:instrText>
    </w:r>
    <w:r>
      <w:fldChar w:fldCharType="end"/>
    </w:r>
  </w:p>
  <w:p>
    <w:pPr>
      <w:pStyle w:val="2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7"/>
      </w:rPr>
    </w:pPr>
    <w:r>
      <w:fldChar w:fldCharType="begin"/>
    </w:r>
    <w:r>
      <w:rPr>
        <w:rStyle w:val="47"/>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15A3E0EE"/>
    <w:multiLevelType w:val="singleLevel"/>
    <w:tmpl w:val="15A3E0EE"/>
    <w:lvl w:ilvl="0" w:tentative="0">
      <w:start w:val="1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wYmQzMzE0NGM4NDg4MzZmNWMxMzI3OGJmMjdkODEifQ=="/>
  </w:docVars>
  <w:rsids>
    <w:rsidRoot w:val="00165C10"/>
    <w:rsid w:val="00165C10"/>
    <w:rsid w:val="00681E59"/>
    <w:rsid w:val="008738A8"/>
    <w:rsid w:val="008F25F8"/>
    <w:rsid w:val="00F4319E"/>
    <w:rsid w:val="01E87F70"/>
    <w:rsid w:val="0C087B18"/>
    <w:rsid w:val="13AA4288"/>
    <w:rsid w:val="1444190A"/>
    <w:rsid w:val="16924BAE"/>
    <w:rsid w:val="183602E7"/>
    <w:rsid w:val="29FF2103"/>
    <w:rsid w:val="44054362"/>
    <w:rsid w:val="53137F77"/>
    <w:rsid w:val="550A17D8"/>
    <w:rsid w:val="582E077D"/>
    <w:rsid w:val="5EA76D39"/>
    <w:rsid w:val="60B76134"/>
    <w:rsid w:val="6CB518A2"/>
    <w:rsid w:val="76204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3">
    <w:name w:val="heading 2"/>
    <w:basedOn w:val="1"/>
    <w:next w:val="1"/>
    <w:link w:val="53"/>
    <w:autoRedefine/>
    <w:qFormat/>
    <w:uiPriority w:val="0"/>
    <w:pPr>
      <w:keepNext/>
      <w:keepLines/>
      <w:spacing w:before="260" w:after="260" w:line="415" w:lineRule="auto"/>
      <w:outlineLvl w:val="1"/>
    </w:pPr>
    <w:rPr>
      <w:rFonts w:ascii="Arial" w:hAnsi="Arial" w:eastAsia="黑体" w:cstheme="majorBidi"/>
      <w:b/>
      <w:bCs/>
      <w:kern w:val="0"/>
      <w:sz w:val="32"/>
      <w:szCs w:val="32"/>
    </w:rPr>
  </w:style>
  <w:style w:type="paragraph" w:styleId="4">
    <w:name w:val="heading 3"/>
    <w:basedOn w:val="1"/>
    <w:next w:val="1"/>
    <w:link w:val="54"/>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55"/>
    <w:autoRedefine/>
    <w:qFormat/>
    <w:uiPriority w:val="0"/>
    <w:pPr>
      <w:keepNext/>
      <w:keepLines/>
      <w:spacing w:before="280" w:after="290" w:line="376" w:lineRule="auto"/>
      <w:outlineLvl w:val="3"/>
    </w:pPr>
    <w:rPr>
      <w:rFonts w:ascii="Cambria" w:hAnsi="Cambria" w:cstheme="majorBidi"/>
      <w:b/>
      <w:bCs/>
      <w:kern w:val="0"/>
      <w:sz w:val="28"/>
      <w:szCs w:val="28"/>
    </w:rPr>
  </w:style>
  <w:style w:type="paragraph" w:styleId="6">
    <w:name w:val="heading 5"/>
    <w:basedOn w:val="1"/>
    <w:next w:val="1"/>
    <w:link w:val="56"/>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57"/>
    <w:autoRedefine/>
    <w:qFormat/>
    <w:uiPriority w:val="0"/>
    <w:pPr>
      <w:keepNext/>
      <w:keepLines/>
      <w:tabs>
        <w:tab w:val="left" w:pos="3000"/>
      </w:tabs>
      <w:spacing w:before="240" w:line="317" w:lineRule="auto"/>
      <w:ind w:left="3000" w:hanging="420" w:firstLineChars="200"/>
      <w:outlineLvl w:val="5"/>
    </w:pPr>
    <w:rPr>
      <w:rFonts w:ascii="Arial" w:hAnsi="Arial" w:eastAsia="黑体" w:cstheme="majorBidi"/>
      <w:b/>
      <w:bCs/>
      <w:kern w:val="0"/>
      <w:sz w:val="24"/>
    </w:rPr>
  </w:style>
  <w:style w:type="paragraph" w:styleId="8">
    <w:name w:val="heading 7"/>
    <w:basedOn w:val="1"/>
    <w:next w:val="9"/>
    <w:link w:val="58"/>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59"/>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60"/>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400"/>
    <w:autoRedefine/>
    <w:qFormat/>
    <w:uiPriority w:val="0"/>
    <w:pPr>
      <w:ind w:firstLine="420"/>
    </w:pPr>
    <w:rPr>
      <w:rFonts w:ascii="Calibri" w:hAnsi="Calibri"/>
      <w:kern w:val="0"/>
      <w:sz w:val="20"/>
      <w:szCs w:val="20"/>
    </w:rPr>
  </w:style>
  <w:style w:type="paragraph" w:styleId="14">
    <w:name w:val="caption"/>
    <w:basedOn w:val="1"/>
    <w:next w:val="1"/>
    <w:link w:val="402"/>
    <w:autoRedefine/>
    <w:qFormat/>
    <w:uiPriority w:val="35"/>
    <w:pPr>
      <w:spacing w:before="152" w:after="160"/>
    </w:pPr>
    <w:rPr>
      <w:rFonts w:ascii="Arial" w:hAnsi="Arial" w:eastAsia="黑体" w:cs="Arial"/>
      <w:sz w:val="20"/>
      <w:szCs w:val="20"/>
    </w:rPr>
  </w:style>
  <w:style w:type="paragraph" w:styleId="15">
    <w:name w:val="Document Map"/>
    <w:basedOn w:val="1"/>
    <w:link w:val="61"/>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62"/>
    <w:autoRedefine/>
    <w:qFormat/>
    <w:uiPriority w:val="99"/>
    <w:pPr>
      <w:spacing w:after="240" w:afterLines="100" w:line="360" w:lineRule="auto"/>
      <w:ind w:firstLine="420" w:firstLineChars="200"/>
      <w:jc w:val="left"/>
    </w:pPr>
    <w:rPr>
      <w:rFonts w:ascii="Calibri" w:hAnsi="Calibri"/>
      <w:kern w:val="0"/>
      <w:sz w:val="24"/>
    </w:rPr>
  </w:style>
  <w:style w:type="paragraph" w:styleId="17">
    <w:name w:val="Body Text 3"/>
    <w:basedOn w:val="1"/>
    <w:link w:val="63"/>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64"/>
    <w:autoRedefine/>
    <w:qFormat/>
    <w:uiPriority w:val="0"/>
    <w:pPr>
      <w:spacing w:after="120"/>
    </w:pPr>
    <w:rPr>
      <w:rFonts w:ascii="Calibri" w:hAnsi="Calibri"/>
      <w:kern w:val="0"/>
      <w:sz w:val="28"/>
    </w:rPr>
  </w:style>
  <w:style w:type="paragraph" w:styleId="19">
    <w:name w:val="Body Text First Indent"/>
    <w:basedOn w:val="18"/>
    <w:next w:val="1"/>
    <w:link w:val="65"/>
    <w:autoRedefine/>
    <w:unhideWhenUsed/>
    <w:qFormat/>
    <w:uiPriority w:val="0"/>
    <w:pPr>
      <w:ind w:firstLine="420" w:firstLineChars="100"/>
    </w:pPr>
  </w:style>
  <w:style w:type="paragraph" w:styleId="20">
    <w:name w:val="Body Text Indent"/>
    <w:basedOn w:val="1"/>
    <w:link w:val="66"/>
    <w:autoRedefine/>
    <w:unhideWhenUsed/>
    <w:qFormat/>
    <w:uiPriority w:val="0"/>
    <w:pPr>
      <w:spacing w:after="120"/>
      <w:ind w:left="420" w:leftChars="200"/>
    </w:pPr>
    <w:rPr>
      <w:kern w:val="0"/>
      <w:sz w:val="20"/>
    </w:rPr>
  </w:style>
  <w:style w:type="paragraph" w:styleId="21">
    <w:name w:val="List Number 3"/>
    <w:basedOn w:val="1"/>
    <w:autoRedefine/>
    <w:qFormat/>
    <w:uiPriority w:val="0"/>
    <w:pPr>
      <w:tabs>
        <w:tab w:val="left" w:pos="1200"/>
      </w:tabs>
      <w:ind w:left="1200" w:hanging="360"/>
    </w:pPr>
  </w:style>
  <w:style w:type="paragraph" w:styleId="22">
    <w:name w:val="List 2"/>
    <w:basedOn w:val="1"/>
    <w:autoRedefine/>
    <w:qFormat/>
    <w:uiPriority w:val="0"/>
    <w:pPr>
      <w:ind w:left="100" w:leftChars="200" w:hanging="200" w:hangingChars="200"/>
    </w:pPr>
    <w:rPr>
      <w:sz w:val="28"/>
    </w:rPr>
  </w:style>
  <w:style w:type="paragraph" w:styleId="23">
    <w:name w:val="toc 3"/>
    <w:basedOn w:val="1"/>
    <w:next w:val="1"/>
    <w:autoRedefine/>
    <w:qFormat/>
    <w:uiPriority w:val="39"/>
    <w:pPr>
      <w:spacing w:line="360" w:lineRule="auto"/>
      <w:ind w:left="480" w:firstLine="200" w:firstLineChars="200"/>
      <w:jc w:val="left"/>
    </w:pPr>
    <w:rPr>
      <w:i/>
      <w:iCs/>
      <w:sz w:val="20"/>
      <w:szCs w:val="20"/>
    </w:rPr>
  </w:style>
  <w:style w:type="paragraph" w:styleId="24">
    <w:name w:val="Plain Text"/>
    <w:basedOn w:val="1"/>
    <w:link w:val="67"/>
    <w:autoRedefine/>
    <w:qFormat/>
    <w:uiPriority w:val="0"/>
    <w:pPr>
      <w:snapToGrid w:val="0"/>
      <w:spacing w:line="360" w:lineRule="auto"/>
      <w:ind w:firstLine="420" w:firstLineChars="200"/>
    </w:pPr>
    <w:rPr>
      <w:rFonts w:ascii="宋体" w:hAnsi="宋体" w:cs="Courier New"/>
      <w:kern w:val="0"/>
      <w:szCs w:val="21"/>
    </w:rPr>
  </w:style>
  <w:style w:type="paragraph" w:styleId="25">
    <w:name w:val="Date"/>
    <w:basedOn w:val="1"/>
    <w:next w:val="1"/>
    <w:link w:val="68"/>
    <w:autoRedefine/>
    <w:qFormat/>
    <w:uiPriority w:val="0"/>
    <w:pPr>
      <w:ind w:left="2500" w:leftChars="2500"/>
    </w:pPr>
    <w:rPr>
      <w:rFonts w:ascii="Calibri" w:hAnsi="Calibri" w:eastAsia="楷体_GB2312"/>
      <w:kern w:val="0"/>
      <w:sz w:val="32"/>
      <w:szCs w:val="20"/>
    </w:rPr>
  </w:style>
  <w:style w:type="paragraph" w:styleId="26">
    <w:name w:val="Body Text Indent 2"/>
    <w:basedOn w:val="1"/>
    <w:link w:val="69"/>
    <w:autoRedefine/>
    <w:qFormat/>
    <w:uiPriority w:val="0"/>
    <w:pPr>
      <w:snapToGrid w:val="0"/>
      <w:ind w:firstLine="542" w:firstLineChars="225"/>
    </w:pPr>
    <w:rPr>
      <w:rFonts w:ascii="仿宋_GB2312" w:hAnsi="宋体" w:cs="Arial"/>
      <w:b/>
      <w:bCs/>
      <w:color w:val="000000"/>
      <w:kern w:val="0"/>
      <w:sz w:val="24"/>
    </w:rPr>
  </w:style>
  <w:style w:type="paragraph" w:styleId="27">
    <w:name w:val="Balloon Text"/>
    <w:basedOn w:val="1"/>
    <w:link w:val="70"/>
    <w:autoRedefine/>
    <w:unhideWhenUsed/>
    <w:qFormat/>
    <w:uiPriority w:val="99"/>
    <w:rPr>
      <w:rFonts w:ascii="Calibri" w:hAnsi="Calibri"/>
      <w:kern w:val="0"/>
      <w:sz w:val="16"/>
      <w:szCs w:val="16"/>
    </w:rPr>
  </w:style>
  <w:style w:type="paragraph" w:styleId="28">
    <w:name w:val="footer"/>
    <w:basedOn w:val="1"/>
    <w:link w:val="401"/>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29">
    <w:name w:val="header"/>
    <w:basedOn w:val="1"/>
    <w:link w:val="72"/>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autoRedefine/>
    <w:qFormat/>
    <w:uiPriority w:val="39"/>
    <w:pPr>
      <w:tabs>
        <w:tab w:val="right" w:leader="dot" w:pos="8846"/>
      </w:tabs>
      <w:spacing w:line="360" w:lineRule="auto"/>
    </w:pPr>
  </w:style>
  <w:style w:type="paragraph" w:styleId="31">
    <w:name w:val="Subtitle"/>
    <w:basedOn w:val="1"/>
    <w:next w:val="1"/>
    <w:link w:val="73"/>
    <w:autoRedefine/>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autoRedefine/>
    <w:qFormat/>
    <w:uiPriority w:val="0"/>
    <w:pPr>
      <w:ind w:left="200" w:hanging="200" w:hangingChars="200"/>
    </w:pPr>
    <w:rPr>
      <w:sz w:val="28"/>
    </w:rPr>
  </w:style>
  <w:style w:type="paragraph" w:styleId="33">
    <w:name w:val="footnote text"/>
    <w:basedOn w:val="1"/>
    <w:link w:val="74"/>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Body Text Indent 3"/>
    <w:basedOn w:val="1"/>
    <w:link w:val="75"/>
    <w:autoRedefine/>
    <w:qFormat/>
    <w:uiPriority w:val="0"/>
    <w:pPr>
      <w:snapToGrid w:val="0"/>
      <w:ind w:firstLine="480" w:firstLineChars="200"/>
      <w:jc w:val="left"/>
    </w:pPr>
    <w:rPr>
      <w:rFonts w:ascii="仿宋_GB2312" w:hAnsi="宋体" w:eastAsia="仿宋_GB2312"/>
      <w:color w:val="000000"/>
      <w:kern w:val="0"/>
      <w:sz w:val="24"/>
    </w:rPr>
  </w:style>
  <w:style w:type="paragraph" w:styleId="35">
    <w:name w:val="toc 2"/>
    <w:basedOn w:val="1"/>
    <w:next w:val="1"/>
    <w:autoRedefine/>
    <w:unhideWhenUsed/>
    <w:qFormat/>
    <w:uiPriority w:val="39"/>
    <w:pPr>
      <w:ind w:left="420" w:leftChars="200"/>
    </w:pPr>
  </w:style>
  <w:style w:type="paragraph" w:styleId="36">
    <w:name w:val="Body Text 2"/>
    <w:basedOn w:val="1"/>
    <w:link w:val="76"/>
    <w:autoRedefine/>
    <w:qFormat/>
    <w:uiPriority w:val="0"/>
    <w:pPr>
      <w:widowControl/>
      <w:snapToGrid w:val="0"/>
      <w:spacing w:before="50" w:afterLines="50" w:line="400" w:lineRule="exact"/>
      <w:jc w:val="left"/>
    </w:pPr>
    <w:rPr>
      <w:rFonts w:ascii="宋体" w:hAnsi="宋体"/>
      <w:color w:val="000000"/>
      <w:kern w:val="0"/>
      <w:sz w:val="24"/>
    </w:rPr>
  </w:style>
  <w:style w:type="paragraph" w:styleId="37">
    <w:name w:val="HTML Preformatted"/>
    <w:basedOn w:val="1"/>
    <w:link w:val="77"/>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link w:val="403"/>
    <w:autoRedefine/>
    <w:qFormat/>
    <w:uiPriority w:val="99"/>
    <w:pPr>
      <w:widowControl/>
      <w:spacing w:before="100" w:beforeAutospacing="1" w:after="100" w:afterAutospacing="1"/>
      <w:jc w:val="left"/>
    </w:pPr>
    <w:rPr>
      <w:rFonts w:ascii="Calibri" w:hAnsi="Calibri"/>
      <w:kern w:val="0"/>
      <w:sz w:val="24"/>
    </w:rPr>
  </w:style>
  <w:style w:type="paragraph" w:styleId="39">
    <w:name w:val="index 1"/>
    <w:basedOn w:val="1"/>
    <w:next w:val="1"/>
    <w:autoRedefine/>
    <w:qFormat/>
    <w:uiPriority w:val="0"/>
    <w:pPr>
      <w:jc w:val="center"/>
    </w:pPr>
    <w:rPr>
      <w:rFonts w:ascii="Arial" w:hAnsi="Arial" w:eastAsia="Arial" w:cs="Arial"/>
      <w:b/>
      <w:bCs/>
      <w:sz w:val="28"/>
      <w:szCs w:val="20"/>
    </w:rPr>
  </w:style>
  <w:style w:type="paragraph" w:styleId="40">
    <w:name w:val="Title"/>
    <w:basedOn w:val="1"/>
    <w:link w:val="78"/>
    <w:autoRedefine/>
    <w:qFormat/>
    <w:uiPriority w:val="0"/>
    <w:pPr>
      <w:spacing w:before="240" w:after="60"/>
      <w:jc w:val="center"/>
      <w:outlineLvl w:val="0"/>
    </w:pPr>
    <w:rPr>
      <w:rFonts w:ascii="Arial" w:hAnsi="Arial" w:eastAsia="仿宋_GB2312"/>
      <w:b/>
      <w:bCs/>
      <w:kern w:val="0"/>
      <w:sz w:val="36"/>
      <w:szCs w:val="32"/>
    </w:rPr>
  </w:style>
  <w:style w:type="paragraph" w:styleId="41">
    <w:name w:val="annotation subject"/>
    <w:basedOn w:val="16"/>
    <w:next w:val="16"/>
    <w:link w:val="79"/>
    <w:autoRedefine/>
    <w:qFormat/>
    <w:uiPriority w:val="0"/>
    <w:rPr>
      <w:b/>
      <w:bCs/>
    </w:rPr>
  </w:style>
  <w:style w:type="paragraph" w:styleId="42">
    <w:name w:val="Body Text First Indent 2"/>
    <w:basedOn w:val="20"/>
    <w:link w:val="80"/>
    <w:autoRedefine/>
    <w:semiHidden/>
    <w:qFormat/>
    <w:uiPriority w:val="0"/>
    <w:pPr>
      <w:spacing w:line="360" w:lineRule="auto"/>
      <w:ind w:firstLine="420" w:firstLineChars="200"/>
    </w:pPr>
    <w:rPr>
      <w:rFonts w:ascii="宋体" w:hAnsi="Courier New"/>
      <w:spacing w:val="-4"/>
      <w:sz w:val="24"/>
    </w:rPr>
  </w:style>
  <w:style w:type="table" w:styleId="44">
    <w:name w:val="Table Grid"/>
    <w:basedOn w:val="43"/>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autoRedefine/>
    <w:qFormat/>
    <w:uiPriority w:val="22"/>
    <w:rPr>
      <w:b/>
      <w:bCs/>
    </w:rPr>
  </w:style>
  <w:style w:type="character" w:styleId="47">
    <w:name w:val="page number"/>
    <w:basedOn w:val="45"/>
    <w:autoRedefine/>
    <w:qFormat/>
    <w:uiPriority w:val="0"/>
  </w:style>
  <w:style w:type="character" w:styleId="48">
    <w:name w:val="FollowedHyperlink"/>
    <w:autoRedefine/>
    <w:unhideWhenUsed/>
    <w:qFormat/>
    <w:uiPriority w:val="99"/>
    <w:rPr>
      <w:color w:val="800080"/>
      <w:u w:val="single"/>
    </w:rPr>
  </w:style>
  <w:style w:type="character" w:styleId="49">
    <w:name w:val="Emphasis"/>
    <w:autoRedefine/>
    <w:qFormat/>
    <w:uiPriority w:val="20"/>
    <w:rPr>
      <w:i/>
    </w:rPr>
  </w:style>
  <w:style w:type="character" w:styleId="50">
    <w:name w:val="Hyperlink"/>
    <w:autoRedefine/>
    <w:qFormat/>
    <w:uiPriority w:val="99"/>
    <w:rPr>
      <w:color w:val="0000FF"/>
      <w:u w:val="single"/>
    </w:rPr>
  </w:style>
  <w:style w:type="character" w:styleId="51">
    <w:name w:val="annotation reference"/>
    <w:autoRedefine/>
    <w:qFormat/>
    <w:uiPriority w:val="0"/>
    <w:rPr>
      <w:sz w:val="21"/>
      <w:szCs w:val="21"/>
    </w:rPr>
  </w:style>
  <w:style w:type="character" w:customStyle="1" w:styleId="52">
    <w:name w:val="标题 1 字符"/>
    <w:basedOn w:val="45"/>
    <w:link w:val="2"/>
    <w:qFormat/>
    <w:uiPriority w:val="0"/>
    <w:rPr>
      <w:rFonts w:ascii="Times New Roman" w:hAnsi="Times New Roman" w:eastAsia="宋体" w:cs="Times New Roman"/>
      <w:b/>
      <w:bCs/>
      <w:color w:val="000000" w:themeColor="text1"/>
      <w:kern w:val="44"/>
      <w:sz w:val="24"/>
      <w:szCs w:val="44"/>
      <w14:textFill>
        <w14:solidFill>
          <w14:schemeClr w14:val="tx1"/>
        </w14:solidFill>
      </w14:textFill>
    </w:rPr>
  </w:style>
  <w:style w:type="character" w:customStyle="1" w:styleId="53">
    <w:name w:val="标题 2 字符"/>
    <w:basedOn w:val="45"/>
    <w:link w:val="3"/>
    <w:qFormat/>
    <w:uiPriority w:val="0"/>
    <w:rPr>
      <w:rFonts w:ascii="Arial" w:hAnsi="Arial" w:eastAsia="黑体" w:cstheme="majorBidi"/>
      <w:b/>
      <w:bCs/>
      <w:kern w:val="0"/>
      <w:sz w:val="32"/>
      <w:szCs w:val="32"/>
    </w:rPr>
  </w:style>
  <w:style w:type="character" w:customStyle="1" w:styleId="54">
    <w:name w:val="标题 3 字符"/>
    <w:basedOn w:val="45"/>
    <w:link w:val="4"/>
    <w:qFormat/>
    <w:uiPriority w:val="0"/>
    <w:rPr>
      <w:rFonts w:ascii="Times New Roman" w:hAnsi="Times New Roman" w:eastAsia="宋体" w:cs="Times New Roman"/>
      <w:b/>
      <w:bCs/>
      <w:kern w:val="0"/>
      <w:sz w:val="32"/>
      <w:szCs w:val="32"/>
    </w:rPr>
  </w:style>
  <w:style w:type="character" w:customStyle="1" w:styleId="55">
    <w:name w:val="标题 4 字符"/>
    <w:basedOn w:val="45"/>
    <w:link w:val="5"/>
    <w:qFormat/>
    <w:uiPriority w:val="0"/>
    <w:rPr>
      <w:rFonts w:ascii="Cambria" w:hAnsi="Cambria" w:eastAsia="宋体" w:cstheme="majorBidi"/>
      <w:b/>
      <w:bCs/>
      <w:kern w:val="0"/>
      <w:sz w:val="28"/>
      <w:szCs w:val="28"/>
    </w:rPr>
  </w:style>
  <w:style w:type="character" w:customStyle="1" w:styleId="56">
    <w:name w:val="标题 5 字符"/>
    <w:basedOn w:val="45"/>
    <w:link w:val="6"/>
    <w:qFormat/>
    <w:uiPriority w:val="0"/>
    <w:rPr>
      <w:rFonts w:ascii="Times New Roman" w:hAnsi="Times New Roman" w:eastAsia="宋体" w:cs="Times New Roman"/>
      <w:b/>
      <w:bCs/>
      <w:kern w:val="0"/>
      <w:sz w:val="28"/>
      <w:szCs w:val="28"/>
    </w:rPr>
  </w:style>
  <w:style w:type="character" w:customStyle="1" w:styleId="57">
    <w:name w:val="标题 6 字符"/>
    <w:basedOn w:val="45"/>
    <w:link w:val="7"/>
    <w:qFormat/>
    <w:uiPriority w:val="0"/>
    <w:rPr>
      <w:rFonts w:ascii="Arial" w:hAnsi="Arial" w:eastAsia="黑体" w:cstheme="majorBidi"/>
      <w:b/>
      <w:bCs/>
      <w:kern w:val="0"/>
      <w:sz w:val="24"/>
      <w:szCs w:val="24"/>
    </w:rPr>
  </w:style>
  <w:style w:type="character" w:customStyle="1" w:styleId="58">
    <w:name w:val="标题 7 字符"/>
    <w:basedOn w:val="45"/>
    <w:link w:val="8"/>
    <w:qFormat/>
    <w:uiPriority w:val="0"/>
    <w:rPr>
      <w:rFonts w:ascii="Times New Roman" w:hAnsi="Times New Roman" w:eastAsia="宋体" w:cs="Times New Roman"/>
      <w:b/>
      <w:bCs/>
      <w:kern w:val="0"/>
      <w:sz w:val="24"/>
      <w:szCs w:val="24"/>
    </w:rPr>
  </w:style>
  <w:style w:type="character" w:customStyle="1" w:styleId="59">
    <w:name w:val="标题 8 字符"/>
    <w:basedOn w:val="45"/>
    <w:link w:val="10"/>
    <w:qFormat/>
    <w:uiPriority w:val="0"/>
    <w:rPr>
      <w:rFonts w:ascii="Arial" w:hAnsi="Arial" w:eastAsia="黑体" w:cs="Times New Roman"/>
      <w:kern w:val="0"/>
      <w:sz w:val="24"/>
      <w:szCs w:val="24"/>
    </w:rPr>
  </w:style>
  <w:style w:type="character" w:customStyle="1" w:styleId="60">
    <w:name w:val="标题 9 字符"/>
    <w:basedOn w:val="45"/>
    <w:link w:val="11"/>
    <w:qFormat/>
    <w:uiPriority w:val="0"/>
    <w:rPr>
      <w:rFonts w:ascii="Arial" w:hAnsi="Arial" w:eastAsia="黑体" w:cs="Times New Roman"/>
      <w:kern w:val="0"/>
      <w:sz w:val="20"/>
      <w:szCs w:val="21"/>
    </w:rPr>
  </w:style>
  <w:style w:type="character" w:customStyle="1" w:styleId="61">
    <w:name w:val="文档结构图 字符"/>
    <w:basedOn w:val="45"/>
    <w:link w:val="15"/>
    <w:semiHidden/>
    <w:qFormat/>
    <w:uiPriority w:val="0"/>
    <w:rPr>
      <w:rFonts w:ascii="Calibri" w:hAnsi="Calibri" w:eastAsia="宋体" w:cs="Times New Roman"/>
      <w:kern w:val="0"/>
      <w:sz w:val="24"/>
      <w:szCs w:val="24"/>
      <w:shd w:val="clear" w:color="auto" w:fill="000080"/>
    </w:rPr>
  </w:style>
  <w:style w:type="character" w:customStyle="1" w:styleId="62">
    <w:name w:val="批注文字 字符"/>
    <w:basedOn w:val="45"/>
    <w:link w:val="16"/>
    <w:qFormat/>
    <w:uiPriority w:val="99"/>
    <w:rPr>
      <w:rFonts w:ascii="Calibri" w:hAnsi="Calibri" w:eastAsia="宋体" w:cs="Times New Roman"/>
      <w:kern w:val="0"/>
      <w:sz w:val="24"/>
      <w:szCs w:val="24"/>
    </w:rPr>
  </w:style>
  <w:style w:type="character" w:customStyle="1" w:styleId="63">
    <w:name w:val="正文文本 3 字符"/>
    <w:basedOn w:val="45"/>
    <w:link w:val="17"/>
    <w:qFormat/>
    <w:uiPriority w:val="0"/>
    <w:rPr>
      <w:rFonts w:ascii="Calibri" w:hAnsi="宋体" w:eastAsia="仿宋_GB2312" w:cs="Times New Roman"/>
      <w:b/>
      <w:bCs/>
      <w:kern w:val="0"/>
      <w:sz w:val="24"/>
      <w:szCs w:val="20"/>
    </w:rPr>
  </w:style>
  <w:style w:type="character" w:customStyle="1" w:styleId="64">
    <w:name w:val="正文文本 字符"/>
    <w:basedOn w:val="45"/>
    <w:link w:val="18"/>
    <w:qFormat/>
    <w:uiPriority w:val="0"/>
    <w:rPr>
      <w:rFonts w:ascii="Calibri" w:hAnsi="Calibri" w:eastAsia="宋体" w:cs="Times New Roman"/>
      <w:kern w:val="0"/>
      <w:sz w:val="28"/>
      <w:szCs w:val="24"/>
    </w:rPr>
  </w:style>
  <w:style w:type="character" w:customStyle="1" w:styleId="65">
    <w:name w:val="正文首行缩进 字符"/>
    <w:basedOn w:val="64"/>
    <w:link w:val="19"/>
    <w:qFormat/>
    <w:uiPriority w:val="0"/>
    <w:rPr>
      <w:rFonts w:ascii="Calibri" w:hAnsi="Calibri" w:eastAsia="宋体" w:cs="Times New Roman"/>
      <w:kern w:val="0"/>
      <w:sz w:val="28"/>
      <w:szCs w:val="24"/>
    </w:rPr>
  </w:style>
  <w:style w:type="character" w:customStyle="1" w:styleId="66">
    <w:name w:val="正文文本缩进 字符"/>
    <w:basedOn w:val="45"/>
    <w:link w:val="20"/>
    <w:qFormat/>
    <w:uiPriority w:val="0"/>
    <w:rPr>
      <w:rFonts w:ascii="Times New Roman" w:hAnsi="Times New Roman" w:eastAsia="宋体" w:cs="Times New Roman"/>
      <w:kern w:val="0"/>
      <w:sz w:val="20"/>
      <w:szCs w:val="24"/>
    </w:rPr>
  </w:style>
  <w:style w:type="character" w:customStyle="1" w:styleId="67">
    <w:name w:val="纯文本 字符"/>
    <w:basedOn w:val="45"/>
    <w:link w:val="24"/>
    <w:qFormat/>
    <w:uiPriority w:val="0"/>
    <w:rPr>
      <w:rFonts w:ascii="宋体" w:hAnsi="宋体" w:eastAsia="宋体" w:cs="Courier New"/>
      <w:kern w:val="0"/>
      <w:szCs w:val="21"/>
    </w:rPr>
  </w:style>
  <w:style w:type="character" w:customStyle="1" w:styleId="68">
    <w:name w:val="日期 字符"/>
    <w:basedOn w:val="45"/>
    <w:link w:val="25"/>
    <w:qFormat/>
    <w:uiPriority w:val="0"/>
    <w:rPr>
      <w:rFonts w:ascii="Calibri" w:hAnsi="Calibri" w:eastAsia="楷体_GB2312" w:cs="Times New Roman"/>
      <w:kern w:val="0"/>
      <w:sz w:val="32"/>
      <w:szCs w:val="20"/>
    </w:rPr>
  </w:style>
  <w:style w:type="character" w:customStyle="1" w:styleId="69">
    <w:name w:val="正文文本缩进 2 字符"/>
    <w:basedOn w:val="45"/>
    <w:link w:val="26"/>
    <w:qFormat/>
    <w:uiPriority w:val="0"/>
    <w:rPr>
      <w:rFonts w:ascii="仿宋_GB2312" w:hAnsi="宋体" w:eastAsia="宋体" w:cs="Arial"/>
      <w:b/>
      <w:bCs/>
      <w:color w:val="000000"/>
      <w:kern w:val="0"/>
      <w:sz w:val="24"/>
      <w:szCs w:val="24"/>
    </w:rPr>
  </w:style>
  <w:style w:type="character" w:customStyle="1" w:styleId="70">
    <w:name w:val="批注框文本 字符"/>
    <w:basedOn w:val="45"/>
    <w:link w:val="27"/>
    <w:qFormat/>
    <w:uiPriority w:val="99"/>
    <w:rPr>
      <w:rFonts w:ascii="Calibri" w:hAnsi="Calibri" w:eastAsia="宋体" w:cs="Times New Roman"/>
      <w:kern w:val="0"/>
      <w:sz w:val="16"/>
      <w:szCs w:val="16"/>
    </w:rPr>
  </w:style>
  <w:style w:type="character" w:customStyle="1" w:styleId="71">
    <w:name w:val="页脚 字符"/>
    <w:basedOn w:val="45"/>
    <w:qFormat/>
    <w:uiPriority w:val="0"/>
    <w:rPr>
      <w:rFonts w:ascii="Times New Roman" w:hAnsi="Times New Roman" w:eastAsia="宋体" w:cs="Times New Roman"/>
      <w:sz w:val="18"/>
      <w:szCs w:val="18"/>
    </w:rPr>
  </w:style>
  <w:style w:type="character" w:customStyle="1" w:styleId="72">
    <w:name w:val="页眉 字符"/>
    <w:basedOn w:val="45"/>
    <w:link w:val="29"/>
    <w:qFormat/>
    <w:uiPriority w:val="0"/>
    <w:rPr>
      <w:rFonts w:ascii="Calibri" w:hAnsi="Calibri" w:eastAsia="宋体" w:cs="Times New Roman"/>
      <w:kern w:val="0"/>
      <w:sz w:val="18"/>
      <w:szCs w:val="18"/>
    </w:rPr>
  </w:style>
  <w:style w:type="character" w:customStyle="1" w:styleId="73">
    <w:name w:val="副标题 字符"/>
    <w:basedOn w:val="45"/>
    <w:link w:val="31"/>
    <w:qFormat/>
    <w:uiPriority w:val="11"/>
    <w:rPr>
      <w:rFonts w:ascii="Cambria" w:hAnsi="Cambria" w:eastAsia="宋体" w:cs="Times New Roman"/>
      <w:b/>
      <w:bCs/>
      <w:kern w:val="28"/>
      <w:sz w:val="32"/>
      <w:szCs w:val="32"/>
    </w:rPr>
  </w:style>
  <w:style w:type="character" w:customStyle="1" w:styleId="74">
    <w:name w:val="脚注文本 字符"/>
    <w:basedOn w:val="45"/>
    <w:link w:val="33"/>
    <w:semiHidden/>
    <w:qFormat/>
    <w:uiPriority w:val="0"/>
    <w:rPr>
      <w:rFonts w:ascii="Calibri" w:hAnsi="Calibri" w:eastAsia="宋体" w:cs="Times New Roman"/>
      <w:kern w:val="0"/>
      <w:sz w:val="18"/>
      <w:szCs w:val="24"/>
    </w:rPr>
  </w:style>
  <w:style w:type="character" w:customStyle="1" w:styleId="75">
    <w:name w:val="正文文本缩进 3 字符"/>
    <w:basedOn w:val="45"/>
    <w:link w:val="34"/>
    <w:qFormat/>
    <w:uiPriority w:val="0"/>
    <w:rPr>
      <w:rFonts w:ascii="仿宋_GB2312" w:hAnsi="宋体" w:eastAsia="仿宋_GB2312" w:cs="Times New Roman"/>
      <w:color w:val="000000"/>
      <w:kern w:val="0"/>
      <w:sz w:val="24"/>
      <w:szCs w:val="24"/>
    </w:rPr>
  </w:style>
  <w:style w:type="character" w:customStyle="1" w:styleId="76">
    <w:name w:val="正文文本 2 字符"/>
    <w:basedOn w:val="45"/>
    <w:link w:val="36"/>
    <w:qFormat/>
    <w:uiPriority w:val="0"/>
    <w:rPr>
      <w:rFonts w:ascii="宋体" w:hAnsi="宋体" w:eastAsia="宋体" w:cs="Times New Roman"/>
      <w:color w:val="000000"/>
      <w:kern w:val="0"/>
      <w:sz w:val="24"/>
      <w:szCs w:val="24"/>
    </w:rPr>
  </w:style>
  <w:style w:type="character" w:customStyle="1" w:styleId="77">
    <w:name w:val="HTML 预设格式 字符"/>
    <w:basedOn w:val="45"/>
    <w:link w:val="37"/>
    <w:semiHidden/>
    <w:qFormat/>
    <w:uiPriority w:val="0"/>
    <w:rPr>
      <w:rFonts w:ascii="宋体" w:hAnsi="宋体" w:eastAsia="宋体" w:cs="宋体"/>
      <w:kern w:val="0"/>
      <w:sz w:val="24"/>
      <w:szCs w:val="24"/>
    </w:rPr>
  </w:style>
  <w:style w:type="character" w:customStyle="1" w:styleId="78">
    <w:name w:val="标题 字符"/>
    <w:basedOn w:val="45"/>
    <w:link w:val="40"/>
    <w:qFormat/>
    <w:uiPriority w:val="0"/>
    <w:rPr>
      <w:rFonts w:ascii="Arial" w:hAnsi="Arial" w:eastAsia="仿宋_GB2312" w:cs="Times New Roman"/>
      <w:b/>
      <w:bCs/>
      <w:kern w:val="0"/>
      <w:sz w:val="36"/>
      <w:szCs w:val="32"/>
    </w:rPr>
  </w:style>
  <w:style w:type="character" w:customStyle="1" w:styleId="79">
    <w:name w:val="批注主题 字符"/>
    <w:basedOn w:val="62"/>
    <w:link w:val="41"/>
    <w:qFormat/>
    <w:uiPriority w:val="0"/>
    <w:rPr>
      <w:rFonts w:ascii="Calibri" w:hAnsi="Calibri" w:eastAsia="宋体" w:cs="Times New Roman"/>
      <w:b/>
      <w:bCs/>
      <w:kern w:val="0"/>
      <w:sz w:val="24"/>
      <w:szCs w:val="24"/>
    </w:rPr>
  </w:style>
  <w:style w:type="character" w:customStyle="1" w:styleId="80">
    <w:name w:val="正文首行缩进 2 字符"/>
    <w:basedOn w:val="66"/>
    <w:link w:val="42"/>
    <w:semiHidden/>
    <w:qFormat/>
    <w:uiPriority w:val="0"/>
    <w:rPr>
      <w:rFonts w:ascii="宋体" w:hAnsi="Courier New" w:eastAsia="宋体" w:cs="Times New Roman"/>
      <w:spacing w:val="-4"/>
      <w:kern w:val="0"/>
      <w:sz w:val="24"/>
      <w:szCs w:val="24"/>
    </w:rPr>
  </w:style>
  <w:style w:type="paragraph" w:customStyle="1" w:styleId="81">
    <w:name w:val="_Style 29"/>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Char Char4"/>
    <w:autoRedefine/>
    <w:qFormat/>
    <w:uiPriority w:val="0"/>
    <w:rPr>
      <w:rFonts w:eastAsia="宋体"/>
      <w:kern w:val="2"/>
      <w:sz w:val="24"/>
      <w:lang w:val="en-US" w:eastAsia="zh-CN" w:bidi="ar-SA"/>
    </w:rPr>
  </w:style>
  <w:style w:type="character" w:customStyle="1" w:styleId="83">
    <w:name w:val="批注框文本 Char1"/>
    <w:autoRedefine/>
    <w:semiHidden/>
    <w:qFormat/>
    <w:uiPriority w:val="99"/>
    <w:rPr>
      <w:rFonts w:ascii="Times New Roman" w:hAnsi="Times New Roman" w:eastAsia="宋体" w:cs="Times New Roman"/>
      <w:sz w:val="18"/>
      <w:szCs w:val="18"/>
    </w:rPr>
  </w:style>
  <w:style w:type="character" w:customStyle="1" w:styleId="84">
    <w:name w:val="正文首行缩进 2 Char1"/>
    <w:autoRedefine/>
    <w:semiHidden/>
    <w:qFormat/>
    <w:uiPriority w:val="99"/>
    <w:rPr>
      <w:rFonts w:ascii="Times New Roman" w:hAnsi="Times New Roman" w:eastAsia="宋体" w:cs="Times New Roman"/>
      <w:szCs w:val="24"/>
    </w:rPr>
  </w:style>
  <w:style w:type="character" w:customStyle="1" w:styleId="85">
    <w:name w:val="投标文件 正文首行缩进 Char"/>
    <w:autoRedefine/>
    <w:qFormat/>
    <w:uiPriority w:val="0"/>
    <w:rPr>
      <w:rFonts w:ascii="Arial" w:hAnsi="Arial" w:eastAsia="宋体"/>
      <w:kern w:val="2"/>
      <w:sz w:val="21"/>
      <w:szCs w:val="24"/>
      <w:lang w:val="en-US" w:eastAsia="zh-CN" w:bidi="ar-SA"/>
    </w:rPr>
  </w:style>
  <w:style w:type="character" w:customStyle="1" w:styleId="86">
    <w:name w:val="_正文段落 Char"/>
    <w:autoRedefine/>
    <w:qFormat/>
    <w:uiPriority w:val="0"/>
    <w:rPr>
      <w:rFonts w:eastAsia="宋体"/>
      <w:kern w:val="2"/>
      <w:sz w:val="21"/>
      <w:szCs w:val="24"/>
      <w:lang w:val="en-US" w:eastAsia="zh-CN" w:bidi="ar-SA"/>
    </w:rPr>
  </w:style>
  <w:style w:type="character" w:customStyle="1" w:styleId="87">
    <w:name w:val="Char Char17"/>
    <w:autoRedefine/>
    <w:qFormat/>
    <w:uiPriority w:val="0"/>
    <w:rPr>
      <w:rFonts w:ascii="Arial" w:hAnsi="Arial" w:eastAsia="黑体"/>
      <w:b/>
      <w:bCs/>
      <w:kern w:val="2"/>
      <w:sz w:val="32"/>
      <w:szCs w:val="32"/>
      <w:lang w:val="en-US" w:eastAsia="zh-CN" w:bidi="ar-SA"/>
    </w:rPr>
  </w:style>
  <w:style w:type="character" w:customStyle="1" w:styleId="88">
    <w:name w:val="Char Char14"/>
    <w:autoRedefine/>
    <w:qFormat/>
    <w:uiPriority w:val="0"/>
    <w:rPr>
      <w:rFonts w:eastAsia="宋体"/>
      <w:b/>
      <w:bCs/>
      <w:kern w:val="2"/>
      <w:sz w:val="28"/>
      <w:szCs w:val="28"/>
      <w:lang w:val="en-US" w:eastAsia="zh-CN" w:bidi="ar-SA"/>
    </w:rPr>
  </w:style>
  <w:style w:type="character" w:customStyle="1" w:styleId="89">
    <w:name w:val="ptt1"/>
    <w:autoRedefine/>
    <w:qFormat/>
    <w:uiPriority w:val="0"/>
    <w:rPr>
      <w:rFonts w:hint="eastAsia" w:ascii="宋体" w:hAnsi="宋体" w:eastAsia="宋体"/>
      <w:sz w:val="18"/>
      <w:szCs w:val="18"/>
    </w:rPr>
  </w:style>
  <w:style w:type="character" w:customStyle="1" w:styleId="90">
    <w:name w:val="脚注文本 Char1"/>
    <w:semiHidden/>
    <w:qFormat/>
    <w:uiPriority w:val="99"/>
    <w:rPr>
      <w:rFonts w:ascii="Times New Roman" w:hAnsi="Times New Roman" w:eastAsia="宋体" w:cs="Times New Roman"/>
      <w:sz w:val="18"/>
      <w:szCs w:val="18"/>
    </w:rPr>
  </w:style>
  <w:style w:type="character" w:customStyle="1" w:styleId="91">
    <w:name w:val="Char Char18"/>
    <w:autoRedefine/>
    <w:qFormat/>
    <w:uiPriority w:val="0"/>
    <w:rPr>
      <w:rFonts w:eastAsia="宋体"/>
      <w:b/>
      <w:bCs/>
      <w:kern w:val="44"/>
      <w:sz w:val="44"/>
      <w:szCs w:val="44"/>
      <w:lang w:val="en-US" w:eastAsia="zh-CN" w:bidi="ar-SA"/>
    </w:rPr>
  </w:style>
  <w:style w:type="character" w:customStyle="1" w:styleId="92">
    <w:name w:val="font2"/>
    <w:autoRedefine/>
    <w:qFormat/>
    <w:uiPriority w:val="0"/>
  </w:style>
  <w:style w:type="character" w:customStyle="1" w:styleId="93">
    <w:name w:val="缺省文本 Char"/>
    <w:autoRedefine/>
    <w:qFormat/>
    <w:uiPriority w:val="0"/>
    <w:rPr>
      <w:rFonts w:eastAsia="宋体"/>
      <w:sz w:val="24"/>
      <w:lang w:val="en-US" w:eastAsia="zh-CN" w:bidi="ar-SA"/>
    </w:rPr>
  </w:style>
  <w:style w:type="character" w:customStyle="1" w:styleId="94">
    <w:name w:val="HTML 预设格式 Char1"/>
    <w:autoRedefine/>
    <w:semiHidden/>
    <w:qFormat/>
    <w:uiPriority w:val="99"/>
    <w:rPr>
      <w:rFonts w:ascii="Courier New" w:hAnsi="Courier New"/>
      <w:kern w:val="2"/>
    </w:rPr>
  </w:style>
  <w:style w:type="character" w:customStyle="1" w:styleId="95">
    <w:name w:val="Char Char8"/>
    <w:autoRedefine/>
    <w:qFormat/>
    <w:uiPriority w:val="0"/>
    <w:rPr>
      <w:sz w:val="24"/>
    </w:rPr>
  </w:style>
  <w:style w:type="character" w:customStyle="1" w:styleId="96">
    <w:name w:val="Char Char9"/>
    <w:autoRedefine/>
    <w:qFormat/>
    <w:uiPriority w:val="0"/>
    <w:rPr>
      <w:rFonts w:ascii="Arial" w:hAnsi="Arial" w:cs="Arial"/>
      <w:vanish/>
      <w:sz w:val="16"/>
      <w:szCs w:val="16"/>
    </w:rPr>
  </w:style>
  <w:style w:type="character" w:customStyle="1" w:styleId="97">
    <w:name w:val="font31"/>
    <w:autoRedefine/>
    <w:qFormat/>
    <w:uiPriority w:val="0"/>
    <w:rPr>
      <w:rFonts w:hint="default" w:ascii="Times New Roman" w:hAnsi="Times New Roman" w:cs="Times New Roman"/>
      <w:color w:val="FF0000"/>
      <w:sz w:val="24"/>
      <w:szCs w:val="24"/>
      <w:u w:val="none"/>
    </w:rPr>
  </w:style>
  <w:style w:type="character" w:customStyle="1" w:styleId="98">
    <w:name w:val="_标题3 Char"/>
    <w:autoRedefine/>
    <w:qFormat/>
    <w:uiPriority w:val="0"/>
    <w:rPr>
      <w:rFonts w:ascii="Arial" w:hAnsi="Arial" w:eastAsia="黑体"/>
      <w:bCs/>
      <w:kern w:val="2"/>
      <w:sz w:val="30"/>
      <w:szCs w:val="32"/>
      <w:lang w:val="en-US" w:eastAsia="zh-CN" w:bidi="ar-SA"/>
    </w:rPr>
  </w:style>
  <w:style w:type="character" w:customStyle="1" w:styleId="99">
    <w:name w:val="_正文段落加粗 Char"/>
    <w:qFormat/>
    <w:uiPriority w:val="0"/>
    <w:rPr>
      <w:rFonts w:eastAsia="宋体"/>
      <w:b/>
      <w:kern w:val="2"/>
      <w:sz w:val="21"/>
      <w:szCs w:val="24"/>
      <w:lang w:val="en-US" w:eastAsia="zh-CN" w:bidi="ar-SA"/>
    </w:rPr>
  </w:style>
  <w:style w:type="character" w:customStyle="1" w:styleId="100">
    <w:name w:val="Char Char"/>
    <w:autoRedefine/>
    <w:qFormat/>
    <w:uiPriority w:val="0"/>
    <w:rPr>
      <w:rFonts w:ascii="宋体" w:hAnsi="Courier New"/>
      <w:kern w:val="2"/>
      <w:sz w:val="21"/>
    </w:rPr>
  </w:style>
  <w:style w:type="character" w:customStyle="1" w:styleId="101">
    <w:name w:val="p2"/>
    <w:autoRedefine/>
    <w:qFormat/>
    <w:uiPriority w:val="0"/>
  </w:style>
  <w:style w:type="character" w:customStyle="1" w:styleId="102">
    <w:name w:val="_题注 Char"/>
    <w:autoRedefine/>
    <w:qFormat/>
    <w:uiPriority w:val="0"/>
    <w:rPr>
      <w:rFonts w:ascii="Arial" w:hAnsi="Arial" w:eastAsia="黑体" w:cs="Arial"/>
      <w:kern w:val="2"/>
      <w:sz w:val="21"/>
      <w:lang w:val="en-US" w:eastAsia="zh-CN" w:bidi="ar-SA"/>
    </w:rPr>
  </w:style>
  <w:style w:type="character" w:customStyle="1" w:styleId="103">
    <w:name w:val="正文文本 Char1"/>
    <w:autoRedefine/>
    <w:semiHidden/>
    <w:qFormat/>
    <w:uiPriority w:val="99"/>
    <w:rPr>
      <w:rFonts w:ascii="Times New Roman" w:hAnsi="Times New Roman" w:eastAsia="宋体" w:cs="Times New Roman"/>
      <w:szCs w:val="24"/>
    </w:rPr>
  </w:style>
  <w:style w:type="character" w:customStyle="1" w:styleId="104">
    <w:name w:val="正文首行缩进 Char1"/>
    <w:autoRedefine/>
    <w:semiHidden/>
    <w:qFormat/>
    <w:uiPriority w:val="99"/>
    <w:rPr>
      <w:rFonts w:ascii="Times New Roman" w:hAnsi="Times New Roman" w:eastAsia="宋体" w:cs="Times New Roman"/>
      <w:szCs w:val="24"/>
    </w:rPr>
  </w:style>
  <w:style w:type="paragraph" w:customStyle="1" w:styleId="105">
    <w:name w:val="样式1"/>
    <w:basedOn w:val="1"/>
    <w:link w:val="106"/>
    <w:autoRedefine/>
    <w:qFormat/>
    <w:uiPriority w:val="0"/>
    <w:pPr>
      <w:spacing w:line="360" w:lineRule="exact"/>
      <w:ind w:firstLine="200" w:firstLineChars="200"/>
    </w:pPr>
    <w:rPr>
      <w:rFonts w:ascii="Arial" w:hAnsi="Arial"/>
      <w:kern w:val="0"/>
      <w:sz w:val="20"/>
    </w:rPr>
  </w:style>
  <w:style w:type="character" w:customStyle="1" w:styleId="106">
    <w:name w:val="样式1 Char Char"/>
    <w:link w:val="105"/>
    <w:autoRedefine/>
    <w:qFormat/>
    <w:uiPriority w:val="0"/>
    <w:rPr>
      <w:rFonts w:ascii="Arial" w:hAnsi="Arial" w:eastAsia="宋体" w:cs="Times New Roman"/>
      <w:kern w:val="0"/>
      <w:sz w:val="20"/>
      <w:szCs w:val="24"/>
    </w:rPr>
  </w:style>
  <w:style w:type="paragraph" w:customStyle="1" w:styleId="107">
    <w:name w:val="z-窗体顶端1"/>
    <w:basedOn w:val="1"/>
    <w:next w:val="1"/>
    <w:link w:val="108"/>
    <w:autoRedefine/>
    <w:qFormat/>
    <w:uiPriority w:val="0"/>
    <w:pPr>
      <w:widowControl/>
      <w:pBdr>
        <w:bottom w:val="single" w:color="auto" w:sz="6" w:space="1"/>
      </w:pBdr>
      <w:jc w:val="center"/>
    </w:pPr>
    <w:rPr>
      <w:rFonts w:ascii="Arial" w:hAnsi="Arial" w:cs="Arial"/>
      <w:vanish/>
      <w:kern w:val="0"/>
      <w:sz w:val="16"/>
      <w:szCs w:val="16"/>
    </w:rPr>
  </w:style>
  <w:style w:type="character" w:customStyle="1" w:styleId="108">
    <w:name w:val="z-窗体顶端 Char"/>
    <w:link w:val="107"/>
    <w:autoRedefine/>
    <w:qFormat/>
    <w:uiPriority w:val="0"/>
    <w:rPr>
      <w:rFonts w:ascii="Arial" w:hAnsi="Arial" w:eastAsia="宋体" w:cs="Arial"/>
      <w:vanish/>
      <w:kern w:val="0"/>
      <w:sz w:val="16"/>
      <w:szCs w:val="16"/>
    </w:rPr>
  </w:style>
  <w:style w:type="character" w:customStyle="1" w:styleId="109">
    <w:name w:val="z-窗体顶端 Char1"/>
    <w:autoRedefine/>
    <w:semiHidden/>
    <w:qFormat/>
    <w:uiPriority w:val="99"/>
    <w:rPr>
      <w:rFonts w:ascii="Arial" w:hAnsi="Arial" w:eastAsia="宋体" w:cs="Arial"/>
      <w:vanish/>
      <w:sz w:val="16"/>
      <w:szCs w:val="16"/>
    </w:rPr>
  </w:style>
  <w:style w:type="paragraph" w:customStyle="1" w:styleId="110">
    <w:name w:val="z-窗体底端1"/>
    <w:basedOn w:val="1"/>
    <w:next w:val="1"/>
    <w:link w:val="111"/>
    <w:autoRedefine/>
    <w:qFormat/>
    <w:uiPriority w:val="0"/>
    <w:pPr>
      <w:widowControl/>
      <w:pBdr>
        <w:top w:val="single" w:color="auto" w:sz="6" w:space="1"/>
      </w:pBdr>
      <w:jc w:val="center"/>
    </w:pPr>
    <w:rPr>
      <w:rFonts w:ascii="Arial" w:hAnsi="Arial" w:cs="Arial"/>
      <w:vanish/>
      <w:kern w:val="0"/>
      <w:sz w:val="16"/>
      <w:szCs w:val="16"/>
    </w:rPr>
  </w:style>
  <w:style w:type="character" w:customStyle="1" w:styleId="111">
    <w:name w:val="z-窗体底端 Char"/>
    <w:link w:val="110"/>
    <w:autoRedefine/>
    <w:qFormat/>
    <w:uiPriority w:val="0"/>
    <w:rPr>
      <w:rFonts w:ascii="Arial" w:hAnsi="Arial" w:eastAsia="宋体" w:cs="Arial"/>
      <w:vanish/>
      <w:kern w:val="0"/>
      <w:sz w:val="16"/>
      <w:szCs w:val="16"/>
    </w:rPr>
  </w:style>
  <w:style w:type="character" w:customStyle="1" w:styleId="112">
    <w:name w:val="z-窗体底端 Char1"/>
    <w:autoRedefine/>
    <w:semiHidden/>
    <w:qFormat/>
    <w:uiPriority w:val="99"/>
    <w:rPr>
      <w:rFonts w:ascii="Arial" w:hAnsi="Arial" w:eastAsia="宋体" w:cs="Arial"/>
      <w:vanish/>
      <w:sz w:val="16"/>
      <w:szCs w:val="16"/>
    </w:rPr>
  </w:style>
  <w:style w:type="character" w:customStyle="1" w:styleId="113">
    <w:name w:val="正文首行缩进两字符 Char"/>
    <w:autoRedefine/>
    <w:qFormat/>
    <w:uiPriority w:val="0"/>
    <w:rPr>
      <w:rFonts w:ascii="Arial" w:hAnsi="Arial"/>
      <w:kern w:val="2"/>
      <w:sz w:val="24"/>
      <w:szCs w:val="24"/>
    </w:rPr>
  </w:style>
  <w:style w:type="character" w:customStyle="1" w:styleId="114">
    <w:name w:val="msonormal"/>
    <w:autoRedefine/>
    <w:qFormat/>
    <w:uiPriority w:val="0"/>
  </w:style>
  <w:style w:type="character" w:customStyle="1" w:styleId="115">
    <w:name w:val="Char Char2"/>
    <w:autoRedefine/>
    <w:qFormat/>
    <w:uiPriority w:val="0"/>
    <w:rPr>
      <w:sz w:val="24"/>
    </w:rPr>
  </w:style>
  <w:style w:type="character" w:customStyle="1" w:styleId="116">
    <w:name w:val="Char Char3"/>
    <w:autoRedefine/>
    <w:qFormat/>
    <w:uiPriority w:val="0"/>
    <w:rPr>
      <w:rFonts w:ascii="宋体" w:hAnsi="宋体" w:cs="宋体"/>
      <w:sz w:val="24"/>
      <w:szCs w:val="24"/>
    </w:rPr>
  </w:style>
  <w:style w:type="character" w:customStyle="1" w:styleId="117">
    <w:name w:val="Char Char5"/>
    <w:autoRedefine/>
    <w:qFormat/>
    <w:uiPriority w:val="0"/>
    <w:rPr>
      <w:rFonts w:ascii="Arial" w:hAnsi="Arial" w:eastAsia="黑体" w:cs="Arial"/>
    </w:rPr>
  </w:style>
  <w:style w:type="character" w:customStyle="1" w:styleId="118">
    <w:name w:val="副标题 Char1"/>
    <w:autoRedefine/>
    <w:qFormat/>
    <w:uiPriority w:val="11"/>
    <w:rPr>
      <w:rFonts w:ascii="Cambria" w:hAnsi="Cambria" w:eastAsia="宋体" w:cs="Times New Roman"/>
      <w:b/>
      <w:bCs/>
      <w:kern w:val="28"/>
      <w:sz w:val="32"/>
      <w:szCs w:val="32"/>
    </w:rPr>
  </w:style>
  <w:style w:type="character" w:customStyle="1" w:styleId="119">
    <w:name w:val="_标题2 Char"/>
    <w:autoRedefine/>
    <w:qFormat/>
    <w:uiPriority w:val="0"/>
    <w:rPr>
      <w:rFonts w:ascii="Tahoma" w:hAnsi="Tahoma" w:eastAsia="黑体"/>
      <w:bCs/>
      <w:kern w:val="2"/>
      <w:sz w:val="32"/>
      <w:szCs w:val="32"/>
      <w:lang w:val="en-US" w:eastAsia="zh-CN" w:bidi="ar-SA"/>
    </w:rPr>
  </w:style>
  <w:style w:type="character" w:customStyle="1" w:styleId="120">
    <w:name w:val="f14b1"/>
    <w:autoRedefine/>
    <w:qFormat/>
    <w:uiPriority w:val="0"/>
    <w:rPr>
      <w:rFonts w:hint="default" w:ascii="??" w:hAnsi="??"/>
      <w:b/>
      <w:bCs/>
      <w:color w:val="333333"/>
      <w:sz w:val="21"/>
      <w:szCs w:val="21"/>
    </w:rPr>
  </w:style>
  <w:style w:type="character" w:customStyle="1" w:styleId="121">
    <w:name w:val="首行缩进2字符 Char"/>
    <w:autoRedefine/>
    <w:qFormat/>
    <w:uiPriority w:val="0"/>
    <w:rPr>
      <w:rFonts w:eastAsia="宋体"/>
      <w:snapToGrid w:val="0"/>
      <w:sz w:val="21"/>
      <w:szCs w:val="21"/>
      <w:lang w:val="en-US" w:eastAsia="zh-CN" w:bidi="ar-SA"/>
    </w:rPr>
  </w:style>
  <w:style w:type="character" w:customStyle="1" w:styleId="122">
    <w:name w:val="Char Char6"/>
    <w:autoRedefine/>
    <w:qFormat/>
    <w:uiPriority w:val="0"/>
    <w:rPr>
      <w:rFonts w:ascii="Arial" w:hAnsi="Arial" w:cs="Arial"/>
      <w:vanish/>
      <w:sz w:val="16"/>
      <w:szCs w:val="16"/>
    </w:rPr>
  </w:style>
  <w:style w:type="character" w:customStyle="1" w:styleId="123">
    <w:name w:val="文档正文 Char"/>
    <w:autoRedefine/>
    <w:qFormat/>
    <w:uiPriority w:val="0"/>
    <w:rPr>
      <w:rFonts w:eastAsia="宋体"/>
      <w:sz w:val="24"/>
      <w:lang w:val="en-US" w:eastAsia="zh-CN" w:bidi="ar-SA"/>
    </w:rPr>
  </w:style>
  <w:style w:type="character" w:customStyle="1" w:styleId="124">
    <w:name w:val="Char Char11"/>
    <w:autoRedefine/>
    <w:qFormat/>
    <w:uiPriority w:val="0"/>
    <w:rPr>
      <w:rFonts w:ascii="Arial" w:hAnsi="Arial" w:eastAsia="黑体"/>
      <w:sz w:val="24"/>
      <w:szCs w:val="24"/>
      <w:lang w:val="en-US" w:eastAsia="zh-CN" w:bidi="ar-SA"/>
    </w:rPr>
  </w:style>
  <w:style w:type="character" w:customStyle="1" w:styleId="125">
    <w:name w:val="批注文字 Char1"/>
    <w:autoRedefine/>
    <w:semiHidden/>
    <w:qFormat/>
    <w:uiPriority w:val="99"/>
    <w:rPr>
      <w:rFonts w:ascii="Times New Roman" w:hAnsi="Times New Roman" w:eastAsia="宋体" w:cs="Times New Roman"/>
      <w:szCs w:val="24"/>
    </w:rPr>
  </w:style>
  <w:style w:type="character" w:customStyle="1" w:styleId="126">
    <w:name w:val="正文文本缩进 3 Char1"/>
    <w:autoRedefine/>
    <w:semiHidden/>
    <w:qFormat/>
    <w:uiPriority w:val="99"/>
    <w:rPr>
      <w:rFonts w:ascii="Times New Roman" w:hAnsi="Times New Roman" w:eastAsia="宋体" w:cs="Times New Roman"/>
      <w:sz w:val="16"/>
      <w:szCs w:val="16"/>
    </w:rPr>
  </w:style>
  <w:style w:type="character" w:customStyle="1" w:styleId="127">
    <w:name w:val="_表格文字 Char"/>
    <w:autoRedefine/>
    <w:qFormat/>
    <w:uiPriority w:val="0"/>
    <w:rPr>
      <w:rFonts w:eastAsia="宋体"/>
      <w:kern w:val="2"/>
      <w:sz w:val="21"/>
      <w:szCs w:val="24"/>
      <w:lang w:val="en-US" w:eastAsia="zh-CN" w:bidi="ar-SA"/>
    </w:rPr>
  </w:style>
  <w:style w:type="character" w:customStyle="1" w:styleId="128">
    <w:name w:val="正文文本缩进 2 Char1"/>
    <w:autoRedefine/>
    <w:semiHidden/>
    <w:qFormat/>
    <w:uiPriority w:val="99"/>
    <w:rPr>
      <w:rFonts w:ascii="Times New Roman" w:hAnsi="Times New Roman" w:eastAsia="宋体" w:cs="Times New Roman"/>
      <w:szCs w:val="24"/>
    </w:rPr>
  </w:style>
  <w:style w:type="character" w:customStyle="1" w:styleId="129">
    <w:name w:val="正文文本 2 Char1"/>
    <w:autoRedefine/>
    <w:semiHidden/>
    <w:qFormat/>
    <w:uiPriority w:val="99"/>
    <w:rPr>
      <w:rFonts w:ascii="Times New Roman" w:hAnsi="Times New Roman" w:eastAsia="宋体" w:cs="Times New Roman"/>
      <w:szCs w:val="24"/>
    </w:rPr>
  </w:style>
  <w:style w:type="character" w:customStyle="1" w:styleId="130">
    <w:name w:val="图 Char Char"/>
    <w:autoRedefine/>
    <w:qFormat/>
    <w:uiPriority w:val="0"/>
    <w:rPr>
      <w:rFonts w:eastAsia="黑体"/>
      <w:b/>
      <w:sz w:val="24"/>
    </w:rPr>
  </w:style>
  <w:style w:type="character" w:customStyle="1" w:styleId="131">
    <w:name w:val="普通文字1 Char"/>
    <w:autoRedefine/>
    <w:qFormat/>
    <w:uiPriority w:val="0"/>
    <w:rPr>
      <w:rFonts w:ascii="宋体" w:hAnsi="Courier New" w:eastAsia="宋体" w:cs="Courier New"/>
      <w:kern w:val="2"/>
      <w:sz w:val="21"/>
      <w:szCs w:val="21"/>
      <w:lang w:val="en-US" w:eastAsia="zh-CN" w:bidi="ar-SA"/>
    </w:rPr>
  </w:style>
  <w:style w:type="character" w:customStyle="1" w:styleId="132">
    <w:name w:val="日期 Char1"/>
    <w:autoRedefine/>
    <w:semiHidden/>
    <w:qFormat/>
    <w:uiPriority w:val="99"/>
    <w:rPr>
      <w:rFonts w:ascii="Times New Roman" w:hAnsi="Times New Roman" w:eastAsia="宋体" w:cs="Times New Roman"/>
      <w:szCs w:val="24"/>
    </w:rPr>
  </w:style>
  <w:style w:type="character" w:customStyle="1" w:styleId="133">
    <w:name w:val="mark13"/>
    <w:basedOn w:val="45"/>
    <w:autoRedefine/>
    <w:qFormat/>
    <w:uiPriority w:val="0"/>
  </w:style>
  <w:style w:type="character" w:customStyle="1" w:styleId="134">
    <w:name w:val="st1"/>
    <w:autoRedefine/>
    <w:qFormat/>
    <w:uiPriority w:val="0"/>
    <w:rPr>
      <w:spacing w:val="240"/>
    </w:rPr>
  </w:style>
  <w:style w:type="character" w:customStyle="1" w:styleId="135">
    <w:name w:val="HTML 预设格式 Char2"/>
    <w:autoRedefine/>
    <w:semiHidden/>
    <w:qFormat/>
    <w:uiPriority w:val="99"/>
    <w:rPr>
      <w:rFonts w:ascii="Courier New" w:hAnsi="Courier New" w:eastAsia="宋体" w:cs="Courier New"/>
      <w:sz w:val="20"/>
      <w:szCs w:val="20"/>
    </w:rPr>
  </w:style>
  <w:style w:type="character" w:customStyle="1" w:styleId="136">
    <w:name w:val="Char Char1"/>
    <w:autoRedefine/>
    <w:qFormat/>
    <w:uiPriority w:val="0"/>
    <w:rPr>
      <w:sz w:val="24"/>
    </w:rPr>
  </w:style>
  <w:style w:type="character" w:customStyle="1" w:styleId="137">
    <w:name w:val="图 Char"/>
    <w:autoRedefine/>
    <w:qFormat/>
    <w:uiPriority w:val="0"/>
    <w:rPr>
      <w:rFonts w:eastAsia="黑体"/>
      <w:b/>
      <w:sz w:val="24"/>
      <w:lang w:val="en-US" w:eastAsia="zh-CN" w:bidi="ar-SA"/>
    </w:rPr>
  </w:style>
  <w:style w:type="character" w:customStyle="1" w:styleId="138">
    <w:name w:val="font61"/>
    <w:autoRedefine/>
    <w:qFormat/>
    <w:uiPriority w:val="0"/>
    <w:rPr>
      <w:rFonts w:hint="eastAsia" w:ascii="宋体" w:hAnsi="宋体" w:eastAsia="宋体" w:cs="宋体"/>
      <w:color w:val="000000"/>
      <w:sz w:val="24"/>
      <w:szCs w:val="24"/>
      <w:u w:val="none"/>
    </w:rPr>
  </w:style>
  <w:style w:type="character" w:customStyle="1" w:styleId="139">
    <w:name w:val="a4red1"/>
    <w:autoRedefine/>
    <w:qFormat/>
    <w:uiPriority w:val="0"/>
    <w:rPr>
      <w:rFonts w:hint="default" w:ascii="Tahoma" w:hAnsi="Tahoma" w:cs="Tahoma"/>
      <w:color w:val="FF3300"/>
      <w:sz w:val="18"/>
      <w:szCs w:val="18"/>
      <w:u w:val="single"/>
    </w:rPr>
  </w:style>
  <w:style w:type="character" w:customStyle="1" w:styleId="140">
    <w:name w:val="Char Char12"/>
    <w:autoRedefine/>
    <w:qFormat/>
    <w:uiPriority w:val="0"/>
    <w:rPr>
      <w:rFonts w:eastAsia="宋体"/>
      <w:b/>
      <w:bCs/>
      <w:sz w:val="24"/>
      <w:szCs w:val="24"/>
      <w:lang w:val="en-US" w:eastAsia="zh-CN" w:bidi="ar-SA"/>
    </w:rPr>
  </w:style>
  <w:style w:type="character" w:customStyle="1" w:styleId="141">
    <w:name w:val="orange"/>
    <w:basedOn w:val="45"/>
    <w:autoRedefine/>
    <w:qFormat/>
    <w:uiPriority w:val="0"/>
  </w:style>
  <w:style w:type="character" w:customStyle="1" w:styleId="142">
    <w:name w:val="font01"/>
    <w:autoRedefine/>
    <w:qFormat/>
    <w:uiPriority w:val="0"/>
    <w:rPr>
      <w:rFonts w:hint="eastAsia" w:ascii="宋体" w:hAnsi="宋体" w:eastAsia="宋体" w:cs="宋体"/>
      <w:color w:val="FF0000"/>
      <w:sz w:val="24"/>
      <w:szCs w:val="24"/>
      <w:u w:val="none"/>
    </w:rPr>
  </w:style>
  <w:style w:type="character" w:customStyle="1" w:styleId="143">
    <w:name w:val="jianju1"/>
    <w:autoRedefine/>
    <w:qFormat/>
    <w:uiPriority w:val="0"/>
    <w:rPr>
      <w:color w:val="000000"/>
      <w:sz w:val="21"/>
      <w:szCs w:val="21"/>
      <w:u w:val="none"/>
    </w:rPr>
  </w:style>
  <w:style w:type="character" w:customStyle="1" w:styleId="144">
    <w:name w:val="fontb5"/>
    <w:basedOn w:val="45"/>
    <w:autoRedefine/>
    <w:qFormat/>
    <w:uiPriority w:val="0"/>
  </w:style>
  <w:style w:type="character" w:customStyle="1" w:styleId="145">
    <w:name w:val="_列表 Char"/>
    <w:autoRedefine/>
    <w:qFormat/>
    <w:uiPriority w:val="0"/>
    <w:rPr>
      <w:kern w:val="2"/>
      <w:sz w:val="24"/>
      <w:szCs w:val="24"/>
    </w:rPr>
  </w:style>
  <w:style w:type="character" w:customStyle="1" w:styleId="146">
    <w:name w:val="纯文本 Char1"/>
    <w:autoRedefine/>
    <w:semiHidden/>
    <w:qFormat/>
    <w:uiPriority w:val="0"/>
    <w:rPr>
      <w:rFonts w:ascii="宋体" w:hAnsi="Courier New" w:eastAsia="宋体" w:cs="Courier New"/>
      <w:szCs w:val="21"/>
    </w:rPr>
  </w:style>
  <w:style w:type="character" w:customStyle="1" w:styleId="147">
    <w:name w:val="Char Char15"/>
    <w:autoRedefine/>
    <w:qFormat/>
    <w:uiPriority w:val="0"/>
    <w:rPr>
      <w:rFonts w:ascii="Arial" w:hAnsi="Arial" w:eastAsia="黑体"/>
      <w:b/>
      <w:bCs/>
      <w:kern w:val="2"/>
      <w:sz w:val="28"/>
      <w:szCs w:val="28"/>
      <w:lang w:val="en-US" w:eastAsia="zh-CN" w:bidi="ar-SA"/>
    </w:rPr>
  </w:style>
  <w:style w:type="character" w:customStyle="1" w:styleId="148">
    <w:name w:val="正文文本 3 Char1"/>
    <w:autoRedefine/>
    <w:semiHidden/>
    <w:qFormat/>
    <w:uiPriority w:val="99"/>
    <w:rPr>
      <w:rFonts w:ascii="Times New Roman" w:hAnsi="Times New Roman" w:eastAsia="宋体" w:cs="Times New Roman"/>
      <w:sz w:val="16"/>
      <w:szCs w:val="16"/>
    </w:rPr>
  </w:style>
  <w:style w:type="character" w:customStyle="1" w:styleId="149">
    <w:name w:val="font11"/>
    <w:autoRedefine/>
    <w:qFormat/>
    <w:uiPriority w:val="0"/>
    <w:rPr>
      <w:rFonts w:hint="default" w:ascii="Times New Roman" w:hAnsi="Times New Roman" w:cs="Times New Roman"/>
      <w:color w:val="000000"/>
      <w:sz w:val="24"/>
      <w:szCs w:val="24"/>
      <w:u w:val="none"/>
    </w:rPr>
  </w:style>
  <w:style w:type="character" w:customStyle="1" w:styleId="150">
    <w:name w:val="文档结构图 Char1"/>
    <w:autoRedefine/>
    <w:semiHidden/>
    <w:qFormat/>
    <w:uiPriority w:val="99"/>
    <w:rPr>
      <w:rFonts w:ascii="宋体" w:hAnsi="Times New Roman" w:eastAsia="宋体" w:cs="Times New Roman"/>
      <w:sz w:val="18"/>
      <w:szCs w:val="18"/>
    </w:rPr>
  </w:style>
  <w:style w:type="character" w:customStyle="1" w:styleId="151">
    <w:name w:val="Char Char13"/>
    <w:autoRedefine/>
    <w:qFormat/>
    <w:uiPriority w:val="0"/>
    <w:rPr>
      <w:rFonts w:ascii="Arial" w:hAnsi="Arial" w:eastAsia="黑体"/>
      <w:b/>
      <w:bCs/>
      <w:kern w:val="2"/>
      <w:sz w:val="24"/>
      <w:szCs w:val="24"/>
      <w:lang w:val="en-US" w:eastAsia="zh-CN" w:bidi="ar-SA"/>
    </w:rPr>
  </w:style>
  <w:style w:type="character" w:customStyle="1" w:styleId="152">
    <w:name w:val="_标题4 Char"/>
    <w:autoRedefine/>
    <w:qFormat/>
    <w:uiPriority w:val="0"/>
    <w:rPr>
      <w:rFonts w:ascii="Tahoma" w:hAnsi="Tahoma" w:eastAsia="黑体"/>
      <w:bCs/>
      <w:kern w:val="2"/>
      <w:sz w:val="28"/>
      <w:szCs w:val="28"/>
      <w:lang w:val="en-US" w:eastAsia="zh-CN" w:bidi="ar-SA"/>
    </w:rPr>
  </w:style>
  <w:style w:type="character" w:customStyle="1" w:styleId="153">
    <w:name w:val="_表格标题 Char"/>
    <w:autoRedefine/>
    <w:qFormat/>
    <w:uiPriority w:val="0"/>
    <w:rPr>
      <w:rFonts w:eastAsia="宋体"/>
      <w:b/>
      <w:kern w:val="2"/>
      <w:sz w:val="24"/>
      <w:szCs w:val="24"/>
      <w:lang w:val="en-US" w:eastAsia="zh-CN" w:bidi="ar-SA"/>
    </w:rPr>
  </w:style>
  <w:style w:type="character" w:customStyle="1" w:styleId="154">
    <w:name w:val="批注主题 Char1"/>
    <w:autoRedefine/>
    <w:semiHidden/>
    <w:qFormat/>
    <w:uiPriority w:val="99"/>
    <w:rPr>
      <w:rFonts w:ascii="Times New Roman" w:hAnsi="Times New Roman" w:eastAsia="宋体" w:cs="Times New Roman"/>
      <w:b/>
      <w:bCs/>
      <w:szCs w:val="24"/>
    </w:rPr>
  </w:style>
  <w:style w:type="character" w:customStyle="1" w:styleId="155">
    <w:name w:val="普通正文 Char"/>
    <w:autoRedefine/>
    <w:qFormat/>
    <w:uiPriority w:val="0"/>
    <w:rPr>
      <w:rFonts w:ascii="Arial" w:hAnsi="Arial" w:eastAsia="宋体"/>
      <w:sz w:val="24"/>
      <w:lang w:val="en-US" w:eastAsia="zh-CN" w:bidi="ar-SA"/>
    </w:rPr>
  </w:style>
  <w:style w:type="character" w:customStyle="1" w:styleId="156">
    <w:name w:val="Char Char7"/>
    <w:autoRedefine/>
    <w:qFormat/>
    <w:uiPriority w:val="0"/>
    <w:rPr>
      <w:sz w:val="18"/>
    </w:rPr>
  </w:style>
  <w:style w:type="character" w:customStyle="1" w:styleId="157">
    <w:name w:val="tw4winMark"/>
    <w:autoRedefine/>
    <w:qFormat/>
    <w:uiPriority w:val="0"/>
    <w:rPr>
      <w:rFonts w:ascii="Courier New" w:hAnsi="Courier New" w:cs="Courier New"/>
      <w:vanish/>
      <w:color w:val="800080"/>
      <w:vertAlign w:val="subscript"/>
    </w:rPr>
  </w:style>
  <w:style w:type="character" w:customStyle="1" w:styleId="158">
    <w:name w:val="Char Char16"/>
    <w:autoRedefine/>
    <w:qFormat/>
    <w:uiPriority w:val="0"/>
    <w:rPr>
      <w:rFonts w:eastAsia="宋体"/>
      <w:b/>
      <w:bCs/>
      <w:kern w:val="2"/>
      <w:sz w:val="32"/>
      <w:szCs w:val="32"/>
      <w:lang w:val="en-US" w:eastAsia="zh-CN" w:bidi="ar-SA"/>
    </w:rPr>
  </w:style>
  <w:style w:type="paragraph" w:customStyle="1" w:styleId="159">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60">
    <w:name w:val="缺省文本"/>
    <w:basedOn w:val="1"/>
    <w:autoRedefine/>
    <w:qFormat/>
    <w:uiPriority w:val="0"/>
    <w:pPr>
      <w:autoSpaceDE w:val="0"/>
      <w:autoSpaceDN w:val="0"/>
      <w:adjustRightInd w:val="0"/>
      <w:ind w:firstLine="454"/>
    </w:pPr>
    <w:rPr>
      <w:sz w:val="24"/>
    </w:rPr>
  </w:style>
  <w:style w:type="paragraph" w:customStyle="1" w:styleId="161">
    <w:name w:val="默认段落字体 Para Char Char Char Char Char Char Char Char Char1 Char Char Char Char"/>
    <w:basedOn w:val="1"/>
    <w:autoRedefine/>
    <w:qFormat/>
    <w:uiPriority w:val="0"/>
    <w:rPr>
      <w:rFonts w:ascii="Tahoma" w:hAnsi="Tahoma"/>
      <w:sz w:val="24"/>
      <w:szCs w:val="20"/>
    </w:rPr>
  </w:style>
  <w:style w:type="paragraph" w:customStyle="1" w:styleId="162">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163">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64">
    <w:name w:val="五级条标题"/>
    <w:basedOn w:val="165"/>
    <w:next w:val="1"/>
    <w:autoRedefine/>
    <w:qFormat/>
    <w:uiPriority w:val="0"/>
    <w:pPr>
      <w:tabs>
        <w:tab w:val="left" w:pos="360"/>
      </w:tabs>
      <w:outlineLvl w:val="6"/>
    </w:pPr>
  </w:style>
  <w:style w:type="paragraph" w:customStyle="1" w:styleId="165">
    <w:name w:val="四级条标题"/>
    <w:basedOn w:val="166"/>
    <w:next w:val="1"/>
    <w:autoRedefine/>
    <w:qFormat/>
    <w:uiPriority w:val="0"/>
    <w:pPr>
      <w:tabs>
        <w:tab w:val="left" w:pos="360"/>
      </w:tabs>
      <w:outlineLvl w:val="5"/>
    </w:pPr>
  </w:style>
  <w:style w:type="paragraph" w:customStyle="1" w:styleId="166">
    <w:name w:val="三级条标题"/>
    <w:basedOn w:val="167"/>
    <w:next w:val="1"/>
    <w:autoRedefine/>
    <w:qFormat/>
    <w:uiPriority w:val="0"/>
    <w:pPr>
      <w:tabs>
        <w:tab w:val="left" w:pos="360"/>
      </w:tabs>
      <w:outlineLvl w:val="4"/>
    </w:pPr>
  </w:style>
  <w:style w:type="paragraph" w:customStyle="1" w:styleId="167">
    <w:name w:val="二级条标题"/>
    <w:basedOn w:val="168"/>
    <w:next w:val="1"/>
    <w:autoRedefine/>
    <w:qFormat/>
    <w:uiPriority w:val="0"/>
    <w:pPr>
      <w:tabs>
        <w:tab w:val="left" w:pos="360"/>
      </w:tabs>
      <w:outlineLvl w:val="3"/>
    </w:pPr>
  </w:style>
  <w:style w:type="paragraph" w:customStyle="1" w:styleId="168">
    <w:name w:val="一级条标题"/>
    <w:basedOn w:val="169"/>
    <w:next w:val="1"/>
    <w:autoRedefine/>
    <w:qFormat/>
    <w:uiPriority w:val="0"/>
    <w:pPr>
      <w:tabs>
        <w:tab w:val="left" w:pos="360"/>
      </w:tabs>
      <w:spacing w:beforeLines="0" w:afterLines="0"/>
      <w:outlineLvl w:val="2"/>
    </w:pPr>
  </w:style>
  <w:style w:type="paragraph" w:customStyle="1" w:styleId="169">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kern w:val="0"/>
      <w:sz w:val="21"/>
      <w:szCs w:val="20"/>
      <w:lang w:val="en-US" w:eastAsia="zh-CN" w:bidi="ar-SA"/>
    </w:rPr>
  </w:style>
  <w:style w:type="paragraph" w:customStyle="1" w:styleId="17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1">
    <w:name w:val="Char Char Char"/>
    <w:basedOn w:val="1"/>
    <w:autoRedefine/>
    <w:qFormat/>
    <w:uiPriority w:val="0"/>
  </w:style>
  <w:style w:type="paragraph" w:customStyle="1" w:styleId="172">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173">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74">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175">
    <w:name w:val="_标题6"/>
    <w:basedOn w:val="7"/>
    <w:next w:val="176"/>
    <w:autoRedefine/>
    <w:qFormat/>
    <w:uiPriority w:val="0"/>
    <w:pPr>
      <w:ind w:left="4820" w:hanging="4820" w:firstLineChars="0"/>
    </w:pPr>
    <w:rPr>
      <w:rFonts w:ascii="Tahoma" w:hAnsi="Tahoma" w:cs="Times New Roman"/>
      <w:b w:val="0"/>
    </w:rPr>
  </w:style>
  <w:style w:type="paragraph" w:customStyle="1" w:styleId="176">
    <w:name w:val="_正文段落"/>
    <w:basedOn w:val="1"/>
    <w:autoRedefine/>
    <w:qFormat/>
    <w:uiPriority w:val="0"/>
    <w:pPr>
      <w:spacing w:beforeLines="15" w:afterLines="15" w:line="360" w:lineRule="auto"/>
      <w:ind w:firstLine="200" w:firstLineChars="200"/>
    </w:pPr>
  </w:style>
  <w:style w:type="paragraph" w:customStyle="1" w:styleId="177">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17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9">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80">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181">
    <w:name w:val="CM37"/>
    <w:basedOn w:val="182"/>
    <w:next w:val="182"/>
    <w:autoRedefine/>
    <w:qFormat/>
    <w:uiPriority w:val="0"/>
    <w:pPr>
      <w:spacing w:after="533"/>
    </w:pPr>
    <w:rPr>
      <w:rFonts w:ascii="宋体" w:hAnsi="Times New Roman"/>
      <w:color w:val="auto"/>
    </w:rPr>
  </w:style>
  <w:style w:type="paragraph" w:customStyle="1" w:styleId="182">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kern w:val="0"/>
      <w:sz w:val="24"/>
      <w:szCs w:val="24"/>
      <w:lang w:val="en-US" w:eastAsia="zh-CN" w:bidi="ar-SA"/>
    </w:rPr>
  </w:style>
  <w:style w:type="paragraph" w:customStyle="1" w:styleId="183">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84">
    <w:name w:val="_标题3"/>
    <w:basedOn w:val="4"/>
    <w:next w:val="176"/>
    <w:autoRedefine/>
    <w:qFormat/>
    <w:uiPriority w:val="0"/>
    <w:pPr>
      <w:tabs>
        <w:tab w:val="left" w:pos="720"/>
      </w:tabs>
      <w:spacing w:beforeLines="50" w:afterLines="50"/>
      <w:ind w:left="720"/>
    </w:pPr>
    <w:rPr>
      <w:rFonts w:ascii="Arial" w:hAnsi="Arial" w:eastAsia="黑体"/>
      <w:sz w:val="30"/>
    </w:rPr>
  </w:style>
  <w:style w:type="paragraph" w:customStyle="1" w:styleId="185">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86">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187">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88">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89">
    <w:name w:val="Char Char Char Char Char Char"/>
    <w:basedOn w:val="1"/>
    <w:autoRedefine/>
    <w:qFormat/>
    <w:uiPriority w:val="0"/>
    <w:rPr>
      <w:rFonts w:ascii="Tahoma" w:hAnsi="Tahoma"/>
      <w:sz w:val="24"/>
      <w:szCs w:val="20"/>
    </w:rPr>
  </w:style>
  <w:style w:type="paragraph" w:customStyle="1" w:styleId="190">
    <w:name w:val="列出段落1"/>
    <w:basedOn w:val="1"/>
    <w:autoRedefine/>
    <w:qFormat/>
    <w:uiPriority w:val="0"/>
    <w:pPr>
      <w:ind w:firstLine="420" w:firstLineChars="200"/>
    </w:pPr>
    <w:rPr>
      <w:rFonts w:ascii="Calibri" w:hAnsi="Calibri"/>
      <w:szCs w:val="22"/>
    </w:rPr>
  </w:style>
  <w:style w:type="paragraph" w:customStyle="1" w:styleId="191">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2">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93">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94">
    <w:name w:val="图名"/>
    <w:basedOn w:val="1"/>
    <w:autoRedefine/>
    <w:qFormat/>
    <w:uiPriority w:val="0"/>
    <w:pPr>
      <w:spacing w:line="360" w:lineRule="auto"/>
      <w:jc w:val="center"/>
    </w:pPr>
    <w:rPr>
      <w:rFonts w:ascii="黑体" w:eastAsia="黑体"/>
      <w:b/>
      <w:sz w:val="32"/>
      <w:szCs w:val="32"/>
    </w:rPr>
  </w:style>
  <w:style w:type="paragraph" w:customStyle="1" w:styleId="195">
    <w:name w:val="_标题5"/>
    <w:basedOn w:val="6"/>
    <w:next w:val="176"/>
    <w:autoRedefine/>
    <w:qFormat/>
    <w:uiPriority w:val="0"/>
    <w:pPr>
      <w:ind w:left="4253" w:hanging="4253"/>
    </w:pPr>
    <w:rPr>
      <w:rFonts w:ascii="Arial" w:hAnsi="Arial" w:eastAsia="黑体"/>
      <w:b w:val="0"/>
      <w:sz w:val="24"/>
    </w:rPr>
  </w:style>
  <w:style w:type="paragraph" w:customStyle="1" w:styleId="196">
    <w:name w:val="标题 21"/>
    <w:basedOn w:val="1"/>
    <w:autoRedefine/>
    <w:qFormat/>
    <w:uiPriority w:val="0"/>
    <w:pPr>
      <w:spacing w:afterLines="100" w:line="360" w:lineRule="auto"/>
    </w:pPr>
    <w:rPr>
      <w:sz w:val="24"/>
    </w:rPr>
  </w:style>
  <w:style w:type="paragraph" w:customStyle="1" w:styleId="197">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98">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9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1">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2">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0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04">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05">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06">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07">
    <w:name w:val="标题 12"/>
    <w:basedOn w:val="1"/>
    <w:autoRedefine/>
    <w:qFormat/>
    <w:uiPriority w:val="0"/>
    <w:pPr>
      <w:spacing w:afterLines="100" w:line="360" w:lineRule="auto"/>
    </w:pPr>
    <w:rPr>
      <w:sz w:val="24"/>
    </w:rPr>
  </w:style>
  <w:style w:type="paragraph" w:customStyle="1" w:styleId="208">
    <w:name w:val="font9"/>
    <w:basedOn w:val="1"/>
    <w:autoRedefine/>
    <w:qFormat/>
    <w:uiPriority w:val="0"/>
    <w:pPr>
      <w:widowControl/>
      <w:spacing w:before="100" w:beforeAutospacing="1" w:afterAutospacing="1"/>
      <w:jc w:val="left"/>
    </w:pPr>
    <w:rPr>
      <w:kern w:val="0"/>
      <w:sz w:val="20"/>
      <w:szCs w:val="20"/>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0">
    <w:name w:val="p15"/>
    <w:basedOn w:val="1"/>
    <w:autoRedefine/>
    <w:qFormat/>
    <w:uiPriority w:val="0"/>
    <w:pPr>
      <w:widowControl/>
    </w:pPr>
    <w:rPr>
      <w:kern w:val="0"/>
      <w:sz w:val="24"/>
    </w:rPr>
  </w:style>
  <w:style w:type="paragraph" w:customStyle="1" w:styleId="211">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2">
    <w:name w:val="正文 New New New New"/>
    <w:autoRedefine/>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213">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214">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15">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16">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217">
    <w:name w:val="默认段落字体 Para Char"/>
    <w:basedOn w:val="1"/>
    <w:autoRedefine/>
    <w:qFormat/>
    <w:uiPriority w:val="0"/>
    <w:rPr>
      <w:rFonts w:ascii="Tahoma" w:hAnsi="Tahoma"/>
      <w:sz w:val="24"/>
      <w:szCs w:val="20"/>
    </w:rPr>
  </w:style>
  <w:style w:type="paragraph" w:customStyle="1" w:styleId="218">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1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0">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221">
    <w:name w:val="列出段落2"/>
    <w:basedOn w:val="1"/>
    <w:autoRedefine/>
    <w:qFormat/>
    <w:uiPriority w:val="0"/>
    <w:pPr>
      <w:ind w:firstLine="420" w:firstLineChars="200"/>
    </w:pPr>
    <w:rPr>
      <w:rFonts w:ascii="Calibri" w:hAnsi="Calibri"/>
      <w:szCs w:val="22"/>
    </w:rPr>
  </w:style>
  <w:style w:type="paragraph" w:customStyle="1" w:styleId="222">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23">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4">
    <w:name w:val="标题 31"/>
    <w:basedOn w:val="1"/>
    <w:autoRedefine/>
    <w:qFormat/>
    <w:uiPriority w:val="0"/>
    <w:pPr>
      <w:spacing w:afterLines="100" w:line="360" w:lineRule="auto"/>
    </w:pPr>
    <w:rPr>
      <w:sz w:val="24"/>
    </w:rPr>
  </w:style>
  <w:style w:type="paragraph" w:customStyle="1" w:styleId="225">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226">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227">
    <w:name w:val="项目"/>
    <w:basedOn w:val="176"/>
    <w:autoRedefine/>
    <w:qFormat/>
    <w:uiPriority w:val="0"/>
    <w:pPr>
      <w:spacing w:beforeLines="0" w:afterLines="0"/>
      <w:ind w:firstLine="0" w:firstLineChars="0"/>
    </w:pPr>
    <w:rPr>
      <w:rFonts w:ascii="宋体" w:hAnsi="宋体"/>
      <w:sz w:val="24"/>
    </w:rPr>
  </w:style>
  <w:style w:type="paragraph" w:customStyle="1" w:styleId="228">
    <w:name w:val="_表格文字"/>
    <w:basedOn w:val="1"/>
    <w:autoRedefine/>
    <w:qFormat/>
    <w:uiPriority w:val="0"/>
    <w:pPr>
      <w:spacing w:beforeLines="10" w:afterLines="10"/>
    </w:pPr>
  </w:style>
  <w:style w:type="paragraph" w:customStyle="1" w:styleId="229">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0">
    <w:name w:val="Char"/>
    <w:basedOn w:val="1"/>
    <w:autoRedefine/>
    <w:qFormat/>
    <w:uiPriority w:val="0"/>
    <w:rPr>
      <w:sz w:val="24"/>
    </w:rPr>
  </w:style>
  <w:style w:type="paragraph" w:customStyle="1" w:styleId="231">
    <w:name w:val="样式 标题 5 + 右侧:  -0.18 字符"/>
    <w:basedOn w:val="1"/>
    <w:autoRedefine/>
    <w:qFormat/>
    <w:uiPriority w:val="0"/>
    <w:pPr>
      <w:tabs>
        <w:tab w:val="left" w:pos="1008"/>
      </w:tabs>
      <w:ind w:left="1008" w:hanging="1008"/>
    </w:pPr>
  </w:style>
  <w:style w:type="paragraph" w:customStyle="1" w:styleId="232">
    <w:name w:val="Char Char1 Char"/>
    <w:basedOn w:val="1"/>
    <w:autoRedefine/>
    <w:qFormat/>
    <w:uiPriority w:val="0"/>
    <w:pPr>
      <w:spacing w:line="360" w:lineRule="auto"/>
    </w:pPr>
    <w:rPr>
      <w:rFonts w:ascii="Tahoma" w:hAnsi="Tahoma"/>
      <w:sz w:val="24"/>
      <w:szCs w:val="20"/>
    </w:rPr>
  </w:style>
  <w:style w:type="paragraph" w:customStyle="1" w:styleId="233">
    <w:name w:val="_正文段落加粗"/>
    <w:basedOn w:val="176"/>
    <w:autoRedefine/>
    <w:qFormat/>
    <w:uiPriority w:val="0"/>
    <w:pPr>
      <w:spacing w:beforeLines="0" w:afterLines="0"/>
      <w:ind w:firstLine="480"/>
    </w:pPr>
    <w:rPr>
      <w:b/>
    </w:rPr>
  </w:style>
  <w:style w:type="paragraph" w:customStyle="1" w:styleId="234">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35">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236">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37">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3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9">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0">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3">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244">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45">
    <w:name w:val="Char2"/>
    <w:basedOn w:val="1"/>
    <w:autoRedefine/>
    <w:qFormat/>
    <w:uiPriority w:val="0"/>
    <w:rPr>
      <w:rFonts w:ascii="Tahoma" w:hAnsi="Tahoma"/>
      <w:sz w:val="24"/>
      <w:szCs w:val="20"/>
    </w:rPr>
  </w:style>
  <w:style w:type="paragraph" w:customStyle="1" w:styleId="246">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7">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48">
    <w:name w:val="列项·"/>
    <w:autoRedefine/>
    <w:qFormat/>
    <w:uiPriority w:val="0"/>
    <w:pPr>
      <w:tabs>
        <w:tab w:val="left" w:pos="360"/>
        <w:tab w:val="left" w:pos="840"/>
      </w:tabs>
      <w:spacing w:line="360" w:lineRule="auto"/>
      <w:ind w:firstLine="578"/>
      <w:jc w:val="both"/>
    </w:pPr>
    <w:rPr>
      <w:rFonts w:ascii="宋体" w:hAnsi="Times New Roman" w:eastAsia="宋体" w:cs="Times New Roman"/>
      <w:kern w:val="0"/>
      <w:sz w:val="21"/>
      <w:szCs w:val="20"/>
      <w:lang w:val="en-US" w:eastAsia="zh-CN" w:bidi="ar-SA"/>
    </w:rPr>
  </w:style>
  <w:style w:type="paragraph" w:customStyle="1" w:styleId="249">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250">
    <w:name w:val="_标题4"/>
    <w:basedOn w:val="5"/>
    <w:next w:val="176"/>
    <w:autoRedefine/>
    <w:qFormat/>
    <w:uiPriority w:val="0"/>
    <w:pPr>
      <w:tabs>
        <w:tab w:val="left" w:pos="2160"/>
      </w:tabs>
      <w:spacing w:after="0" w:line="372" w:lineRule="auto"/>
      <w:ind w:left="3402" w:hanging="3402"/>
    </w:pPr>
    <w:rPr>
      <w:rFonts w:ascii="Tahoma" w:hAnsi="Tahoma" w:eastAsia="黑体" w:cs="Times New Roman"/>
    </w:rPr>
  </w:style>
  <w:style w:type="paragraph" w:customStyle="1" w:styleId="251">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2">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53">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54">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5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公文行文"/>
    <w:basedOn w:val="1"/>
    <w:autoRedefine/>
    <w:qFormat/>
    <w:uiPriority w:val="0"/>
    <w:pPr>
      <w:spacing w:line="360" w:lineRule="auto"/>
      <w:ind w:firstLine="200" w:firstLineChars="200"/>
    </w:pPr>
    <w:rPr>
      <w:rFonts w:eastAsia="仿宋_GB2312"/>
      <w:sz w:val="28"/>
    </w:rPr>
  </w:style>
  <w:style w:type="paragraph" w:customStyle="1" w:styleId="257">
    <w:name w:val="正文首行缩进两字符"/>
    <w:basedOn w:val="1"/>
    <w:autoRedefine/>
    <w:qFormat/>
    <w:uiPriority w:val="0"/>
    <w:pPr>
      <w:spacing w:line="300" w:lineRule="auto"/>
      <w:ind w:firstLine="200" w:firstLineChars="200"/>
    </w:pPr>
    <w:rPr>
      <w:rFonts w:ascii="Arial" w:hAnsi="Arial"/>
      <w:sz w:val="24"/>
    </w:rPr>
  </w:style>
  <w:style w:type="paragraph" w:customStyle="1" w:styleId="258">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59">
    <w:name w:val="_题注"/>
    <w:basedOn w:val="14"/>
    <w:autoRedefine/>
    <w:qFormat/>
    <w:uiPriority w:val="0"/>
    <w:pPr>
      <w:spacing w:before="0" w:afterLines="100"/>
      <w:jc w:val="center"/>
    </w:pPr>
    <w:rPr>
      <w:sz w:val="21"/>
      <w:szCs w:val="24"/>
    </w:rPr>
  </w:style>
  <w:style w:type="paragraph" w:customStyle="1" w:styleId="260">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1">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262">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63">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264">
    <w:name w:val="_列表"/>
    <w:basedOn w:val="176"/>
    <w:autoRedefine/>
    <w:qFormat/>
    <w:uiPriority w:val="0"/>
    <w:pPr>
      <w:spacing w:beforeLines="0" w:afterLines="0"/>
    </w:pPr>
    <w:rPr>
      <w:sz w:val="24"/>
    </w:rPr>
  </w:style>
  <w:style w:type="paragraph" w:customStyle="1" w:styleId="265">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66">
    <w:name w:val="标题 11"/>
    <w:basedOn w:val="1"/>
    <w:autoRedefine/>
    <w:qFormat/>
    <w:uiPriority w:val="0"/>
    <w:pPr>
      <w:spacing w:afterLines="100" w:line="360" w:lineRule="auto"/>
    </w:pPr>
    <w:rPr>
      <w:sz w:val="24"/>
    </w:rPr>
  </w:style>
  <w:style w:type="paragraph" w:customStyle="1" w:styleId="267">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268">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69">
    <w:name w:val="_标题1"/>
    <w:basedOn w:val="2"/>
    <w:next w:val="176"/>
    <w:autoRedefine/>
    <w:qFormat/>
    <w:uiPriority w:val="0"/>
    <w:pPr>
      <w:tabs>
        <w:tab w:val="left" w:pos="708"/>
        <w:tab w:val="left" w:pos="900"/>
      </w:tabs>
      <w:spacing w:after="0" w:line="576" w:lineRule="auto"/>
      <w:ind w:left="567" w:hanging="567"/>
    </w:pPr>
    <w:rPr>
      <w:rFonts w:ascii="Arial" w:hAnsi="Arial" w:eastAsia="黑体"/>
      <w:b w:val="0"/>
    </w:rPr>
  </w:style>
  <w:style w:type="paragraph" w:customStyle="1" w:styleId="27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1">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272">
    <w:name w:val="TOC 标题1"/>
    <w:basedOn w:val="2"/>
    <w:next w:val="1"/>
    <w:autoRedefine/>
    <w:qFormat/>
    <w:uiPriority w:val="39"/>
    <w:pPr>
      <w:outlineLvl w:val="9"/>
    </w:pPr>
  </w:style>
  <w:style w:type="paragraph" w:customStyle="1" w:styleId="273">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74">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27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6">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kern w:val="0"/>
      <w:sz w:val="32"/>
      <w:szCs w:val="20"/>
      <w:lang w:val="en-US" w:eastAsia="zh-CN" w:bidi="ar-SA"/>
    </w:rPr>
  </w:style>
  <w:style w:type="paragraph" w:customStyle="1" w:styleId="277">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78">
    <w:name w:val="_标题2"/>
    <w:basedOn w:val="3"/>
    <w:next w:val="176"/>
    <w:autoRedefine/>
    <w:qFormat/>
    <w:uiPriority w:val="0"/>
    <w:pPr>
      <w:tabs>
        <w:tab w:val="left" w:pos="860"/>
      </w:tabs>
      <w:spacing w:beforeLines="50" w:afterLines="50" w:line="413" w:lineRule="auto"/>
      <w:ind w:left="1418" w:hanging="1418"/>
    </w:pPr>
    <w:rPr>
      <w:rFonts w:ascii="Tahoma" w:hAnsi="Tahoma" w:cs="Times New Roman"/>
    </w:rPr>
  </w:style>
  <w:style w:type="paragraph" w:customStyle="1" w:styleId="279">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0">
    <w:name w:val="_图片"/>
    <w:basedOn w:val="1"/>
    <w:next w:val="176"/>
    <w:autoRedefine/>
    <w:qFormat/>
    <w:uiPriority w:val="0"/>
    <w:pPr>
      <w:spacing w:before="46" w:line="360" w:lineRule="auto"/>
      <w:jc w:val="center"/>
    </w:pPr>
    <w:rPr>
      <w:sz w:val="18"/>
    </w:rPr>
  </w:style>
  <w:style w:type="paragraph" w:customStyle="1" w:styleId="281">
    <w:name w:val="投标文件 正文首行缩进"/>
    <w:basedOn w:val="42"/>
    <w:autoRedefine/>
    <w:qFormat/>
    <w:uiPriority w:val="0"/>
    <w:pPr>
      <w:spacing w:after="220"/>
      <w:ind w:left="0" w:leftChars="0" w:firstLine="200"/>
    </w:pPr>
    <w:rPr>
      <w:rFonts w:ascii="Arial" w:hAnsi="Arial"/>
      <w:sz w:val="21"/>
    </w:rPr>
  </w:style>
  <w:style w:type="paragraph" w:customStyle="1" w:styleId="282">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83">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84">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285">
    <w:name w:val="正文段"/>
    <w:basedOn w:val="1"/>
    <w:autoRedefine/>
    <w:qFormat/>
    <w:uiPriority w:val="0"/>
    <w:pPr>
      <w:snapToGrid w:val="0"/>
      <w:spacing w:line="360" w:lineRule="auto"/>
      <w:ind w:firstLine="420" w:firstLineChars="200"/>
    </w:pPr>
    <w:rPr>
      <w:kern w:val="0"/>
      <w:sz w:val="24"/>
      <w:szCs w:val="20"/>
    </w:rPr>
  </w:style>
  <w:style w:type="paragraph" w:customStyle="1" w:styleId="286">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87">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8">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89">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290">
    <w:name w:val="表格文字"/>
    <w:basedOn w:val="1"/>
    <w:autoRedefine/>
    <w:qFormat/>
    <w:uiPriority w:val="0"/>
    <w:pPr>
      <w:spacing w:beforeLines="25" w:afterLines="25"/>
      <w:jc w:val="left"/>
    </w:pPr>
    <w:rPr>
      <w:spacing w:val="10"/>
      <w:sz w:val="24"/>
    </w:rPr>
  </w:style>
  <w:style w:type="paragraph" w:customStyle="1" w:styleId="291">
    <w:name w:val="标题 22"/>
    <w:basedOn w:val="1"/>
    <w:autoRedefine/>
    <w:qFormat/>
    <w:uiPriority w:val="0"/>
    <w:pPr>
      <w:spacing w:afterLines="100" w:line="360" w:lineRule="auto"/>
    </w:pPr>
    <w:rPr>
      <w:sz w:val="24"/>
    </w:rPr>
  </w:style>
  <w:style w:type="paragraph" w:customStyle="1" w:styleId="292">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3">
    <w:name w:val="_表格标题"/>
    <w:basedOn w:val="228"/>
    <w:autoRedefine/>
    <w:qFormat/>
    <w:uiPriority w:val="0"/>
    <w:pPr>
      <w:spacing w:beforeLines="30" w:afterLines="30"/>
      <w:jc w:val="center"/>
    </w:pPr>
    <w:rPr>
      <w:b/>
      <w:sz w:val="24"/>
    </w:rPr>
  </w:style>
  <w:style w:type="paragraph" w:customStyle="1" w:styleId="294">
    <w:name w:val="Char Char Char Char Char Char Char Char Char Char Char Char Char Char Char Char"/>
    <w:basedOn w:val="1"/>
    <w:autoRedefine/>
    <w:qFormat/>
    <w:uiPriority w:val="0"/>
    <w:rPr>
      <w:sz w:val="24"/>
    </w:rPr>
  </w:style>
  <w:style w:type="paragraph" w:customStyle="1" w:styleId="295">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296">
    <w:name w:val="CM13"/>
    <w:basedOn w:val="182"/>
    <w:next w:val="182"/>
    <w:autoRedefine/>
    <w:qFormat/>
    <w:uiPriority w:val="0"/>
    <w:pPr>
      <w:spacing w:line="468" w:lineRule="atLeast"/>
    </w:pPr>
    <w:rPr>
      <w:rFonts w:ascii="宋体" w:hAnsi="Times New Roman"/>
      <w:color w:val="auto"/>
    </w:rPr>
  </w:style>
  <w:style w:type="paragraph" w:customStyle="1" w:styleId="297">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98">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99">
    <w:name w:val="标题 32"/>
    <w:basedOn w:val="1"/>
    <w:autoRedefine/>
    <w:qFormat/>
    <w:uiPriority w:val="0"/>
    <w:pPr>
      <w:spacing w:afterLines="100" w:line="360" w:lineRule="auto"/>
    </w:pPr>
    <w:rPr>
      <w:sz w:val="24"/>
    </w:rPr>
  </w:style>
  <w:style w:type="paragraph" w:customStyle="1" w:styleId="300">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301">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2">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03">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304">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05">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06">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kern w:val="0"/>
      <w:sz w:val="44"/>
      <w:szCs w:val="20"/>
      <w:lang w:val="en-US" w:eastAsia="zh-CN" w:bidi="ar-SA"/>
    </w:rPr>
  </w:style>
  <w:style w:type="paragraph" w:customStyle="1" w:styleId="307">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08">
    <w:name w:val="插图"/>
    <w:basedOn w:val="24"/>
    <w:autoRedefine/>
    <w:qFormat/>
    <w:uiPriority w:val="0"/>
    <w:pPr>
      <w:tabs>
        <w:tab w:val="left" w:pos="425"/>
      </w:tabs>
      <w:spacing w:line="240" w:lineRule="auto"/>
      <w:jc w:val="center"/>
    </w:pPr>
    <w:rPr>
      <w:rFonts w:cs="Times New Roman"/>
    </w:rPr>
  </w:style>
  <w:style w:type="paragraph" w:customStyle="1" w:styleId="309">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310">
    <w:name w:val="p0"/>
    <w:basedOn w:val="1"/>
    <w:autoRedefine/>
    <w:qFormat/>
    <w:uiPriority w:val="0"/>
    <w:pPr>
      <w:widowControl/>
    </w:pPr>
    <w:rPr>
      <w:rFonts w:ascii="華康辦公用具篇" w:hAnsi="華康辦公用具篇" w:cs="宋体"/>
      <w:kern w:val="0"/>
      <w:szCs w:val="21"/>
    </w:rPr>
  </w:style>
  <w:style w:type="paragraph" w:customStyle="1" w:styleId="31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2">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313">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314">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15">
    <w:name w:val="程序段"/>
    <w:basedOn w:val="1"/>
    <w:autoRedefine/>
    <w:qFormat/>
    <w:uiPriority w:val="0"/>
    <w:pPr>
      <w:ind w:firstLine="420" w:firstLineChars="200"/>
    </w:pPr>
    <w:rPr>
      <w:rFonts w:ascii="Courier" w:hAnsi="Courier"/>
    </w:rPr>
  </w:style>
  <w:style w:type="paragraph" w:customStyle="1" w:styleId="316">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17">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18">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9">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32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1">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322">
    <w:name w:val="列出段落3"/>
    <w:basedOn w:val="1"/>
    <w:autoRedefine/>
    <w:qFormat/>
    <w:uiPriority w:val="0"/>
    <w:pPr>
      <w:ind w:firstLine="420" w:firstLineChars="200"/>
    </w:pPr>
    <w:rPr>
      <w:rFonts w:ascii="Calibri" w:hAnsi="Calibri"/>
      <w:szCs w:val="22"/>
    </w:rPr>
  </w:style>
  <w:style w:type="paragraph" w:customStyle="1" w:styleId="32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24">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5">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26">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2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28">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2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0">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33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3">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34">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35">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336">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37">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38">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39">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45">
    <w:name w:val="xl28"/>
    <w:basedOn w:val="1"/>
    <w:autoRedefine/>
    <w:qFormat/>
    <w:uiPriority w:val="0"/>
    <w:pPr>
      <w:widowControl/>
      <w:spacing w:before="100" w:beforeAutospacing="1" w:afterAutospacing="1"/>
      <w:jc w:val="center"/>
    </w:pPr>
    <w:rPr>
      <w:kern w:val="0"/>
      <w:sz w:val="28"/>
      <w:szCs w:val="28"/>
    </w:rPr>
  </w:style>
  <w:style w:type="paragraph" w:customStyle="1" w:styleId="34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9">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2">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4">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55">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5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57">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58">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359">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360">
    <w:name w:val="table_1stline"/>
    <w:basedOn w:val="1"/>
    <w:autoRedefine/>
    <w:qFormat/>
    <w:uiPriority w:val="0"/>
    <w:pPr>
      <w:widowControl/>
      <w:spacing w:before="120"/>
      <w:jc w:val="left"/>
    </w:pPr>
    <w:rPr>
      <w:rFonts w:eastAsia="MS Mincho"/>
      <w:bCs/>
      <w:kern w:val="0"/>
      <w:sz w:val="20"/>
      <w:szCs w:val="20"/>
      <w:lang w:val="de-DE" w:eastAsia="de-DE"/>
    </w:rPr>
  </w:style>
  <w:style w:type="paragraph" w:customStyle="1" w:styleId="361">
    <w:name w:val="table_lines"/>
    <w:basedOn w:val="1"/>
    <w:qFormat/>
    <w:uiPriority w:val="0"/>
    <w:pPr>
      <w:widowControl/>
      <w:jc w:val="left"/>
    </w:pPr>
    <w:rPr>
      <w:rFonts w:eastAsia="MS Mincho"/>
      <w:kern w:val="0"/>
      <w:sz w:val="20"/>
      <w:szCs w:val="20"/>
      <w:lang w:val="de-DE" w:eastAsia="de-DE"/>
    </w:rPr>
  </w:style>
  <w:style w:type="character" w:customStyle="1" w:styleId="362">
    <w:name w:val="3zw1"/>
    <w:autoRedefine/>
    <w:qFormat/>
    <w:uiPriority w:val="0"/>
    <w:rPr>
      <w:color w:val="000000"/>
      <w:sz w:val="21"/>
      <w:szCs w:val="21"/>
    </w:rPr>
  </w:style>
  <w:style w:type="paragraph" w:customStyle="1" w:styleId="363">
    <w:name w:val="正文2"/>
    <w:basedOn w:val="1"/>
    <w:link w:val="364"/>
    <w:autoRedefine/>
    <w:qFormat/>
    <w:uiPriority w:val="0"/>
    <w:pPr>
      <w:spacing w:before="156" w:line="360" w:lineRule="auto"/>
      <w:ind w:firstLine="510" w:firstLineChars="200"/>
    </w:pPr>
    <w:rPr>
      <w:rFonts w:ascii="Calibri" w:hAnsi="Calibri"/>
      <w:kern w:val="0"/>
      <w:sz w:val="24"/>
      <w:szCs w:val="20"/>
    </w:rPr>
  </w:style>
  <w:style w:type="character" w:customStyle="1" w:styleId="364">
    <w:name w:val="正文2 Char Char"/>
    <w:link w:val="363"/>
    <w:autoRedefine/>
    <w:qFormat/>
    <w:uiPriority w:val="0"/>
    <w:rPr>
      <w:rFonts w:ascii="Calibri" w:hAnsi="Calibri" w:eastAsia="宋体" w:cs="Times New Roman"/>
      <w:kern w:val="0"/>
      <w:sz w:val="24"/>
      <w:szCs w:val="20"/>
    </w:rPr>
  </w:style>
  <w:style w:type="character" w:customStyle="1" w:styleId="365">
    <w:name w:val="标题 Char1"/>
    <w:autoRedefine/>
    <w:qFormat/>
    <w:uiPriority w:val="10"/>
    <w:rPr>
      <w:rFonts w:ascii="Cambria" w:hAnsi="Cambria" w:eastAsia="宋体" w:cs="Times New Roman"/>
      <w:b/>
      <w:bCs/>
      <w:sz w:val="32"/>
      <w:szCs w:val="32"/>
    </w:rPr>
  </w:style>
  <w:style w:type="character" w:customStyle="1" w:styleId="366">
    <w:name w:val="font101"/>
    <w:autoRedefine/>
    <w:qFormat/>
    <w:uiPriority w:val="0"/>
    <w:rPr>
      <w:rFonts w:hint="default" w:ascii="Times New Roman" w:hAnsi="Times New Roman" w:cs="Times New Roman"/>
      <w:color w:val="000000"/>
      <w:sz w:val="21"/>
      <w:szCs w:val="21"/>
      <w:u w:val="none"/>
    </w:rPr>
  </w:style>
  <w:style w:type="character" w:customStyle="1" w:styleId="367">
    <w:name w:val="param-name1"/>
    <w:autoRedefine/>
    <w:qFormat/>
    <w:uiPriority w:val="0"/>
    <w:rPr>
      <w:rFonts w:cs="Times New Roman"/>
      <w:b/>
    </w:rPr>
  </w:style>
  <w:style w:type="character" w:customStyle="1" w:styleId="368">
    <w:name w:val="font91"/>
    <w:autoRedefine/>
    <w:qFormat/>
    <w:uiPriority w:val="0"/>
    <w:rPr>
      <w:rFonts w:hint="eastAsia" w:ascii="宋体" w:hAnsi="宋体" w:eastAsia="宋体" w:cs="宋体"/>
      <w:color w:val="000000"/>
      <w:sz w:val="21"/>
      <w:szCs w:val="21"/>
      <w:u w:val="none"/>
    </w:rPr>
  </w:style>
  <w:style w:type="character" w:customStyle="1" w:styleId="369">
    <w:name w:val="font71"/>
    <w:qFormat/>
    <w:uiPriority w:val="0"/>
    <w:rPr>
      <w:rFonts w:hint="eastAsia" w:ascii="宋体" w:hAnsi="宋体" w:eastAsia="宋体" w:cs="宋体"/>
      <w:color w:val="000000"/>
      <w:sz w:val="21"/>
      <w:szCs w:val="21"/>
      <w:u w:val="none"/>
    </w:rPr>
  </w:style>
  <w:style w:type="character" w:customStyle="1" w:styleId="370">
    <w:name w:val="15"/>
    <w:autoRedefine/>
    <w:qFormat/>
    <w:uiPriority w:val="0"/>
    <w:rPr>
      <w:rFonts w:hint="eastAsia" w:ascii="宋体" w:hAnsi="宋体" w:eastAsia="宋体" w:cs="宋体"/>
      <w:color w:val="000000"/>
      <w:sz w:val="22"/>
      <w:szCs w:val="22"/>
    </w:rPr>
  </w:style>
  <w:style w:type="character" w:customStyle="1" w:styleId="371">
    <w:name w:val="font21"/>
    <w:autoRedefine/>
    <w:qFormat/>
    <w:uiPriority w:val="0"/>
    <w:rPr>
      <w:rFonts w:ascii="Arial" w:hAnsi="Arial" w:cs="Arial"/>
      <w:color w:val="000000"/>
      <w:sz w:val="21"/>
      <w:szCs w:val="21"/>
      <w:u w:val="none"/>
    </w:rPr>
  </w:style>
  <w:style w:type="character" w:customStyle="1" w:styleId="372">
    <w:name w:val="font161"/>
    <w:autoRedefine/>
    <w:qFormat/>
    <w:uiPriority w:val="0"/>
    <w:rPr>
      <w:rFonts w:hint="default" w:ascii="Times New Roman" w:hAnsi="Times New Roman" w:cs="Times New Roman"/>
      <w:color w:val="000000"/>
      <w:sz w:val="18"/>
      <w:szCs w:val="18"/>
      <w:u w:val="none"/>
    </w:rPr>
  </w:style>
  <w:style w:type="character" w:customStyle="1" w:styleId="373">
    <w:name w:val="font41"/>
    <w:autoRedefine/>
    <w:qFormat/>
    <w:uiPriority w:val="0"/>
    <w:rPr>
      <w:rFonts w:hint="eastAsia" w:ascii="宋体" w:hAnsi="宋体" w:eastAsia="宋体" w:cs="宋体"/>
      <w:color w:val="FF0000"/>
      <w:sz w:val="28"/>
      <w:szCs w:val="28"/>
      <w:u w:val="none"/>
    </w:rPr>
  </w:style>
  <w:style w:type="character" w:customStyle="1" w:styleId="374">
    <w:name w:val="apple-converted-space"/>
    <w:basedOn w:val="45"/>
    <w:qFormat/>
    <w:uiPriority w:val="0"/>
  </w:style>
  <w:style w:type="character" w:customStyle="1" w:styleId="375">
    <w:name w:val="font151"/>
    <w:qFormat/>
    <w:uiPriority w:val="0"/>
    <w:rPr>
      <w:rFonts w:hint="default" w:ascii="Times New Roman" w:hAnsi="Times New Roman" w:cs="Times New Roman"/>
      <w:color w:val="000000"/>
      <w:sz w:val="21"/>
      <w:szCs w:val="21"/>
      <w:u w:val="none"/>
    </w:rPr>
  </w:style>
  <w:style w:type="paragraph" w:customStyle="1" w:styleId="37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78">
    <w:name w:val="Body Text First Indent 21"/>
    <w:basedOn w:val="379"/>
    <w:autoRedefine/>
    <w:qFormat/>
    <w:uiPriority w:val="0"/>
    <w:pPr>
      <w:ind w:firstLine="420"/>
    </w:pPr>
    <w:rPr>
      <w:szCs w:val="21"/>
    </w:rPr>
  </w:style>
  <w:style w:type="paragraph" w:customStyle="1" w:styleId="379">
    <w:name w:val="Body Text Indent1"/>
    <w:basedOn w:val="1"/>
    <w:qFormat/>
    <w:uiPriority w:val="0"/>
    <w:pPr>
      <w:ind w:left="420" w:leftChars="200"/>
    </w:pPr>
  </w:style>
  <w:style w:type="paragraph" w:customStyle="1" w:styleId="380">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character" w:customStyle="1" w:styleId="381">
    <w:name w:val="fontstyle01"/>
    <w:autoRedefine/>
    <w:qFormat/>
    <w:uiPriority w:val="0"/>
    <w:rPr>
      <w:rFonts w:hint="eastAsia" w:ascii="宋体" w:hAnsi="宋体" w:eastAsia="宋体"/>
      <w:color w:val="000000"/>
      <w:sz w:val="22"/>
      <w:szCs w:val="22"/>
    </w:rPr>
  </w:style>
  <w:style w:type="paragraph" w:customStyle="1" w:styleId="382">
    <w:name w:val="D&amp;L"/>
    <w:basedOn w:val="29"/>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383">
    <w:name w:val="Char Char Char Char Char Char Char1 Char"/>
    <w:basedOn w:val="1"/>
    <w:autoRedefine/>
    <w:qFormat/>
    <w:uiPriority w:val="0"/>
    <w:rPr>
      <w:rFonts w:ascii="Arial" w:hAnsi="Arial" w:cs="Arial"/>
      <w:sz w:val="24"/>
      <w:szCs w:val="20"/>
    </w:rPr>
  </w:style>
  <w:style w:type="paragraph" w:customStyle="1" w:styleId="384">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此正文"/>
    <w:basedOn w:val="1"/>
    <w:autoRedefine/>
    <w:qFormat/>
    <w:uiPriority w:val="0"/>
    <w:pPr>
      <w:spacing w:line="360" w:lineRule="auto"/>
      <w:ind w:firstLine="200" w:firstLineChars="200"/>
    </w:pPr>
    <w:rPr>
      <w:sz w:val="24"/>
    </w:rPr>
  </w:style>
  <w:style w:type="paragraph" w:customStyle="1" w:styleId="386">
    <w:name w:val="p20"/>
    <w:basedOn w:val="1"/>
    <w:qFormat/>
    <w:uiPriority w:val="0"/>
    <w:pPr>
      <w:spacing w:line="360" w:lineRule="auto"/>
    </w:pPr>
    <w:rPr>
      <w:kern w:val="0"/>
      <w:szCs w:val="21"/>
    </w:rPr>
  </w:style>
  <w:style w:type="paragraph" w:customStyle="1" w:styleId="387">
    <w:name w:val="p16"/>
    <w:basedOn w:val="1"/>
    <w:autoRedefine/>
    <w:qFormat/>
    <w:uiPriority w:val="0"/>
    <w:rPr>
      <w:kern w:val="0"/>
      <w:szCs w:val="21"/>
    </w:rPr>
  </w:style>
  <w:style w:type="paragraph" w:customStyle="1" w:styleId="388">
    <w:name w:val="*正文"/>
    <w:basedOn w:val="1"/>
    <w:autoRedefine/>
    <w:qFormat/>
    <w:uiPriority w:val="0"/>
    <w:pPr>
      <w:widowControl/>
      <w:ind w:firstLine="200" w:firstLineChars="200"/>
    </w:pPr>
    <w:rPr>
      <w:rFonts w:ascii="仿宋_GB2312" w:eastAsia="仿宋_GB2312" w:cs="仿宋_GB2312"/>
      <w:sz w:val="24"/>
    </w:rPr>
  </w:style>
  <w:style w:type="paragraph" w:customStyle="1" w:styleId="389">
    <w:name w:val="正文（首行缩进2字符）"/>
    <w:basedOn w:val="1"/>
    <w:autoRedefine/>
    <w:qFormat/>
    <w:uiPriority w:val="0"/>
    <w:pPr>
      <w:snapToGrid w:val="0"/>
      <w:ind w:firstLine="461" w:firstLineChars="192"/>
    </w:pPr>
    <w:rPr>
      <w:kern w:val="0"/>
      <w:sz w:val="24"/>
      <w:szCs w:val="28"/>
    </w:rPr>
  </w:style>
  <w:style w:type="character" w:customStyle="1" w:styleId="390">
    <w:name w:val="列出段落 Char1"/>
    <w:autoRedefine/>
    <w:qFormat/>
    <w:locked/>
    <w:uiPriority w:val="34"/>
    <w:rPr>
      <w:rFonts w:ascii="Times New Roman" w:hAnsi="Times New Roman" w:cs="Times New Roman"/>
      <w:kern w:val="2"/>
      <w:sz w:val="21"/>
      <w:szCs w:val="24"/>
    </w:rPr>
  </w:style>
  <w:style w:type="character" w:customStyle="1" w:styleId="391">
    <w:name w:val="列出段落 字符"/>
    <w:autoRedefine/>
    <w:qFormat/>
    <w:locked/>
    <w:uiPriority w:val="34"/>
    <w:rPr>
      <w:rFonts w:ascii="Calibri" w:hAnsi="Calibri" w:eastAsia="宋体" w:cs="Times New Roman"/>
      <w:kern w:val="2"/>
      <w:sz w:val="21"/>
      <w:szCs w:val="22"/>
    </w:rPr>
  </w:style>
  <w:style w:type="character" w:customStyle="1" w:styleId="392">
    <w:name w:val="正文缩进 字符1"/>
    <w:qFormat/>
    <w:uiPriority w:val="99"/>
    <w:rPr>
      <w:rFonts w:ascii="Arial" w:hAnsi="Arial" w:eastAsia="宋体" w:cs="Times New Roman"/>
      <w:kern w:val="2"/>
      <w:sz w:val="24"/>
    </w:rPr>
  </w:style>
  <w:style w:type="character" w:customStyle="1" w:styleId="393">
    <w:name w:val="Hyperlink.0"/>
    <w:autoRedefine/>
    <w:qFormat/>
    <w:uiPriority w:val="0"/>
    <w:rPr>
      <w:rFonts w:ascii="宋体" w:hAnsi="宋体" w:eastAsia="宋体" w:cs="宋体"/>
      <w:lang w:val="zh-TW" w:eastAsia="zh-TW"/>
    </w:rPr>
  </w:style>
  <w:style w:type="paragraph" w:customStyle="1" w:styleId="394">
    <w:name w:val="wgy正文"/>
    <w:basedOn w:val="1"/>
    <w:autoRedefine/>
    <w:qFormat/>
    <w:uiPriority w:val="0"/>
    <w:pPr>
      <w:spacing w:line="360" w:lineRule="auto"/>
      <w:ind w:firstLine="200" w:firstLineChars="200"/>
    </w:pPr>
    <w:rPr>
      <w:rFonts w:asciiTheme="minorHAnsi" w:hAnsiTheme="minorHAnsi" w:eastAsiaTheme="minorEastAsia" w:cstheme="minorBidi"/>
      <w:sz w:val="24"/>
      <w:szCs w:val="22"/>
    </w:rPr>
  </w:style>
  <w:style w:type="character" w:customStyle="1" w:styleId="395">
    <w:name w:val="bookmark-item"/>
    <w:basedOn w:val="45"/>
    <w:qFormat/>
    <w:uiPriority w:val="0"/>
  </w:style>
  <w:style w:type="character" w:customStyle="1" w:styleId="396">
    <w:name w:val="标题 5 Char1"/>
    <w:autoRedefine/>
    <w:qFormat/>
    <w:uiPriority w:val="0"/>
    <w:rPr>
      <w:rFonts w:ascii="Times New Roman" w:hAnsi="Times New Roman" w:eastAsia="宋体" w:cs="Times New Roman"/>
      <w:b/>
      <w:bCs/>
      <w:sz w:val="28"/>
      <w:szCs w:val="28"/>
    </w:rPr>
  </w:style>
  <w:style w:type="character" w:customStyle="1" w:styleId="397">
    <w:name w:val="A2"/>
    <w:autoRedefine/>
    <w:qFormat/>
    <w:uiPriority w:val="0"/>
    <w:rPr>
      <w:rFonts w:cs="宋体"/>
      <w:color w:val="221E1F"/>
      <w:sz w:val="20"/>
      <w:szCs w:val="20"/>
    </w:rPr>
  </w:style>
  <w:style w:type="paragraph" w:customStyle="1" w:styleId="398">
    <w:name w:val="Pa0"/>
    <w:basedOn w:val="1"/>
    <w:next w:val="1"/>
    <w:autoRedefine/>
    <w:qFormat/>
    <w:uiPriority w:val="0"/>
    <w:pPr>
      <w:autoSpaceDE w:val="0"/>
      <w:autoSpaceDN w:val="0"/>
      <w:adjustRightInd w:val="0"/>
      <w:spacing w:line="241" w:lineRule="atLeast"/>
      <w:jc w:val="left"/>
    </w:pPr>
    <w:rPr>
      <w:rFonts w:ascii="宋体"/>
      <w:kern w:val="0"/>
      <w:sz w:val="24"/>
    </w:rPr>
  </w:style>
  <w:style w:type="paragraph" w:customStyle="1" w:styleId="399">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400">
    <w:name w:val="正文缩进 字符"/>
    <w:link w:val="13"/>
    <w:autoRedefine/>
    <w:qFormat/>
    <w:uiPriority w:val="0"/>
    <w:rPr>
      <w:rFonts w:ascii="Calibri" w:hAnsi="Calibri" w:eastAsia="宋体" w:cs="Times New Roman"/>
      <w:kern w:val="0"/>
      <w:sz w:val="20"/>
      <w:szCs w:val="20"/>
    </w:rPr>
  </w:style>
  <w:style w:type="character" w:customStyle="1" w:styleId="401">
    <w:name w:val="页脚 字符1"/>
    <w:link w:val="28"/>
    <w:autoRedefine/>
    <w:qFormat/>
    <w:uiPriority w:val="99"/>
    <w:rPr>
      <w:rFonts w:ascii="Calibri" w:hAnsi="Calibri" w:eastAsia="宋体" w:cs="Times New Roman"/>
      <w:kern w:val="0"/>
      <w:sz w:val="18"/>
      <w:szCs w:val="18"/>
    </w:rPr>
  </w:style>
  <w:style w:type="character" w:customStyle="1" w:styleId="402">
    <w:name w:val="题注 字符"/>
    <w:link w:val="14"/>
    <w:qFormat/>
    <w:uiPriority w:val="35"/>
    <w:rPr>
      <w:rFonts w:ascii="Arial" w:hAnsi="Arial" w:eastAsia="黑体" w:cs="Arial"/>
      <w:sz w:val="20"/>
      <w:szCs w:val="20"/>
    </w:rPr>
  </w:style>
  <w:style w:type="character" w:customStyle="1" w:styleId="403">
    <w:name w:val="普通(网站) 字符"/>
    <w:link w:val="38"/>
    <w:autoRedefine/>
    <w:qFormat/>
    <w:locked/>
    <w:uiPriority w:val="99"/>
    <w:rPr>
      <w:rFonts w:ascii="Calibri" w:hAnsi="Calibri" w:eastAsia="宋体" w:cs="Times New Roman"/>
      <w:kern w:val="0"/>
      <w:sz w:val="24"/>
      <w:szCs w:val="24"/>
    </w:rPr>
  </w:style>
  <w:style w:type="paragraph" w:styleId="404">
    <w:name w:val="List Paragraph"/>
    <w:basedOn w:val="1"/>
    <w:link w:val="405"/>
    <w:autoRedefine/>
    <w:qFormat/>
    <w:uiPriority w:val="0"/>
    <w:pPr>
      <w:ind w:left="420" w:firstLine="420" w:firstLineChars="200"/>
    </w:pPr>
    <w:rPr>
      <w:rFonts w:ascii="Calibri" w:hAnsi="Calibri"/>
      <w:kern w:val="0"/>
      <w:sz w:val="20"/>
      <w:szCs w:val="20"/>
    </w:rPr>
  </w:style>
  <w:style w:type="character" w:customStyle="1" w:styleId="405">
    <w:name w:val="列出段落 字符1"/>
    <w:link w:val="404"/>
    <w:qFormat/>
    <w:uiPriority w:val="0"/>
    <w:rPr>
      <w:rFonts w:ascii="Calibri" w:hAnsi="Calibri" w:eastAsia="宋体" w:cs="Times New Roman"/>
      <w:kern w:val="0"/>
      <w:sz w:val="20"/>
      <w:szCs w:val="20"/>
    </w:rPr>
  </w:style>
  <w:style w:type="character" w:customStyle="1" w:styleId="406">
    <w:name w:val="font51"/>
    <w:autoRedefine/>
    <w:qFormat/>
    <w:uiPriority w:val="0"/>
    <w:rPr>
      <w:rFonts w:ascii="宋体" w:hAnsi="宋体" w:eastAsia="宋体"/>
      <w:color w:val="0066CC"/>
      <w:sz w:val="20"/>
      <w:u w:val="none"/>
    </w:rPr>
  </w:style>
  <w:style w:type="character" w:customStyle="1" w:styleId="407">
    <w:name w:val="font81"/>
    <w:basedOn w:val="45"/>
    <w:autoRedefine/>
    <w:qFormat/>
    <w:uiPriority w:val="0"/>
    <w:rPr>
      <w:rFonts w:hint="eastAsia" w:ascii="宋体" w:hAnsi="宋体" w:eastAsia="宋体" w:cs="宋体"/>
      <w:color w:val="000000"/>
      <w:sz w:val="21"/>
      <w:szCs w:val="21"/>
      <w:u w:val="none"/>
    </w:rPr>
  </w:style>
  <w:style w:type="paragraph" w:customStyle="1" w:styleId="40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09">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10">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41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49376</Words>
  <Characters>61197</Characters>
  <Lines>523</Lines>
  <Paragraphs>147</Paragraphs>
  <TotalTime>34</TotalTime>
  <ScaleCrop>false</ScaleCrop>
  <LinksUpToDate>false</LinksUpToDate>
  <CharactersWithSpaces>64963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2024-06-04T10:19:00Z</dcterms:created>
  <dc:creator>Administrator</dc:creator>
  <cp:lastModifiedBy>Limerence</cp:lastModifiedBy>
  <dcterms:modified xsi:type="dcterms:W3CDTF">2024-06-14T07:40:25Z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71865834AA5A49F28D59208EFB17174E_12</vt:lpwstr>
  </property>
</Properties>
</file>