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jc w:val="both"/>
        <w:rPr>
          <w:color w:val="auto"/>
          <w:highlight w:val="none"/>
        </w:rPr>
      </w:pPr>
    </w:p>
    <w:p>
      <w:pPr>
        <w:spacing w:before="120" w:beforeLines="50" w:line="360" w:lineRule="auto"/>
        <w:jc w:val="center"/>
        <w:rPr>
          <w:rFonts w:hint="default" w:ascii="宋体" w:hAnsi="宋体" w:eastAsia="宋体" w:cs="宋体"/>
          <w:b/>
          <w:bCs/>
          <w:color w:val="auto"/>
          <w:sz w:val="52"/>
          <w:szCs w:val="52"/>
          <w:highlight w:val="none"/>
          <w:lang w:val="en-US" w:eastAsia="zh-CN"/>
        </w:rPr>
      </w:pPr>
      <w:r>
        <w:rPr>
          <w:rFonts w:hint="eastAsia" w:ascii="宋体" w:hAnsi="宋体" w:cs="宋体"/>
          <w:b/>
          <w:bCs/>
          <w:color w:val="auto"/>
          <w:sz w:val="52"/>
          <w:szCs w:val="52"/>
          <w:highlight w:val="none"/>
          <w:lang w:eastAsia="zh-CN"/>
        </w:rPr>
        <w:t>丽水市妇幼保健院病原微生物核酸快速检测分析试剂采购项目（重发）</w:t>
      </w:r>
      <w:r>
        <w:rPr>
          <w:rFonts w:hint="eastAsia" w:ascii="宋体" w:hAnsi="宋体" w:cs="宋体"/>
          <w:b/>
          <w:bCs/>
          <w:color w:val="auto"/>
          <w:sz w:val="52"/>
          <w:szCs w:val="52"/>
          <w:highlight w:val="none"/>
          <w:lang w:val="en-US" w:eastAsia="zh-CN"/>
        </w:rPr>
        <w:t>公开招标文件</w:t>
      </w:r>
    </w:p>
    <w:p>
      <w:pPr>
        <w:snapToGrid w:val="0"/>
        <w:spacing w:before="120" w:beforeLines="50" w:line="360" w:lineRule="auto"/>
        <w:ind w:firstLine="600"/>
        <w:rPr>
          <w:rFonts w:ascii="宋体" w:hAnsi="宋体" w:cs="宋体"/>
          <w:color w:val="auto"/>
          <w:sz w:val="30"/>
          <w:szCs w:val="30"/>
          <w:highlight w:val="none"/>
        </w:rPr>
      </w:pPr>
    </w:p>
    <w:p>
      <w:pPr>
        <w:pStyle w:val="18"/>
        <w:rPr>
          <w:rFonts w:hint="eastAsia" w:eastAsia="宋体"/>
          <w:color w:val="auto"/>
          <w:highlight w:val="none"/>
          <w:lang w:eastAsia="zh-CN"/>
        </w:rPr>
      </w:pPr>
    </w:p>
    <w:p>
      <w:pPr>
        <w:pStyle w:val="18"/>
        <w:rPr>
          <w:rFonts w:hint="eastAsia" w:eastAsia="宋体"/>
          <w:color w:val="auto"/>
          <w:highlight w:val="none"/>
          <w:lang w:eastAsia="zh-CN"/>
        </w:rPr>
      </w:pPr>
    </w:p>
    <w:p>
      <w:pPr>
        <w:pStyle w:val="18"/>
        <w:rPr>
          <w:rFonts w:hint="eastAsia" w:eastAsia="宋体"/>
          <w:color w:val="auto"/>
          <w:highlight w:val="none"/>
          <w:lang w:eastAsia="zh-CN"/>
        </w:rPr>
      </w:pPr>
    </w:p>
    <w:p>
      <w:pPr>
        <w:pStyle w:val="7"/>
        <w:rPr>
          <w:color w:val="auto"/>
          <w:highlight w:val="none"/>
        </w:rPr>
      </w:pPr>
    </w:p>
    <w:p>
      <w:pPr>
        <w:pStyle w:val="24"/>
        <w:snapToGrid w:val="0"/>
        <w:spacing w:beforeLines="0" w:afterLines="0" w:line="360" w:lineRule="auto"/>
        <w:ind w:firstLine="602"/>
        <w:rPr>
          <w:rFonts w:hint="eastAsia" w:hAnsi="宋体" w:eastAsia="宋体"/>
          <w:b/>
          <w:bCs/>
          <w:color w:val="auto"/>
          <w:sz w:val="30"/>
          <w:szCs w:val="30"/>
          <w:highlight w:val="none"/>
          <w:lang w:eastAsia="zh-CN"/>
        </w:rPr>
      </w:pPr>
      <w:r>
        <w:rPr>
          <w:rFonts w:hint="eastAsia" w:hAnsi="宋体"/>
          <w:b/>
          <w:bCs/>
          <w:color w:val="auto"/>
          <w:sz w:val="30"/>
          <w:szCs w:val="30"/>
          <w:highlight w:val="none"/>
        </w:rPr>
        <w:t>项目编号：</w:t>
      </w:r>
      <w:r>
        <w:rPr>
          <w:rFonts w:hint="eastAsia" w:hAnsi="宋体"/>
          <w:b/>
          <w:bCs/>
          <w:color w:val="auto"/>
          <w:sz w:val="30"/>
          <w:szCs w:val="30"/>
          <w:highlight w:val="none"/>
          <w:lang w:eastAsia="zh-CN"/>
        </w:rPr>
        <w:t>CBNB-20245172GLS（重发）</w:t>
      </w:r>
    </w:p>
    <w:p>
      <w:pPr>
        <w:pStyle w:val="24"/>
        <w:snapToGrid w:val="0"/>
        <w:spacing w:beforeLines="0" w:afterLines="0" w:line="360" w:lineRule="auto"/>
        <w:ind w:firstLine="602" w:firstLineChars="200"/>
        <w:rPr>
          <w:rFonts w:hint="eastAsia" w:hAnsi="宋体" w:eastAsia="宋体"/>
          <w:b/>
          <w:bCs/>
          <w:color w:val="auto"/>
          <w:sz w:val="30"/>
          <w:szCs w:val="30"/>
          <w:highlight w:val="none"/>
          <w:lang w:eastAsia="zh-CN"/>
        </w:rPr>
      </w:pPr>
      <w:r>
        <w:rPr>
          <w:rFonts w:hint="eastAsia" w:hAnsi="宋体"/>
          <w:b/>
          <w:bCs/>
          <w:color w:val="auto"/>
          <w:sz w:val="30"/>
          <w:szCs w:val="30"/>
          <w:highlight w:val="none"/>
        </w:rPr>
        <w:t>项目名称：</w:t>
      </w:r>
      <w:r>
        <w:rPr>
          <w:rFonts w:hint="eastAsia" w:hAnsi="宋体"/>
          <w:b/>
          <w:bCs/>
          <w:color w:val="auto"/>
          <w:sz w:val="30"/>
          <w:szCs w:val="30"/>
          <w:highlight w:val="none"/>
          <w:lang w:eastAsia="zh-CN"/>
        </w:rPr>
        <w:t>丽水市妇幼保健院病原微生物核酸快速检测分析试剂采购项目（重发）</w:t>
      </w:r>
      <w:bookmarkStart w:id="173" w:name="_GoBack"/>
      <w:bookmarkEnd w:id="173"/>
    </w:p>
    <w:p>
      <w:pPr>
        <w:pStyle w:val="24"/>
        <w:snapToGrid w:val="0"/>
        <w:spacing w:beforeLines="0" w:afterLines="0" w:line="360" w:lineRule="auto"/>
        <w:ind w:firstLine="602"/>
        <w:rPr>
          <w:rFonts w:hAnsi="宋体"/>
          <w:b/>
          <w:bCs/>
          <w:color w:val="auto"/>
          <w:sz w:val="30"/>
          <w:szCs w:val="30"/>
          <w:highlight w:val="none"/>
        </w:rPr>
      </w:pPr>
      <w:r>
        <w:rPr>
          <w:rFonts w:hint="eastAsia" w:hAnsi="宋体"/>
          <w:b/>
          <w:bCs/>
          <w:color w:val="auto"/>
          <w:sz w:val="30"/>
          <w:szCs w:val="30"/>
          <w:highlight w:val="none"/>
        </w:rPr>
        <w:t>采购单位：丽水市妇幼保健院</w:t>
      </w:r>
    </w:p>
    <w:p>
      <w:pPr>
        <w:pStyle w:val="24"/>
        <w:snapToGrid w:val="0"/>
        <w:spacing w:beforeLines="0" w:afterLines="0" w:line="360" w:lineRule="auto"/>
        <w:ind w:firstLine="602"/>
        <w:rPr>
          <w:rFonts w:hAnsi="宋体"/>
          <w:b/>
          <w:bCs/>
          <w:color w:val="auto"/>
          <w:sz w:val="30"/>
          <w:szCs w:val="30"/>
          <w:highlight w:val="none"/>
        </w:rPr>
      </w:pPr>
      <w:r>
        <w:rPr>
          <w:rFonts w:hint="eastAsia" w:hAnsi="宋体"/>
          <w:b/>
          <w:bCs/>
          <w:color w:val="auto"/>
          <w:sz w:val="30"/>
          <w:szCs w:val="30"/>
          <w:highlight w:val="none"/>
        </w:rPr>
        <w:t>代理机构：宁波中基国际招标有限公司</w:t>
      </w:r>
    </w:p>
    <w:p>
      <w:pPr>
        <w:snapToGrid w:val="0"/>
        <w:spacing w:before="120" w:beforeLines="50" w:line="360" w:lineRule="auto"/>
        <w:ind w:firstLine="574"/>
        <w:jc w:val="center"/>
        <w:rPr>
          <w:rFonts w:ascii="宋体" w:hAnsi="宋体" w:cs="宋体"/>
          <w:b/>
          <w:bCs/>
          <w:color w:val="auto"/>
          <w:w w:val="95"/>
          <w:sz w:val="30"/>
          <w:szCs w:val="30"/>
          <w:highlight w:val="none"/>
        </w:rPr>
      </w:pPr>
    </w:p>
    <w:p>
      <w:pPr>
        <w:snapToGrid w:val="0"/>
        <w:spacing w:before="120" w:beforeLines="50" w:line="360" w:lineRule="auto"/>
        <w:ind w:firstLine="574"/>
        <w:jc w:val="center"/>
        <w:rPr>
          <w:rFonts w:ascii="宋体" w:hAnsi="宋体" w:cs="宋体"/>
          <w:b/>
          <w:bCs/>
          <w:color w:val="auto"/>
          <w:w w:val="95"/>
          <w:sz w:val="30"/>
          <w:szCs w:val="30"/>
          <w:highlight w:val="none"/>
        </w:rPr>
      </w:pPr>
    </w:p>
    <w:p>
      <w:pPr>
        <w:pStyle w:val="7"/>
        <w:rPr>
          <w:color w:val="auto"/>
          <w:highlight w:val="none"/>
        </w:rPr>
      </w:pPr>
    </w:p>
    <w:p>
      <w:pPr>
        <w:snapToGrid w:val="0"/>
        <w:spacing w:before="120" w:beforeLines="50" w:line="360" w:lineRule="auto"/>
        <w:ind w:firstLine="574"/>
        <w:jc w:val="center"/>
        <w:rPr>
          <w:rFonts w:ascii="宋体" w:hAnsi="宋体" w:cs="宋体"/>
          <w:color w:val="auto"/>
          <w:sz w:val="30"/>
          <w:szCs w:val="30"/>
          <w:highlight w:val="none"/>
        </w:rPr>
      </w:pPr>
      <w:r>
        <w:rPr>
          <w:rFonts w:hint="eastAsia" w:ascii="宋体" w:hAnsi="宋体" w:cs="宋体"/>
          <w:b/>
          <w:bCs/>
          <w:color w:val="auto"/>
          <w:w w:val="95"/>
          <w:sz w:val="30"/>
          <w:szCs w:val="30"/>
          <w:highlight w:val="none"/>
        </w:rPr>
        <w:t>2024年</w:t>
      </w:r>
      <w:r>
        <w:rPr>
          <w:rFonts w:hint="eastAsia" w:ascii="宋体" w:hAnsi="宋体" w:cs="宋体"/>
          <w:b/>
          <w:bCs/>
          <w:color w:val="auto"/>
          <w:w w:val="95"/>
          <w:sz w:val="30"/>
          <w:szCs w:val="30"/>
          <w:highlight w:val="none"/>
          <w:lang w:val="en-US" w:eastAsia="zh-CN"/>
        </w:rPr>
        <w:t>6</w:t>
      </w:r>
      <w:r>
        <w:rPr>
          <w:rFonts w:hint="eastAsia" w:ascii="宋体" w:hAnsi="宋体" w:cs="宋体"/>
          <w:b/>
          <w:bCs/>
          <w:color w:val="auto"/>
          <w:w w:val="95"/>
          <w:sz w:val="30"/>
          <w:szCs w:val="30"/>
          <w:highlight w:val="none"/>
        </w:rPr>
        <w:t>月</w:t>
      </w:r>
    </w:p>
    <w:p>
      <w:pP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br w:type="page"/>
      </w:r>
    </w:p>
    <w:p>
      <w:pPr>
        <w:spacing w:line="360" w:lineRule="auto"/>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spacing w:line="360" w:lineRule="auto"/>
        <w:jc w:val="center"/>
        <w:rPr>
          <w:rFonts w:hint="eastAsia" w:ascii="宋体" w:hAnsi="宋体" w:cs="宋体"/>
          <w:b/>
          <w:bCs/>
          <w:color w:val="auto"/>
          <w:sz w:val="36"/>
          <w:szCs w:val="36"/>
          <w:highlight w:val="none"/>
        </w:rPr>
      </w:pPr>
    </w:p>
    <w:p>
      <w:pPr>
        <w:pStyle w:val="32"/>
        <w:tabs>
          <w:tab w:val="right" w:leader="dot" w:pos="8721"/>
        </w:tabs>
        <w:spacing w:line="480" w:lineRule="auto"/>
        <w:rPr>
          <w:rFonts w:ascii="宋体" w:hAnsi="宋体" w:cs="宋体"/>
          <w:b/>
          <w:bCs/>
          <w:color w:val="auto"/>
          <w:sz w:val="30"/>
          <w:szCs w:val="30"/>
          <w:highlight w:val="none"/>
        </w:rPr>
      </w:pPr>
      <w:r>
        <w:rPr>
          <w:rFonts w:hint="eastAsia" w:ascii="宋体" w:hAnsi="宋体" w:cs="宋体"/>
          <w:b/>
          <w:bCs/>
          <w:color w:val="auto"/>
          <w:sz w:val="30"/>
          <w:szCs w:val="30"/>
          <w:highlight w:val="none"/>
        </w:rPr>
        <w:fldChar w:fldCharType="begin"/>
      </w:r>
      <w:r>
        <w:rPr>
          <w:rFonts w:hint="eastAsia" w:ascii="宋体" w:hAnsi="宋体" w:cs="宋体"/>
          <w:b/>
          <w:bCs/>
          <w:color w:val="auto"/>
          <w:sz w:val="30"/>
          <w:szCs w:val="30"/>
          <w:highlight w:val="none"/>
        </w:rPr>
        <w:instrText xml:space="preserve"> TOC \o "1-3" \h \z \u </w:instrText>
      </w:r>
      <w:r>
        <w:rPr>
          <w:rFonts w:hint="eastAsia" w:ascii="宋体" w:hAnsi="宋体" w:cs="宋体"/>
          <w:b/>
          <w:bCs/>
          <w:color w:val="auto"/>
          <w:sz w:val="30"/>
          <w:szCs w:val="30"/>
          <w:highlight w:val="none"/>
        </w:rPr>
        <w:fldChar w:fldCharType="separate"/>
      </w:r>
      <w:r>
        <w:rPr>
          <w:color w:val="auto"/>
          <w:highlight w:val="none"/>
        </w:rPr>
        <w:fldChar w:fldCharType="begin"/>
      </w:r>
      <w:r>
        <w:rPr>
          <w:color w:val="auto"/>
          <w:highlight w:val="none"/>
        </w:rPr>
        <w:instrText xml:space="preserve"> HYPERLINK \l "_Toc47388278" </w:instrText>
      </w:r>
      <w:r>
        <w:rPr>
          <w:color w:val="auto"/>
          <w:highlight w:val="none"/>
        </w:rPr>
        <w:fldChar w:fldCharType="separate"/>
      </w:r>
      <w:r>
        <w:rPr>
          <w:rFonts w:hint="eastAsia" w:ascii="宋体" w:hAnsi="宋体" w:cs="宋体"/>
          <w:b/>
          <w:bCs/>
          <w:color w:val="auto"/>
          <w:sz w:val="30"/>
          <w:szCs w:val="30"/>
          <w:highlight w:val="none"/>
        </w:rPr>
        <w:t>第一章 公开招标采购公告</w:t>
      </w:r>
      <w:r>
        <w:rPr>
          <w:rFonts w:hint="eastAsia" w:ascii="宋体" w:hAnsi="宋体" w:cs="宋体"/>
          <w:b/>
          <w:bCs/>
          <w:color w:val="auto"/>
          <w:sz w:val="30"/>
          <w:szCs w:val="30"/>
          <w:highlight w:val="none"/>
        </w:rPr>
        <w:tab/>
      </w:r>
      <w:r>
        <w:rPr>
          <w:rFonts w:hint="eastAsia" w:ascii="宋体" w:hAnsi="宋体" w:cs="宋体"/>
          <w:b/>
          <w:bCs/>
          <w:color w:val="auto"/>
          <w:sz w:val="30"/>
          <w:szCs w:val="30"/>
          <w:highlight w:val="none"/>
        </w:rPr>
        <w:fldChar w:fldCharType="begin"/>
      </w:r>
      <w:r>
        <w:rPr>
          <w:rFonts w:hint="eastAsia" w:ascii="宋体" w:hAnsi="宋体" w:cs="宋体"/>
          <w:b/>
          <w:bCs/>
          <w:color w:val="auto"/>
          <w:sz w:val="30"/>
          <w:szCs w:val="30"/>
          <w:highlight w:val="none"/>
        </w:rPr>
        <w:instrText xml:space="preserve"> PAGEREF _Toc47388278 \h </w:instrText>
      </w:r>
      <w:r>
        <w:rPr>
          <w:rFonts w:hint="eastAsia" w:ascii="宋体" w:hAnsi="宋体" w:cs="宋体"/>
          <w:b/>
          <w:bCs/>
          <w:color w:val="auto"/>
          <w:sz w:val="30"/>
          <w:szCs w:val="30"/>
          <w:highlight w:val="none"/>
        </w:rPr>
        <w:fldChar w:fldCharType="separate"/>
      </w:r>
      <w:r>
        <w:rPr>
          <w:rFonts w:hint="eastAsia" w:ascii="宋体" w:hAnsi="宋体" w:cs="宋体"/>
          <w:b/>
          <w:bCs/>
          <w:color w:val="auto"/>
          <w:sz w:val="30"/>
          <w:szCs w:val="30"/>
          <w:highlight w:val="none"/>
        </w:rPr>
        <w:t>3</w:t>
      </w:r>
      <w:r>
        <w:rPr>
          <w:rFonts w:hint="eastAsia" w:ascii="宋体" w:hAnsi="宋体" w:cs="宋体"/>
          <w:b/>
          <w:bCs/>
          <w:color w:val="auto"/>
          <w:sz w:val="30"/>
          <w:szCs w:val="30"/>
          <w:highlight w:val="none"/>
        </w:rPr>
        <w:fldChar w:fldCharType="end"/>
      </w:r>
      <w:r>
        <w:rPr>
          <w:rFonts w:hint="eastAsia" w:ascii="宋体" w:hAnsi="宋体" w:cs="宋体"/>
          <w:b/>
          <w:bCs/>
          <w:color w:val="auto"/>
          <w:sz w:val="30"/>
          <w:szCs w:val="30"/>
          <w:highlight w:val="none"/>
        </w:rPr>
        <w:fldChar w:fldCharType="end"/>
      </w:r>
    </w:p>
    <w:p>
      <w:pPr>
        <w:pStyle w:val="32"/>
        <w:tabs>
          <w:tab w:val="right" w:leader="dot" w:pos="8721"/>
        </w:tabs>
        <w:spacing w:line="480" w:lineRule="auto"/>
        <w:rPr>
          <w:rFonts w:ascii="宋体" w:hAnsi="宋体" w:cs="宋体"/>
          <w:b/>
          <w:bCs/>
          <w:color w:val="auto"/>
          <w:sz w:val="30"/>
          <w:szCs w:val="30"/>
          <w:highlight w:val="none"/>
        </w:rPr>
      </w:pPr>
      <w:r>
        <w:rPr>
          <w:color w:val="auto"/>
          <w:highlight w:val="none"/>
        </w:rPr>
        <w:fldChar w:fldCharType="begin"/>
      </w:r>
      <w:r>
        <w:rPr>
          <w:color w:val="auto"/>
          <w:highlight w:val="none"/>
        </w:rPr>
        <w:instrText xml:space="preserve"> HYPERLINK \l "_Toc47388280" </w:instrText>
      </w:r>
      <w:r>
        <w:rPr>
          <w:color w:val="auto"/>
          <w:highlight w:val="none"/>
        </w:rPr>
        <w:fldChar w:fldCharType="separate"/>
      </w:r>
      <w:r>
        <w:rPr>
          <w:rFonts w:hint="eastAsia" w:ascii="宋体" w:hAnsi="宋体" w:cs="宋体"/>
          <w:b/>
          <w:bCs/>
          <w:color w:val="auto"/>
          <w:sz w:val="30"/>
          <w:szCs w:val="30"/>
          <w:highlight w:val="none"/>
        </w:rPr>
        <w:t>第二章 招标需求</w:t>
      </w:r>
      <w:r>
        <w:rPr>
          <w:rFonts w:hint="eastAsia" w:ascii="宋体" w:hAnsi="宋体" w:cs="宋体"/>
          <w:b/>
          <w:bCs/>
          <w:color w:val="auto"/>
          <w:sz w:val="30"/>
          <w:szCs w:val="30"/>
          <w:highlight w:val="none"/>
        </w:rPr>
        <w:tab/>
      </w:r>
      <w:r>
        <w:rPr>
          <w:rFonts w:hint="eastAsia" w:ascii="宋体" w:hAnsi="宋体" w:cs="宋体"/>
          <w:b/>
          <w:bCs/>
          <w:color w:val="auto"/>
          <w:sz w:val="30"/>
          <w:szCs w:val="30"/>
          <w:highlight w:val="none"/>
        </w:rPr>
        <w:fldChar w:fldCharType="begin"/>
      </w:r>
      <w:r>
        <w:rPr>
          <w:rFonts w:hint="eastAsia" w:ascii="宋体" w:hAnsi="宋体" w:cs="宋体"/>
          <w:b/>
          <w:bCs/>
          <w:color w:val="auto"/>
          <w:sz w:val="30"/>
          <w:szCs w:val="30"/>
          <w:highlight w:val="none"/>
        </w:rPr>
        <w:instrText xml:space="preserve"> PAGEREF _Toc47388280 \h </w:instrText>
      </w:r>
      <w:r>
        <w:rPr>
          <w:rFonts w:hint="eastAsia" w:ascii="宋体" w:hAnsi="宋体" w:cs="宋体"/>
          <w:b/>
          <w:bCs/>
          <w:color w:val="auto"/>
          <w:sz w:val="30"/>
          <w:szCs w:val="30"/>
          <w:highlight w:val="none"/>
        </w:rPr>
        <w:fldChar w:fldCharType="separate"/>
      </w:r>
      <w:r>
        <w:rPr>
          <w:rFonts w:hint="eastAsia" w:ascii="宋体" w:hAnsi="宋体" w:cs="宋体"/>
          <w:b/>
          <w:bCs/>
          <w:color w:val="auto"/>
          <w:sz w:val="30"/>
          <w:szCs w:val="30"/>
          <w:highlight w:val="none"/>
        </w:rPr>
        <w:t>7</w:t>
      </w:r>
      <w:r>
        <w:rPr>
          <w:rFonts w:hint="eastAsia" w:ascii="宋体" w:hAnsi="宋体" w:cs="宋体"/>
          <w:b/>
          <w:bCs/>
          <w:color w:val="auto"/>
          <w:sz w:val="30"/>
          <w:szCs w:val="30"/>
          <w:highlight w:val="none"/>
        </w:rPr>
        <w:fldChar w:fldCharType="end"/>
      </w:r>
      <w:r>
        <w:rPr>
          <w:rFonts w:hint="eastAsia" w:ascii="宋体" w:hAnsi="宋体" w:cs="宋体"/>
          <w:b/>
          <w:bCs/>
          <w:color w:val="auto"/>
          <w:sz w:val="30"/>
          <w:szCs w:val="30"/>
          <w:highlight w:val="none"/>
        </w:rPr>
        <w:fldChar w:fldCharType="end"/>
      </w:r>
    </w:p>
    <w:p>
      <w:pPr>
        <w:pStyle w:val="32"/>
        <w:tabs>
          <w:tab w:val="right" w:leader="dot" w:pos="8721"/>
        </w:tabs>
        <w:spacing w:line="480" w:lineRule="auto"/>
        <w:rPr>
          <w:rFonts w:hint="eastAsia" w:ascii="宋体" w:hAnsi="宋体" w:eastAsia="宋体" w:cs="宋体"/>
          <w:b/>
          <w:bCs/>
          <w:color w:val="auto"/>
          <w:sz w:val="30"/>
          <w:szCs w:val="30"/>
          <w:highlight w:val="none"/>
          <w:lang w:eastAsia="zh-CN"/>
        </w:rPr>
      </w:pPr>
      <w:r>
        <w:rPr>
          <w:color w:val="auto"/>
          <w:highlight w:val="none"/>
        </w:rPr>
        <w:fldChar w:fldCharType="begin"/>
      </w:r>
      <w:r>
        <w:rPr>
          <w:color w:val="auto"/>
          <w:highlight w:val="none"/>
        </w:rPr>
        <w:instrText xml:space="preserve"> HYPERLINK \l "_Toc47388317" </w:instrText>
      </w:r>
      <w:r>
        <w:rPr>
          <w:color w:val="auto"/>
          <w:highlight w:val="none"/>
        </w:rPr>
        <w:fldChar w:fldCharType="separate"/>
      </w:r>
      <w:r>
        <w:rPr>
          <w:rFonts w:hint="eastAsia" w:ascii="宋体" w:hAnsi="宋体" w:cs="宋体"/>
          <w:b/>
          <w:bCs/>
          <w:color w:val="auto"/>
          <w:sz w:val="30"/>
          <w:szCs w:val="30"/>
          <w:highlight w:val="none"/>
        </w:rPr>
        <w:t>第三章 投标人须知</w:t>
      </w:r>
      <w:r>
        <w:rPr>
          <w:rFonts w:hint="eastAsia" w:ascii="宋体" w:hAnsi="宋体" w:cs="宋体"/>
          <w:b/>
          <w:bCs/>
          <w:color w:val="auto"/>
          <w:sz w:val="30"/>
          <w:szCs w:val="30"/>
          <w:highlight w:val="none"/>
        </w:rPr>
        <w:tab/>
      </w:r>
      <w:r>
        <w:rPr>
          <w:rFonts w:hint="eastAsia" w:ascii="宋体" w:hAnsi="宋体" w:cs="宋体"/>
          <w:b/>
          <w:bCs/>
          <w:color w:val="auto"/>
          <w:sz w:val="30"/>
          <w:szCs w:val="30"/>
          <w:highlight w:val="none"/>
          <w:lang w:val="en-US" w:eastAsia="zh-CN"/>
        </w:rPr>
        <w:t>1</w:t>
      </w:r>
      <w:r>
        <w:rPr>
          <w:rFonts w:hint="eastAsia" w:ascii="宋体" w:hAnsi="宋体" w:cs="宋体"/>
          <w:b/>
          <w:bCs/>
          <w:color w:val="auto"/>
          <w:sz w:val="30"/>
          <w:szCs w:val="30"/>
          <w:highlight w:val="none"/>
        </w:rPr>
        <w:fldChar w:fldCharType="end"/>
      </w:r>
      <w:r>
        <w:rPr>
          <w:rFonts w:hint="eastAsia" w:ascii="宋体" w:hAnsi="宋体" w:cs="宋体"/>
          <w:b/>
          <w:bCs/>
          <w:color w:val="auto"/>
          <w:sz w:val="30"/>
          <w:szCs w:val="30"/>
          <w:highlight w:val="none"/>
          <w:lang w:val="en-US" w:eastAsia="zh-CN"/>
        </w:rPr>
        <w:t>9</w:t>
      </w:r>
    </w:p>
    <w:p>
      <w:pPr>
        <w:pStyle w:val="32"/>
        <w:tabs>
          <w:tab w:val="right" w:leader="dot" w:pos="8721"/>
        </w:tabs>
        <w:spacing w:line="480" w:lineRule="auto"/>
        <w:rPr>
          <w:rFonts w:ascii="宋体" w:hAnsi="宋体" w:cs="宋体"/>
          <w:b/>
          <w:bCs/>
          <w:color w:val="auto"/>
          <w:sz w:val="30"/>
          <w:szCs w:val="30"/>
          <w:highlight w:val="none"/>
        </w:rPr>
      </w:pPr>
      <w:r>
        <w:rPr>
          <w:color w:val="auto"/>
          <w:highlight w:val="none"/>
        </w:rPr>
        <w:fldChar w:fldCharType="begin"/>
      </w:r>
      <w:r>
        <w:rPr>
          <w:color w:val="auto"/>
          <w:highlight w:val="none"/>
        </w:rPr>
        <w:instrText xml:space="preserve"> HYPERLINK \l "_Toc47388384" </w:instrText>
      </w:r>
      <w:r>
        <w:rPr>
          <w:color w:val="auto"/>
          <w:highlight w:val="none"/>
        </w:rPr>
        <w:fldChar w:fldCharType="separate"/>
      </w:r>
      <w:r>
        <w:rPr>
          <w:rFonts w:hint="eastAsia" w:ascii="宋体" w:hAnsi="宋体" w:cs="宋体"/>
          <w:b/>
          <w:bCs/>
          <w:color w:val="auto"/>
          <w:sz w:val="30"/>
          <w:szCs w:val="30"/>
          <w:highlight w:val="none"/>
        </w:rPr>
        <w:t>第四章 评标办法及评分标准</w:t>
      </w:r>
      <w:r>
        <w:rPr>
          <w:rFonts w:hint="eastAsia" w:ascii="宋体" w:hAnsi="宋体" w:cs="宋体"/>
          <w:b/>
          <w:bCs/>
          <w:color w:val="auto"/>
          <w:sz w:val="30"/>
          <w:szCs w:val="30"/>
          <w:highlight w:val="none"/>
        </w:rPr>
        <w:tab/>
      </w:r>
      <w:r>
        <w:rPr>
          <w:rFonts w:hint="eastAsia" w:ascii="宋体" w:hAnsi="宋体" w:cs="宋体"/>
          <w:b/>
          <w:bCs/>
          <w:color w:val="auto"/>
          <w:sz w:val="30"/>
          <w:szCs w:val="30"/>
          <w:highlight w:val="none"/>
        </w:rPr>
        <w:fldChar w:fldCharType="begin"/>
      </w:r>
      <w:r>
        <w:rPr>
          <w:rFonts w:hint="eastAsia" w:ascii="宋体" w:hAnsi="宋体" w:cs="宋体"/>
          <w:b/>
          <w:bCs/>
          <w:color w:val="auto"/>
          <w:sz w:val="30"/>
          <w:szCs w:val="30"/>
          <w:highlight w:val="none"/>
        </w:rPr>
        <w:instrText xml:space="preserve"> PAGEREF _Toc47388384 \h </w:instrText>
      </w:r>
      <w:r>
        <w:rPr>
          <w:rFonts w:hint="eastAsia" w:ascii="宋体" w:hAnsi="宋体" w:cs="宋体"/>
          <w:b/>
          <w:bCs/>
          <w:color w:val="auto"/>
          <w:sz w:val="30"/>
          <w:szCs w:val="30"/>
          <w:highlight w:val="none"/>
        </w:rPr>
        <w:fldChar w:fldCharType="separate"/>
      </w:r>
      <w:r>
        <w:rPr>
          <w:rFonts w:hint="eastAsia" w:ascii="宋体" w:hAnsi="宋体" w:cs="宋体"/>
          <w:b/>
          <w:bCs/>
          <w:color w:val="auto"/>
          <w:sz w:val="30"/>
          <w:szCs w:val="30"/>
          <w:highlight w:val="none"/>
        </w:rPr>
        <w:t>24</w:t>
      </w:r>
      <w:r>
        <w:rPr>
          <w:rFonts w:hint="eastAsia" w:ascii="宋体" w:hAnsi="宋体" w:cs="宋体"/>
          <w:b/>
          <w:bCs/>
          <w:color w:val="auto"/>
          <w:sz w:val="30"/>
          <w:szCs w:val="30"/>
          <w:highlight w:val="none"/>
        </w:rPr>
        <w:fldChar w:fldCharType="end"/>
      </w:r>
      <w:r>
        <w:rPr>
          <w:rFonts w:hint="eastAsia" w:ascii="宋体" w:hAnsi="宋体" w:cs="宋体"/>
          <w:b/>
          <w:bCs/>
          <w:color w:val="auto"/>
          <w:sz w:val="30"/>
          <w:szCs w:val="30"/>
          <w:highlight w:val="none"/>
        </w:rPr>
        <w:fldChar w:fldCharType="end"/>
      </w:r>
    </w:p>
    <w:p>
      <w:pPr>
        <w:pStyle w:val="32"/>
        <w:tabs>
          <w:tab w:val="right" w:leader="dot" w:pos="8721"/>
        </w:tabs>
        <w:spacing w:line="480" w:lineRule="auto"/>
        <w:rPr>
          <w:rFonts w:ascii="宋体" w:hAnsi="宋体" w:cs="宋体"/>
          <w:b/>
          <w:bCs/>
          <w:color w:val="auto"/>
          <w:sz w:val="30"/>
          <w:szCs w:val="30"/>
          <w:highlight w:val="none"/>
        </w:rPr>
      </w:pPr>
      <w:r>
        <w:rPr>
          <w:color w:val="auto"/>
          <w:highlight w:val="none"/>
        </w:rPr>
        <w:fldChar w:fldCharType="begin"/>
      </w:r>
      <w:r>
        <w:rPr>
          <w:color w:val="auto"/>
          <w:highlight w:val="none"/>
        </w:rPr>
        <w:instrText xml:space="preserve"> HYPERLINK \l "_Toc47388385" </w:instrText>
      </w:r>
      <w:r>
        <w:rPr>
          <w:color w:val="auto"/>
          <w:highlight w:val="none"/>
        </w:rPr>
        <w:fldChar w:fldCharType="separate"/>
      </w:r>
      <w:r>
        <w:rPr>
          <w:rFonts w:hint="eastAsia" w:ascii="宋体" w:hAnsi="宋体" w:cs="宋体"/>
          <w:b/>
          <w:bCs/>
          <w:color w:val="auto"/>
          <w:sz w:val="30"/>
          <w:szCs w:val="30"/>
          <w:highlight w:val="none"/>
        </w:rPr>
        <w:t>第五章 合同主要条款</w:t>
      </w:r>
      <w:r>
        <w:rPr>
          <w:rFonts w:hint="eastAsia" w:ascii="宋体" w:hAnsi="宋体" w:cs="宋体"/>
          <w:b/>
          <w:bCs/>
          <w:color w:val="auto"/>
          <w:sz w:val="30"/>
          <w:szCs w:val="30"/>
          <w:highlight w:val="none"/>
        </w:rPr>
        <w:tab/>
      </w:r>
      <w:r>
        <w:rPr>
          <w:rFonts w:hint="eastAsia" w:ascii="宋体" w:hAnsi="宋体" w:cs="宋体"/>
          <w:b/>
          <w:bCs/>
          <w:color w:val="auto"/>
          <w:sz w:val="30"/>
          <w:szCs w:val="30"/>
          <w:highlight w:val="none"/>
        </w:rPr>
        <w:fldChar w:fldCharType="begin"/>
      </w:r>
      <w:r>
        <w:rPr>
          <w:rFonts w:hint="eastAsia" w:ascii="宋体" w:hAnsi="宋体" w:cs="宋体"/>
          <w:b/>
          <w:bCs/>
          <w:color w:val="auto"/>
          <w:sz w:val="30"/>
          <w:szCs w:val="30"/>
          <w:highlight w:val="none"/>
        </w:rPr>
        <w:instrText xml:space="preserve"> PAGEREF _Toc47388385 \h </w:instrText>
      </w:r>
      <w:r>
        <w:rPr>
          <w:rFonts w:hint="eastAsia" w:ascii="宋体" w:hAnsi="宋体" w:cs="宋体"/>
          <w:b/>
          <w:bCs/>
          <w:color w:val="auto"/>
          <w:sz w:val="30"/>
          <w:szCs w:val="30"/>
          <w:highlight w:val="none"/>
        </w:rPr>
        <w:fldChar w:fldCharType="separate"/>
      </w:r>
      <w:r>
        <w:rPr>
          <w:rFonts w:hint="eastAsia" w:ascii="宋体" w:hAnsi="宋体" w:cs="宋体"/>
          <w:b/>
          <w:bCs/>
          <w:color w:val="auto"/>
          <w:sz w:val="30"/>
          <w:szCs w:val="30"/>
          <w:highlight w:val="none"/>
        </w:rPr>
        <w:t>28</w:t>
      </w:r>
      <w:r>
        <w:rPr>
          <w:rFonts w:hint="eastAsia" w:ascii="宋体" w:hAnsi="宋体" w:cs="宋体"/>
          <w:b/>
          <w:bCs/>
          <w:color w:val="auto"/>
          <w:sz w:val="30"/>
          <w:szCs w:val="30"/>
          <w:highlight w:val="none"/>
        </w:rPr>
        <w:fldChar w:fldCharType="end"/>
      </w:r>
      <w:r>
        <w:rPr>
          <w:rFonts w:hint="eastAsia" w:ascii="宋体" w:hAnsi="宋体" w:cs="宋体"/>
          <w:b/>
          <w:bCs/>
          <w:color w:val="auto"/>
          <w:sz w:val="30"/>
          <w:szCs w:val="30"/>
          <w:highlight w:val="none"/>
        </w:rPr>
        <w:fldChar w:fldCharType="end"/>
      </w:r>
    </w:p>
    <w:p>
      <w:pPr>
        <w:pStyle w:val="32"/>
        <w:tabs>
          <w:tab w:val="right" w:leader="dot" w:pos="8721"/>
        </w:tabs>
        <w:spacing w:line="480" w:lineRule="auto"/>
        <w:rPr>
          <w:rFonts w:hint="eastAsia" w:ascii="宋体" w:hAnsi="宋体" w:eastAsia="宋体" w:cs="宋体"/>
          <w:b/>
          <w:bCs/>
          <w:color w:val="auto"/>
          <w:sz w:val="30"/>
          <w:szCs w:val="30"/>
          <w:highlight w:val="none"/>
          <w:lang w:val="en-US" w:eastAsia="zh-CN"/>
        </w:rPr>
      </w:pPr>
      <w:r>
        <w:rPr>
          <w:color w:val="auto"/>
          <w:highlight w:val="none"/>
        </w:rPr>
        <w:fldChar w:fldCharType="begin"/>
      </w:r>
      <w:r>
        <w:rPr>
          <w:color w:val="auto"/>
          <w:highlight w:val="none"/>
        </w:rPr>
        <w:instrText xml:space="preserve"> HYPERLINK \l "_Toc47388386" </w:instrText>
      </w:r>
      <w:r>
        <w:rPr>
          <w:color w:val="auto"/>
          <w:highlight w:val="none"/>
        </w:rPr>
        <w:fldChar w:fldCharType="separate"/>
      </w:r>
      <w:r>
        <w:rPr>
          <w:rFonts w:hint="eastAsia" w:ascii="宋体" w:hAnsi="宋体" w:cs="宋体"/>
          <w:b/>
          <w:bCs/>
          <w:color w:val="auto"/>
          <w:sz w:val="30"/>
          <w:szCs w:val="30"/>
          <w:highlight w:val="none"/>
        </w:rPr>
        <w:t>第六章 投标文件格式</w:t>
      </w:r>
      <w:r>
        <w:rPr>
          <w:rFonts w:hint="eastAsia" w:ascii="宋体" w:hAnsi="宋体" w:cs="宋体"/>
          <w:b/>
          <w:bCs/>
          <w:color w:val="auto"/>
          <w:sz w:val="30"/>
          <w:szCs w:val="30"/>
          <w:highlight w:val="none"/>
        </w:rPr>
        <w:tab/>
      </w:r>
      <w:r>
        <w:rPr>
          <w:rFonts w:hint="eastAsia" w:ascii="宋体" w:hAnsi="宋体" w:cs="宋体"/>
          <w:b/>
          <w:bCs/>
          <w:color w:val="auto"/>
          <w:sz w:val="30"/>
          <w:szCs w:val="30"/>
          <w:highlight w:val="none"/>
        </w:rPr>
        <w:fldChar w:fldCharType="end"/>
      </w:r>
      <w:r>
        <w:rPr>
          <w:rFonts w:hint="eastAsia" w:ascii="宋体" w:hAnsi="宋体" w:cs="宋体"/>
          <w:b/>
          <w:bCs/>
          <w:color w:val="auto"/>
          <w:sz w:val="30"/>
          <w:szCs w:val="30"/>
          <w:highlight w:val="none"/>
          <w:lang w:val="en-US" w:eastAsia="zh-CN"/>
        </w:rPr>
        <w:t>47</w:t>
      </w:r>
    </w:p>
    <w:p>
      <w:pPr>
        <w:spacing w:line="480" w:lineRule="auto"/>
        <w:ind w:firstLine="602"/>
        <w:rPr>
          <w:rFonts w:ascii="宋体" w:hAnsi="宋体" w:cs="宋体"/>
          <w:color w:val="auto"/>
          <w:sz w:val="30"/>
          <w:szCs w:val="30"/>
          <w:highlight w:val="none"/>
        </w:rPr>
      </w:pPr>
      <w:r>
        <w:rPr>
          <w:rFonts w:hint="eastAsia" w:ascii="宋体" w:hAnsi="宋体" w:cs="宋体"/>
          <w:b/>
          <w:bCs/>
          <w:color w:val="auto"/>
          <w:sz w:val="30"/>
          <w:szCs w:val="30"/>
          <w:highlight w:val="none"/>
        </w:rPr>
        <w:fldChar w:fldCharType="end"/>
      </w:r>
    </w:p>
    <w:p>
      <w:pPr>
        <w:tabs>
          <w:tab w:val="left" w:pos="855"/>
        </w:tabs>
        <w:spacing w:line="360" w:lineRule="auto"/>
        <w:ind w:firstLine="560"/>
        <w:rPr>
          <w:rFonts w:ascii="宋体" w:hAnsi="宋体" w:cs="宋体"/>
          <w:color w:val="auto"/>
          <w:sz w:val="28"/>
          <w:szCs w:val="28"/>
          <w:highlight w:val="none"/>
        </w:rPr>
      </w:pPr>
    </w:p>
    <w:p>
      <w:pPr>
        <w:spacing w:line="360" w:lineRule="auto"/>
        <w:ind w:firstLine="562"/>
        <w:rPr>
          <w:rFonts w:ascii="宋体" w:hAnsi="宋体" w:cs="宋体"/>
          <w:b/>
          <w:bCs/>
          <w:color w:val="auto"/>
          <w:sz w:val="28"/>
          <w:szCs w:val="28"/>
          <w:highlight w:val="none"/>
        </w:rPr>
      </w:pPr>
    </w:p>
    <w:p>
      <w:pPr>
        <w:pStyle w:val="24"/>
        <w:spacing w:beforeLines="0" w:afterLines="0" w:line="360" w:lineRule="auto"/>
        <w:ind w:firstLine="602"/>
        <w:rPr>
          <w:rFonts w:hAnsi="宋体"/>
          <w:b/>
          <w:bCs/>
          <w:color w:val="auto"/>
          <w:sz w:val="30"/>
          <w:szCs w:val="30"/>
          <w:highlight w:val="none"/>
        </w:rPr>
      </w:pPr>
    </w:p>
    <w:p>
      <w:pPr>
        <w:pStyle w:val="24"/>
        <w:spacing w:beforeLines="0" w:afterLines="0" w:line="360" w:lineRule="auto"/>
        <w:ind w:firstLine="602"/>
        <w:jc w:val="center"/>
        <w:rPr>
          <w:rFonts w:hAnsi="宋体"/>
          <w:b/>
          <w:bCs/>
          <w:color w:val="auto"/>
          <w:sz w:val="30"/>
          <w:szCs w:val="30"/>
          <w:highlight w:val="none"/>
        </w:rPr>
        <w:sectPr>
          <w:footerReference r:id="rId3" w:type="default"/>
          <w:pgSz w:w="11907" w:h="16840"/>
          <w:pgMar w:top="1304" w:right="1588" w:bottom="1304" w:left="1588" w:header="720" w:footer="720" w:gutter="0"/>
          <w:cols w:space="720" w:num="1"/>
          <w:docGrid w:linePitch="285" w:charSpace="0"/>
        </w:sectPr>
      </w:pPr>
    </w:p>
    <w:p>
      <w:pPr>
        <w:pStyle w:val="43"/>
        <w:ind w:firstLine="643"/>
        <w:rPr>
          <w:rFonts w:ascii="宋体" w:hAnsi="宋体" w:cs="宋体"/>
          <w:color w:val="auto"/>
          <w:highlight w:val="none"/>
        </w:rPr>
      </w:pPr>
      <w:bookmarkStart w:id="0" w:name="_Toc397325809"/>
      <w:bookmarkStart w:id="1" w:name="_Toc11614"/>
      <w:bookmarkStart w:id="2" w:name="_Toc47388278"/>
      <w:r>
        <w:rPr>
          <w:rFonts w:hint="eastAsia" w:ascii="宋体" w:hAnsi="宋体" w:cs="宋体"/>
          <w:color w:val="auto"/>
          <w:highlight w:val="none"/>
        </w:rPr>
        <w:t>第一章公开招标采购公告</w:t>
      </w:r>
      <w:bookmarkEnd w:id="0"/>
      <w:bookmarkEnd w:id="1"/>
      <w:bookmarkEnd w:id="2"/>
    </w:p>
    <w:p>
      <w:pPr>
        <w:pStyle w:val="152"/>
        <w:widowControl w:val="0"/>
        <w:snapToGrid/>
        <w:spacing w:afterLines="0" w:line="360" w:lineRule="auto"/>
        <w:ind w:firstLine="0" w:firstLineChars="0"/>
        <w:rPr>
          <w:rFonts w:ascii="宋体" w:hAnsi="宋体" w:cs="宋体"/>
          <w:color w:val="auto"/>
          <w:sz w:val="21"/>
          <w:szCs w:val="21"/>
          <w:highlight w:val="none"/>
        </w:rPr>
      </w:pPr>
      <w:r>
        <w:rPr>
          <w:rFonts w:hint="eastAsia" w:ascii="宋体" w:hAnsi="宋体" w:cs="宋体"/>
          <w:b/>
          <w:bCs/>
          <w:color w:val="auto"/>
          <w:sz w:val="21"/>
          <w:szCs w:val="21"/>
          <w:highlight w:val="none"/>
        </w:rPr>
        <w:t>项目概况：</w:t>
      </w:r>
    </w:p>
    <w:p>
      <w:pPr>
        <w:pStyle w:val="152"/>
        <w:widowControl w:val="0"/>
        <w:snapToGrid/>
        <w:spacing w:afterLines="0"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lang w:eastAsia="zh-CN"/>
        </w:rPr>
        <w:t>丽水市妇幼保健院病原微生物核酸快速检测分析试剂采购项目（重发）</w:t>
      </w:r>
      <w:r>
        <w:rPr>
          <w:rFonts w:hint="eastAsia" w:ascii="宋体" w:hAnsi="宋体" w:cs="宋体"/>
          <w:color w:val="auto"/>
          <w:sz w:val="21"/>
          <w:szCs w:val="21"/>
          <w:highlight w:val="none"/>
        </w:rPr>
        <w:t>招标项目的潜在投标人应在政府采购云平台（www.zcygov.cn）获取（下载）招标文件，并于2024年</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14</w:t>
      </w:r>
      <w:r>
        <w:rPr>
          <w:rFonts w:hint="eastAsia" w:ascii="宋体" w:hAnsi="宋体" w:cs="宋体"/>
          <w:color w:val="auto"/>
          <w:sz w:val="21"/>
          <w:szCs w:val="21"/>
          <w:highlight w:val="none"/>
        </w:rPr>
        <w:t>:00（北京时间）前递交（上传）投标文件。 </w:t>
      </w:r>
    </w:p>
    <w:p>
      <w:pPr>
        <w:pStyle w:val="152"/>
        <w:widowControl w:val="0"/>
        <w:snapToGrid/>
        <w:spacing w:afterLines="0" w:line="360" w:lineRule="auto"/>
        <w:ind w:firstLine="0" w:firstLineChars="0"/>
        <w:rPr>
          <w:rFonts w:ascii="宋体" w:hAnsi="宋体" w:cs="宋体"/>
          <w:color w:val="auto"/>
          <w:sz w:val="21"/>
          <w:szCs w:val="21"/>
          <w:highlight w:val="none"/>
        </w:rPr>
      </w:pPr>
      <w:r>
        <w:rPr>
          <w:rFonts w:hint="eastAsia" w:ascii="宋体" w:hAnsi="宋体" w:cs="宋体"/>
          <w:b/>
          <w:bCs/>
          <w:color w:val="auto"/>
          <w:sz w:val="21"/>
          <w:szCs w:val="21"/>
          <w:highlight w:val="none"/>
        </w:rPr>
        <w:t>一、项目基本情况</w:t>
      </w:r>
      <w:r>
        <w:rPr>
          <w:rFonts w:hint="eastAsia" w:ascii="宋体" w:hAnsi="宋体" w:cs="宋体"/>
          <w:color w:val="auto"/>
          <w:sz w:val="21"/>
          <w:szCs w:val="21"/>
          <w:highlight w:val="none"/>
        </w:rPr>
        <w:t xml:space="preserve">                             </w:t>
      </w:r>
    </w:p>
    <w:p>
      <w:pPr>
        <w:widowControl/>
        <w:spacing w:line="360" w:lineRule="auto"/>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项目编号：</w:t>
      </w:r>
      <w:r>
        <w:rPr>
          <w:rFonts w:hint="eastAsia" w:ascii="宋体" w:hAnsi="宋体" w:cs="宋体"/>
          <w:color w:val="auto"/>
          <w:kern w:val="0"/>
          <w:highlight w:val="none"/>
          <w:lang w:eastAsia="zh-CN"/>
        </w:rPr>
        <w:t>CBNB-20245172GLS（重发）</w:t>
      </w:r>
    </w:p>
    <w:p>
      <w:pPr>
        <w:widowControl/>
        <w:spacing w:line="360" w:lineRule="auto"/>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项目名称：</w:t>
      </w:r>
      <w:r>
        <w:rPr>
          <w:rFonts w:hint="eastAsia" w:ascii="宋体" w:hAnsi="宋体" w:cs="宋体"/>
          <w:color w:val="auto"/>
          <w:kern w:val="0"/>
          <w:highlight w:val="none"/>
          <w:lang w:eastAsia="zh-CN"/>
        </w:rPr>
        <w:t>丽水市妇幼保健院病原微生物核酸快速检测分析试剂采购项目（重发）</w:t>
      </w:r>
    </w:p>
    <w:p>
      <w:pPr>
        <w:widowControl/>
        <w:spacing w:line="360" w:lineRule="auto"/>
        <w:ind w:firstLine="420" w:firstLineChars="200"/>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rPr>
        <w:t>预算金额（元）：</w:t>
      </w:r>
      <w:r>
        <w:rPr>
          <w:rFonts w:hint="eastAsia" w:ascii="宋体" w:hAnsi="宋体" w:cs="宋体"/>
          <w:color w:val="auto"/>
          <w:kern w:val="0"/>
          <w:highlight w:val="none"/>
          <w:lang w:val="en-US" w:eastAsia="zh-CN"/>
        </w:rPr>
        <w:t>570,424.00</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最高限价（元）：</w:t>
      </w:r>
      <w:r>
        <w:rPr>
          <w:rFonts w:hint="eastAsia" w:ascii="宋体" w:hAnsi="宋体" w:cs="宋体"/>
          <w:color w:val="auto"/>
          <w:kern w:val="0"/>
          <w:highlight w:val="none"/>
          <w:lang w:val="en-US" w:eastAsia="zh-CN"/>
        </w:rPr>
        <w:t>570,424.00</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采购需求：</w:t>
      </w:r>
    </w:p>
    <w:p>
      <w:pPr>
        <w:widowControl/>
        <w:spacing w:line="360" w:lineRule="auto"/>
        <w:ind w:left="420" w:left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标项名称：</w:t>
      </w:r>
      <w:r>
        <w:rPr>
          <w:rFonts w:hint="eastAsia" w:ascii="宋体" w:hAnsi="宋体" w:cs="宋体"/>
          <w:color w:val="auto"/>
          <w:kern w:val="0"/>
          <w:highlight w:val="none"/>
          <w:lang w:eastAsia="zh-CN"/>
        </w:rPr>
        <w:t>病原微生物核酸快速检测分析试剂及配套仪器</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数量：1批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预算金额（元）：</w:t>
      </w:r>
      <w:r>
        <w:rPr>
          <w:rFonts w:hint="eastAsia" w:ascii="宋体" w:hAnsi="宋体" w:cs="宋体"/>
          <w:color w:val="auto"/>
          <w:kern w:val="0"/>
          <w:highlight w:val="none"/>
          <w:lang w:val="en-US" w:eastAsia="zh-CN"/>
        </w:rPr>
        <w:t>570,424.00</w:t>
      </w:r>
    </w:p>
    <w:p>
      <w:pPr>
        <w:widowControl/>
        <w:spacing w:line="360" w:lineRule="auto"/>
        <w:ind w:firstLine="420" w:firstLineChars="200"/>
        <w:rPr>
          <w:rFonts w:ascii="宋体" w:hAnsi="宋体" w:cs="宋体"/>
          <w:color w:val="auto"/>
          <w:highlight w:val="none"/>
        </w:rPr>
      </w:pPr>
      <w:r>
        <w:rPr>
          <w:rFonts w:hint="eastAsia" w:ascii="宋体" w:hAnsi="宋体" w:cs="宋体"/>
          <w:color w:val="auto"/>
          <w:kern w:val="0"/>
          <w:highlight w:val="none"/>
        </w:rPr>
        <w:t>简要规格描述或项目基本概况介绍、用途：详见第二章招标需求。</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备注：本项目不允许采购进口产品。</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合同履约期限：自合同签订生效后开始至双方合同义务完全履行后截止。</w:t>
      </w:r>
    </w:p>
    <w:p>
      <w:pPr>
        <w:pStyle w:val="7"/>
        <w:rPr>
          <w:rFonts w:hint="eastAsia"/>
          <w:color w:val="auto"/>
          <w:highlight w:val="none"/>
        </w:rPr>
      </w:pPr>
      <w:r>
        <w:rPr>
          <w:rFonts w:hint="eastAsia"/>
          <w:color w:val="auto"/>
          <w:highlight w:val="none"/>
        </w:rPr>
        <w:t>本项目（是）接受联合体投标。</w:t>
      </w:r>
    </w:p>
    <w:p>
      <w:pPr>
        <w:pStyle w:val="7"/>
        <w:rPr>
          <w:color w:val="auto"/>
          <w:highlight w:val="none"/>
        </w:rPr>
      </w:pPr>
      <w:r>
        <w:rPr>
          <w:rFonts w:hint="eastAsia"/>
          <w:color w:val="auto"/>
          <w:highlight w:val="none"/>
        </w:rPr>
        <w:t>二、申请人的资格要求</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2.落实政府采购政策需满足的资格要求：</w:t>
      </w:r>
      <w:r>
        <w:rPr>
          <w:rFonts w:hint="eastAsia" w:ascii="宋体" w:hAnsi="宋体" w:cs="宋体"/>
          <w:color w:val="auto"/>
          <w:highlight w:val="none"/>
          <w:lang w:val="en-US" w:eastAsia="zh-CN"/>
        </w:rPr>
        <w:t>无</w:t>
      </w:r>
      <w:r>
        <w:rPr>
          <w:rFonts w:hint="eastAsia" w:ascii="宋体" w:hAnsi="宋体" w:cs="宋体"/>
          <w:color w:val="auto"/>
          <w:kern w:val="0"/>
          <w:highlight w:val="none"/>
        </w:rPr>
        <w:t>。</w:t>
      </w:r>
    </w:p>
    <w:p>
      <w:pPr>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3.本项目的特定资格要求：</w:t>
      </w:r>
    </w:p>
    <w:p>
      <w:pPr>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3.</w:t>
      </w:r>
      <w:r>
        <w:rPr>
          <w:rFonts w:hint="eastAsia" w:ascii="宋体" w:hAnsi="宋体" w:cs="宋体"/>
          <w:color w:val="auto"/>
          <w:highlight w:val="none"/>
        </w:rPr>
        <w:t>1</w:t>
      </w:r>
      <w:r>
        <w:rPr>
          <w:rFonts w:hint="eastAsia" w:ascii="宋体" w:hAnsi="宋体" w:cs="宋体"/>
          <w:color w:val="auto"/>
          <w:kern w:val="0"/>
          <w:highlight w:val="none"/>
        </w:rPr>
        <w:t xml:space="preserve">投标人为医疗器械生产企业的：第二类、第三类医疗器械生产企业提供《医疗器械生产许可证》复印件、第一类医疗器械生产企业提供第一类医疗器械生产备案凭证复印件。 </w:t>
      </w:r>
    </w:p>
    <w:p>
      <w:pPr>
        <w:spacing w:line="360" w:lineRule="auto"/>
        <w:ind w:firstLine="420" w:firstLineChars="200"/>
        <w:rPr>
          <w:rFonts w:ascii="宋体" w:hAnsi="宋体" w:cs="宋体"/>
          <w:color w:val="auto"/>
          <w:highlight w:val="none"/>
        </w:rPr>
      </w:pPr>
      <w:r>
        <w:rPr>
          <w:rFonts w:hint="eastAsia" w:ascii="宋体" w:hAnsi="宋体" w:cs="宋体"/>
          <w:color w:val="auto"/>
          <w:kern w:val="0"/>
          <w:highlight w:val="none"/>
        </w:rPr>
        <w:t>3.2投标人为医疗器械经营企业的：第三类医疗器械经营企业提供《医疗器械经营许可证》复印件、第二类医疗器械经营企业提供第二类医疗器械经营备案凭证复印件。</w:t>
      </w:r>
    </w:p>
    <w:p>
      <w:pPr>
        <w:widowControl/>
        <w:spacing w:line="360" w:lineRule="auto"/>
        <w:ind w:firstLine="422"/>
        <w:rPr>
          <w:rFonts w:ascii="宋体" w:hAnsi="宋体" w:cs="宋体"/>
          <w:b/>
          <w:bCs/>
          <w:color w:val="auto"/>
          <w:kern w:val="0"/>
          <w:highlight w:val="none"/>
        </w:rPr>
      </w:pPr>
      <w:r>
        <w:rPr>
          <w:rFonts w:hint="eastAsia" w:ascii="宋体" w:hAnsi="宋体" w:cs="宋体"/>
          <w:b/>
          <w:bCs/>
          <w:color w:val="auto"/>
          <w:kern w:val="0"/>
          <w:highlight w:val="none"/>
        </w:rPr>
        <w:t>三、获取招标文件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时间：/至2024年</w:t>
      </w:r>
      <w:r>
        <w:rPr>
          <w:rFonts w:hint="eastAsia" w:ascii="宋体" w:hAnsi="宋体" w:cs="宋体"/>
          <w:color w:val="auto"/>
          <w:kern w:val="0"/>
          <w:highlight w:val="none"/>
          <w:lang w:val="en-US" w:eastAsia="zh-CN"/>
        </w:rPr>
        <w:t>7</w:t>
      </w:r>
      <w:r>
        <w:rPr>
          <w:rFonts w:hint="eastAsia" w:ascii="宋体" w:hAnsi="宋体" w:cs="宋体"/>
          <w:color w:val="auto"/>
          <w:kern w:val="0"/>
          <w:highlight w:val="none"/>
        </w:rPr>
        <w:t>月</w:t>
      </w:r>
      <w:r>
        <w:rPr>
          <w:rFonts w:hint="eastAsia" w:ascii="宋体" w:hAnsi="宋体" w:cs="宋体"/>
          <w:color w:val="auto"/>
          <w:kern w:val="0"/>
          <w:highlight w:val="none"/>
          <w:lang w:val="en-US" w:eastAsia="zh-CN"/>
        </w:rPr>
        <w:t>5</w:t>
      </w:r>
      <w:r>
        <w:rPr>
          <w:rFonts w:hint="eastAsia" w:ascii="宋体" w:hAnsi="宋体" w:cs="宋体"/>
          <w:color w:val="auto"/>
          <w:kern w:val="0"/>
          <w:highlight w:val="none"/>
        </w:rPr>
        <w:t>日，每天上午00:00至12:00，下午12:00至23:59（北京时间，线上获取法定节假日均可，线下获取文件法定节假日除外）</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地点（网址）：政府采购云平台（www.zcygov.cn）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方式：供应商登录政采云平台https://www.zcygov.cn/在线申请获取采购文件（进入“项目采购”应用，在获取采购文件菜单中选择项目，申请获取采购文件）</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售价（元）：0 </w:t>
      </w:r>
    </w:p>
    <w:p>
      <w:pPr>
        <w:widowControl/>
        <w:spacing w:line="360" w:lineRule="auto"/>
        <w:ind w:firstLine="422"/>
        <w:rPr>
          <w:rFonts w:ascii="宋体" w:hAnsi="宋体" w:cs="宋体"/>
          <w:b/>
          <w:bCs/>
          <w:color w:val="auto"/>
          <w:kern w:val="0"/>
          <w:highlight w:val="none"/>
        </w:rPr>
      </w:pPr>
      <w:r>
        <w:rPr>
          <w:rFonts w:hint="eastAsia" w:ascii="宋体" w:hAnsi="宋体" w:cs="宋体"/>
          <w:b/>
          <w:bCs/>
          <w:color w:val="auto"/>
          <w:kern w:val="0"/>
          <w:highlight w:val="none"/>
        </w:rPr>
        <w:t>四、提交投标文件截止时间、开标时间和地点</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提交投标文件截止时间：2024年</w:t>
      </w:r>
      <w:r>
        <w:rPr>
          <w:rFonts w:hint="eastAsia" w:ascii="宋体" w:hAnsi="宋体" w:cs="宋体"/>
          <w:color w:val="auto"/>
          <w:kern w:val="0"/>
          <w:highlight w:val="none"/>
          <w:lang w:val="en-US" w:eastAsia="zh-CN"/>
        </w:rPr>
        <w:t>7</w:t>
      </w:r>
      <w:r>
        <w:rPr>
          <w:rFonts w:hint="eastAsia" w:ascii="宋体" w:hAnsi="宋体" w:cs="宋体"/>
          <w:color w:val="auto"/>
          <w:kern w:val="0"/>
          <w:highlight w:val="none"/>
        </w:rPr>
        <w:t>月</w:t>
      </w:r>
      <w:r>
        <w:rPr>
          <w:rFonts w:hint="eastAsia" w:ascii="宋体" w:hAnsi="宋体" w:cs="宋体"/>
          <w:color w:val="auto"/>
          <w:kern w:val="0"/>
          <w:highlight w:val="none"/>
          <w:lang w:val="en-US" w:eastAsia="zh-CN"/>
        </w:rPr>
        <w:t>5</w:t>
      </w:r>
      <w:r>
        <w:rPr>
          <w:rFonts w:hint="eastAsia" w:ascii="宋体" w:hAnsi="宋体" w:cs="宋体"/>
          <w:color w:val="auto"/>
          <w:kern w:val="0"/>
          <w:highlight w:val="none"/>
        </w:rPr>
        <w:t>日</w:t>
      </w:r>
      <w:r>
        <w:rPr>
          <w:rFonts w:hint="eastAsia" w:ascii="宋体" w:hAnsi="宋体" w:cs="宋体"/>
          <w:color w:val="auto"/>
          <w:kern w:val="0"/>
          <w:highlight w:val="none"/>
          <w:lang w:val="en-US" w:eastAsia="zh-CN"/>
        </w:rPr>
        <w:t>14</w:t>
      </w:r>
      <w:r>
        <w:rPr>
          <w:rFonts w:hint="eastAsia" w:ascii="宋体" w:hAnsi="宋体" w:cs="宋体"/>
          <w:color w:val="auto"/>
          <w:kern w:val="0"/>
          <w:highlight w:val="none"/>
        </w:rPr>
        <w:t>:</w:t>
      </w:r>
      <w:r>
        <w:rPr>
          <w:rFonts w:hint="eastAsia" w:ascii="宋体" w:hAnsi="宋体" w:cs="宋体"/>
          <w:color w:val="auto"/>
          <w:kern w:val="0"/>
          <w:highlight w:val="none"/>
          <w:lang w:val="en-US" w:eastAsia="zh-CN"/>
        </w:rPr>
        <w:t>0</w:t>
      </w:r>
      <w:r>
        <w:rPr>
          <w:rFonts w:hint="eastAsia" w:ascii="宋体" w:hAnsi="宋体" w:cs="宋体"/>
          <w:color w:val="auto"/>
          <w:kern w:val="0"/>
          <w:highlight w:val="none"/>
        </w:rPr>
        <w:t>0（北京时间）</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投标地点（网址）：政府采购云平台（www.zcygov.cn）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开标时间：2024年</w:t>
      </w:r>
      <w:r>
        <w:rPr>
          <w:rFonts w:hint="eastAsia" w:ascii="宋体" w:hAnsi="宋体" w:cs="宋体"/>
          <w:color w:val="auto"/>
          <w:kern w:val="0"/>
          <w:highlight w:val="none"/>
          <w:lang w:val="en-US" w:eastAsia="zh-CN"/>
        </w:rPr>
        <w:t>7月5</w:t>
      </w:r>
      <w:r>
        <w:rPr>
          <w:rFonts w:hint="eastAsia" w:ascii="宋体" w:hAnsi="宋体" w:cs="宋体"/>
          <w:color w:val="auto"/>
          <w:kern w:val="0"/>
          <w:highlight w:val="none"/>
        </w:rPr>
        <w:t>日</w:t>
      </w:r>
      <w:r>
        <w:rPr>
          <w:rFonts w:hint="eastAsia" w:ascii="宋体" w:hAnsi="宋体" w:cs="宋体"/>
          <w:color w:val="auto"/>
          <w:kern w:val="0"/>
          <w:highlight w:val="none"/>
          <w:lang w:val="en-US" w:eastAsia="zh-CN"/>
        </w:rPr>
        <w:t>14</w:t>
      </w:r>
      <w:r>
        <w:rPr>
          <w:rFonts w:hint="eastAsia" w:ascii="宋体" w:hAnsi="宋体" w:cs="宋体"/>
          <w:color w:val="auto"/>
          <w:kern w:val="0"/>
          <w:highlight w:val="none"/>
        </w:rPr>
        <w:t>:00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开标地点（网址）：政府采购云平台（www.zcygov.cn）</w:t>
      </w:r>
    </w:p>
    <w:p>
      <w:pPr>
        <w:widowControl/>
        <w:spacing w:line="360" w:lineRule="auto"/>
        <w:ind w:firstLine="422"/>
        <w:rPr>
          <w:rFonts w:ascii="宋体" w:hAnsi="宋体" w:cs="宋体"/>
          <w:b/>
          <w:bCs/>
          <w:color w:val="auto"/>
          <w:kern w:val="0"/>
          <w:highlight w:val="none"/>
        </w:rPr>
      </w:pPr>
      <w:r>
        <w:rPr>
          <w:rFonts w:hint="eastAsia" w:ascii="宋体" w:hAnsi="宋体" w:cs="宋体"/>
          <w:b/>
          <w:bCs/>
          <w:color w:val="auto"/>
          <w:kern w:val="0"/>
          <w:highlight w:val="none"/>
        </w:rPr>
        <w:t>五、公告期限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自本公告发布之日起5个工作日。</w:t>
      </w:r>
    </w:p>
    <w:p>
      <w:pPr>
        <w:widowControl/>
        <w:spacing w:line="360" w:lineRule="auto"/>
        <w:ind w:firstLine="422"/>
        <w:rPr>
          <w:rFonts w:ascii="宋体" w:hAnsi="宋体" w:cs="宋体"/>
          <w:b/>
          <w:bCs/>
          <w:color w:val="auto"/>
          <w:kern w:val="0"/>
          <w:highlight w:val="none"/>
        </w:rPr>
      </w:pPr>
      <w:r>
        <w:rPr>
          <w:rFonts w:hint="eastAsia" w:ascii="宋体" w:hAnsi="宋体" w:cs="宋体"/>
          <w:b/>
          <w:bCs/>
          <w:color w:val="auto"/>
          <w:kern w:val="0"/>
          <w:highlight w:val="none"/>
        </w:rPr>
        <w:t>六、其他补充事宜</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4.其他事项：</w:t>
      </w:r>
    </w:p>
    <w:p>
      <w:pPr>
        <w:widowControl/>
        <w:spacing w:line="360" w:lineRule="auto"/>
        <w:ind w:firstLine="420" w:firstLineChars="200"/>
        <w:rPr>
          <w:rFonts w:ascii="宋体" w:hAnsi="宋体" w:cs="宋体"/>
          <w:color w:val="auto"/>
          <w:highlight w:val="none"/>
        </w:rPr>
      </w:pPr>
      <w:r>
        <w:rPr>
          <w:rFonts w:hint="eastAsia" w:ascii="宋体" w:hAnsi="宋体" w:cs="宋体"/>
          <w:color w:val="auto"/>
          <w:kern w:val="0"/>
          <w:highlight w:val="none"/>
        </w:rPr>
        <w:t>4.1</w:t>
      </w:r>
      <w:r>
        <w:rPr>
          <w:rFonts w:hint="eastAsia" w:ascii="宋体" w:hAnsi="宋体" w:cs="宋体"/>
          <w:color w:val="auto"/>
          <w:highlight w:val="none"/>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本项目投标。</w:t>
      </w:r>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4.2</w:t>
      </w:r>
      <w:r>
        <w:rPr>
          <w:rFonts w:hint="eastAsia" w:ascii="宋体" w:hAnsi="宋体" w:cs="宋体"/>
          <w:color w:val="auto"/>
          <w:kern w:val="0"/>
          <w:highlight w:val="none"/>
        </w:rPr>
        <w:t>落实的政策：</w:t>
      </w:r>
      <w:r>
        <w:rPr>
          <w:rFonts w:hint="eastAsia" w:ascii="宋体" w:hAnsi="宋体" w:cs="宋体"/>
          <w:color w:val="auto"/>
          <w:highlight w:val="none"/>
        </w:rPr>
        <w:t>《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对省级以上主管部门认定的首台套产品，自纳入《省推广应用指导目录》起三年内参加政府采购活动，视同已具备相应销售业绩，业绩分为满分，投标文件中提供相应的证明材料。</w:t>
      </w:r>
    </w:p>
    <w:p>
      <w:pPr>
        <w:pStyle w:val="7"/>
        <w:rPr>
          <w:b/>
          <w:bCs/>
          <w:color w:val="auto"/>
          <w:highlight w:val="none"/>
        </w:rPr>
      </w:pPr>
      <w:bookmarkStart w:id="3" w:name="_Toc115344237"/>
      <w:bookmarkStart w:id="4" w:name="_Toc26824"/>
      <w:r>
        <w:rPr>
          <w:rFonts w:hint="eastAsia"/>
          <w:color w:val="auto"/>
          <w:highlight w:val="none"/>
        </w:rPr>
        <w:t>4.3本采购公告中二、申请人的资格要求：第1条中的“重大税收违法案件当事人名单”即为“重大税收违法失信主体”。</w:t>
      </w:r>
      <w:bookmarkEnd w:id="3"/>
      <w:bookmarkEnd w:id="4"/>
    </w:p>
    <w:p>
      <w:pPr>
        <w:widowControl/>
        <w:spacing w:line="360" w:lineRule="auto"/>
        <w:ind w:firstLine="422"/>
        <w:rPr>
          <w:rFonts w:ascii="宋体" w:hAnsi="宋体" w:cs="宋体"/>
          <w:b/>
          <w:bCs/>
          <w:color w:val="auto"/>
          <w:kern w:val="0"/>
          <w:highlight w:val="none"/>
        </w:rPr>
      </w:pPr>
      <w:r>
        <w:rPr>
          <w:rFonts w:hint="eastAsia" w:ascii="宋体" w:hAnsi="宋体" w:cs="宋体"/>
          <w:b/>
          <w:bCs/>
          <w:color w:val="auto"/>
          <w:kern w:val="0"/>
          <w:highlight w:val="none"/>
        </w:rPr>
        <w:t>七、对本次采购提出询问、质疑、投诉，请按以下方式联系</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1.采购人信息</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名称：丽水市妇幼保健院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地址：丽水市寿尓福路7号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传真：/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项目联系人（询问）：何老师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项目联系方式（询问）：0578-3037029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质疑联系人：雷老师    </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质疑联系方式：0578-3037019</w:t>
      </w:r>
    </w:p>
    <w:p>
      <w:pPr>
        <w:widowControl/>
        <w:spacing w:line="360" w:lineRule="auto"/>
        <w:ind w:firstLine="420" w:firstLineChars="200"/>
        <w:rPr>
          <w:rFonts w:hint="eastAsia" w:ascii="宋体" w:hAnsi="宋体" w:cs="宋体"/>
          <w:color w:val="auto"/>
          <w:kern w:val="0"/>
          <w:highlight w:val="none"/>
        </w:rPr>
      </w:pP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2.采购代理机构信息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名称：宁波中基国际招标有限公司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地址：宁波市鄞州区天童南路666号中基大厦19楼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传真：0574-87425386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项目联系人（询问）：任翔、殷悦、单琛耘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项目联系方式（询问）：0578-2381667、0574-88090150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质疑联系人：杨未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质疑联系方式：0574-87425382 　　　　　　     </w:t>
      </w:r>
    </w:p>
    <w:p>
      <w:pPr>
        <w:widowControl/>
        <w:spacing w:line="360" w:lineRule="auto"/>
        <w:ind w:firstLine="420" w:firstLineChars="200"/>
        <w:rPr>
          <w:rFonts w:ascii="宋体" w:hAnsi="宋体" w:cs="宋体"/>
          <w:color w:val="auto"/>
          <w:kern w:val="0"/>
          <w:highlight w:val="none"/>
        </w:rPr>
      </w:pP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3.同级政府采购监督管理部门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名称：丽水市财政局政府采购监管处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地址：丽水市莲都区北苑路190号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传真：0578-2669165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联系人 ：吴先生、叶先生           </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监督投诉电话：0578-2669165</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                  </w:t>
      </w:r>
    </w:p>
    <w:p>
      <w:pPr>
        <w:widowControl/>
        <w:spacing w:line="360" w:lineRule="auto"/>
        <w:ind w:firstLine="422" w:firstLineChars="200"/>
        <w:rPr>
          <w:rFonts w:ascii="宋体" w:hAnsi="宋体" w:cs="宋体"/>
          <w:b/>
          <w:bCs/>
          <w:color w:val="auto"/>
          <w:highlight w:val="none"/>
        </w:rPr>
      </w:pPr>
      <w:r>
        <w:rPr>
          <w:rFonts w:hint="eastAsia" w:ascii="宋体" w:hAnsi="宋体" w:cs="宋体"/>
          <w:b/>
          <w:bCs/>
          <w:color w:val="auto"/>
          <w:kern w:val="0"/>
          <w:highlight w:val="none"/>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pStyle w:val="2"/>
        <w:ind w:firstLine="602"/>
        <w:rPr>
          <w:rFonts w:ascii="宋体" w:cs="宋体"/>
          <w:color w:val="auto"/>
          <w:highlight w:val="none"/>
        </w:rPr>
        <w:sectPr>
          <w:pgSz w:w="11906" w:h="16838"/>
          <w:pgMar w:top="1474" w:right="1797" w:bottom="1247" w:left="1797" w:header="851" w:footer="851" w:gutter="0"/>
          <w:cols w:space="720" w:num="1"/>
          <w:docGrid w:type="lines" w:linePitch="312" w:charSpace="0"/>
        </w:sectPr>
      </w:pPr>
      <w:bookmarkStart w:id="5" w:name="_Toc47388280"/>
    </w:p>
    <w:p>
      <w:pPr>
        <w:pStyle w:val="2"/>
        <w:ind w:firstLine="602"/>
        <w:rPr>
          <w:rFonts w:ascii="宋体" w:cs="宋体"/>
          <w:color w:val="auto"/>
          <w:highlight w:val="none"/>
        </w:rPr>
      </w:pPr>
      <w:bookmarkStart w:id="6" w:name="_Toc28324"/>
      <w:r>
        <w:rPr>
          <w:rFonts w:hint="eastAsia" w:ascii="宋体" w:cs="宋体"/>
          <w:color w:val="auto"/>
          <w:highlight w:val="none"/>
        </w:rPr>
        <w:t>第二章招标需求</w:t>
      </w:r>
      <w:bookmarkEnd w:id="5"/>
      <w:bookmarkEnd w:id="6"/>
    </w:p>
    <w:p>
      <w:pPr>
        <w:pStyle w:val="24"/>
        <w:snapToGrid w:val="0"/>
        <w:spacing w:beforeLines="0" w:afterLines="0" w:line="360" w:lineRule="auto"/>
        <w:outlineLvl w:val="0"/>
        <w:rPr>
          <w:rFonts w:hint="eastAsia" w:hAnsi="宋体" w:eastAsia="宋体"/>
          <w:color w:val="auto"/>
          <w:sz w:val="21"/>
          <w:szCs w:val="21"/>
          <w:highlight w:val="none"/>
          <w:lang w:eastAsia="zh-CN"/>
        </w:rPr>
      </w:pPr>
      <w:bookmarkStart w:id="7" w:name="_Toc417922222"/>
      <w:bookmarkStart w:id="8" w:name="_Toc47388281"/>
      <w:bookmarkStart w:id="9" w:name="_Toc6875"/>
      <w:r>
        <w:rPr>
          <w:rFonts w:hint="eastAsia" w:hAnsi="宋体"/>
          <w:color w:val="auto"/>
          <w:sz w:val="21"/>
          <w:szCs w:val="21"/>
          <w:highlight w:val="none"/>
        </w:rPr>
        <w:t>编号：</w:t>
      </w:r>
      <w:bookmarkEnd w:id="7"/>
      <w:bookmarkEnd w:id="8"/>
      <w:bookmarkEnd w:id="9"/>
      <w:r>
        <w:rPr>
          <w:rFonts w:hint="eastAsia" w:hAnsi="宋体"/>
          <w:color w:val="auto"/>
          <w:sz w:val="21"/>
          <w:szCs w:val="21"/>
          <w:highlight w:val="none"/>
          <w:lang w:eastAsia="zh-CN"/>
        </w:rPr>
        <w:t>CBNB-20245172GLS（重发）</w:t>
      </w:r>
    </w:p>
    <w:p>
      <w:pPr>
        <w:pStyle w:val="24"/>
        <w:snapToGrid w:val="0"/>
        <w:spacing w:beforeLines="0" w:afterLines="0" w:line="360" w:lineRule="auto"/>
        <w:outlineLvl w:val="0"/>
        <w:rPr>
          <w:rFonts w:hint="eastAsia" w:hAnsi="宋体" w:eastAsia="宋体"/>
          <w:color w:val="auto"/>
          <w:sz w:val="21"/>
          <w:szCs w:val="21"/>
          <w:highlight w:val="none"/>
          <w:lang w:eastAsia="zh-CN"/>
        </w:rPr>
      </w:pPr>
      <w:bookmarkStart w:id="10" w:name="_Toc47388282"/>
      <w:bookmarkStart w:id="11" w:name="_Toc417922223"/>
      <w:bookmarkStart w:id="12" w:name="_Toc76"/>
      <w:r>
        <w:rPr>
          <w:rFonts w:hint="eastAsia" w:hAnsi="宋体"/>
          <w:color w:val="auto"/>
          <w:sz w:val="21"/>
          <w:szCs w:val="21"/>
          <w:highlight w:val="none"/>
        </w:rPr>
        <w:t>采购单位名称：</w:t>
      </w:r>
      <w:bookmarkEnd w:id="10"/>
      <w:bookmarkEnd w:id="11"/>
      <w:bookmarkEnd w:id="12"/>
      <w:r>
        <w:rPr>
          <w:rFonts w:hint="eastAsia" w:hAnsi="宋体"/>
          <w:color w:val="auto"/>
          <w:sz w:val="21"/>
          <w:szCs w:val="21"/>
          <w:highlight w:val="none"/>
          <w:lang w:eastAsia="zh-CN"/>
        </w:rPr>
        <w:t>丽水市妇幼保健院病原微生物核酸快速检测分析试剂采购项目（重发）</w:t>
      </w:r>
    </w:p>
    <w:p>
      <w:pPr>
        <w:snapToGrid w:val="0"/>
        <w:spacing w:line="400" w:lineRule="exact"/>
        <w:ind w:left="238" w:firstLine="602"/>
        <w:jc w:val="center"/>
        <w:outlineLvl w:val="0"/>
        <w:rPr>
          <w:rFonts w:ascii="宋体" w:hAnsi="宋体" w:cs="宋体"/>
          <w:b/>
          <w:bCs/>
          <w:color w:val="auto"/>
          <w:sz w:val="30"/>
          <w:szCs w:val="30"/>
          <w:highlight w:val="none"/>
        </w:rPr>
      </w:pPr>
      <w:bookmarkStart w:id="13" w:name="_Toc47388283"/>
      <w:bookmarkStart w:id="14" w:name="_Toc9001"/>
      <w:r>
        <w:rPr>
          <w:rFonts w:hint="eastAsia" w:ascii="宋体" w:hAnsi="宋体" w:cs="宋体"/>
          <w:b/>
          <w:bCs/>
          <w:color w:val="auto"/>
          <w:sz w:val="30"/>
          <w:szCs w:val="30"/>
          <w:highlight w:val="none"/>
        </w:rPr>
        <w:t>前附表</w:t>
      </w:r>
      <w:bookmarkEnd w:id="13"/>
      <w:bookmarkEnd w:id="14"/>
    </w:p>
    <w:tbl>
      <w:tblPr>
        <w:tblStyle w:val="47"/>
        <w:tblW w:w="8295"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495"/>
        <w:gridCol w:w="40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12" w:space="0"/>
            </w:tcBorders>
            <w:vAlign w:val="center"/>
          </w:tcPr>
          <w:p>
            <w:pPr>
              <w:spacing w:line="400" w:lineRule="exact"/>
              <w:ind w:firstLine="422"/>
              <w:jc w:val="center"/>
              <w:outlineLvl w:val="1"/>
              <w:rPr>
                <w:rFonts w:ascii="宋体" w:hAnsi="宋体" w:cs="宋体"/>
                <w:b/>
                <w:bCs/>
                <w:color w:val="auto"/>
                <w:highlight w:val="none"/>
              </w:rPr>
            </w:pPr>
            <w:bookmarkStart w:id="15" w:name="_Toc47388284"/>
            <w:bookmarkStart w:id="16" w:name="_Toc19637"/>
            <w:r>
              <w:rPr>
                <w:rFonts w:hint="eastAsia" w:ascii="宋体" w:hAnsi="宋体" w:cs="宋体"/>
                <w:b/>
                <w:bCs/>
                <w:color w:val="auto"/>
                <w:highlight w:val="none"/>
              </w:rPr>
              <w:t>序号</w:t>
            </w:r>
            <w:bookmarkEnd w:id="15"/>
            <w:bookmarkEnd w:id="16"/>
          </w:p>
        </w:tc>
        <w:tc>
          <w:tcPr>
            <w:tcW w:w="3495" w:type="dxa"/>
            <w:tcBorders>
              <w:top w:val="single" w:color="auto" w:sz="12" w:space="0"/>
            </w:tcBorders>
          </w:tcPr>
          <w:p>
            <w:pPr>
              <w:spacing w:line="400" w:lineRule="exact"/>
              <w:ind w:firstLine="422"/>
              <w:jc w:val="center"/>
              <w:outlineLvl w:val="1"/>
              <w:rPr>
                <w:rFonts w:ascii="宋体" w:hAnsi="宋体" w:cs="宋体"/>
                <w:b/>
                <w:bCs/>
                <w:color w:val="auto"/>
                <w:highlight w:val="none"/>
              </w:rPr>
            </w:pPr>
            <w:bookmarkStart w:id="17" w:name="_Toc47388285"/>
            <w:bookmarkStart w:id="18" w:name="_Toc13977"/>
            <w:r>
              <w:rPr>
                <w:rFonts w:hint="eastAsia" w:ascii="宋体" w:hAnsi="宋体" w:cs="宋体"/>
                <w:b/>
                <w:bCs/>
                <w:color w:val="auto"/>
                <w:highlight w:val="none"/>
              </w:rPr>
              <w:t>子项</w:t>
            </w:r>
            <w:bookmarkEnd w:id="17"/>
            <w:bookmarkEnd w:id="18"/>
          </w:p>
        </w:tc>
        <w:tc>
          <w:tcPr>
            <w:tcW w:w="4095" w:type="dxa"/>
            <w:tcBorders>
              <w:top w:val="single" w:color="auto" w:sz="12" w:space="0"/>
            </w:tcBorders>
          </w:tcPr>
          <w:p>
            <w:pPr>
              <w:spacing w:line="400" w:lineRule="exact"/>
              <w:ind w:firstLine="422"/>
              <w:jc w:val="center"/>
              <w:outlineLvl w:val="1"/>
              <w:rPr>
                <w:rFonts w:ascii="宋体" w:hAnsi="宋体" w:cs="宋体"/>
                <w:b/>
                <w:bCs/>
                <w:color w:val="auto"/>
                <w:highlight w:val="none"/>
              </w:rPr>
            </w:pPr>
            <w:bookmarkStart w:id="19" w:name="_Toc47388286"/>
            <w:bookmarkStart w:id="20" w:name="_Toc11907"/>
            <w:r>
              <w:rPr>
                <w:rFonts w:hint="eastAsia" w:ascii="宋体" w:hAnsi="宋体" w:cs="宋体"/>
                <w:b/>
                <w:bCs/>
                <w:color w:val="auto"/>
                <w:highlight w:val="none"/>
              </w:rPr>
              <w:t>招标需求</w:t>
            </w:r>
            <w:bookmarkEnd w:id="19"/>
            <w:bookmarkEnd w:id="2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705" w:type="dxa"/>
            <w:vAlign w:val="center"/>
          </w:tcPr>
          <w:p>
            <w:pPr>
              <w:spacing w:line="400" w:lineRule="exact"/>
              <w:ind w:firstLine="422"/>
              <w:jc w:val="center"/>
              <w:outlineLvl w:val="1"/>
              <w:rPr>
                <w:rFonts w:ascii="宋体" w:hAnsi="宋体" w:cs="宋体"/>
                <w:b/>
                <w:bCs/>
                <w:color w:val="auto"/>
                <w:highlight w:val="none"/>
              </w:rPr>
            </w:pPr>
            <w:bookmarkStart w:id="21" w:name="_Toc10868"/>
            <w:bookmarkStart w:id="22" w:name="_Toc47388287"/>
            <w:r>
              <w:rPr>
                <w:rFonts w:hint="eastAsia" w:ascii="宋体" w:hAnsi="宋体" w:cs="宋体"/>
                <w:b/>
                <w:bCs/>
                <w:color w:val="auto"/>
                <w:highlight w:val="none"/>
              </w:rPr>
              <w:t>一</w:t>
            </w:r>
            <w:bookmarkEnd w:id="21"/>
            <w:bookmarkEnd w:id="22"/>
          </w:p>
        </w:tc>
        <w:tc>
          <w:tcPr>
            <w:tcW w:w="3495" w:type="dxa"/>
            <w:vAlign w:val="center"/>
          </w:tcPr>
          <w:p>
            <w:pPr>
              <w:spacing w:line="400" w:lineRule="exact"/>
              <w:outlineLvl w:val="1"/>
              <w:rPr>
                <w:rFonts w:ascii="宋体" w:hAnsi="宋体" w:cs="宋体"/>
                <w:color w:val="auto"/>
                <w:highlight w:val="none"/>
              </w:rPr>
            </w:pPr>
            <w:bookmarkStart w:id="23" w:name="_Toc47388288"/>
            <w:bookmarkStart w:id="24" w:name="_Toc15946"/>
            <w:r>
              <w:rPr>
                <w:rFonts w:hint="eastAsia" w:ascii="宋体" w:hAnsi="宋体" w:cs="宋体"/>
                <w:color w:val="auto"/>
                <w:highlight w:val="none"/>
              </w:rPr>
              <w:t>采购标的需实现的功能或者目标，为落实政府采购需满足的要求</w:t>
            </w:r>
            <w:bookmarkEnd w:id="23"/>
            <w:bookmarkEnd w:id="24"/>
          </w:p>
        </w:tc>
        <w:tc>
          <w:tcPr>
            <w:tcW w:w="4095" w:type="dxa"/>
            <w:vAlign w:val="center"/>
          </w:tcPr>
          <w:p>
            <w:pPr>
              <w:spacing w:line="400" w:lineRule="exact"/>
              <w:outlineLvl w:val="1"/>
              <w:rPr>
                <w:rFonts w:ascii="宋体" w:hAnsi="宋体" w:cs="宋体"/>
                <w:b/>
                <w:bCs/>
                <w:color w:val="auto"/>
                <w:highlight w:val="none"/>
              </w:rPr>
            </w:pPr>
            <w:bookmarkStart w:id="25" w:name="_Toc5051"/>
            <w:bookmarkStart w:id="26" w:name="_Toc47388289"/>
            <w:r>
              <w:rPr>
                <w:rFonts w:hint="eastAsia" w:ascii="宋体" w:hAnsi="宋体" w:cs="宋体"/>
                <w:color w:val="auto"/>
                <w:highlight w:val="none"/>
              </w:rPr>
              <w:t>详见技术需求</w:t>
            </w:r>
            <w:bookmarkEnd w:id="25"/>
            <w:bookmarkEnd w:id="2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ind w:firstLine="422"/>
              <w:jc w:val="center"/>
              <w:outlineLvl w:val="1"/>
              <w:rPr>
                <w:rFonts w:ascii="宋体" w:hAnsi="宋体" w:cs="宋体"/>
                <w:b/>
                <w:bCs/>
                <w:color w:val="auto"/>
                <w:highlight w:val="none"/>
              </w:rPr>
            </w:pPr>
            <w:bookmarkStart w:id="27" w:name="_Toc10426"/>
            <w:bookmarkStart w:id="28" w:name="_Toc47388290"/>
            <w:r>
              <w:rPr>
                <w:rFonts w:hint="eastAsia" w:ascii="宋体" w:hAnsi="宋体" w:cs="宋体"/>
                <w:b/>
                <w:bCs/>
                <w:color w:val="auto"/>
                <w:highlight w:val="none"/>
              </w:rPr>
              <w:t>二</w:t>
            </w:r>
            <w:bookmarkEnd w:id="27"/>
            <w:bookmarkEnd w:id="28"/>
          </w:p>
        </w:tc>
        <w:tc>
          <w:tcPr>
            <w:tcW w:w="3495" w:type="dxa"/>
            <w:vAlign w:val="center"/>
          </w:tcPr>
          <w:p>
            <w:pPr>
              <w:spacing w:line="400" w:lineRule="exact"/>
              <w:outlineLvl w:val="1"/>
              <w:rPr>
                <w:rFonts w:ascii="宋体" w:hAnsi="宋体" w:cs="宋体"/>
                <w:color w:val="auto"/>
                <w:highlight w:val="none"/>
              </w:rPr>
            </w:pPr>
            <w:bookmarkStart w:id="29" w:name="_Toc47388291"/>
            <w:bookmarkStart w:id="30" w:name="_Toc4406"/>
            <w:r>
              <w:rPr>
                <w:rFonts w:hint="eastAsia" w:ascii="宋体" w:hAnsi="宋体" w:cs="宋体"/>
                <w:color w:val="auto"/>
                <w:highlight w:val="none"/>
              </w:rPr>
              <w:t>采购标的需执行的国家相关标准、行业标准、地方标准或者其他标准规范</w:t>
            </w:r>
            <w:bookmarkEnd w:id="29"/>
            <w:bookmarkEnd w:id="30"/>
          </w:p>
        </w:tc>
        <w:tc>
          <w:tcPr>
            <w:tcW w:w="4095" w:type="dxa"/>
            <w:vAlign w:val="center"/>
          </w:tcPr>
          <w:p>
            <w:pPr>
              <w:pStyle w:val="24"/>
              <w:snapToGrid w:val="0"/>
              <w:spacing w:beforeLines="0" w:afterLines="0" w:line="360" w:lineRule="auto"/>
              <w:rPr>
                <w:rFonts w:hAnsi="宋体"/>
                <w:color w:val="auto"/>
                <w:sz w:val="21"/>
                <w:szCs w:val="21"/>
                <w:highlight w:val="none"/>
              </w:rPr>
            </w:pPr>
            <w:r>
              <w:rPr>
                <w:rFonts w:hint="eastAsia" w:hAnsi="宋体"/>
                <w:color w:val="auto"/>
                <w:sz w:val="21"/>
                <w:szCs w:val="21"/>
                <w:highlight w:val="none"/>
              </w:rPr>
              <w:t>由投标人提供的所有产品和服务必须符合下列规范、条例及标准，并不限于下列规范、条例及标准：</w:t>
            </w:r>
          </w:p>
          <w:p>
            <w:pPr>
              <w:pStyle w:val="24"/>
              <w:snapToGrid w:val="0"/>
              <w:spacing w:beforeLines="0" w:afterLines="0" w:line="360" w:lineRule="auto"/>
              <w:rPr>
                <w:rFonts w:hAnsi="宋体"/>
                <w:color w:val="auto"/>
                <w:sz w:val="21"/>
                <w:szCs w:val="21"/>
                <w:highlight w:val="none"/>
              </w:rPr>
            </w:pPr>
            <w:r>
              <w:rPr>
                <w:rFonts w:hint="eastAsia" w:hAnsi="宋体"/>
                <w:color w:val="auto"/>
                <w:sz w:val="21"/>
                <w:szCs w:val="21"/>
                <w:highlight w:val="none"/>
              </w:rPr>
              <w:t>2.1中华人民共和国有关技术和卫生标准</w:t>
            </w:r>
          </w:p>
          <w:p>
            <w:pPr>
              <w:pStyle w:val="24"/>
              <w:snapToGrid w:val="0"/>
              <w:spacing w:beforeLines="0" w:afterLines="0" w:line="360" w:lineRule="auto"/>
              <w:rPr>
                <w:rFonts w:hAnsi="宋体"/>
                <w:color w:val="auto"/>
                <w:sz w:val="21"/>
                <w:szCs w:val="21"/>
                <w:highlight w:val="none"/>
              </w:rPr>
            </w:pPr>
            <w:r>
              <w:rPr>
                <w:rFonts w:hint="eastAsia" w:hAnsi="宋体"/>
                <w:color w:val="auto"/>
                <w:sz w:val="21"/>
                <w:szCs w:val="21"/>
                <w:highlight w:val="none"/>
              </w:rPr>
              <w:t>2.2由招标人认可的有关国家权威标准</w:t>
            </w:r>
          </w:p>
          <w:p>
            <w:pPr>
              <w:spacing w:line="400" w:lineRule="exact"/>
              <w:outlineLvl w:val="1"/>
              <w:rPr>
                <w:rFonts w:ascii="宋体" w:hAnsi="宋体" w:cs="宋体"/>
                <w:b/>
                <w:bCs/>
                <w:color w:val="auto"/>
                <w:highlight w:val="none"/>
              </w:rPr>
            </w:pPr>
            <w:bookmarkStart w:id="31" w:name="_Toc27406"/>
            <w:bookmarkStart w:id="32" w:name="_Toc47388292"/>
            <w:r>
              <w:rPr>
                <w:rFonts w:hint="eastAsia" w:ascii="宋体" w:hAnsi="宋体" w:cs="宋体"/>
                <w:color w:val="auto"/>
                <w:highlight w:val="none"/>
              </w:rPr>
              <w:t>注：本技术要求所列的规范、标准不意味着全部的或最新的，承包单位必须执行国家、地方、有关机构所有相关的技术规范与标准，且确保所采用的技术规范、标准必须是国家或有关机构发布的最新版本，无论此版本在此有无提及。</w:t>
            </w:r>
            <w:bookmarkEnd w:id="31"/>
            <w:bookmarkEnd w:id="3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ind w:firstLine="422"/>
              <w:jc w:val="center"/>
              <w:outlineLvl w:val="1"/>
              <w:rPr>
                <w:rFonts w:ascii="宋体" w:hAnsi="宋体" w:cs="宋体"/>
                <w:b/>
                <w:bCs/>
                <w:color w:val="auto"/>
                <w:highlight w:val="none"/>
              </w:rPr>
            </w:pPr>
            <w:bookmarkStart w:id="33" w:name="_Toc47388293"/>
            <w:bookmarkStart w:id="34" w:name="_Toc18066"/>
            <w:r>
              <w:rPr>
                <w:rFonts w:hint="eastAsia" w:ascii="宋体" w:hAnsi="宋体" w:cs="宋体"/>
                <w:b/>
                <w:bCs/>
                <w:color w:val="auto"/>
                <w:highlight w:val="none"/>
              </w:rPr>
              <w:t>三</w:t>
            </w:r>
            <w:bookmarkEnd w:id="33"/>
            <w:bookmarkEnd w:id="34"/>
          </w:p>
        </w:tc>
        <w:tc>
          <w:tcPr>
            <w:tcW w:w="3495" w:type="dxa"/>
            <w:vAlign w:val="center"/>
          </w:tcPr>
          <w:p>
            <w:pPr>
              <w:spacing w:line="400" w:lineRule="exact"/>
              <w:outlineLvl w:val="1"/>
              <w:rPr>
                <w:rFonts w:ascii="宋体" w:hAnsi="宋体" w:cs="宋体"/>
                <w:color w:val="auto"/>
                <w:highlight w:val="none"/>
              </w:rPr>
            </w:pPr>
            <w:bookmarkStart w:id="35" w:name="_Toc47388294"/>
            <w:bookmarkStart w:id="36" w:name="_Toc20497"/>
            <w:r>
              <w:rPr>
                <w:rFonts w:hint="eastAsia" w:ascii="宋体" w:hAnsi="宋体" w:cs="宋体"/>
                <w:color w:val="auto"/>
                <w:highlight w:val="none"/>
              </w:rPr>
              <w:t>采购标的需满足的质量、安全、技术规格、物理特性等要求</w:t>
            </w:r>
            <w:bookmarkEnd w:id="35"/>
            <w:bookmarkEnd w:id="36"/>
          </w:p>
        </w:tc>
        <w:tc>
          <w:tcPr>
            <w:tcW w:w="4095" w:type="dxa"/>
            <w:vAlign w:val="center"/>
          </w:tcPr>
          <w:p>
            <w:pPr>
              <w:spacing w:line="400" w:lineRule="exact"/>
              <w:outlineLvl w:val="1"/>
              <w:rPr>
                <w:color w:val="auto"/>
                <w:highlight w:val="none"/>
              </w:rPr>
            </w:pPr>
            <w:bookmarkStart w:id="37" w:name="_Toc6626"/>
            <w:bookmarkStart w:id="38" w:name="_Toc47388295"/>
            <w:r>
              <w:rPr>
                <w:rFonts w:hint="eastAsia"/>
                <w:color w:val="auto"/>
                <w:highlight w:val="none"/>
              </w:rPr>
              <w:t>详见技术需求。</w:t>
            </w:r>
            <w:bookmarkEnd w:id="37"/>
            <w:bookmarkEnd w:id="3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color w:val="auto"/>
                <w:highlight w:val="none"/>
              </w:rPr>
            </w:pPr>
            <w:bookmarkStart w:id="39" w:name="_Toc6713"/>
            <w:bookmarkStart w:id="40" w:name="_Toc47388296"/>
            <w:r>
              <w:rPr>
                <w:rFonts w:hint="eastAsia" w:ascii="宋体" w:hAnsi="宋体" w:cs="宋体"/>
                <w:color w:val="auto"/>
                <w:highlight w:val="none"/>
              </w:rPr>
              <w:t>四</w:t>
            </w:r>
            <w:bookmarkEnd w:id="39"/>
            <w:bookmarkEnd w:id="40"/>
          </w:p>
        </w:tc>
        <w:tc>
          <w:tcPr>
            <w:tcW w:w="3495" w:type="dxa"/>
            <w:vAlign w:val="center"/>
          </w:tcPr>
          <w:p>
            <w:pPr>
              <w:spacing w:line="400" w:lineRule="exact"/>
              <w:outlineLvl w:val="1"/>
              <w:rPr>
                <w:rFonts w:ascii="宋体" w:hAnsi="宋体" w:cs="宋体"/>
                <w:color w:val="auto"/>
                <w:highlight w:val="none"/>
              </w:rPr>
            </w:pPr>
            <w:bookmarkStart w:id="41" w:name="_Toc3523"/>
            <w:bookmarkStart w:id="42" w:name="_Toc47388297"/>
            <w:r>
              <w:rPr>
                <w:rFonts w:hint="eastAsia" w:ascii="宋体" w:hAnsi="宋体" w:cs="宋体"/>
                <w:color w:val="auto"/>
                <w:highlight w:val="none"/>
              </w:rPr>
              <w:t>采购标的的数量、采购项目交付或者实施的时间和地点</w:t>
            </w:r>
            <w:bookmarkEnd w:id="41"/>
            <w:bookmarkEnd w:id="42"/>
          </w:p>
        </w:tc>
        <w:tc>
          <w:tcPr>
            <w:tcW w:w="4095" w:type="dxa"/>
            <w:vAlign w:val="center"/>
          </w:tcPr>
          <w:p>
            <w:pPr>
              <w:spacing w:line="400" w:lineRule="exact"/>
              <w:outlineLvl w:val="1"/>
              <w:rPr>
                <w:rFonts w:ascii="宋体" w:hAnsi="宋体" w:cs="宋体"/>
                <w:b/>
                <w:bCs/>
                <w:color w:val="auto"/>
                <w:highlight w:val="none"/>
              </w:rPr>
            </w:pPr>
            <w:bookmarkStart w:id="43" w:name="_Toc27559"/>
            <w:bookmarkStart w:id="44" w:name="_Toc47388298"/>
            <w:r>
              <w:rPr>
                <w:rFonts w:hint="eastAsia" w:ascii="宋体" w:hAnsi="宋体" w:cs="宋体"/>
                <w:color w:val="auto"/>
                <w:highlight w:val="none"/>
              </w:rPr>
              <w:t>详见商务需求</w:t>
            </w:r>
            <w:bookmarkEnd w:id="43"/>
            <w:bookmarkEnd w:id="4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color w:val="auto"/>
                <w:highlight w:val="none"/>
              </w:rPr>
            </w:pPr>
            <w:bookmarkStart w:id="45" w:name="_Toc47388299"/>
            <w:bookmarkStart w:id="46" w:name="_Toc9705"/>
            <w:r>
              <w:rPr>
                <w:rFonts w:hint="eastAsia" w:ascii="宋体" w:hAnsi="宋体" w:cs="宋体"/>
                <w:color w:val="auto"/>
                <w:highlight w:val="none"/>
              </w:rPr>
              <w:t>五</w:t>
            </w:r>
            <w:bookmarkEnd w:id="45"/>
            <w:bookmarkEnd w:id="46"/>
          </w:p>
        </w:tc>
        <w:tc>
          <w:tcPr>
            <w:tcW w:w="3495" w:type="dxa"/>
            <w:vAlign w:val="center"/>
          </w:tcPr>
          <w:p>
            <w:pPr>
              <w:spacing w:line="400" w:lineRule="exact"/>
              <w:outlineLvl w:val="1"/>
              <w:rPr>
                <w:rFonts w:ascii="宋体" w:hAnsi="宋体" w:cs="宋体"/>
                <w:color w:val="auto"/>
                <w:highlight w:val="none"/>
              </w:rPr>
            </w:pPr>
            <w:bookmarkStart w:id="47" w:name="_Toc47388300"/>
            <w:bookmarkStart w:id="48" w:name="_Toc17159"/>
            <w:r>
              <w:rPr>
                <w:rFonts w:hint="eastAsia" w:ascii="宋体" w:hAnsi="宋体" w:cs="宋体"/>
                <w:color w:val="auto"/>
                <w:highlight w:val="none"/>
              </w:rPr>
              <w:t>采购标的需满足的服务标准、期限、效率等要求</w:t>
            </w:r>
            <w:bookmarkEnd w:id="47"/>
            <w:bookmarkEnd w:id="48"/>
          </w:p>
        </w:tc>
        <w:tc>
          <w:tcPr>
            <w:tcW w:w="4095" w:type="dxa"/>
            <w:vAlign w:val="center"/>
          </w:tcPr>
          <w:p>
            <w:pPr>
              <w:spacing w:line="400" w:lineRule="exact"/>
              <w:outlineLvl w:val="1"/>
              <w:rPr>
                <w:rFonts w:ascii="宋体" w:hAnsi="宋体" w:cs="宋体"/>
                <w:b/>
                <w:bCs/>
                <w:color w:val="auto"/>
                <w:highlight w:val="none"/>
              </w:rPr>
            </w:pPr>
            <w:bookmarkStart w:id="49" w:name="_Toc47388301"/>
            <w:bookmarkStart w:id="50" w:name="_Toc28908"/>
            <w:r>
              <w:rPr>
                <w:rFonts w:hint="eastAsia" w:ascii="宋体" w:hAnsi="宋体" w:cs="宋体"/>
                <w:color w:val="auto"/>
                <w:highlight w:val="none"/>
              </w:rPr>
              <w:t>详见商务需求</w:t>
            </w:r>
            <w:bookmarkEnd w:id="49"/>
            <w:bookmarkEnd w:id="5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color w:val="auto"/>
                <w:highlight w:val="none"/>
              </w:rPr>
            </w:pPr>
            <w:bookmarkStart w:id="51" w:name="_Toc47388302"/>
            <w:bookmarkStart w:id="52" w:name="_Toc23727"/>
            <w:r>
              <w:rPr>
                <w:rFonts w:hint="eastAsia" w:ascii="宋体" w:hAnsi="宋体" w:cs="宋体"/>
                <w:color w:val="auto"/>
                <w:highlight w:val="none"/>
              </w:rPr>
              <w:t>六</w:t>
            </w:r>
            <w:bookmarkEnd w:id="51"/>
            <w:bookmarkEnd w:id="52"/>
          </w:p>
        </w:tc>
        <w:tc>
          <w:tcPr>
            <w:tcW w:w="3495" w:type="dxa"/>
            <w:vAlign w:val="center"/>
          </w:tcPr>
          <w:p>
            <w:pPr>
              <w:spacing w:line="400" w:lineRule="exact"/>
              <w:outlineLvl w:val="1"/>
              <w:rPr>
                <w:rFonts w:ascii="宋体" w:hAnsi="宋体" w:cs="宋体"/>
                <w:color w:val="auto"/>
                <w:highlight w:val="none"/>
              </w:rPr>
            </w:pPr>
            <w:bookmarkStart w:id="53" w:name="_Toc27008"/>
            <w:bookmarkStart w:id="54" w:name="_Toc47388303"/>
            <w:r>
              <w:rPr>
                <w:rFonts w:hint="eastAsia" w:ascii="宋体" w:hAnsi="宋体" w:cs="宋体"/>
                <w:color w:val="auto"/>
                <w:highlight w:val="none"/>
              </w:rPr>
              <w:t>采购标的的验收标准</w:t>
            </w:r>
            <w:bookmarkEnd w:id="53"/>
            <w:bookmarkEnd w:id="54"/>
          </w:p>
        </w:tc>
        <w:tc>
          <w:tcPr>
            <w:tcW w:w="4095" w:type="dxa"/>
            <w:vAlign w:val="center"/>
          </w:tcPr>
          <w:p>
            <w:pPr>
              <w:spacing w:line="400" w:lineRule="exact"/>
              <w:outlineLvl w:val="1"/>
              <w:rPr>
                <w:rFonts w:ascii="宋体" w:hAnsi="宋体" w:cs="宋体"/>
                <w:color w:val="auto"/>
                <w:highlight w:val="none"/>
              </w:rPr>
            </w:pPr>
            <w:bookmarkStart w:id="55" w:name="_Toc362"/>
            <w:bookmarkStart w:id="56" w:name="_Toc47388304"/>
            <w:r>
              <w:rPr>
                <w:rFonts w:hint="eastAsia" w:ascii="宋体" w:hAnsi="宋体" w:cs="宋体"/>
                <w:color w:val="auto"/>
                <w:highlight w:val="none"/>
              </w:rPr>
              <w:t>详见技术需求</w:t>
            </w:r>
            <w:bookmarkEnd w:id="55"/>
            <w:bookmarkEnd w:id="5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color w:val="auto"/>
                <w:highlight w:val="none"/>
              </w:rPr>
            </w:pPr>
            <w:bookmarkStart w:id="57" w:name="_Toc12938"/>
            <w:bookmarkStart w:id="58" w:name="_Toc47388305"/>
            <w:r>
              <w:rPr>
                <w:rFonts w:hint="eastAsia" w:ascii="宋体" w:hAnsi="宋体" w:cs="宋体"/>
                <w:color w:val="auto"/>
                <w:highlight w:val="none"/>
              </w:rPr>
              <w:t>七</w:t>
            </w:r>
            <w:bookmarkEnd w:id="57"/>
            <w:bookmarkEnd w:id="58"/>
          </w:p>
        </w:tc>
        <w:tc>
          <w:tcPr>
            <w:tcW w:w="3495" w:type="dxa"/>
            <w:vAlign w:val="center"/>
          </w:tcPr>
          <w:p>
            <w:pPr>
              <w:spacing w:line="400" w:lineRule="exact"/>
              <w:outlineLvl w:val="1"/>
              <w:rPr>
                <w:rFonts w:ascii="宋体" w:hAnsi="宋体" w:cs="宋体"/>
                <w:color w:val="auto"/>
                <w:highlight w:val="none"/>
              </w:rPr>
            </w:pPr>
            <w:bookmarkStart w:id="59" w:name="_Toc47388306"/>
            <w:bookmarkStart w:id="60" w:name="_Toc22727"/>
            <w:r>
              <w:rPr>
                <w:rFonts w:hint="eastAsia" w:ascii="宋体" w:hAnsi="宋体" w:cs="宋体"/>
                <w:color w:val="auto"/>
                <w:highlight w:val="none"/>
              </w:rPr>
              <w:t>采购标的的其他技术、服务等要求</w:t>
            </w:r>
            <w:bookmarkEnd w:id="59"/>
            <w:bookmarkEnd w:id="60"/>
          </w:p>
        </w:tc>
        <w:tc>
          <w:tcPr>
            <w:tcW w:w="4095" w:type="dxa"/>
            <w:vAlign w:val="center"/>
          </w:tcPr>
          <w:p>
            <w:pPr>
              <w:spacing w:line="400" w:lineRule="exact"/>
              <w:outlineLvl w:val="1"/>
              <w:rPr>
                <w:rFonts w:ascii="宋体" w:hAnsi="宋体" w:cs="宋体"/>
                <w:color w:val="auto"/>
                <w:highlight w:val="none"/>
              </w:rPr>
            </w:pPr>
            <w:bookmarkStart w:id="61" w:name="_Toc47388307"/>
            <w:bookmarkStart w:id="62" w:name="_Toc3237"/>
            <w:r>
              <w:rPr>
                <w:rFonts w:hint="eastAsia" w:ascii="宋体" w:hAnsi="宋体" w:cs="宋体"/>
                <w:color w:val="auto"/>
                <w:highlight w:val="none"/>
              </w:rPr>
              <w:t>详见技术需求</w:t>
            </w:r>
            <w:bookmarkEnd w:id="61"/>
            <w:bookmarkEnd w:id="6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color w:val="auto"/>
                <w:highlight w:val="none"/>
              </w:rPr>
            </w:pPr>
            <w:bookmarkStart w:id="63" w:name="_Toc17147"/>
            <w:bookmarkStart w:id="64" w:name="_Toc47388308"/>
            <w:r>
              <w:rPr>
                <w:rFonts w:hint="eastAsia" w:ascii="宋体" w:hAnsi="宋体" w:cs="宋体"/>
                <w:color w:val="auto"/>
                <w:highlight w:val="none"/>
              </w:rPr>
              <w:t>八</w:t>
            </w:r>
            <w:bookmarkEnd w:id="63"/>
            <w:bookmarkEnd w:id="64"/>
          </w:p>
        </w:tc>
        <w:tc>
          <w:tcPr>
            <w:tcW w:w="3495" w:type="dxa"/>
          </w:tcPr>
          <w:p>
            <w:pPr>
              <w:spacing w:line="400" w:lineRule="exact"/>
              <w:outlineLvl w:val="1"/>
              <w:rPr>
                <w:rFonts w:ascii="宋体" w:hAnsi="宋体" w:cs="宋体"/>
                <w:color w:val="auto"/>
                <w:highlight w:val="none"/>
              </w:rPr>
            </w:pPr>
            <w:bookmarkStart w:id="65" w:name="_Toc47388312"/>
            <w:bookmarkStart w:id="66" w:name="_Toc6426"/>
            <w:r>
              <w:rPr>
                <w:rFonts w:hint="eastAsia" w:ascii="宋体" w:hAnsi="宋体" w:cs="宋体"/>
                <w:color w:val="auto"/>
                <w:highlight w:val="none"/>
              </w:rPr>
              <w:t>现场踏勘</w:t>
            </w:r>
            <w:bookmarkEnd w:id="65"/>
            <w:bookmarkEnd w:id="66"/>
          </w:p>
        </w:tc>
        <w:tc>
          <w:tcPr>
            <w:tcW w:w="4095" w:type="dxa"/>
            <w:vAlign w:val="center"/>
          </w:tcPr>
          <w:p>
            <w:pPr>
              <w:spacing w:line="400" w:lineRule="exact"/>
              <w:outlineLvl w:val="1"/>
              <w:rPr>
                <w:rFonts w:ascii="宋体" w:hAnsi="宋体" w:cs="宋体"/>
                <w:color w:val="auto"/>
                <w:highlight w:val="none"/>
              </w:rPr>
            </w:pPr>
            <w:bookmarkStart w:id="67" w:name="_Toc7814"/>
            <w:bookmarkStart w:id="68" w:name="_Toc47388313"/>
            <w:r>
              <w:rPr>
                <w:rFonts w:hint="eastAsia" w:ascii="宋体" w:hAnsi="宋体" w:cs="宋体"/>
                <w:color w:val="auto"/>
                <w:highlight w:val="none"/>
              </w:rPr>
              <w:t>无</w:t>
            </w:r>
            <w:bookmarkEnd w:id="67"/>
            <w:bookmarkEnd w:id="6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color w:val="auto"/>
                <w:highlight w:val="none"/>
              </w:rPr>
            </w:pPr>
            <w:bookmarkStart w:id="69" w:name="_Toc47388311"/>
            <w:bookmarkStart w:id="70" w:name="_Toc23900"/>
            <w:r>
              <w:rPr>
                <w:rFonts w:hint="eastAsia" w:ascii="宋体" w:hAnsi="宋体" w:cs="宋体"/>
                <w:color w:val="auto"/>
                <w:highlight w:val="none"/>
              </w:rPr>
              <w:t>九</w:t>
            </w:r>
            <w:bookmarkEnd w:id="69"/>
            <w:bookmarkEnd w:id="70"/>
          </w:p>
        </w:tc>
        <w:tc>
          <w:tcPr>
            <w:tcW w:w="3495" w:type="dxa"/>
          </w:tcPr>
          <w:p>
            <w:pPr>
              <w:spacing w:line="400" w:lineRule="exact"/>
              <w:outlineLvl w:val="1"/>
              <w:rPr>
                <w:rFonts w:ascii="宋体" w:hAnsi="宋体" w:cs="宋体"/>
                <w:color w:val="auto"/>
                <w:highlight w:val="none"/>
              </w:rPr>
            </w:pPr>
            <w:bookmarkStart w:id="71" w:name="_Toc47388315"/>
            <w:bookmarkStart w:id="72" w:name="_Toc16439"/>
            <w:r>
              <w:rPr>
                <w:rFonts w:hint="eastAsia" w:ascii="宋体" w:hAnsi="宋体" w:cs="宋体"/>
                <w:color w:val="auto"/>
                <w:highlight w:val="none"/>
              </w:rPr>
              <w:t>样品要求</w:t>
            </w:r>
            <w:bookmarkEnd w:id="71"/>
            <w:bookmarkEnd w:id="72"/>
          </w:p>
        </w:tc>
        <w:tc>
          <w:tcPr>
            <w:tcW w:w="4095" w:type="dxa"/>
            <w:vAlign w:val="center"/>
          </w:tcPr>
          <w:p>
            <w:pPr>
              <w:spacing w:line="400" w:lineRule="exact"/>
              <w:outlineLvl w:val="1"/>
              <w:rPr>
                <w:rFonts w:ascii="宋体" w:hAnsi="宋体" w:cs="宋体"/>
                <w:color w:val="auto"/>
                <w:highlight w:val="none"/>
              </w:rPr>
            </w:pPr>
            <w:bookmarkStart w:id="73" w:name="_Toc47388316"/>
            <w:bookmarkStart w:id="74" w:name="_Toc21374"/>
            <w:r>
              <w:rPr>
                <w:rFonts w:hint="eastAsia" w:ascii="宋体" w:hAnsi="宋体" w:cs="宋体"/>
                <w:color w:val="auto"/>
                <w:highlight w:val="none"/>
              </w:rPr>
              <w:t>无</w:t>
            </w:r>
            <w:bookmarkEnd w:id="73"/>
            <w:bookmarkEnd w:id="7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ascii="宋体" w:hAnsi="宋体" w:cs="宋体"/>
                <w:color w:val="auto"/>
                <w:highlight w:val="none"/>
              </w:rPr>
            </w:pPr>
            <w:r>
              <w:rPr>
                <w:rFonts w:hint="eastAsia" w:ascii="宋体" w:hAnsi="宋体" w:cs="宋体"/>
                <w:color w:val="auto"/>
                <w:highlight w:val="none"/>
              </w:rPr>
              <w:t>十</w:t>
            </w:r>
          </w:p>
        </w:tc>
        <w:tc>
          <w:tcPr>
            <w:tcW w:w="3495" w:type="dxa"/>
            <w:vAlign w:val="center"/>
          </w:tcPr>
          <w:p>
            <w:pPr>
              <w:spacing w:line="400" w:lineRule="exact"/>
              <w:jc w:val="left"/>
              <w:outlineLvl w:val="1"/>
              <w:rPr>
                <w:rFonts w:ascii="宋体" w:hAnsi="宋体" w:cs="宋体"/>
                <w:color w:val="auto"/>
                <w:highlight w:val="none"/>
              </w:rPr>
            </w:pPr>
            <w:r>
              <w:rPr>
                <w:rFonts w:hint="eastAsia" w:ascii="宋体" w:hAnsi="宋体" w:cs="宋体"/>
                <w:color w:val="auto"/>
                <w:highlight w:val="none"/>
              </w:rPr>
              <w:t>核心产品</w:t>
            </w:r>
          </w:p>
        </w:tc>
        <w:tc>
          <w:tcPr>
            <w:tcW w:w="4095" w:type="dxa"/>
            <w:vAlign w:val="center"/>
          </w:tcPr>
          <w:p>
            <w:pPr>
              <w:spacing w:line="400" w:lineRule="exact"/>
              <w:jc w:val="left"/>
              <w:outlineLvl w:val="1"/>
              <w:rPr>
                <w:rFonts w:ascii="宋体" w:hAnsi="宋体" w:cs="宋体"/>
                <w:color w:val="auto"/>
                <w:highlight w:val="none"/>
              </w:rPr>
            </w:pPr>
            <w:r>
              <w:rPr>
                <w:rFonts w:hint="eastAsia" w:hAnsi="宋体"/>
                <w:color w:val="auto"/>
                <w:sz w:val="21"/>
                <w:szCs w:val="21"/>
                <w:highlight w:val="none"/>
                <w:lang w:eastAsia="zh-CN"/>
              </w:rPr>
              <w:t>病原微生物核酸快速检测分析试剂</w:t>
            </w:r>
            <w:r>
              <w:rPr>
                <w:rFonts w:hint="eastAsia" w:ascii="宋体" w:hAnsi="Times New Roman"/>
                <w:color w:val="auto"/>
                <w:highlight w:val="none"/>
                <w:lang w:eastAsia="zh-CN"/>
              </w:rPr>
              <w:t>及配套仪器</w:t>
            </w:r>
            <w:r>
              <w:rPr>
                <w:rFonts w:hint="eastAsia" w:hAnsi="宋体"/>
                <w:color w:val="auto"/>
                <w:sz w:val="21"/>
                <w:szCs w:val="21"/>
                <w:highlight w:val="none"/>
                <w:lang w:eastAsia="zh-CN"/>
              </w:rPr>
              <w:t>。</w:t>
            </w:r>
          </w:p>
        </w:tc>
      </w:tr>
    </w:tbl>
    <w:p>
      <w:pPr>
        <w:snapToGrid w:val="0"/>
        <w:spacing w:line="360" w:lineRule="auto"/>
        <w:rPr>
          <w:rFonts w:ascii="宋体" w:hAnsi="宋体" w:cs="宋体"/>
          <w:color w:val="auto"/>
          <w:highlight w:val="none"/>
        </w:rPr>
      </w:pPr>
    </w:p>
    <w:p>
      <w:pPr>
        <w:snapToGrid w:val="0"/>
        <w:spacing w:line="360" w:lineRule="auto"/>
        <w:ind w:firstLine="422"/>
        <w:rPr>
          <w:rFonts w:ascii="宋体" w:hAnsi="宋体" w:cs="宋体"/>
          <w:b/>
          <w:bCs/>
          <w:color w:val="auto"/>
          <w:highlight w:val="none"/>
        </w:rPr>
      </w:pPr>
      <w:r>
        <w:rPr>
          <w:rFonts w:hint="eastAsia" w:ascii="宋体" w:hAnsi="宋体" w:cs="宋体"/>
          <w:b/>
          <w:bCs/>
          <w:color w:val="auto"/>
          <w:highlight w:val="none"/>
        </w:rPr>
        <w:br w:type="page"/>
      </w:r>
      <w:bookmarkStart w:id="75" w:name="_Toc1077"/>
      <w:bookmarkStart w:id="76" w:name="_Toc47388317"/>
    </w:p>
    <w:p>
      <w:pPr>
        <w:snapToGrid w:val="0"/>
        <w:spacing w:line="360" w:lineRule="auto"/>
        <w:ind w:firstLine="422"/>
        <w:rPr>
          <w:rFonts w:ascii="宋体" w:hAnsi="宋体" w:cs="宋体"/>
          <w:b/>
          <w:bCs/>
          <w:color w:val="auto"/>
          <w:highlight w:val="none"/>
        </w:rPr>
      </w:pPr>
      <w:r>
        <w:rPr>
          <w:rFonts w:hint="eastAsia" w:ascii="宋体" w:hAnsi="宋体" w:cs="宋体"/>
          <w:b/>
          <w:bCs/>
          <w:color w:val="auto"/>
          <w:highlight w:val="none"/>
        </w:rPr>
        <w:t>一、商务要求（如技术需求有相关要求，则以技术需求为准）</w:t>
      </w:r>
    </w:p>
    <w:tbl>
      <w:tblPr>
        <w:tblStyle w:val="47"/>
        <w:tblW w:w="8528"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62"/>
        <w:gridCol w:w="686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62" w:type="dxa"/>
            <w:shd w:val="clear" w:color="auto" w:fill="auto"/>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交货期及地点</w:t>
            </w:r>
          </w:p>
        </w:tc>
        <w:tc>
          <w:tcPr>
            <w:tcW w:w="6866" w:type="dxa"/>
            <w:shd w:val="clear" w:color="auto" w:fill="auto"/>
            <w:vAlign w:val="center"/>
          </w:tcPr>
          <w:p>
            <w:pPr>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设备交货期：合同签订后60天内，投标人须完成设备的安装调试验收。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试剂交货期：接采购人通知后5日内到货。</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地点：采购人指定地点。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62" w:type="dxa"/>
            <w:shd w:val="clear" w:color="auto" w:fill="auto"/>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安装及验收</w:t>
            </w:r>
          </w:p>
        </w:tc>
        <w:tc>
          <w:tcPr>
            <w:tcW w:w="6866" w:type="dxa"/>
            <w:shd w:val="clear" w:color="auto" w:fill="auto"/>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仪器安装前需根据采购人需求及时提供设备安装图纸和参数。仪器安装完成需提供安装报告书。对验收时无法验证的指标及投标人与仪器相关的各种承诺需要在后期的实施中兑现的内容，当出现不达标时，中标人需承担相关责任和损失。</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62" w:type="dxa"/>
            <w:shd w:val="clear" w:color="auto" w:fill="auto"/>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付款条件</w:t>
            </w:r>
          </w:p>
        </w:tc>
        <w:tc>
          <w:tcPr>
            <w:tcW w:w="6866" w:type="dxa"/>
            <w:shd w:val="clear" w:color="auto" w:fill="auto"/>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1.设备付款：</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合同生效并具备实施条件后7个工作日内支付设备合同金额的40%</w:t>
            </w:r>
            <w:r>
              <w:rPr>
                <w:rFonts w:hint="eastAsia" w:ascii="宋体" w:hAnsi="宋体" w:eastAsia="宋体" w:cs="宋体"/>
                <w:color w:val="auto"/>
                <w:sz w:val="21"/>
                <w:szCs w:val="21"/>
                <w:highlight w:val="none"/>
                <w:lang w:val="en-US" w:eastAsia="zh-CN"/>
              </w:rPr>
              <w:t>作为预付款</w:t>
            </w:r>
            <w:r>
              <w:rPr>
                <w:rFonts w:hint="eastAsia" w:ascii="宋体" w:hAnsi="宋体" w:eastAsia="宋体" w:cs="宋体"/>
                <w:color w:val="auto"/>
                <w:sz w:val="21"/>
                <w:szCs w:val="21"/>
                <w:highlight w:val="none"/>
              </w:rPr>
              <w:t>；项目验收合格并收到中标人正式发票之日起7个工作日内一次性付清设备合同款。</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2.试剂付款：</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第一年：</w:t>
            </w:r>
            <w:r>
              <w:rPr>
                <w:rFonts w:hint="eastAsia" w:ascii="宋体" w:hAnsi="宋体" w:eastAsia="宋体" w:cs="宋体"/>
                <w:color w:val="auto"/>
                <w:sz w:val="21"/>
                <w:szCs w:val="21"/>
                <w:highlight w:val="none"/>
              </w:rPr>
              <w:t>合同生效并具备实施条件后，采购人收到供应商预付款保函后7个工作日内支付试剂年度金额的40%</w:t>
            </w:r>
            <w:r>
              <w:rPr>
                <w:rFonts w:hint="eastAsia" w:ascii="宋体" w:hAnsi="宋体" w:eastAsia="宋体" w:cs="宋体"/>
                <w:color w:val="auto"/>
                <w:sz w:val="21"/>
                <w:szCs w:val="21"/>
                <w:highlight w:val="none"/>
                <w:lang w:val="en-US" w:eastAsia="zh-CN"/>
              </w:rPr>
              <w:t>作为预付款</w:t>
            </w:r>
            <w:r>
              <w:rPr>
                <w:rFonts w:hint="eastAsia" w:ascii="宋体" w:hAnsi="宋体" w:eastAsia="宋体" w:cs="宋体"/>
                <w:color w:val="auto"/>
                <w:sz w:val="21"/>
                <w:szCs w:val="21"/>
                <w:highlight w:val="none"/>
              </w:rPr>
              <w:t>；按试剂单价乘以试剂用量，以实际到货验收合格的试剂数量为准，验收入库并收到合规的发票后7个工作日内完成付款。</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二年度开始执行后7个工作日内，采购人收到供应商预付款保函后7个工作日内支付试剂年度金额的40%作为预付款；按试剂单价乘以试剂用量，以实际到货验收合格的试剂数量为准，验收入库并收到合规的发票后7个工作日内完成付款。</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第三年付款与第二年度相同。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62" w:type="dxa"/>
            <w:shd w:val="clear" w:color="auto" w:fill="auto"/>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备品备件及耗材等要求</w:t>
            </w:r>
          </w:p>
        </w:tc>
        <w:tc>
          <w:tcPr>
            <w:tcW w:w="6866" w:type="dxa"/>
            <w:shd w:val="clear" w:color="auto" w:fill="auto"/>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列出详细的设备配置清单（包括附件及选配件），清单包括：硬件、软件、附件及选配件的规格型号、接口。提供分项价格并提供价格的折扣率，同时提供耗品的清单及供应价（各种包装规格分别报价）。招标文件中未提及的某些属选配的功能、软硬件，供方必须充分告知采购人，以采购人选择为准。若在交付使用后采购人发现其功能或软件未告知采购人的，中标人必须无条件提供。</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2.投标总价须包含合同履行期内备品备件；投标人对主要设备须提供足够的备品备件、附件和耗材并保证是全新原厂生产，以满足设备正常运行的需要。</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投标人须在投标文件中提供合同履行期后相应备品备件清单及报价。</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投标试剂报价应包含检测该项目的所有配套耗材。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62" w:type="dxa"/>
            <w:shd w:val="clear" w:color="auto" w:fill="auto"/>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维保要求</w:t>
            </w:r>
          </w:p>
        </w:tc>
        <w:tc>
          <w:tcPr>
            <w:tcW w:w="6866" w:type="dxa"/>
            <w:shd w:val="clear" w:color="auto" w:fill="auto"/>
            <w:vAlign w:val="center"/>
          </w:tcPr>
          <w:p>
            <w:pPr>
              <w:widowControl/>
              <w:shd w:val="clear" w:color="auto" w:fill="FFFFFF"/>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1.提供24小时维修电话，</w:t>
            </w:r>
            <w:r>
              <w:rPr>
                <w:rFonts w:hint="eastAsia" w:ascii="宋体" w:hAnsi="宋体" w:eastAsia="宋体" w:cs="宋体"/>
                <w:color w:val="auto"/>
                <w:sz w:val="21"/>
                <w:szCs w:val="21"/>
                <w:highlight w:val="none"/>
              </w:rPr>
              <w:t>保修范围内设备的故障维修响应时间</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2小时，到达现场时间</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12小时（包括节假日）。每次现场服务后提供详细的维修报告单。</w:t>
            </w:r>
          </w:p>
          <w:p>
            <w:pPr>
              <w:widowControl/>
              <w:shd w:val="clear" w:color="auto" w:fill="FFFFFF"/>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2.维保服务按规范进行维保（至少提供每月2次的上门维修保养服务），并提供详细的维保报告（提供有关测试证明）等。</w:t>
            </w:r>
          </w:p>
          <w:p>
            <w:pPr>
              <w:widowControl/>
              <w:shd w:val="clear" w:color="auto" w:fill="FFFFFF"/>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kern w:val="0"/>
                <w:sz w:val="21"/>
                <w:szCs w:val="21"/>
                <w:highlight w:val="none"/>
              </w:rPr>
              <w:t>在保质期内出现问题，所产生的维修费用（包括零部件费用、运返费用等费用)均由投标人承担；</w:t>
            </w:r>
            <w:r>
              <w:rPr>
                <w:rFonts w:hint="eastAsia" w:ascii="宋体" w:hAnsi="宋体" w:eastAsia="宋体" w:cs="宋体"/>
                <w:color w:val="auto"/>
                <w:sz w:val="21"/>
                <w:szCs w:val="21"/>
                <w:highlight w:val="none"/>
              </w:rPr>
              <w:t>保修期后，</w:t>
            </w:r>
            <w:r>
              <w:rPr>
                <w:rFonts w:hint="eastAsia" w:ascii="宋体" w:hAnsi="宋体" w:eastAsia="宋体" w:cs="宋体"/>
                <w:color w:val="auto"/>
                <w:kern w:val="0"/>
                <w:sz w:val="21"/>
                <w:szCs w:val="21"/>
                <w:highlight w:val="none"/>
              </w:rPr>
              <w:t>投标人应提供终身维修，</w:t>
            </w:r>
            <w:r>
              <w:rPr>
                <w:rFonts w:hint="eastAsia" w:ascii="宋体" w:hAnsi="宋体" w:eastAsia="宋体" w:cs="宋体"/>
                <w:color w:val="auto"/>
                <w:sz w:val="21"/>
                <w:szCs w:val="21"/>
                <w:highlight w:val="none"/>
              </w:rPr>
              <w:t>对设备进行维修免收差旅费、人工费等，仅收损坏更换的零备件费。必须做到先维修后付款。要求原厂或原厂授权维修服务机构进行书面承诺。</w:t>
            </w:r>
          </w:p>
          <w:p>
            <w:pPr>
              <w:widowControl/>
              <w:shd w:val="clear" w:color="auto" w:fill="FFFFFF"/>
              <w:spacing w:line="360"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4.对完成本检验项目相关的设备提供免费保修服务。</w:t>
            </w:r>
          </w:p>
          <w:p>
            <w:pPr>
              <w:widowControl/>
              <w:shd w:val="clear" w:color="auto" w:fill="FFFFFF"/>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提供保修期后消耗品和常用零配件的供应价格与折扣，折扣按最大优惠程度供应（供应价格和折扣，在投标文件中明确）。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62" w:type="dxa"/>
            <w:shd w:val="clear" w:color="auto" w:fill="auto"/>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校准要求</w:t>
            </w:r>
          </w:p>
        </w:tc>
        <w:tc>
          <w:tcPr>
            <w:tcW w:w="6866" w:type="dxa"/>
            <w:shd w:val="clear" w:color="auto" w:fill="auto"/>
            <w:vAlign w:val="center"/>
          </w:tcPr>
          <w:p>
            <w:pPr>
              <w:widowControl/>
              <w:shd w:val="clear" w:color="auto" w:fill="FFFFFF"/>
              <w:spacing w:line="360"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负责每年1次的仪器校准，出具具有资质的校准报告，并承担相应费用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62" w:type="dxa"/>
            <w:shd w:val="clear" w:color="auto" w:fill="auto"/>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w:t>
            </w:r>
          </w:p>
          <w:p>
            <w:pPr>
              <w:spacing w:line="360" w:lineRule="auto"/>
              <w:jc w:val="left"/>
              <w:rPr>
                <w:rFonts w:hint="eastAsia" w:ascii="宋体" w:hAnsi="宋体" w:eastAsia="宋体" w:cs="宋体"/>
                <w:color w:val="auto"/>
                <w:sz w:val="21"/>
                <w:szCs w:val="21"/>
                <w:highlight w:val="none"/>
              </w:rPr>
            </w:pPr>
          </w:p>
        </w:tc>
        <w:tc>
          <w:tcPr>
            <w:tcW w:w="6866" w:type="dxa"/>
            <w:shd w:val="clear" w:color="auto" w:fill="auto"/>
            <w:vAlign w:val="center"/>
          </w:tcPr>
          <w:p>
            <w:pPr>
              <w:widowControl/>
              <w:tabs>
                <w:tab w:val="left" w:pos="720"/>
              </w:tabs>
              <w:spacing w:line="360" w:lineRule="auto"/>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培训：</w:t>
            </w:r>
            <w:r>
              <w:rPr>
                <w:rFonts w:hint="eastAsia" w:ascii="宋体" w:hAnsi="宋体" w:eastAsia="宋体" w:cs="宋体"/>
                <w:color w:val="auto"/>
                <w:sz w:val="21"/>
                <w:szCs w:val="21"/>
                <w:highlight w:val="none"/>
              </w:rPr>
              <w:t>投标总价须包含</w:t>
            </w:r>
            <w:r>
              <w:rPr>
                <w:rFonts w:hint="eastAsia" w:ascii="宋体" w:hAnsi="宋体" w:eastAsia="宋体" w:cs="宋体"/>
                <w:color w:val="auto"/>
                <w:kern w:val="0"/>
                <w:sz w:val="21"/>
                <w:szCs w:val="21"/>
                <w:highlight w:val="none"/>
              </w:rPr>
              <w:t>操作培训及考核和工程师的维修培训（列出具体的培训方案，如提供院外培训，供方负责需方人员培训期间的一切费用(包括差旅费、食宿费用等），具体细节由院方定。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62" w:type="dxa"/>
            <w:shd w:val="clear" w:color="auto" w:fill="auto"/>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w:t>
            </w:r>
          </w:p>
        </w:tc>
        <w:tc>
          <w:tcPr>
            <w:tcW w:w="6866" w:type="dxa"/>
            <w:shd w:val="clear" w:color="auto" w:fill="auto"/>
            <w:vAlign w:val="center"/>
          </w:tcPr>
          <w:p>
            <w:pPr>
              <w:widowControl/>
              <w:tabs>
                <w:tab w:val="left" w:pos="720"/>
              </w:tabs>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设备验收合格后整机免费保修期：≥3年（质保期外不收取任何维修、差旅费等，超出质保期，试剂采购量未采购完，继续采购的，设备质保继续，直到项目</w:t>
            </w:r>
            <w:r>
              <w:rPr>
                <w:rFonts w:hint="eastAsia" w:ascii="宋体" w:hAnsi="宋体" w:cs="宋体"/>
                <w:color w:val="auto"/>
                <w:kern w:val="0"/>
                <w:sz w:val="21"/>
                <w:szCs w:val="21"/>
                <w:highlight w:val="none"/>
                <w:lang w:val="en-US" w:eastAsia="zh-CN"/>
              </w:rPr>
              <w:t>合作</w:t>
            </w:r>
            <w:r>
              <w:rPr>
                <w:rFonts w:hint="eastAsia" w:ascii="宋体" w:hAnsi="宋体" w:eastAsia="宋体" w:cs="宋体"/>
                <w:color w:val="auto"/>
                <w:kern w:val="0"/>
                <w:sz w:val="21"/>
                <w:szCs w:val="21"/>
                <w:highlight w:val="none"/>
              </w:rPr>
              <w:t>终止）。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62" w:type="dxa"/>
            <w:shd w:val="clear" w:color="auto" w:fill="auto"/>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软件</w:t>
            </w:r>
          </w:p>
        </w:tc>
        <w:tc>
          <w:tcPr>
            <w:tcW w:w="6866" w:type="dxa"/>
            <w:shd w:val="clear" w:color="auto" w:fill="auto"/>
            <w:vAlign w:val="center"/>
          </w:tcPr>
          <w:p>
            <w:pPr>
              <w:widowControl/>
              <w:tabs>
                <w:tab w:val="left" w:pos="720"/>
              </w:tabs>
              <w:spacing w:line="360" w:lineRule="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1.</w:t>
            </w:r>
            <w:r>
              <w:rPr>
                <w:rFonts w:hint="eastAsia" w:ascii="宋体" w:hAnsi="宋体" w:eastAsia="宋体" w:cs="宋体"/>
                <w:color w:val="auto"/>
                <w:kern w:val="0"/>
                <w:sz w:val="21"/>
                <w:szCs w:val="21"/>
                <w:highlight w:val="none"/>
              </w:rPr>
              <w:t xml:space="preserve"> 软件终身升级（不另行支付费用）。</w:t>
            </w:r>
          </w:p>
          <w:p>
            <w:pPr>
              <w:widowControl/>
              <w:tabs>
                <w:tab w:val="left" w:pos="72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bCs/>
                <w:color w:val="auto"/>
                <w:sz w:val="21"/>
                <w:szCs w:val="21"/>
                <w:highlight w:val="none"/>
              </w:rPr>
              <w:t>支持与LIS/HIS网络进行数据传输，</w:t>
            </w:r>
            <w:r>
              <w:rPr>
                <w:rFonts w:hint="eastAsia" w:ascii="宋体" w:hAnsi="宋体" w:eastAsia="宋体" w:cs="宋体"/>
                <w:color w:val="auto"/>
                <w:sz w:val="21"/>
                <w:szCs w:val="21"/>
                <w:highlight w:val="none"/>
              </w:rPr>
              <w:t>负责承担与LIS联机费用（双向通讯）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62" w:type="dxa"/>
            <w:shd w:val="clear" w:color="auto" w:fill="auto"/>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★其他要求</w:t>
            </w:r>
          </w:p>
        </w:tc>
        <w:tc>
          <w:tcPr>
            <w:tcW w:w="6866" w:type="dxa"/>
            <w:shd w:val="clear" w:color="auto" w:fill="auto"/>
            <w:vAlign w:val="center"/>
          </w:tcPr>
          <w:p>
            <w:pPr>
              <w:numPr>
                <w:ilvl w:val="0"/>
                <w:numId w:val="6"/>
              </w:num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如遇政府招标，当政府招标价低于现供货价时，需无条件低价服从；当价格高于现供货价时，则维持原来的价格供应。</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2.如遇检测项目收费标准调整，甲方有权与中标人协调该项检测试剂的供货价格。</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由于性能问题采购人更换品牌使得成本增加，增加部份成本由中标人承担（从试剂款中扣除；所有检测试剂在使用前需进行性能验证测试，测试结果符合说明书要求，试剂性能测试所需的试剂和耗材及人工费用由中标人承担；检测质量问题引发的相关责任和损失由中标人承担）。</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合同的终止：以不影响正常工作为前提，若因试剂、设备质量问题影响日常工作，医院可终止合同，期间所致相关损失由中标人承担；当出现政府招标或国家政府或医保政策调整等因素，需服从国家政府医保政策调整。遇不可抗力因素而致合同无法履行时，需双方协商解决。合同约定的试剂总金额履行结束后，合同终止。</w:t>
            </w:r>
          </w:p>
          <w:p>
            <w:pPr>
              <w:pStyle w:val="18"/>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合同履行期内若仪器因故障原因或由中标人导致的其他原因而致日常工作不能正常开展，相应损失由中标人承担，情节严重时采购人有权终止合同。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合同履行期内需由中标人补偿或赔偿的金额，将由采购人在应付款中扣除（指采购人对中标人的应付款）。</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7.所有试剂需通过</w:t>
            </w:r>
            <w:r>
              <w:rPr>
                <w:rFonts w:hint="eastAsia" w:ascii="宋体" w:hAnsi="宋体" w:cs="宋体"/>
                <w:color w:val="auto"/>
                <w:sz w:val="21"/>
                <w:szCs w:val="21"/>
                <w:highlight w:val="none"/>
                <w:lang w:val="en-US" w:eastAsia="zh-CN"/>
              </w:rPr>
              <w:t>浙江省两定医保机构平台</w:t>
            </w:r>
            <w:r>
              <w:rPr>
                <w:rFonts w:hint="eastAsia" w:ascii="宋体" w:hAnsi="宋体" w:eastAsia="宋体" w:cs="宋体"/>
                <w:color w:val="auto"/>
                <w:sz w:val="21"/>
                <w:szCs w:val="21"/>
                <w:highlight w:val="none"/>
              </w:rPr>
              <w:t>线上采购。</w:t>
            </w:r>
          </w:p>
          <w:p>
            <w:pPr>
              <w:pStyle w:val="7"/>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8.新老设备更换期间保证科室临床检验工作正常运行。</w:t>
            </w:r>
          </w:p>
          <w:p>
            <w:pPr>
              <w:pStyle w:val="7"/>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9.投标的试剂满足在两定医保机构平台采购交易并提供平台代码。</w:t>
            </w:r>
          </w:p>
          <w:p>
            <w:pPr>
              <w:pStyle w:val="7"/>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10.所有产品包装及标识应符合国家相关标准，具有良好的密封性和防潮性。</w:t>
            </w:r>
          </w:p>
          <w:p>
            <w:pPr>
              <w:pStyle w:val="7"/>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11.产品于国家食品药品监督管理总局或国家药品监督管理局注册。每批由国家药品监督管理局的生物制品批签发证明，以及中国食品药品检定研究院的检验报告。 </w:t>
            </w:r>
          </w:p>
          <w:p>
            <w:pPr>
              <w:pStyle w:val="7"/>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12.产品采购期内应提供仪器的保修服务(费用包含在项目报价中,供应商自行组价)。</w:t>
            </w:r>
          </w:p>
          <w:p>
            <w:pPr>
              <w:pStyle w:val="7"/>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13.产品送到交货地点的剩余有效期一般为七个月以上，如遇突发事件等特殊情况，双方可协商解决，但最短不能少于三个月。（注：技术参数基本要求中有明确要求的从其要求）</w:t>
            </w:r>
          </w:p>
          <w:p>
            <w:pPr>
              <w:pStyle w:val="7"/>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14.签订合同时，中标人应向采购人提供产品的医疗器械注册证。</w:t>
            </w:r>
          </w:p>
          <w:p>
            <w:pPr>
              <w:pStyle w:val="7"/>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15.利用采购单位现有设备进行项目检测的，在该项目履约期间，中标人负责相应设备的维修工作，无法维修的免费进行设备升级，并承担相关费用。</w:t>
            </w:r>
          </w:p>
          <w:p>
            <w:pPr>
              <w:pStyle w:val="7"/>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16.提供延伸服务，根据科室需求提供课题及技术支持。提供一名有资质的技术人员支持，满足实时现场技术支持。</w:t>
            </w:r>
          </w:p>
        </w:tc>
      </w:tr>
    </w:tbl>
    <w:p>
      <w:pPr>
        <w:snapToGrid w:val="0"/>
        <w:spacing w:line="360" w:lineRule="auto"/>
        <w:ind w:firstLine="422"/>
        <w:rPr>
          <w:rFonts w:ascii="宋体" w:hAnsi="宋体" w:cs="宋体"/>
          <w:b/>
          <w:bCs/>
          <w:color w:val="auto"/>
          <w:highlight w:val="none"/>
        </w:rPr>
        <w:sectPr>
          <w:headerReference r:id="rId4" w:type="default"/>
          <w:footerReference r:id="rId5" w:type="default"/>
          <w:pgSz w:w="11906" w:h="16838"/>
          <w:pgMar w:top="1474" w:right="1797" w:bottom="1247" w:left="1797" w:header="851" w:footer="851" w:gutter="0"/>
          <w:cols w:space="720" w:num="1"/>
          <w:docGrid w:type="lines" w:linePitch="312" w:charSpace="0"/>
        </w:sectPr>
      </w:pPr>
    </w:p>
    <w:p>
      <w:pPr>
        <w:numPr>
          <w:ilvl w:val="0"/>
          <w:numId w:val="7"/>
        </w:numPr>
        <w:snapToGrid w:val="0"/>
        <w:spacing w:line="360" w:lineRule="auto"/>
        <w:ind w:firstLine="422"/>
        <w:rPr>
          <w:rFonts w:ascii="宋体" w:hAnsi="宋体" w:cs="宋体"/>
          <w:color w:val="auto"/>
          <w:highlight w:val="none"/>
        </w:rPr>
      </w:pPr>
      <w:r>
        <w:rPr>
          <w:rFonts w:hint="eastAsia" w:ascii="宋体" w:hAnsi="宋体" w:cs="宋体"/>
          <w:b/>
          <w:bCs/>
          <w:color w:val="auto"/>
          <w:highlight w:val="none"/>
        </w:rPr>
        <w:t>技术需求</w:t>
      </w:r>
    </w:p>
    <w:p>
      <w:pPr>
        <w:numPr>
          <w:ilvl w:val="0"/>
          <w:numId w:val="0"/>
        </w:numPr>
        <w:snapToGrid w:val="0"/>
        <w:spacing w:line="360" w:lineRule="auto"/>
        <w:rPr>
          <w:rFonts w:ascii="宋体" w:hAnsi="宋体" w:cs="宋体"/>
          <w:color w:val="auto"/>
          <w:highlight w:val="none"/>
        </w:rPr>
      </w:pPr>
      <w:r>
        <w:rPr>
          <w:rFonts w:hint="eastAsia" w:ascii="宋体" w:hAnsi="宋体" w:cs="宋体"/>
          <w:b/>
          <w:bCs/>
          <w:color w:val="auto"/>
          <w:highlight w:val="none"/>
          <w:lang w:val="en-US" w:eastAsia="zh-CN"/>
        </w:rPr>
        <w:t>病原微生物核酸快速检测分析试剂及配套仪器</w:t>
      </w:r>
    </w:p>
    <w:tbl>
      <w:tblPr>
        <w:tblStyle w:val="47"/>
        <w:tblW w:w="8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6274"/>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1059" w:type="dxa"/>
            <w:shd w:val="clear" w:color="auto" w:fill="FFFFFF"/>
            <w:vAlign w:val="center"/>
          </w:tcPr>
          <w:p>
            <w:pPr>
              <w:widowControl/>
              <w:tabs>
                <w:tab w:val="left" w:pos="720"/>
              </w:tabs>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序号</w:t>
            </w:r>
          </w:p>
        </w:tc>
        <w:tc>
          <w:tcPr>
            <w:tcW w:w="6274" w:type="dxa"/>
            <w:shd w:val="clear" w:color="auto" w:fill="FFFFFF"/>
            <w:vAlign w:val="center"/>
          </w:tcPr>
          <w:p>
            <w:pPr>
              <w:widowControl/>
              <w:tabs>
                <w:tab w:val="left" w:pos="720"/>
              </w:tabs>
              <w:spacing w:line="360" w:lineRule="auto"/>
              <w:ind w:firstLine="422"/>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参数要求</w:t>
            </w:r>
          </w:p>
        </w:tc>
        <w:tc>
          <w:tcPr>
            <w:tcW w:w="1069" w:type="dxa"/>
            <w:shd w:val="clear" w:color="auto" w:fill="FFFFFF"/>
            <w:vAlign w:val="center"/>
          </w:tcPr>
          <w:p>
            <w:pPr>
              <w:widowControl/>
              <w:tabs>
                <w:tab w:val="left" w:pos="720"/>
              </w:tabs>
              <w:spacing w:line="360" w:lineRule="auto"/>
              <w:jc w:val="both"/>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59" w:type="dxa"/>
            <w:vAlign w:val="center"/>
          </w:tcPr>
          <w:p>
            <w:pPr>
              <w:widowControl/>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1"/>
                <w:szCs w:val="21"/>
                <w:highlight w:val="none"/>
              </w:rPr>
              <w:t>1</w:t>
            </w:r>
          </w:p>
        </w:tc>
        <w:tc>
          <w:tcPr>
            <w:tcW w:w="6274" w:type="dxa"/>
            <w:vAlign w:val="center"/>
          </w:tcPr>
          <w:p>
            <w:pPr>
              <w:widowControl/>
              <w:spacing w:line="360" w:lineRule="auto"/>
              <w:jc w:val="left"/>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kern w:val="0"/>
                <w:sz w:val="21"/>
                <w:szCs w:val="21"/>
                <w:highlight w:val="none"/>
              </w:rPr>
              <w:t>原理：基于三段式磁导提取技术、荧光聚合酶链反应原理。</w:t>
            </w:r>
          </w:p>
        </w:tc>
        <w:tc>
          <w:tcPr>
            <w:tcW w:w="1069" w:type="dxa"/>
            <w:vAlign w:val="center"/>
          </w:tcPr>
          <w:p>
            <w:pPr>
              <w:widowControl/>
              <w:tabs>
                <w:tab w:val="left" w:pos="720"/>
              </w:tabs>
              <w:spacing w:line="360" w:lineRule="auto"/>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59"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2</w:t>
            </w:r>
          </w:p>
        </w:tc>
        <w:tc>
          <w:tcPr>
            <w:tcW w:w="6274" w:type="dxa"/>
            <w:vAlign w:val="center"/>
          </w:tcPr>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用途：病原体核酸快速检测项目(甲流、乙流、新冠肺炎、肺炎支原体、结核分枝杆菌、淋球菌、沙眼衣原体) （投标文件中提供相国内医疗器械注册许可证并加盖公章）。</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59"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3</w:t>
            </w:r>
          </w:p>
        </w:tc>
        <w:tc>
          <w:tcPr>
            <w:tcW w:w="6274" w:type="dxa"/>
            <w:vAlign w:val="center"/>
          </w:tcPr>
          <w:p>
            <w:pPr>
              <w:widowControl/>
              <w:spacing w:line="360" w:lineRule="auto"/>
              <w:jc w:val="left"/>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检测通道：单台仪器检测通道≥8，样本随到随检，即在检测运行状态下随时可以在闲置孔位插入新检测，并且可在同一台仪器内同时进行不同病原体的核酸检测。</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59"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4</w:t>
            </w:r>
          </w:p>
        </w:tc>
        <w:tc>
          <w:tcPr>
            <w:tcW w:w="6274" w:type="dxa"/>
            <w:vAlign w:val="center"/>
          </w:tcPr>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系统整合了核酸检测所需的关键步骤，在一个独立的检测管中，可自动化完成样本裂解、核酸提取、扩增和荧光检测全过程。</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59"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5</w:t>
            </w:r>
          </w:p>
        </w:tc>
        <w:tc>
          <w:tcPr>
            <w:tcW w:w="6274" w:type="dxa"/>
            <w:vAlign w:val="center"/>
          </w:tcPr>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采用全封闭检测管的检测方式可降低样本之间交叉污染的风险，生物安全防污染，可确保实验人员及实验室环境的安全。</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59"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6</w:t>
            </w:r>
          </w:p>
        </w:tc>
        <w:tc>
          <w:tcPr>
            <w:tcW w:w="6274" w:type="dxa"/>
            <w:vAlign w:val="center"/>
          </w:tcPr>
          <w:p>
            <w:pPr>
              <w:widowControl/>
              <w:spacing w:line="360" w:lineRule="auto"/>
              <w:jc w:val="left"/>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核酸提取方式：磁珠法提取</w:t>
            </w:r>
            <w:r>
              <w:rPr>
                <w:rFonts w:hint="eastAsia" w:ascii="宋体" w:hAnsi="宋体" w:eastAsia="宋体" w:cs="宋体"/>
                <w:color w:val="auto"/>
                <w:kern w:val="0"/>
                <w:sz w:val="21"/>
                <w:szCs w:val="21"/>
                <w:highlight w:val="none"/>
                <w:lang w:eastAsia="zh-CN"/>
              </w:rPr>
              <w:t>；</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59"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7</w:t>
            </w:r>
          </w:p>
        </w:tc>
        <w:tc>
          <w:tcPr>
            <w:tcW w:w="6274" w:type="dxa"/>
            <w:vAlign w:val="center"/>
          </w:tcPr>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试剂预混装，无需人工配置扩增反应液</w:t>
            </w:r>
            <w:r>
              <w:rPr>
                <w:rFonts w:hint="eastAsia" w:ascii="宋体" w:hAnsi="宋体" w:eastAsia="宋体" w:cs="宋体"/>
                <w:color w:val="auto"/>
                <w:kern w:val="0"/>
                <w:sz w:val="21"/>
                <w:szCs w:val="21"/>
                <w:highlight w:val="none"/>
                <w:lang w:eastAsia="zh-CN"/>
              </w:rPr>
              <w:t>；</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59"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8</w:t>
            </w:r>
          </w:p>
        </w:tc>
        <w:tc>
          <w:tcPr>
            <w:tcW w:w="6274" w:type="dxa"/>
            <w:vAlign w:val="center"/>
          </w:tcPr>
          <w:p>
            <w:pPr>
              <w:widowControl/>
              <w:spacing w:line="360" w:lineRule="auto"/>
              <w:jc w:val="left"/>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数据分析：系统仪器可实时采集荧光信号并自动生成实时荧光曲线，通过对荧光信号变化的分析实现自动判定并报告检测结果。</w:t>
            </w:r>
          </w:p>
        </w:tc>
        <w:tc>
          <w:tcPr>
            <w:tcW w:w="1069" w:type="dxa"/>
            <w:vAlign w:val="center"/>
          </w:tcPr>
          <w:p>
            <w:pPr>
              <w:spacing w:line="360" w:lineRule="auto"/>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59"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9</w:t>
            </w:r>
          </w:p>
        </w:tc>
        <w:tc>
          <w:tcPr>
            <w:tcW w:w="6274" w:type="dxa"/>
            <w:vAlign w:val="center"/>
          </w:tcPr>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质量控制：双重质控，系统包含内部质控和外部质控。</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59"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10</w:t>
            </w:r>
          </w:p>
        </w:tc>
        <w:tc>
          <w:tcPr>
            <w:tcW w:w="6274" w:type="dxa"/>
            <w:vAlign w:val="center"/>
          </w:tcPr>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可通过二维码扫描直接录入样本信息。</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59"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▲11</w:t>
            </w:r>
          </w:p>
        </w:tc>
        <w:tc>
          <w:tcPr>
            <w:tcW w:w="6274" w:type="dxa"/>
            <w:vAlign w:val="center"/>
          </w:tcPr>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配套试剂盒可实现7天内常温（-25℃至</w:t>
            </w:r>
            <w:r>
              <w:rPr>
                <w:rStyle w:val="348"/>
                <w:rFonts w:hint="eastAsia" w:ascii="宋体" w:hAnsi="宋体" w:eastAsia="宋体" w:cs="宋体"/>
                <w:color w:val="auto"/>
                <w:sz w:val="21"/>
                <w:szCs w:val="21"/>
                <w:highlight w:val="none"/>
              </w:rPr>
              <w:t>37℃</w:t>
            </w:r>
            <w:r>
              <w:rPr>
                <w:rFonts w:hint="eastAsia" w:ascii="宋体" w:hAnsi="宋体" w:eastAsia="宋体" w:cs="宋体"/>
                <w:color w:val="auto"/>
                <w:kern w:val="0"/>
                <w:sz w:val="21"/>
                <w:szCs w:val="21"/>
                <w:highlight w:val="none"/>
              </w:rPr>
              <w:t>）运输，在2℃~8℃条件下保存,有效期为12个月。</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9"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▲12</w:t>
            </w:r>
          </w:p>
        </w:tc>
        <w:tc>
          <w:tcPr>
            <w:tcW w:w="6274" w:type="dxa"/>
            <w:vAlign w:val="center"/>
          </w:tcPr>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检测模式：核酸提取、扩增检测均在同一个封闭试剂管内完成，样品上机后至结果报告过程，无需任何手工操作。</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9" w:type="dxa"/>
            <w:vAlign w:val="center"/>
          </w:tcPr>
          <w:p>
            <w:pPr>
              <w:widowControl/>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13</w:t>
            </w:r>
          </w:p>
        </w:tc>
        <w:tc>
          <w:tcPr>
            <w:tcW w:w="6274" w:type="dxa"/>
            <w:vAlign w:val="center"/>
          </w:tcPr>
          <w:p>
            <w:pPr>
              <w:spacing w:line="36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检测过程中不涉及试剂管外液体转移过程，液体不与空气接触，避免交叉污染。</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059" w:type="dxa"/>
            <w:vAlign w:val="center"/>
          </w:tcPr>
          <w:p>
            <w:pPr>
              <w:widowControl/>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14</w:t>
            </w:r>
          </w:p>
        </w:tc>
        <w:tc>
          <w:tcPr>
            <w:tcW w:w="6274" w:type="dxa"/>
            <w:vAlign w:val="center"/>
          </w:tcPr>
          <w:p>
            <w:pPr>
              <w:spacing w:line="360" w:lineRule="auto"/>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kern w:val="0"/>
                <w:sz w:val="21"/>
                <w:szCs w:val="21"/>
                <w:highlight w:val="none"/>
              </w:rPr>
              <w:t>系统处理单元参数：</w:t>
            </w:r>
          </w:p>
        </w:tc>
        <w:tc>
          <w:tcPr>
            <w:tcW w:w="1069" w:type="dxa"/>
            <w:vAlign w:val="center"/>
          </w:tcPr>
          <w:p>
            <w:pPr>
              <w:spacing w:line="360" w:lineRule="auto"/>
              <w:jc w:val="center"/>
              <w:rPr>
                <w:rFonts w:hint="eastAsia" w:ascii="宋体" w:hAnsi="宋体" w:eastAsia="宋体" w:cs="宋体"/>
                <w:bCs/>
                <w:color w:val="auto"/>
                <w:kern w:val="0"/>
                <w:sz w:val="21"/>
                <w:szCs w:val="21"/>
                <w:highlight w:val="none"/>
                <w:lang w:val="en-US" w:eastAsia="zh-CN"/>
              </w:rPr>
            </w:pPr>
            <w:r>
              <w:rPr>
                <w:rFonts w:hint="eastAsia" w:ascii="宋体" w:hAnsi="宋体" w:cs="宋体"/>
                <w:bCs/>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9" w:type="dxa"/>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14.1</w:t>
            </w:r>
          </w:p>
        </w:tc>
        <w:tc>
          <w:tcPr>
            <w:tcW w:w="6274" w:type="dxa"/>
            <w:vAlign w:val="center"/>
          </w:tcPr>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可控温度范围：40℃~95℃</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控温精度：≤0.5℃</w:t>
            </w:r>
            <w:r>
              <w:rPr>
                <w:rFonts w:hint="eastAsia" w:ascii="宋体" w:hAnsi="宋体" w:eastAsia="宋体" w:cs="宋体"/>
                <w:color w:val="auto"/>
                <w:kern w:val="0"/>
                <w:sz w:val="21"/>
                <w:szCs w:val="21"/>
                <w:highlight w:val="none"/>
                <w:lang w:eastAsia="zh-CN"/>
              </w:rPr>
              <w:t>；</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9" w:type="dxa"/>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14.2</w:t>
            </w:r>
          </w:p>
        </w:tc>
        <w:tc>
          <w:tcPr>
            <w:tcW w:w="6274" w:type="dxa"/>
            <w:vAlign w:val="center"/>
          </w:tcPr>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熔解加热速率：0.1~1℃/s</w:t>
            </w:r>
            <w:r>
              <w:rPr>
                <w:rFonts w:hint="eastAsia" w:ascii="宋体" w:hAnsi="宋体" w:eastAsia="宋体" w:cs="宋体"/>
                <w:color w:val="auto"/>
                <w:kern w:val="0"/>
                <w:sz w:val="21"/>
                <w:szCs w:val="21"/>
                <w:highlight w:val="none"/>
                <w:lang w:eastAsia="zh-CN"/>
              </w:rPr>
              <w:t>；</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9" w:type="dxa"/>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14.3</w:t>
            </w:r>
          </w:p>
        </w:tc>
        <w:tc>
          <w:tcPr>
            <w:tcW w:w="6274" w:type="dxa"/>
            <w:vAlign w:val="center"/>
          </w:tcPr>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荧光强度检测重复性：CV值&lt;3％</w:t>
            </w:r>
            <w:r>
              <w:rPr>
                <w:rFonts w:hint="eastAsia" w:ascii="宋体" w:hAnsi="宋体" w:eastAsia="宋体" w:cs="宋体"/>
                <w:color w:val="auto"/>
                <w:kern w:val="0"/>
                <w:sz w:val="21"/>
                <w:szCs w:val="21"/>
                <w:highlight w:val="none"/>
                <w:lang w:eastAsia="zh-CN"/>
              </w:rPr>
              <w:t>；</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9" w:type="dxa"/>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14.4</w:t>
            </w:r>
          </w:p>
        </w:tc>
        <w:tc>
          <w:tcPr>
            <w:tcW w:w="6274" w:type="dxa"/>
            <w:vAlign w:val="center"/>
          </w:tcPr>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荧光强度检测精密度：CV值&lt;5%</w:t>
            </w:r>
            <w:r>
              <w:rPr>
                <w:rFonts w:hint="eastAsia" w:ascii="宋体" w:hAnsi="宋体" w:eastAsia="宋体" w:cs="宋体"/>
                <w:color w:val="auto"/>
                <w:kern w:val="0"/>
                <w:sz w:val="21"/>
                <w:szCs w:val="21"/>
                <w:highlight w:val="none"/>
                <w:lang w:eastAsia="zh-CN"/>
              </w:rPr>
              <w:t>；</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9" w:type="dxa"/>
            <w:vAlign w:val="center"/>
          </w:tcPr>
          <w:p>
            <w:pPr>
              <w:widowControl/>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15</w:t>
            </w:r>
          </w:p>
        </w:tc>
        <w:tc>
          <w:tcPr>
            <w:tcW w:w="6274" w:type="dxa"/>
            <w:vAlign w:val="center"/>
          </w:tcPr>
          <w:p>
            <w:pPr>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检测设备一批，以满足实际每日检测量为准。</w:t>
            </w:r>
          </w:p>
        </w:tc>
        <w:tc>
          <w:tcPr>
            <w:tcW w:w="1069" w:type="dxa"/>
            <w:vAlign w:val="center"/>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9" w:type="dxa"/>
            <w:vAlign w:val="center"/>
          </w:tcPr>
          <w:p>
            <w:pPr>
              <w:widowControl/>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16</w:t>
            </w:r>
          </w:p>
        </w:tc>
        <w:tc>
          <w:tcPr>
            <w:tcW w:w="6274" w:type="dxa"/>
            <w:vAlign w:val="center"/>
          </w:tcPr>
          <w:p>
            <w:pPr>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采购方根据检测需要，通知中标方配置设备。</w:t>
            </w:r>
          </w:p>
        </w:tc>
        <w:tc>
          <w:tcPr>
            <w:tcW w:w="0" w:type="auto"/>
          </w:tcPr>
          <w:p>
            <w:pPr>
              <w:spacing w:line="360" w:lineRule="auto"/>
              <w:jc w:val="left"/>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59" w:type="dxa"/>
            <w:vAlign w:val="center"/>
          </w:tcPr>
          <w:p>
            <w:pPr>
              <w:widowControl/>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17</w:t>
            </w:r>
          </w:p>
        </w:tc>
        <w:tc>
          <w:tcPr>
            <w:tcW w:w="6274" w:type="dxa"/>
            <w:vAlign w:val="center"/>
          </w:tcPr>
          <w:p>
            <w:pPr>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合作期间，中标方承担采购方现有用于投标试剂检测项目的设备的维修保养，期限为试剂采购合作期内。</w:t>
            </w:r>
          </w:p>
        </w:tc>
        <w:tc>
          <w:tcPr>
            <w:tcW w:w="0" w:type="auto"/>
          </w:tcPr>
          <w:p>
            <w:pPr>
              <w:spacing w:line="360" w:lineRule="auto"/>
              <w:jc w:val="left"/>
              <w:rPr>
                <w:rFonts w:hint="eastAsia" w:ascii="宋体" w:hAnsi="宋体" w:eastAsia="宋体" w:cs="宋体"/>
                <w:bCs/>
                <w:color w:val="auto"/>
                <w:kern w:val="0"/>
                <w:sz w:val="21"/>
                <w:szCs w:val="21"/>
                <w:highlight w:val="none"/>
              </w:rPr>
            </w:pPr>
          </w:p>
        </w:tc>
      </w:tr>
    </w:tbl>
    <w:p>
      <w:pPr>
        <w:pStyle w:val="18"/>
        <w:ind w:firstLine="422"/>
        <w:rPr>
          <w:rFonts w:ascii="宋体" w:hAnsi="宋体" w:cs="宋体"/>
          <w:b/>
          <w:bCs/>
          <w:color w:val="auto"/>
          <w:sz w:val="21"/>
          <w:szCs w:val="21"/>
          <w:highlight w:val="none"/>
        </w:rPr>
      </w:pPr>
    </w:p>
    <w:p>
      <w:pPr>
        <w:pStyle w:val="18"/>
        <w:numPr>
          <w:ilvl w:val="0"/>
          <w:numId w:val="7"/>
        </w:numPr>
        <w:ind w:left="0" w:leftChars="0" w:firstLine="422" w:firstLineChars="0"/>
        <w:jc w:val="both"/>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设备试剂清单及最高限价</w:t>
      </w:r>
    </w:p>
    <w:p>
      <w:pPr>
        <w:pStyle w:val="2"/>
        <w:jc w:val="left"/>
        <w:rPr>
          <w:rFonts w:hint="eastAsia" w:ascii="宋体" w:cs="宋体"/>
          <w:color w:val="auto"/>
          <w:sz w:val="22"/>
          <w:szCs w:val="22"/>
          <w:highlight w:val="none"/>
        </w:rPr>
      </w:pPr>
      <w:r>
        <w:rPr>
          <w:rFonts w:hint="eastAsia" w:ascii="宋体" w:hAnsi="宋体" w:cs="宋体"/>
          <w:b/>
          <w:bCs/>
          <w:color w:val="auto"/>
          <w:sz w:val="21"/>
          <w:szCs w:val="21"/>
          <w:highlight w:val="none"/>
          <w:lang w:val="en-US" w:eastAsia="zh-CN"/>
        </w:rPr>
        <w:t>病原微生物核酸快速检测分析试剂及配套仪器</w:t>
      </w:r>
    </w:p>
    <w:tbl>
      <w:tblPr>
        <w:tblStyle w:val="47"/>
        <w:tblpPr w:leftFromText="180" w:rightFromText="180" w:vertAnchor="text" w:horzAnchor="page" w:tblpXSpec="center" w:tblpY="1564"/>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9"/>
        <w:gridCol w:w="3074"/>
        <w:gridCol w:w="841"/>
        <w:gridCol w:w="829"/>
        <w:gridCol w:w="1196"/>
        <w:gridCol w:w="951"/>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294" w:type="pct"/>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842" w:type="pct"/>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sz w:val="21"/>
                <w:szCs w:val="21"/>
                <w:highlight w:val="none"/>
              </w:rPr>
            </w:pPr>
            <w:r>
              <w:rPr>
                <w:rStyle w:val="323"/>
                <w:rFonts w:hint="eastAsia" w:ascii="宋体" w:hAnsi="宋体" w:eastAsia="宋体" w:cs="宋体"/>
                <w:b/>
                <w:color w:val="auto"/>
                <w:sz w:val="21"/>
                <w:szCs w:val="21"/>
                <w:highlight w:val="none"/>
                <w:lang w:bidi="ar"/>
              </w:rPr>
              <w:t>项目名称</w:t>
            </w:r>
          </w:p>
        </w:tc>
        <w:tc>
          <w:tcPr>
            <w:tcW w:w="504" w:type="pct"/>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sz w:val="21"/>
                <w:szCs w:val="21"/>
                <w:highlight w:val="none"/>
              </w:rPr>
            </w:pPr>
            <w:r>
              <w:rPr>
                <w:rStyle w:val="323"/>
                <w:rFonts w:hint="eastAsia" w:ascii="宋体" w:hAnsi="宋体" w:eastAsia="宋体" w:cs="宋体"/>
                <w:b/>
                <w:color w:val="auto"/>
                <w:sz w:val="21"/>
                <w:szCs w:val="21"/>
                <w:highlight w:val="none"/>
                <w:lang w:bidi="ar"/>
              </w:rPr>
              <w:t>计价单位</w:t>
            </w:r>
          </w:p>
        </w:tc>
        <w:tc>
          <w:tcPr>
            <w:tcW w:w="497" w:type="pct"/>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sz w:val="21"/>
                <w:szCs w:val="21"/>
                <w:highlight w:val="none"/>
                <w:lang w:bidi="ar"/>
              </w:rPr>
            </w:pPr>
            <w:r>
              <w:rPr>
                <w:rStyle w:val="323"/>
                <w:rFonts w:hint="eastAsia" w:ascii="宋体" w:hAnsi="宋体" w:eastAsia="宋体" w:cs="宋体"/>
                <w:b/>
                <w:color w:val="auto"/>
                <w:sz w:val="21"/>
                <w:szCs w:val="21"/>
                <w:highlight w:val="none"/>
                <w:lang w:bidi="ar"/>
              </w:rPr>
              <w:t>数量</w:t>
            </w:r>
          </w:p>
        </w:tc>
        <w:tc>
          <w:tcPr>
            <w:tcW w:w="717" w:type="pct"/>
            <w:tcMar>
              <w:top w:w="15" w:type="dxa"/>
              <w:left w:w="15" w:type="dxa"/>
              <w:right w:w="15" w:type="dxa"/>
            </w:tcMar>
            <w:vAlign w:val="center"/>
          </w:tcPr>
          <w:p>
            <w:pPr>
              <w:widowControl/>
              <w:spacing w:line="360" w:lineRule="auto"/>
              <w:jc w:val="center"/>
              <w:textAlignment w:val="center"/>
              <w:rPr>
                <w:rStyle w:val="323"/>
                <w:rFonts w:hint="default" w:ascii="宋体" w:hAnsi="宋体" w:eastAsia="宋体" w:cs="宋体"/>
                <w:b/>
                <w:color w:val="auto"/>
                <w:sz w:val="21"/>
                <w:szCs w:val="21"/>
                <w:highlight w:val="none"/>
                <w:lang w:val="en-US" w:eastAsia="zh-CN" w:bidi="ar"/>
              </w:rPr>
            </w:pPr>
            <w:r>
              <w:rPr>
                <w:rStyle w:val="323"/>
                <w:rFonts w:hint="eastAsia" w:ascii="宋体" w:hAnsi="宋体" w:cs="宋体"/>
                <w:b/>
                <w:color w:val="auto"/>
                <w:sz w:val="21"/>
                <w:szCs w:val="21"/>
                <w:highlight w:val="none"/>
                <w:lang w:val="en-US" w:eastAsia="zh-CN" w:bidi="ar"/>
              </w:rPr>
              <w:t>单价</w:t>
            </w:r>
          </w:p>
        </w:tc>
        <w:tc>
          <w:tcPr>
            <w:tcW w:w="570" w:type="pct"/>
            <w:tcMar>
              <w:top w:w="15" w:type="dxa"/>
              <w:left w:w="15" w:type="dxa"/>
              <w:right w:w="15" w:type="dxa"/>
            </w:tcMar>
            <w:vAlign w:val="center"/>
          </w:tcPr>
          <w:p>
            <w:pPr>
              <w:widowControl/>
              <w:spacing w:line="360" w:lineRule="auto"/>
              <w:jc w:val="center"/>
              <w:textAlignment w:val="center"/>
              <w:rPr>
                <w:rFonts w:hint="eastAsia" w:ascii="宋体" w:hAnsi="宋体" w:eastAsia="宋体" w:cs="宋体"/>
                <w:b/>
                <w:color w:val="auto"/>
                <w:kern w:val="2"/>
                <w:sz w:val="21"/>
                <w:szCs w:val="21"/>
                <w:highlight w:val="none"/>
                <w:u w:val="none"/>
                <w:lang w:val="en-US" w:eastAsia="zh-CN" w:bidi="ar"/>
              </w:rPr>
            </w:pPr>
            <w:r>
              <w:rPr>
                <w:rStyle w:val="323"/>
                <w:rFonts w:hint="eastAsia" w:ascii="宋体" w:hAnsi="宋体" w:eastAsia="宋体" w:cs="宋体"/>
                <w:b/>
                <w:color w:val="auto"/>
                <w:sz w:val="21"/>
                <w:szCs w:val="21"/>
                <w:highlight w:val="none"/>
                <w:lang w:bidi="ar"/>
              </w:rPr>
              <w:t>最高</w:t>
            </w:r>
            <w:r>
              <w:rPr>
                <w:rStyle w:val="323"/>
                <w:rFonts w:hint="eastAsia" w:ascii="宋体" w:hAnsi="宋体" w:eastAsia="宋体" w:cs="宋体"/>
                <w:b/>
                <w:color w:val="auto"/>
                <w:sz w:val="21"/>
                <w:szCs w:val="21"/>
                <w:highlight w:val="none"/>
                <w:lang w:val="en-US" w:eastAsia="zh-CN" w:bidi="ar"/>
              </w:rPr>
              <w:t>限价</w:t>
            </w:r>
            <w:r>
              <w:rPr>
                <w:rStyle w:val="323"/>
                <w:rFonts w:hint="eastAsia" w:ascii="宋体" w:hAnsi="宋体" w:eastAsia="宋体" w:cs="宋体"/>
                <w:b/>
                <w:color w:val="auto"/>
                <w:sz w:val="21"/>
                <w:szCs w:val="21"/>
                <w:highlight w:val="none"/>
                <w:lang w:eastAsia="zh-CN" w:bidi="ar"/>
              </w:rPr>
              <w:t>（</w:t>
            </w:r>
            <w:r>
              <w:rPr>
                <w:rStyle w:val="323"/>
                <w:rFonts w:hint="eastAsia" w:ascii="宋体" w:hAnsi="宋体" w:eastAsia="宋体" w:cs="宋体"/>
                <w:b/>
                <w:color w:val="auto"/>
                <w:sz w:val="21"/>
                <w:szCs w:val="21"/>
                <w:highlight w:val="none"/>
                <w:lang w:val="en-US" w:eastAsia="zh-CN" w:bidi="ar"/>
              </w:rPr>
              <w:t>元</w:t>
            </w:r>
            <w:r>
              <w:rPr>
                <w:rStyle w:val="323"/>
                <w:rFonts w:hint="eastAsia" w:ascii="宋体" w:hAnsi="宋体" w:eastAsia="宋体" w:cs="宋体"/>
                <w:b/>
                <w:color w:val="auto"/>
                <w:sz w:val="21"/>
                <w:szCs w:val="21"/>
                <w:highlight w:val="none"/>
                <w:lang w:eastAsia="zh-CN" w:bidi="ar"/>
              </w:rPr>
              <w:t>）</w:t>
            </w:r>
          </w:p>
        </w:tc>
        <w:tc>
          <w:tcPr>
            <w:tcW w:w="573" w:type="pct"/>
            <w:tcMar>
              <w:top w:w="15" w:type="dxa"/>
              <w:left w:w="15" w:type="dxa"/>
              <w:right w:w="15" w:type="dxa"/>
            </w:tcMar>
            <w:vAlign w:val="center"/>
          </w:tcPr>
          <w:p>
            <w:pPr>
              <w:widowControl/>
              <w:spacing w:line="360" w:lineRule="auto"/>
              <w:jc w:val="center"/>
              <w:textAlignment w:val="center"/>
              <w:rPr>
                <w:rStyle w:val="323"/>
                <w:rFonts w:hint="eastAsia" w:ascii="宋体" w:hAnsi="宋体" w:eastAsia="宋体" w:cs="宋体"/>
                <w:b/>
                <w:color w:val="auto"/>
                <w:sz w:val="21"/>
                <w:szCs w:val="21"/>
                <w:highlight w:val="none"/>
                <w:lang w:bidi="ar"/>
              </w:rPr>
            </w:pPr>
            <w:r>
              <w:rPr>
                <w:rStyle w:val="323"/>
                <w:rFonts w:hint="eastAsia" w:ascii="宋体" w:hAnsi="宋体" w:eastAsia="宋体" w:cs="宋体"/>
                <w:b/>
                <w:color w:val="auto"/>
                <w:sz w:val="21"/>
                <w:szCs w:val="21"/>
                <w:highlight w:val="none"/>
                <w:lang w:bidi="ar"/>
              </w:rPr>
              <w:t>执行期限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294" w:type="pct"/>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1842" w:type="pct"/>
            <w:tcMar>
              <w:top w:w="15" w:type="dxa"/>
              <w:left w:w="15" w:type="dxa"/>
              <w:right w:w="15" w:type="dxa"/>
            </w:tcMar>
            <w:vAlign w:val="top"/>
          </w:tcPr>
          <w:p>
            <w:pPr>
              <w:pStyle w:val="46"/>
              <w:ind w:left="0" w:leftChars="0"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rPr>
              <w:t>甲型/乙型流感病毒抗原检测</w:t>
            </w:r>
          </w:p>
        </w:tc>
        <w:tc>
          <w:tcPr>
            <w:tcW w:w="504" w:type="pct"/>
            <w:tcMar>
              <w:top w:w="15" w:type="dxa"/>
              <w:left w:w="15" w:type="dxa"/>
              <w:right w:w="15" w:type="dxa"/>
            </w:tcMar>
            <w:vAlign w:val="top"/>
          </w:tcPr>
          <w:p>
            <w:pPr>
              <w:pStyle w:val="46"/>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rPr>
              <w:t>人份</w:t>
            </w:r>
          </w:p>
        </w:tc>
        <w:tc>
          <w:tcPr>
            <w:tcW w:w="497" w:type="pct"/>
            <w:tcMar>
              <w:top w:w="15" w:type="dxa"/>
              <w:left w:w="15" w:type="dxa"/>
              <w:right w:w="15" w:type="dxa"/>
            </w:tcMar>
            <w:vAlign w:val="top"/>
          </w:tcPr>
          <w:p>
            <w:pPr>
              <w:pStyle w:val="46"/>
              <w:ind w:left="0" w:leftChars="0" w:firstLine="0" w:firstLineChars="0"/>
              <w:jc w:val="center"/>
              <w:rPr>
                <w:rFonts w:hint="eastAsia" w:ascii="宋体" w:hAnsi="宋体" w:eastAsia="宋体" w:cs="宋体"/>
                <w:color w:val="auto"/>
                <w:kern w:val="0"/>
                <w:sz w:val="21"/>
                <w:szCs w:val="21"/>
                <w:highlight w:val="none"/>
                <w:lang w:bidi="ar"/>
              </w:rPr>
            </w:pPr>
            <w:r>
              <w:rPr>
                <w:rFonts w:hint="eastAsia" w:ascii="宋体" w:hAnsi="宋体" w:cs="宋体"/>
                <w:color w:val="auto"/>
                <w:sz w:val="21"/>
                <w:szCs w:val="21"/>
                <w:lang w:val="en-US" w:eastAsia="zh-CN"/>
              </w:rPr>
              <w:t>5475</w:t>
            </w:r>
          </w:p>
        </w:tc>
        <w:tc>
          <w:tcPr>
            <w:tcW w:w="717" w:type="pct"/>
            <w:tcMar>
              <w:top w:w="15" w:type="dxa"/>
              <w:left w:w="15" w:type="dxa"/>
              <w:right w:w="15" w:type="dxa"/>
            </w:tcMar>
            <w:vAlign w:val="top"/>
          </w:tcPr>
          <w:p>
            <w:pPr>
              <w:pStyle w:val="46"/>
              <w:ind w:left="0" w:leftChars="0" w:firstLine="0" w:firstLineChars="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50</w:t>
            </w:r>
          </w:p>
        </w:tc>
        <w:tc>
          <w:tcPr>
            <w:tcW w:w="570" w:type="pct"/>
            <w:tcMar>
              <w:top w:w="15" w:type="dxa"/>
              <w:left w:w="15" w:type="dxa"/>
              <w:right w:w="15" w:type="dxa"/>
            </w:tcMar>
            <w:vAlign w:val="top"/>
          </w:tcPr>
          <w:p>
            <w:pPr>
              <w:pStyle w:val="46"/>
              <w:ind w:left="0" w:leftChars="0" w:firstLine="0" w:firstLineChars="0"/>
              <w:jc w:val="center"/>
              <w:rPr>
                <w:rFonts w:hint="eastAsia" w:ascii="宋体" w:hAnsi="宋体" w:eastAsia="宋体" w:cs="宋体"/>
                <w:color w:val="auto"/>
                <w:spacing w:val="0"/>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273750</w:t>
            </w:r>
          </w:p>
        </w:tc>
        <w:tc>
          <w:tcPr>
            <w:tcW w:w="573" w:type="pct"/>
            <w:tcMar>
              <w:top w:w="15" w:type="dxa"/>
              <w:left w:w="15" w:type="dxa"/>
              <w:right w:w="15" w:type="dxa"/>
            </w:tcMar>
            <w:vAlign w:val="top"/>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294" w:type="pct"/>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1842" w:type="pct"/>
            <w:tcMar>
              <w:top w:w="15" w:type="dxa"/>
              <w:left w:w="15" w:type="dxa"/>
              <w:right w:w="15" w:type="dxa"/>
            </w:tcMar>
            <w:vAlign w:val="top"/>
          </w:tcPr>
          <w:p>
            <w:pPr>
              <w:pStyle w:val="46"/>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rPr>
              <w:t>肺炎</w:t>
            </w:r>
            <w:r>
              <w:rPr>
                <w:rFonts w:hint="eastAsia" w:ascii="宋体" w:hAnsi="宋体" w:cs="宋体"/>
                <w:color w:val="auto"/>
                <w:kern w:val="0"/>
                <w:sz w:val="21"/>
                <w:szCs w:val="21"/>
                <w:lang w:eastAsia="zh-CN"/>
              </w:rPr>
              <w:t>支原体核酸检测</w:t>
            </w:r>
          </w:p>
        </w:tc>
        <w:tc>
          <w:tcPr>
            <w:tcW w:w="504" w:type="pct"/>
            <w:tcMar>
              <w:top w:w="15" w:type="dxa"/>
              <w:left w:w="15" w:type="dxa"/>
              <w:right w:w="15" w:type="dxa"/>
            </w:tcMar>
            <w:vAlign w:val="top"/>
          </w:tcPr>
          <w:p>
            <w:pPr>
              <w:pStyle w:val="46"/>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rPr>
              <w:t>人份</w:t>
            </w:r>
          </w:p>
        </w:tc>
        <w:tc>
          <w:tcPr>
            <w:tcW w:w="497" w:type="pct"/>
            <w:tcMar>
              <w:top w:w="15" w:type="dxa"/>
              <w:left w:w="15" w:type="dxa"/>
              <w:right w:w="15" w:type="dxa"/>
            </w:tcMar>
            <w:vAlign w:val="top"/>
          </w:tcPr>
          <w:p>
            <w:pPr>
              <w:pStyle w:val="46"/>
              <w:ind w:left="0" w:leftChars="0" w:firstLine="0" w:firstLineChars="0"/>
              <w:jc w:val="center"/>
              <w:rPr>
                <w:rFonts w:hint="default" w:ascii="宋体" w:hAnsi="宋体" w:eastAsia="宋体" w:cs="宋体"/>
                <w:color w:val="auto"/>
                <w:kern w:val="0"/>
                <w:sz w:val="21"/>
                <w:szCs w:val="21"/>
                <w:highlight w:val="none"/>
                <w:lang w:val="en-US" w:bidi="ar"/>
              </w:rPr>
            </w:pPr>
            <w:r>
              <w:rPr>
                <w:rFonts w:hint="eastAsia" w:ascii="宋体" w:hAnsi="宋体" w:cs="宋体"/>
                <w:color w:val="auto"/>
                <w:sz w:val="21"/>
                <w:szCs w:val="21"/>
                <w:lang w:val="en-US" w:eastAsia="zh-CN"/>
              </w:rPr>
              <w:t>3816</w:t>
            </w:r>
          </w:p>
        </w:tc>
        <w:tc>
          <w:tcPr>
            <w:tcW w:w="717" w:type="pct"/>
            <w:tcMar>
              <w:top w:w="15" w:type="dxa"/>
              <w:left w:w="15" w:type="dxa"/>
              <w:right w:w="15" w:type="dxa"/>
            </w:tcMar>
            <w:vAlign w:val="top"/>
          </w:tcPr>
          <w:p>
            <w:pPr>
              <w:pStyle w:val="46"/>
              <w:ind w:left="0" w:leftChars="0" w:firstLine="0" w:firstLineChars="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20</w:t>
            </w:r>
          </w:p>
        </w:tc>
        <w:tc>
          <w:tcPr>
            <w:tcW w:w="570" w:type="pct"/>
            <w:tcMar>
              <w:top w:w="15" w:type="dxa"/>
              <w:left w:w="15" w:type="dxa"/>
              <w:right w:w="15" w:type="dxa"/>
            </w:tcMar>
            <w:vAlign w:val="top"/>
          </w:tcPr>
          <w:p>
            <w:pPr>
              <w:pStyle w:val="46"/>
              <w:tabs>
                <w:tab w:val="left" w:pos="568"/>
              </w:tabs>
              <w:ind w:left="0" w:leftChars="0" w:firstLine="0" w:firstLineChars="0"/>
              <w:jc w:val="center"/>
              <w:rPr>
                <w:rFonts w:hint="default" w:ascii="宋体" w:hAnsi="宋体" w:eastAsia="宋体" w:cs="宋体"/>
                <w:color w:val="auto"/>
                <w:spacing w:val="0"/>
                <w:kern w:val="0"/>
                <w:sz w:val="21"/>
                <w:szCs w:val="21"/>
                <w:highlight w:val="none"/>
                <w:lang w:val="en-US" w:eastAsia="zh-CN" w:bidi="ar"/>
              </w:rPr>
            </w:pPr>
            <w:r>
              <w:rPr>
                <w:rFonts w:hint="eastAsia" w:ascii="宋体" w:hAnsi="宋体" w:cs="宋体"/>
                <w:color w:val="auto"/>
                <w:spacing w:val="0"/>
                <w:kern w:val="0"/>
                <w:sz w:val="21"/>
                <w:szCs w:val="21"/>
                <w:highlight w:val="none"/>
                <w:lang w:val="en-US" w:eastAsia="zh-CN" w:bidi="ar"/>
              </w:rPr>
              <w:t>76320</w:t>
            </w:r>
          </w:p>
        </w:tc>
        <w:tc>
          <w:tcPr>
            <w:tcW w:w="573" w:type="pct"/>
            <w:tcMar>
              <w:top w:w="15" w:type="dxa"/>
              <w:left w:w="15" w:type="dxa"/>
              <w:right w:w="15" w:type="dxa"/>
            </w:tcMar>
            <w:vAlign w:val="top"/>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294" w:type="pct"/>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w:t>
            </w:r>
          </w:p>
        </w:tc>
        <w:tc>
          <w:tcPr>
            <w:tcW w:w="1842" w:type="pct"/>
            <w:tcMar>
              <w:top w:w="15" w:type="dxa"/>
              <w:left w:w="15" w:type="dxa"/>
              <w:right w:w="15" w:type="dxa"/>
            </w:tcMar>
            <w:vAlign w:val="top"/>
          </w:tcPr>
          <w:p>
            <w:pPr>
              <w:pStyle w:val="46"/>
              <w:ind w:left="0" w:leftChars="0"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rPr>
              <w:t>新型冠状病毒核酸检测</w:t>
            </w:r>
          </w:p>
        </w:tc>
        <w:tc>
          <w:tcPr>
            <w:tcW w:w="504" w:type="pct"/>
            <w:tcMar>
              <w:top w:w="15" w:type="dxa"/>
              <w:left w:w="15" w:type="dxa"/>
              <w:right w:w="15" w:type="dxa"/>
            </w:tcMar>
            <w:vAlign w:val="top"/>
          </w:tcPr>
          <w:p>
            <w:pPr>
              <w:pStyle w:val="46"/>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rPr>
              <w:t>人份</w:t>
            </w:r>
          </w:p>
        </w:tc>
        <w:tc>
          <w:tcPr>
            <w:tcW w:w="497" w:type="pct"/>
            <w:tcMar>
              <w:top w:w="15" w:type="dxa"/>
              <w:left w:w="15" w:type="dxa"/>
              <w:right w:w="15" w:type="dxa"/>
            </w:tcMar>
            <w:vAlign w:val="top"/>
          </w:tcPr>
          <w:p>
            <w:pPr>
              <w:pStyle w:val="46"/>
              <w:ind w:left="0" w:leftChars="0" w:firstLine="0" w:firstLineChars="0"/>
              <w:jc w:val="center"/>
              <w:rPr>
                <w:rFonts w:hint="eastAsia" w:ascii="宋体" w:hAnsi="宋体" w:eastAsia="宋体" w:cs="宋体"/>
                <w:color w:val="auto"/>
                <w:kern w:val="0"/>
                <w:sz w:val="21"/>
                <w:szCs w:val="21"/>
                <w:highlight w:val="none"/>
                <w:lang w:bidi="ar"/>
              </w:rPr>
            </w:pPr>
            <w:r>
              <w:rPr>
                <w:rFonts w:hint="eastAsia" w:ascii="宋体" w:hAnsi="宋体" w:cs="宋体"/>
                <w:color w:val="auto"/>
                <w:sz w:val="21"/>
                <w:szCs w:val="21"/>
                <w:lang w:val="en-US" w:eastAsia="zh-CN"/>
              </w:rPr>
              <w:t>3285</w:t>
            </w:r>
          </w:p>
        </w:tc>
        <w:tc>
          <w:tcPr>
            <w:tcW w:w="717" w:type="pct"/>
            <w:tcMar>
              <w:top w:w="15" w:type="dxa"/>
              <w:left w:w="15" w:type="dxa"/>
              <w:right w:w="15" w:type="dxa"/>
            </w:tcMar>
            <w:vAlign w:val="top"/>
          </w:tcPr>
          <w:p>
            <w:pPr>
              <w:pStyle w:val="46"/>
              <w:ind w:left="0" w:leftChars="0" w:firstLine="0" w:firstLineChars="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10</w:t>
            </w:r>
          </w:p>
        </w:tc>
        <w:tc>
          <w:tcPr>
            <w:tcW w:w="570" w:type="pct"/>
            <w:tcMar>
              <w:top w:w="15" w:type="dxa"/>
              <w:left w:w="15" w:type="dxa"/>
              <w:right w:w="15" w:type="dxa"/>
            </w:tcMar>
            <w:vAlign w:val="top"/>
          </w:tcPr>
          <w:p>
            <w:pPr>
              <w:pStyle w:val="46"/>
              <w:ind w:left="0" w:leftChars="0" w:firstLine="0" w:firstLineChars="0"/>
              <w:jc w:val="center"/>
              <w:rPr>
                <w:rFonts w:hint="default" w:ascii="宋体" w:hAnsi="宋体" w:eastAsia="宋体" w:cs="宋体"/>
                <w:color w:val="auto"/>
                <w:spacing w:val="0"/>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32850</w:t>
            </w:r>
          </w:p>
        </w:tc>
        <w:tc>
          <w:tcPr>
            <w:tcW w:w="573" w:type="pct"/>
            <w:tcMar>
              <w:top w:w="15" w:type="dxa"/>
              <w:left w:w="15" w:type="dxa"/>
              <w:right w:w="15" w:type="dxa"/>
            </w:tcMar>
            <w:vAlign w:val="top"/>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294" w:type="pct"/>
            <w:tcMar>
              <w:top w:w="15" w:type="dxa"/>
              <w:left w:w="15" w:type="dxa"/>
              <w:right w:w="15" w:type="dxa"/>
            </w:tcMar>
            <w:vAlign w:val="center"/>
          </w:tcPr>
          <w:p>
            <w:pPr>
              <w:widowControl/>
              <w:spacing w:line="360" w:lineRule="auto"/>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4</w:t>
            </w:r>
          </w:p>
        </w:tc>
        <w:tc>
          <w:tcPr>
            <w:tcW w:w="1842" w:type="pct"/>
            <w:tcMar>
              <w:top w:w="15" w:type="dxa"/>
              <w:left w:w="15" w:type="dxa"/>
              <w:right w:w="15" w:type="dxa"/>
            </w:tcMar>
            <w:vAlign w:val="top"/>
          </w:tcPr>
          <w:p>
            <w:pPr>
              <w:pStyle w:val="46"/>
              <w:ind w:left="0" w:leftChars="0" w:firstLine="0" w:firstLineChars="0"/>
              <w:jc w:val="left"/>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eastAsia="zh-CN"/>
              </w:rPr>
              <w:t>沙眼衣原体/淋球菌</w:t>
            </w:r>
          </w:p>
        </w:tc>
        <w:tc>
          <w:tcPr>
            <w:tcW w:w="504" w:type="pct"/>
            <w:tcMar>
              <w:top w:w="15" w:type="dxa"/>
              <w:left w:w="15" w:type="dxa"/>
              <w:right w:w="15" w:type="dxa"/>
            </w:tcMar>
            <w:vAlign w:val="top"/>
          </w:tcPr>
          <w:p>
            <w:pPr>
              <w:pStyle w:val="46"/>
              <w:ind w:left="0" w:leftChars="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人份</w:t>
            </w:r>
          </w:p>
        </w:tc>
        <w:tc>
          <w:tcPr>
            <w:tcW w:w="497" w:type="pct"/>
            <w:tcMar>
              <w:top w:w="15" w:type="dxa"/>
              <w:left w:w="15" w:type="dxa"/>
              <w:right w:w="15" w:type="dxa"/>
            </w:tcMar>
            <w:vAlign w:val="top"/>
          </w:tcPr>
          <w:p>
            <w:pPr>
              <w:pStyle w:val="46"/>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2500</w:t>
            </w:r>
          </w:p>
        </w:tc>
        <w:tc>
          <w:tcPr>
            <w:tcW w:w="717" w:type="pct"/>
            <w:tcMar>
              <w:top w:w="15" w:type="dxa"/>
              <w:left w:w="15" w:type="dxa"/>
              <w:right w:w="15" w:type="dxa"/>
            </w:tcMar>
            <w:vAlign w:val="top"/>
          </w:tcPr>
          <w:p>
            <w:pPr>
              <w:pStyle w:val="46"/>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35</w:t>
            </w:r>
          </w:p>
        </w:tc>
        <w:tc>
          <w:tcPr>
            <w:tcW w:w="570" w:type="pct"/>
            <w:tcMar>
              <w:top w:w="15" w:type="dxa"/>
              <w:left w:w="15" w:type="dxa"/>
              <w:right w:w="15" w:type="dxa"/>
            </w:tcMar>
            <w:vAlign w:val="top"/>
          </w:tcPr>
          <w:p>
            <w:pPr>
              <w:pStyle w:val="46"/>
              <w:ind w:left="0" w:leftChars="0" w:firstLine="0" w:firstLineChars="0"/>
              <w:jc w:val="center"/>
              <w:rPr>
                <w:rFonts w:hint="default" w:ascii="宋体" w:hAnsi="宋体" w:eastAsia="宋体" w:cs="宋体"/>
                <w:color w:val="auto"/>
                <w:spacing w:val="0"/>
                <w:kern w:val="2"/>
                <w:sz w:val="21"/>
                <w:szCs w:val="21"/>
                <w:lang w:val="en-US" w:eastAsia="zh-CN" w:bidi="ar-SA"/>
              </w:rPr>
            </w:pPr>
            <w:r>
              <w:rPr>
                <w:rFonts w:hint="eastAsia" w:ascii="宋体" w:hAnsi="宋体" w:cs="宋体"/>
                <w:color w:val="auto"/>
                <w:sz w:val="21"/>
                <w:szCs w:val="21"/>
                <w:lang w:val="en-US" w:eastAsia="zh-CN"/>
              </w:rPr>
              <w:t>87500</w:t>
            </w:r>
          </w:p>
        </w:tc>
        <w:tc>
          <w:tcPr>
            <w:tcW w:w="573" w:type="pct"/>
            <w:tcMar>
              <w:top w:w="15" w:type="dxa"/>
              <w:left w:w="15" w:type="dxa"/>
              <w:right w:w="15" w:type="dxa"/>
            </w:tcMar>
            <w:vAlign w:val="top"/>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294" w:type="pct"/>
            <w:tcMar>
              <w:top w:w="15" w:type="dxa"/>
              <w:left w:w="15" w:type="dxa"/>
              <w:right w:w="15" w:type="dxa"/>
            </w:tcMar>
            <w:vAlign w:val="center"/>
          </w:tcPr>
          <w:p>
            <w:pPr>
              <w:widowControl/>
              <w:spacing w:line="360" w:lineRule="auto"/>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5</w:t>
            </w:r>
          </w:p>
        </w:tc>
        <w:tc>
          <w:tcPr>
            <w:tcW w:w="1842" w:type="pct"/>
            <w:tcMar>
              <w:top w:w="15" w:type="dxa"/>
              <w:left w:w="15" w:type="dxa"/>
              <w:right w:w="15" w:type="dxa"/>
            </w:tcMar>
            <w:vAlign w:val="top"/>
          </w:tcPr>
          <w:p>
            <w:pPr>
              <w:pStyle w:val="46"/>
              <w:ind w:left="0" w:leftChars="0" w:firstLine="0" w:firstLineChars="0"/>
              <w:jc w:val="left"/>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eastAsia="zh-CN"/>
              </w:rPr>
              <w:t>结核分枝杆菌</w:t>
            </w:r>
          </w:p>
        </w:tc>
        <w:tc>
          <w:tcPr>
            <w:tcW w:w="504" w:type="pct"/>
            <w:tcMar>
              <w:top w:w="15" w:type="dxa"/>
              <w:left w:w="15" w:type="dxa"/>
              <w:right w:w="15" w:type="dxa"/>
            </w:tcMar>
            <w:vAlign w:val="top"/>
          </w:tcPr>
          <w:p>
            <w:pPr>
              <w:pStyle w:val="46"/>
              <w:ind w:left="0" w:leftChars="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人份</w:t>
            </w:r>
          </w:p>
        </w:tc>
        <w:tc>
          <w:tcPr>
            <w:tcW w:w="497" w:type="pct"/>
            <w:tcMar>
              <w:top w:w="15" w:type="dxa"/>
              <w:left w:w="15" w:type="dxa"/>
              <w:right w:w="15" w:type="dxa"/>
            </w:tcMar>
            <w:vAlign w:val="top"/>
          </w:tcPr>
          <w:p>
            <w:pPr>
              <w:pStyle w:val="46"/>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300</w:t>
            </w:r>
          </w:p>
        </w:tc>
        <w:tc>
          <w:tcPr>
            <w:tcW w:w="717" w:type="pct"/>
            <w:tcMar>
              <w:top w:w="15" w:type="dxa"/>
              <w:left w:w="15" w:type="dxa"/>
              <w:right w:w="15" w:type="dxa"/>
            </w:tcMar>
            <w:vAlign w:val="top"/>
          </w:tcPr>
          <w:p>
            <w:pPr>
              <w:pStyle w:val="46"/>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50</w:t>
            </w:r>
          </w:p>
        </w:tc>
        <w:tc>
          <w:tcPr>
            <w:tcW w:w="570" w:type="pct"/>
            <w:tcMar>
              <w:top w:w="15" w:type="dxa"/>
              <w:left w:w="15" w:type="dxa"/>
              <w:right w:w="15" w:type="dxa"/>
            </w:tcMar>
            <w:vAlign w:val="top"/>
          </w:tcPr>
          <w:p>
            <w:pPr>
              <w:pStyle w:val="46"/>
              <w:ind w:left="0" w:leftChars="0" w:firstLine="0" w:firstLineChars="0"/>
              <w:jc w:val="center"/>
              <w:rPr>
                <w:rFonts w:hint="eastAsia" w:ascii="宋体" w:hAnsi="宋体" w:eastAsia="宋体" w:cs="宋体"/>
                <w:color w:val="auto"/>
                <w:spacing w:val="0"/>
                <w:kern w:val="2"/>
                <w:sz w:val="21"/>
                <w:szCs w:val="21"/>
                <w:lang w:val="en-US" w:eastAsia="zh-CN" w:bidi="ar-SA"/>
              </w:rPr>
            </w:pPr>
            <w:r>
              <w:rPr>
                <w:rFonts w:hint="eastAsia" w:ascii="宋体" w:hAnsi="宋体" w:cs="宋体"/>
                <w:color w:val="auto"/>
                <w:sz w:val="21"/>
                <w:szCs w:val="21"/>
                <w:lang w:val="en-US" w:eastAsia="zh-CN"/>
              </w:rPr>
              <w:t>15000</w:t>
            </w:r>
          </w:p>
        </w:tc>
        <w:tc>
          <w:tcPr>
            <w:tcW w:w="573" w:type="pct"/>
            <w:tcMar>
              <w:top w:w="15" w:type="dxa"/>
              <w:left w:w="15" w:type="dxa"/>
              <w:right w:w="15" w:type="dxa"/>
            </w:tcMar>
            <w:vAlign w:val="top"/>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294" w:type="pct"/>
            <w:tcMar>
              <w:top w:w="15" w:type="dxa"/>
              <w:left w:w="15" w:type="dxa"/>
              <w:right w:w="15" w:type="dxa"/>
            </w:tcMar>
            <w:vAlign w:val="center"/>
          </w:tcPr>
          <w:p>
            <w:pPr>
              <w:widowControl/>
              <w:spacing w:line="360" w:lineRule="auto"/>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6</w:t>
            </w:r>
          </w:p>
        </w:tc>
        <w:tc>
          <w:tcPr>
            <w:tcW w:w="1842" w:type="pct"/>
            <w:tcMar>
              <w:top w:w="15" w:type="dxa"/>
              <w:left w:w="15" w:type="dxa"/>
              <w:right w:w="15" w:type="dxa"/>
            </w:tcMar>
            <w:vAlign w:val="top"/>
          </w:tcPr>
          <w:p>
            <w:pPr>
              <w:pStyle w:val="46"/>
              <w:ind w:left="0" w:leftChars="0" w:firstLine="0" w:firstLineChars="0"/>
              <w:jc w:val="left"/>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呼吸道合胞病毒</w:t>
            </w:r>
          </w:p>
        </w:tc>
        <w:tc>
          <w:tcPr>
            <w:tcW w:w="504" w:type="pct"/>
            <w:tcMar>
              <w:top w:w="15" w:type="dxa"/>
              <w:left w:w="15" w:type="dxa"/>
              <w:right w:w="15" w:type="dxa"/>
            </w:tcMar>
            <w:vAlign w:val="top"/>
          </w:tcPr>
          <w:p>
            <w:pPr>
              <w:pStyle w:val="46"/>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人份</w:t>
            </w:r>
          </w:p>
        </w:tc>
        <w:tc>
          <w:tcPr>
            <w:tcW w:w="497" w:type="pct"/>
            <w:tcMar>
              <w:top w:w="15" w:type="dxa"/>
              <w:left w:w="15" w:type="dxa"/>
              <w:right w:w="15" w:type="dxa"/>
            </w:tcMar>
            <w:vAlign w:val="top"/>
          </w:tcPr>
          <w:p>
            <w:pPr>
              <w:pStyle w:val="46"/>
              <w:ind w:left="0" w:leftChars="0" w:firstLine="0" w:firstLineChars="0"/>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1500</w:t>
            </w:r>
          </w:p>
        </w:tc>
        <w:tc>
          <w:tcPr>
            <w:tcW w:w="717" w:type="pct"/>
            <w:tcMar>
              <w:top w:w="15" w:type="dxa"/>
              <w:left w:w="15" w:type="dxa"/>
              <w:right w:w="15" w:type="dxa"/>
            </w:tcMar>
            <w:vAlign w:val="top"/>
          </w:tcPr>
          <w:p>
            <w:pPr>
              <w:pStyle w:val="46"/>
              <w:ind w:left="0" w:leftChars="0" w:firstLine="0" w:firstLineChars="0"/>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50</w:t>
            </w:r>
          </w:p>
        </w:tc>
        <w:tc>
          <w:tcPr>
            <w:tcW w:w="570" w:type="pct"/>
            <w:tcMar>
              <w:top w:w="15" w:type="dxa"/>
              <w:left w:w="15" w:type="dxa"/>
              <w:right w:w="15" w:type="dxa"/>
            </w:tcMar>
            <w:vAlign w:val="top"/>
          </w:tcPr>
          <w:p>
            <w:pPr>
              <w:pStyle w:val="46"/>
              <w:ind w:left="0" w:leftChars="0" w:firstLine="0" w:firstLineChars="0"/>
              <w:jc w:val="center"/>
              <w:rPr>
                <w:rFonts w:hint="default" w:ascii="宋体" w:hAnsi="宋体" w:eastAsia="宋体" w:cs="宋体"/>
                <w:color w:val="auto"/>
                <w:spacing w:val="0"/>
                <w:kern w:val="2"/>
                <w:sz w:val="21"/>
                <w:szCs w:val="21"/>
                <w:lang w:val="en-US" w:eastAsia="zh-CN" w:bidi="ar-SA"/>
              </w:rPr>
            </w:pPr>
            <w:r>
              <w:rPr>
                <w:rFonts w:hint="eastAsia" w:ascii="宋体" w:hAnsi="宋体" w:cs="宋体"/>
                <w:color w:val="auto"/>
                <w:sz w:val="21"/>
                <w:szCs w:val="21"/>
                <w:lang w:val="en-US" w:eastAsia="zh-CN"/>
              </w:rPr>
              <w:t>75000</w:t>
            </w:r>
          </w:p>
        </w:tc>
        <w:tc>
          <w:tcPr>
            <w:tcW w:w="573" w:type="pct"/>
            <w:tcMar>
              <w:top w:w="15" w:type="dxa"/>
              <w:left w:w="15" w:type="dxa"/>
              <w:right w:w="15" w:type="dxa"/>
            </w:tcMar>
            <w:vAlign w:val="top"/>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294" w:type="pct"/>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7</w:t>
            </w:r>
          </w:p>
        </w:tc>
        <w:tc>
          <w:tcPr>
            <w:tcW w:w="1842" w:type="pct"/>
            <w:tcMar>
              <w:top w:w="15" w:type="dxa"/>
              <w:left w:w="15" w:type="dxa"/>
              <w:right w:w="15" w:type="dxa"/>
            </w:tcMar>
            <w:vAlign w:val="center"/>
          </w:tcPr>
          <w:p>
            <w:pPr>
              <w:pStyle w:val="46"/>
              <w:ind w:left="0" w:leftChars="0"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lang w:val="en-US" w:eastAsia="zh-CN"/>
              </w:rPr>
              <w:t>快检设备</w:t>
            </w:r>
          </w:p>
        </w:tc>
        <w:tc>
          <w:tcPr>
            <w:tcW w:w="504" w:type="pct"/>
            <w:tcMar>
              <w:top w:w="15" w:type="dxa"/>
              <w:left w:w="15" w:type="dxa"/>
              <w:right w:w="15" w:type="dxa"/>
            </w:tcMar>
            <w:vAlign w:val="center"/>
          </w:tcPr>
          <w:p>
            <w:pPr>
              <w:pStyle w:val="46"/>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lang w:val="en-US" w:eastAsia="zh-CN"/>
              </w:rPr>
              <w:t>台</w:t>
            </w:r>
          </w:p>
        </w:tc>
        <w:tc>
          <w:tcPr>
            <w:tcW w:w="497" w:type="pct"/>
            <w:tcMar>
              <w:top w:w="15" w:type="dxa"/>
              <w:left w:w="15" w:type="dxa"/>
              <w:right w:w="15" w:type="dxa"/>
            </w:tcMar>
            <w:vAlign w:val="center"/>
          </w:tcPr>
          <w:p>
            <w:pPr>
              <w:pStyle w:val="46"/>
              <w:ind w:left="0" w:leftChars="0" w:firstLine="0" w:firstLineChars="0"/>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lang w:val="en-US" w:eastAsia="zh-CN"/>
              </w:rPr>
              <w:t>2</w:t>
            </w:r>
          </w:p>
        </w:tc>
        <w:tc>
          <w:tcPr>
            <w:tcW w:w="717" w:type="pct"/>
            <w:tcMar>
              <w:top w:w="15" w:type="dxa"/>
              <w:left w:w="15" w:type="dxa"/>
              <w:right w:w="15" w:type="dxa"/>
            </w:tcMar>
            <w:vAlign w:val="center"/>
          </w:tcPr>
          <w:p>
            <w:pPr>
              <w:pStyle w:val="46"/>
              <w:ind w:left="0" w:leftChars="0" w:firstLine="0" w:firstLineChars="0"/>
              <w:jc w:val="center"/>
              <w:rPr>
                <w:rFonts w:hint="eastAsia" w:ascii="宋体" w:hAnsi="宋体" w:eastAsia="宋体" w:cs="宋体"/>
                <w:color w:val="auto"/>
                <w:kern w:val="0"/>
                <w:sz w:val="21"/>
                <w:szCs w:val="21"/>
                <w:highlight w:val="none"/>
                <w:lang w:bidi="ar"/>
              </w:rPr>
            </w:pPr>
          </w:p>
        </w:tc>
        <w:tc>
          <w:tcPr>
            <w:tcW w:w="570" w:type="pct"/>
            <w:tcMar>
              <w:top w:w="15" w:type="dxa"/>
              <w:left w:w="15" w:type="dxa"/>
              <w:right w:w="15" w:type="dxa"/>
            </w:tcMar>
            <w:vAlign w:val="center"/>
          </w:tcPr>
          <w:p>
            <w:pPr>
              <w:pStyle w:val="46"/>
              <w:ind w:left="0" w:leftChars="0" w:firstLine="0" w:firstLineChars="0"/>
              <w:jc w:val="center"/>
              <w:rPr>
                <w:rFonts w:hint="default" w:ascii="宋体" w:hAnsi="宋体" w:eastAsia="宋体" w:cs="宋体"/>
                <w:color w:val="auto"/>
                <w:spacing w:val="0"/>
                <w:kern w:val="0"/>
                <w:sz w:val="21"/>
                <w:szCs w:val="21"/>
                <w:highlight w:val="none"/>
                <w:lang w:val="en-US" w:eastAsia="zh-CN" w:bidi="ar"/>
              </w:rPr>
            </w:pPr>
            <w:r>
              <w:rPr>
                <w:rFonts w:hint="eastAsia" w:ascii="宋体" w:hAnsi="宋体" w:eastAsia="宋体" w:cs="宋体"/>
                <w:color w:val="auto"/>
                <w:sz w:val="21"/>
                <w:szCs w:val="21"/>
                <w:lang w:val="en-US" w:eastAsia="zh-CN"/>
              </w:rPr>
              <w:t>10000</w:t>
            </w:r>
          </w:p>
        </w:tc>
        <w:tc>
          <w:tcPr>
            <w:tcW w:w="573" w:type="pct"/>
            <w:tcMar>
              <w:top w:w="15" w:type="dxa"/>
              <w:left w:w="15" w:type="dxa"/>
              <w:right w:w="15" w:type="dxa"/>
            </w:tcMar>
            <w:vAlign w:val="center"/>
          </w:tcPr>
          <w:p>
            <w:pPr>
              <w:pStyle w:val="46"/>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以满足实际需求为准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2137" w:type="pct"/>
            <w:gridSpan w:val="2"/>
            <w:tcMar>
              <w:top w:w="15" w:type="dxa"/>
              <w:left w:w="15" w:type="dxa"/>
              <w:right w:w="15" w:type="dxa"/>
            </w:tcMar>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合计（元）</w:t>
            </w:r>
          </w:p>
        </w:tc>
        <w:tc>
          <w:tcPr>
            <w:tcW w:w="2862" w:type="pct"/>
            <w:gridSpan w:val="5"/>
            <w:tcMar>
              <w:top w:w="15" w:type="dxa"/>
              <w:left w:w="15" w:type="dxa"/>
              <w:right w:w="15" w:type="dxa"/>
            </w:tcMar>
            <w:vAlign w:val="center"/>
          </w:tcPr>
          <w:p>
            <w:pPr>
              <w:pStyle w:val="46"/>
              <w:ind w:left="0" w:leftChars="0" w:firstLine="0" w:firstLineChars="0"/>
              <w:jc w:val="center"/>
              <w:rPr>
                <w:rFonts w:hint="eastAsia" w:ascii="宋体" w:hAnsi="宋体" w:eastAsia="宋体" w:cs="宋体"/>
                <w:color w:val="auto"/>
                <w:sz w:val="21"/>
                <w:szCs w:val="21"/>
                <w:lang w:val="en-US" w:eastAsia="zh-CN"/>
              </w:rPr>
            </w:pPr>
          </w:p>
        </w:tc>
      </w:tr>
    </w:tbl>
    <w:p>
      <w:pPr>
        <w:pStyle w:val="2"/>
        <w:jc w:val="left"/>
        <w:rPr>
          <w:rFonts w:hint="eastAsia" w:ascii="宋体" w:cs="宋体"/>
          <w:color w:val="auto"/>
          <w:highlight w:val="none"/>
        </w:rPr>
      </w:pPr>
      <w:r>
        <w:rPr>
          <w:rFonts w:hint="eastAsia" w:ascii="宋体" w:cs="宋体"/>
          <w:color w:val="auto"/>
          <w:sz w:val="22"/>
          <w:szCs w:val="22"/>
          <w:highlight w:val="none"/>
        </w:rPr>
        <w:t>注：投标试剂单价包含完成该项目的所有耗材及质控材料。</w:t>
      </w:r>
    </w:p>
    <w:p>
      <w:pPr>
        <w:pStyle w:val="18"/>
        <w:numPr>
          <w:ilvl w:val="0"/>
          <w:numId w:val="0"/>
        </w:numPr>
        <w:ind w:left="422" w:leftChars="0"/>
        <w:jc w:val="both"/>
        <w:rPr>
          <w:rFonts w:hint="eastAsia" w:ascii="宋体" w:hAnsi="宋体" w:cs="宋体"/>
          <w:b/>
          <w:bCs/>
          <w:color w:val="auto"/>
          <w:sz w:val="21"/>
          <w:szCs w:val="21"/>
          <w:highlight w:val="none"/>
          <w:lang w:val="en-US" w:eastAsia="zh-CN"/>
        </w:rPr>
      </w:pPr>
    </w:p>
    <w:p>
      <w:pPr>
        <w:pStyle w:val="2"/>
        <w:jc w:val="left"/>
        <w:rPr>
          <w:rFonts w:hint="eastAsia" w:ascii="宋体" w:cs="宋体"/>
          <w:color w:val="auto"/>
          <w:highlight w:val="none"/>
        </w:rPr>
      </w:pPr>
      <w:r>
        <w:rPr>
          <w:rFonts w:hint="eastAsia" w:ascii="宋体" w:cs="宋体"/>
          <w:color w:val="auto"/>
          <w:sz w:val="22"/>
          <w:szCs w:val="22"/>
          <w:highlight w:val="none"/>
        </w:rPr>
        <w:t>注：投标试剂单价包含完成该项目的所有耗材及质控材料。</w:t>
      </w:r>
    </w:p>
    <w:p>
      <w:pPr>
        <w:pStyle w:val="2"/>
        <w:jc w:val="center"/>
        <w:rPr>
          <w:rFonts w:hint="eastAsia" w:ascii="宋体" w:cs="宋体"/>
          <w:color w:val="auto"/>
          <w:highlight w:val="none"/>
        </w:rPr>
      </w:pPr>
    </w:p>
    <w:p>
      <w:pPr>
        <w:pStyle w:val="2"/>
        <w:jc w:val="center"/>
        <w:rPr>
          <w:rFonts w:hint="eastAsia" w:ascii="宋体" w:cs="宋体"/>
          <w:color w:val="auto"/>
          <w:highlight w:val="none"/>
        </w:rPr>
      </w:pPr>
    </w:p>
    <w:p>
      <w:pPr>
        <w:pStyle w:val="2"/>
        <w:jc w:val="center"/>
        <w:rPr>
          <w:rFonts w:hint="eastAsia" w:ascii="宋体" w:cs="宋体"/>
          <w:color w:val="auto"/>
          <w:highlight w:val="none"/>
        </w:rPr>
      </w:pPr>
    </w:p>
    <w:p>
      <w:pPr>
        <w:pStyle w:val="2"/>
        <w:jc w:val="center"/>
        <w:rPr>
          <w:rFonts w:ascii="宋体" w:cs="宋体"/>
          <w:color w:val="auto"/>
          <w:highlight w:val="none"/>
        </w:rPr>
      </w:pPr>
      <w:r>
        <w:rPr>
          <w:rFonts w:hint="eastAsia" w:ascii="宋体" w:cs="宋体"/>
          <w:color w:val="auto"/>
          <w:highlight w:val="none"/>
        </w:rPr>
        <w:t>第三章</w:t>
      </w:r>
      <w:r>
        <w:rPr>
          <w:rFonts w:hint="eastAsia" w:ascii="宋体" w:cs="宋体"/>
          <w:color w:val="auto"/>
          <w:highlight w:val="none"/>
          <w:lang w:val="en-US" w:eastAsia="zh-CN"/>
        </w:rPr>
        <w:t xml:space="preserve"> </w:t>
      </w:r>
      <w:r>
        <w:rPr>
          <w:rFonts w:hint="eastAsia" w:ascii="宋体" w:cs="宋体"/>
          <w:color w:val="auto"/>
          <w:highlight w:val="none"/>
        </w:rPr>
        <w:t>投标人须知</w:t>
      </w:r>
      <w:bookmarkEnd w:id="75"/>
      <w:bookmarkEnd w:id="76"/>
    </w:p>
    <w:p>
      <w:pPr>
        <w:snapToGrid w:val="0"/>
        <w:spacing w:before="156" w:beforeLines="50" w:after="156" w:afterLines="50" w:line="360" w:lineRule="auto"/>
        <w:ind w:left="238"/>
        <w:jc w:val="center"/>
        <w:outlineLvl w:val="1"/>
        <w:rPr>
          <w:rFonts w:ascii="宋体" w:hAnsi="宋体" w:cs="宋体"/>
          <w:color w:val="auto"/>
          <w:highlight w:val="none"/>
        </w:rPr>
      </w:pPr>
      <w:bookmarkStart w:id="77" w:name="_Toc47388318"/>
      <w:bookmarkStart w:id="78" w:name="_Toc417922226"/>
      <w:bookmarkStart w:id="79" w:name="_Toc4833"/>
      <w:r>
        <w:rPr>
          <w:rFonts w:hint="eastAsia" w:ascii="宋体" w:hAnsi="宋体" w:cs="宋体"/>
          <w:color w:val="auto"/>
          <w:highlight w:val="none"/>
        </w:rPr>
        <w:t>前附表</w:t>
      </w:r>
      <w:bookmarkEnd w:id="77"/>
      <w:bookmarkEnd w:id="78"/>
      <w:bookmarkEnd w:id="79"/>
    </w:p>
    <w:tbl>
      <w:tblPr>
        <w:tblStyle w:val="47"/>
        <w:tblW w:w="924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序号</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项目名称：</w:t>
            </w:r>
            <w:r>
              <w:rPr>
                <w:rFonts w:hint="eastAsia" w:ascii="宋体" w:hAnsi="宋体" w:cs="宋体"/>
                <w:color w:val="auto"/>
                <w:highlight w:val="none"/>
                <w:lang w:eastAsia="zh-CN"/>
              </w:rPr>
              <w:t>丽水市妇幼保健院病原微生物核酸快速检测分析试剂采购项目（重发）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w:t>
            </w:r>
          </w:p>
        </w:tc>
        <w:tc>
          <w:tcPr>
            <w:tcW w:w="8371" w:type="dxa"/>
            <w:tcBorders>
              <w:top w:val="single" w:color="auto" w:sz="4" w:space="0"/>
              <w:left w:val="single" w:color="auto" w:sz="4" w:space="0"/>
              <w:bottom w:val="single" w:color="auto" w:sz="4" w:space="0"/>
            </w:tcBorders>
            <w:vAlign w:val="center"/>
          </w:tcPr>
          <w:p>
            <w:pPr>
              <w:spacing w:line="360" w:lineRule="auto"/>
              <w:ind w:firstLine="422"/>
              <w:rPr>
                <w:rFonts w:ascii="宋体" w:hAnsi="宋体" w:cs="宋体"/>
                <w:b/>
                <w:bCs/>
                <w:color w:val="auto"/>
                <w:highlight w:val="none"/>
              </w:rPr>
            </w:pPr>
            <w:r>
              <w:rPr>
                <w:rFonts w:hint="eastAsia" w:ascii="宋体" w:hAnsi="宋体" w:cs="宋体"/>
                <w:b/>
                <w:bCs/>
                <w:color w:val="auto"/>
                <w:highlight w:val="none"/>
              </w:rPr>
              <w:t>投标报价及费用：</w:t>
            </w:r>
          </w:p>
          <w:p>
            <w:pPr>
              <w:numPr>
                <w:ilvl w:val="0"/>
                <w:numId w:val="8"/>
              </w:numPr>
              <w:overflowPunct w:val="0"/>
              <w:spacing w:line="360" w:lineRule="auto"/>
              <w:ind w:left="63" w:leftChars="1" w:hanging="61" w:hangingChars="29"/>
              <w:rPr>
                <w:rFonts w:ascii="宋体" w:hAnsi="宋体" w:cs="宋体"/>
                <w:b/>
                <w:bCs/>
                <w:color w:val="auto"/>
                <w:highlight w:val="none"/>
              </w:rPr>
            </w:pPr>
            <w:r>
              <w:rPr>
                <w:rFonts w:hint="eastAsia" w:ascii="宋体" w:hAnsi="宋体" w:cs="宋体"/>
                <w:b/>
                <w:bCs/>
                <w:color w:val="auto"/>
                <w:highlight w:val="none"/>
              </w:rPr>
              <w:t>配套设备报价应包括设备费、设备安装费（含完成安装调试验收合格所需的所有零部件费用）、完成该项目的所有耗材，如试管等、运输费、技监部门检验合格、终验收、劳务耗材费用、中标服务费、人工费、企业管理费、合理利润、风险费用、税金、合同履行期内服务费用等直至完成本项目所产生的全部合理费用。设备报价超过最高限价的作无效标处理。</w:t>
            </w:r>
          </w:p>
          <w:p>
            <w:pPr>
              <w:numPr>
                <w:ilvl w:val="0"/>
                <w:numId w:val="8"/>
              </w:numPr>
              <w:overflowPunct w:val="0"/>
              <w:spacing w:line="360" w:lineRule="auto"/>
              <w:ind w:left="63" w:leftChars="1" w:hanging="61" w:hangingChars="29"/>
              <w:rPr>
                <w:rFonts w:ascii="宋体" w:hAnsi="宋体" w:cs="宋体"/>
                <w:b/>
                <w:bCs/>
                <w:color w:val="auto"/>
                <w:highlight w:val="none"/>
              </w:rPr>
            </w:pPr>
            <w:r>
              <w:rPr>
                <w:rFonts w:hint="eastAsia" w:ascii="宋体" w:hAnsi="宋体" w:cs="宋体"/>
                <w:b/>
                <w:bCs/>
                <w:color w:val="auto"/>
                <w:highlight w:val="none"/>
              </w:rPr>
              <w:t>试剂报价应包括试剂配套所需未列出的耗材（质控液、定标液、清洗液、缓冲液等）、税费、运输费、保险、伴随服务费等一切与本次采购相关的费用。试剂报价超过最高限价的作无效标处理。</w:t>
            </w:r>
          </w:p>
          <w:p>
            <w:pPr>
              <w:numPr>
                <w:ilvl w:val="0"/>
                <w:numId w:val="8"/>
              </w:numPr>
              <w:overflowPunct w:val="0"/>
              <w:spacing w:line="360" w:lineRule="auto"/>
              <w:ind w:left="63" w:leftChars="1" w:hanging="61" w:hangingChars="29"/>
              <w:rPr>
                <w:rFonts w:ascii="宋体" w:hAnsi="宋体" w:cs="宋体"/>
                <w:b/>
                <w:bCs/>
                <w:color w:val="auto"/>
                <w:highlight w:val="none"/>
              </w:rPr>
            </w:pPr>
            <w:r>
              <w:rPr>
                <w:rFonts w:hint="eastAsia" w:ascii="宋体" w:hAnsi="宋体" w:cs="宋体"/>
                <w:b/>
                <w:bCs/>
                <w:color w:val="auto"/>
                <w:highlight w:val="none"/>
              </w:rPr>
              <w:t>本项目预算金额/最高限价：详见</w:t>
            </w:r>
            <w:r>
              <w:rPr>
                <w:rFonts w:hint="eastAsia" w:ascii="宋体" w:hAnsi="宋体" w:cs="宋体"/>
                <w:b/>
                <w:color w:val="auto"/>
                <w:highlight w:val="none"/>
              </w:rPr>
              <w:t>第一章招标公开招标采购公告及第二章招标需求三、试剂清单及最高限价。</w:t>
            </w:r>
            <w:r>
              <w:rPr>
                <w:rFonts w:hint="eastAsia" w:ascii="宋体" w:hAnsi="宋体" w:cs="宋体"/>
                <w:b/>
                <w:bCs/>
                <w:color w:val="auto"/>
                <w:highlight w:val="none"/>
              </w:rPr>
              <w:t>投标报价超过预算金额的作无效标处理。</w:t>
            </w:r>
          </w:p>
          <w:p>
            <w:pPr>
              <w:spacing w:line="360" w:lineRule="auto"/>
              <w:rPr>
                <w:rFonts w:ascii="宋体" w:hAnsi="宋体" w:cs="宋体"/>
                <w:b/>
                <w:bCs/>
                <w:color w:val="auto"/>
                <w:highlight w:val="none"/>
              </w:rPr>
            </w:pPr>
            <w:r>
              <w:rPr>
                <w:rFonts w:hint="eastAsia" w:ascii="宋体" w:hAnsi="宋体" w:cs="宋体"/>
                <w:b/>
                <w:bCs/>
                <w:color w:val="auto"/>
                <w:highlight w:val="none"/>
              </w:rPr>
              <w:t>4、不论投标结果如何，投标人均应自行承担所有与投标有关的全部费用；</w:t>
            </w:r>
          </w:p>
          <w:p>
            <w:pPr>
              <w:spacing w:line="400" w:lineRule="exact"/>
              <w:rPr>
                <w:rFonts w:ascii="宋体" w:hAnsi="宋体" w:cs="宋体"/>
                <w:color w:val="auto"/>
                <w:highlight w:val="none"/>
              </w:rPr>
            </w:pPr>
            <w:r>
              <w:rPr>
                <w:rFonts w:hint="eastAsia" w:ascii="宋体" w:hAnsi="宋体" w:cs="宋体"/>
                <w:b/>
                <w:bCs/>
                <w:color w:val="auto"/>
                <w:highlight w:val="none"/>
              </w:rPr>
              <w:t>5、中标服务费的收取标准：</w:t>
            </w:r>
          </w:p>
          <w:p>
            <w:pPr>
              <w:spacing w:line="360" w:lineRule="auto"/>
              <w:rPr>
                <w:rFonts w:ascii="宋体" w:hAnsi="宋体" w:cs="宋体"/>
                <w:snapToGrid w:val="0"/>
                <w:color w:val="auto"/>
                <w:kern w:val="28"/>
                <w:sz w:val="24"/>
                <w:highlight w:val="none"/>
              </w:rPr>
            </w:pPr>
            <w:r>
              <w:rPr>
                <w:rFonts w:hint="eastAsia" w:ascii="宋体" w:hAnsi="宋体" w:cs="宋体"/>
                <w:color w:val="auto"/>
                <w:highlight w:val="none"/>
              </w:rPr>
              <w:t>（1）中标服务费的收取标准：参照下表中的货物收费标准下浮</w:t>
            </w:r>
            <w:r>
              <w:rPr>
                <w:rFonts w:hint="eastAsia" w:ascii="宋体" w:hAnsi="宋体" w:cs="宋体"/>
                <w:color w:val="auto"/>
                <w:highlight w:val="none"/>
                <w:lang w:val="en-US" w:eastAsia="zh-CN"/>
              </w:rPr>
              <w:t>1</w:t>
            </w:r>
            <w:r>
              <w:rPr>
                <w:rFonts w:hint="eastAsia" w:ascii="宋体" w:hAnsi="宋体" w:cs="宋体"/>
                <w:color w:val="auto"/>
                <w:highlight w:val="none"/>
              </w:rPr>
              <w:t>0%，采用差额定率累进法按照中标通知书确定的中标总金额，向中标人收取招标服务费。</w:t>
            </w:r>
          </w:p>
          <w:p>
            <w:pPr>
              <w:spacing w:line="400" w:lineRule="exact"/>
              <w:ind w:firstLine="480"/>
              <w:rPr>
                <w:rFonts w:ascii="宋体" w:hAnsi="宋体" w:cs="宋体"/>
                <w:color w:val="auto"/>
                <w:highlight w:val="none"/>
              </w:rPr>
            </w:pPr>
            <w:r>
              <w:rPr>
                <w:rFonts w:hint="eastAsia" w:ascii="宋体" w:hAnsi="宋体" w:cs="宋体"/>
                <w:snapToGrid w:val="0"/>
                <w:color w:val="auto"/>
                <w:kern w:val="28"/>
                <w:sz w:val="24"/>
                <w:highlight w:val="none"/>
              </w:rPr>
              <w:drawing>
                <wp:anchor distT="0" distB="0" distL="0" distR="0" simplePos="0" relativeHeight="251663360" behindDoc="0" locked="0" layoutInCell="1" allowOverlap="1">
                  <wp:simplePos x="0" y="0"/>
                  <wp:positionH relativeFrom="column">
                    <wp:posOffset>66675</wp:posOffset>
                  </wp:positionH>
                  <wp:positionV relativeFrom="paragraph">
                    <wp:posOffset>107950</wp:posOffset>
                  </wp:positionV>
                  <wp:extent cx="4050665" cy="2076450"/>
                  <wp:effectExtent l="0" t="0" r="6985" b="0"/>
                  <wp:wrapTopAndBottom/>
                  <wp:docPr id="1" name="图片 2" descr="C:\Users\ADMINI~1\AppData\Local\Temp\ksohtml22284\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1\AppData\Local\Temp\ksohtml22284\wps1.jpg"/>
                          <pic:cNvPicPr>
                            <a:picLocks noChangeAspect="1"/>
                          </pic:cNvPicPr>
                        </pic:nvPicPr>
                        <pic:blipFill>
                          <a:blip r:embed="rId11"/>
                          <a:stretch>
                            <a:fillRect/>
                          </a:stretch>
                        </pic:blipFill>
                        <pic:spPr>
                          <a:xfrm>
                            <a:off x="0" y="0"/>
                            <a:ext cx="4050665" cy="2076450"/>
                          </a:xfrm>
                          <a:prstGeom prst="rect">
                            <a:avLst/>
                          </a:prstGeom>
                          <a:noFill/>
                          <a:ln>
                            <a:noFill/>
                          </a:ln>
                        </pic:spPr>
                      </pic:pic>
                    </a:graphicData>
                  </a:graphic>
                </wp:anchor>
              </w:drawing>
            </w:r>
          </w:p>
          <w:p>
            <w:pPr>
              <w:spacing w:line="400" w:lineRule="exact"/>
              <w:rPr>
                <w:rFonts w:ascii="宋体" w:hAnsi="宋体" w:cs="宋体"/>
                <w:color w:val="auto"/>
                <w:highlight w:val="none"/>
              </w:rPr>
            </w:pPr>
            <w:r>
              <w:rPr>
                <w:rFonts w:hint="eastAsia" w:ascii="宋体" w:hAnsi="宋体" w:cs="宋体"/>
                <w:color w:val="auto"/>
                <w:highlight w:val="none"/>
              </w:rPr>
              <w:t>（2）中标人接到本公司通知后5个工作日内向本招标公司支付中标服务费。</w:t>
            </w:r>
          </w:p>
          <w:p>
            <w:pPr>
              <w:spacing w:line="400" w:lineRule="exact"/>
              <w:rPr>
                <w:rFonts w:ascii="宋体" w:hAnsi="宋体" w:cs="宋体"/>
                <w:color w:val="auto"/>
                <w:highlight w:val="none"/>
              </w:rPr>
            </w:pPr>
            <w:r>
              <w:rPr>
                <w:rFonts w:hint="eastAsia" w:ascii="宋体" w:hAnsi="宋体" w:cs="宋体"/>
                <w:color w:val="auto"/>
                <w:highlight w:val="none"/>
              </w:rPr>
              <w:t>（3）中标服务费只收现金、银行票汇款、电汇款。</w:t>
            </w:r>
          </w:p>
          <w:p>
            <w:pPr>
              <w:spacing w:line="400" w:lineRule="exact"/>
              <w:rPr>
                <w:rFonts w:ascii="宋体" w:hAnsi="宋体" w:cs="宋体"/>
                <w:color w:val="auto"/>
                <w:highlight w:val="none"/>
              </w:rPr>
            </w:pPr>
            <w:r>
              <w:rPr>
                <w:rFonts w:hint="eastAsia" w:ascii="宋体" w:hAnsi="宋体" w:cs="宋体"/>
                <w:color w:val="auto"/>
                <w:highlight w:val="none"/>
              </w:rPr>
              <w:t>（4）中标服务费均汇入以下账户：</w:t>
            </w:r>
          </w:p>
          <w:p>
            <w:pPr>
              <w:spacing w:line="400" w:lineRule="exact"/>
              <w:rPr>
                <w:rFonts w:ascii="宋体" w:hAnsi="宋体" w:cs="宋体"/>
                <w:color w:val="auto"/>
                <w:highlight w:val="none"/>
              </w:rPr>
            </w:pPr>
            <w:r>
              <w:rPr>
                <w:rFonts w:hint="eastAsia" w:ascii="宋体" w:hAnsi="宋体" w:cs="宋体"/>
                <w:color w:val="auto"/>
                <w:highlight w:val="none"/>
              </w:rPr>
              <w:t>开户银行：宁波银行丽水分行</w:t>
            </w:r>
          </w:p>
          <w:p>
            <w:pPr>
              <w:spacing w:line="400" w:lineRule="exact"/>
              <w:rPr>
                <w:rFonts w:ascii="宋体" w:hAnsi="宋体" w:cs="宋体"/>
                <w:color w:val="auto"/>
                <w:highlight w:val="none"/>
              </w:rPr>
            </w:pPr>
            <w:r>
              <w:rPr>
                <w:rFonts w:hint="eastAsia" w:ascii="宋体" w:hAnsi="宋体" w:cs="宋体"/>
                <w:color w:val="auto"/>
                <w:highlight w:val="none"/>
              </w:rPr>
              <w:t>帐号：90010122000220378</w:t>
            </w:r>
          </w:p>
          <w:p>
            <w:pPr>
              <w:spacing w:line="360" w:lineRule="auto"/>
              <w:rPr>
                <w:rFonts w:ascii="宋体" w:hAnsi="宋体" w:cs="宋体"/>
                <w:color w:val="auto"/>
                <w:highlight w:val="none"/>
              </w:rPr>
            </w:pPr>
            <w:r>
              <w:rPr>
                <w:rFonts w:hint="eastAsia" w:ascii="宋体" w:hAnsi="宋体" w:cs="宋体"/>
                <w:color w:val="auto"/>
                <w:highlight w:val="none"/>
              </w:rPr>
              <w:t>户名：宁波中基国际招标有限公司丽水分公司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b/>
                <w:bCs/>
                <w:color w:val="auto"/>
                <w:highlight w:val="none"/>
              </w:rPr>
            </w:pPr>
            <w:r>
              <w:rPr>
                <w:rFonts w:hint="eastAsia" w:ascii="宋体" w:hAnsi="宋体" w:cs="宋体"/>
                <w:color w:val="auto"/>
                <w:highlight w:val="none"/>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4</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现场踏勘：本项目不组织统一踏勘，投标人可自行前往现场踏勘，费用自理。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5</w:t>
            </w:r>
          </w:p>
        </w:tc>
        <w:tc>
          <w:tcPr>
            <w:tcW w:w="8371"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highlight w:val="none"/>
              </w:rPr>
              <w:t>投标文件组成：本项目实行网上投标，供应商应准备以下投标文件：</w:t>
            </w:r>
          </w:p>
          <w:p>
            <w:pPr>
              <w:snapToGrid w:val="0"/>
              <w:spacing w:line="360" w:lineRule="auto"/>
              <w:rPr>
                <w:rFonts w:ascii="宋体" w:hAnsi="宋体" w:cs="宋体"/>
                <w:color w:val="auto"/>
                <w:highlight w:val="none"/>
              </w:rPr>
            </w:pPr>
            <w:r>
              <w:rPr>
                <w:rFonts w:hint="eastAsia" w:ascii="宋体" w:hAnsi="宋体" w:cs="宋体"/>
                <w:color w:val="auto"/>
                <w:highlight w:val="none"/>
              </w:rPr>
              <w:t>（1）供应商于“政采云”上提供电子加密投标文件。</w:t>
            </w:r>
          </w:p>
          <w:p>
            <w:pPr>
              <w:snapToGrid w:val="0"/>
              <w:spacing w:line="360" w:lineRule="auto"/>
              <w:rPr>
                <w:rFonts w:ascii="宋体" w:hAnsi="宋体" w:cs="宋体"/>
                <w:color w:val="auto"/>
                <w:highlight w:val="none"/>
              </w:rPr>
            </w:pPr>
            <w:r>
              <w:rPr>
                <w:rFonts w:hint="eastAsia" w:ascii="宋体" w:hAnsi="宋体" w:cs="宋体"/>
                <w:color w:val="auto"/>
                <w:highlight w:val="none"/>
              </w:rPr>
              <w:t>（2）以电子邮件提供的备份电子投标文件数量1份。（自行决定，非必须要求）</w:t>
            </w:r>
          </w:p>
          <w:p>
            <w:pPr>
              <w:snapToGrid w:val="0"/>
              <w:spacing w:line="360" w:lineRule="auto"/>
              <w:rPr>
                <w:rFonts w:ascii="宋体" w:hAnsi="宋体" w:cs="宋体"/>
                <w:color w:val="auto"/>
                <w:highlight w:val="none"/>
              </w:rPr>
            </w:pPr>
            <w:r>
              <w:rPr>
                <w:rFonts w:hint="eastAsia" w:ascii="宋体" w:hAnsi="宋体" w:cs="宋体"/>
                <w:color w:val="auto"/>
                <w:highlight w:val="none"/>
              </w:rPr>
              <w:t>备份投标文件是否提交由投标人自行决定，如不提交的，当电子投标文件无法解密时，将导致无备份投标文件而失去投标资格。如提交备份投标文件的，应在投标截止时间前将最后生成的具有电子签章的备份投标文件通过电子邮件方式传送至代理机构邮箱（4893224@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6</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投标截止时间及地点：详见第一章。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7</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开标时间及地点：详见第一章。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8</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9</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评标结果公示：评标结束后，评标结果公示于浙江省政府采购网，宁波中基国际招标有限公司网站。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10</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11</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履约保证金金额：不适用。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★12</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投标文件有效期：自投标截止日起90天。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13</w:t>
            </w:r>
          </w:p>
        </w:tc>
        <w:tc>
          <w:tcPr>
            <w:tcW w:w="8371"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rPr>
              <w:t>★</w:t>
            </w:r>
            <w:r>
              <w:rPr>
                <w:rFonts w:hint="eastAsia" w:ascii="宋体" w:hAnsi="宋体" w:cs="宋体"/>
                <w:color w:val="auto"/>
                <w:highlight w:val="none"/>
                <w:lang w:val="en-US" w:eastAsia="zh-CN"/>
              </w:rPr>
              <w:t>14</w:t>
            </w:r>
          </w:p>
        </w:tc>
        <w:tc>
          <w:tcPr>
            <w:tcW w:w="8371" w:type="dxa"/>
            <w:tcBorders>
              <w:top w:val="single" w:color="auto" w:sz="4" w:space="0"/>
              <w:left w:val="single" w:color="auto" w:sz="4" w:space="0"/>
              <w:bottom w:val="single" w:color="auto" w:sz="4" w:space="0"/>
            </w:tcBorders>
            <w:vAlign w:val="center"/>
          </w:tcPr>
          <w:p>
            <w:pPr>
              <w:spacing w:line="360" w:lineRule="auto"/>
              <w:rPr>
                <w:rFonts w:hint="eastAsia" w:ascii="宋体" w:hAnsi="宋体" w:cs="宋体"/>
                <w:color w:val="auto"/>
                <w:highlight w:val="none"/>
              </w:rPr>
            </w:pPr>
            <w:r>
              <w:rPr>
                <w:rFonts w:hint="eastAsia" w:ascii="宋体" w:hAnsi="宋体" w:cs="宋体"/>
                <w:b/>
                <w:bCs/>
                <w:color w:val="auto"/>
                <w:highlight w:val="none"/>
              </w:rPr>
              <w:t>不同投标人的投标文件出自同一终端设备或在相同Internet主机分配地址（相同IP地址）网上报名投标的作无效标处理。</w:t>
            </w:r>
          </w:p>
        </w:tc>
      </w:tr>
    </w:tbl>
    <w:p>
      <w:pPr>
        <w:pStyle w:val="24"/>
        <w:snapToGrid w:val="0"/>
        <w:spacing w:beforeLines="0" w:afterLines="0" w:line="360" w:lineRule="auto"/>
        <w:ind w:firstLine="480"/>
        <w:rPr>
          <w:rFonts w:hAnsi="宋体"/>
          <w:b/>
          <w:bCs/>
          <w:color w:val="auto"/>
          <w:sz w:val="21"/>
          <w:szCs w:val="21"/>
          <w:highlight w:val="none"/>
        </w:rPr>
      </w:pPr>
      <w:r>
        <w:rPr>
          <w:rFonts w:hint="eastAsia" w:hAnsi="宋体"/>
          <w:color w:val="auto"/>
          <w:highlight w:val="none"/>
        </w:rPr>
        <w:br w:type="page"/>
      </w:r>
      <w:r>
        <w:rPr>
          <w:rFonts w:hint="eastAsia" w:hAnsi="宋体"/>
          <w:b/>
          <w:bCs/>
          <w:color w:val="auto"/>
          <w:sz w:val="21"/>
          <w:szCs w:val="21"/>
          <w:highlight w:val="none"/>
        </w:rPr>
        <w:t>一、总则</w:t>
      </w:r>
    </w:p>
    <w:p>
      <w:pPr>
        <w:snapToGrid w:val="0"/>
        <w:spacing w:line="360" w:lineRule="auto"/>
        <w:ind w:firstLine="413" w:firstLineChars="196"/>
        <w:jc w:val="left"/>
        <w:outlineLvl w:val="1"/>
        <w:rPr>
          <w:rFonts w:ascii="宋体" w:hAnsi="宋体" w:cs="宋体"/>
          <w:b/>
          <w:bCs/>
          <w:color w:val="auto"/>
          <w:highlight w:val="none"/>
        </w:rPr>
      </w:pPr>
      <w:bookmarkStart w:id="80" w:name="_Toc609"/>
      <w:bookmarkStart w:id="81" w:name="_Toc47388319"/>
      <w:bookmarkStart w:id="82" w:name="_Toc417922227"/>
      <w:r>
        <w:rPr>
          <w:rFonts w:hint="eastAsia" w:ascii="宋体" w:hAnsi="宋体" w:cs="宋体"/>
          <w:b/>
          <w:bCs/>
          <w:color w:val="auto"/>
          <w:highlight w:val="none"/>
        </w:rPr>
        <w:t>（一）适用范围</w:t>
      </w:r>
      <w:bookmarkEnd w:id="80"/>
      <w:bookmarkEnd w:id="81"/>
      <w:bookmarkEnd w:id="82"/>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本招标文件适用于</w:t>
      </w:r>
      <w:r>
        <w:rPr>
          <w:rFonts w:hint="eastAsia" w:ascii="宋体" w:hAnsi="宋体" w:cs="宋体"/>
          <w:color w:val="auto"/>
          <w:highlight w:val="none"/>
          <w:lang w:eastAsia="zh-CN"/>
        </w:rPr>
        <w:t>丽水市妇幼保健院病原微生物核酸快速检测分析试剂采购项目（重发）</w:t>
      </w:r>
      <w:r>
        <w:rPr>
          <w:rFonts w:hint="eastAsia" w:ascii="宋体" w:hAnsi="宋体" w:cs="宋体"/>
          <w:color w:val="auto"/>
          <w:highlight w:val="none"/>
        </w:rPr>
        <w:t>的招标、投标、评标、定标、验收、合同履约、付款等行为（法律、法规另有规定的，从其规定）。</w:t>
      </w:r>
    </w:p>
    <w:p>
      <w:pPr>
        <w:snapToGrid w:val="0"/>
        <w:spacing w:before="156" w:beforeLines="50" w:line="360" w:lineRule="auto"/>
        <w:ind w:firstLine="310" w:firstLineChars="147"/>
        <w:jc w:val="left"/>
        <w:outlineLvl w:val="1"/>
        <w:rPr>
          <w:rFonts w:ascii="宋体" w:hAnsi="宋体" w:cs="宋体"/>
          <w:b/>
          <w:bCs/>
          <w:color w:val="auto"/>
          <w:highlight w:val="none"/>
        </w:rPr>
      </w:pPr>
      <w:bookmarkStart w:id="83" w:name="_Toc24971"/>
      <w:bookmarkStart w:id="84" w:name="_Toc417922228"/>
      <w:bookmarkStart w:id="85" w:name="_Toc47388320"/>
      <w:r>
        <w:rPr>
          <w:rFonts w:hint="eastAsia" w:ascii="宋体" w:hAnsi="宋体" w:cs="宋体"/>
          <w:b/>
          <w:bCs/>
          <w:color w:val="auto"/>
          <w:highlight w:val="none"/>
        </w:rPr>
        <w:t>（二）定义</w:t>
      </w:r>
      <w:bookmarkEnd w:id="83"/>
      <w:bookmarkEnd w:id="84"/>
      <w:bookmarkEnd w:id="85"/>
    </w:p>
    <w:p>
      <w:pPr>
        <w:snapToGrid w:val="0"/>
        <w:spacing w:before="156" w:beforeLines="50" w:line="360" w:lineRule="auto"/>
        <w:ind w:firstLine="411" w:firstLineChars="196"/>
        <w:jc w:val="left"/>
        <w:outlineLvl w:val="1"/>
        <w:rPr>
          <w:rFonts w:ascii="宋体" w:hAnsi="宋体" w:cs="宋体"/>
          <w:color w:val="auto"/>
          <w:highlight w:val="none"/>
        </w:rPr>
      </w:pPr>
      <w:bookmarkStart w:id="86" w:name="_Toc31362"/>
      <w:bookmarkStart w:id="87" w:name="_Toc47388321"/>
      <w:bookmarkStart w:id="88" w:name="_Toc417922229"/>
      <w:r>
        <w:rPr>
          <w:rFonts w:hint="eastAsia" w:ascii="宋体" w:hAnsi="宋体" w:cs="宋体"/>
          <w:color w:val="auto"/>
          <w:highlight w:val="none"/>
        </w:rPr>
        <w:t>1. 招标采购单位系指组织本次招标的代理机构和采购单位。</w:t>
      </w:r>
      <w:bookmarkEnd w:id="86"/>
      <w:bookmarkEnd w:id="87"/>
    </w:p>
    <w:p>
      <w:pPr>
        <w:snapToGrid w:val="0"/>
        <w:spacing w:before="156" w:beforeLines="50" w:line="360" w:lineRule="auto"/>
        <w:ind w:firstLine="411" w:firstLineChars="196"/>
        <w:jc w:val="left"/>
        <w:outlineLvl w:val="1"/>
        <w:rPr>
          <w:rFonts w:ascii="宋体" w:hAnsi="宋体" w:cs="宋体"/>
          <w:color w:val="auto"/>
          <w:highlight w:val="none"/>
        </w:rPr>
      </w:pPr>
      <w:bookmarkStart w:id="89" w:name="_Toc3566"/>
      <w:bookmarkStart w:id="90" w:name="_Toc47388322"/>
      <w:r>
        <w:rPr>
          <w:rFonts w:hint="eastAsia" w:ascii="宋体" w:hAnsi="宋体" w:cs="宋体"/>
          <w:color w:val="auto"/>
          <w:highlight w:val="none"/>
        </w:rPr>
        <w:t>2.“投标人”系指向招标方提交投标文件的单位。</w:t>
      </w:r>
      <w:bookmarkEnd w:id="89"/>
      <w:bookmarkEnd w:id="90"/>
    </w:p>
    <w:p>
      <w:pPr>
        <w:snapToGrid w:val="0"/>
        <w:spacing w:before="156" w:beforeLines="50" w:line="360" w:lineRule="auto"/>
        <w:ind w:firstLine="411" w:firstLineChars="196"/>
        <w:jc w:val="left"/>
        <w:outlineLvl w:val="1"/>
        <w:rPr>
          <w:rFonts w:ascii="宋体" w:hAnsi="宋体" w:cs="宋体"/>
          <w:color w:val="auto"/>
          <w:highlight w:val="none"/>
        </w:rPr>
      </w:pPr>
      <w:bookmarkStart w:id="91" w:name="_Toc29602"/>
      <w:bookmarkStart w:id="92" w:name="_Toc47388323"/>
      <w:r>
        <w:rPr>
          <w:rFonts w:hint="eastAsia" w:ascii="宋体" w:hAnsi="宋体" w:cs="宋体"/>
          <w:color w:val="auto"/>
          <w:highlight w:val="none"/>
        </w:rPr>
        <w:t>3.“服务”系指招标文件规定投标人须承担的服务。</w:t>
      </w:r>
      <w:bookmarkEnd w:id="91"/>
      <w:bookmarkEnd w:id="92"/>
    </w:p>
    <w:p>
      <w:pPr>
        <w:snapToGrid w:val="0"/>
        <w:spacing w:before="156" w:beforeLines="50" w:line="360" w:lineRule="auto"/>
        <w:ind w:firstLine="411" w:firstLineChars="196"/>
        <w:jc w:val="left"/>
        <w:outlineLvl w:val="1"/>
        <w:rPr>
          <w:rFonts w:ascii="宋体" w:hAnsi="宋体" w:cs="宋体"/>
          <w:color w:val="auto"/>
          <w:highlight w:val="none"/>
        </w:rPr>
      </w:pPr>
      <w:bookmarkStart w:id="93" w:name="_Toc29129"/>
      <w:bookmarkStart w:id="94" w:name="_Toc47388324"/>
      <w:r>
        <w:rPr>
          <w:rFonts w:hint="eastAsia" w:ascii="宋体" w:hAnsi="宋体" w:cs="宋体"/>
          <w:color w:val="auto"/>
          <w:highlight w:val="none"/>
        </w:rPr>
        <w:t>4.“项目”系指投标人按招标文件规定向采购人提供的货物及服务。</w:t>
      </w:r>
      <w:bookmarkEnd w:id="93"/>
      <w:bookmarkEnd w:id="94"/>
    </w:p>
    <w:p>
      <w:pPr>
        <w:snapToGrid w:val="0"/>
        <w:spacing w:before="156" w:beforeLines="50" w:line="360" w:lineRule="auto"/>
        <w:ind w:firstLine="411" w:firstLineChars="196"/>
        <w:jc w:val="left"/>
        <w:outlineLvl w:val="1"/>
        <w:rPr>
          <w:rFonts w:ascii="宋体" w:hAnsi="宋体" w:cs="宋体"/>
          <w:color w:val="auto"/>
          <w:highlight w:val="none"/>
        </w:rPr>
      </w:pPr>
      <w:bookmarkStart w:id="95" w:name="_Toc31744"/>
      <w:bookmarkStart w:id="96" w:name="_Toc47388325"/>
      <w:r>
        <w:rPr>
          <w:rFonts w:hint="eastAsia" w:ascii="宋体" w:hAnsi="宋体" w:cs="宋体"/>
          <w:color w:val="auto"/>
          <w:highlight w:val="none"/>
        </w:rPr>
        <w:t>5.“书面形式”包括信函、传真、电报等。</w:t>
      </w:r>
      <w:bookmarkEnd w:id="95"/>
      <w:bookmarkEnd w:id="96"/>
    </w:p>
    <w:p>
      <w:pPr>
        <w:snapToGrid w:val="0"/>
        <w:spacing w:before="156" w:beforeLines="50" w:line="360" w:lineRule="auto"/>
        <w:ind w:firstLine="411" w:firstLineChars="196"/>
        <w:jc w:val="left"/>
        <w:outlineLvl w:val="1"/>
        <w:rPr>
          <w:rFonts w:ascii="宋体" w:hAnsi="宋体" w:cs="宋体"/>
          <w:color w:val="auto"/>
          <w:highlight w:val="none"/>
        </w:rPr>
      </w:pPr>
      <w:bookmarkStart w:id="97" w:name="_Toc47388326"/>
      <w:bookmarkStart w:id="98" w:name="_Toc22539"/>
      <w:r>
        <w:rPr>
          <w:rFonts w:hint="eastAsia" w:ascii="宋体" w:hAnsi="宋体" w:cs="宋体"/>
          <w:color w:val="auto"/>
          <w:highlight w:val="none"/>
        </w:rPr>
        <w:t>6. “★”系指实质性要求条款。</w:t>
      </w:r>
      <w:bookmarkEnd w:id="97"/>
      <w:bookmarkEnd w:id="98"/>
    </w:p>
    <w:p>
      <w:pPr>
        <w:snapToGrid w:val="0"/>
        <w:spacing w:before="156" w:beforeLines="50" w:line="360" w:lineRule="auto"/>
        <w:ind w:firstLine="413" w:firstLineChars="196"/>
        <w:jc w:val="left"/>
        <w:outlineLvl w:val="1"/>
        <w:rPr>
          <w:rFonts w:ascii="宋体" w:hAnsi="宋体" w:cs="宋体"/>
          <w:b/>
          <w:bCs/>
          <w:color w:val="auto"/>
          <w:highlight w:val="none"/>
        </w:rPr>
      </w:pPr>
      <w:bookmarkStart w:id="99" w:name="_Toc47388327"/>
      <w:bookmarkStart w:id="100" w:name="_Toc31175"/>
      <w:r>
        <w:rPr>
          <w:rFonts w:hint="eastAsia" w:ascii="宋体" w:hAnsi="宋体" w:cs="宋体"/>
          <w:b/>
          <w:bCs/>
          <w:color w:val="auto"/>
          <w:highlight w:val="none"/>
        </w:rPr>
        <w:t>（三）招标方式</w:t>
      </w:r>
      <w:bookmarkEnd w:id="88"/>
      <w:bookmarkEnd w:id="99"/>
      <w:bookmarkEnd w:id="100"/>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本次招标采用公开招标方式进行。</w:t>
      </w:r>
    </w:p>
    <w:p>
      <w:pPr>
        <w:snapToGrid w:val="0"/>
        <w:spacing w:before="156" w:beforeLines="50" w:line="360" w:lineRule="auto"/>
        <w:ind w:firstLine="413" w:firstLineChars="196"/>
        <w:jc w:val="left"/>
        <w:outlineLvl w:val="1"/>
        <w:rPr>
          <w:rFonts w:ascii="宋体" w:hAnsi="宋体" w:cs="宋体"/>
          <w:b/>
          <w:bCs/>
          <w:color w:val="auto"/>
          <w:highlight w:val="none"/>
        </w:rPr>
      </w:pPr>
      <w:bookmarkStart w:id="101" w:name="_Toc16683"/>
      <w:bookmarkStart w:id="102" w:name="_Toc417922230"/>
      <w:bookmarkStart w:id="103" w:name="_Toc47388328"/>
      <w:r>
        <w:rPr>
          <w:rFonts w:hint="eastAsia" w:ascii="宋体" w:hAnsi="宋体" w:cs="宋体"/>
          <w:b/>
          <w:bCs/>
          <w:color w:val="auto"/>
          <w:highlight w:val="none"/>
        </w:rPr>
        <w:t>（四）投标委托</w:t>
      </w:r>
      <w:bookmarkEnd w:id="101"/>
      <w:bookmarkEnd w:id="102"/>
      <w:bookmarkEnd w:id="103"/>
    </w:p>
    <w:p>
      <w:pPr>
        <w:pStyle w:val="19"/>
        <w:snapToGrid w:val="0"/>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投标人代表须携带有效身份证件。如投标人代表不是法定代表人，须有法定代表人出具的授权委托书（正本用原件，副本可用复印件，格式详见第六章）。</w:t>
      </w:r>
    </w:p>
    <w:p>
      <w:pPr>
        <w:snapToGrid w:val="0"/>
        <w:spacing w:before="156" w:beforeLines="50" w:line="360" w:lineRule="auto"/>
        <w:ind w:firstLine="413" w:firstLineChars="196"/>
        <w:jc w:val="left"/>
        <w:outlineLvl w:val="1"/>
        <w:rPr>
          <w:rFonts w:ascii="宋体" w:hAnsi="宋体" w:cs="宋体"/>
          <w:b/>
          <w:bCs/>
          <w:color w:val="auto"/>
          <w:highlight w:val="none"/>
        </w:rPr>
      </w:pPr>
      <w:bookmarkStart w:id="104" w:name="_Toc417922231"/>
      <w:bookmarkStart w:id="105" w:name="_Toc47388329"/>
      <w:bookmarkStart w:id="106" w:name="_Toc15019"/>
      <w:r>
        <w:rPr>
          <w:rFonts w:hint="eastAsia" w:ascii="宋体" w:hAnsi="宋体" w:cs="宋体"/>
          <w:b/>
          <w:bCs/>
          <w:color w:val="auto"/>
          <w:highlight w:val="none"/>
        </w:rPr>
        <w:t>（五）投标费用</w:t>
      </w:r>
      <w:bookmarkEnd w:id="104"/>
      <w:bookmarkEnd w:id="105"/>
      <w:bookmarkEnd w:id="106"/>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不论投标结果如何，投标人均应自行承担所有与投标有关的全部费用（招标文件有相反规定除外）。</w:t>
      </w:r>
    </w:p>
    <w:p>
      <w:pPr>
        <w:snapToGrid w:val="0"/>
        <w:spacing w:before="156" w:beforeLines="50" w:line="360" w:lineRule="auto"/>
        <w:ind w:firstLine="413" w:firstLineChars="196"/>
        <w:jc w:val="left"/>
        <w:rPr>
          <w:rFonts w:ascii="宋体" w:hAnsi="宋体" w:cs="宋体"/>
          <w:b/>
          <w:bCs/>
          <w:color w:val="auto"/>
          <w:highlight w:val="none"/>
        </w:rPr>
      </w:pPr>
      <w:r>
        <w:rPr>
          <w:rFonts w:hint="eastAsia" w:ascii="宋体" w:hAnsi="宋体" w:cs="宋体"/>
          <w:b/>
          <w:bCs/>
          <w:color w:val="auto"/>
          <w:highlight w:val="none"/>
        </w:rPr>
        <w:t>（六）联合体投标</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1.本项目接受联合体投标（联合体投标的须在投标文件中提供联合体协议书，明确各联合投标单位的责任和义务）。</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2.招标公告规定接受联合体投标的，除应符合招标公告规定的合格供应商的资格要求外，还应遵守以下规定：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（1）联合体各方应按招标文件提供的格式签订联合体协议书，明确联合体牵头人和各方工作内容和义务。</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（2）联合体中有同类资质的供应商按照联合体分工承担相同工作的，应当按照资质等级较低的供应商确定联合体的资质等级。</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（3）联合体各方不得再单独参加或者与其他供应商另外组成联合体参加同一合同项下的投标。</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（4）联合体各方应当共同与招标人签订采购合同，就采购合同约定的事项对招标人承担连带责任。</w:t>
      </w:r>
    </w:p>
    <w:p>
      <w:pPr>
        <w:snapToGrid w:val="0"/>
        <w:spacing w:before="156" w:beforeLines="50" w:line="360" w:lineRule="auto"/>
        <w:ind w:firstLine="413" w:firstLineChars="196"/>
        <w:jc w:val="left"/>
        <w:rPr>
          <w:rFonts w:ascii="宋体" w:hAnsi="宋体" w:cs="宋体"/>
          <w:b/>
          <w:bCs/>
          <w:color w:val="auto"/>
          <w:kern w:val="0"/>
          <w:highlight w:val="none"/>
        </w:rPr>
      </w:pPr>
      <w:r>
        <w:rPr>
          <w:rFonts w:hint="eastAsia" w:ascii="宋体" w:hAnsi="宋体" w:cs="宋体"/>
          <w:b/>
          <w:bCs/>
          <w:color w:val="auto"/>
          <w:highlight w:val="none"/>
        </w:rPr>
        <w:t>（七）</w:t>
      </w:r>
      <w:r>
        <w:rPr>
          <w:rFonts w:hint="eastAsia" w:ascii="宋体" w:hAnsi="宋体" w:cs="宋体"/>
          <w:b/>
          <w:bCs/>
          <w:color w:val="auto"/>
          <w:kern w:val="0"/>
          <w:highlight w:val="none"/>
        </w:rPr>
        <w:t>转包与分包</w:t>
      </w:r>
    </w:p>
    <w:p>
      <w:pPr>
        <w:snapToGrid w:val="0"/>
        <w:spacing w:line="360" w:lineRule="auto"/>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本项目不允许转包，经采购人同意允许分包。</w:t>
      </w:r>
    </w:p>
    <w:p>
      <w:pPr>
        <w:spacing w:line="360" w:lineRule="auto"/>
        <w:ind w:firstLine="422" w:firstLineChars="200"/>
        <w:jc w:val="left"/>
        <w:rPr>
          <w:rFonts w:ascii="宋体" w:hAnsi="宋体" w:cs="宋体"/>
          <w:b/>
          <w:bCs/>
          <w:color w:val="auto"/>
          <w:highlight w:val="none"/>
        </w:rPr>
      </w:pPr>
      <w:bookmarkStart w:id="107" w:name="_Toc417922232"/>
      <w:r>
        <w:rPr>
          <w:rFonts w:hint="eastAsia" w:ascii="宋体" w:hAnsi="宋体" w:cs="宋体"/>
          <w:b/>
          <w:bCs/>
          <w:color w:val="auto"/>
          <w:highlight w:val="none"/>
        </w:rPr>
        <w:t>（八）特别说明：</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kern w:val="0"/>
          <w:highlight w:val="none"/>
        </w:rPr>
        <w:t>非单一产品采购项目，多家投标人提供的核心产品品牌相同的，按前款处理。</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★2.投标人应仔细阅读招标文件的所有内容，按照招标文件的要求提交投标文件，并对所提供的全部资料的真实性承担法律责任。</w:t>
      </w:r>
    </w:p>
    <w:p>
      <w:pPr>
        <w:pStyle w:val="24"/>
        <w:spacing w:beforeLines="0" w:afterLines="0" w:line="360" w:lineRule="auto"/>
        <w:ind w:firstLine="480" w:firstLineChars="200"/>
        <w:rPr>
          <w:rFonts w:hAnsi="宋体"/>
          <w:b/>
          <w:bCs/>
          <w:color w:val="auto"/>
          <w:sz w:val="21"/>
          <w:szCs w:val="21"/>
          <w:highlight w:val="none"/>
        </w:rPr>
      </w:pPr>
      <w:r>
        <w:rPr>
          <w:rFonts w:hint="eastAsia" w:hAnsi="宋体"/>
          <w:color w:val="auto"/>
          <w:highlight w:val="none"/>
        </w:rPr>
        <w:t>★</w:t>
      </w:r>
      <w:r>
        <w:rPr>
          <w:rFonts w:hint="eastAsia" w:hAnsi="宋体"/>
          <w:color w:val="auto"/>
          <w:sz w:val="21"/>
          <w:szCs w:val="21"/>
          <w:highlight w:val="none"/>
        </w:rPr>
        <w:t>3.投标人在投标活动中提供任何虚假材料，其投标无效，并报监管部门查处；</w:t>
      </w:r>
    </w:p>
    <w:p>
      <w:pPr>
        <w:widowControl/>
        <w:spacing w:line="360" w:lineRule="auto"/>
        <w:ind w:firstLine="422" w:firstLineChars="200"/>
        <w:jc w:val="left"/>
        <w:rPr>
          <w:rFonts w:ascii="宋体" w:hAnsi="宋体" w:cs="宋体"/>
          <w:color w:val="auto"/>
          <w:highlight w:val="none"/>
        </w:rPr>
      </w:pPr>
      <w:r>
        <w:rPr>
          <w:rFonts w:hint="eastAsia" w:ascii="宋体" w:hAnsi="宋体" w:cs="宋体"/>
          <w:b/>
          <w:bCs/>
          <w:color w:val="auto"/>
          <w:highlight w:val="none"/>
        </w:rPr>
        <w:t>（九）关于分公司投标</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除银行、保险、石油石化、电力、电信、移动、联通等行业外，法人的分支机构不能参加投标。</w:t>
      </w:r>
    </w:p>
    <w:p>
      <w:pPr>
        <w:widowControl/>
        <w:spacing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（十）关于知识产权</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2.投标报价应包含所有应向所有权人支付的专利权、商标权或其它知识产权的一切相关费用。</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3.系统软件、通用软件必须是具有在中国境内的合法使用权或版权的正版软件，涉及到第三方提出侵权或知识产权的起诉及支付版税等费用由投标人承担所有责任及费用。</w:t>
      </w:r>
    </w:p>
    <w:p>
      <w:pPr>
        <w:pStyle w:val="24"/>
        <w:widowControl/>
        <w:spacing w:beforeLines="0" w:afterLines="0" w:line="360" w:lineRule="auto"/>
        <w:ind w:firstLine="422" w:firstLineChars="200"/>
        <w:jc w:val="left"/>
        <w:rPr>
          <w:rFonts w:hAnsi="宋体"/>
          <w:b/>
          <w:bCs/>
          <w:color w:val="auto"/>
          <w:sz w:val="21"/>
          <w:szCs w:val="21"/>
          <w:highlight w:val="none"/>
        </w:rPr>
      </w:pPr>
      <w:r>
        <w:rPr>
          <w:rFonts w:hint="eastAsia" w:hAnsi="宋体"/>
          <w:b/>
          <w:bCs/>
          <w:color w:val="auto"/>
          <w:sz w:val="21"/>
          <w:szCs w:val="21"/>
          <w:highlight w:val="none"/>
        </w:rPr>
        <w:t>（十一）质疑和投诉</w:t>
      </w:r>
    </w:p>
    <w:p>
      <w:pPr>
        <w:pStyle w:val="24"/>
        <w:spacing w:before="156" w:after="156" w:line="360" w:lineRule="auto"/>
        <w:ind w:firstLine="420" w:firstLineChars="200"/>
        <w:rPr>
          <w:rFonts w:hAnsi="宋体"/>
          <w:color w:val="auto"/>
          <w:sz w:val="21"/>
          <w:szCs w:val="21"/>
          <w:highlight w:val="none"/>
        </w:rPr>
      </w:pPr>
      <w:r>
        <w:rPr>
          <w:rFonts w:hint="eastAsia" w:hAnsi="宋体"/>
          <w:color w:val="auto"/>
          <w:sz w:val="21"/>
          <w:szCs w:val="21"/>
          <w:highlight w:val="none"/>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24"/>
        <w:spacing w:before="156" w:after="156" w:line="360" w:lineRule="auto"/>
        <w:ind w:firstLine="420" w:firstLineChars="200"/>
        <w:rPr>
          <w:rFonts w:hAnsi="宋体"/>
          <w:color w:val="auto"/>
          <w:sz w:val="21"/>
          <w:szCs w:val="21"/>
          <w:highlight w:val="none"/>
        </w:rPr>
      </w:pPr>
      <w:r>
        <w:rPr>
          <w:rFonts w:hint="eastAsia" w:hAnsi="宋体"/>
          <w:color w:val="auto"/>
          <w:sz w:val="21"/>
          <w:szCs w:val="21"/>
          <w:highlight w:val="none"/>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pStyle w:val="24"/>
        <w:spacing w:before="156" w:after="156" w:line="360" w:lineRule="auto"/>
        <w:ind w:firstLine="420" w:firstLineChars="200"/>
        <w:rPr>
          <w:rFonts w:hAnsi="宋体"/>
          <w:color w:val="auto"/>
          <w:sz w:val="21"/>
          <w:szCs w:val="21"/>
          <w:highlight w:val="none"/>
        </w:rPr>
      </w:pPr>
      <w:r>
        <w:rPr>
          <w:rFonts w:hint="eastAsia" w:hAnsi="宋体"/>
          <w:color w:val="auto"/>
          <w:sz w:val="21"/>
          <w:szCs w:val="21"/>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pStyle w:val="24"/>
        <w:spacing w:before="156" w:after="156" w:line="360" w:lineRule="auto"/>
        <w:ind w:firstLine="420" w:firstLineChars="200"/>
        <w:rPr>
          <w:rFonts w:hAnsi="宋体"/>
          <w:color w:val="auto"/>
          <w:sz w:val="21"/>
          <w:szCs w:val="21"/>
          <w:highlight w:val="none"/>
        </w:rPr>
      </w:pPr>
      <w:r>
        <w:rPr>
          <w:rFonts w:hint="eastAsia" w:hAnsi="宋体"/>
          <w:color w:val="auto"/>
          <w:sz w:val="21"/>
          <w:szCs w:val="21"/>
          <w:highlight w:val="none"/>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5. 供应商对采购人或采购代理机构的质疑答复不满意或者采购人或采购代理机构未在规定时间内作出答复的，可以在答复期满后十五个工作日内向同级采购监管部门投诉。</w:t>
      </w:r>
      <w:bookmarkEnd w:id="107"/>
      <w:bookmarkStart w:id="108" w:name="_Toc417922237"/>
    </w:p>
    <w:p>
      <w:pPr>
        <w:pStyle w:val="24"/>
        <w:snapToGrid w:val="0"/>
        <w:spacing w:beforeLines="0" w:afterLines="0" w:line="360" w:lineRule="auto"/>
        <w:ind w:firstLine="413" w:firstLineChars="196"/>
        <w:jc w:val="left"/>
        <w:outlineLvl w:val="0"/>
        <w:rPr>
          <w:rFonts w:hAnsi="宋体"/>
          <w:b/>
          <w:bCs/>
          <w:color w:val="auto"/>
          <w:sz w:val="21"/>
          <w:szCs w:val="21"/>
          <w:highlight w:val="none"/>
        </w:rPr>
      </w:pPr>
      <w:bookmarkStart w:id="109" w:name="_Toc47388330"/>
      <w:bookmarkStart w:id="110" w:name="_Toc7892"/>
      <w:r>
        <w:rPr>
          <w:rFonts w:hint="eastAsia" w:hAnsi="宋体"/>
          <w:b/>
          <w:bCs/>
          <w:color w:val="auto"/>
          <w:sz w:val="21"/>
          <w:szCs w:val="21"/>
          <w:highlight w:val="none"/>
        </w:rPr>
        <w:t>二、招标文件</w:t>
      </w:r>
      <w:bookmarkEnd w:id="108"/>
      <w:bookmarkEnd w:id="109"/>
      <w:bookmarkEnd w:id="110"/>
    </w:p>
    <w:p>
      <w:pPr>
        <w:snapToGrid w:val="0"/>
        <w:spacing w:line="360" w:lineRule="auto"/>
        <w:ind w:firstLine="413" w:firstLineChars="196"/>
        <w:jc w:val="left"/>
        <w:rPr>
          <w:rFonts w:ascii="宋体" w:hAnsi="宋体" w:cs="宋体"/>
          <w:b/>
          <w:bCs/>
          <w:color w:val="auto"/>
          <w:highlight w:val="none"/>
        </w:rPr>
      </w:pPr>
      <w:r>
        <w:rPr>
          <w:rFonts w:hint="eastAsia" w:ascii="宋体" w:hAnsi="宋体" w:cs="宋体"/>
          <w:b/>
          <w:bCs/>
          <w:color w:val="auto"/>
          <w:highlight w:val="none"/>
        </w:rPr>
        <w:t>（一）招标文件的构成。本招标文件由以下部份组成：</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1.招标公告</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2.招标需求</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3.投标人须知</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4.评标办法及标准</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5.合同主要条款</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6.投标文件格式</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7.本项目招标文件的澄清、答复、修改、补充的内容</w:t>
      </w:r>
    </w:p>
    <w:p>
      <w:pPr>
        <w:snapToGrid w:val="0"/>
        <w:spacing w:before="156" w:beforeLines="50" w:line="360" w:lineRule="auto"/>
        <w:ind w:firstLine="413" w:firstLineChars="196"/>
        <w:jc w:val="left"/>
        <w:rPr>
          <w:rFonts w:ascii="宋体" w:hAnsi="宋体" w:cs="宋体"/>
          <w:b/>
          <w:bCs/>
          <w:color w:val="auto"/>
          <w:highlight w:val="none"/>
        </w:rPr>
      </w:pPr>
      <w:r>
        <w:rPr>
          <w:rFonts w:hint="eastAsia" w:ascii="宋体" w:hAnsi="宋体" w:cs="宋体"/>
          <w:b/>
          <w:bCs/>
          <w:color w:val="auto"/>
          <w:highlight w:val="none"/>
        </w:rPr>
        <w:t>（二）投标人的风险</w:t>
      </w:r>
    </w:p>
    <w:p>
      <w:pPr>
        <w:pStyle w:val="38"/>
        <w:widowControl/>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pStyle w:val="38"/>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2.无论因何种原因导致本次采购活动终止致投标人损失的，相关责任人均不承担任何责任。</w:t>
      </w:r>
    </w:p>
    <w:p>
      <w:pPr>
        <w:pStyle w:val="13"/>
        <w:widowControl w:val="0"/>
        <w:tabs>
          <w:tab w:val="clear" w:pos="454"/>
        </w:tabs>
        <w:snapToGrid w:val="0"/>
        <w:spacing w:before="156" w:beforeLines="50" w:afterLines="0" w:line="360" w:lineRule="auto"/>
        <w:ind w:left="0" w:firstLine="413" w:firstLineChars="196"/>
        <w:rPr>
          <w:rFonts w:ascii="宋体" w:hAnsi="宋体" w:cs="宋体"/>
          <w:b/>
          <w:bCs/>
          <w:color w:val="auto"/>
          <w:sz w:val="21"/>
          <w:szCs w:val="21"/>
          <w:highlight w:val="none"/>
        </w:rPr>
      </w:pPr>
      <w:r>
        <w:rPr>
          <w:rFonts w:hint="eastAsia" w:ascii="宋体" w:hAnsi="宋体" w:cs="宋体"/>
          <w:b/>
          <w:bCs/>
          <w:color w:val="auto"/>
          <w:sz w:val="21"/>
          <w:szCs w:val="21"/>
          <w:highlight w:val="none"/>
        </w:rPr>
        <w:t>（三）招标文件的澄清与修改</w:t>
      </w:r>
    </w:p>
    <w:p>
      <w:pPr>
        <w:pStyle w:val="38"/>
        <w:widowControl/>
        <w:snapToGrid/>
        <w:spacing w:line="360" w:lineRule="auto"/>
        <w:ind w:firstLine="420"/>
        <w:rPr>
          <w:rFonts w:ascii="宋体" w:eastAsia="宋体" w:cs="宋体"/>
          <w:color w:val="auto"/>
          <w:sz w:val="21"/>
          <w:szCs w:val="21"/>
          <w:highlight w:val="none"/>
        </w:rPr>
      </w:pPr>
      <w:bookmarkStart w:id="111" w:name="_Toc417922238"/>
      <w:r>
        <w:rPr>
          <w:rFonts w:hint="eastAsia" w:ascii="宋体" w:eastAsia="宋体" w:cs="宋体"/>
          <w:color w:val="auto"/>
          <w:sz w:val="21"/>
          <w:szCs w:val="21"/>
          <w:highlight w:val="none"/>
        </w:rPr>
        <w:t>1.采购人对招标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38"/>
        <w:widowControl/>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2.更正公告为招标文件的组成部分，一经在网站发布，视同已通知所有招标文件的收受人，不再采用其它方式传达相关信息，若因未能及时了解到上述网站上发布的相关信息而导致的一切后果自行承担。</w:t>
      </w:r>
    </w:p>
    <w:p>
      <w:pPr>
        <w:pStyle w:val="38"/>
        <w:widowControl/>
        <w:snapToGrid/>
        <w:spacing w:line="360" w:lineRule="auto"/>
        <w:ind w:firstLine="420"/>
        <w:rPr>
          <w:rFonts w:ascii="宋体" w:eastAsia="宋体" w:cs="宋体"/>
          <w:color w:val="auto"/>
          <w:sz w:val="21"/>
          <w:szCs w:val="21"/>
          <w:highlight w:val="none"/>
        </w:rPr>
      </w:pPr>
      <w:r>
        <w:rPr>
          <w:rFonts w:hint="eastAsia" w:ascii="宋体" w:eastAsia="宋体" w:cs="宋体"/>
          <w:color w:val="auto"/>
          <w:sz w:val="21"/>
          <w:szCs w:val="21"/>
          <w:highlight w:val="none"/>
        </w:rPr>
        <w:t>3.如更正公告有重新发布电子招标文件的，投标人应下载最新发布的电子招标文件制作投标文件。</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4.投标人在规定的时间内未对招标文件提出疑问、质疑或要求澄清的，将视其为无异议。对招标文件中描述有歧义或前后不一致的地方，评标委员会有权进行评判，但对同一条款的评判应适用于每个投标人。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24"/>
        <w:snapToGrid w:val="0"/>
        <w:spacing w:beforeLines="0" w:afterLines="0" w:line="360" w:lineRule="auto"/>
        <w:ind w:firstLine="422"/>
        <w:jc w:val="left"/>
        <w:outlineLvl w:val="1"/>
        <w:rPr>
          <w:rFonts w:hAnsi="宋体"/>
          <w:b/>
          <w:bCs/>
          <w:color w:val="auto"/>
          <w:sz w:val="21"/>
          <w:szCs w:val="21"/>
          <w:highlight w:val="none"/>
        </w:rPr>
      </w:pPr>
      <w:bookmarkStart w:id="112" w:name="_Toc327"/>
      <w:bookmarkStart w:id="113" w:name="_Toc47388331"/>
      <w:r>
        <w:rPr>
          <w:rFonts w:hint="eastAsia" w:hAnsi="宋体"/>
          <w:b/>
          <w:bCs/>
          <w:color w:val="auto"/>
          <w:sz w:val="21"/>
          <w:szCs w:val="21"/>
          <w:highlight w:val="none"/>
        </w:rPr>
        <w:t>三、投标文件的编制</w:t>
      </w:r>
      <w:bookmarkEnd w:id="111"/>
      <w:bookmarkEnd w:id="112"/>
      <w:bookmarkEnd w:id="113"/>
    </w:p>
    <w:p>
      <w:pPr>
        <w:snapToGrid w:val="0"/>
        <w:spacing w:line="360" w:lineRule="auto"/>
        <w:ind w:firstLine="422"/>
        <w:jc w:val="left"/>
        <w:rPr>
          <w:rFonts w:ascii="宋体" w:hAnsi="宋体" w:cs="宋体"/>
          <w:color w:val="auto"/>
          <w:highlight w:val="none"/>
        </w:rPr>
      </w:pPr>
      <w:r>
        <w:rPr>
          <w:rFonts w:hint="eastAsia" w:ascii="宋体" w:hAnsi="宋体" w:cs="宋体"/>
          <w:b/>
          <w:color w:val="auto"/>
          <w:highlight w:val="none"/>
        </w:rPr>
        <w:t>（一）</w:t>
      </w:r>
      <w:r>
        <w:rPr>
          <w:rFonts w:hint="eastAsia" w:ascii="宋体" w:hAnsi="宋体" w:cs="宋体"/>
          <w:color w:val="auto"/>
          <w:highlight w:val="none"/>
        </w:rPr>
        <w:t>投标文件的组成</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ab/>
      </w:r>
      <w:r>
        <w:rPr>
          <w:rFonts w:hint="eastAsia" w:ascii="宋体" w:hAnsi="宋体" w:cs="宋体"/>
          <w:color w:val="auto"/>
          <w:highlight w:val="none"/>
        </w:rPr>
        <w:t>投标文件至少包含以下部分：</w:t>
      </w:r>
    </w:p>
    <w:p>
      <w:pPr>
        <w:numPr>
          <w:ilvl w:val="0"/>
          <w:numId w:val="9"/>
        </w:numPr>
        <w:snapToGrid w:val="0"/>
        <w:spacing w:line="360" w:lineRule="auto"/>
        <w:ind w:firstLine="422"/>
        <w:jc w:val="left"/>
        <w:rPr>
          <w:rFonts w:ascii="宋体" w:hAnsi="宋体" w:cs="宋体"/>
          <w:b/>
          <w:bCs/>
          <w:color w:val="auto"/>
          <w:highlight w:val="none"/>
        </w:rPr>
      </w:pPr>
      <w:bookmarkStart w:id="114" w:name="_Toc21913"/>
      <w:r>
        <w:rPr>
          <w:rFonts w:hint="eastAsia" w:ascii="宋体" w:hAnsi="宋体" w:cs="宋体"/>
          <w:b/>
          <w:bCs/>
          <w:color w:val="auto"/>
          <w:highlight w:val="none"/>
        </w:rPr>
        <w:t>报价文件：</w:t>
      </w:r>
    </w:p>
    <w:p>
      <w:pPr>
        <w:numPr>
          <w:ilvl w:val="0"/>
          <w:numId w:val="0"/>
        </w:numPr>
        <w:tabs>
          <w:tab w:val="left" w:pos="518"/>
          <w:tab w:val="left" w:pos="840"/>
        </w:tabs>
        <w:spacing w:line="360" w:lineRule="auto"/>
        <w:rPr>
          <w:rFonts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w:t>
      </w:r>
      <w:r>
        <w:rPr>
          <w:rFonts w:hint="eastAsia" w:ascii="宋体" w:hAnsi="宋体" w:cs="宋体"/>
          <w:color w:val="auto"/>
          <w:highlight w:val="none"/>
          <w:lang w:eastAsia="zh-CN"/>
        </w:rPr>
        <w:t>）</w:t>
      </w:r>
      <w:r>
        <w:rPr>
          <w:rFonts w:hint="eastAsia" w:ascii="宋体" w:hAnsi="宋体" w:cs="宋体"/>
          <w:color w:val="auto"/>
          <w:highlight w:val="none"/>
        </w:rPr>
        <w:t xml:space="preserve">投标函（格式详见第六章投标文件格式）； </w:t>
      </w:r>
    </w:p>
    <w:p>
      <w:pPr>
        <w:numPr>
          <w:ilvl w:val="0"/>
          <w:numId w:val="0"/>
        </w:numPr>
        <w:tabs>
          <w:tab w:val="left" w:pos="518"/>
          <w:tab w:val="left" w:pos="840"/>
        </w:tabs>
        <w:spacing w:line="360" w:lineRule="auto"/>
        <w:rPr>
          <w:rFonts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2</w:t>
      </w:r>
      <w:r>
        <w:rPr>
          <w:rFonts w:hint="eastAsia" w:ascii="宋体" w:hAnsi="宋体" w:cs="宋体"/>
          <w:color w:val="auto"/>
          <w:highlight w:val="none"/>
          <w:lang w:eastAsia="zh-CN"/>
        </w:rPr>
        <w:t>）</w:t>
      </w:r>
      <w:r>
        <w:rPr>
          <w:rFonts w:hint="eastAsia" w:ascii="宋体" w:hAnsi="宋体" w:cs="宋体"/>
          <w:color w:val="auto"/>
          <w:highlight w:val="none"/>
        </w:rPr>
        <w:t>开标一览表（格式详见第六章投标文件格式）；</w:t>
      </w:r>
    </w:p>
    <w:p>
      <w:pPr>
        <w:numPr>
          <w:ilvl w:val="0"/>
          <w:numId w:val="0"/>
        </w:numPr>
        <w:tabs>
          <w:tab w:val="left" w:pos="518"/>
          <w:tab w:val="left" w:pos="840"/>
        </w:tabs>
        <w:spacing w:line="360" w:lineRule="auto"/>
        <w:rPr>
          <w:rFonts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3</w:t>
      </w:r>
      <w:r>
        <w:rPr>
          <w:rFonts w:hint="eastAsia" w:ascii="宋体" w:hAnsi="宋体" w:cs="宋体"/>
          <w:color w:val="auto"/>
          <w:highlight w:val="none"/>
          <w:lang w:eastAsia="zh-CN"/>
        </w:rPr>
        <w:t>）</w:t>
      </w:r>
      <w:r>
        <w:rPr>
          <w:rFonts w:hint="eastAsia" w:ascii="宋体" w:hAnsi="宋体" w:cs="宋体"/>
          <w:color w:val="auto"/>
          <w:highlight w:val="none"/>
        </w:rPr>
        <w:t>投标报价明细表（格式详见第六章投标文件格式）；</w:t>
      </w:r>
    </w:p>
    <w:p>
      <w:pPr>
        <w:numPr>
          <w:ilvl w:val="0"/>
          <w:numId w:val="0"/>
        </w:numPr>
        <w:tabs>
          <w:tab w:val="left" w:pos="518"/>
          <w:tab w:val="left" w:pos="840"/>
        </w:tabs>
        <w:spacing w:line="360" w:lineRule="auto"/>
        <w:rPr>
          <w:rFonts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cs="宋体"/>
          <w:color w:val="auto"/>
          <w:highlight w:val="none"/>
        </w:rPr>
        <w:t>中小企业声明函（格式详见第六章投标文件格式，如是请提供）；</w:t>
      </w:r>
    </w:p>
    <w:p>
      <w:pPr>
        <w:numPr>
          <w:ilvl w:val="0"/>
          <w:numId w:val="0"/>
        </w:numPr>
        <w:tabs>
          <w:tab w:val="left" w:pos="518"/>
          <w:tab w:val="left" w:pos="840"/>
        </w:tabs>
        <w:spacing w:line="360" w:lineRule="auto"/>
        <w:ind w:left="199" w:leftChars="0"/>
        <w:rPr>
          <w:rFonts w:ascii="宋体" w:hAnsi="宋体" w:cs="宋体"/>
          <w:color w:val="auto"/>
          <w:highlight w:val="none"/>
        </w:rPr>
      </w:pPr>
      <w:r>
        <w:rPr>
          <w:rFonts w:hint="eastAsia" w:ascii="宋体" w:hAnsi="宋体" w:cs="宋体"/>
          <w:color w:val="auto"/>
          <w:highlight w:val="none"/>
          <w:lang w:val="en-US" w:eastAsia="zh-CN"/>
        </w:rPr>
        <w:t>4.1</w:t>
      </w:r>
      <w:r>
        <w:rPr>
          <w:rFonts w:hint="eastAsia" w:ascii="宋体" w:hAnsi="宋体" w:cs="宋体"/>
          <w:color w:val="auto"/>
          <w:highlight w:val="none"/>
        </w:rPr>
        <w:t>供应商为监狱企业的证明文件：省级以上监狱管理局、戒毒管理局（含新疆生产建设兵团）出具（如是请提供）；</w:t>
      </w:r>
    </w:p>
    <w:p>
      <w:pPr>
        <w:numPr>
          <w:ilvl w:val="0"/>
          <w:numId w:val="0"/>
        </w:numPr>
        <w:tabs>
          <w:tab w:val="left" w:pos="518"/>
          <w:tab w:val="left" w:pos="840"/>
        </w:tabs>
        <w:spacing w:line="360" w:lineRule="auto"/>
        <w:ind w:left="199" w:leftChars="0"/>
        <w:rPr>
          <w:rFonts w:ascii="宋体" w:hAnsi="宋体" w:cs="宋体"/>
          <w:color w:val="auto"/>
          <w:highlight w:val="none"/>
        </w:rPr>
      </w:pPr>
      <w:r>
        <w:rPr>
          <w:rFonts w:hint="eastAsia" w:ascii="宋体" w:hAnsi="宋体" w:cs="宋体"/>
          <w:color w:val="auto"/>
          <w:highlight w:val="none"/>
          <w:lang w:val="en-US" w:eastAsia="zh-CN"/>
        </w:rPr>
        <w:t>4.2</w:t>
      </w:r>
      <w:r>
        <w:rPr>
          <w:rFonts w:hint="eastAsia" w:ascii="宋体" w:hAnsi="宋体" w:cs="宋体"/>
          <w:color w:val="auto"/>
          <w:highlight w:val="none"/>
        </w:rPr>
        <w:t>残疾人福利性单位声明函（格式详见第六章投标文件格式，如是请提供）；</w:t>
      </w:r>
    </w:p>
    <w:p>
      <w:pPr>
        <w:numPr>
          <w:ilvl w:val="0"/>
          <w:numId w:val="0"/>
        </w:numPr>
        <w:tabs>
          <w:tab w:val="left" w:pos="518"/>
          <w:tab w:val="left" w:pos="840"/>
        </w:tabs>
        <w:spacing w:line="360" w:lineRule="auto"/>
        <w:ind w:left="199" w:leftChars="0"/>
        <w:rPr>
          <w:rFonts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5</w:t>
      </w:r>
      <w:r>
        <w:rPr>
          <w:rFonts w:hint="eastAsia" w:ascii="宋体" w:hAnsi="宋体" w:cs="宋体"/>
          <w:color w:val="auto"/>
          <w:highlight w:val="none"/>
          <w:lang w:eastAsia="zh-CN"/>
        </w:rPr>
        <w:t>）</w:t>
      </w:r>
      <w:r>
        <w:rPr>
          <w:rFonts w:hint="eastAsia" w:ascii="宋体" w:hAnsi="宋体" w:cs="宋体"/>
          <w:color w:val="auto"/>
          <w:highlight w:val="none"/>
        </w:rPr>
        <w:t>投标人针对报价需要说明的其他文件和说明。</w:t>
      </w:r>
    </w:p>
    <w:p>
      <w:pPr>
        <w:tabs>
          <w:tab w:val="left" w:pos="518"/>
        </w:tabs>
        <w:spacing w:line="360" w:lineRule="auto"/>
        <w:ind w:firstLine="422"/>
        <w:rPr>
          <w:rFonts w:ascii="宋体" w:hAnsi="宋体" w:cs="宋体"/>
          <w:b/>
          <w:bCs/>
          <w:color w:val="auto"/>
          <w:highlight w:val="none"/>
        </w:rPr>
      </w:pPr>
      <w:r>
        <w:rPr>
          <w:rFonts w:hint="eastAsia" w:ascii="宋体" w:hAnsi="宋体" w:cs="宋体"/>
          <w:b/>
          <w:bCs/>
          <w:color w:val="auto"/>
          <w:highlight w:val="none"/>
        </w:rPr>
        <w:t>2.资格证明文件：</w:t>
      </w:r>
    </w:p>
    <w:p>
      <w:pPr>
        <w:numPr>
          <w:ilvl w:val="0"/>
          <w:numId w:val="0"/>
        </w:numPr>
        <w:tabs>
          <w:tab w:val="left" w:pos="518"/>
          <w:tab w:val="left" w:pos="840"/>
        </w:tabs>
        <w:spacing w:line="360" w:lineRule="auto"/>
        <w:rPr>
          <w:rFonts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w:t>
      </w:r>
      <w:r>
        <w:rPr>
          <w:rFonts w:hint="eastAsia" w:ascii="宋体" w:hAnsi="宋体" w:cs="宋体"/>
          <w:color w:val="auto"/>
          <w:highlight w:val="none"/>
          <w:lang w:eastAsia="zh-CN"/>
        </w:rPr>
        <w:t>）</w:t>
      </w:r>
      <w:r>
        <w:rPr>
          <w:rFonts w:hint="eastAsia" w:ascii="宋体" w:hAnsi="宋体" w:cs="宋体"/>
          <w:color w:val="auto"/>
          <w:highlight w:val="none"/>
        </w:rPr>
        <w:t>投标人的营业执照副本复印件（格式详见第六章投标文件格式）联合体投标的，联合体双方须分别提供。</w:t>
      </w:r>
    </w:p>
    <w:p>
      <w:pPr>
        <w:numPr>
          <w:ilvl w:val="0"/>
          <w:numId w:val="0"/>
        </w:numPr>
        <w:tabs>
          <w:tab w:val="left" w:pos="518"/>
          <w:tab w:val="left" w:pos="840"/>
        </w:tabs>
        <w:spacing w:line="360" w:lineRule="auto"/>
        <w:rPr>
          <w:rFonts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2</w:t>
      </w:r>
      <w:r>
        <w:rPr>
          <w:rFonts w:hint="eastAsia" w:ascii="宋体" w:hAnsi="宋体" w:cs="宋体"/>
          <w:color w:val="auto"/>
          <w:highlight w:val="none"/>
          <w:lang w:eastAsia="zh-CN"/>
        </w:rPr>
        <w:t>）</w:t>
      </w:r>
      <w:r>
        <w:rPr>
          <w:rFonts w:hint="eastAsia" w:ascii="宋体" w:hAnsi="宋体" w:cs="宋体"/>
          <w:color w:val="auto"/>
          <w:highlight w:val="none"/>
        </w:rPr>
        <w:t>投标人资格声明函（格式详见第六章投标文件格式）联合体投标的，联合体双方须分别提供。</w:t>
      </w:r>
    </w:p>
    <w:p>
      <w:pPr>
        <w:numPr>
          <w:ilvl w:val="0"/>
          <w:numId w:val="0"/>
        </w:numPr>
        <w:tabs>
          <w:tab w:val="left" w:pos="420"/>
        </w:tabs>
        <w:spacing w:line="360" w:lineRule="auto"/>
        <w:rPr>
          <w:rFonts w:ascii="宋体" w:hAnsi="宋体" w:cs="宋体"/>
          <w:color w:val="auto"/>
          <w:highlight w:val="none"/>
        </w:rPr>
      </w:pPr>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lang w:val="en-US" w:eastAsia="zh-CN"/>
        </w:rPr>
        <w:t>3</w:t>
      </w:r>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rPr>
        <w:t>落实政府采购政策需满足的资格要求：</w:t>
      </w:r>
      <w:r>
        <w:rPr>
          <w:rFonts w:hint="eastAsia" w:ascii="宋体" w:hAnsi="宋体" w:cs="宋体"/>
          <w:bCs/>
          <w:color w:val="auto"/>
          <w:highlight w:val="none"/>
          <w:lang w:val="en-US" w:eastAsia="zh-CN"/>
        </w:rPr>
        <w:t>无</w:t>
      </w:r>
      <w:r>
        <w:rPr>
          <w:rFonts w:hint="eastAsia" w:ascii="宋体" w:hAnsi="宋体" w:eastAsia="宋体" w:cs="宋体"/>
          <w:bCs/>
          <w:color w:val="auto"/>
          <w:highlight w:val="none"/>
        </w:rPr>
        <w:t>。</w:t>
      </w:r>
    </w:p>
    <w:p>
      <w:pPr>
        <w:numPr>
          <w:ilvl w:val="0"/>
          <w:numId w:val="0"/>
        </w:numPr>
        <w:tabs>
          <w:tab w:val="left" w:pos="420"/>
        </w:tabs>
        <w:spacing w:line="360" w:lineRule="auto"/>
        <w:rPr>
          <w:rFonts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cs="宋体"/>
          <w:color w:val="auto"/>
          <w:highlight w:val="none"/>
        </w:rPr>
        <w:t>投标人的特定条件的证明文件：</w:t>
      </w:r>
    </w:p>
    <w:p>
      <w:pPr>
        <w:spacing w:line="360" w:lineRule="auto"/>
        <w:ind w:firstLine="630" w:firstLineChars="300"/>
        <w:rPr>
          <w:rFonts w:ascii="宋体" w:hAnsi="宋体" w:cs="宋体"/>
          <w:color w:val="auto"/>
          <w:kern w:val="0"/>
          <w:highlight w:val="none"/>
        </w:rPr>
      </w:pPr>
      <w:r>
        <w:rPr>
          <w:rFonts w:hint="eastAsia" w:ascii="宋体" w:hAnsi="宋体" w:cs="宋体"/>
          <w:color w:val="auto"/>
          <w:kern w:val="0"/>
          <w:highlight w:val="none"/>
        </w:rPr>
        <w:t xml:space="preserve">投标人为医疗器械生产企业的：第二类、第三类医疗器械生产企业提供《医疗器械生产许可证》复印件、第一类医疗器械生产企业提供第一类医疗器械生产备案凭证复印件。 </w:t>
      </w:r>
    </w:p>
    <w:p>
      <w:pPr>
        <w:spacing w:line="360" w:lineRule="auto"/>
        <w:ind w:firstLine="420" w:firstLineChars="200"/>
        <w:rPr>
          <w:rFonts w:ascii="宋体" w:hAnsi="宋体" w:cs="宋体"/>
          <w:color w:val="auto"/>
          <w:highlight w:val="none"/>
        </w:rPr>
      </w:pPr>
      <w:r>
        <w:rPr>
          <w:rFonts w:hint="eastAsia" w:ascii="宋体" w:hAnsi="宋体" w:cs="宋体"/>
          <w:color w:val="auto"/>
          <w:kern w:val="0"/>
          <w:highlight w:val="none"/>
        </w:rPr>
        <w:t>投标人为医疗器械经营企业的：第三类医疗器械经营企业提供《医疗器械经营许可证》复印件、第二类医疗器械经营企业提供第二类医疗器械经营备案凭证复印件。</w:t>
      </w:r>
    </w:p>
    <w:p>
      <w:pPr>
        <w:pStyle w:val="129"/>
        <w:widowControl/>
        <w:numPr>
          <w:ilvl w:val="0"/>
          <w:numId w:val="0"/>
        </w:numPr>
        <w:tabs>
          <w:tab w:val="left" w:pos="420"/>
        </w:tabs>
        <w:spacing w:line="360" w:lineRule="auto"/>
        <w:rPr>
          <w:rFonts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5</w:t>
      </w:r>
      <w:r>
        <w:rPr>
          <w:rFonts w:hint="eastAsia" w:ascii="宋体" w:hAnsi="宋体" w:cs="宋体"/>
          <w:color w:val="auto"/>
          <w:highlight w:val="none"/>
          <w:lang w:eastAsia="zh-CN"/>
        </w:rPr>
        <w:t>）</w:t>
      </w:r>
      <w:r>
        <w:rPr>
          <w:rFonts w:hint="eastAsia" w:ascii="宋体" w:hAnsi="宋体" w:cs="宋体"/>
          <w:color w:val="auto"/>
          <w:highlight w:val="none"/>
        </w:rPr>
        <w:t>联合体投标协议书（格式详见第六章投标文件格式，联合体投标的须提供）；</w:t>
      </w:r>
    </w:p>
    <w:p>
      <w:pPr>
        <w:tabs>
          <w:tab w:val="left" w:pos="518"/>
        </w:tabs>
        <w:spacing w:line="360" w:lineRule="auto"/>
        <w:ind w:left="40" w:firstLine="422"/>
        <w:rPr>
          <w:rFonts w:ascii="宋体" w:hAnsi="宋体" w:cs="宋体"/>
          <w:b/>
          <w:bCs/>
          <w:color w:val="auto"/>
          <w:highlight w:val="none"/>
        </w:rPr>
      </w:pPr>
      <w:r>
        <w:rPr>
          <w:rFonts w:hint="eastAsia" w:ascii="宋体" w:hAnsi="宋体" w:cs="宋体"/>
          <w:b/>
          <w:bCs/>
          <w:color w:val="auto"/>
          <w:highlight w:val="none"/>
        </w:rPr>
        <w:t>3.商务技术文件：</w:t>
      </w:r>
    </w:p>
    <w:p>
      <w:pPr>
        <w:numPr>
          <w:ilvl w:val="0"/>
          <w:numId w:val="10"/>
        </w:numPr>
        <w:spacing w:line="360" w:lineRule="auto"/>
        <w:ind w:firstLine="420"/>
        <w:rPr>
          <w:rFonts w:ascii="宋体" w:hAnsi="宋体" w:cs="宋体"/>
          <w:color w:val="auto"/>
          <w:highlight w:val="none"/>
        </w:rPr>
      </w:pPr>
      <w:r>
        <w:rPr>
          <w:rFonts w:hint="eastAsia" w:ascii="宋体" w:hAnsi="宋体" w:cs="宋体"/>
          <w:color w:val="auto"/>
          <w:highlight w:val="none"/>
        </w:rPr>
        <w:t>投标人自查表②符合性自查表（格式详见第六章投标文件格式）；</w:t>
      </w:r>
    </w:p>
    <w:p>
      <w:pPr>
        <w:numPr>
          <w:ilvl w:val="0"/>
          <w:numId w:val="10"/>
        </w:numPr>
        <w:spacing w:line="360" w:lineRule="auto"/>
        <w:ind w:firstLine="420"/>
        <w:rPr>
          <w:rFonts w:ascii="宋体" w:hAnsi="宋体" w:cs="宋体"/>
          <w:color w:val="auto"/>
          <w:highlight w:val="none"/>
        </w:rPr>
      </w:pPr>
      <w:r>
        <w:rPr>
          <w:rFonts w:hint="eastAsia" w:ascii="宋体" w:hAnsi="宋体" w:cs="宋体"/>
          <w:color w:val="auto"/>
          <w:highlight w:val="none"/>
        </w:rPr>
        <w:t>法定代表人身份证明、法定代表人授权委托书（或联合投标授权委托书）（格式详见第六章投标文件格式）；</w:t>
      </w:r>
    </w:p>
    <w:p>
      <w:pPr>
        <w:numPr>
          <w:ilvl w:val="0"/>
          <w:numId w:val="10"/>
        </w:numPr>
        <w:spacing w:line="360" w:lineRule="auto"/>
        <w:ind w:firstLine="420"/>
        <w:rPr>
          <w:rFonts w:ascii="宋体" w:hAnsi="宋体" w:cs="宋体"/>
          <w:color w:val="auto"/>
          <w:highlight w:val="none"/>
        </w:rPr>
      </w:pPr>
      <w:r>
        <w:rPr>
          <w:rFonts w:hint="eastAsia" w:ascii="宋体" w:hAnsi="宋体" w:cs="宋体"/>
          <w:color w:val="auto"/>
          <w:highlight w:val="none"/>
        </w:rPr>
        <w:t>商务条款响应（偏离）表（格式详见第六章投标文件格式）；</w:t>
      </w:r>
    </w:p>
    <w:p>
      <w:pPr>
        <w:numPr>
          <w:ilvl w:val="0"/>
          <w:numId w:val="10"/>
        </w:numPr>
        <w:spacing w:line="360" w:lineRule="auto"/>
        <w:ind w:firstLine="420"/>
        <w:rPr>
          <w:rFonts w:ascii="宋体" w:hAnsi="宋体" w:cs="宋体"/>
          <w:color w:val="auto"/>
          <w:highlight w:val="none"/>
        </w:rPr>
      </w:pPr>
      <w:r>
        <w:rPr>
          <w:rFonts w:hint="eastAsia" w:ascii="宋体" w:hAnsi="宋体" w:cs="宋体"/>
          <w:color w:val="auto"/>
          <w:highlight w:val="none"/>
        </w:rPr>
        <w:t>技术条款响应（偏离）表（格式详见第六章投标文件格式）；</w:t>
      </w:r>
    </w:p>
    <w:p>
      <w:pPr>
        <w:numPr>
          <w:ilvl w:val="0"/>
          <w:numId w:val="10"/>
        </w:numPr>
        <w:spacing w:line="360" w:lineRule="auto"/>
        <w:ind w:firstLine="420"/>
        <w:rPr>
          <w:rFonts w:ascii="宋体" w:hAnsi="宋体" w:cs="宋体"/>
          <w:color w:val="auto"/>
          <w:highlight w:val="none"/>
        </w:rPr>
      </w:pPr>
      <w:r>
        <w:rPr>
          <w:rFonts w:hint="eastAsia" w:ascii="宋体" w:hAnsi="宋体" w:cs="宋体"/>
          <w:color w:val="auto"/>
          <w:highlight w:val="none"/>
        </w:rPr>
        <w:t>技术需求中要求提供的证明资料（加盖公章）；</w:t>
      </w:r>
    </w:p>
    <w:p>
      <w:pPr>
        <w:numPr>
          <w:ilvl w:val="0"/>
          <w:numId w:val="10"/>
        </w:numPr>
        <w:spacing w:line="360" w:lineRule="auto"/>
        <w:ind w:firstLine="420"/>
        <w:rPr>
          <w:rFonts w:ascii="宋体" w:hAnsi="宋体" w:cs="宋体"/>
          <w:color w:val="auto"/>
          <w:highlight w:val="none"/>
        </w:rPr>
      </w:pPr>
      <w:r>
        <w:rPr>
          <w:rFonts w:hint="eastAsia" w:ascii="宋体" w:hAnsi="宋体" w:cs="宋体"/>
          <w:color w:val="auto"/>
          <w:highlight w:val="none"/>
        </w:rPr>
        <w:t>试剂质量保证措施、冷库仓储能力、产品验收方案；</w:t>
      </w:r>
    </w:p>
    <w:p>
      <w:pPr>
        <w:numPr>
          <w:ilvl w:val="0"/>
          <w:numId w:val="10"/>
        </w:numPr>
        <w:spacing w:line="360" w:lineRule="auto"/>
        <w:ind w:firstLine="420"/>
        <w:rPr>
          <w:rFonts w:ascii="宋体" w:hAnsi="宋体" w:cs="宋体"/>
          <w:color w:val="auto"/>
          <w:highlight w:val="none"/>
        </w:rPr>
      </w:pPr>
      <w:r>
        <w:rPr>
          <w:rFonts w:hint="eastAsia" w:ascii="宋体" w:hAnsi="宋体" w:cs="宋体"/>
          <w:color w:val="auto"/>
          <w:highlight w:val="none"/>
        </w:rPr>
        <w:t>过渡期间保证方案、物流方案、技术服务、技术培训、售后服务方案、维修成本方案、应急处置能力；</w:t>
      </w:r>
    </w:p>
    <w:p>
      <w:pPr>
        <w:numPr>
          <w:ilvl w:val="0"/>
          <w:numId w:val="10"/>
        </w:numPr>
        <w:spacing w:line="360" w:lineRule="auto"/>
        <w:ind w:firstLine="420"/>
        <w:rPr>
          <w:rFonts w:ascii="宋体" w:hAnsi="宋体" w:cs="宋体"/>
          <w:color w:val="auto"/>
          <w:highlight w:val="none"/>
        </w:rPr>
      </w:pPr>
      <w:r>
        <w:rPr>
          <w:rFonts w:hint="eastAsia" w:ascii="宋体" w:hAnsi="宋体" w:cs="宋体"/>
          <w:color w:val="auto"/>
          <w:highlight w:val="none"/>
        </w:rPr>
        <w:t>投标人所投产品的节能环保产品认证证书复印件及所投产品</w:t>
      </w:r>
      <w:r>
        <w:rPr>
          <w:rFonts w:hint="eastAsia" w:ascii="宋体" w:hAnsi="宋体" w:cs="宋体"/>
          <w:color w:val="auto"/>
          <w:highlight w:val="none"/>
          <w:lang w:val="zh-CN"/>
        </w:rPr>
        <w:t>属于“节能产品政府采购清单”</w:t>
      </w:r>
      <w:r>
        <w:rPr>
          <w:rFonts w:hint="eastAsia" w:ascii="宋体" w:hAnsi="宋体" w:cs="宋体"/>
          <w:color w:val="auto"/>
          <w:highlight w:val="none"/>
        </w:rPr>
        <w:t>中所列产品的</w:t>
      </w:r>
      <w:r>
        <w:rPr>
          <w:rFonts w:hint="eastAsia" w:ascii="宋体" w:hAnsi="宋体" w:cs="宋体"/>
          <w:color w:val="auto"/>
          <w:highlight w:val="none"/>
          <w:lang w:val="zh-CN"/>
        </w:rPr>
        <w:t>相关证明资料或截图</w:t>
      </w:r>
      <w:r>
        <w:rPr>
          <w:rFonts w:hint="eastAsia" w:ascii="宋体" w:hAnsi="宋体" w:cs="宋体"/>
          <w:color w:val="auto"/>
          <w:highlight w:val="none"/>
        </w:rPr>
        <w:t>（如有请提供，加盖公章）；</w:t>
      </w:r>
    </w:p>
    <w:p>
      <w:pPr>
        <w:numPr>
          <w:ilvl w:val="0"/>
          <w:numId w:val="10"/>
        </w:numPr>
        <w:spacing w:line="360" w:lineRule="auto"/>
        <w:ind w:firstLine="420"/>
        <w:rPr>
          <w:rFonts w:ascii="宋体" w:hAnsi="宋体" w:cs="宋体"/>
          <w:color w:val="auto"/>
          <w:highlight w:val="none"/>
        </w:rPr>
      </w:pPr>
      <w:r>
        <w:rPr>
          <w:rFonts w:hint="eastAsia" w:ascii="宋体" w:hAnsi="宋体" w:cs="宋体"/>
          <w:color w:val="auto"/>
          <w:highlight w:val="none"/>
        </w:rPr>
        <w:t>其他采购需求或评分标准所需资料；</w:t>
      </w:r>
    </w:p>
    <w:p>
      <w:pPr>
        <w:snapToGrid w:val="0"/>
        <w:spacing w:line="360" w:lineRule="auto"/>
        <w:ind w:firstLine="411" w:firstLineChars="196"/>
        <w:jc w:val="left"/>
        <w:outlineLvl w:val="0"/>
        <w:rPr>
          <w:rFonts w:ascii="宋体" w:hAnsi="宋体" w:cs="宋体"/>
          <w:color w:val="auto"/>
          <w:highlight w:val="none"/>
        </w:rPr>
      </w:pPr>
      <w:r>
        <w:rPr>
          <w:rFonts w:hint="eastAsia" w:ascii="宋体" w:hAnsi="宋体" w:cs="宋体"/>
          <w:color w:val="auto"/>
          <w:highlight w:val="none"/>
        </w:rPr>
        <w:t>（二）投标文件的语言及计量</w:t>
      </w:r>
      <w:bookmarkEnd w:id="114"/>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★2投标计量单位，招标文件已有明确规定的，使用招标文件规定的计量单位；招标文件没有规定的，应采用中华人民共和国法定计量单位（例如货币单位：人民币元），否则视同未响应。</w:t>
      </w:r>
    </w:p>
    <w:p>
      <w:pPr>
        <w:snapToGrid w:val="0"/>
        <w:spacing w:before="156" w:beforeLines="50" w:line="360" w:lineRule="auto"/>
        <w:ind w:firstLine="413" w:firstLineChars="196"/>
        <w:jc w:val="left"/>
        <w:outlineLvl w:val="0"/>
        <w:rPr>
          <w:rFonts w:ascii="宋体" w:hAnsi="宋体" w:cs="宋体"/>
          <w:b/>
          <w:bCs/>
          <w:color w:val="auto"/>
          <w:highlight w:val="none"/>
        </w:rPr>
      </w:pPr>
      <w:r>
        <w:rPr>
          <w:rFonts w:hint="eastAsia" w:ascii="宋体" w:hAnsi="宋体" w:cs="宋体"/>
          <w:b/>
          <w:bCs/>
          <w:color w:val="auto"/>
          <w:highlight w:val="none"/>
        </w:rPr>
        <w:tab/>
      </w:r>
      <w:bookmarkStart w:id="115" w:name="_Toc28665"/>
      <w:bookmarkStart w:id="116" w:name="_Toc47388343"/>
      <w:bookmarkStart w:id="117" w:name="_Toc417922240"/>
      <w:r>
        <w:rPr>
          <w:rFonts w:hint="eastAsia" w:ascii="宋体" w:hAnsi="宋体" w:cs="宋体"/>
          <w:b/>
          <w:bCs/>
          <w:color w:val="auto"/>
          <w:highlight w:val="none"/>
        </w:rPr>
        <w:t>（三）投标报价</w:t>
      </w:r>
      <w:bookmarkEnd w:id="115"/>
      <w:bookmarkEnd w:id="116"/>
      <w:bookmarkEnd w:id="117"/>
    </w:p>
    <w:p>
      <w:pPr>
        <w:snapToGrid w:val="0"/>
        <w:spacing w:before="156" w:beforeLines="50" w:line="360" w:lineRule="auto"/>
        <w:ind w:firstLine="413" w:firstLineChars="196"/>
        <w:jc w:val="left"/>
        <w:outlineLvl w:val="0"/>
        <w:rPr>
          <w:rFonts w:ascii="宋体" w:hAnsi="宋体" w:cs="宋体"/>
          <w:b/>
          <w:bCs/>
          <w:color w:val="auto"/>
          <w:highlight w:val="none"/>
        </w:rPr>
      </w:pPr>
      <w:r>
        <w:rPr>
          <w:rFonts w:hint="eastAsia" w:ascii="宋体" w:hAnsi="宋体" w:cs="宋体"/>
          <w:b/>
          <w:bCs/>
          <w:color w:val="auto"/>
          <w:highlight w:val="none"/>
        </w:rPr>
        <w:tab/>
      </w:r>
      <w:bookmarkStart w:id="118" w:name="_Toc26606"/>
      <w:bookmarkStart w:id="119" w:name="_Toc417922241"/>
      <w:bookmarkStart w:id="120" w:name="_Toc47388344"/>
      <w:r>
        <w:rPr>
          <w:rFonts w:hint="eastAsia" w:ascii="宋体" w:hAnsi="宋体" w:cs="宋体"/>
          <w:b/>
          <w:bCs/>
          <w:color w:val="auto"/>
          <w:highlight w:val="none"/>
        </w:rPr>
        <w:t>1.投标报价应按招标文件中相关附表格式填写。</w:t>
      </w:r>
      <w:bookmarkEnd w:id="118"/>
      <w:bookmarkEnd w:id="119"/>
      <w:bookmarkEnd w:id="120"/>
    </w:p>
    <w:p>
      <w:pPr>
        <w:overflowPunct w:val="0"/>
        <w:spacing w:line="360" w:lineRule="auto"/>
        <w:ind w:left="63" w:leftChars="30" w:firstLine="103" w:firstLineChars="49"/>
        <w:rPr>
          <w:rFonts w:ascii="宋体" w:hAnsi="宋体" w:cs="宋体"/>
          <w:b/>
          <w:bCs/>
          <w:color w:val="auto"/>
          <w:highlight w:val="none"/>
        </w:rPr>
      </w:pPr>
      <w:r>
        <w:rPr>
          <w:rFonts w:hint="eastAsia" w:ascii="宋体" w:hAnsi="宋体" w:cs="宋体"/>
          <w:b/>
          <w:bCs/>
          <w:color w:val="auto"/>
          <w:highlight w:val="none"/>
        </w:rPr>
        <w:tab/>
      </w:r>
      <w:bookmarkStart w:id="121" w:name="_Toc417922242"/>
      <w:r>
        <w:rPr>
          <w:rFonts w:hint="eastAsia" w:ascii="宋体" w:hAnsi="宋体" w:cs="宋体"/>
          <w:color w:val="auto"/>
          <w:highlight w:val="none"/>
        </w:rPr>
        <w:t>★</w:t>
      </w:r>
      <w:r>
        <w:rPr>
          <w:rFonts w:hint="eastAsia" w:ascii="宋体" w:hAnsi="宋体" w:cs="宋体"/>
          <w:b/>
          <w:bCs/>
          <w:color w:val="auto"/>
          <w:highlight w:val="none"/>
        </w:rPr>
        <w:t>2.</w:t>
      </w:r>
      <w:bookmarkEnd w:id="121"/>
      <w:r>
        <w:rPr>
          <w:rFonts w:hint="eastAsia" w:ascii="宋体" w:hAnsi="宋体" w:cs="宋体"/>
          <w:b/>
          <w:bCs/>
          <w:color w:val="auto"/>
          <w:highlight w:val="none"/>
        </w:rPr>
        <w:t>投标报价是详见第三章前附表2。</w:t>
      </w:r>
    </w:p>
    <w:p>
      <w:pPr>
        <w:snapToGrid w:val="0"/>
        <w:spacing w:before="156" w:beforeLines="50" w:line="360" w:lineRule="auto"/>
        <w:ind w:firstLine="413" w:firstLineChars="196"/>
        <w:jc w:val="left"/>
        <w:outlineLvl w:val="0"/>
        <w:rPr>
          <w:rFonts w:ascii="宋体" w:hAnsi="宋体" w:cs="宋体"/>
          <w:b/>
          <w:bCs/>
          <w:color w:val="auto"/>
          <w:highlight w:val="none"/>
        </w:rPr>
      </w:pPr>
      <w:r>
        <w:rPr>
          <w:rFonts w:hint="eastAsia" w:ascii="宋体" w:hAnsi="宋体" w:cs="宋体"/>
          <w:b/>
          <w:bCs/>
          <w:color w:val="auto"/>
          <w:highlight w:val="none"/>
        </w:rPr>
        <w:tab/>
      </w:r>
      <w:bookmarkStart w:id="122" w:name="_Toc47388345"/>
      <w:bookmarkStart w:id="123" w:name="_Toc417922243"/>
      <w:bookmarkStart w:id="124" w:name="_Toc26755"/>
      <w:r>
        <w:rPr>
          <w:rFonts w:hint="eastAsia" w:ascii="宋体" w:hAnsi="宋体" w:cs="宋体"/>
          <w:color w:val="auto"/>
          <w:highlight w:val="none"/>
        </w:rPr>
        <w:t>★</w:t>
      </w:r>
      <w:r>
        <w:rPr>
          <w:rFonts w:hint="eastAsia" w:ascii="宋体" w:hAnsi="宋体" w:cs="宋体"/>
          <w:b/>
          <w:bCs/>
          <w:color w:val="auto"/>
          <w:highlight w:val="none"/>
        </w:rPr>
        <w:t>3.投标文针对同一内容只允许有一个报价，有选择的或有条件的报价将不予接受。</w:t>
      </w:r>
      <w:bookmarkEnd w:id="122"/>
      <w:bookmarkEnd w:id="123"/>
      <w:bookmarkEnd w:id="124"/>
    </w:p>
    <w:p>
      <w:pPr>
        <w:snapToGrid w:val="0"/>
        <w:spacing w:before="156" w:beforeLines="50" w:line="360" w:lineRule="auto"/>
        <w:ind w:firstLine="413" w:firstLineChars="196"/>
        <w:jc w:val="left"/>
        <w:outlineLvl w:val="0"/>
        <w:rPr>
          <w:rFonts w:ascii="宋体" w:hAnsi="宋体" w:cs="宋体"/>
          <w:b/>
          <w:bCs/>
          <w:color w:val="auto"/>
          <w:highlight w:val="none"/>
        </w:rPr>
      </w:pPr>
      <w:bookmarkStart w:id="125" w:name="_Toc47388346"/>
      <w:bookmarkStart w:id="126" w:name="_Toc13397"/>
      <w:bookmarkStart w:id="127" w:name="_Toc417922244"/>
      <w:r>
        <w:rPr>
          <w:rFonts w:hint="eastAsia" w:ascii="宋体" w:hAnsi="宋体" w:cs="宋体"/>
          <w:b/>
          <w:bCs/>
          <w:color w:val="auto"/>
          <w:highlight w:val="none"/>
        </w:rPr>
        <w:t>（四）投标文件的有效期</w:t>
      </w:r>
      <w:bookmarkEnd w:id="125"/>
      <w:bookmarkEnd w:id="126"/>
      <w:bookmarkEnd w:id="127"/>
    </w:p>
    <w:p>
      <w:pPr>
        <w:pStyle w:val="13"/>
        <w:widowControl w:val="0"/>
        <w:tabs>
          <w:tab w:val="clear" w:pos="454"/>
        </w:tabs>
        <w:snapToGrid w:val="0"/>
        <w:spacing w:afterLines="0" w:line="360" w:lineRule="auto"/>
        <w:ind w:left="0" w:firstLine="420" w:firstLineChars="200"/>
        <w:rPr>
          <w:rFonts w:ascii="宋体" w:hAnsi="宋体" w:cs="宋体"/>
          <w:b/>
          <w:bCs/>
          <w:color w:val="auto"/>
          <w:sz w:val="21"/>
          <w:szCs w:val="21"/>
          <w:highlight w:val="none"/>
        </w:rPr>
      </w:pPr>
      <w:r>
        <w:rPr>
          <w:rFonts w:hint="eastAsia" w:ascii="宋体" w:hAnsi="宋体" w:cs="宋体"/>
          <w:color w:val="auto"/>
          <w:sz w:val="21"/>
          <w:szCs w:val="21"/>
          <w:highlight w:val="none"/>
        </w:rPr>
        <w:t>★</w:t>
      </w:r>
      <w:r>
        <w:rPr>
          <w:rFonts w:hint="eastAsia" w:ascii="宋体" w:hAnsi="宋体" w:cs="宋体"/>
          <w:b/>
          <w:bCs/>
          <w:color w:val="auto"/>
          <w:sz w:val="21"/>
          <w:szCs w:val="21"/>
          <w:highlight w:val="none"/>
        </w:rPr>
        <w:t>1.自投标截止日起</w:t>
      </w:r>
      <w:r>
        <w:rPr>
          <w:rFonts w:hint="eastAsia" w:ascii="宋体" w:hAnsi="宋体" w:cs="宋体"/>
          <w:b/>
          <w:bCs/>
          <w:color w:val="auto"/>
          <w:sz w:val="21"/>
          <w:szCs w:val="21"/>
          <w:highlight w:val="none"/>
          <w:u w:val="single"/>
        </w:rPr>
        <w:t xml:space="preserve">90 </w:t>
      </w:r>
      <w:r>
        <w:rPr>
          <w:rFonts w:hint="eastAsia" w:ascii="宋体" w:hAnsi="宋体" w:cs="宋体"/>
          <w:b/>
          <w:bCs/>
          <w:color w:val="auto"/>
          <w:sz w:val="21"/>
          <w:szCs w:val="21"/>
          <w:highlight w:val="none"/>
        </w:rPr>
        <w:t>天投标文件应保持有效。有效期不足的投标文件将被拒绝。</w:t>
      </w:r>
    </w:p>
    <w:p>
      <w:pPr>
        <w:pStyle w:val="13"/>
        <w:widowControl w:val="0"/>
        <w:tabs>
          <w:tab w:val="clear" w:pos="454"/>
        </w:tabs>
        <w:snapToGrid w:val="0"/>
        <w:spacing w:afterLines="0" w:line="360" w:lineRule="auto"/>
        <w:ind w:left="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2.在特殊情况下，招标人可与投标人协商延长投标书的有效期，这种要求和答复均以书面形式进行。</w:t>
      </w:r>
    </w:p>
    <w:p>
      <w:pPr>
        <w:snapToGrid w:val="0"/>
        <w:spacing w:line="360" w:lineRule="auto"/>
        <w:ind w:firstLine="420" w:firstLineChars="200"/>
        <w:jc w:val="left"/>
        <w:outlineLvl w:val="0"/>
        <w:rPr>
          <w:rFonts w:ascii="宋体" w:hAnsi="宋体" w:cs="宋体"/>
          <w:b/>
          <w:bCs/>
          <w:color w:val="auto"/>
          <w:highlight w:val="none"/>
        </w:rPr>
      </w:pPr>
      <w:bookmarkStart w:id="128" w:name="_Toc4957"/>
      <w:bookmarkStart w:id="129" w:name="_Toc417922245"/>
      <w:bookmarkStart w:id="130" w:name="_Toc47388347"/>
      <w:r>
        <w:rPr>
          <w:rFonts w:hint="eastAsia" w:ascii="宋体" w:hAnsi="宋体" w:cs="宋体"/>
          <w:color w:val="auto"/>
          <w:highlight w:val="none"/>
        </w:rPr>
        <w:t>3.投标人可拒绝接受延期要求而不会导致投标保证金被没收。同意延长有效期的投标人需要相应延长投标保证金的有效期，但不能修改投标文件。</w:t>
      </w:r>
      <w:bookmarkEnd w:id="128"/>
      <w:bookmarkEnd w:id="129"/>
      <w:bookmarkEnd w:id="130"/>
    </w:p>
    <w:p>
      <w:pPr>
        <w:snapToGrid w:val="0"/>
        <w:spacing w:line="360" w:lineRule="auto"/>
        <w:ind w:firstLine="420" w:firstLineChars="200"/>
        <w:jc w:val="left"/>
        <w:outlineLvl w:val="0"/>
        <w:rPr>
          <w:rFonts w:ascii="宋体" w:hAnsi="宋体" w:cs="宋体"/>
          <w:b/>
          <w:bCs/>
          <w:color w:val="auto"/>
          <w:highlight w:val="none"/>
        </w:rPr>
      </w:pPr>
      <w:bookmarkStart w:id="131" w:name="_Toc27965"/>
      <w:bookmarkStart w:id="132" w:name="_Toc47388348"/>
      <w:bookmarkStart w:id="133" w:name="_Toc417922246"/>
      <w:r>
        <w:rPr>
          <w:rFonts w:hint="eastAsia" w:ascii="宋体" w:hAnsi="宋体" w:cs="宋体"/>
          <w:color w:val="auto"/>
          <w:highlight w:val="none"/>
        </w:rPr>
        <w:t>4.中标人的投标文件自开标之日起至合同履行完毕止均应保持有效。</w:t>
      </w:r>
      <w:bookmarkEnd w:id="131"/>
      <w:bookmarkEnd w:id="132"/>
      <w:bookmarkEnd w:id="133"/>
    </w:p>
    <w:p>
      <w:pPr>
        <w:snapToGrid w:val="0"/>
        <w:spacing w:before="156" w:beforeLines="50" w:line="360" w:lineRule="auto"/>
        <w:ind w:firstLine="413" w:firstLineChars="196"/>
        <w:jc w:val="left"/>
        <w:outlineLvl w:val="0"/>
        <w:rPr>
          <w:rFonts w:ascii="宋体" w:hAnsi="宋体" w:cs="宋体"/>
          <w:b/>
          <w:bCs/>
          <w:color w:val="auto"/>
          <w:highlight w:val="none"/>
        </w:rPr>
      </w:pPr>
      <w:bookmarkStart w:id="134" w:name="_Toc447886351"/>
      <w:bookmarkStart w:id="135" w:name="_Toc8457"/>
      <w:bookmarkStart w:id="136" w:name="_Toc447886489"/>
      <w:bookmarkStart w:id="137" w:name="_Toc47388363"/>
      <w:r>
        <w:rPr>
          <w:rFonts w:hint="eastAsia" w:ascii="宋体" w:hAnsi="宋体" w:cs="宋体"/>
          <w:b/>
          <w:bCs/>
          <w:color w:val="auto"/>
          <w:highlight w:val="none"/>
        </w:rPr>
        <w:t>（五）投标文件的签署和份数</w:t>
      </w:r>
      <w:bookmarkEnd w:id="134"/>
      <w:bookmarkEnd w:id="135"/>
      <w:bookmarkEnd w:id="136"/>
      <w:bookmarkEnd w:id="137"/>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w:t>
      </w:r>
      <w:r>
        <w:rPr>
          <w:rFonts w:hint="eastAsia" w:ascii="宋体" w:hAnsi="宋体" w:cs="宋体"/>
          <w:b/>
          <w:bCs/>
          <w:color w:val="auto"/>
          <w:highlight w:val="none"/>
        </w:rPr>
        <w:t>2.投标人应提供电子投标文件。电子投标文件中所须加盖公章（联合体的，只需盖联合体牵头人CA章）。</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3.投标文件须由投标人在规定位置盖章并由法定代表人或法定代表人的授权委托人签署，投标人应写全称。</w:t>
      </w:r>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4.投标文件不得涂改，若有修改错漏处，须加盖单位公章或者法定代表人或授权委托人签字或盖章。投标文件因字迹潦草或表达不清所引起的后果由投标人负责。</w:t>
      </w:r>
    </w:p>
    <w:p>
      <w:pPr>
        <w:snapToGrid w:val="0"/>
        <w:spacing w:before="156" w:beforeLines="50" w:line="360" w:lineRule="auto"/>
        <w:ind w:firstLine="310" w:firstLineChars="147"/>
        <w:jc w:val="left"/>
        <w:rPr>
          <w:rFonts w:ascii="宋体" w:hAnsi="宋体" w:cs="宋体"/>
          <w:b/>
          <w:bCs/>
          <w:color w:val="auto"/>
          <w:highlight w:val="none"/>
        </w:rPr>
      </w:pPr>
      <w:r>
        <w:rPr>
          <w:rFonts w:hint="eastAsia" w:ascii="宋体" w:hAnsi="宋体" w:cs="宋体"/>
          <w:b/>
          <w:bCs/>
          <w:color w:val="auto"/>
          <w:highlight w:val="none"/>
        </w:rPr>
        <w:t>（六）投标文件的上传递交、修改和撤回</w:t>
      </w:r>
    </w:p>
    <w:p>
      <w:pPr>
        <w:snapToGrid w:val="0"/>
        <w:spacing w:before="156" w:beforeLines="50" w:line="360" w:lineRule="auto"/>
        <w:ind w:firstLine="411" w:firstLineChars="196"/>
        <w:jc w:val="left"/>
        <w:outlineLvl w:val="2"/>
        <w:rPr>
          <w:rFonts w:ascii="宋体" w:hAnsi="宋体" w:cs="宋体"/>
          <w:color w:val="auto"/>
          <w:highlight w:val="none"/>
        </w:rPr>
      </w:pPr>
      <w:bookmarkStart w:id="138" w:name="_Toc47388364"/>
      <w:bookmarkStart w:id="139" w:name="_Toc11204"/>
      <w:bookmarkStart w:id="140" w:name="_Toc447886352"/>
      <w:bookmarkStart w:id="141" w:name="_Toc447886490"/>
      <w:r>
        <w:rPr>
          <w:rFonts w:hint="eastAsia" w:ascii="宋体" w:hAnsi="宋体" w:cs="宋体"/>
          <w:color w:val="auto"/>
          <w:highlight w:val="none"/>
        </w:rPr>
        <w:t>1.投标文件的上传递交：</w:t>
      </w:r>
      <w:bookmarkEnd w:id="138"/>
      <w:bookmarkEnd w:id="139"/>
    </w:p>
    <w:p>
      <w:pPr>
        <w:snapToGrid w:val="0"/>
        <w:spacing w:before="156" w:beforeLines="50" w:line="360" w:lineRule="auto"/>
        <w:ind w:firstLine="411" w:firstLineChars="196"/>
        <w:jc w:val="left"/>
        <w:outlineLvl w:val="2"/>
        <w:rPr>
          <w:rFonts w:ascii="宋体" w:hAnsi="宋体" w:cs="宋体"/>
          <w:color w:val="auto"/>
          <w:highlight w:val="none"/>
        </w:rPr>
      </w:pPr>
      <w:bookmarkStart w:id="142" w:name="_Toc47388365"/>
      <w:bookmarkStart w:id="143" w:name="_Toc18986"/>
      <w:r>
        <w:rPr>
          <w:rFonts w:hint="eastAsia" w:ascii="宋体" w:hAnsi="宋体" w:cs="宋体"/>
          <w:color w:val="auto"/>
          <w:highlight w:val="none"/>
        </w:rPr>
        <w:t>（1）电子加密投标文件的上传递交：</w:t>
      </w:r>
      <w:bookmarkEnd w:id="142"/>
      <w:bookmarkEnd w:id="143"/>
    </w:p>
    <w:p>
      <w:pPr>
        <w:snapToGrid w:val="0"/>
        <w:spacing w:before="156" w:beforeLines="50" w:line="360" w:lineRule="auto"/>
        <w:ind w:firstLine="411" w:firstLineChars="196"/>
        <w:jc w:val="left"/>
        <w:outlineLvl w:val="2"/>
        <w:rPr>
          <w:rFonts w:ascii="宋体" w:hAnsi="宋体" w:cs="宋体"/>
          <w:color w:val="auto"/>
          <w:highlight w:val="none"/>
        </w:rPr>
      </w:pPr>
      <w:bookmarkStart w:id="144" w:name="_Toc47388366"/>
      <w:bookmarkStart w:id="145" w:name="_Toc28964"/>
      <w:r>
        <w:rPr>
          <w:rFonts w:hint="eastAsia" w:ascii="宋体" w:hAnsi="宋体" w:cs="宋体"/>
          <w:color w:val="auto"/>
          <w:highlight w:val="none"/>
        </w:rPr>
        <w:t>★a.投标人应在投标截止时间前将电子加密投标文件成功上传递交至政府采购云平台，否则投标无效；</w:t>
      </w:r>
      <w:bookmarkEnd w:id="144"/>
      <w:bookmarkEnd w:id="145"/>
    </w:p>
    <w:p>
      <w:pPr>
        <w:snapToGrid w:val="0"/>
        <w:spacing w:before="156" w:beforeLines="50" w:line="360" w:lineRule="auto"/>
        <w:ind w:firstLine="411" w:firstLineChars="196"/>
        <w:jc w:val="left"/>
        <w:outlineLvl w:val="2"/>
        <w:rPr>
          <w:rFonts w:ascii="宋体" w:hAnsi="宋体" w:cs="宋体"/>
          <w:color w:val="auto"/>
          <w:highlight w:val="none"/>
        </w:rPr>
      </w:pPr>
      <w:bookmarkStart w:id="146" w:name="_Toc31716"/>
      <w:bookmarkStart w:id="147" w:name="_Toc47388367"/>
      <w:r>
        <w:rPr>
          <w:rFonts w:hint="eastAsia" w:ascii="宋体" w:hAnsi="宋体" w:cs="宋体"/>
          <w:color w:val="auto"/>
          <w:highlight w:val="none"/>
        </w:rPr>
        <w:t>b.电子加密投标文件成功上传递交后，投标人可自行打印投标文件接收回执。</w:t>
      </w:r>
      <w:bookmarkEnd w:id="146"/>
      <w:bookmarkEnd w:id="147"/>
    </w:p>
    <w:p>
      <w:pPr>
        <w:snapToGrid w:val="0"/>
        <w:spacing w:before="156" w:beforeLines="50" w:line="360" w:lineRule="auto"/>
        <w:ind w:firstLine="411" w:firstLineChars="196"/>
        <w:jc w:val="left"/>
        <w:outlineLvl w:val="2"/>
        <w:rPr>
          <w:rFonts w:ascii="宋体" w:hAnsi="宋体" w:cs="宋体"/>
          <w:color w:val="auto"/>
          <w:highlight w:val="none"/>
        </w:rPr>
      </w:pPr>
      <w:bookmarkStart w:id="148" w:name="_Toc47388368"/>
      <w:bookmarkStart w:id="149" w:name="_Toc2573"/>
      <w:r>
        <w:rPr>
          <w:rFonts w:hint="eastAsia" w:ascii="宋体" w:hAnsi="宋体" w:cs="宋体"/>
          <w:color w:val="auto"/>
          <w:highlight w:val="none"/>
        </w:rPr>
        <w:t>（2）备份投标文件的密封包装、递交：</w:t>
      </w:r>
      <w:bookmarkEnd w:id="148"/>
      <w:bookmarkEnd w:id="149"/>
    </w:p>
    <w:p>
      <w:pPr>
        <w:snapToGrid w:val="0"/>
        <w:spacing w:before="156" w:beforeLines="50" w:line="360" w:lineRule="auto"/>
        <w:ind w:firstLine="411" w:firstLineChars="196"/>
        <w:jc w:val="left"/>
        <w:outlineLvl w:val="2"/>
        <w:rPr>
          <w:rFonts w:ascii="宋体" w:hAnsi="宋体" w:cs="宋体"/>
          <w:color w:val="auto"/>
          <w:highlight w:val="none"/>
        </w:rPr>
      </w:pPr>
      <w:bookmarkStart w:id="150" w:name="_Toc47388369"/>
      <w:bookmarkStart w:id="151" w:name="_Toc3075"/>
      <w:r>
        <w:rPr>
          <w:rFonts w:hint="eastAsia" w:ascii="宋体" w:hAnsi="宋体" w:cs="宋体"/>
          <w:color w:val="auto"/>
          <w:highlight w:val="none"/>
        </w:rPr>
        <w:t>a.投标人在政府采购云平台完成电子加密投标文件的上传递交后，还可以通过电子邮件在投标截止时间前递交备份投标文件；</w:t>
      </w:r>
      <w:bookmarkEnd w:id="150"/>
      <w:bookmarkEnd w:id="151"/>
    </w:p>
    <w:p>
      <w:pPr>
        <w:snapToGrid w:val="0"/>
        <w:spacing w:before="156" w:beforeLines="50" w:line="360" w:lineRule="auto"/>
        <w:ind w:firstLine="411" w:firstLineChars="196"/>
        <w:jc w:val="left"/>
        <w:outlineLvl w:val="2"/>
        <w:rPr>
          <w:rFonts w:ascii="宋体" w:hAnsi="宋体" w:cs="宋体"/>
          <w:color w:val="auto"/>
          <w:highlight w:val="none"/>
        </w:rPr>
      </w:pPr>
      <w:bookmarkStart w:id="152" w:name="_Toc47388370"/>
      <w:bookmarkStart w:id="153" w:name="_Toc6588"/>
      <w:r>
        <w:rPr>
          <w:rFonts w:hint="eastAsia" w:ascii="宋体" w:hAnsi="宋体" w:cs="宋体"/>
          <w:color w:val="auto"/>
          <w:highlight w:val="none"/>
        </w:rPr>
        <w:t>★b.通过政府采购云平台成功上传递交的电子加密投标文件已按时解密的，备份投标文件自动失效。投标截止时间前，投标人仅递交备份投标文件而未将电子加密投标文件成功上传递交至政府采购云平台的，投标无效。</w:t>
      </w:r>
      <w:bookmarkEnd w:id="152"/>
      <w:bookmarkEnd w:id="153"/>
    </w:p>
    <w:p>
      <w:pPr>
        <w:snapToGrid w:val="0"/>
        <w:spacing w:before="156" w:beforeLines="50" w:line="360" w:lineRule="auto"/>
        <w:ind w:firstLine="411" w:firstLineChars="196"/>
        <w:jc w:val="left"/>
        <w:outlineLvl w:val="2"/>
        <w:rPr>
          <w:rFonts w:ascii="宋体" w:hAnsi="宋体" w:cs="宋体"/>
          <w:color w:val="auto"/>
          <w:highlight w:val="none"/>
        </w:rPr>
      </w:pPr>
      <w:bookmarkStart w:id="154" w:name="_Toc10991"/>
      <w:bookmarkStart w:id="155" w:name="_Toc47388371"/>
      <w:r>
        <w:rPr>
          <w:rFonts w:hint="eastAsia" w:ascii="宋体" w:hAnsi="宋体" w:cs="宋体"/>
          <w:color w:val="auto"/>
          <w:highlight w:val="none"/>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将予以拒收。</w:t>
      </w:r>
      <w:bookmarkEnd w:id="154"/>
      <w:bookmarkEnd w:id="155"/>
    </w:p>
    <w:bookmarkEnd w:id="140"/>
    <w:bookmarkEnd w:id="141"/>
    <w:p>
      <w:pPr>
        <w:snapToGrid w:val="0"/>
        <w:spacing w:line="360" w:lineRule="auto"/>
        <w:ind w:firstLine="422"/>
        <w:jc w:val="left"/>
        <w:rPr>
          <w:rFonts w:ascii="宋体" w:hAnsi="宋体" w:cs="宋体"/>
          <w:b/>
          <w:bCs/>
          <w:color w:val="auto"/>
          <w:highlight w:val="none"/>
        </w:rPr>
      </w:pPr>
      <w:r>
        <w:rPr>
          <w:rFonts w:hint="eastAsia" w:ascii="宋体" w:hAnsi="宋体" w:cs="宋体"/>
          <w:b/>
          <w:bCs/>
          <w:color w:val="auto"/>
          <w:highlight w:val="none"/>
        </w:rPr>
        <w:t>四、特别说明</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1.进口产品采购需符合“财政部关于印发《政府采购进口产品管理办法》的通知（财库[2007]119号）”第四、八、九、十、十一条的规定。</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2.本项目</w:t>
      </w:r>
      <w:r>
        <w:rPr>
          <w:rFonts w:hint="eastAsia" w:ascii="宋体" w:hAnsi="宋体" w:cs="宋体"/>
          <w:color w:val="auto"/>
          <w:highlight w:val="none"/>
          <w:u w:val="single"/>
        </w:rPr>
        <w:t xml:space="preserve"> 非 </w:t>
      </w:r>
      <w:r>
        <w:rPr>
          <w:rFonts w:hint="eastAsia" w:ascii="宋体" w:hAnsi="宋体" w:cs="宋体"/>
          <w:color w:val="auto"/>
          <w:highlight w:val="none"/>
        </w:rPr>
        <w:t>专门面向中小企业采购。</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3.本项目对应的中小企业划分标准所属行业:</w:t>
      </w:r>
      <w:r>
        <w:rPr>
          <w:rFonts w:hint="eastAsia" w:ascii="宋体" w:hAnsi="宋体" w:cs="宋体"/>
          <w:color w:val="auto"/>
          <w:highlight w:val="none"/>
          <w:u w:val="single"/>
        </w:rPr>
        <w:t xml:space="preserve"> 工业。</w:t>
      </w:r>
      <w:r>
        <w:rPr>
          <w:rFonts w:hint="eastAsia" w:ascii="宋体" w:hAnsi="宋体" w:cs="宋体"/>
          <w:color w:val="auto"/>
          <w:highlight w:val="none"/>
        </w:rPr>
        <w:t xml:space="preserve"> </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4.小微企业是指中华人民共和国境内依法设立，依据国务院批准的中小企业划分标准确定的小型企业和微型企业，但与大企业的负责人为同一人，或者与大企业存在直接控股、管理关系的除外。</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符合中小企业划分标准的个体工商户，在政府采购活动中视同中小企业。</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国务院批准的中小企业划分标准：具体见工信部联企业[2011]300号。</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5.在政府采购活动中，供应商提供的货物、工程或者服务符合下列情形的，可享受小型、微型企业（以下简称小微企业）的价格扣除：</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（1）在货物采购项目中，货物由小微企业制造，即货物由小微企业生产且使用该小微企业商号或者注册商标；</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（2）在工程采购项目中，工程由小微企业承建，即工程施工单位为小微企业；</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（3）在服务采购项目中，服务由小微企业承接，即提供服务的人员为小微企业依照《中华人民共和国劳动合同法》订立劳动合同的从业人员。</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以联合体形式参加政府采购活动，联合体各方均为小微企业的，联合体视同小微企业。</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6.在货物采购项目中，供应商提供的货物既有中小企业制造货物，也有大型企业制造货物的，不享受的小微企业价格扣除。</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7.本项目对符合《政府采购促进中小企业发展管理办法》（财库﹝2020﹞46号）和《财政部关于进一步加大政府采购支持中小企业力度的通知》（财库〔2022〕19号）规定的小微企业报价给予10%（工程项目为5%）的扣除，用扣除后的价格参加评审。</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8.小微企业应按照招标文件格式要求提供《中小企业声明函》。</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9.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10.根据《关于促进残疾人就业政府采购政策的通知》（财库[2017]141号）规定，在政府采购活动中，残疾人福利性单位视同小型、微型企业。残疾人福利性单位参加政府采购活动时，提供《残疾人福利性单位声明函》。</w:t>
      </w:r>
    </w:p>
    <w:p>
      <w:pPr>
        <w:adjustRightInd w:val="0"/>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11.按规定享受扶持政策获得政府采购合同的，小微企业不得将合同分包给大中型企业，中型企业不得将合同分包给大型企业。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12.供应商按照《政府采购促进中小企业发展管理办法》（财库﹝2020﹞46号）规定提供声明函内容不实的，属于提供虚假材料谋取中标、成交，依照《中华人民共和国政府采购法》等国家有关规定追究相应责任。</w:t>
      </w:r>
    </w:p>
    <w:p>
      <w:pPr>
        <w:pStyle w:val="19"/>
        <w:snapToGrid w:val="0"/>
        <w:spacing w:line="360" w:lineRule="auto"/>
        <w:ind w:firstLine="406" w:firstLineChars="200"/>
        <w:rPr>
          <w:rFonts w:hint="eastAsia" w:ascii="宋体" w:hAnsi="宋体" w:eastAsia="宋体" w:cs="宋体"/>
          <w:b/>
          <w:bCs/>
          <w:color w:val="auto"/>
          <w:sz w:val="21"/>
          <w:szCs w:val="21"/>
          <w:highlight w:val="none"/>
          <w:lang w:val="en-US" w:eastAsia="zh-CN"/>
        </w:rPr>
      </w:pPr>
    </w:p>
    <w:p>
      <w:pPr>
        <w:adjustRightInd w:val="0"/>
        <w:snapToGrid w:val="0"/>
        <w:spacing w:line="360" w:lineRule="auto"/>
        <w:ind w:firstLine="420" w:firstLineChars="200"/>
        <w:rPr>
          <w:rFonts w:ascii="宋体" w:hAnsi="宋体" w:cs="宋体"/>
          <w:color w:val="auto"/>
          <w:highlight w:val="none"/>
        </w:rPr>
        <w:sectPr>
          <w:pgSz w:w="11906" w:h="16838"/>
          <w:pgMar w:top="1474" w:right="1797" w:bottom="1247" w:left="1797" w:header="851" w:footer="851" w:gutter="0"/>
          <w:cols w:space="720" w:num="1"/>
          <w:docGrid w:type="lines" w:linePitch="312" w:charSpace="0"/>
        </w:sectPr>
      </w:pPr>
    </w:p>
    <w:p>
      <w:pPr>
        <w:pStyle w:val="2"/>
        <w:ind w:firstLine="602"/>
        <w:rPr>
          <w:rFonts w:ascii="宋体" w:cs="宋体"/>
          <w:color w:val="auto"/>
          <w:highlight w:val="none"/>
        </w:rPr>
      </w:pPr>
      <w:bookmarkStart w:id="156" w:name="_Toc28996"/>
      <w:bookmarkStart w:id="157" w:name="_Toc47388384"/>
      <w:r>
        <w:rPr>
          <w:rFonts w:hint="eastAsia" w:ascii="宋体" w:cs="宋体"/>
          <w:color w:val="auto"/>
          <w:highlight w:val="none"/>
        </w:rPr>
        <w:t>第四章评标办法及评分标准</w:t>
      </w:r>
      <w:bookmarkEnd w:id="156"/>
      <w:bookmarkEnd w:id="157"/>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本办法严格遵照《中华人民共和国政府采购法》、《政府采购货物和服务招标投标管理办法》，结合项目所在地政府有关政府采购规定和项目的实际情况制定。</w:t>
      </w:r>
    </w:p>
    <w:p>
      <w:pPr>
        <w:spacing w:line="360" w:lineRule="auto"/>
        <w:ind w:firstLine="422"/>
        <w:rPr>
          <w:rFonts w:ascii="宋体" w:hAnsi="宋体" w:cs="宋体"/>
          <w:color w:val="auto"/>
          <w:highlight w:val="none"/>
        </w:rPr>
      </w:pPr>
      <w:r>
        <w:rPr>
          <w:rFonts w:hint="eastAsia" w:ascii="宋体" w:hAnsi="宋体" w:cs="宋体"/>
          <w:b/>
          <w:bCs/>
          <w:color w:val="auto"/>
          <w:highlight w:val="none"/>
        </w:rPr>
        <w:t>一、开标程序：</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1、电子招投标开标程序：</w:t>
      </w:r>
    </w:p>
    <w:p>
      <w:pPr>
        <w:numPr>
          <w:ilvl w:val="0"/>
          <w:numId w:val="11"/>
        </w:num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投标截止时间后，供应商登录政府采购云平台，用“项目采购-开标评标”功能对电子投标文件进行在线解密，在线解密电子投标文件时间为开标时间后30分钟内。</w:t>
      </w:r>
    </w:p>
    <w:p>
      <w:pPr>
        <w:numPr>
          <w:ilvl w:val="0"/>
          <w:numId w:val="11"/>
        </w:num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在政府采购云平台开启已解密供应商的“资格证明文件、商务技术文件、报价文件”，并做开标记录；</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（3）在政府采购云平台宣告评审无效供应商名单及理由；</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（4）在政府采购云平台公布评审结果。</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（5）开标会议结束。</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3、特别说明：政府采购云平台如对电子化开标及评审程序有调整的，按调整后的程序操作。</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本项目原则上采用政采云电子招投标开标程序，但有以下情形之一的，按以下情况处理：</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（1）若有供应商在规定时间内无法解密或解密失败，代理机构将开启该供应商递交的以U盘存储的电子备份投标文件，上传至政采云平台项目采购模块，以完成开标，电子投标文件自动失效。</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（2）采购过程中出现以下情形，导致电子交易平台无法正常运行，或者无法保证电子交易的公平、公正和安全时，采购人（或代理机构）可中止电子交易活动：</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3.1电子交易平台发生故障而无法登录访问的；</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3.2电子交易平台应用或数据库出现错误，不能进行正常操作的；</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3.3电子交易平台发现严重安全漏洞，有潜在泄密危险的；</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3.4病毒发作导致不能进行正常操作的；</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3.5其他无法保证电子交易的公平、公正和安全的情况。</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（3）未开启的备份投标文件现场予以退还（电子邮件方式除外）。</w:t>
      </w:r>
    </w:p>
    <w:p>
      <w:pPr>
        <w:spacing w:line="360" w:lineRule="auto"/>
        <w:ind w:firstLine="422"/>
        <w:rPr>
          <w:rFonts w:ascii="宋体" w:hAnsi="宋体" w:cs="宋体"/>
          <w:b/>
          <w:bCs/>
          <w:color w:val="auto"/>
          <w:highlight w:val="none"/>
        </w:rPr>
      </w:pPr>
      <w:r>
        <w:rPr>
          <w:rFonts w:hint="eastAsia" w:ascii="宋体" w:hAnsi="宋体" w:cs="宋体"/>
          <w:b/>
          <w:bCs/>
          <w:color w:val="auto"/>
          <w:highlight w:val="none"/>
        </w:rPr>
        <w:t>二、评标委员会</w:t>
      </w:r>
    </w:p>
    <w:p>
      <w:pPr>
        <w:spacing w:line="360" w:lineRule="auto"/>
        <w:ind w:firstLine="420" w:firstLineChars="200"/>
        <w:rPr>
          <w:rFonts w:ascii="宋体" w:hAnsi="宋体" w:cs="宋体"/>
          <w:bCs/>
          <w:color w:val="auto"/>
          <w:highlight w:val="none"/>
        </w:rPr>
      </w:pPr>
      <w:r>
        <w:rPr>
          <w:rFonts w:hint="eastAsia" w:ascii="宋体" w:hAnsi="宋体" w:cs="宋体"/>
          <w:color w:val="auto"/>
          <w:highlight w:val="none"/>
        </w:rPr>
        <w:t>（一）本次招标依法组建评标委员会。</w:t>
      </w:r>
    </w:p>
    <w:p>
      <w:pPr>
        <w:pStyle w:val="27"/>
        <w:spacing w:line="360" w:lineRule="auto"/>
        <w:ind w:firstLine="420" w:firstLineChars="200"/>
        <w:rPr>
          <w:rFonts w:ascii="宋体" w:cs="宋体"/>
          <w:b w:val="0"/>
          <w:color w:val="auto"/>
          <w:sz w:val="21"/>
          <w:szCs w:val="21"/>
          <w:highlight w:val="none"/>
        </w:rPr>
      </w:pPr>
      <w:r>
        <w:rPr>
          <w:rFonts w:hint="eastAsia" w:ascii="宋体" w:cs="宋体"/>
          <w:b w:val="0"/>
          <w:color w:val="auto"/>
          <w:sz w:val="21"/>
          <w:szCs w:val="21"/>
          <w:highlight w:val="none"/>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7"/>
        <w:spacing w:line="360" w:lineRule="auto"/>
        <w:ind w:firstLine="420" w:firstLineChars="200"/>
        <w:rPr>
          <w:rFonts w:ascii="宋体" w:cs="宋体"/>
          <w:b w:val="0"/>
          <w:color w:val="auto"/>
          <w:sz w:val="21"/>
          <w:szCs w:val="21"/>
          <w:highlight w:val="none"/>
        </w:rPr>
      </w:pPr>
      <w:r>
        <w:rPr>
          <w:rFonts w:hint="eastAsia" w:ascii="宋体" w:cs="宋体"/>
          <w:b w:val="0"/>
          <w:color w:val="auto"/>
          <w:sz w:val="21"/>
          <w:szCs w:val="21"/>
          <w:highlight w:val="none"/>
        </w:rPr>
        <w:t>（三）评审专家有下列情形之一的，受到邀请应主动提出回避，采购当事人也可以要求该评审专家回避：</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 xml:space="preserve">1、参加采购活动前三年内，与投标人存在劳动关系，或者担任过投标人的董事、监事，或者是投标人的控股股东或实际控制人； </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 xml:space="preserve">2、与投标人的法定代表人或者负责人有夫妻、直系血亲、三代以内旁系血亲或者近姻亲关系； </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3、与供应商有其他可能影响政府采购活动公平、公正进行的关系。</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4、曾经参加过该招标项目的进口产品论证服务工作；</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5、法律、法规、规章规定应当回避以及其他可能影响公正评审的。</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（四）评标委员会判断投标文件的有效性、合格性和响应情况，仅依据供应商所递交一切文件的真实表述，不受与本项目无直接关联的外部信息、传言而影响自身的专业判断。</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五）评委依法独立评审，并对评审意见承担个人责任。对明显畸高、畸低的评分（评审小组成员个人主观打分偏离所有评审小组成员主观打分平均值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ind w:firstLine="422"/>
        <w:rPr>
          <w:rFonts w:ascii="宋体" w:hAnsi="宋体" w:cs="宋体"/>
          <w:b/>
          <w:bCs/>
          <w:color w:val="auto"/>
          <w:highlight w:val="none"/>
        </w:rPr>
      </w:pPr>
      <w:r>
        <w:rPr>
          <w:rFonts w:hint="eastAsia" w:ascii="宋体" w:hAnsi="宋体" w:cs="宋体"/>
          <w:b/>
          <w:bCs/>
          <w:color w:val="auto"/>
          <w:highlight w:val="none"/>
        </w:rPr>
        <w:t>三、评标方法</w:t>
      </w:r>
    </w:p>
    <w:p>
      <w:pPr>
        <w:spacing w:line="360" w:lineRule="auto"/>
        <w:rPr>
          <w:rFonts w:ascii="宋体" w:hAnsi="宋体" w:cs="宋体"/>
          <w:color w:val="auto"/>
          <w:highlight w:val="none"/>
        </w:rPr>
      </w:pPr>
      <w:r>
        <w:rPr>
          <w:rFonts w:hint="eastAsia" w:ascii="宋体" w:hAnsi="宋体" w:cs="宋体"/>
          <w:color w:val="auto"/>
          <w:highlight w:val="none"/>
        </w:rPr>
        <w:t>（一）本次采购项目的评标方法为：综合评分法。</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采用综合评分法的，评标结果按评审后得分由高到低顺序</w:t>
      </w:r>
      <w:r>
        <w:rPr>
          <w:rFonts w:hint="eastAsia" w:ascii="宋体" w:cs="宋体"/>
          <w:b w:val="0"/>
          <w:bCs w:val="0"/>
          <w:color w:val="auto"/>
          <w:sz w:val="21"/>
          <w:szCs w:val="21"/>
          <w:highlight w:val="none"/>
        </w:rPr>
        <w:t>推荐1名</w:t>
      </w:r>
      <w:r>
        <w:rPr>
          <w:rFonts w:hint="eastAsia" w:ascii="宋体" w:cs="宋体"/>
          <w:b w:val="0"/>
          <w:color w:val="auto"/>
          <w:sz w:val="21"/>
          <w:szCs w:val="21"/>
          <w:highlight w:val="none"/>
        </w:rPr>
        <w:t>中标</w:t>
      </w:r>
      <w:r>
        <w:rPr>
          <w:rFonts w:hint="eastAsia" w:ascii="宋体" w:cs="宋体"/>
          <w:b w:val="0"/>
          <w:bCs w:val="0"/>
          <w:color w:val="auto"/>
          <w:sz w:val="21"/>
          <w:szCs w:val="21"/>
          <w:highlight w:val="none"/>
        </w:rPr>
        <w:t>候选人</w:t>
      </w:r>
      <w:r>
        <w:rPr>
          <w:rFonts w:hint="eastAsia" w:ascii="宋体" w:cs="宋体"/>
          <w:b w:val="0"/>
          <w:color w:val="auto"/>
          <w:sz w:val="21"/>
          <w:szCs w:val="21"/>
          <w:highlight w:val="none"/>
        </w:rPr>
        <w:t>。得分相同的，按投标报价由低到高顺序排列。得分且投标报价相同的并列，则抽签决定。</w:t>
      </w:r>
    </w:p>
    <w:p>
      <w:pPr>
        <w:spacing w:line="360" w:lineRule="auto"/>
        <w:rPr>
          <w:rFonts w:ascii="宋体" w:hAnsi="宋体" w:cs="宋体"/>
          <w:color w:val="auto"/>
          <w:highlight w:val="none"/>
        </w:rPr>
      </w:pPr>
      <w:r>
        <w:rPr>
          <w:rFonts w:hint="eastAsia" w:ascii="宋体" w:hAnsi="宋体" w:cs="宋体"/>
          <w:color w:val="auto"/>
          <w:highlight w:val="none"/>
        </w:rPr>
        <w:t>（二）投标文件的澄清</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1、对于投标文件中含义不明确、同类问题表述不一致或者有明显文字和计算错误的内容，评标委员会应当以书面形式要求供应商作出必要的澄清、说明或者补正。</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spacing w:line="360" w:lineRule="auto"/>
        <w:rPr>
          <w:rFonts w:ascii="宋体" w:hAnsi="宋体" w:cs="宋体"/>
          <w:color w:val="auto"/>
          <w:highlight w:val="none"/>
        </w:rPr>
      </w:pPr>
      <w:r>
        <w:rPr>
          <w:rFonts w:hint="eastAsia" w:ascii="宋体" w:hAnsi="宋体" w:cs="宋体"/>
          <w:color w:val="auto"/>
          <w:highlight w:val="none"/>
        </w:rPr>
        <w:t>（三）投标文件错误修正原则</w:t>
      </w:r>
    </w:p>
    <w:p>
      <w:pPr>
        <w:spacing w:line="360" w:lineRule="auto"/>
        <w:rPr>
          <w:rFonts w:ascii="宋体" w:hAnsi="宋体" w:cs="宋体"/>
          <w:color w:val="auto"/>
          <w:highlight w:val="none"/>
        </w:rPr>
      </w:pPr>
      <w:r>
        <w:rPr>
          <w:rFonts w:hint="eastAsia" w:ascii="宋体" w:hAnsi="宋体" w:cs="宋体"/>
          <w:color w:val="auto"/>
          <w:highlight w:val="none"/>
        </w:rPr>
        <w:t>投标文件如果出现计算或表达上的错误，修正错误的原则如下：</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1、投标文件中开标一览表（报价表）内容与投标文件中相应内容不一致的，以开标一览表（报价表）为准；</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2、政采云平台填报的开标一览表中的价格与上传的报价文件中开标一览表的报价不一致的，以上传的报价文件为准；</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3、大写金额和小写金额不一致的，以大写金额为准；</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4、单价金额小数点或者百分比有明显错位的，以开标一览表的总价为准，并修改单价；</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5、总价金额与按单价汇总金额不一致的，以单价金额计算结果为准。</w:t>
      </w:r>
    </w:p>
    <w:p>
      <w:pPr>
        <w:pStyle w:val="27"/>
        <w:spacing w:line="360" w:lineRule="auto"/>
        <w:ind w:firstLine="417" w:firstLineChars="199"/>
        <w:rPr>
          <w:rFonts w:ascii="宋体" w:cs="宋体"/>
          <w:b w:val="0"/>
          <w:color w:val="auto"/>
          <w:sz w:val="21"/>
          <w:szCs w:val="21"/>
          <w:highlight w:val="none"/>
        </w:rPr>
      </w:pPr>
      <w:r>
        <w:rPr>
          <w:rFonts w:hint="eastAsia" w:ascii="宋体" w:cs="宋体"/>
          <w:b w:val="0"/>
          <w:color w:val="auto"/>
          <w:sz w:val="21"/>
          <w:szCs w:val="21"/>
          <w:highlight w:val="none"/>
        </w:rPr>
        <w:t>同时出现两种以上不一致的，按照前款规定的顺序修正。修正后的报价按照投标文件澄清第二款的规定经供应商确认后产生约束力，供应商不确认的，其投标无效。</w:t>
      </w:r>
    </w:p>
    <w:p>
      <w:pPr>
        <w:widowControl/>
        <w:spacing w:line="360" w:lineRule="auto"/>
        <w:ind w:firstLine="422"/>
        <w:jc w:val="left"/>
        <w:rPr>
          <w:rFonts w:ascii="宋体" w:hAnsi="宋体" w:cs="宋体"/>
          <w:b/>
          <w:bCs/>
          <w:color w:val="auto"/>
          <w:highlight w:val="none"/>
        </w:rPr>
      </w:pPr>
      <w:r>
        <w:rPr>
          <w:rFonts w:hint="eastAsia" w:ascii="宋体" w:hAnsi="宋体" w:cs="宋体"/>
          <w:b/>
          <w:bCs/>
          <w:color w:val="auto"/>
          <w:highlight w:val="none"/>
        </w:rPr>
        <w:t>四、评标程序</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（一）资格条件审查</w:t>
      </w:r>
    </w:p>
    <w:p>
      <w:pPr>
        <w:spacing w:line="360" w:lineRule="auto"/>
        <w:ind w:firstLine="522" w:firstLineChars="249"/>
        <w:rPr>
          <w:rFonts w:ascii="宋体" w:hAnsi="宋体" w:cs="宋体"/>
          <w:color w:val="auto"/>
          <w:highlight w:val="none"/>
        </w:rPr>
      </w:pPr>
      <w:r>
        <w:rPr>
          <w:rFonts w:hint="eastAsia" w:ascii="宋体" w:hAnsi="宋体" w:cs="宋体"/>
          <w:color w:val="auto"/>
          <w:highlight w:val="none"/>
        </w:rPr>
        <w:t>由采购人或采购代理机构对供应商的资格进行审查。</w:t>
      </w:r>
    </w:p>
    <w:tbl>
      <w:tblPr>
        <w:tblStyle w:val="47"/>
        <w:tblW w:w="8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Borders>
              <w:top w:val="single" w:color="auto" w:sz="4" w:space="0"/>
              <w:left w:val="single" w:color="auto" w:sz="4" w:space="0"/>
              <w:bottom w:val="single" w:color="auto" w:sz="4" w:space="0"/>
              <w:right w:val="single" w:color="auto" w:sz="4" w:space="0"/>
            </w:tcBorders>
          </w:tcPr>
          <w:p>
            <w:pPr>
              <w:spacing w:line="360" w:lineRule="auto"/>
              <w:ind w:firstLine="422"/>
              <w:jc w:val="center"/>
              <w:rPr>
                <w:rFonts w:ascii="宋体" w:hAnsi="宋体" w:cs="宋体"/>
                <w:b/>
                <w:color w:val="auto"/>
                <w:highlight w:val="none"/>
              </w:rPr>
            </w:pPr>
            <w:r>
              <w:rPr>
                <w:rFonts w:hint="eastAsia" w:ascii="宋体" w:hAnsi="宋体" w:cs="宋体"/>
                <w:b/>
                <w:color w:val="auto"/>
                <w:highlight w:val="none"/>
              </w:rPr>
              <w:t>审查类别</w:t>
            </w:r>
          </w:p>
        </w:tc>
        <w:tc>
          <w:tcPr>
            <w:tcW w:w="6794" w:type="dxa"/>
            <w:tcBorders>
              <w:top w:val="single" w:color="auto" w:sz="4" w:space="0"/>
              <w:left w:val="single" w:color="auto" w:sz="4" w:space="0"/>
              <w:bottom w:val="single" w:color="auto" w:sz="4" w:space="0"/>
              <w:right w:val="single" w:color="auto" w:sz="4" w:space="0"/>
            </w:tcBorders>
          </w:tcPr>
          <w:p>
            <w:pPr>
              <w:spacing w:line="360" w:lineRule="auto"/>
              <w:ind w:firstLine="422"/>
              <w:jc w:val="center"/>
              <w:rPr>
                <w:rFonts w:ascii="宋体" w:hAnsi="宋体" w:cs="宋体"/>
                <w:b/>
                <w:color w:val="auto"/>
                <w:highlight w:val="none"/>
              </w:rPr>
            </w:pPr>
            <w:r>
              <w:rPr>
                <w:rFonts w:hint="eastAsia" w:ascii="宋体" w:hAnsi="宋体" w:cs="宋体"/>
                <w:b/>
                <w:color w:val="auto"/>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资格条件审查</w:t>
            </w:r>
          </w:p>
        </w:tc>
        <w:tc>
          <w:tcPr>
            <w:tcW w:w="6794" w:type="dxa"/>
            <w:tcBorders>
              <w:top w:val="single" w:color="auto" w:sz="4" w:space="0"/>
              <w:left w:val="single" w:color="auto" w:sz="4" w:space="0"/>
              <w:bottom w:val="single" w:color="auto" w:sz="4" w:space="0"/>
              <w:right w:val="single" w:color="auto" w:sz="4" w:space="0"/>
            </w:tcBorders>
          </w:tcPr>
          <w:p>
            <w:pPr>
              <w:widowControl/>
              <w:numPr>
                <w:ilvl w:val="0"/>
                <w:numId w:val="0"/>
              </w:numPr>
              <w:spacing w:line="360" w:lineRule="auto"/>
              <w:jc w:val="left"/>
              <w:rPr>
                <w:rFonts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一</w:t>
            </w:r>
            <w:r>
              <w:rPr>
                <w:rFonts w:hint="eastAsia" w:ascii="宋体" w:hAnsi="宋体" w:cs="宋体"/>
                <w:color w:val="auto"/>
                <w:highlight w:val="none"/>
                <w:lang w:eastAsia="zh-CN"/>
              </w:rPr>
              <w:t>）</w:t>
            </w:r>
            <w:r>
              <w:rPr>
                <w:rFonts w:hint="eastAsia" w:ascii="宋体" w:hAnsi="宋体" w:cs="宋体"/>
                <w:color w:val="auto"/>
                <w:highlight w:val="none"/>
              </w:rPr>
              <w:t>满足《中华人民共和国政府采购法》第二十二条规定；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794" w:type="dxa"/>
            <w:tcBorders>
              <w:top w:val="single" w:color="auto" w:sz="4" w:space="0"/>
              <w:left w:val="single" w:color="auto" w:sz="4" w:space="0"/>
              <w:bottom w:val="single" w:color="auto" w:sz="4" w:space="0"/>
              <w:right w:val="single" w:color="auto" w:sz="4" w:space="0"/>
            </w:tcBorders>
          </w:tcPr>
          <w:p>
            <w:pPr>
              <w:widowControl/>
              <w:numPr>
                <w:ilvl w:val="0"/>
                <w:numId w:val="0"/>
              </w:numPr>
              <w:spacing w:line="360" w:lineRule="auto"/>
              <w:jc w:val="left"/>
              <w:rPr>
                <w:rFonts w:ascii="宋体" w:hAnsi="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二</w:t>
            </w:r>
            <w:r>
              <w:rPr>
                <w:rFonts w:hint="eastAsia" w:ascii="宋体" w:hAnsi="宋体" w:cs="宋体"/>
                <w:color w:val="auto"/>
                <w:highlight w:val="none"/>
                <w:lang w:eastAsia="zh-CN"/>
              </w:rPr>
              <w:t>）</w:t>
            </w:r>
            <w:r>
              <w:rPr>
                <w:rFonts w:hint="eastAsia" w:ascii="宋体" w:hAnsi="宋体" w:cs="宋体"/>
                <w:color w:val="auto"/>
                <w:highlight w:val="none"/>
              </w:rPr>
              <w:t>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rPr>
              <w:t>（三）落实政府采购政策需满足的资格要求：</w:t>
            </w:r>
            <w:r>
              <w:rPr>
                <w:rFonts w:hint="eastAsia" w:ascii="宋体" w:hAnsi="宋体" w:cs="宋体"/>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highlight w:val="none"/>
              </w:rPr>
            </w:pPr>
            <w:r>
              <w:rPr>
                <w:rFonts w:hint="eastAsia" w:ascii="宋体" w:hAnsi="宋体" w:cs="宋体"/>
                <w:color w:val="auto"/>
                <w:highlight w:val="none"/>
              </w:rPr>
              <w:t>（四）投标人为第二类、第三类医疗器械生产企业提供《医疗器械生产许可证》复印件、第一类医疗器械生产企业提供第一类医疗器械生产备案凭证复印件。投标人为医疗器械经营企业的：第三类医疗器械经营企业提供《医疗器械经营许可证》复印件、第二类医疗器械经营企业提供第二类医疗器械经营备案凭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highlight w:val="none"/>
              </w:rPr>
            </w:pPr>
            <w:r>
              <w:rPr>
                <w:rFonts w:hint="eastAsia" w:ascii="宋体" w:hAnsi="宋体" w:cs="宋体"/>
                <w:color w:val="auto"/>
                <w:highlight w:val="none"/>
              </w:rPr>
              <w:t>（五）本项目接受联合体投标。</w:t>
            </w:r>
          </w:p>
        </w:tc>
      </w:tr>
    </w:tbl>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（二）符合性审查</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评标委员会应当对符合资格的供应商的投标文件进行符合性审查，以确定其是否满足采购文件的实质性要求。</w:t>
      </w:r>
    </w:p>
    <w:tbl>
      <w:tblPr>
        <w:tblStyle w:val="47"/>
        <w:tblW w:w="8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tcBorders>
              <w:top w:val="single" w:color="auto" w:sz="4" w:space="0"/>
              <w:left w:val="single" w:color="auto" w:sz="4" w:space="0"/>
              <w:bottom w:val="single" w:color="auto" w:sz="4" w:space="0"/>
              <w:right w:val="single" w:color="auto" w:sz="4" w:space="0"/>
            </w:tcBorders>
          </w:tcPr>
          <w:p>
            <w:pPr>
              <w:spacing w:line="360" w:lineRule="auto"/>
              <w:ind w:firstLine="422"/>
              <w:jc w:val="center"/>
              <w:rPr>
                <w:rFonts w:ascii="宋体" w:hAnsi="宋体" w:cs="宋体"/>
                <w:b/>
                <w:color w:val="auto"/>
                <w:highlight w:val="none"/>
              </w:rPr>
            </w:pPr>
            <w:r>
              <w:rPr>
                <w:rFonts w:hint="eastAsia" w:ascii="宋体" w:hAnsi="宋体" w:cs="宋体"/>
                <w:b/>
                <w:color w:val="auto"/>
                <w:highlight w:val="none"/>
              </w:rPr>
              <w:t>审查类别</w:t>
            </w:r>
          </w:p>
        </w:tc>
        <w:tc>
          <w:tcPr>
            <w:tcW w:w="6525" w:type="dxa"/>
            <w:tcBorders>
              <w:top w:val="single" w:color="auto" w:sz="4" w:space="0"/>
              <w:left w:val="single" w:color="auto" w:sz="4" w:space="0"/>
              <w:bottom w:val="single" w:color="auto" w:sz="4" w:space="0"/>
              <w:right w:val="single" w:color="auto" w:sz="4" w:space="0"/>
            </w:tcBorders>
          </w:tcPr>
          <w:p>
            <w:pPr>
              <w:spacing w:line="360" w:lineRule="auto"/>
              <w:ind w:firstLine="422"/>
              <w:jc w:val="center"/>
              <w:rPr>
                <w:rFonts w:ascii="宋体" w:hAnsi="宋体" w:cs="宋体"/>
                <w:b/>
                <w:color w:val="auto"/>
                <w:highlight w:val="none"/>
              </w:rPr>
            </w:pPr>
            <w:r>
              <w:rPr>
                <w:rFonts w:hint="eastAsia" w:ascii="宋体" w:hAnsi="宋体" w:cs="宋体"/>
                <w:b/>
                <w:color w:val="auto"/>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符合性审查</w:t>
            </w:r>
          </w:p>
          <w:p>
            <w:pPr>
              <w:spacing w:line="360" w:lineRule="auto"/>
              <w:jc w:val="center"/>
              <w:rPr>
                <w:rFonts w:ascii="宋体" w:hAnsi="宋体" w:cs="宋体"/>
                <w:color w:val="auto"/>
                <w:highlight w:val="none"/>
              </w:rPr>
            </w:pPr>
            <w:r>
              <w:rPr>
                <w:rFonts w:hint="eastAsia" w:ascii="宋体" w:hAnsi="宋体" w:cs="宋体"/>
                <w:color w:val="auto"/>
                <w:highlight w:val="none"/>
              </w:rPr>
              <w:t>（商务技术文件）</w:t>
            </w: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（二）投标文件有法定代表人签署本人姓名（或印盖本人姓名章），或签署人提供有效的法定代表人授权委托书且授权委托书填写项目齐全的；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（三）投标文件标明的响应或偏离与事实相符且无虚假投标的；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（四）投标文件的实质性内容使用中文表述且意思表述明确，前后无矛盾且使用计量单位符合采购文件要求的；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（五）带“★”的条款满足采购文件要求、已实质性响应采购文件要求且投标文件无采购人不能接受的附加条件的；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（六）投标技术方案明确，不存在一个或一个以上备选（替代）投标方案的；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（七）不存在法律、法规和采购文件规定的其他无效情形；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（八）不存在投标文件的有效期不满足采购文件要求情形；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符合性审查</w:t>
            </w:r>
          </w:p>
          <w:p>
            <w:pPr>
              <w:spacing w:line="360" w:lineRule="auto"/>
              <w:ind w:firstLine="210" w:firstLineChars="100"/>
              <w:jc w:val="center"/>
              <w:rPr>
                <w:rFonts w:ascii="宋体" w:hAnsi="宋体" w:cs="宋体"/>
                <w:color w:val="auto"/>
                <w:highlight w:val="none"/>
              </w:rPr>
            </w:pPr>
            <w:r>
              <w:rPr>
                <w:rFonts w:hint="eastAsia" w:ascii="宋体" w:hAnsi="宋体" w:cs="宋体"/>
                <w:color w:val="auto"/>
                <w:highlight w:val="none"/>
              </w:rPr>
              <w:t>（报价文件）</w:t>
            </w: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（二）采用人民币报价或者按照采购文件标明的币种报价的；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（三）不存在报价超出最高限价，或者超出采购预算金额，采购人不能支付的情形。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（四）不存在投标报价具有选择性的情形；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（五）投标报价中未出现重大缺项、漏项；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（六）不存在评标委员会认为供应商的报价明显低于其他通过符合性审查供应商的报价，有可能影响产品质量或者不能诚信履约的且不能在评标现场合理时间内提供相关证明材料说明其报价的合理性的情形；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（七）投标文件（报价文件）内容与投标文件（商务技术文件）内容不存在重大差异的；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highlight w:val="none"/>
              </w:rPr>
              <w:t>（八）不存在法律、法规和采购文件规定的其他无效情形；</w:t>
            </w:r>
          </w:p>
        </w:tc>
      </w:tr>
    </w:tbl>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（三）投标无效的情形</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没有响应采购文件实质性要求的投标将被视为无效投标。供应商不得通过修正或撤消不合要求的偏离或保留从而使其投标成为实质上响应的投标。</w:t>
      </w:r>
    </w:p>
    <w:p>
      <w:pPr>
        <w:widowControl/>
        <w:numPr>
          <w:ilvl w:val="0"/>
          <w:numId w:val="12"/>
        </w:numPr>
        <w:spacing w:line="360" w:lineRule="auto"/>
        <w:ind w:firstLine="422"/>
        <w:jc w:val="left"/>
        <w:rPr>
          <w:rFonts w:ascii="宋体" w:hAnsi="宋体" w:cs="宋体"/>
          <w:b/>
          <w:bCs/>
          <w:color w:val="auto"/>
          <w:highlight w:val="none"/>
        </w:rPr>
      </w:pPr>
      <w:r>
        <w:rPr>
          <w:rFonts w:hint="eastAsia" w:ascii="宋体" w:hAnsi="宋体" w:cs="宋体"/>
          <w:b/>
          <w:bCs/>
          <w:color w:val="auto"/>
          <w:highlight w:val="none"/>
        </w:rPr>
        <w:t>在资格审查时，如发现下列情形之一的，将被视为无效投标文件：</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资格证明文件不全的或者不符合采购文件标明的资格要求的或者未按采购文件规定要求签署、盖章；；</w:t>
      </w:r>
    </w:p>
    <w:p>
      <w:pPr>
        <w:spacing w:line="360" w:lineRule="auto"/>
        <w:ind w:firstLine="422"/>
        <w:rPr>
          <w:rFonts w:ascii="宋体" w:hAnsi="宋体" w:cs="宋体"/>
          <w:b/>
          <w:bCs/>
          <w:color w:val="auto"/>
          <w:highlight w:val="none"/>
        </w:rPr>
      </w:pPr>
      <w:r>
        <w:rPr>
          <w:rFonts w:hint="eastAsia" w:ascii="宋体" w:hAnsi="宋体" w:cs="宋体"/>
          <w:b/>
          <w:bCs/>
          <w:color w:val="auto"/>
          <w:highlight w:val="none"/>
        </w:rPr>
        <w:t>B、在符合性审查（商务技术文件）时，如发现下列情形之一的，将被视为无效投标文件：</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1、未按照采购文件规定要求签署或盖章；</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2、投标文件无法定代表人签署本人姓名（或印盖本人姓名章），或签署人未提供有效的法定代表人授权委托书或授权委托书填写项目不齐全的；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3、投标文件标明的响应或偏离与事实不符或虚假投标的；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5、带“★”的条款不能满足采购文件要求、未实质性响应采购文件要求或者投标文件有采购人不能接受的附加条件的；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6、投标技术方案不明确，存在一个或一个以上备选（替代）投标方案的；</w:t>
      </w:r>
    </w:p>
    <w:p>
      <w:pPr>
        <w:spacing w:line="360" w:lineRule="auto"/>
        <w:ind w:firstLine="420"/>
        <w:rPr>
          <w:rFonts w:ascii="宋体" w:hAnsi="宋体" w:cs="宋体"/>
          <w:color w:val="auto"/>
          <w:highlight w:val="none"/>
        </w:rPr>
      </w:pPr>
      <w:r>
        <w:rPr>
          <w:rFonts w:hint="eastAsia" w:ascii="宋体" w:hAnsi="宋体" w:cs="宋体"/>
          <w:color w:val="auto"/>
          <w:highlight w:val="none"/>
        </w:rPr>
        <w:t>7、法律、法规和采购文件规定的其他无效情形；</w:t>
      </w:r>
    </w:p>
    <w:p>
      <w:pPr>
        <w:spacing w:line="360" w:lineRule="auto"/>
        <w:ind w:firstLine="420"/>
        <w:rPr>
          <w:rFonts w:ascii="宋体" w:hAnsi="宋体" w:cs="宋体"/>
          <w:color w:val="auto"/>
          <w:highlight w:val="none"/>
        </w:rPr>
      </w:pPr>
      <w:r>
        <w:rPr>
          <w:rFonts w:hint="eastAsia" w:ascii="宋体" w:hAnsi="宋体" w:cs="宋体"/>
          <w:color w:val="auto"/>
          <w:highlight w:val="none"/>
        </w:rPr>
        <w:t>8、投标文件的有效期不满足采购文件要求；</w:t>
      </w:r>
    </w:p>
    <w:p>
      <w:pPr>
        <w:spacing w:line="360" w:lineRule="auto"/>
        <w:ind w:firstLine="422"/>
        <w:rPr>
          <w:rFonts w:ascii="宋体" w:hAnsi="宋体" w:cs="宋体"/>
          <w:b/>
          <w:bCs/>
          <w:color w:val="auto"/>
          <w:kern w:val="0"/>
          <w:highlight w:val="none"/>
        </w:rPr>
      </w:pPr>
      <w:r>
        <w:rPr>
          <w:rFonts w:hint="eastAsia" w:ascii="宋体" w:hAnsi="宋体" w:cs="宋体"/>
          <w:b/>
          <w:bCs/>
          <w:color w:val="auto"/>
          <w:highlight w:val="none"/>
        </w:rPr>
        <w:t>C、在符合性审查（报价文件）时，如发现下列情形之一的，将被视为无效投标文件：</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1、未按照采购文件规定要求签署或盖章；</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2、未采用人民币报价或者未按照采购文件标明的币种报价的；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3、报价超出最高限价，或者超出采购预算金额，采购人不能支付的；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4、投标报价具有选择性的；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5、投标报价中出现重大缺项、漏项；</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7、投标文件（报价文件）内容与投标文件（商务技术文件）内容有重大差异的；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8、法律、法规和采购文件规定的其他无效情形；</w:t>
      </w:r>
    </w:p>
    <w:p>
      <w:pPr>
        <w:spacing w:line="360" w:lineRule="auto"/>
        <w:ind w:firstLine="422"/>
        <w:rPr>
          <w:rFonts w:ascii="宋体" w:hAnsi="宋体" w:cs="宋体"/>
          <w:b/>
          <w:color w:val="auto"/>
          <w:highlight w:val="none"/>
        </w:rPr>
      </w:pPr>
      <w:r>
        <w:rPr>
          <w:rFonts w:hint="eastAsia" w:ascii="宋体" w:hAnsi="宋体" w:cs="宋体"/>
          <w:b/>
          <w:color w:val="auto"/>
          <w:highlight w:val="none"/>
        </w:rPr>
        <w:t>（四）评分标准</w:t>
      </w:r>
    </w:p>
    <w:tbl>
      <w:tblPr>
        <w:tblStyle w:val="47"/>
        <w:tblpPr w:leftFromText="180" w:rightFromText="180" w:vertAnchor="text" w:horzAnchor="page" w:tblpX="1770" w:tblpY="246"/>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6597"/>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05" w:type="dxa"/>
            <w:vAlign w:val="center"/>
          </w:tcPr>
          <w:p>
            <w:pPr>
              <w:spacing w:line="300" w:lineRule="auto"/>
              <w:jc w:val="center"/>
              <w:rPr>
                <w:rFonts w:ascii="宋体" w:hAnsi="宋体" w:cs="宋体"/>
                <w:b/>
                <w:bCs/>
                <w:color w:val="auto"/>
                <w:highlight w:val="none"/>
              </w:rPr>
            </w:pPr>
            <w:bookmarkStart w:id="158" w:name="_Toc317116871"/>
            <w:bookmarkStart w:id="159" w:name="_Toc26240"/>
            <w:bookmarkStart w:id="160" w:name="_Toc47388385"/>
            <w:r>
              <w:rPr>
                <w:rFonts w:hint="eastAsia" w:ascii="宋体" w:hAnsi="宋体" w:cs="宋体"/>
                <w:b/>
                <w:bCs/>
                <w:color w:val="auto"/>
                <w:highlight w:val="none"/>
              </w:rPr>
              <w:t>序号</w:t>
            </w:r>
          </w:p>
        </w:tc>
        <w:tc>
          <w:tcPr>
            <w:tcW w:w="6597" w:type="dxa"/>
            <w:vAlign w:val="center"/>
          </w:tcPr>
          <w:p>
            <w:pPr>
              <w:tabs>
                <w:tab w:val="left" w:pos="0"/>
              </w:tabs>
              <w:spacing w:line="300" w:lineRule="auto"/>
              <w:ind w:firstLine="422"/>
              <w:jc w:val="center"/>
              <w:rPr>
                <w:rFonts w:ascii="宋体" w:hAnsi="宋体" w:cs="宋体"/>
                <w:b/>
                <w:bCs/>
                <w:color w:val="auto"/>
                <w:highlight w:val="none"/>
              </w:rPr>
            </w:pPr>
            <w:r>
              <w:rPr>
                <w:rFonts w:hint="eastAsia" w:ascii="宋体" w:hAnsi="宋体" w:cs="宋体"/>
                <w:b/>
                <w:bCs/>
                <w:color w:val="auto"/>
                <w:highlight w:val="none"/>
              </w:rPr>
              <w:t>评审内容及标准</w:t>
            </w:r>
          </w:p>
        </w:tc>
        <w:tc>
          <w:tcPr>
            <w:tcW w:w="1035" w:type="dxa"/>
            <w:vAlign w:val="center"/>
          </w:tcPr>
          <w:p>
            <w:pPr>
              <w:tabs>
                <w:tab w:val="left" w:pos="0"/>
              </w:tabs>
              <w:spacing w:line="300" w:lineRule="auto"/>
              <w:jc w:val="center"/>
              <w:rPr>
                <w:rFonts w:ascii="宋体" w:hAnsi="宋体" w:cs="宋体"/>
                <w:b/>
                <w:bCs/>
                <w:color w:val="auto"/>
                <w:highlight w:val="none"/>
              </w:rPr>
            </w:pPr>
            <w:r>
              <w:rPr>
                <w:rFonts w:hint="eastAsia" w:ascii="宋体" w:hAnsi="宋体" w:cs="宋体"/>
                <w:b/>
                <w:bCs/>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05" w:type="dxa"/>
            <w:vMerge w:val="restart"/>
            <w:vAlign w:val="center"/>
          </w:tcPr>
          <w:p>
            <w:pPr>
              <w:spacing w:line="300" w:lineRule="auto"/>
              <w:jc w:val="center"/>
              <w:rPr>
                <w:rFonts w:ascii="宋体" w:hAnsi="宋体" w:cs="宋体"/>
                <w:b w:val="0"/>
                <w:bCs w:val="0"/>
                <w:color w:val="auto"/>
                <w:highlight w:val="none"/>
              </w:rPr>
            </w:pPr>
            <w:r>
              <w:rPr>
                <w:rFonts w:hint="eastAsia" w:ascii="宋体" w:hAnsi="宋体" w:cs="宋体"/>
                <w:b w:val="0"/>
                <w:bCs w:val="0"/>
                <w:color w:val="auto"/>
                <w:highlight w:val="none"/>
              </w:rPr>
              <w:t>一</w:t>
            </w:r>
          </w:p>
        </w:tc>
        <w:tc>
          <w:tcPr>
            <w:tcW w:w="6597" w:type="dxa"/>
            <w:vAlign w:val="center"/>
          </w:tcPr>
          <w:p>
            <w:pPr>
              <w:tabs>
                <w:tab w:val="left" w:pos="0"/>
              </w:tabs>
              <w:spacing w:line="300" w:lineRule="auto"/>
              <w:rPr>
                <w:rFonts w:ascii="宋体" w:hAnsi="宋体" w:cs="宋体"/>
                <w:b/>
                <w:bCs/>
                <w:color w:val="auto"/>
                <w:highlight w:val="none"/>
              </w:rPr>
            </w:pPr>
            <w:r>
              <w:rPr>
                <w:rFonts w:hint="eastAsia" w:ascii="宋体" w:hAnsi="宋体" w:cs="宋体"/>
                <w:b/>
                <w:bCs/>
                <w:color w:val="auto"/>
                <w:highlight w:val="none"/>
              </w:rPr>
              <w:t>价格部分</w:t>
            </w:r>
          </w:p>
          <w:p>
            <w:pPr>
              <w:tabs>
                <w:tab w:val="left" w:pos="0"/>
              </w:tabs>
              <w:spacing w:line="300" w:lineRule="auto"/>
              <w:rPr>
                <w:rFonts w:ascii="宋体" w:hAnsi="宋体" w:cs="宋体"/>
                <w:color w:val="auto"/>
                <w:highlight w:val="none"/>
              </w:rPr>
            </w:pPr>
            <w:r>
              <w:rPr>
                <w:rFonts w:hint="eastAsia" w:ascii="宋体" w:hAnsi="宋体" w:cs="宋体"/>
                <w:color w:val="auto"/>
                <w:highlight w:val="none"/>
              </w:rPr>
              <w:t>评标基准价指的是满足招标文件要求且最低的参与评审的价格。</w:t>
            </w:r>
          </w:p>
          <w:p>
            <w:pPr>
              <w:tabs>
                <w:tab w:val="left" w:pos="0"/>
              </w:tabs>
              <w:spacing w:line="300" w:lineRule="auto"/>
              <w:rPr>
                <w:rFonts w:ascii="宋体" w:hAnsi="宋体" w:cs="宋体"/>
                <w:color w:val="auto"/>
                <w:highlight w:val="none"/>
              </w:rPr>
            </w:pPr>
            <w:r>
              <w:rPr>
                <w:rFonts w:hint="eastAsia" w:ascii="宋体" w:hAnsi="宋体" w:cs="宋体"/>
                <w:color w:val="auto"/>
                <w:highlight w:val="none"/>
              </w:rPr>
              <w:t>参与评审的价格=投标报价。</w:t>
            </w:r>
          </w:p>
          <w:p>
            <w:pPr>
              <w:tabs>
                <w:tab w:val="left" w:pos="0"/>
              </w:tabs>
              <w:spacing w:line="300" w:lineRule="auto"/>
              <w:rPr>
                <w:rFonts w:ascii="宋体" w:hAnsi="宋体" w:cs="宋体"/>
                <w:color w:val="auto"/>
                <w:highlight w:val="none"/>
              </w:rPr>
            </w:pPr>
            <w:r>
              <w:rPr>
                <w:rFonts w:hint="eastAsia" w:ascii="宋体" w:hAnsi="宋体" w:cs="宋体"/>
                <w:color w:val="auto"/>
                <w:highlight w:val="none"/>
              </w:rPr>
              <w:t>参与评审的价格为评标基准价的其价格得分得满分30分。</w:t>
            </w:r>
          </w:p>
          <w:p>
            <w:pPr>
              <w:tabs>
                <w:tab w:val="left" w:pos="0"/>
              </w:tabs>
              <w:spacing w:line="300" w:lineRule="auto"/>
              <w:rPr>
                <w:rFonts w:ascii="宋体" w:hAnsi="宋体" w:cs="宋体"/>
                <w:color w:val="auto"/>
                <w:highlight w:val="none"/>
              </w:rPr>
            </w:pPr>
            <w:r>
              <w:rPr>
                <w:rFonts w:hint="eastAsia" w:ascii="宋体" w:hAnsi="宋体" w:cs="宋体"/>
                <w:color w:val="auto"/>
                <w:highlight w:val="none"/>
              </w:rPr>
              <w:t>其他投标人价格得分按照下列公式计算：</w:t>
            </w:r>
          </w:p>
          <w:p>
            <w:pPr>
              <w:tabs>
                <w:tab w:val="left" w:pos="0"/>
              </w:tabs>
              <w:spacing w:line="300" w:lineRule="auto"/>
              <w:rPr>
                <w:rFonts w:ascii="宋体" w:hAnsi="宋体" w:cs="宋体"/>
                <w:color w:val="auto"/>
                <w:highlight w:val="none"/>
              </w:rPr>
            </w:pPr>
            <w:r>
              <w:rPr>
                <w:rFonts w:hint="eastAsia" w:ascii="宋体" w:hAnsi="宋体" w:cs="宋体"/>
                <w:color w:val="auto"/>
                <w:highlight w:val="none"/>
              </w:rPr>
              <w:t>价格得分=（评标基准价/各投标人参与评审的价格）×30%×100。</w:t>
            </w:r>
          </w:p>
          <w:p>
            <w:pPr>
              <w:tabs>
                <w:tab w:val="left" w:pos="0"/>
              </w:tabs>
              <w:spacing w:line="300" w:lineRule="auto"/>
              <w:rPr>
                <w:rFonts w:ascii="宋体" w:hAnsi="宋体" w:cs="宋体"/>
                <w:b/>
                <w:bCs/>
                <w:color w:val="auto"/>
                <w:highlight w:val="none"/>
              </w:rPr>
            </w:pPr>
            <w:r>
              <w:rPr>
                <w:rFonts w:hint="eastAsia" w:ascii="宋体" w:hAnsi="宋体" w:cs="宋体"/>
                <w:b/>
                <w:bCs/>
                <w:color w:val="auto"/>
                <w:highlight w:val="none"/>
              </w:rPr>
              <w:t>注：1、投标报价超过对应最高限价的作无效标处理。</w:t>
            </w:r>
          </w:p>
          <w:p>
            <w:pPr>
              <w:tabs>
                <w:tab w:val="left" w:pos="0"/>
              </w:tabs>
              <w:spacing w:line="300" w:lineRule="auto"/>
              <w:ind w:firstLine="422"/>
              <w:rPr>
                <w:rFonts w:ascii="宋体" w:hAnsi="宋体" w:cs="宋体"/>
                <w:b/>
                <w:bCs/>
                <w:color w:val="auto"/>
                <w:highlight w:val="none"/>
              </w:rPr>
            </w:pPr>
            <w:r>
              <w:rPr>
                <w:rFonts w:hint="eastAsia" w:ascii="宋体" w:hAnsi="宋体" w:cs="宋体"/>
                <w:b/>
                <w:bCs/>
                <w:color w:val="auto"/>
                <w:highlight w:val="none"/>
              </w:rPr>
              <w:t>2、价格得分小数点后保留2位小数，第3位小数四舍五入。</w:t>
            </w:r>
          </w:p>
        </w:tc>
        <w:tc>
          <w:tcPr>
            <w:tcW w:w="1035" w:type="dxa"/>
            <w:vMerge w:val="restart"/>
            <w:vAlign w:val="center"/>
          </w:tcPr>
          <w:p>
            <w:pPr>
              <w:tabs>
                <w:tab w:val="left" w:pos="0"/>
              </w:tabs>
              <w:spacing w:line="300" w:lineRule="auto"/>
              <w:jc w:val="both"/>
              <w:rPr>
                <w:rFonts w:ascii="宋体" w:hAnsi="宋体" w:cs="宋体"/>
                <w:b/>
                <w:bCs/>
                <w:color w:val="auto"/>
                <w:highlight w:val="none"/>
              </w:rPr>
            </w:pPr>
            <w:r>
              <w:rPr>
                <w:rFonts w:hint="eastAsia" w:ascii="宋体" w:hAnsi="宋体" w:cs="宋体"/>
                <w:b/>
                <w:bCs/>
                <w:color w:val="auto"/>
                <w:highlight w:val="none"/>
                <w:u w:val="single"/>
              </w:rPr>
              <w:t>30</w:t>
            </w:r>
            <w:r>
              <w:rPr>
                <w:rFonts w:hint="eastAsia" w:ascii="宋体" w:hAnsi="宋体" w:cs="宋体"/>
                <w:b/>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05" w:type="dxa"/>
            <w:vMerge w:val="continue"/>
            <w:vAlign w:val="center"/>
          </w:tcPr>
          <w:p>
            <w:pPr>
              <w:spacing w:line="300" w:lineRule="auto"/>
              <w:ind w:firstLine="422"/>
              <w:jc w:val="center"/>
              <w:rPr>
                <w:rFonts w:hint="eastAsia" w:ascii="宋体" w:hAnsi="宋体" w:cs="宋体"/>
                <w:b w:val="0"/>
                <w:bCs w:val="0"/>
                <w:color w:val="auto"/>
                <w:highlight w:val="none"/>
              </w:rPr>
            </w:pPr>
          </w:p>
        </w:tc>
        <w:tc>
          <w:tcPr>
            <w:tcW w:w="6597" w:type="dxa"/>
            <w:vAlign w:val="top"/>
          </w:tcPr>
          <w:p>
            <w:pPr>
              <w:spacing w:before="120" w:beforeLines="50" w:after="120" w:afterLines="50"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cs="宋体"/>
                <w:bCs/>
                <w:color w:val="auto"/>
                <w:highlight w:val="none"/>
              </w:rPr>
              <w:t>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1035" w:type="dxa"/>
            <w:vMerge w:val="continue"/>
            <w:vAlign w:val="center"/>
          </w:tcPr>
          <w:p>
            <w:pPr>
              <w:tabs>
                <w:tab w:val="left" w:pos="0"/>
              </w:tabs>
              <w:spacing w:line="300" w:lineRule="auto"/>
              <w:jc w:val="both"/>
              <w:rPr>
                <w:rFonts w:hint="eastAsia" w:ascii="宋体" w:hAnsi="宋体" w:cs="宋体"/>
                <w:b/>
                <w:bCs/>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05" w:type="dxa"/>
            <w:vAlign w:val="center"/>
          </w:tcPr>
          <w:p>
            <w:pPr>
              <w:spacing w:line="300" w:lineRule="auto"/>
              <w:jc w:val="center"/>
              <w:rPr>
                <w:rFonts w:ascii="宋体" w:hAnsi="宋体" w:cs="宋体"/>
                <w:b w:val="0"/>
                <w:bCs w:val="0"/>
                <w:color w:val="auto"/>
                <w:highlight w:val="none"/>
              </w:rPr>
            </w:pPr>
            <w:r>
              <w:rPr>
                <w:rFonts w:hint="eastAsia" w:ascii="宋体" w:hAnsi="宋体" w:cs="宋体"/>
                <w:b w:val="0"/>
                <w:bCs w:val="0"/>
                <w:color w:val="auto"/>
                <w:highlight w:val="none"/>
              </w:rPr>
              <w:t>二</w:t>
            </w:r>
          </w:p>
        </w:tc>
        <w:tc>
          <w:tcPr>
            <w:tcW w:w="6597" w:type="dxa"/>
            <w:vAlign w:val="center"/>
          </w:tcPr>
          <w:p>
            <w:pPr>
              <w:spacing w:line="300" w:lineRule="auto"/>
              <w:ind w:firstLine="422"/>
              <w:rPr>
                <w:rFonts w:ascii="宋体" w:hAnsi="宋体" w:cs="宋体"/>
                <w:b/>
                <w:bCs/>
                <w:color w:val="auto"/>
                <w:highlight w:val="none"/>
              </w:rPr>
            </w:pPr>
            <w:r>
              <w:rPr>
                <w:rFonts w:hint="eastAsia" w:ascii="宋体" w:hAnsi="宋体" w:cs="宋体"/>
                <w:b/>
                <w:bCs/>
                <w:color w:val="auto"/>
                <w:highlight w:val="none"/>
              </w:rPr>
              <w:t>商务技术部分</w:t>
            </w:r>
          </w:p>
        </w:tc>
        <w:tc>
          <w:tcPr>
            <w:tcW w:w="1035" w:type="dxa"/>
            <w:vAlign w:val="center"/>
          </w:tcPr>
          <w:p>
            <w:pPr>
              <w:tabs>
                <w:tab w:val="left" w:pos="0"/>
              </w:tabs>
              <w:spacing w:line="300" w:lineRule="auto"/>
              <w:jc w:val="both"/>
              <w:rPr>
                <w:rFonts w:ascii="宋体" w:hAnsi="宋体" w:cs="宋体"/>
                <w:b/>
                <w:bCs/>
                <w:color w:val="auto"/>
                <w:highlight w:val="none"/>
              </w:rPr>
            </w:pPr>
            <w:r>
              <w:rPr>
                <w:rFonts w:hint="eastAsia" w:ascii="宋体" w:hAnsi="宋体" w:cs="宋体"/>
                <w:b/>
                <w:bCs/>
                <w:color w:val="auto"/>
                <w:highlight w:val="none"/>
                <w:u w:val="single"/>
              </w:rPr>
              <w:t>70</w:t>
            </w:r>
            <w:r>
              <w:rPr>
                <w:rFonts w:hint="eastAsia" w:ascii="宋体" w:hAnsi="宋体" w:cs="宋体"/>
                <w:b/>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1</w:t>
            </w:r>
          </w:p>
        </w:tc>
        <w:tc>
          <w:tcPr>
            <w:tcW w:w="6597" w:type="dxa"/>
            <w:vAlign w:val="center"/>
          </w:tcPr>
          <w:p>
            <w:pPr>
              <w:spacing w:line="360" w:lineRule="auto"/>
              <w:jc w:val="left"/>
              <w:rPr>
                <w:rFonts w:ascii="宋体" w:hAnsi="宋体" w:cs="宋体"/>
                <w:color w:val="auto"/>
                <w:highlight w:val="none"/>
              </w:rPr>
            </w:pPr>
            <w:r>
              <w:rPr>
                <w:rFonts w:hint="eastAsia" w:ascii="宋体" w:hAnsi="宋体" w:cs="宋体"/>
                <w:b/>
                <w:bCs/>
                <w:color w:val="auto"/>
                <w:highlight w:val="none"/>
              </w:rPr>
              <w:t>对招标文件的技术需求（</w:t>
            </w:r>
            <w:r>
              <w:rPr>
                <w:rFonts w:hint="eastAsia" w:ascii="宋体" w:hAnsi="宋体" w:cs="宋体"/>
                <w:b/>
                <w:bCs/>
                <w:color w:val="auto"/>
                <w:highlight w:val="none"/>
                <w:lang w:val="en-US" w:eastAsia="zh-CN"/>
              </w:rPr>
              <w:t>28</w:t>
            </w:r>
            <w:r>
              <w:rPr>
                <w:rFonts w:hint="eastAsia" w:ascii="宋体" w:hAnsi="宋体" w:cs="宋体"/>
                <w:b/>
                <w:bCs/>
                <w:color w:val="auto"/>
                <w:highlight w:val="none"/>
              </w:rPr>
              <w:t>分）：</w:t>
            </w:r>
          </w:p>
          <w:p>
            <w:pPr>
              <w:spacing w:line="360" w:lineRule="auto"/>
              <w:jc w:val="left"/>
              <w:rPr>
                <w:rFonts w:ascii="宋体" w:hAnsi="宋体" w:cs="宋体"/>
                <w:b/>
                <w:bCs/>
                <w:color w:val="auto"/>
                <w:highlight w:val="none"/>
              </w:rPr>
            </w:pPr>
            <w:r>
              <w:rPr>
                <w:rFonts w:hint="eastAsia" w:ascii="宋体" w:hAnsi="宋体" w:cs="宋体"/>
                <w:color w:val="auto"/>
                <w:highlight w:val="none"/>
              </w:rPr>
              <w:t>1.本项目共有</w:t>
            </w:r>
            <w:r>
              <w:rPr>
                <w:rFonts w:hint="eastAsia" w:ascii="宋体" w:hAnsi="宋体" w:cs="宋体"/>
                <w:color w:val="auto"/>
                <w:highlight w:val="none"/>
                <w:lang w:val="en-US" w:eastAsia="zh-CN"/>
              </w:rPr>
              <w:t>20</w:t>
            </w:r>
            <w:r>
              <w:rPr>
                <w:rFonts w:hint="eastAsia" w:ascii="宋体" w:hAnsi="宋体" w:cs="宋体"/>
                <w:color w:val="auto"/>
                <w:highlight w:val="none"/>
              </w:rPr>
              <w:t>项技术条款：标注“▲”号的技术条款为重要技术条款共</w:t>
            </w:r>
            <w:r>
              <w:rPr>
                <w:rFonts w:hint="eastAsia" w:ascii="宋体" w:hAnsi="宋体" w:cs="宋体"/>
                <w:color w:val="auto"/>
                <w:highlight w:val="none"/>
                <w:lang w:val="en-US" w:eastAsia="zh-CN"/>
              </w:rPr>
              <w:t>4</w:t>
            </w:r>
            <w:r>
              <w:rPr>
                <w:rFonts w:hint="eastAsia" w:ascii="宋体" w:hAnsi="宋体" w:cs="宋体"/>
                <w:color w:val="auto"/>
                <w:highlight w:val="none"/>
              </w:rPr>
              <w:t>项，其他技术条款为普通技术条款共</w:t>
            </w:r>
            <w:r>
              <w:rPr>
                <w:rFonts w:hint="eastAsia" w:ascii="宋体" w:hAnsi="宋体" w:cs="宋体"/>
                <w:color w:val="auto"/>
                <w:highlight w:val="none"/>
                <w:lang w:val="en-US" w:eastAsia="zh-CN"/>
              </w:rPr>
              <w:t>16</w:t>
            </w:r>
            <w:r>
              <w:rPr>
                <w:rFonts w:hint="eastAsia" w:ascii="宋体" w:hAnsi="宋体" w:cs="宋体"/>
                <w:color w:val="auto"/>
                <w:highlight w:val="none"/>
              </w:rPr>
              <w:t>项。一条标注“▲”的条款，满足的加</w:t>
            </w:r>
            <w:r>
              <w:rPr>
                <w:rFonts w:hint="eastAsia" w:ascii="宋体" w:hAnsi="宋体" w:cs="宋体"/>
                <w:color w:val="auto"/>
                <w:highlight w:val="none"/>
                <w:lang w:val="en-US" w:eastAsia="zh-CN"/>
              </w:rPr>
              <w:t>3</w:t>
            </w:r>
            <w:r>
              <w:rPr>
                <w:rFonts w:hint="eastAsia" w:ascii="宋体" w:hAnsi="宋体" w:cs="宋体"/>
                <w:color w:val="auto"/>
                <w:highlight w:val="none"/>
              </w:rPr>
              <w:t>分；每满足一条未标注“▲”的条款，加</w:t>
            </w:r>
            <w:r>
              <w:rPr>
                <w:rFonts w:hint="eastAsia" w:ascii="宋体" w:hAnsi="宋体" w:cs="宋体"/>
                <w:color w:val="auto"/>
                <w:highlight w:val="none"/>
                <w:lang w:val="en-US" w:eastAsia="zh-CN"/>
              </w:rPr>
              <w:t>1</w:t>
            </w:r>
            <w:r>
              <w:rPr>
                <w:rFonts w:hint="eastAsia" w:ascii="宋体" w:hAnsi="宋体" w:cs="宋体"/>
                <w:color w:val="auto"/>
                <w:highlight w:val="none"/>
              </w:rPr>
              <w:t>分。满分</w:t>
            </w:r>
            <w:r>
              <w:rPr>
                <w:rFonts w:hint="eastAsia" w:ascii="宋体" w:hAnsi="宋体" w:cs="宋体"/>
                <w:color w:val="auto"/>
                <w:highlight w:val="none"/>
                <w:lang w:val="en-US" w:eastAsia="zh-CN"/>
              </w:rPr>
              <w:t>28</w:t>
            </w:r>
            <w:r>
              <w:rPr>
                <w:rFonts w:hint="eastAsia" w:ascii="宋体" w:hAnsi="宋体" w:cs="宋体"/>
                <w:color w:val="auto"/>
                <w:highlight w:val="none"/>
              </w:rPr>
              <w:t>分。</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lang w:val="en-US" w:eastAsia="zh-CN"/>
              </w:rPr>
              <w:t>28</w:t>
            </w:r>
            <w:r>
              <w:rPr>
                <w:rFonts w:hint="eastAsia" w:ascii="宋体" w:hAnsi="宋体" w:cs="宋体"/>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2</w:t>
            </w:r>
          </w:p>
        </w:tc>
        <w:tc>
          <w:tcPr>
            <w:tcW w:w="6597" w:type="dxa"/>
            <w:vAlign w:val="center"/>
          </w:tcPr>
          <w:p>
            <w:pPr>
              <w:spacing w:line="300" w:lineRule="auto"/>
              <w:ind w:firstLine="422"/>
              <w:rPr>
                <w:rFonts w:ascii="宋体" w:hAnsi="宋体" w:cs="宋体"/>
                <w:color w:val="auto"/>
                <w:highlight w:val="none"/>
              </w:rPr>
            </w:pPr>
            <w:r>
              <w:rPr>
                <w:rFonts w:hint="eastAsia" w:ascii="宋体" w:hAnsi="宋体" w:cs="宋体"/>
                <w:b/>
                <w:bCs/>
                <w:color w:val="auto"/>
                <w:highlight w:val="none"/>
              </w:rPr>
              <w:t>试剂质量保证措施：</w:t>
            </w:r>
            <w:r>
              <w:rPr>
                <w:rFonts w:hint="eastAsia" w:ascii="宋体" w:hAnsi="宋体" w:cs="宋体"/>
                <w:color w:val="auto"/>
                <w:highlight w:val="none"/>
              </w:rPr>
              <w:t>评委根据投标人针对本项目制定的质量保证措施（如检验试剂的来源渠道、保存、运输等问题）的合理性、科学性、完整性进行综合评议。质量保证措施合理、科学、完整得</w:t>
            </w:r>
            <w:r>
              <w:rPr>
                <w:rFonts w:hint="eastAsia" w:ascii="宋体" w:hAnsi="宋体" w:cs="宋体"/>
                <w:color w:val="auto"/>
                <w:highlight w:val="none"/>
                <w:lang w:val="en-US" w:eastAsia="zh-CN"/>
              </w:rPr>
              <w:t>4</w:t>
            </w:r>
            <w:r>
              <w:rPr>
                <w:rFonts w:hint="eastAsia" w:ascii="宋体" w:hAnsi="宋体" w:cs="宋体"/>
                <w:color w:val="auto"/>
                <w:highlight w:val="none"/>
              </w:rPr>
              <w:t>分；质量保证措施合理、科学、欠完整得</w:t>
            </w:r>
            <w:r>
              <w:rPr>
                <w:rFonts w:hint="eastAsia" w:ascii="宋体" w:hAnsi="宋体" w:cs="宋体"/>
                <w:color w:val="auto"/>
                <w:highlight w:val="none"/>
                <w:lang w:val="en-US" w:eastAsia="zh-CN"/>
              </w:rPr>
              <w:t>3</w:t>
            </w:r>
            <w:r>
              <w:rPr>
                <w:rFonts w:hint="eastAsia" w:ascii="宋体" w:hAnsi="宋体" w:cs="宋体"/>
                <w:color w:val="auto"/>
                <w:highlight w:val="none"/>
              </w:rPr>
              <w:t>分；质量保证措施基本合理、基本科学、基本完整得</w:t>
            </w:r>
            <w:r>
              <w:rPr>
                <w:rFonts w:hint="eastAsia" w:ascii="宋体" w:hAnsi="宋体" w:cs="宋体"/>
                <w:color w:val="auto"/>
                <w:highlight w:val="none"/>
                <w:lang w:val="en-US" w:eastAsia="zh-CN"/>
              </w:rPr>
              <w:t>2</w:t>
            </w:r>
            <w:r>
              <w:rPr>
                <w:rFonts w:hint="eastAsia" w:ascii="宋体" w:hAnsi="宋体" w:cs="宋体"/>
                <w:color w:val="auto"/>
                <w:highlight w:val="none"/>
              </w:rPr>
              <w:t>分；质量保证措施存在明显缺陷</w:t>
            </w:r>
            <w:r>
              <w:rPr>
                <w:rFonts w:hint="eastAsia" w:ascii="宋体" w:hAnsi="宋体" w:cs="宋体"/>
                <w:color w:val="auto"/>
                <w:highlight w:val="none"/>
                <w:lang w:val="en-US" w:eastAsia="zh-CN"/>
              </w:rPr>
              <w:t>得1分；</w:t>
            </w:r>
            <w:r>
              <w:rPr>
                <w:rFonts w:hint="eastAsia" w:ascii="宋体" w:hAnsi="宋体" w:cs="宋体"/>
                <w:color w:val="auto"/>
                <w:highlight w:val="none"/>
              </w:rPr>
              <w:t>无相关方案措施不得分。</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3</w:t>
            </w:r>
          </w:p>
        </w:tc>
        <w:tc>
          <w:tcPr>
            <w:tcW w:w="6597" w:type="dxa"/>
            <w:vAlign w:val="center"/>
          </w:tcPr>
          <w:p>
            <w:pPr>
              <w:spacing w:after="120" w:line="300" w:lineRule="auto"/>
              <w:ind w:firstLine="422"/>
              <w:rPr>
                <w:rFonts w:hint="eastAsia" w:ascii="宋体" w:hAnsi="宋体" w:cs="宋体"/>
                <w:color w:val="auto"/>
                <w:highlight w:val="none"/>
              </w:rPr>
            </w:pPr>
            <w:r>
              <w:rPr>
                <w:rFonts w:hint="eastAsia" w:ascii="宋体" w:hAnsi="宋体" w:cs="宋体"/>
                <w:b/>
                <w:bCs/>
                <w:color w:val="auto"/>
                <w:highlight w:val="none"/>
              </w:rPr>
              <w:t>仓储能力：</w:t>
            </w:r>
            <w:r>
              <w:rPr>
                <w:rFonts w:hint="eastAsia" w:ascii="宋体" w:hAnsi="宋体" w:cs="宋体"/>
                <w:color w:val="auto"/>
                <w:highlight w:val="none"/>
              </w:rPr>
              <w:t>根据投标人拟投入本项目的仓储容积综合评议。完全优于采购人需求的得</w:t>
            </w:r>
            <w:r>
              <w:rPr>
                <w:rFonts w:hint="eastAsia" w:ascii="宋体" w:hAnsi="宋体" w:cs="宋体"/>
                <w:color w:val="auto"/>
                <w:highlight w:val="none"/>
                <w:lang w:val="en-US" w:eastAsia="zh-CN"/>
              </w:rPr>
              <w:t>4</w:t>
            </w:r>
            <w:r>
              <w:rPr>
                <w:rFonts w:hint="eastAsia" w:ascii="宋体" w:hAnsi="宋体" w:cs="宋体"/>
                <w:color w:val="auto"/>
                <w:highlight w:val="none"/>
              </w:rPr>
              <w:t>分；完全满足采购人需求的得</w:t>
            </w:r>
            <w:r>
              <w:rPr>
                <w:rFonts w:hint="eastAsia" w:ascii="宋体" w:hAnsi="宋体" w:cs="宋体"/>
                <w:color w:val="auto"/>
                <w:highlight w:val="none"/>
                <w:lang w:val="en-US" w:eastAsia="zh-CN"/>
              </w:rPr>
              <w:t>3</w:t>
            </w:r>
            <w:r>
              <w:rPr>
                <w:rFonts w:hint="eastAsia" w:ascii="宋体" w:hAnsi="宋体" w:cs="宋体"/>
                <w:color w:val="auto"/>
                <w:highlight w:val="none"/>
              </w:rPr>
              <w:t>分；欠满足采购人需求的得</w:t>
            </w:r>
            <w:r>
              <w:rPr>
                <w:rFonts w:hint="eastAsia" w:ascii="宋体" w:hAnsi="宋体" w:cs="宋体"/>
                <w:color w:val="auto"/>
                <w:highlight w:val="none"/>
                <w:lang w:val="en-US" w:eastAsia="zh-CN"/>
              </w:rPr>
              <w:t>2</w:t>
            </w:r>
            <w:r>
              <w:rPr>
                <w:rFonts w:hint="eastAsia" w:ascii="宋体" w:hAnsi="宋体" w:cs="宋体"/>
                <w:color w:val="auto"/>
                <w:highlight w:val="none"/>
              </w:rPr>
              <w:t>分；不满足采购人需求的</w:t>
            </w:r>
            <w:r>
              <w:rPr>
                <w:rFonts w:hint="eastAsia" w:ascii="宋体" w:hAnsi="宋体" w:cs="宋体"/>
                <w:color w:val="auto"/>
                <w:highlight w:val="none"/>
                <w:lang w:val="en-US" w:eastAsia="zh-CN"/>
              </w:rPr>
              <w:t>得1分</w:t>
            </w:r>
            <w:r>
              <w:rPr>
                <w:rFonts w:hint="eastAsia" w:ascii="宋体" w:hAnsi="宋体" w:cs="宋体"/>
                <w:color w:val="auto"/>
                <w:highlight w:val="none"/>
              </w:rPr>
              <w:t>；无相关</w:t>
            </w:r>
            <w:r>
              <w:rPr>
                <w:rFonts w:hint="eastAsia" w:ascii="宋体" w:hAnsi="宋体" w:cs="宋体"/>
                <w:color w:val="auto"/>
                <w:highlight w:val="none"/>
                <w:lang w:val="en-US" w:eastAsia="zh-CN"/>
              </w:rPr>
              <w:t>内容</w:t>
            </w:r>
            <w:r>
              <w:rPr>
                <w:rFonts w:hint="eastAsia" w:ascii="宋体" w:hAnsi="宋体" w:cs="宋体"/>
                <w:color w:val="auto"/>
                <w:highlight w:val="none"/>
              </w:rPr>
              <w:t>不得分。</w:t>
            </w:r>
          </w:p>
          <w:p>
            <w:pPr>
              <w:spacing w:after="120" w:line="300" w:lineRule="auto"/>
              <w:rPr>
                <w:rFonts w:ascii="宋体" w:hAnsi="宋体" w:cs="宋体"/>
                <w:color w:val="auto"/>
                <w:highlight w:val="none"/>
              </w:rPr>
            </w:pPr>
            <w:r>
              <w:rPr>
                <w:rFonts w:hint="eastAsia" w:ascii="宋体" w:hAnsi="宋体" w:cs="宋体"/>
                <w:b/>
                <w:bCs/>
                <w:color w:val="auto"/>
                <w:highlight w:val="none"/>
              </w:rPr>
              <w:t>备注：</w:t>
            </w:r>
            <w:r>
              <w:rPr>
                <w:rFonts w:hint="eastAsia" w:ascii="宋体" w:hAnsi="宋体" w:cs="宋体"/>
                <w:b/>
                <w:bCs/>
                <w:color w:val="auto"/>
                <w:highlight w:val="none"/>
                <w:lang w:val="en-US" w:eastAsia="zh-CN"/>
              </w:rPr>
              <w:t>投标文件中</w:t>
            </w:r>
            <w:r>
              <w:rPr>
                <w:rFonts w:hint="eastAsia" w:ascii="宋体" w:hAnsi="宋体" w:cs="宋体"/>
                <w:b/>
                <w:bCs/>
                <w:color w:val="auto"/>
                <w:highlight w:val="none"/>
              </w:rPr>
              <w:t>投标人提供相关证明材料</w:t>
            </w:r>
            <w:r>
              <w:rPr>
                <w:rFonts w:hint="eastAsia" w:ascii="宋体" w:hAnsi="宋体" w:cs="宋体"/>
                <w:b/>
                <w:bCs/>
                <w:color w:val="auto"/>
                <w:highlight w:val="none"/>
                <w:lang w:val="en-US" w:eastAsia="zh-CN"/>
              </w:rPr>
              <w:t>并加盖公章，否则不得分</w:t>
            </w:r>
            <w:r>
              <w:rPr>
                <w:rFonts w:hint="eastAsia" w:ascii="宋体" w:hAnsi="宋体" w:cs="宋体"/>
                <w:b/>
                <w:bCs/>
                <w:color w:val="auto"/>
                <w:highlight w:val="none"/>
              </w:rPr>
              <w:t>。</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0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4</w:t>
            </w:r>
          </w:p>
        </w:tc>
        <w:tc>
          <w:tcPr>
            <w:tcW w:w="6597" w:type="dxa"/>
          </w:tcPr>
          <w:p>
            <w:pPr>
              <w:spacing w:before="120" w:beforeLines="50" w:after="120" w:afterLines="50" w:line="300" w:lineRule="auto"/>
              <w:ind w:firstLine="422"/>
              <w:rPr>
                <w:rFonts w:ascii="宋体" w:hAnsi="宋体" w:cs="宋体"/>
                <w:b/>
                <w:bCs/>
                <w:color w:val="auto"/>
                <w:highlight w:val="none"/>
              </w:rPr>
            </w:pPr>
            <w:r>
              <w:rPr>
                <w:rFonts w:hint="eastAsia" w:ascii="宋体" w:hAnsi="宋体" w:cs="宋体"/>
                <w:b/>
                <w:bCs/>
                <w:color w:val="auto"/>
                <w:highlight w:val="none"/>
              </w:rPr>
              <w:t>产品验收方案：</w:t>
            </w:r>
            <w:r>
              <w:rPr>
                <w:rFonts w:hint="eastAsia" w:ascii="宋体" w:hAnsi="宋体" w:cs="宋体"/>
                <w:color w:val="auto"/>
                <w:highlight w:val="none"/>
              </w:rPr>
              <w:t>提供试剂及配套设备验收方案。方案考虑充分措施有效得3分；方案合理措施一般得2分；方案考虑不够充分得1分；无方案不得分。</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bCs/>
                <w:color w:val="auto"/>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0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5</w:t>
            </w:r>
          </w:p>
        </w:tc>
        <w:tc>
          <w:tcPr>
            <w:tcW w:w="6597" w:type="dxa"/>
          </w:tcPr>
          <w:p>
            <w:pPr>
              <w:spacing w:before="120" w:beforeLines="50" w:after="120" w:afterLines="50" w:line="300" w:lineRule="auto"/>
              <w:ind w:firstLine="422"/>
              <w:rPr>
                <w:rFonts w:ascii="宋体" w:hAnsi="宋体" w:cs="宋体"/>
                <w:color w:val="auto"/>
                <w:highlight w:val="none"/>
              </w:rPr>
            </w:pPr>
            <w:r>
              <w:rPr>
                <w:rFonts w:hint="eastAsia" w:ascii="宋体" w:hAnsi="宋体" w:cs="宋体"/>
                <w:b/>
                <w:bCs/>
                <w:color w:val="auto"/>
                <w:highlight w:val="none"/>
              </w:rPr>
              <w:t>过渡期间保证方案：</w:t>
            </w:r>
            <w:r>
              <w:rPr>
                <w:rFonts w:hint="eastAsia" w:ascii="宋体" w:hAnsi="宋体" w:cs="宋体"/>
                <w:color w:val="auto"/>
                <w:highlight w:val="none"/>
              </w:rPr>
              <w:t>提供新老设备更换期间保证科室临床检验工作正常运行的方案：方案考虑充分措施有效得3分；方案合理措施一般得2分；方案考虑不够充分得1分；无方案不得分。</w:t>
            </w:r>
          </w:p>
        </w:tc>
        <w:tc>
          <w:tcPr>
            <w:tcW w:w="1035" w:type="dxa"/>
            <w:vAlign w:val="center"/>
          </w:tcPr>
          <w:p>
            <w:pPr>
              <w:spacing w:line="300" w:lineRule="auto"/>
              <w:jc w:val="center"/>
              <w:rPr>
                <w:rFonts w:ascii="宋体" w:hAnsi="宋体" w:cs="宋体"/>
                <w:bCs/>
                <w:color w:val="auto"/>
                <w:highlight w:val="none"/>
              </w:rPr>
            </w:pPr>
            <w:r>
              <w:rPr>
                <w:rFonts w:hint="eastAsia" w:ascii="宋体" w:hAnsi="宋体" w:cs="宋体"/>
                <w:bCs/>
                <w:color w:val="auto"/>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5" w:type="dxa"/>
            <w:vAlign w:val="center"/>
          </w:tcPr>
          <w:p>
            <w:pPr>
              <w:spacing w:line="300" w:lineRule="auto"/>
              <w:jc w:val="center"/>
              <w:rPr>
                <w:rFonts w:ascii="宋体" w:hAnsi="宋体" w:cs="宋体"/>
                <w:color w:val="auto"/>
                <w:highlight w:val="none"/>
              </w:rPr>
            </w:pPr>
          </w:p>
        </w:tc>
        <w:tc>
          <w:tcPr>
            <w:tcW w:w="6597" w:type="dxa"/>
            <w:vAlign w:val="center"/>
          </w:tcPr>
          <w:p>
            <w:pPr>
              <w:spacing w:line="300" w:lineRule="auto"/>
              <w:ind w:firstLine="422"/>
              <w:jc w:val="left"/>
              <w:rPr>
                <w:rFonts w:ascii="宋体" w:hAnsi="宋体" w:cs="宋体"/>
                <w:color w:val="auto"/>
                <w:highlight w:val="none"/>
              </w:rPr>
            </w:pPr>
            <w:r>
              <w:rPr>
                <w:rFonts w:hint="eastAsia" w:ascii="宋体" w:hAnsi="宋体" w:cs="宋体"/>
                <w:b/>
                <w:bCs/>
                <w:color w:val="auto"/>
                <w:highlight w:val="none"/>
              </w:rPr>
              <w:t>物流方案</w:t>
            </w:r>
          </w:p>
        </w:tc>
        <w:tc>
          <w:tcPr>
            <w:tcW w:w="1035" w:type="dxa"/>
            <w:vAlign w:val="center"/>
          </w:tcPr>
          <w:p>
            <w:pPr>
              <w:spacing w:line="30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905" w:type="dxa"/>
            <w:vMerge w:val="restart"/>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6</w:t>
            </w:r>
          </w:p>
        </w:tc>
        <w:tc>
          <w:tcPr>
            <w:tcW w:w="6597" w:type="dxa"/>
            <w:vAlign w:val="center"/>
          </w:tcPr>
          <w:p>
            <w:pPr>
              <w:spacing w:line="300" w:lineRule="auto"/>
              <w:jc w:val="left"/>
              <w:rPr>
                <w:rFonts w:ascii="宋体" w:hAnsi="宋体" w:cs="宋体"/>
                <w:color w:val="auto"/>
                <w:highlight w:val="none"/>
              </w:rPr>
            </w:pPr>
            <w:r>
              <w:rPr>
                <w:rFonts w:hint="eastAsia" w:ascii="宋体" w:hAnsi="宋体" w:cs="宋体"/>
                <w:color w:val="auto"/>
                <w:highlight w:val="none"/>
              </w:rPr>
              <w:t>根据投标人提供物流方案，根据物流方案的有效性，快捷性、可靠性并</w:t>
            </w:r>
            <w:r>
              <w:rPr>
                <w:rFonts w:hint="eastAsia" w:ascii="宋体" w:hAnsi="宋体" w:cs="宋体"/>
                <w:bCs/>
                <w:color w:val="auto"/>
                <w:highlight w:val="none"/>
              </w:rPr>
              <w:t>结合采购需求</w:t>
            </w:r>
            <w:r>
              <w:rPr>
                <w:rFonts w:hint="eastAsia" w:ascii="宋体" w:hAnsi="宋体" w:cs="宋体"/>
                <w:color w:val="auto"/>
                <w:highlight w:val="none"/>
              </w:rPr>
              <w:t>评审打分。方案考虑充分措施有效的得3分；方案合理措施一般的得2分；方案考虑不够充分的得1分；</w:t>
            </w:r>
            <w:r>
              <w:rPr>
                <w:rFonts w:hint="eastAsia" w:ascii="宋体" w:hAnsi="宋体" w:cs="宋体"/>
                <w:color w:val="auto"/>
                <w:highlight w:val="none"/>
                <w:lang w:val="en-US" w:eastAsia="zh-CN"/>
              </w:rPr>
              <w:t>无相关内容</w:t>
            </w:r>
            <w:r>
              <w:rPr>
                <w:rFonts w:hint="eastAsia" w:ascii="宋体" w:hAnsi="宋体" w:cs="宋体"/>
                <w:color w:val="auto"/>
                <w:highlight w:val="none"/>
              </w:rPr>
              <w:t>的不得分。</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905" w:type="dxa"/>
            <w:vMerge w:val="continue"/>
            <w:vAlign w:val="center"/>
          </w:tcPr>
          <w:p>
            <w:pPr>
              <w:spacing w:line="300" w:lineRule="auto"/>
              <w:jc w:val="center"/>
              <w:rPr>
                <w:rFonts w:ascii="宋体" w:hAnsi="宋体" w:cs="宋体"/>
                <w:color w:val="auto"/>
                <w:highlight w:val="none"/>
              </w:rPr>
            </w:pPr>
          </w:p>
        </w:tc>
        <w:tc>
          <w:tcPr>
            <w:tcW w:w="6597" w:type="dxa"/>
            <w:vAlign w:val="center"/>
          </w:tcPr>
          <w:p>
            <w:pPr>
              <w:spacing w:line="300" w:lineRule="auto"/>
              <w:jc w:val="left"/>
              <w:rPr>
                <w:rFonts w:ascii="宋体" w:hAnsi="宋体" w:cs="宋体"/>
                <w:color w:val="auto"/>
                <w:highlight w:val="none"/>
              </w:rPr>
            </w:pPr>
            <w:r>
              <w:rPr>
                <w:rFonts w:hint="eastAsia" w:ascii="宋体" w:hAnsi="宋体" w:cs="宋体"/>
                <w:color w:val="auto"/>
                <w:highlight w:val="none"/>
              </w:rPr>
              <w:t>根据投标人自有或租赁的车辆和检验试剂到货时间情况进行评分打分。（需提供车辆照片及相关资质证书及道路运输资质证书，委托合同）冷链车及承诺检验试剂到货时间完全满足采购人需求的得3分；欠满足采购人需求的得2分；不满足采购人需求的得1分；</w:t>
            </w:r>
            <w:r>
              <w:rPr>
                <w:rFonts w:hint="eastAsia" w:ascii="宋体" w:hAnsi="宋体" w:cs="宋体"/>
                <w:color w:val="auto"/>
                <w:highlight w:val="none"/>
                <w:lang w:val="en-US" w:eastAsia="zh-CN"/>
              </w:rPr>
              <w:t>无相关内容</w:t>
            </w:r>
            <w:r>
              <w:rPr>
                <w:rFonts w:hint="eastAsia" w:ascii="宋体" w:hAnsi="宋体" w:cs="宋体"/>
                <w:color w:val="auto"/>
                <w:highlight w:val="none"/>
              </w:rPr>
              <w:t>的不得分。</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05" w:type="dxa"/>
            <w:vAlign w:val="center"/>
          </w:tcPr>
          <w:p>
            <w:pPr>
              <w:spacing w:line="300" w:lineRule="auto"/>
              <w:jc w:val="center"/>
              <w:rPr>
                <w:rFonts w:ascii="宋体" w:hAnsi="宋体" w:cs="宋体"/>
                <w:color w:val="auto"/>
                <w:highlight w:val="none"/>
              </w:rPr>
            </w:pPr>
          </w:p>
        </w:tc>
        <w:tc>
          <w:tcPr>
            <w:tcW w:w="6597" w:type="dxa"/>
            <w:vAlign w:val="center"/>
          </w:tcPr>
          <w:p>
            <w:pPr>
              <w:spacing w:line="300" w:lineRule="auto"/>
              <w:ind w:right="-21" w:rightChars="-10" w:firstLine="422"/>
              <w:rPr>
                <w:rFonts w:ascii="宋体" w:hAnsi="宋体" w:cs="宋体"/>
                <w:b/>
                <w:bCs/>
                <w:color w:val="auto"/>
                <w:highlight w:val="none"/>
              </w:rPr>
            </w:pPr>
            <w:r>
              <w:rPr>
                <w:rFonts w:hint="eastAsia" w:ascii="宋体" w:hAnsi="宋体" w:cs="宋体"/>
                <w:b/>
                <w:bCs/>
                <w:color w:val="auto"/>
                <w:highlight w:val="none"/>
              </w:rPr>
              <w:t>技术服务、技术培训</w:t>
            </w:r>
          </w:p>
        </w:tc>
        <w:tc>
          <w:tcPr>
            <w:tcW w:w="1035" w:type="dxa"/>
            <w:vAlign w:val="center"/>
          </w:tcPr>
          <w:p>
            <w:pPr>
              <w:spacing w:line="30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 w:type="dxa"/>
            <w:vMerge w:val="restart"/>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7</w:t>
            </w:r>
          </w:p>
        </w:tc>
        <w:tc>
          <w:tcPr>
            <w:tcW w:w="6597" w:type="dxa"/>
          </w:tcPr>
          <w:p>
            <w:pPr>
              <w:spacing w:line="300" w:lineRule="auto"/>
              <w:rPr>
                <w:rFonts w:ascii="宋体" w:hAnsi="宋体" w:cs="宋体"/>
                <w:color w:val="auto"/>
                <w:highlight w:val="none"/>
              </w:rPr>
            </w:pPr>
            <w:r>
              <w:rPr>
                <w:rFonts w:hint="eastAsia" w:ascii="宋体" w:hAnsi="宋体" w:cs="宋体"/>
                <w:color w:val="auto"/>
                <w:highlight w:val="none"/>
              </w:rPr>
              <w:t>操作应用培训：投标人负责提供采购人的操作和临床应用培训，提供培训方案，方案考虑充分安排有效得3分；方案合理安排一般得2分；方案考虑不够充分的得1分；无方案不得分。</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5" w:type="dxa"/>
            <w:vMerge w:val="continue"/>
            <w:vAlign w:val="center"/>
          </w:tcPr>
          <w:p>
            <w:pPr>
              <w:spacing w:line="300" w:lineRule="auto"/>
              <w:jc w:val="center"/>
              <w:rPr>
                <w:rFonts w:ascii="宋体" w:hAnsi="宋体" w:cs="宋体"/>
                <w:color w:val="auto"/>
                <w:highlight w:val="none"/>
              </w:rPr>
            </w:pPr>
          </w:p>
        </w:tc>
        <w:tc>
          <w:tcPr>
            <w:tcW w:w="6597" w:type="dxa"/>
          </w:tcPr>
          <w:p>
            <w:pPr>
              <w:spacing w:line="300" w:lineRule="auto"/>
              <w:ind w:right="-21" w:rightChars="-10"/>
              <w:rPr>
                <w:rFonts w:ascii="宋体" w:hAnsi="宋体" w:cs="宋体"/>
                <w:color w:val="auto"/>
                <w:highlight w:val="none"/>
              </w:rPr>
            </w:pPr>
            <w:r>
              <w:rPr>
                <w:rFonts w:hint="eastAsia" w:ascii="宋体" w:hAnsi="宋体" w:cs="宋体"/>
                <w:color w:val="auto"/>
                <w:highlight w:val="none"/>
              </w:rPr>
              <w:t>维修保养培训：投标人负责对采购人维修人员的培训，提供培训方案，方案考虑充分安排有效得3分；方案合理安排一般得2分；方案考虑不够充分的得1分；无方案不得分。</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 w:type="dxa"/>
            <w:vAlign w:val="center"/>
          </w:tcPr>
          <w:p>
            <w:pPr>
              <w:spacing w:line="300" w:lineRule="auto"/>
              <w:rPr>
                <w:rFonts w:ascii="宋体" w:hAnsi="宋体" w:cs="宋体"/>
                <w:color w:val="auto"/>
                <w:highlight w:val="none"/>
              </w:rPr>
            </w:pPr>
          </w:p>
        </w:tc>
        <w:tc>
          <w:tcPr>
            <w:tcW w:w="6597" w:type="dxa"/>
            <w:vAlign w:val="center"/>
          </w:tcPr>
          <w:p>
            <w:pPr>
              <w:spacing w:line="300" w:lineRule="auto"/>
              <w:ind w:firstLine="422"/>
              <w:rPr>
                <w:rFonts w:ascii="宋体" w:hAnsi="宋体" w:cs="宋体"/>
                <w:color w:val="auto"/>
                <w:highlight w:val="none"/>
              </w:rPr>
            </w:pPr>
            <w:r>
              <w:rPr>
                <w:rFonts w:hint="eastAsia" w:ascii="宋体" w:hAnsi="宋体" w:cs="宋体"/>
                <w:b/>
                <w:bCs/>
                <w:color w:val="auto"/>
                <w:highlight w:val="none"/>
              </w:rPr>
              <w:t>售后服务能力</w:t>
            </w:r>
          </w:p>
        </w:tc>
        <w:tc>
          <w:tcPr>
            <w:tcW w:w="1035" w:type="dxa"/>
            <w:vAlign w:val="center"/>
          </w:tcPr>
          <w:p>
            <w:pPr>
              <w:spacing w:before="120" w:beforeLines="50" w:after="120" w:afterLines="50" w:line="300" w:lineRule="auto"/>
              <w:ind w:firstLine="422"/>
              <w:jc w:val="center"/>
              <w:rPr>
                <w:rFonts w:ascii="宋体" w:hAnsi="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 w:type="dxa"/>
            <w:vMerge w:val="restart"/>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8</w:t>
            </w:r>
          </w:p>
        </w:tc>
        <w:tc>
          <w:tcPr>
            <w:tcW w:w="6597" w:type="dxa"/>
            <w:vAlign w:val="center"/>
          </w:tcPr>
          <w:p>
            <w:pPr>
              <w:spacing w:line="300" w:lineRule="auto"/>
              <w:rPr>
                <w:rFonts w:ascii="宋体" w:hAnsi="宋体" w:cs="宋体"/>
                <w:color w:val="auto"/>
                <w:highlight w:val="none"/>
              </w:rPr>
            </w:pPr>
            <w:r>
              <w:rPr>
                <w:rFonts w:hint="eastAsia" w:ascii="宋体" w:hAnsi="宋体" w:cs="宋体"/>
                <w:color w:val="auto"/>
                <w:highlight w:val="none"/>
              </w:rPr>
              <w:t>售后服务方案，包括但不限于服务响应时间、故障解决方案，响应时间短，解决方案充分得3分；响应时间一般，解决方案较合理得2分；响应时间长，解决方案一般1分；无解决方案不得分。</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3</w:t>
            </w:r>
            <w:r>
              <w:rPr>
                <w:rFonts w:hint="eastAsia" w:ascii="宋体" w:hAnsi="宋体" w:cs="宋体"/>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 w:type="dxa"/>
            <w:vMerge w:val="continue"/>
            <w:vAlign w:val="center"/>
          </w:tcPr>
          <w:p>
            <w:pPr>
              <w:spacing w:line="300" w:lineRule="auto"/>
              <w:jc w:val="center"/>
              <w:rPr>
                <w:rFonts w:ascii="宋体" w:hAnsi="宋体" w:cs="宋体"/>
                <w:color w:val="auto"/>
                <w:highlight w:val="none"/>
              </w:rPr>
            </w:pPr>
          </w:p>
        </w:tc>
        <w:tc>
          <w:tcPr>
            <w:tcW w:w="6597" w:type="dxa"/>
            <w:vAlign w:val="center"/>
          </w:tcPr>
          <w:p>
            <w:pPr>
              <w:spacing w:after="120" w:line="300" w:lineRule="auto"/>
              <w:rPr>
                <w:rFonts w:ascii="宋体" w:hAnsi="宋体" w:cs="宋体"/>
                <w:color w:val="auto"/>
                <w:highlight w:val="none"/>
              </w:rPr>
            </w:pPr>
            <w:r>
              <w:rPr>
                <w:rFonts w:hint="eastAsia" w:ascii="宋体" w:hAnsi="宋体" w:cs="宋体"/>
                <w:color w:val="auto"/>
                <w:highlight w:val="none"/>
              </w:rPr>
              <w:t>退换货承诺，根据投标人提供的退货、换货承诺方案综合评议。承诺方案合理可行得3分；承诺方案较合理得2分；承诺方案一般1分；无承诺不得分。</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3</w:t>
            </w:r>
            <w:r>
              <w:rPr>
                <w:rFonts w:hint="eastAsia" w:ascii="宋体" w:hAnsi="宋体" w:cs="宋体"/>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 w:type="dxa"/>
            <w:vMerge w:val="continue"/>
            <w:vAlign w:val="center"/>
          </w:tcPr>
          <w:p>
            <w:pPr>
              <w:spacing w:line="300" w:lineRule="auto"/>
              <w:jc w:val="center"/>
              <w:rPr>
                <w:rFonts w:ascii="宋体" w:hAnsi="宋体" w:cs="宋体"/>
                <w:color w:val="auto"/>
                <w:highlight w:val="none"/>
              </w:rPr>
            </w:pPr>
          </w:p>
        </w:tc>
        <w:tc>
          <w:tcPr>
            <w:tcW w:w="6597" w:type="dxa"/>
            <w:vAlign w:val="center"/>
          </w:tcPr>
          <w:p>
            <w:pPr>
              <w:spacing w:line="300" w:lineRule="auto"/>
              <w:rPr>
                <w:rFonts w:ascii="宋体" w:hAnsi="宋体" w:cs="宋体"/>
                <w:color w:val="auto"/>
                <w:highlight w:val="none"/>
              </w:rPr>
            </w:pPr>
            <w:r>
              <w:rPr>
                <w:rFonts w:hint="eastAsia" w:ascii="宋体" w:hAnsi="宋体" w:cs="宋体"/>
                <w:color w:val="auto"/>
                <w:highlight w:val="none"/>
              </w:rPr>
              <w:t>售后服务机构技术服务人员情况，提供姓名、工作经验，人员配备充足售后服务经验丰富得3分；人员配备和售后服务经验一般得2分；人员配备不足售后服务经验差1分；无人员配备不得分。</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3</w:t>
            </w:r>
            <w:r>
              <w:rPr>
                <w:rFonts w:hint="eastAsia" w:ascii="宋体" w:hAnsi="宋体" w:cs="宋体"/>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9</w:t>
            </w:r>
          </w:p>
        </w:tc>
        <w:tc>
          <w:tcPr>
            <w:tcW w:w="6597" w:type="dxa"/>
            <w:vAlign w:val="center"/>
          </w:tcPr>
          <w:p>
            <w:pPr>
              <w:spacing w:line="300" w:lineRule="auto"/>
              <w:ind w:firstLine="422"/>
              <w:rPr>
                <w:rFonts w:ascii="宋体" w:hAnsi="宋体" w:cs="宋体"/>
                <w:color w:val="auto"/>
                <w:highlight w:val="none"/>
              </w:rPr>
            </w:pPr>
            <w:r>
              <w:rPr>
                <w:rFonts w:hint="eastAsia" w:ascii="宋体" w:hAnsi="宋体" w:cs="宋体"/>
                <w:b/>
                <w:bCs/>
                <w:color w:val="auto"/>
                <w:highlight w:val="none"/>
              </w:rPr>
              <w:t>维修成本方案：</w:t>
            </w:r>
            <w:r>
              <w:rPr>
                <w:rFonts w:hint="eastAsia" w:ascii="宋体" w:hAnsi="宋体" w:cs="宋体"/>
                <w:color w:val="auto"/>
                <w:highlight w:val="none"/>
              </w:rPr>
              <w:t>根据提供的维修成本方案进行评议。维修服务费合理，维修人员配备全面且承诺维修完成时间及时的得3分；设备配件价格及维修服务费基本合理，维修人员配备基本足够，承诺维修完成时间基本不影响设备使用的得2分；维修的各项价格及人员配备存在缺陷，有待改进的得1分；无相关内容不得分。</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10</w:t>
            </w:r>
          </w:p>
        </w:tc>
        <w:tc>
          <w:tcPr>
            <w:tcW w:w="6597" w:type="dxa"/>
            <w:vAlign w:val="center"/>
          </w:tcPr>
          <w:p>
            <w:pPr>
              <w:spacing w:line="300" w:lineRule="auto"/>
              <w:ind w:firstLine="422"/>
              <w:rPr>
                <w:rFonts w:ascii="宋体" w:hAnsi="宋体" w:cs="宋体"/>
                <w:b/>
                <w:bCs/>
                <w:color w:val="auto"/>
                <w:highlight w:val="none"/>
              </w:rPr>
            </w:pPr>
            <w:r>
              <w:rPr>
                <w:rFonts w:hint="eastAsia" w:ascii="宋体" w:hAnsi="宋体" w:cs="宋体"/>
                <w:b/>
                <w:bCs/>
                <w:color w:val="auto"/>
                <w:highlight w:val="none"/>
              </w:rPr>
              <w:t>应急处置能力：</w:t>
            </w:r>
            <w:r>
              <w:rPr>
                <w:rFonts w:hint="eastAsia" w:ascii="宋体" w:hAnsi="宋体" w:cs="宋体"/>
                <w:bCs/>
                <w:color w:val="auto"/>
                <w:highlight w:val="none"/>
              </w:rPr>
              <w:t>应急供货方案，实施方案完善、规范且具有可操作性，得3分；组织实施方案完善且具有一定的可操作性，得2.5分；组织实施方案基本完善且具有一定的可操作性，得2分；组织实施方案基本完善，可操作性不强，得1.5分；组织实施方案不够完善，可操作性不强，得1分；</w:t>
            </w:r>
            <w:r>
              <w:rPr>
                <w:rFonts w:hint="eastAsia" w:ascii="宋体" w:hAnsi="宋体" w:cs="宋体"/>
                <w:bCs/>
                <w:color w:val="auto"/>
                <w:highlight w:val="none"/>
                <w:lang w:val="en-US" w:eastAsia="zh-CN"/>
              </w:rPr>
              <w:t>无</w:t>
            </w:r>
            <w:r>
              <w:rPr>
                <w:rFonts w:hint="eastAsia" w:ascii="宋体" w:hAnsi="宋体" w:cs="宋体"/>
                <w:bCs/>
                <w:color w:val="auto"/>
                <w:highlight w:val="none"/>
              </w:rPr>
              <w:t>相应方案不得分。</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11</w:t>
            </w:r>
          </w:p>
        </w:tc>
        <w:tc>
          <w:tcPr>
            <w:tcW w:w="6597" w:type="dxa"/>
            <w:vAlign w:val="center"/>
          </w:tcPr>
          <w:p>
            <w:pPr>
              <w:spacing w:line="300" w:lineRule="auto"/>
              <w:ind w:firstLine="422"/>
              <w:rPr>
                <w:rFonts w:ascii="宋体" w:hAnsi="宋体" w:cs="宋体"/>
                <w:color w:val="auto"/>
                <w:highlight w:val="none"/>
              </w:rPr>
            </w:pPr>
            <w:r>
              <w:rPr>
                <w:rFonts w:hint="eastAsia" w:ascii="宋体" w:hAnsi="宋体" w:cs="宋体"/>
                <w:b/>
                <w:bCs/>
                <w:color w:val="auto"/>
                <w:highlight w:val="none"/>
              </w:rPr>
              <w:t>节能环保产品：</w:t>
            </w:r>
            <w:r>
              <w:rPr>
                <w:rFonts w:hint="eastAsia" w:ascii="宋体" w:hAnsi="宋体" w:cs="宋体"/>
                <w:color w:val="auto"/>
                <w:highlight w:val="none"/>
              </w:rPr>
              <w:t>投标产品属于《节能产品政府采购标项清单》范围的且具有国家确定的认证机构出具的、处于有效期之内的节能产品认证证书的得0.5分；</w:t>
            </w:r>
          </w:p>
          <w:p>
            <w:pPr>
              <w:spacing w:line="300" w:lineRule="auto"/>
              <w:rPr>
                <w:rFonts w:ascii="宋体" w:hAnsi="宋体" w:cs="宋体"/>
                <w:color w:val="auto"/>
                <w:highlight w:val="none"/>
              </w:rPr>
            </w:pPr>
            <w:r>
              <w:rPr>
                <w:rFonts w:hint="eastAsia" w:ascii="宋体" w:hAnsi="宋体" w:cs="宋体"/>
                <w:color w:val="auto"/>
                <w:highlight w:val="none"/>
              </w:rPr>
              <w:t>投标产品属于《环境标志产品政府采购标项清单》范围的且具有国家确定的认证机构出具的、处于有效期之内的环境标志产品认证证书的得0.5分。</w:t>
            </w:r>
          </w:p>
          <w:p>
            <w:pPr>
              <w:spacing w:line="300" w:lineRule="auto"/>
              <w:ind w:firstLine="422"/>
              <w:rPr>
                <w:rFonts w:ascii="宋体" w:hAnsi="宋体" w:cs="宋体"/>
                <w:b/>
                <w:bCs/>
                <w:color w:val="auto"/>
                <w:highlight w:val="none"/>
              </w:rPr>
            </w:pPr>
            <w:r>
              <w:rPr>
                <w:rFonts w:hint="eastAsia" w:ascii="宋体" w:hAnsi="宋体" w:cs="宋体"/>
                <w:b/>
                <w:bCs/>
                <w:color w:val="auto"/>
                <w:highlight w:val="none"/>
              </w:rPr>
              <w:t>注：投标文件中必须同时提供以下资料：</w:t>
            </w:r>
          </w:p>
          <w:p>
            <w:pPr>
              <w:spacing w:line="300" w:lineRule="auto"/>
              <w:ind w:firstLine="422"/>
              <w:rPr>
                <w:rFonts w:ascii="宋体" w:hAnsi="宋体" w:cs="宋体"/>
                <w:b/>
                <w:bCs/>
                <w:color w:val="auto"/>
                <w:highlight w:val="none"/>
              </w:rPr>
            </w:pPr>
            <w:r>
              <w:rPr>
                <w:rFonts w:hint="eastAsia" w:ascii="宋体" w:hAnsi="宋体" w:cs="宋体"/>
                <w:b/>
                <w:bCs/>
                <w:color w:val="auto"/>
                <w:highlight w:val="none"/>
              </w:rPr>
              <w:t>（1）提供政府采购标项清单相关内容页（并对相关内容作圈记），采购标项清单详见《关于印发环境标志产品政府采购标项清单的通知》（财库〔2019〕18号）和《关于印发节能产品政府采购标项清单的通知》（财库〔2019〕19号）。</w:t>
            </w:r>
          </w:p>
          <w:p>
            <w:pPr>
              <w:spacing w:line="300" w:lineRule="auto"/>
              <w:ind w:firstLine="422"/>
              <w:rPr>
                <w:rFonts w:ascii="宋体" w:hAnsi="宋体" w:cs="宋体"/>
                <w:color w:val="auto"/>
                <w:highlight w:val="none"/>
              </w:rPr>
            </w:pPr>
            <w:r>
              <w:rPr>
                <w:rFonts w:hint="eastAsia" w:ascii="宋体" w:hAnsi="宋体" w:cs="宋体"/>
                <w:b/>
                <w:bCs/>
                <w:color w:val="auto"/>
                <w:highlight w:val="none"/>
              </w:rPr>
              <w:t>（2）《市场监管总局关于发布参与实施政府采购节能产品、环境标志产品认证机构名录的公告》中的认证机构出具的、处于有效期之内的节能产品/环境标志产品认证证书复印件并加盖公章。</w:t>
            </w:r>
          </w:p>
        </w:tc>
        <w:tc>
          <w:tcPr>
            <w:tcW w:w="1035" w:type="dxa"/>
            <w:vAlign w:val="center"/>
          </w:tcPr>
          <w:p>
            <w:pPr>
              <w:spacing w:line="300" w:lineRule="auto"/>
              <w:jc w:val="center"/>
              <w:rPr>
                <w:rFonts w:ascii="宋体" w:hAnsi="宋体" w:cs="宋体"/>
                <w:color w:val="auto"/>
                <w:highlight w:val="none"/>
              </w:rPr>
            </w:pPr>
            <w:r>
              <w:rPr>
                <w:rFonts w:hint="eastAsia" w:ascii="宋体" w:hAnsi="宋体" w:cs="宋体"/>
                <w:color w:val="auto"/>
                <w:highlight w:val="none"/>
              </w:rPr>
              <w:t>1分</w:t>
            </w:r>
          </w:p>
        </w:tc>
      </w:tr>
    </w:tbl>
    <w:p>
      <w:pPr>
        <w:pStyle w:val="7"/>
        <w:rPr>
          <w:rFonts w:hint="eastAsia"/>
          <w:b/>
          <w:bCs/>
          <w:color w:val="auto"/>
          <w:highlight w:val="none"/>
          <w:lang w:val="en-US" w:eastAsia="zh-CN"/>
        </w:rPr>
      </w:pPr>
    </w:p>
    <w:p>
      <w:pPr>
        <w:spacing w:line="360" w:lineRule="auto"/>
        <w:ind w:firstLine="422"/>
        <w:rPr>
          <w:rFonts w:ascii="宋体" w:hAnsi="宋体" w:cs="宋体"/>
          <w:b/>
          <w:color w:val="auto"/>
          <w:highlight w:val="none"/>
        </w:rPr>
      </w:pPr>
      <w:r>
        <w:rPr>
          <w:rFonts w:hint="eastAsia" w:ascii="宋体" w:hAnsi="宋体" w:cs="宋体"/>
          <w:b/>
          <w:color w:val="auto"/>
          <w:highlight w:val="none"/>
        </w:rPr>
        <w:t>注：1、各评标委员会成员自行按以上参考分值评分。</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2、重大事件由评标委员会集体讨论，须有少数服从多数或以上的评标委员会签字认可。</w:t>
      </w:r>
    </w:p>
    <w:p>
      <w:pPr>
        <w:pStyle w:val="46"/>
        <w:ind w:left="0" w:leftChars="0" w:firstLine="0" w:firstLineChars="0"/>
        <w:rPr>
          <w:rFonts w:ascii="宋体" w:hAnsi="宋体" w:cs="宋体"/>
          <w:color w:val="auto"/>
          <w:highlight w:val="none"/>
        </w:rPr>
      </w:pPr>
    </w:p>
    <w:p>
      <w:pPr>
        <w:pStyle w:val="24"/>
        <w:spacing w:before="120" w:after="120" w:line="360" w:lineRule="auto"/>
        <w:ind w:firstLine="422"/>
        <w:rPr>
          <w:rFonts w:hAnsi="宋体"/>
          <w:b/>
          <w:color w:val="auto"/>
          <w:sz w:val="21"/>
          <w:szCs w:val="21"/>
          <w:highlight w:val="none"/>
        </w:rPr>
      </w:pPr>
      <w:bookmarkStart w:id="161" w:name="_Toc9029"/>
      <w:r>
        <w:rPr>
          <w:rFonts w:hint="eastAsia" w:hAnsi="宋体"/>
          <w:b/>
          <w:color w:val="auto"/>
          <w:sz w:val="21"/>
          <w:szCs w:val="21"/>
          <w:highlight w:val="none"/>
        </w:rPr>
        <w:t>六、定标</w:t>
      </w:r>
      <w:bookmarkEnd w:id="161"/>
    </w:p>
    <w:p>
      <w:pPr>
        <w:pStyle w:val="24"/>
        <w:spacing w:before="120" w:after="120" w:line="360" w:lineRule="auto"/>
        <w:ind w:firstLine="413" w:firstLineChars="196"/>
        <w:rPr>
          <w:rFonts w:hAnsi="宋体"/>
          <w:b/>
          <w:bCs/>
          <w:color w:val="auto"/>
          <w:sz w:val="21"/>
          <w:szCs w:val="21"/>
          <w:highlight w:val="none"/>
        </w:rPr>
      </w:pPr>
      <w:r>
        <w:rPr>
          <w:rFonts w:hint="eastAsia" w:hAnsi="宋体"/>
          <w:b/>
          <w:bCs/>
          <w:color w:val="auto"/>
          <w:sz w:val="21"/>
          <w:szCs w:val="21"/>
          <w:highlight w:val="none"/>
        </w:rPr>
        <w:t>（一）确定中标供应商。本项目由采购人（或采购人事先授权评标委员会）确定中标供应商。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1.采购代理机构在评标结束后将评标报告交采购人确认。</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2.供应商对评标结果无异议的，采购人应在收到评标报告后5个工作日内对评标结果进行确认，按评标报告推荐的顺序确定排名第一的中标候选人为中标人。</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3.采购人依法确定中标供应商后2个工作日内，采购代理机构以书面形式发出《中标通知书》,并同时在相关网站上发布中标公告。</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4.若中标供应商放弃中标，或因不可抗力提出不能履行合同，或不按采购文件规定提交履约担保，或其它原因被依法撤销中标资格，则采购人可确定排名次之的中标候选人为中标人或重新组织招标。</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七、评标过程的监控与保密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1、本项目评标过程实行全程录音、录像监控，供应商在评标过程中所进行的试图影响评标结果的不公正活动，可能导致其投标被拒绝。</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2、开标后到中标通知书发出之前，所有涉及评标委员会名单以及对投标文件的澄清、评价、比较等情况，评标委员会成员、采购人和采购代理机构的有关人员均不得向供应商或其他无关人员透露。</w:t>
      </w:r>
    </w:p>
    <w:p>
      <w:pPr>
        <w:spacing w:line="360" w:lineRule="auto"/>
        <w:ind w:firstLine="413" w:firstLineChars="196"/>
        <w:rPr>
          <w:rFonts w:ascii="宋体" w:hAnsi="宋体" w:cs="宋体"/>
          <w:b/>
          <w:bCs/>
          <w:color w:val="auto"/>
          <w:highlight w:val="none"/>
        </w:rPr>
      </w:pPr>
      <w:bookmarkStart w:id="162" w:name="_Toc17747"/>
      <w:r>
        <w:rPr>
          <w:rFonts w:hint="eastAsia" w:ascii="宋体" w:hAnsi="宋体" w:cs="宋体"/>
          <w:b/>
          <w:color w:val="auto"/>
          <w:highlight w:val="none"/>
        </w:rPr>
        <w:t>八、合同授予</w:t>
      </w:r>
      <w:bookmarkEnd w:id="162"/>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1.采购人应当自中标通知书发出之日起30日内，按照采购文件和中标人投标文件的规定，与中标人签订书面合同。所签订的合同不得对采购文件确定的事项和中标人投标文件作实质性修改。</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采购人不得向中标人提出任何不合理的要求作为签订合同的条件。</w:t>
      </w:r>
    </w:p>
    <w:p>
      <w:pPr>
        <w:pStyle w:val="24"/>
        <w:spacing w:before="120" w:after="120" w:line="360" w:lineRule="auto"/>
        <w:ind w:firstLine="411" w:firstLineChars="196"/>
        <w:rPr>
          <w:rFonts w:hAnsi="宋体"/>
          <w:bCs/>
          <w:color w:val="auto"/>
          <w:sz w:val="21"/>
          <w:szCs w:val="21"/>
          <w:highlight w:val="none"/>
        </w:rPr>
      </w:pPr>
      <w:r>
        <w:rPr>
          <w:rFonts w:hint="eastAsia" w:hAnsi="宋体"/>
          <w:bCs/>
          <w:color w:val="auto"/>
          <w:sz w:val="21"/>
          <w:szCs w:val="21"/>
          <w:highlight w:val="none"/>
        </w:rPr>
        <w:t>2</w:t>
      </w:r>
      <w:r>
        <w:rPr>
          <w:rFonts w:hint="eastAsia" w:hAnsi="宋体"/>
          <w:color w:val="auto"/>
          <w:sz w:val="21"/>
          <w:szCs w:val="21"/>
          <w:highlight w:val="none"/>
        </w:rPr>
        <w:t>.</w:t>
      </w:r>
      <w:r>
        <w:rPr>
          <w:rFonts w:hint="eastAsia" w:hAnsi="宋体"/>
          <w:bCs/>
          <w:color w:val="auto"/>
          <w:sz w:val="21"/>
          <w:szCs w:val="21"/>
          <w:highlight w:val="none"/>
        </w:rPr>
        <w:t>采购人在签订合同时，在合同金额变更范围内，如需审批的办理相关审批手续。有权变更采购项目的数量和服务内容，但不能对单价或其他条款和条件作任何改变。</w:t>
      </w:r>
    </w:p>
    <w:p>
      <w:pPr>
        <w:pStyle w:val="24"/>
        <w:spacing w:before="120" w:after="120" w:line="360" w:lineRule="auto"/>
        <w:ind w:firstLine="411" w:firstLineChars="196"/>
        <w:rPr>
          <w:rFonts w:hAnsi="宋体"/>
          <w:bCs/>
          <w:color w:val="auto"/>
          <w:sz w:val="21"/>
          <w:szCs w:val="21"/>
          <w:highlight w:val="none"/>
        </w:rPr>
      </w:pPr>
      <w:r>
        <w:rPr>
          <w:rFonts w:hint="eastAsia" w:hAnsi="宋体"/>
          <w:bCs/>
          <w:color w:val="auto"/>
          <w:sz w:val="21"/>
          <w:szCs w:val="21"/>
          <w:highlight w:val="none"/>
        </w:rPr>
        <w:t>3</w:t>
      </w:r>
      <w:r>
        <w:rPr>
          <w:rFonts w:hint="eastAsia" w:hAnsi="宋体"/>
          <w:color w:val="auto"/>
          <w:sz w:val="21"/>
          <w:szCs w:val="21"/>
          <w:highlight w:val="none"/>
        </w:rPr>
        <w:t>.</w:t>
      </w:r>
      <w:r>
        <w:rPr>
          <w:rFonts w:hint="eastAsia" w:hAnsi="宋体"/>
          <w:bCs/>
          <w:color w:val="auto"/>
          <w:sz w:val="21"/>
          <w:szCs w:val="21"/>
          <w:highlight w:val="none"/>
        </w:rPr>
        <w:t>采购文件、中标供应商的投标文件及评标过程中有关的澄清文件均应作为合同签订的附件。</w:t>
      </w:r>
    </w:p>
    <w:p>
      <w:pPr>
        <w:pStyle w:val="24"/>
        <w:spacing w:before="120" w:after="120" w:line="360" w:lineRule="auto"/>
        <w:ind w:firstLine="411" w:firstLineChars="196"/>
        <w:rPr>
          <w:rFonts w:hAnsi="宋体"/>
          <w:bCs/>
          <w:color w:val="auto"/>
          <w:sz w:val="21"/>
          <w:szCs w:val="21"/>
          <w:highlight w:val="none"/>
        </w:rPr>
      </w:pPr>
      <w:r>
        <w:rPr>
          <w:rFonts w:hint="eastAsia" w:hAnsi="宋体"/>
          <w:bCs/>
          <w:color w:val="auto"/>
          <w:sz w:val="21"/>
          <w:szCs w:val="21"/>
          <w:highlight w:val="none"/>
        </w:rPr>
        <w:t>4.中标或者成交供应商拒绝与采购人签订合同的，采购人应重新招标。</w:t>
      </w:r>
    </w:p>
    <w:p>
      <w:pPr>
        <w:spacing w:line="360" w:lineRule="auto"/>
        <w:ind w:firstLine="413" w:firstLineChars="196"/>
        <w:rPr>
          <w:rFonts w:ascii="宋体" w:hAnsi="宋体" w:cs="宋体"/>
          <w:b/>
          <w:color w:val="auto"/>
          <w:highlight w:val="none"/>
        </w:rPr>
      </w:pPr>
      <w:r>
        <w:rPr>
          <w:rFonts w:hint="eastAsia" w:ascii="宋体" w:hAnsi="宋体" w:cs="宋体"/>
          <w:b/>
          <w:color w:val="auto"/>
          <w:highlight w:val="none"/>
        </w:rPr>
        <w:t>九、履约验收</w:t>
      </w:r>
    </w:p>
    <w:p>
      <w:pPr>
        <w:pStyle w:val="24"/>
        <w:spacing w:before="120" w:after="120" w:line="360" w:lineRule="auto"/>
        <w:ind w:firstLine="411" w:firstLineChars="196"/>
        <w:rPr>
          <w:rFonts w:hAnsi="宋体"/>
          <w:color w:val="auto"/>
          <w:sz w:val="21"/>
          <w:szCs w:val="21"/>
          <w:highlight w:val="none"/>
        </w:rPr>
      </w:pPr>
      <w:r>
        <w:rPr>
          <w:rFonts w:hint="eastAsia" w:hAnsi="宋体"/>
          <w:bCs/>
          <w:color w:val="auto"/>
          <w:sz w:val="21"/>
          <w:szCs w:val="21"/>
          <w:highlight w:val="none"/>
        </w:rPr>
        <w:t>采购人负责对中标供应商的履约行为进行验收。政府向社会公众提供的公共服务项目，验收时应当邀请服务对象参与并出具意见，验收结果应当向社会公告。</w:t>
      </w:r>
    </w:p>
    <w:p>
      <w:pPr>
        <w:pStyle w:val="2"/>
        <w:ind w:firstLine="602"/>
        <w:rPr>
          <w:rFonts w:ascii="宋体" w:cs="宋体"/>
          <w:color w:val="auto"/>
          <w:highlight w:val="none"/>
        </w:rPr>
        <w:sectPr>
          <w:pgSz w:w="11906" w:h="16838"/>
          <w:pgMar w:top="1474" w:right="1797" w:bottom="1247" w:left="1797" w:header="851" w:footer="851" w:gutter="0"/>
          <w:cols w:space="720" w:num="1"/>
          <w:titlePg/>
          <w:docGrid w:linePitch="312" w:charSpace="0"/>
        </w:sectPr>
      </w:pPr>
    </w:p>
    <w:bookmarkEnd w:id="158"/>
    <w:bookmarkEnd w:id="159"/>
    <w:bookmarkEnd w:id="160"/>
    <w:p>
      <w:pPr>
        <w:pStyle w:val="2"/>
        <w:ind w:firstLine="723"/>
        <w:rPr>
          <w:rFonts w:ascii="宋体" w:cs="宋体"/>
          <w:color w:val="auto"/>
          <w:sz w:val="36"/>
          <w:szCs w:val="28"/>
          <w:highlight w:val="none"/>
        </w:rPr>
      </w:pPr>
      <w:bookmarkStart w:id="163" w:name="_Toc317116872"/>
      <w:bookmarkStart w:id="164" w:name="_Toc13023"/>
      <w:bookmarkStart w:id="165" w:name="_Toc47388386"/>
      <w:r>
        <w:rPr>
          <w:rFonts w:hint="eastAsia" w:ascii="宋体" w:cs="宋体"/>
          <w:color w:val="auto"/>
          <w:sz w:val="36"/>
          <w:szCs w:val="28"/>
          <w:highlight w:val="none"/>
        </w:rPr>
        <w:t>第五章 合同主要条款</w:t>
      </w:r>
    </w:p>
    <w:p>
      <w:pPr>
        <w:spacing w:line="360" w:lineRule="auto"/>
        <w:rPr>
          <w:rFonts w:ascii="宋体" w:hAnsi="宋体" w:cs="宋体"/>
          <w:color w:val="auto"/>
          <w:highlight w:val="none"/>
        </w:rPr>
      </w:pP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甲方（买方</w:t>
      </w:r>
      <w:r>
        <w:rPr>
          <w:rFonts w:hint="eastAsia" w:ascii="宋体" w:hAnsi="宋体" w:cs="宋体"/>
          <w:b/>
          <w:bCs/>
          <w:color w:val="auto"/>
          <w:highlight w:val="none"/>
          <w:lang w:val="en-US" w:eastAsia="zh-CN"/>
        </w:rPr>
        <w:t>/采购人</w:t>
      </w:r>
      <w:r>
        <w:rPr>
          <w:rFonts w:hint="eastAsia" w:ascii="宋体" w:hAnsi="宋体" w:cs="宋体"/>
          <w:b/>
          <w:bCs/>
          <w:color w:val="auto"/>
          <w:highlight w:val="none"/>
        </w:rPr>
        <w:t>）：</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乙方（卖方</w:t>
      </w:r>
      <w:r>
        <w:rPr>
          <w:rFonts w:hint="eastAsia" w:ascii="宋体" w:hAnsi="宋体" w:cs="宋体"/>
          <w:b/>
          <w:bCs/>
          <w:color w:val="auto"/>
          <w:highlight w:val="none"/>
          <w:lang w:val="en-US" w:eastAsia="zh-CN"/>
        </w:rPr>
        <w:t>/供应商</w:t>
      </w:r>
      <w:r>
        <w:rPr>
          <w:rFonts w:hint="eastAsia" w:ascii="宋体" w:hAnsi="宋体" w:cs="宋体"/>
          <w:b/>
          <w:bCs/>
          <w:color w:val="auto"/>
          <w:highlight w:val="none"/>
        </w:rPr>
        <w:t>）：</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甲方的 </w:t>
      </w:r>
      <w:r>
        <w:rPr>
          <w:rFonts w:hint="eastAsia" w:ascii="宋体" w:hAnsi="宋体" w:cs="宋体"/>
          <w:i/>
          <w:iCs/>
          <w:color w:val="auto"/>
          <w:highlight w:val="none"/>
          <w:u w:val="single"/>
        </w:rPr>
        <w:t xml:space="preserve">项目名称 </w:t>
      </w:r>
      <w:r>
        <w:rPr>
          <w:rFonts w:hint="eastAsia" w:ascii="宋体" w:hAnsi="宋体" w:cs="宋体"/>
          <w:color w:val="auto"/>
          <w:highlight w:val="none"/>
        </w:rPr>
        <w:t>项目，采用公开招标的形式【招标编号】，根据2024年  月   日投标评审结果，最终确定乙方为合格供货商。为确保产品质量，保证临床医疗安全以及交易顺利进行，甲乙双方根据国家相关法律、法规规定，在平等、互信基础上，依据招标文件及乙方中标的投标文件签订本购销合同。</w:t>
      </w:r>
    </w:p>
    <w:p>
      <w:pPr>
        <w:pStyle w:val="7"/>
        <w:numPr>
          <w:ilvl w:val="0"/>
          <w:numId w:val="13"/>
        </w:numPr>
        <w:spacing w:line="360" w:lineRule="auto"/>
        <w:rPr>
          <w:color w:val="auto"/>
          <w:highlight w:val="none"/>
        </w:rPr>
      </w:pPr>
      <w:r>
        <w:rPr>
          <w:rFonts w:hint="eastAsia"/>
          <w:color w:val="auto"/>
          <w:highlight w:val="none"/>
        </w:rPr>
        <w:t>合同组成</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下列文件构成本合同的组成部分，应该认为是一个整体，彼此相互解释，相互补充。组成合同的多个文件的优先支配地位的次序如下：</w:t>
      </w:r>
    </w:p>
    <w:p>
      <w:pPr>
        <w:numPr>
          <w:ilvl w:val="0"/>
          <w:numId w:val="14"/>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本合同书　</w:t>
      </w:r>
    </w:p>
    <w:p>
      <w:pPr>
        <w:numPr>
          <w:ilvl w:val="0"/>
          <w:numId w:val="14"/>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中标通知书</w:t>
      </w:r>
    </w:p>
    <w:p>
      <w:pPr>
        <w:numPr>
          <w:ilvl w:val="0"/>
          <w:numId w:val="14"/>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中标供应商澄清修改文件</w:t>
      </w:r>
    </w:p>
    <w:p>
      <w:pPr>
        <w:numPr>
          <w:ilvl w:val="0"/>
          <w:numId w:val="14"/>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中标供应商投标文件</w:t>
      </w:r>
    </w:p>
    <w:p>
      <w:pPr>
        <w:numPr>
          <w:ilvl w:val="0"/>
          <w:numId w:val="14"/>
        </w:num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评标过程中有关</w:t>
      </w:r>
      <w:r>
        <w:rPr>
          <w:rFonts w:hint="eastAsia" w:ascii="宋体" w:hAnsi="宋体" w:cs="宋体"/>
          <w:color w:val="auto"/>
          <w:highlight w:val="none"/>
        </w:rPr>
        <w:t>招标文件</w:t>
      </w:r>
      <w:r>
        <w:rPr>
          <w:rFonts w:hint="eastAsia" w:ascii="宋体" w:hAnsi="宋体" w:cs="宋体"/>
          <w:color w:val="auto"/>
          <w:highlight w:val="none"/>
          <w:lang w:eastAsia="zh-CN"/>
        </w:rPr>
        <w:t>的</w:t>
      </w:r>
      <w:r>
        <w:rPr>
          <w:rFonts w:hint="eastAsia" w:ascii="宋体" w:hAnsi="宋体" w:cs="宋体"/>
          <w:color w:val="auto"/>
          <w:highlight w:val="none"/>
        </w:rPr>
        <w:t>澄清修改文件</w:t>
      </w:r>
    </w:p>
    <w:p>
      <w:pPr>
        <w:numPr>
          <w:ilvl w:val="0"/>
          <w:numId w:val="14"/>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招标文件</w:t>
      </w:r>
    </w:p>
    <w:p>
      <w:pPr>
        <w:spacing w:line="360" w:lineRule="auto"/>
        <w:rPr>
          <w:rFonts w:ascii="宋体" w:hAnsi="宋体" w:cs="宋体"/>
          <w:color w:val="auto"/>
          <w:highlight w:val="none"/>
        </w:rPr>
      </w:pPr>
      <w:r>
        <w:rPr>
          <w:rFonts w:hint="eastAsia" w:ascii="宋体" w:hAnsi="宋体" w:cs="宋体"/>
          <w:color w:val="auto"/>
          <w:highlight w:val="none"/>
        </w:rPr>
        <w:t>二、设备</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b/>
          <w:bCs/>
          <w:color w:val="auto"/>
          <w:highlight w:val="none"/>
        </w:rPr>
        <w:t>设备名称：</w:t>
      </w:r>
      <w:r>
        <w:rPr>
          <w:rFonts w:hint="eastAsia" w:ascii="宋体" w:hAnsi="宋体" w:cs="宋体"/>
          <w:i/>
          <w:iCs/>
          <w:color w:val="auto"/>
          <w:highlight w:val="none"/>
          <w:u w:val="single"/>
        </w:rPr>
        <w:t>与注册证一致</w:t>
      </w:r>
      <w:r>
        <w:rPr>
          <w:rFonts w:hint="eastAsia" w:ascii="宋体" w:hAnsi="宋体" w:cs="宋体"/>
          <w:color w:val="auto"/>
          <w:highlight w:val="none"/>
        </w:rPr>
        <w:t>，型号：</w:t>
      </w:r>
      <w:r>
        <w:rPr>
          <w:rFonts w:hint="eastAsia" w:ascii="宋体" w:hAnsi="宋体" w:cs="宋体"/>
          <w:i/>
          <w:iCs/>
          <w:color w:val="auto"/>
          <w:highlight w:val="none"/>
          <w:u w:val="single"/>
        </w:rPr>
        <w:t>与注册证一致</w:t>
      </w:r>
      <w:r>
        <w:rPr>
          <w:rFonts w:hint="eastAsia" w:ascii="宋体" w:hAnsi="宋体" w:cs="宋体"/>
          <w:color w:val="auto"/>
          <w:highlight w:val="none"/>
        </w:rPr>
        <w:t>，品牌：，注册证人名称：</w:t>
      </w:r>
      <w:r>
        <w:rPr>
          <w:rFonts w:hint="eastAsia" w:ascii="宋体" w:hAnsi="宋体" w:cs="宋体"/>
          <w:i/>
          <w:iCs/>
          <w:color w:val="auto"/>
          <w:highlight w:val="none"/>
          <w:u w:val="single"/>
        </w:rPr>
        <w:t>与注册证一致</w:t>
      </w:r>
      <w:r>
        <w:rPr>
          <w:rFonts w:hint="eastAsia" w:ascii="宋体" w:hAnsi="宋体" w:cs="宋体"/>
          <w:color w:val="auto"/>
          <w:highlight w:val="none"/>
        </w:rPr>
        <w:t>），数量</w:t>
      </w:r>
      <w:r>
        <w:rPr>
          <w:rFonts w:hint="eastAsia" w:ascii="宋体" w:hAnsi="宋体" w:cs="宋体"/>
          <w:color w:val="auto"/>
          <w:highlight w:val="none"/>
          <w:lang w:eastAsia="zh-CN"/>
        </w:rPr>
        <w:t>：</w:t>
      </w:r>
      <w:r>
        <w:rPr>
          <w:rFonts w:hint="eastAsia" w:ascii="宋体" w:hAnsi="宋体" w:cs="宋体"/>
          <w:color w:val="auto"/>
          <w:highlight w:val="none"/>
          <w:lang w:val="en-US" w:eastAsia="zh-CN"/>
        </w:rPr>
        <w:t xml:space="preserve">   </w:t>
      </w:r>
      <w:r>
        <w:rPr>
          <w:rFonts w:hint="eastAsia" w:ascii="宋体" w:hAnsi="宋体" w:cs="宋体"/>
          <w:color w:val="auto"/>
          <w:highlight w:val="none"/>
        </w:rPr>
        <w:t xml:space="preserve"> ，</w:t>
      </w:r>
      <w:r>
        <w:rPr>
          <w:rFonts w:hint="eastAsia" w:ascii="宋体" w:hAnsi="宋体" w:cs="宋体"/>
          <w:color w:val="auto"/>
          <w:highlight w:val="none"/>
          <w:lang w:val="en-US" w:eastAsia="zh-CN"/>
        </w:rPr>
        <w:t>合同价为</w:t>
      </w:r>
      <w:r>
        <w:rPr>
          <w:rFonts w:hint="eastAsia" w:ascii="宋体" w:hAnsi="宋体" w:cs="宋体"/>
          <w:color w:val="auto"/>
          <w:highlight w:val="none"/>
        </w:rPr>
        <w:t>为人民币元（</w:t>
      </w:r>
      <w:r>
        <w:rPr>
          <w:rFonts w:hint="eastAsia" w:ascii="宋体" w:hAnsi="宋体" w:cs="宋体"/>
          <w:i/>
          <w:iCs/>
          <w:color w:val="auto"/>
          <w:highlight w:val="none"/>
        </w:rPr>
        <w:t>大写金额：</w:t>
      </w:r>
      <w:r>
        <w:rPr>
          <w:rFonts w:hint="eastAsia" w:ascii="宋体" w:hAnsi="宋体" w:cs="宋体"/>
          <w:i/>
          <w:iCs/>
          <w:color w:val="auto"/>
          <w:highlight w:val="none"/>
          <w:lang w:val="en-US" w:eastAsia="zh-CN"/>
        </w:rPr>
        <w:t xml:space="preserve">        元整</w:t>
      </w:r>
      <w:r>
        <w:rPr>
          <w:rFonts w:hint="eastAsia" w:ascii="宋体" w:hAnsi="宋体" w:cs="宋体"/>
          <w:color w:val="auto"/>
          <w:highlight w:val="none"/>
        </w:rPr>
        <w:t>）。配置清单详见附件1，技术参数详见附件2，设备款包含数据接口费用。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bCs/>
          <w:color w:val="auto"/>
          <w:highlight w:val="none"/>
        </w:rPr>
        <w:t>设备要求：</w:t>
      </w:r>
      <w:r>
        <w:rPr>
          <w:rFonts w:hint="eastAsia" w:ascii="宋体" w:hAnsi="宋体" w:cs="宋体"/>
          <w:color w:val="auto"/>
          <w:highlight w:val="none"/>
        </w:rPr>
        <w:t>乙方应保证所供设备是在</w:t>
      </w:r>
      <w:r>
        <w:rPr>
          <w:rFonts w:hint="eastAsia" w:ascii="宋体" w:hAnsi="宋体" w:cs="宋体"/>
          <w:color w:val="auto"/>
          <w:highlight w:val="none"/>
          <w:lang w:val="en-US" w:eastAsia="zh-CN"/>
        </w:rPr>
        <w:t xml:space="preserve">   </w:t>
      </w:r>
      <w:r>
        <w:rPr>
          <w:rFonts w:hint="eastAsia" w:ascii="宋体" w:hAnsi="宋体" w:cs="宋体"/>
          <w:color w:val="auto"/>
          <w:highlight w:val="none"/>
        </w:rPr>
        <w:t>年</w:t>
      </w:r>
      <w:r>
        <w:rPr>
          <w:rFonts w:hint="eastAsia" w:ascii="宋体" w:hAnsi="宋体" w:cs="宋体"/>
          <w:color w:val="auto"/>
          <w:highlight w:val="non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lang w:val="en-US" w:eastAsia="zh-CN"/>
        </w:rPr>
        <w:t xml:space="preserve">    日</w:t>
      </w:r>
      <w:r>
        <w:rPr>
          <w:rFonts w:hint="eastAsia" w:ascii="宋体" w:hAnsi="宋体" w:cs="宋体"/>
          <w:color w:val="auto"/>
          <w:highlight w:val="none"/>
        </w:rPr>
        <w:t>后生产的全新的、未使用过的，并符合国家有关标准、制造厂标准及合同技术标准要求。</w:t>
      </w:r>
    </w:p>
    <w:p>
      <w:pPr>
        <w:pStyle w:val="7"/>
        <w:spacing w:line="360" w:lineRule="auto"/>
        <w:rPr>
          <w:color w:val="auto"/>
          <w:highlight w:val="none"/>
        </w:rPr>
      </w:pPr>
      <w:r>
        <w:rPr>
          <w:rFonts w:hint="eastAsia"/>
          <w:color w:val="auto"/>
          <w:highlight w:val="none"/>
        </w:rPr>
        <w:t>3.质保期：甲方使用设备的质保期</w:t>
      </w:r>
      <w:r>
        <w:rPr>
          <w:rFonts w:hint="eastAsia"/>
          <w:color w:val="auto"/>
          <w:highlight w:val="none"/>
          <w:lang w:val="en-US" w:eastAsia="zh-CN"/>
        </w:rPr>
        <w:t>自设备交付之日起</w:t>
      </w:r>
      <w:r>
        <w:rPr>
          <w:rFonts w:hint="eastAsia"/>
          <w:color w:val="auto"/>
          <w:highlight w:val="none"/>
        </w:rPr>
        <w:t>延续至甲方不再向乙方购买试剂等耗材时止，质保期内</w:t>
      </w:r>
      <w:r>
        <w:rPr>
          <w:rFonts w:hint="eastAsia"/>
          <w:color w:val="auto"/>
          <w:highlight w:val="none"/>
          <w:lang w:val="en-US" w:eastAsia="zh-CN"/>
        </w:rPr>
        <w:t>新购设备和完成该项目所需的原有设备</w:t>
      </w:r>
      <w:r>
        <w:rPr>
          <w:rFonts w:hint="eastAsia"/>
          <w:color w:val="auto"/>
          <w:highlight w:val="none"/>
        </w:rPr>
        <w:t>保养及维修由乙方负责，费用包括在合同总价中。</w:t>
      </w:r>
    </w:p>
    <w:p>
      <w:pPr>
        <w:pStyle w:val="7"/>
        <w:spacing w:line="360" w:lineRule="auto"/>
        <w:rPr>
          <w:rFonts w:hint="eastAsia" w:eastAsia="宋体"/>
          <w:color w:val="auto"/>
          <w:highlight w:val="none"/>
          <w:lang w:eastAsia="zh-CN"/>
        </w:rPr>
      </w:pPr>
      <w:r>
        <w:rPr>
          <w:rFonts w:hint="eastAsia"/>
          <w:color w:val="auto"/>
          <w:highlight w:val="none"/>
        </w:rPr>
        <w:t>4.交货地点：甲方指定地点——丽水市妇幼保健院</w:t>
      </w:r>
      <w:r>
        <w:rPr>
          <w:rFonts w:hint="eastAsia"/>
          <w:color w:val="auto"/>
          <w:highlight w:val="none"/>
          <w:lang w:eastAsia="zh-CN"/>
        </w:rPr>
        <w:t>。</w:t>
      </w:r>
    </w:p>
    <w:p>
      <w:pPr>
        <w:pStyle w:val="7"/>
        <w:spacing w:line="360" w:lineRule="auto"/>
        <w:rPr>
          <w:color w:val="auto"/>
          <w:highlight w:val="none"/>
        </w:rPr>
      </w:pPr>
      <w:r>
        <w:rPr>
          <w:rFonts w:hint="eastAsia"/>
          <w:color w:val="auto"/>
          <w:highlight w:val="none"/>
        </w:rPr>
        <w:t>5.交货时间：设备在合同签订</w:t>
      </w:r>
      <w:r>
        <w:rPr>
          <w:rFonts w:hint="eastAsia"/>
          <w:color w:val="auto"/>
          <w:highlight w:val="none"/>
          <w:lang w:eastAsia="zh-CN"/>
        </w:rPr>
        <w:t>，</w:t>
      </w:r>
      <w:r>
        <w:rPr>
          <w:rFonts w:hint="eastAsia" w:ascii="Times New Roman" w:eastAsia="宋体"/>
          <w:color w:val="auto"/>
          <w:highlight w:val="none"/>
          <w:lang w:val="en-US" w:eastAsia="zh-CN"/>
        </w:rPr>
        <w:t>收到甲方发货需求</w:t>
      </w:r>
      <w:r>
        <w:rPr>
          <w:rFonts w:hint="eastAsia"/>
          <w:color w:val="auto"/>
          <w:highlight w:val="none"/>
        </w:rPr>
        <w:t>后</w:t>
      </w:r>
      <w:r>
        <w:rPr>
          <w:rFonts w:hint="eastAsia"/>
          <w:color w:val="auto"/>
          <w:highlight w:val="none"/>
          <w:u w:val="single"/>
        </w:rPr>
        <w:t xml:space="preserve">  </w:t>
      </w:r>
      <w:r>
        <w:rPr>
          <w:rFonts w:hint="eastAsia"/>
          <w:color w:val="auto"/>
          <w:highlight w:val="none"/>
          <w:u w:val="single"/>
          <w:lang w:val="en-US" w:eastAsia="zh-CN"/>
        </w:rPr>
        <w:t>30</w:t>
      </w:r>
      <w:r>
        <w:rPr>
          <w:rFonts w:hint="eastAsia"/>
          <w:color w:val="auto"/>
          <w:highlight w:val="none"/>
          <w:u w:val="single"/>
        </w:rPr>
        <w:t xml:space="preserve">   </w:t>
      </w:r>
      <w:r>
        <w:rPr>
          <w:rFonts w:hint="eastAsia"/>
          <w:color w:val="auto"/>
          <w:highlight w:val="none"/>
        </w:rPr>
        <w:t>日内交货。</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6.安装和调试：到货后，乙方接到甲方安装通知后</w:t>
      </w:r>
      <w:r>
        <w:rPr>
          <w:rFonts w:hint="eastAsia" w:ascii="宋体" w:hAnsi="宋体" w:cs="宋体"/>
          <w:color w:val="auto"/>
          <w:highlight w:val="none"/>
          <w:u w:val="single"/>
          <w:lang w:val="en-US" w:eastAsia="zh-CN"/>
        </w:rPr>
        <w:t xml:space="preserve">  15 </w:t>
      </w:r>
      <w:r>
        <w:rPr>
          <w:rFonts w:hint="eastAsia" w:ascii="宋体" w:hAnsi="宋体" w:cs="宋体"/>
          <w:color w:val="auto"/>
          <w:highlight w:val="none"/>
        </w:rPr>
        <w:t>日内安装并调试完毕。乙方负责配套的场地装修布置和设备的所有安装调试，负责设备与LIS或其他信息系统的所有连接，</w:t>
      </w:r>
      <w:r>
        <w:rPr>
          <w:rFonts w:hint="eastAsia" w:ascii="宋体" w:hAnsi="宋体" w:cs="宋体"/>
          <w:color w:val="auto"/>
          <w:highlight w:val="none"/>
          <w:lang w:val="en-US" w:eastAsia="zh-CN"/>
        </w:rPr>
        <w:t>数据</w:t>
      </w:r>
      <w:r>
        <w:rPr>
          <w:rFonts w:hint="eastAsia" w:ascii="宋体" w:hAnsi="宋体" w:cs="宋体"/>
          <w:color w:val="auto"/>
          <w:highlight w:val="none"/>
        </w:rPr>
        <w:t>接口费用包含在本合同总价中，包括后续因政府或部门相关政策调整产生的接口改造费用。甲方协助乙方与LIS供应商的预约和沟通。安装调试及新老设备替换过程中不得影响检验原业务开展。</w:t>
      </w:r>
    </w:p>
    <w:p>
      <w:pPr>
        <w:pStyle w:val="7"/>
        <w:spacing w:line="360" w:lineRule="auto"/>
        <w:rPr>
          <w:color w:val="auto"/>
          <w:highlight w:val="none"/>
        </w:rPr>
      </w:pPr>
      <w:r>
        <w:rPr>
          <w:rFonts w:hint="eastAsia"/>
          <w:color w:val="auto"/>
          <w:highlight w:val="none"/>
        </w:rPr>
        <w:t>7.测试：乙方负责所有测试项目的现场比对与性能评价服务，所需一切耗材、试剂、人力成本均包含在本合同总价中。</w:t>
      </w:r>
    </w:p>
    <w:p>
      <w:pPr>
        <w:pStyle w:val="7"/>
        <w:spacing w:line="360" w:lineRule="auto"/>
        <w:rPr>
          <w:color w:val="auto"/>
          <w:highlight w:val="none"/>
        </w:rPr>
      </w:pPr>
      <w:r>
        <w:rPr>
          <w:rFonts w:hint="eastAsia"/>
          <w:color w:val="auto"/>
          <w:highlight w:val="none"/>
        </w:rPr>
        <w:t>8.整改：当仪器验收时发现与标书参数不符时，乙方应立即</w:t>
      </w:r>
      <w:r>
        <w:rPr>
          <w:rFonts w:hint="eastAsia"/>
          <w:color w:val="auto"/>
          <w:highlight w:val="none"/>
          <w:lang w:val="en-US" w:eastAsia="zh-CN"/>
        </w:rPr>
        <w:t>无条件</w:t>
      </w:r>
      <w:r>
        <w:rPr>
          <w:rFonts w:hint="eastAsia"/>
          <w:color w:val="auto"/>
          <w:highlight w:val="none"/>
        </w:rPr>
        <w:t>做出整改，乙方未在甲方指定期限内整改并达到投标参数的，甲方有权解除合同，由乙方承担违约责任，并赔偿甲方由此产生的全部经济损失（包括但不限于本次招投标费用、重新组织招投标费用及重新招投标产生的差价等）。</w:t>
      </w:r>
    </w:p>
    <w:p>
      <w:pPr>
        <w:pStyle w:val="7"/>
        <w:spacing w:line="360" w:lineRule="auto"/>
        <w:rPr>
          <w:rFonts w:hint="eastAsia"/>
          <w:color w:val="auto"/>
          <w:highlight w:val="none"/>
        </w:rPr>
      </w:pPr>
      <w:r>
        <w:rPr>
          <w:rFonts w:hint="eastAsia"/>
          <w:color w:val="auto"/>
          <w:highlight w:val="none"/>
        </w:rPr>
        <w:t>9.验收：乙方应提供设备的证件含：</w:t>
      </w:r>
    </w:p>
    <w:p>
      <w:pPr>
        <w:pStyle w:val="7"/>
        <w:numPr>
          <w:ilvl w:val="0"/>
          <w:numId w:val="15"/>
        </w:numPr>
        <w:spacing w:line="360" w:lineRule="auto"/>
        <w:ind w:firstLineChars="200"/>
        <w:rPr>
          <w:rFonts w:hint="eastAsia"/>
          <w:color w:val="auto"/>
          <w:highlight w:val="none"/>
        </w:rPr>
      </w:pPr>
      <w:r>
        <w:rPr>
          <w:rFonts w:hint="eastAsia"/>
          <w:color w:val="auto"/>
          <w:highlight w:val="none"/>
        </w:rPr>
        <w:t>生产企业的营业执照</w:t>
      </w:r>
    </w:p>
    <w:p>
      <w:pPr>
        <w:pStyle w:val="7"/>
        <w:numPr>
          <w:ilvl w:val="0"/>
          <w:numId w:val="15"/>
        </w:numPr>
        <w:spacing w:line="360" w:lineRule="auto"/>
        <w:ind w:firstLineChars="200"/>
        <w:rPr>
          <w:rFonts w:hint="eastAsia"/>
          <w:color w:val="auto"/>
          <w:highlight w:val="none"/>
        </w:rPr>
      </w:pPr>
      <w:r>
        <w:rPr>
          <w:rFonts w:hint="eastAsia"/>
          <w:color w:val="auto"/>
          <w:highlight w:val="none"/>
        </w:rPr>
        <w:t>医疗器械生产许可证+生产产品登记表，对经营企业的授权书</w:t>
      </w:r>
    </w:p>
    <w:p>
      <w:pPr>
        <w:pStyle w:val="7"/>
        <w:numPr>
          <w:ilvl w:val="0"/>
          <w:numId w:val="15"/>
        </w:numPr>
        <w:spacing w:line="360" w:lineRule="auto"/>
        <w:ind w:firstLineChars="200"/>
        <w:rPr>
          <w:rFonts w:hint="eastAsia"/>
          <w:color w:val="auto"/>
          <w:highlight w:val="none"/>
        </w:rPr>
      </w:pPr>
      <w:r>
        <w:rPr>
          <w:rFonts w:hint="eastAsia"/>
          <w:color w:val="auto"/>
          <w:highlight w:val="none"/>
        </w:rPr>
        <w:t>医疗器械产品注册证</w:t>
      </w:r>
    </w:p>
    <w:p>
      <w:pPr>
        <w:pStyle w:val="7"/>
        <w:numPr>
          <w:ilvl w:val="0"/>
          <w:numId w:val="15"/>
        </w:numPr>
        <w:spacing w:line="360" w:lineRule="auto"/>
        <w:ind w:firstLineChars="200"/>
        <w:rPr>
          <w:rFonts w:hint="eastAsia"/>
          <w:color w:val="auto"/>
          <w:highlight w:val="none"/>
        </w:rPr>
      </w:pPr>
      <w:r>
        <w:rPr>
          <w:rFonts w:hint="eastAsia"/>
          <w:color w:val="auto"/>
          <w:highlight w:val="none"/>
        </w:rPr>
        <w:t>经营企业的营业执照</w:t>
      </w:r>
    </w:p>
    <w:p>
      <w:pPr>
        <w:pStyle w:val="7"/>
        <w:numPr>
          <w:ilvl w:val="0"/>
          <w:numId w:val="15"/>
        </w:numPr>
        <w:spacing w:line="360" w:lineRule="auto"/>
        <w:ind w:firstLineChars="200"/>
        <w:rPr>
          <w:rFonts w:hint="eastAsia"/>
          <w:color w:val="auto"/>
          <w:highlight w:val="none"/>
        </w:rPr>
      </w:pPr>
      <w:r>
        <w:rPr>
          <w:rFonts w:hint="eastAsia"/>
          <w:color w:val="auto"/>
          <w:highlight w:val="none"/>
        </w:rPr>
        <w:t>医疗器械经营许可证</w:t>
      </w:r>
    </w:p>
    <w:p>
      <w:pPr>
        <w:pStyle w:val="7"/>
        <w:numPr>
          <w:ilvl w:val="0"/>
          <w:numId w:val="15"/>
        </w:numPr>
        <w:spacing w:line="360" w:lineRule="auto"/>
        <w:ind w:firstLineChars="200"/>
        <w:rPr>
          <w:rFonts w:hint="eastAsia"/>
          <w:color w:val="auto"/>
          <w:highlight w:val="none"/>
        </w:rPr>
      </w:pPr>
      <w:r>
        <w:rPr>
          <w:rFonts w:hint="eastAsia"/>
          <w:color w:val="auto"/>
          <w:highlight w:val="none"/>
        </w:rPr>
        <w:t>投标单位法人授权委托书，法人、被授权人身份证复印件</w:t>
      </w:r>
    </w:p>
    <w:p>
      <w:pPr>
        <w:pStyle w:val="7"/>
        <w:numPr>
          <w:ilvl w:val="0"/>
          <w:numId w:val="15"/>
        </w:numPr>
        <w:spacing w:line="360" w:lineRule="auto"/>
        <w:ind w:firstLineChars="200"/>
        <w:rPr>
          <w:rFonts w:hint="eastAsia"/>
          <w:color w:val="auto"/>
          <w:highlight w:val="none"/>
        </w:rPr>
      </w:pPr>
      <w:r>
        <w:rPr>
          <w:rFonts w:hint="eastAsia"/>
          <w:color w:val="auto"/>
          <w:highlight w:val="none"/>
        </w:rPr>
        <w:t>进口设备还需提供商检报告及报关单等</w:t>
      </w:r>
    </w:p>
    <w:p>
      <w:pPr>
        <w:pStyle w:val="7"/>
        <w:numPr>
          <w:ilvl w:val="0"/>
          <w:numId w:val="15"/>
        </w:numPr>
        <w:spacing w:line="360" w:lineRule="auto"/>
        <w:ind w:firstLineChars="200"/>
        <w:rPr>
          <w:rFonts w:hint="eastAsia"/>
          <w:color w:val="auto"/>
          <w:highlight w:val="none"/>
        </w:rPr>
      </w:pPr>
      <w:r>
        <w:rPr>
          <w:rFonts w:hint="eastAsia"/>
          <w:color w:val="auto"/>
          <w:highlight w:val="none"/>
        </w:rPr>
        <w:t>乙方应提供设备的技术文件，包括合格证明文件、中文说明书（纸质两份）、中文说明书（电子版）、符合监管要求的中文标签、维护手册、维修手册、故障代码表、软件备份、备件清单、零部件等维护维修必需的材料和信息。</w:t>
      </w:r>
    </w:p>
    <w:p>
      <w:pPr>
        <w:pStyle w:val="7"/>
        <w:numPr>
          <w:ilvl w:val="0"/>
          <w:numId w:val="15"/>
        </w:numPr>
        <w:spacing w:line="360" w:lineRule="auto"/>
        <w:ind w:firstLineChars="200"/>
        <w:rPr>
          <w:rFonts w:hint="default" w:eastAsia="宋体"/>
          <w:color w:val="auto"/>
          <w:highlight w:val="none"/>
          <w:lang w:val="en-US" w:eastAsia="zh-CN"/>
        </w:rPr>
      </w:pPr>
      <w:r>
        <w:rPr>
          <w:rFonts w:hint="eastAsia"/>
          <w:color w:val="auto"/>
          <w:highlight w:val="none"/>
          <w:lang w:val="en-US" w:eastAsia="zh-CN"/>
        </w:rPr>
        <w:t>其他甲方认为有必要提供的材料</w:t>
      </w:r>
    </w:p>
    <w:p>
      <w:pPr>
        <w:pStyle w:val="7"/>
        <w:spacing w:line="360" w:lineRule="auto"/>
        <w:rPr>
          <w:rFonts w:hint="eastAsia"/>
          <w:color w:val="auto"/>
          <w:highlight w:val="none"/>
        </w:rPr>
      </w:pPr>
      <w:r>
        <w:rPr>
          <w:rFonts w:hint="eastAsia"/>
          <w:bCs/>
          <w:color w:val="auto"/>
          <w:highlight w:val="none"/>
          <w:lang w:val="en-US" w:eastAsia="zh-CN"/>
        </w:rPr>
        <w:t>乙方交付的设备还应当</w:t>
      </w:r>
      <w:r>
        <w:rPr>
          <w:rFonts w:hint="eastAsia"/>
          <w:bCs/>
          <w:color w:val="auto"/>
          <w:highlight w:val="none"/>
        </w:rPr>
        <w:t>支持与LIS/HIS网络进行数据传输，</w:t>
      </w:r>
      <w:r>
        <w:rPr>
          <w:rFonts w:hint="eastAsia"/>
          <w:color w:val="auto"/>
          <w:highlight w:val="none"/>
        </w:rPr>
        <w:t>完成与LIS联机（双向通讯）并承担费用。</w:t>
      </w:r>
    </w:p>
    <w:p>
      <w:pPr>
        <w:pStyle w:val="7"/>
        <w:spacing w:line="360" w:lineRule="auto"/>
        <w:rPr>
          <w:color w:val="auto"/>
          <w:highlight w:val="none"/>
        </w:rPr>
      </w:pPr>
      <w:r>
        <w:rPr>
          <w:rFonts w:hint="eastAsia"/>
          <w:color w:val="auto"/>
          <w:highlight w:val="none"/>
          <w:lang w:val="en-US" w:eastAsia="zh-CN"/>
        </w:rPr>
        <w:t>经甲方核对</w:t>
      </w:r>
      <w:r>
        <w:rPr>
          <w:rFonts w:hint="eastAsia"/>
          <w:color w:val="auto"/>
          <w:highlight w:val="none"/>
        </w:rPr>
        <w:t>所有证件核对齐全真实有效合法</w:t>
      </w:r>
      <w:r>
        <w:rPr>
          <w:rFonts w:hint="eastAsia"/>
          <w:color w:val="auto"/>
          <w:highlight w:val="none"/>
          <w:lang w:eastAsia="zh-CN"/>
        </w:rPr>
        <w:t>，</w:t>
      </w:r>
      <w:r>
        <w:rPr>
          <w:rFonts w:hint="eastAsia"/>
          <w:color w:val="auto"/>
          <w:highlight w:val="none"/>
        </w:rPr>
        <w:t>提供设备安装和维修所需的专用工具和辅助材料</w:t>
      </w:r>
      <w:r>
        <w:rPr>
          <w:rFonts w:hint="eastAsia"/>
          <w:color w:val="auto"/>
          <w:highlight w:val="none"/>
          <w:lang w:val="en-US" w:eastAsia="zh-CN"/>
        </w:rPr>
        <w:t>齐全无误</w:t>
      </w:r>
      <w:r>
        <w:rPr>
          <w:rFonts w:hint="eastAsia"/>
          <w:color w:val="auto"/>
          <w:highlight w:val="none"/>
        </w:rPr>
        <w:t>；</w:t>
      </w:r>
      <w:r>
        <w:rPr>
          <w:rFonts w:hint="eastAsia"/>
          <w:color w:val="auto"/>
          <w:highlight w:val="none"/>
          <w:lang w:val="en-US" w:eastAsia="zh-CN"/>
        </w:rPr>
        <w:t>并且设备</w:t>
      </w:r>
      <w:r>
        <w:rPr>
          <w:rFonts w:hint="eastAsia"/>
          <w:color w:val="auto"/>
          <w:highlight w:val="none"/>
        </w:rPr>
        <w:t>满足正式运行条件</w:t>
      </w:r>
      <w:r>
        <w:rPr>
          <w:rFonts w:hint="eastAsia"/>
          <w:color w:val="auto"/>
          <w:highlight w:val="none"/>
          <w:lang w:val="en-US" w:eastAsia="zh-CN"/>
        </w:rPr>
        <w:t>后</w:t>
      </w:r>
      <w:r>
        <w:rPr>
          <w:rFonts w:hint="eastAsia"/>
          <w:color w:val="auto"/>
          <w:highlight w:val="none"/>
        </w:rPr>
        <w:t>进行最终验收，验收需甲方设备科、检验科、乙方工程师</w:t>
      </w:r>
      <w:r>
        <w:rPr>
          <w:rFonts w:hint="eastAsia"/>
          <w:color w:val="auto"/>
          <w:highlight w:val="none"/>
          <w:lang w:val="en-US" w:eastAsia="zh-CN"/>
        </w:rPr>
        <w:t>三</w:t>
      </w:r>
      <w:r>
        <w:rPr>
          <w:rFonts w:hint="eastAsia"/>
          <w:color w:val="auto"/>
          <w:highlight w:val="none"/>
        </w:rPr>
        <w:t>方验收合格签字确认。</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10.保养</w:t>
      </w:r>
      <w:r>
        <w:rPr>
          <w:rFonts w:hint="eastAsia" w:ascii="宋体" w:hAnsi="宋体" w:cs="宋体"/>
          <w:color w:val="auto"/>
          <w:highlight w:val="none"/>
          <w:lang w:eastAsia="zh-CN"/>
        </w:rPr>
        <w:t>、</w:t>
      </w:r>
      <w:r>
        <w:rPr>
          <w:rFonts w:hint="eastAsia" w:ascii="宋体" w:hAnsi="宋体" w:cs="宋体"/>
          <w:color w:val="auto"/>
          <w:highlight w:val="none"/>
        </w:rPr>
        <w:t>校准</w:t>
      </w:r>
      <w:r>
        <w:rPr>
          <w:rFonts w:hint="eastAsia" w:ascii="宋体" w:hAnsi="宋体" w:cs="宋体"/>
          <w:color w:val="auto"/>
          <w:highlight w:val="none"/>
          <w:lang w:val="en-US" w:eastAsia="zh-CN"/>
        </w:rPr>
        <w:t>与维修</w:t>
      </w:r>
      <w:r>
        <w:rPr>
          <w:rFonts w:hint="eastAsia" w:ascii="宋体" w:hAnsi="宋体" w:cs="宋体"/>
          <w:color w:val="auto"/>
          <w:highlight w:val="none"/>
        </w:rPr>
        <w:t>：合同履行期内乙方按ISO15189实验室规范要求进行仪器定期保养和校准（每年进行校准</w:t>
      </w:r>
      <w:r>
        <w:rPr>
          <w:rFonts w:hint="eastAsia" w:ascii="宋体" w:hAnsi="宋体" w:cs="宋体"/>
          <w:color w:val="auto"/>
          <w:highlight w:val="none"/>
          <w:u w:val="single"/>
        </w:rPr>
        <w:t>　1　</w:t>
      </w:r>
      <w:r>
        <w:rPr>
          <w:rFonts w:hint="eastAsia" w:ascii="宋体" w:hAnsi="宋体" w:cs="宋体"/>
          <w:color w:val="auto"/>
          <w:highlight w:val="none"/>
        </w:rPr>
        <w:t>次(含第三方校准)，出具符合国家认证部门认可的校准证书）。每年提供</w:t>
      </w:r>
      <w:r>
        <w:rPr>
          <w:rFonts w:hint="eastAsia" w:ascii="宋体" w:hAnsi="宋体" w:cs="宋体"/>
          <w:color w:val="auto"/>
          <w:highlight w:val="none"/>
          <w:lang w:val="en-US" w:eastAsia="zh-CN"/>
        </w:rPr>
        <w:t>4</w:t>
      </w:r>
      <w:r>
        <w:rPr>
          <w:rFonts w:hint="eastAsia" w:ascii="宋体" w:hAnsi="宋体" w:cs="宋体"/>
          <w:color w:val="auto"/>
          <w:highlight w:val="none"/>
        </w:rPr>
        <w:t>次厂家定期维护并出具符合甲方要求的维护报告）。故障响应时间不超过</w:t>
      </w:r>
      <w:r>
        <w:rPr>
          <w:rFonts w:hint="eastAsia" w:ascii="宋体" w:hAnsi="宋体" w:cs="宋体"/>
          <w:color w:val="auto"/>
          <w:highlight w:val="none"/>
          <w:u w:val="single"/>
        </w:rPr>
        <w:t xml:space="preserve"> 0.5</w:t>
      </w:r>
      <w:r>
        <w:rPr>
          <w:rFonts w:hint="eastAsia" w:ascii="宋体" w:hAnsi="宋体" w:cs="宋体"/>
          <w:color w:val="auto"/>
          <w:highlight w:val="none"/>
        </w:rPr>
        <w:t>小时，维修人员到达现场时间不超过12小时。故障期间</w:t>
      </w:r>
      <w:r>
        <w:rPr>
          <w:rFonts w:hint="eastAsia" w:ascii="宋体" w:hAnsi="宋体" w:cs="宋体"/>
          <w:color w:val="auto"/>
          <w:highlight w:val="none"/>
          <w:lang w:val="en-US" w:eastAsia="zh-CN"/>
        </w:rPr>
        <w:t>内对</w:t>
      </w:r>
      <w:r>
        <w:rPr>
          <w:rFonts w:hint="eastAsia" w:ascii="宋体" w:hAnsi="宋体" w:cs="宋体"/>
          <w:color w:val="auto"/>
          <w:highlight w:val="none"/>
        </w:rPr>
        <w:t>外</w:t>
      </w:r>
      <w:r>
        <w:rPr>
          <w:rFonts w:hint="eastAsia" w:ascii="宋体" w:hAnsi="宋体" w:cs="宋体"/>
          <w:color w:val="auto"/>
          <w:highlight w:val="none"/>
          <w:lang w:val="en-US" w:eastAsia="zh-CN"/>
        </w:rPr>
        <w:t>运</w:t>
      </w:r>
      <w:r>
        <w:rPr>
          <w:rFonts w:hint="eastAsia" w:ascii="宋体" w:hAnsi="宋体" w:cs="宋体"/>
          <w:color w:val="auto"/>
          <w:highlight w:val="none"/>
        </w:rPr>
        <w:t>送标本费用由乙方承担。若设备连续发生故障不能修复，导致设备不能运转，或合同履行期内每年维修时间累积超过10日的，甲方有权解除合同，乙方支付违约金。</w:t>
      </w:r>
      <w:r>
        <w:rPr>
          <w:rFonts w:hint="eastAsia" w:ascii="宋体" w:hAnsi="宋体" w:cs="宋体"/>
          <w:color w:val="auto"/>
          <w:highlight w:val="none"/>
          <w:lang w:val="en-US" w:eastAsia="zh-CN"/>
        </w:rPr>
        <w:t>乙方</w:t>
      </w:r>
      <w:r>
        <w:rPr>
          <w:rFonts w:hint="eastAsia" w:ascii="宋体" w:hAnsi="宋体" w:cs="宋体"/>
          <w:color w:val="auto"/>
          <w:highlight w:val="none"/>
        </w:rPr>
        <w:t>每次维修、维护必须及时提供详实报告。</w:t>
      </w:r>
    </w:p>
    <w:p>
      <w:pPr>
        <w:pStyle w:val="7"/>
        <w:spacing w:line="360" w:lineRule="auto"/>
        <w:rPr>
          <w:color w:val="auto"/>
          <w:highlight w:val="none"/>
        </w:rPr>
      </w:pPr>
      <w:r>
        <w:rPr>
          <w:rFonts w:hint="eastAsia"/>
          <w:color w:val="auto"/>
          <w:highlight w:val="none"/>
        </w:rPr>
        <w:t>11.培训：乙方应派专业技术人员在项目现场对甲方使用人员提供操作培训和维修人员进行培训及考核，提供培训资料，在使用一段时间后可根据甲方的要求另行安排培训计划。甲方人员培训费用(包括但不限于差旅费、食宿费用等）都包含在本合同总价中，具体细节由甲方确定。</w:t>
      </w:r>
    </w:p>
    <w:p>
      <w:pPr>
        <w:pStyle w:val="7"/>
        <w:spacing w:line="360" w:lineRule="auto"/>
        <w:rPr>
          <w:color w:val="auto"/>
          <w:highlight w:val="none"/>
        </w:rPr>
      </w:pPr>
      <w:r>
        <w:rPr>
          <w:rFonts w:hint="eastAsia"/>
          <w:color w:val="auto"/>
          <w:highlight w:val="none"/>
        </w:rPr>
        <w:t>12.除双方有明确约定外或指定的设备耗材费用外，上述运输、安装、调试、培训、维修、定期维护与校准等所产生的所有费用均包含在合同总价中。</w:t>
      </w:r>
    </w:p>
    <w:p>
      <w:pPr>
        <w:pStyle w:val="7"/>
        <w:spacing w:line="360" w:lineRule="auto"/>
        <w:rPr>
          <w:color w:val="auto"/>
          <w:highlight w:val="none"/>
        </w:rPr>
      </w:pPr>
      <w:r>
        <w:rPr>
          <w:rFonts w:hint="eastAsia"/>
          <w:color w:val="auto"/>
          <w:highlight w:val="none"/>
        </w:rPr>
        <w:t>三、试剂等耗材</w:t>
      </w:r>
    </w:p>
    <w:p>
      <w:pPr>
        <w:pStyle w:val="7"/>
        <w:spacing w:line="360" w:lineRule="auto"/>
        <w:rPr>
          <w:color w:val="auto"/>
          <w:highlight w:val="none"/>
        </w:rPr>
      </w:pPr>
      <w:r>
        <w:rPr>
          <w:rFonts w:hint="eastAsia"/>
          <w:color w:val="auto"/>
          <w:highlight w:val="none"/>
        </w:rPr>
        <w:t>1. 试剂清单：详见附件3；试剂按甲方通知时间到货。其他耗材：每个测试项目顺利开展所需的配件，价格包含在每个测试项目试剂单价中，不再另行计算。</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注：每个测试项目试剂单价应为保证测试项目顺利开展的一切费用（包含室内质控物费用），包括</w:t>
      </w:r>
      <w:r>
        <w:rPr>
          <w:rFonts w:hint="eastAsia" w:ascii="宋体" w:hAnsi="宋体" w:cs="宋体"/>
          <w:color w:val="auto"/>
          <w:highlight w:val="none"/>
          <w:lang w:val="en-US" w:eastAsia="zh-CN"/>
        </w:rPr>
        <w:t>但不限于</w:t>
      </w:r>
      <w:r>
        <w:rPr>
          <w:rFonts w:hint="eastAsia" w:ascii="宋体" w:hAnsi="宋体" w:cs="宋体"/>
          <w:color w:val="auto"/>
          <w:highlight w:val="none"/>
        </w:rPr>
        <w:t>硬件价、试剂价、耗材价、辅助试剂价、货物运至项目现场的运输费、安装调试费、保险费、培训费、售后服务、利润、税金等一切与本次采购相关的费用，都由乙方承担。</w:t>
      </w:r>
    </w:p>
    <w:p>
      <w:pPr>
        <w:numPr>
          <w:ilvl w:val="0"/>
          <w:numId w:val="16"/>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质量要求：检测项目性能出现以下任一情况时，对应项目试剂停止使用。</w:t>
      </w:r>
    </w:p>
    <w:p>
      <w:pPr>
        <w:numPr>
          <w:ilvl w:val="0"/>
          <w:numId w:val="17"/>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 项目性能不能符合医学实验室ISO15189的质量要求，如试剂使用前的项目性能验证和每年1次的项目性能验证（性能指标依据行业标准）；</w:t>
      </w:r>
    </w:p>
    <w:p>
      <w:pPr>
        <w:numPr>
          <w:ilvl w:val="0"/>
          <w:numId w:val="17"/>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项目的能力验证（指主管部门的室间质评）未能通过时；</w:t>
      </w:r>
    </w:p>
    <w:p>
      <w:pPr>
        <w:numPr>
          <w:ilvl w:val="0"/>
          <w:numId w:val="17"/>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项目如达不到临床检测的质量要求，如出现明显的假性结果影响临床诊疗时。</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注：由于性能问题甲方更换品牌使得成本增加，增加部份成本由乙方承担（从试剂款中扣除；所有检测试剂在使用前需进行性能验证测试，测试结果符合说明书要求，试剂性能测试所需的试剂和耗材及人工费用由乙方承担；检测质量问题引发的相关责任和损失由乙方承担）。</w:t>
      </w:r>
    </w:p>
    <w:p>
      <w:pPr>
        <w:numPr>
          <w:ilvl w:val="0"/>
          <w:numId w:val="17"/>
        </w:numPr>
        <w:spacing w:line="360" w:lineRule="auto"/>
        <w:ind w:firstLine="420" w:firstLineChars="200"/>
        <w:rPr>
          <w:rFonts w:ascii="宋体" w:cs="宋体"/>
          <w:color w:val="auto"/>
          <w:highlight w:val="none"/>
        </w:rPr>
      </w:pPr>
      <w:r>
        <w:rPr>
          <w:rFonts w:hint="eastAsia" w:ascii="宋体" w:hAnsi="宋体" w:cs="宋体"/>
          <w:color w:val="auto"/>
          <w:highlight w:val="none"/>
        </w:rPr>
        <w:t>因设备故障、试剂批次质量问题，导致年度周期内的损耗大于</w:t>
      </w:r>
      <w:r>
        <w:rPr>
          <w:rFonts w:ascii="宋体" w:hAnsi="宋体" w:cs="宋体"/>
          <w:color w:val="auto"/>
          <w:highlight w:val="none"/>
        </w:rPr>
        <w:t>3%</w:t>
      </w:r>
      <w:r>
        <w:rPr>
          <w:rFonts w:hint="eastAsia" w:ascii="宋体" w:hAnsi="宋体" w:cs="宋体"/>
          <w:color w:val="auto"/>
          <w:highlight w:val="none"/>
        </w:rPr>
        <w:t>时（损耗：试剂使用量</w:t>
      </w:r>
      <w:r>
        <w:rPr>
          <w:rFonts w:ascii="宋体" w:hAnsi="宋体" w:cs="宋体"/>
          <w:color w:val="auto"/>
          <w:highlight w:val="none"/>
        </w:rPr>
        <w:t>-</w:t>
      </w:r>
      <w:r>
        <w:rPr>
          <w:rFonts w:hint="eastAsia" w:ascii="宋体" w:hAnsi="宋体" w:cs="宋体"/>
          <w:color w:val="auto"/>
          <w:highlight w:val="none"/>
        </w:rPr>
        <w:t>出报告数</w:t>
      </w:r>
      <w:r>
        <w:rPr>
          <w:rFonts w:ascii="宋体" w:hAnsi="宋体" w:cs="宋体"/>
          <w:color w:val="auto"/>
          <w:highlight w:val="none"/>
        </w:rPr>
        <w:t>/</w:t>
      </w:r>
      <w:r>
        <w:rPr>
          <w:rFonts w:hint="eastAsia" w:ascii="宋体" w:hAnsi="宋体" w:cs="宋体"/>
          <w:color w:val="auto"/>
          <w:highlight w:val="none"/>
        </w:rPr>
        <w:t>试剂使用量</w:t>
      </w:r>
      <w:r>
        <w:rPr>
          <w:rFonts w:ascii="宋体" w:hAnsi="宋体" w:cs="宋体"/>
          <w:color w:val="auto"/>
          <w:highlight w:val="none"/>
        </w:rPr>
        <w:t>*100%</w:t>
      </w:r>
      <w:r>
        <w:rPr>
          <w:rFonts w:hint="eastAsia" w:ascii="宋体" w:hAnsi="宋体" w:cs="宋体"/>
          <w:color w:val="auto"/>
          <w:highlight w:val="none"/>
        </w:rPr>
        <w:t>），多余的损耗由乙方免费补偿。</w:t>
      </w:r>
    </w:p>
    <w:p>
      <w:pPr>
        <w:pStyle w:val="7"/>
        <w:numPr>
          <w:ilvl w:val="0"/>
          <w:numId w:val="18"/>
        </w:numPr>
        <w:spacing w:line="360" w:lineRule="auto"/>
        <w:rPr>
          <w:color w:val="auto"/>
          <w:highlight w:val="none"/>
        </w:rPr>
      </w:pPr>
      <w:r>
        <w:rPr>
          <w:rFonts w:hint="eastAsia"/>
          <w:color w:val="auto"/>
          <w:highlight w:val="none"/>
        </w:rPr>
        <w:t>试剂配送：乙方在接到甲方通知后日内配送至甲方指定地点，乙方按新的GSP要求，冷链配送、冷链车满足技术要求，乙方对所供试剂适当备货（同一批号用量不短于6个月），确保甲方用量要求。</w:t>
      </w:r>
    </w:p>
    <w:p>
      <w:pPr>
        <w:pStyle w:val="7"/>
        <w:numPr>
          <w:ilvl w:val="0"/>
          <w:numId w:val="18"/>
        </w:numPr>
        <w:spacing w:line="360" w:lineRule="auto"/>
        <w:rPr>
          <w:color w:val="auto"/>
          <w:highlight w:val="none"/>
        </w:rPr>
      </w:pPr>
      <w:r>
        <w:rPr>
          <w:rFonts w:hint="eastAsia"/>
          <w:color w:val="auto"/>
          <w:highlight w:val="none"/>
        </w:rPr>
        <w:t>试剂交付前，损毁灭失的风险由乙方承担。</w:t>
      </w:r>
    </w:p>
    <w:p>
      <w:pPr>
        <w:pStyle w:val="7"/>
        <w:numPr>
          <w:ilvl w:val="0"/>
          <w:numId w:val="18"/>
        </w:numPr>
        <w:spacing w:line="360" w:lineRule="auto"/>
        <w:rPr>
          <w:color w:val="auto"/>
          <w:highlight w:val="none"/>
        </w:rPr>
      </w:pPr>
      <w:r>
        <w:rPr>
          <w:rFonts w:hint="eastAsia"/>
          <w:color w:val="auto"/>
          <w:highlight w:val="none"/>
        </w:rPr>
        <w:t>乙方保证所供试剂证照齐全、有效，并符合国家医用耗材标准，确保临床医疗安全。试剂有效期自通过甲方验收之日起计算，剩余有效期限不少于90天。</w:t>
      </w:r>
    </w:p>
    <w:p>
      <w:pPr>
        <w:pStyle w:val="7"/>
        <w:numPr>
          <w:ilvl w:val="0"/>
          <w:numId w:val="18"/>
        </w:numPr>
        <w:spacing w:line="360" w:lineRule="auto"/>
        <w:rPr>
          <w:color w:val="auto"/>
          <w:highlight w:val="none"/>
        </w:rPr>
      </w:pPr>
      <w:r>
        <w:rPr>
          <w:rFonts w:hint="eastAsia"/>
          <w:color w:val="auto"/>
          <w:highlight w:val="none"/>
        </w:rPr>
        <w:t>如甲方以后新开展项目，甲方有权根据实际情况选择试剂品牌。</w:t>
      </w:r>
    </w:p>
    <w:p>
      <w:pPr>
        <w:numPr>
          <w:ilvl w:val="0"/>
          <w:numId w:val="18"/>
        </w:numPr>
        <w:spacing w:line="360" w:lineRule="auto"/>
        <w:ind w:firstLine="420" w:firstLineChars="0"/>
        <w:jc w:val="left"/>
        <w:rPr>
          <w:rFonts w:ascii="宋体" w:hAnsi="宋体" w:cs="宋体"/>
          <w:color w:val="auto"/>
          <w:highlight w:val="none"/>
        </w:rPr>
      </w:pPr>
      <w:r>
        <w:rPr>
          <w:rFonts w:hint="eastAsia" w:ascii="宋体" w:hAnsi="宋体" w:cs="宋体"/>
          <w:color w:val="auto"/>
          <w:highlight w:val="none"/>
          <w:lang w:val="en-US" w:eastAsia="zh-CN"/>
        </w:rPr>
        <w:t>本合同总价</w:t>
      </w:r>
      <w:r>
        <w:rPr>
          <w:rFonts w:hint="eastAsia" w:ascii="宋体" w:hAnsi="宋体" w:cs="宋体"/>
          <w:color w:val="auto"/>
          <w:highlight w:val="none"/>
        </w:rPr>
        <w:t>范围内，以单价为准，目录内试剂数量可以根据临床需要调配增减。</w:t>
      </w:r>
    </w:p>
    <w:p>
      <w:pPr>
        <w:pStyle w:val="7"/>
        <w:numPr>
          <w:ilvl w:val="0"/>
          <w:numId w:val="19"/>
        </w:numPr>
        <w:spacing w:line="360" w:lineRule="auto"/>
        <w:rPr>
          <w:color w:val="auto"/>
          <w:highlight w:val="none"/>
        </w:rPr>
      </w:pPr>
      <w:r>
        <w:rPr>
          <w:rFonts w:hint="eastAsia"/>
          <w:color w:val="auto"/>
          <w:highlight w:val="none"/>
        </w:rPr>
        <w:t>违约责任</w:t>
      </w:r>
    </w:p>
    <w:p>
      <w:pPr>
        <w:pStyle w:val="7"/>
        <w:numPr>
          <w:ilvl w:val="0"/>
          <w:numId w:val="20"/>
        </w:numPr>
        <w:spacing w:line="360" w:lineRule="auto"/>
        <w:rPr>
          <w:color w:val="auto"/>
          <w:highlight w:val="none"/>
        </w:rPr>
      </w:pPr>
      <w:r>
        <w:rPr>
          <w:rFonts w:hint="eastAsia"/>
          <w:color w:val="auto"/>
          <w:highlight w:val="none"/>
        </w:rPr>
        <w:t>逾期交付设备：乙方无法按时交付设备或者交付后未按时安装调试完毕或者当设备验收时发现与标书参数不符时未在甲方指定期限内整改并达到投标参数的，每延期一天，乙方支付合同总金额的0.1%每天作为违约金；上述期限逾期总天数超过 14 天（含）的，甲方有权解除合同，并按合同总金额的</w:t>
      </w:r>
      <w:r>
        <w:rPr>
          <w:rFonts w:hint="eastAsia"/>
          <w:color w:val="auto"/>
          <w:highlight w:val="none"/>
          <w:u w:val="single"/>
        </w:rPr>
        <w:t xml:space="preserve"> 30  </w:t>
      </w:r>
      <w:r>
        <w:rPr>
          <w:rFonts w:hint="eastAsia"/>
          <w:color w:val="auto"/>
          <w:highlight w:val="none"/>
        </w:rPr>
        <w:t>%违约金向乙方收取违约金，违约金金额无法弥补甲方损失的，甲方可就损失继续向乙方追偿。</w:t>
      </w:r>
    </w:p>
    <w:p>
      <w:pPr>
        <w:pStyle w:val="7"/>
        <w:numPr>
          <w:ilvl w:val="0"/>
          <w:numId w:val="20"/>
        </w:numPr>
        <w:spacing w:line="360" w:lineRule="auto"/>
        <w:rPr>
          <w:color w:val="auto"/>
          <w:highlight w:val="none"/>
        </w:rPr>
      </w:pPr>
      <w:r>
        <w:rPr>
          <w:rFonts w:hint="eastAsia"/>
          <w:color w:val="auto"/>
          <w:highlight w:val="none"/>
        </w:rPr>
        <w:t>乙方所交的设备品种、型号、规格、技术参数、质量不符合合同规定</w:t>
      </w:r>
      <w:r>
        <w:rPr>
          <w:rFonts w:hint="eastAsia"/>
          <w:color w:val="auto"/>
          <w:highlight w:val="none"/>
          <w:lang w:val="en-US" w:eastAsia="zh-CN"/>
        </w:rPr>
        <w:t>或</w:t>
      </w:r>
      <w:r>
        <w:rPr>
          <w:rFonts w:hint="eastAsia"/>
          <w:color w:val="auto"/>
          <w:highlight w:val="none"/>
        </w:rPr>
        <w:t>招标文件规定标准的，甲方有权拒收该设备，乙方愿意更换货物但逾期交货的，按乙方逾期交货处理。乙方拒绝更换的，甲方有权解除合同，并按合同总金额的</w:t>
      </w:r>
      <w:r>
        <w:rPr>
          <w:color w:val="auto"/>
          <w:highlight w:val="none"/>
        </w:rPr>
        <w:t>30</w:t>
      </w:r>
      <w:r>
        <w:rPr>
          <w:rFonts w:hint="eastAsia"/>
          <w:color w:val="auto"/>
          <w:highlight w:val="none"/>
        </w:rPr>
        <w:t>%违约金向乙方收取违约金，违约金金额无法弥补甲方损失的，甲方可就超过违约金部分损失继续向乙方追偿。</w:t>
      </w:r>
    </w:p>
    <w:p>
      <w:pPr>
        <w:pStyle w:val="7"/>
        <w:numPr>
          <w:ilvl w:val="0"/>
          <w:numId w:val="20"/>
        </w:numPr>
        <w:spacing w:line="360" w:lineRule="auto"/>
        <w:rPr>
          <w:color w:val="auto"/>
          <w:highlight w:val="none"/>
        </w:rPr>
      </w:pPr>
      <w:r>
        <w:rPr>
          <w:rFonts w:hint="eastAsia"/>
          <w:color w:val="auto"/>
          <w:highlight w:val="none"/>
        </w:rPr>
        <w:t>逾期交付试剂：乙方应</w:t>
      </w:r>
      <w:r>
        <w:rPr>
          <w:rFonts w:hint="eastAsia"/>
          <w:color w:val="auto"/>
          <w:highlight w:val="none"/>
          <w:lang w:val="en-US" w:eastAsia="zh-CN"/>
        </w:rPr>
        <w:t>在</w:t>
      </w:r>
      <w:r>
        <w:rPr>
          <w:rFonts w:hint="eastAsia"/>
          <w:color w:val="auto"/>
          <w:highlight w:val="none"/>
        </w:rPr>
        <w:t>甲方通知的时间内交付。乙方无法按时交付试剂等耗材的，每延期一天，乙方逾期交付货物金额的</w:t>
      </w:r>
      <w:r>
        <w:rPr>
          <w:rFonts w:hint="eastAsia"/>
          <w:color w:val="auto"/>
          <w:highlight w:val="none"/>
          <w:u w:val="single"/>
        </w:rPr>
        <w:t xml:space="preserve"> </w:t>
      </w:r>
      <w:r>
        <w:rPr>
          <w:rFonts w:hint="eastAsia"/>
          <w:color w:val="auto"/>
          <w:highlight w:val="none"/>
          <w:u w:val="single"/>
          <w:lang w:val="en-US" w:eastAsia="zh-CN"/>
        </w:rPr>
        <w:t>1</w:t>
      </w:r>
      <w:r>
        <w:rPr>
          <w:rFonts w:hint="eastAsia"/>
          <w:color w:val="auto"/>
          <w:highlight w:val="none"/>
        </w:rPr>
        <w:t>%的作为违约金；上述期限逾期总天数超过</w:t>
      </w:r>
      <w:r>
        <w:rPr>
          <w:rFonts w:hint="eastAsia"/>
          <w:color w:val="auto"/>
          <w:highlight w:val="none"/>
          <w:u w:val="single"/>
        </w:rPr>
        <w:t xml:space="preserve"> 14 </w:t>
      </w:r>
      <w:r>
        <w:rPr>
          <w:rFonts w:hint="eastAsia"/>
          <w:color w:val="auto"/>
          <w:highlight w:val="none"/>
        </w:rPr>
        <w:t>天的，甲方有权解除合同，并按逾期交付货物金额的10%向乙方收取违约金，违约金金额无法弥补甲方损失的，甲方可就损失继续向乙方追偿。</w:t>
      </w:r>
    </w:p>
    <w:p>
      <w:pPr>
        <w:pStyle w:val="7"/>
        <w:numPr>
          <w:ilvl w:val="0"/>
          <w:numId w:val="20"/>
        </w:numPr>
        <w:spacing w:line="360" w:lineRule="auto"/>
        <w:rPr>
          <w:color w:val="auto"/>
          <w:highlight w:val="none"/>
        </w:rPr>
      </w:pPr>
      <w:r>
        <w:rPr>
          <w:rFonts w:hint="eastAsia"/>
          <w:color w:val="auto"/>
          <w:highlight w:val="none"/>
        </w:rPr>
        <w:t>如因乙方原因使本项目达不到验收标准的，乙方必须无条件返工至合格并承担因此而造成的甲方实际损失。乙方就本合同项目应承担的违约金以本合同金额的30%为限，违约金不足以弥补违约造成的损失的，甲方可以请求赔偿超过违约金数额的损失。</w:t>
      </w:r>
    </w:p>
    <w:p>
      <w:pPr>
        <w:pStyle w:val="7"/>
        <w:spacing w:line="360" w:lineRule="auto"/>
        <w:rPr>
          <w:color w:val="auto"/>
          <w:highlight w:val="none"/>
        </w:rPr>
      </w:pPr>
      <w:r>
        <w:rPr>
          <w:rFonts w:hint="eastAsia"/>
          <w:color w:val="auto"/>
          <w:highlight w:val="none"/>
        </w:rPr>
        <w:t>5.乙方交付的试剂：乙方所交的试剂等耗材品种、型号、规格、技术参数、质量不符合合同规定及招标文件规定标准的，甲方有权拒收该货物，乙方愿意更换货物但逾期交货的，按乙方逾期交货处理。乙方拒绝更换的，甲方有权解除合同，并按合同总金额的</w:t>
      </w:r>
      <w:r>
        <w:rPr>
          <w:color w:val="auto"/>
          <w:highlight w:val="none"/>
        </w:rPr>
        <w:t>30</w:t>
      </w:r>
      <w:r>
        <w:rPr>
          <w:rFonts w:hint="eastAsia"/>
          <w:color w:val="auto"/>
          <w:highlight w:val="none"/>
        </w:rPr>
        <w:t>%违约金向乙方收取违约金，违约金金额无法弥补甲方损失的，甲方可就超过违约金部分损失继续向乙方追偿。</w:t>
      </w:r>
    </w:p>
    <w:p>
      <w:pPr>
        <w:pStyle w:val="7"/>
        <w:spacing w:line="360" w:lineRule="auto"/>
        <w:rPr>
          <w:color w:val="auto"/>
          <w:highlight w:val="none"/>
        </w:rPr>
      </w:pPr>
      <w:r>
        <w:rPr>
          <w:rFonts w:hint="eastAsia"/>
          <w:color w:val="auto"/>
          <w:highlight w:val="none"/>
        </w:rPr>
        <w:t>6. 本合同项下的软件系统因软件本身质量原因，无法正常运行，按逾期交货处理。</w:t>
      </w:r>
    </w:p>
    <w:p>
      <w:pPr>
        <w:spacing w:line="360" w:lineRule="auto"/>
        <w:ind w:left="420" w:leftChars="200"/>
        <w:rPr>
          <w:rFonts w:ascii="宋体" w:hAnsi="宋体" w:cs="宋体"/>
          <w:color w:val="auto"/>
          <w:highlight w:val="none"/>
        </w:rPr>
      </w:pPr>
      <w:r>
        <w:rPr>
          <w:rFonts w:hint="eastAsia" w:ascii="宋体" w:hAnsi="宋体" w:cs="宋体"/>
          <w:color w:val="auto"/>
          <w:highlight w:val="none"/>
        </w:rPr>
        <w:t>7.甲方逾期付款应按</w:t>
      </w:r>
      <w:r>
        <w:rPr>
          <w:rFonts w:hint="eastAsia"/>
          <w:color w:val="auto"/>
          <w:highlight w:val="none"/>
        </w:rPr>
        <w:t>按LPR利率计算违约金</w:t>
      </w:r>
      <w:r>
        <w:rPr>
          <w:rFonts w:hint="eastAsia" w:ascii="宋体" w:hAnsi="宋体" w:cs="宋体"/>
          <w:color w:val="auto"/>
          <w:highlight w:val="none"/>
        </w:rPr>
        <w:t>，向乙方偿付逾期付款的违约金。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8.违约责任的赔偿不意味违约方整个合同责任的解除，不得以任何理由推迟、降低、减少有关合同条款履行的承诺。</w:t>
      </w:r>
    </w:p>
    <w:p>
      <w:pPr>
        <w:pStyle w:val="7"/>
        <w:spacing w:line="360" w:lineRule="auto"/>
        <w:rPr>
          <w:color w:val="auto"/>
          <w:highlight w:val="none"/>
        </w:rPr>
      </w:pPr>
      <w:r>
        <w:rPr>
          <w:rFonts w:hint="eastAsia"/>
          <w:color w:val="auto"/>
          <w:highlight w:val="none"/>
        </w:rPr>
        <w:t>9.乙方提供的设备、试剂侵犯他人知识产权的，</w:t>
      </w:r>
      <w:r>
        <w:rPr>
          <w:rFonts w:hint="eastAsia"/>
          <w:color w:val="auto"/>
          <w:highlight w:val="none"/>
          <w:lang w:val="en-US" w:eastAsia="zh-CN"/>
        </w:rPr>
        <w:t>乙方应当自行承担相应责任，若因此导致甲方损失的，</w:t>
      </w:r>
      <w:r>
        <w:rPr>
          <w:rFonts w:hint="eastAsia"/>
          <w:color w:val="auto"/>
          <w:highlight w:val="none"/>
        </w:rPr>
        <w:t>甲方有权解除合同，并按合同总金额的</w:t>
      </w:r>
      <w:r>
        <w:rPr>
          <w:color w:val="auto"/>
          <w:highlight w:val="none"/>
        </w:rPr>
        <w:t>30</w:t>
      </w:r>
      <w:r>
        <w:rPr>
          <w:rFonts w:hint="eastAsia"/>
          <w:color w:val="auto"/>
          <w:highlight w:val="none"/>
        </w:rPr>
        <w:t>%违约金向乙方收取违约金，违约金金额无法弥补甲方损失的，甲方可就超过违约金部分损失继续向乙方追偿。</w:t>
      </w:r>
    </w:p>
    <w:p>
      <w:pPr>
        <w:pStyle w:val="7"/>
        <w:numPr>
          <w:ilvl w:val="0"/>
          <w:numId w:val="19"/>
        </w:numPr>
        <w:spacing w:line="360" w:lineRule="auto"/>
        <w:rPr>
          <w:color w:val="auto"/>
          <w:highlight w:val="none"/>
        </w:rPr>
      </w:pPr>
      <w:r>
        <w:rPr>
          <w:rFonts w:hint="eastAsia"/>
          <w:color w:val="auto"/>
          <w:highlight w:val="none"/>
        </w:rPr>
        <w:t>款项结算及支付</w:t>
      </w:r>
    </w:p>
    <w:p>
      <w:pPr>
        <w:pStyle w:val="18"/>
        <w:spacing w:line="360" w:lineRule="auto"/>
        <w:ind w:firstLine="56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第一年：合同生效并具备实施条件后，采购人收到供应商预付款保函</w:t>
      </w:r>
      <w:r>
        <w:rPr>
          <w:rFonts w:hint="eastAsia" w:ascii="宋体" w:hAnsi="宋体" w:cs="宋体"/>
          <w:color w:val="auto"/>
          <w:kern w:val="0"/>
          <w:sz w:val="21"/>
          <w:szCs w:val="21"/>
          <w:highlight w:val="none"/>
          <w:lang w:val="en-US" w:eastAsia="zh-CN" w:bidi="ar-SA"/>
        </w:rPr>
        <w:t>且相应合规发票</w:t>
      </w:r>
      <w:r>
        <w:rPr>
          <w:rFonts w:hint="eastAsia" w:ascii="宋体" w:hAnsi="宋体" w:eastAsia="宋体" w:cs="宋体"/>
          <w:color w:val="auto"/>
          <w:kern w:val="0"/>
          <w:sz w:val="21"/>
          <w:szCs w:val="21"/>
          <w:highlight w:val="none"/>
          <w:lang w:val="en-US" w:eastAsia="zh-CN" w:bidi="ar-SA"/>
        </w:rPr>
        <w:t>后</w:t>
      </w:r>
      <w:r>
        <w:rPr>
          <w:rFonts w:hint="eastAsia" w:ascii="宋体" w:hAnsi="宋体" w:cs="宋体"/>
          <w:color w:val="auto"/>
          <w:kern w:val="0"/>
          <w:sz w:val="21"/>
          <w:szCs w:val="21"/>
          <w:highlight w:val="none"/>
          <w:lang w:val="en-US" w:eastAsia="zh-CN" w:bidi="ar-SA"/>
        </w:rPr>
        <w:t>15</w:t>
      </w:r>
      <w:r>
        <w:rPr>
          <w:rFonts w:hint="eastAsia" w:ascii="宋体" w:hAnsi="宋体" w:eastAsia="宋体" w:cs="宋体"/>
          <w:color w:val="auto"/>
          <w:kern w:val="0"/>
          <w:sz w:val="21"/>
          <w:szCs w:val="21"/>
          <w:highlight w:val="none"/>
          <w:lang w:val="en-US" w:eastAsia="zh-CN" w:bidi="ar-SA"/>
        </w:rPr>
        <w:t>个工作日内支付试剂年度金额的40%作为预付款；按试剂单价乘以试剂用量，以实际到货验收合格的试剂数量为准，验收入库并收到</w:t>
      </w:r>
      <w:r>
        <w:rPr>
          <w:rFonts w:hint="eastAsia" w:ascii="宋体" w:hAnsi="宋体" w:cs="宋体"/>
          <w:color w:val="auto"/>
          <w:kern w:val="0"/>
          <w:sz w:val="21"/>
          <w:szCs w:val="21"/>
          <w:highlight w:val="none"/>
          <w:lang w:val="en-US" w:eastAsia="zh-CN" w:bidi="ar-SA"/>
        </w:rPr>
        <w:t>相应</w:t>
      </w:r>
      <w:r>
        <w:rPr>
          <w:rFonts w:hint="eastAsia" w:ascii="宋体" w:hAnsi="宋体" w:eastAsia="宋体" w:cs="宋体"/>
          <w:color w:val="auto"/>
          <w:kern w:val="0"/>
          <w:sz w:val="21"/>
          <w:szCs w:val="21"/>
          <w:highlight w:val="none"/>
          <w:lang w:val="en-US" w:eastAsia="zh-CN" w:bidi="ar-SA"/>
        </w:rPr>
        <w:t>合规的发票后</w:t>
      </w:r>
      <w:r>
        <w:rPr>
          <w:rFonts w:hint="eastAsia" w:ascii="宋体" w:hAnsi="宋体" w:cs="宋体"/>
          <w:color w:val="auto"/>
          <w:kern w:val="0"/>
          <w:sz w:val="21"/>
          <w:szCs w:val="21"/>
          <w:highlight w:val="none"/>
          <w:lang w:val="en-US" w:eastAsia="zh-CN" w:bidi="ar-SA"/>
        </w:rPr>
        <w:t>15</w:t>
      </w:r>
      <w:r>
        <w:rPr>
          <w:rFonts w:hint="eastAsia" w:ascii="宋体" w:hAnsi="宋体" w:eastAsia="宋体" w:cs="宋体"/>
          <w:color w:val="auto"/>
          <w:kern w:val="0"/>
          <w:sz w:val="21"/>
          <w:szCs w:val="21"/>
          <w:highlight w:val="none"/>
          <w:lang w:val="en-US" w:eastAsia="zh-CN" w:bidi="ar-SA"/>
        </w:rPr>
        <w:t>个工作日内完成付款。</w:t>
      </w:r>
    </w:p>
    <w:p>
      <w:pPr>
        <w:pStyle w:val="18"/>
        <w:spacing w:line="360" w:lineRule="auto"/>
        <w:ind w:firstLine="560"/>
        <w:rPr>
          <w:rFonts w:hint="eastAsia" w:ascii="宋体" w:hAnsi="宋体" w:cs="宋体"/>
          <w:color w:val="auto"/>
          <w:kern w:val="0"/>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第二</w:t>
      </w:r>
      <w:r>
        <w:rPr>
          <w:rFonts w:hint="eastAsia" w:ascii="宋体" w:hAnsi="宋体" w:cs="Times New Roman"/>
          <w:color w:val="auto"/>
          <w:kern w:val="2"/>
          <w:sz w:val="21"/>
          <w:szCs w:val="21"/>
          <w:highlight w:val="none"/>
          <w:lang w:val="en-US" w:eastAsia="zh-CN" w:bidi="ar-SA"/>
        </w:rPr>
        <w:t>年度开始执行后7个工作日内</w:t>
      </w:r>
      <w:r>
        <w:rPr>
          <w:rFonts w:hint="eastAsia" w:ascii="宋体" w:hAnsi="宋体" w:eastAsia="宋体" w:cs="宋体"/>
          <w:color w:val="auto"/>
          <w:kern w:val="0"/>
          <w:sz w:val="21"/>
          <w:szCs w:val="21"/>
          <w:highlight w:val="none"/>
          <w:lang w:val="en-US" w:eastAsia="zh-CN" w:bidi="ar-SA"/>
        </w:rPr>
        <w:t>，</w:t>
      </w:r>
      <w:r>
        <w:rPr>
          <w:rFonts w:hint="eastAsia" w:ascii="宋体" w:hAnsi="宋体" w:cs="宋体"/>
          <w:color w:val="auto"/>
          <w:kern w:val="0"/>
          <w:sz w:val="21"/>
          <w:szCs w:val="21"/>
          <w:highlight w:val="none"/>
          <w:lang w:val="en-US" w:eastAsia="zh-CN" w:bidi="ar-SA"/>
        </w:rPr>
        <w:t>供应商向采购人送达预付保函，采购人收到供应商</w:t>
      </w:r>
      <w:r>
        <w:rPr>
          <w:rFonts w:hint="eastAsia" w:ascii="宋体" w:hAnsi="宋体" w:eastAsia="宋体" w:cs="宋体"/>
          <w:color w:val="auto"/>
          <w:kern w:val="0"/>
          <w:sz w:val="21"/>
          <w:szCs w:val="21"/>
          <w:highlight w:val="none"/>
          <w:lang w:val="en-US" w:eastAsia="zh-CN" w:bidi="ar-SA"/>
        </w:rPr>
        <w:t>预付款保函</w:t>
      </w:r>
      <w:r>
        <w:rPr>
          <w:rFonts w:hint="eastAsia" w:ascii="宋体" w:hAnsi="宋体" w:cs="宋体"/>
          <w:color w:val="auto"/>
          <w:kern w:val="0"/>
          <w:sz w:val="21"/>
          <w:szCs w:val="21"/>
          <w:highlight w:val="none"/>
          <w:lang w:val="en-US" w:eastAsia="zh-CN" w:bidi="ar-SA"/>
        </w:rPr>
        <w:t>且相应合规发票后</w:t>
      </w:r>
      <w:r>
        <w:rPr>
          <w:rFonts w:hint="eastAsia" w:ascii="宋体" w:hAnsi="宋体" w:eastAsia="宋体" w:cs="宋体"/>
          <w:color w:val="auto"/>
          <w:kern w:val="0"/>
          <w:sz w:val="21"/>
          <w:szCs w:val="21"/>
          <w:highlight w:val="none"/>
          <w:lang w:val="en-US" w:eastAsia="zh-CN" w:bidi="ar-SA"/>
        </w:rPr>
        <w:t>后</w:t>
      </w:r>
      <w:r>
        <w:rPr>
          <w:rFonts w:hint="eastAsia" w:ascii="宋体" w:hAnsi="宋体" w:cs="宋体"/>
          <w:color w:val="auto"/>
          <w:kern w:val="0"/>
          <w:sz w:val="21"/>
          <w:szCs w:val="21"/>
          <w:highlight w:val="none"/>
          <w:lang w:val="en-US" w:eastAsia="zh-CN" w:bidi="ar-SA"/>
        </w:rPr>
        <w:t>15</w:t>
      </w:r>
      <w:r>
        <w:rPr>
          <w:rFonts w:hint="eastAsia" w:ascii="宋体" w:hAnsi="宋体" w:eastAsia="宋体" w:cs="宋体"/>
          <w:color w:val="auto"/>
          <w:kern w:val="0"/>
          <w:sz w:val="21"/>
          <w:szCs w:val="21"/>
          <w:highlight w:val="none"/>
          <w:lang w:val="en-US" w:eastAsia="zh-CN" w:bidi="ar-SA"/>
        </w:rPr>
        <w:t>个工作日内支付试剂年度金额的40%作为预付款；按试剂单价乘以试剂用量，以实际到货验收合格的试剂数量为准，验收入库并收到</w:t>
      </w:r>
      <w:r>
        <w:rPr>
          <w:rFonts w:hint="eastAsia" w:ascii="宋体" w:hAnsi="宋体" w:cs="宋体"/>
          <w:color w:val="auto"/>
          <w:kern w:val="0"/>
          <w:sz w:val="21"/>
          <w:szCs w:val="21"/>
          <w:highlight w:val="none"/>
          <w:lang w:val="en-US" w:eastAsia="zh-CN" w:bidi="ar-SA"/>
        </w:rPr>
        <w:t>相应</w:t>
      </w:r>
      <w:r>
        <w:rPr>
          <w:rFonts w:hint="eastAsia" w:ascii="宋体" w:hAnsi="宋体" w:eastAsia="宋体" w:cs="宋体"/>
          <w:color w:val="auto"/>
          <w:kern w:val="0"/>
          <w:sz w:val="21"/>
          <w:szCs w:val="21"/>
          <w:highlight w:val="none"/>
          <w:lang w:val="en-US" w:eastAsia="zh-CN" w:bidi="ar-SA"/>
        </w:rPr>
        <w:t>合规的发票后7个工作日内</w:t>
      </w:r>
      <w:r>
        <w:rPr>
          <w:rFonts w:hint="eastAsia" w:ascii="宋体" w:hAnsi="宋体" w:cs="宋体"/>
          <w:color w:val="auto"/>
          <w:kern w:val="0"/>
          <w:sz w:val="21"/>
          <w:szCs w:val="21"/>
          <w:highlight w:val="none"/>
          <w:lang w:val="en-US" w:eastAsia="zh-CN" w:bidi="ar-SA"/>
        </w:rPr>
        <w:t>剩余</w:t>
      </w:r>
      <w:r>
        <w:rPr>
          <w:rFonts w:hint="eastAsia" w:ascii="宋体" w:hAnsi="宋体" w:eastAsia="宋体" w:cs="宋体"/>
          <w:color w:val="auto"/>
          <w:kern w:val="0"/>
          <w:sz w:val="21"/>
          <w:szCs w:val="21"/>
          <w:highlight w:val="none"/>
          <w:lang w:val="en-US" w:eastAsia="zh-CN" w:bidi="ar-SA"/>
        </w:rPr>
        <w:t>付款</w:t>
      </w:r>
      <w:r>
        <w:rPr>
          <w:rFonts w:hint="eastAsia" w:ascii="宋体" w:hAnsi="宋体" w:cs="宋体"/>
          <w:color w:val="auto"/>
          <w:kern w:val="0"/>
          <w:sz w:val="21"/>
          <w:szCs w:val="21"/>
          <w:highlight w:val="none"/>
          <w:lang w:val="en-US" w:eastAsia="zh-CN" w:bidi="ar-SA"/>
        </w:rPr>
        <w:t>。</w:t>
      </w:r>
    </w:p>
    <w:p>
      <w:pPr>
        <w:pStyle w:val="18"/>
        <w:spacing w:line="360" w:lineRule="auto"/>
        <w:ind w:firstLine="560"/>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第三年付款与第二年度相同</w:t>
      </w:r>
      <w:r>
        <w:rPr>
          <w:rFonts w:hint="eastAsia" w:ascii="宋体" w:hAnsi="宋体" w:eastAsia="宋体" w:cs="宋体"/>
          <w:color w:val="auto"/>
          <w:kern w:val="0"/>
          <w:sz w:val="21"/>
          <w:szCs w:val="21"/>
          <w:highlight w:val="none"/>
          <w:lang w:val="en-US" w:eastAsia="zh-CN" w:bidi="ar-SA"/>
        </w:rPr>
        <w:t>。</w:t>
      </w:r>
    </w:p>
    <w:p>
      <w:pPr>
        <w:spacing w:line="360" w:lineRule="auto"/>
        <w:ind w:firstLine="422" w:firstLineChars="200"/>
        <w:rPr>
          <w:rFonts w:ascii="宋体" w:hAnsi="宋体" w:cs="宋体"/>
          <w:color w:val="auto"/>
          <w:kern w:val="0"/>
          <w:highlight w:val="none"/>
        </w:rPr>
      </w:pPr>
      <w:r>
        <w:rPr>
          <w:rFonts w:hint="eastAsia" w:ascii="宋体" w:hAnsi="宋体" w:cs="宋体"/>
          <w:b/>
          <w:bCs/>
          <w:color w:val="auto"/>
          <w:kern w:val="0"/>
          <w:highlight w:val="none"/>
        </w:rPr>
        <w:t>六、争议的解决</w:t>
      </w:r>
      <w:r>
        <w:rPr>
          <w:rFonts w:hint="eastAsia" w:ascii="宋体" w:hAnsi="宋体" w:cs="宋体"/>
          <w:color w:val="auto"/>
          <w:kern w:val="0"/>
          <w:highlight w:val="none"/>
        </w:rPr>
        <w:t>：因履行本合同引起的或与本合同有关的争议，甲乙双方应首先通过友好协商解决，如果协商不能解决争议，则提交丽水仲裁委仲裁解决，在仲裁期间，本合同应继续履行。</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七、其它条款</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在合同期间，如遇上级部门要求需集中采购，则按照集中采购价格进行调整支付价格。遇政府政策调控，收费价格下调的，试剂价格也需做相应调整。若遇政府调控不可抗拒因素，甲方有权解除合同，并不需要承担违约责任。</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2.合同履行期内，乙方无条件配合医院做好精细化管理等工作并承担相应费用。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3.甲乙双方应保持医疗器械相关数据的保密性、完整性和安全性，禁止利用</w:t>
      </w:r>
      <w:r>
        <w:rPr>
          <w:rFonts w:hint="eastAsia" w:ascii="宋体" w:hAnsi="宋体" w:cs="宋体"/>
          <w:color w:val="auto"/>
          <w:highlight w:val="none"/>
          <w:lang w:val="en-US" w:eastAsia="zh-CN"/>
        </w:rPr>
        <w:t>履行本合同获取的</w:t>
      </w:r>
      <w:r>
        <w:rPr>
          <w:rFonts w:hint="eastAsia" w:ascii="宋体" w:hAnsi="宋体" w:cs="宋体"/>
          <w:color w:val="auto"/>
          <w:highlight w:val="none"/>
        </w:rPr>
        <w:t>相关数据从事违反法律法规的行为，和从事与本合同</w:t>
      </w:r>
      <w:r>
        <w:rPr>
          <w:rFonts w:hint="eastAsia" w:ascii="宋体" w:hAnsi="宋体" w:cs="宋体"/>
          <w:color w:val="auto"/>
          <w:highlight w:val="none"/>
          <w:lang w:val="en-US" w:eastAsia="zh-CN"/>
        </w:rPr>
        <w:t>项目同类同业</w:t>
      </w:r>
      <w:r>
        <w:rPr>
          <w:rFonts w:hint="eastAsia" w:ascii="宋体" w:hAnsi="宋体" w:cs="宋体"/>
          <w:color w:val="auto"/>
          <w:highlight w:val="none"/>
        </w:rPr>
        <w:t>项下其他的经济活动。</w:t>
      </w:r>
    </w:p>
    <w:p>
      <w:pPr>
        <w:pStyle w:val="7"/>
        <w:spacing w:line="360" w:lineRule="auto"/>
        <w:rPr>
          <w:color w:val="auto"/>
          <w:highlight w:val="none"/>
        </w:rPr>
      </w:pPr>
      <w:r>
        <w:rPr>
          <w:rFonts w:hint="eastAsia"/>
          <w:color w:val="auto"/>
          <w:highlight w:val="none"/>
        </w:rPr>
        <w:t>4.乙方承诺，未经甲方同意，乙方及其工作人员不得利用相关数据从事任何与甲方医疗行为无关的活动，并同意承担因此而产生一切损失和法律后果。</w:t>
      </w:r>
    </w:p>
    <w:p>
      <w:pPr>
        <w:pStyle w:val="7"/>
        <w:spacing w:line="360" w:lineRule="auto"/>
        <w:rPr>
          <w:color w:val="auto"/>
          <w:highlight w:val="none"/>
        </w:rPr>
      </w:pPr>
      <w:r>
        <w:rPr>
          <w:rFonts w:hint="eastAsia"/>
          <w:color w:val="auto"/>
          <w:highlight w:val="none"/>
        </w:rPr>
        <w:t>5.送达地址确认条款：本合同尾部双方的联系地址、联系电话、电子邮箱系双方的送达地址，任何文件、函件、法律文书等只要发送至上述送达地址，即使退件或者拒收也视为已经送达。</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6</w:t>
      </w:r>
      <w:r>
        <w:rPr>
          <w:rFonts w:hint="eastAsia" w:ascii="宋体" w:hAnsi="宋体" w:cs="宋体"/>
          <w:color w:val="auto"/>
          <w:highlight w:val="none"/>
        </w:rPr>
        <w:t>.本合同未尽事项，经甲乙双方协商后签订补充协议。招标要求、投标文件及评标过程中有关的澄清文件均应作为合同组成部份。</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7</w:t>
      </w:r>
      <w:r>
        <w:rPr>
          <w:rFonts w:hint="eastAsia" w:ascii="宋体" w:hAnsi="宋体" w:cs="宋体"/>
          <w:color w:val="auto"/>
          <w:highlight w:val="none"/>
        </w:rPr>
        <w:t>.本合同一式肆份，由甲乙双方各执两份，具有同等效力。</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8</w:t>
      </w:r>
      <w:r>
        <w:rPr>
          <w:rFonts w:hint="eastAsia" w:ascii="宋体" w:hAnsi="宋体" w:cs="宋体"/>
          <w:color w:val="auto"/>
          <w:highlight w:val="none"/>
        </w:rPr>
        <w:t>.试剂耗材分三年执行，三年内采购量未用完的，可继续执行采购到试剂用完为止。合同到期，试剂耗材完成下一轮招标前，参照此合同执行。</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9</w:t>
      </w:r>
      <w:r>
        <w:rPr>
          <w:rFonts w:hint="eastAsia" w:ascii="宋体" w:hAnsi="宋体" w:cs="宋体"/>
          <w:color w:val="auto"/>
          <w:highlight w:val="none"/>
        </w:rPr>
        <w:t>.合同自甲乙双方签章后生效。</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10</w:t>
      </w:r>
      <w:r>
        <w:rPr>
          <w:rFonts w:ascii="宋体" w:hAnsi="宋体" w:cs="宋体"/>
          <w:color w:val="auto"/>
          <w:highlight w:val="none"/>
        </w:rPr>
        <w:t>.</w:t>
      </w:r>
      <w:r>
        <w:rPr>
          <w:rFonts w:hint="eastAsia" w:ascii="宋体" w:hAnsi="宋体" w:cs="宋体"/>
          <w:color w:val="auto"/>
          <w:highlight w:val="none"/>
        </w:rPr>
        <w:t>乙 方保证在与甲方的购销业务过程中，不得采用任何不正当手段，如</w:t>
      </w:r>
      <w:r>
        <w:rPr>
          <w:rFonts w:hint="eastAsia" w:ascii="宋体" w:hAnsi="宋体" w:cs="宋体"/>
          <w:color w:val="auto"/>
          <w:highlight w:val="none"/>
          <w:lang w:val="en-US" w:eastAsia="zh-CN"/>
        </w:rPr>
        <w:t>提供</w:t>
      </w:r>
      <w:r>
        <w:rPr>
          <w:rFonts w:hint="eastAsia" w:ascii="宋体" w:hAnsi="宋体" w:cs="宋体"/>
          <w:color w:val="auto"/>
          <w:highlight w:val="none"/>
        </w:rPr>
        <w:t>回扣，</w:t>
      </w:r>
      <w:r>
        <w:rPr>
          <w:rFonts w:hint="eastAsia" w:ascii="宋体" w:hAnsi="宋体" w:cs="宋体"/>
          <w:color w:val="auto"/>
          <w:highlight w:val="none"/>
          <w:lang w:val="en-US" w:eastAsia="zh-CN"/>
        </w:rPr>
        <w:t>赠送礼品等形式</w:t>
      </w:r>
      <w:r>
        <w:rPr>
          <w:rFonts w:hint="eastAsia" w:ascii="宋体" w:hAnsi="宋体" w:cs="宋体"/>
          <w:color w:val="auto"/>
          <w:highlight w:val="none"/>
        </w:rPr>
        <w:t>贿赂甲方单位及其工作人员，如有违反，甲方有权终止履行合同，并按合同总金额的30%向乙方收取违约金</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涉及刑事责任的，甲方将依法移送侦查机关</w:t>
      </w:r>
      <w:r>
        <w:rPr>
          <w:rFonts w:hint="eastAsia" w:ascii="宋体" w:hAnsi="宋体" w:cs="宋体"/>
          <w:color w:val="auto"/>
          <w:highlight w:val="none"/>
        </w:rPr>
        <w:t>。</w:t>
      </w:r>
    </w:p>
    <w:p>
      <w:pPr>
        <w:pStyle w:val="7"/>
        <w:spacing w:line="360" w:lineRule="auto"/>
        <w:rPr>
          <w:color w:val="auto"/>
          <w:highlight w:val="none"/>
        </w:rPr>
      </w:pPr>
      <w:r>
        <w:rPr>
          <w:rFonts w:hint="eastAsia"/>
          <w:color w:val="auto"/>
          <w:highlight w:val="none"/>
        </w:rPr>
        <w:t>（以下无正文）</w:t>
      </w:r>
    </w:p>
    <w:p>
      <w:pPr>
        <w:pStyle w:val="7"/>
        <w:spacing w:line="360" w:lineRule="auto"/>
        <w:rPr>
          <w:color w:val="auto"/>
          <w:highlight w:val="none"/>
        </w:rPr>
      </w:pP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甲方（盖章）：                    乙方（盖章）：</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联系地址：                       联系地址：</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联系电话：                       联系电话：</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电子邮箱：                       电子邮箱：</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甲方代表签字：                   乙方代表签字：</w:t>
      </w:r>
    </w:p>
    <w:p>
      <w:pPr>
        <w:spacing w:line="360" w:lineRule="auto"/>
        <w:ind w:firstLine="420" w:firstLineChars="200"/>
        <w:rPr>
          <w:rFonts w:ascii="宋体" w:hAnsi="宋体" w:cs="宋体"/>
          <w:color w:val="auto"/>
          <w:sz w:val="28"/>
          <w:szCs w:val="28"/>
          <w:highlight w:val="none"/>
        </w:rPr>
      </w:pPr>
      <w:r>
        <w:rPr>
          <w:rFonts w:hint="eastAsia" w:ascii="宋体" w:hAnsi="宋体" w:cs="宋体"/>
          <w:color w:val="auto"/>
          <w:highlight w:val="none"/>
        </w:rPr>
        <w:t>日期：                           日期：　　　　</w:t>
      </w:r>
    </w:p>
    <w:p>
      <w:pPr>
        <w:pStyle w:val="2"/>
        <w:ind w:firstLine="602"/>
        <w:rPr>
          <w:rFonts w:ascii="宋体" w:cs="宋体"/>
          <w:color w:val="auto"/>
          <w:highlight w:val="none"/>
        </w:rPr>
        <w:sectPr>
          <w:footerReference r:id="rId7" w:type="first"/>
          <w:footerReference r:id="rId6" w:type="default"/>
          <w:pgSz w:w="11906" w:h="16838"/>
          <w:pgMar w:top="1474" w:right="1797" w:bottom="1247" w:left="1797" w:header="851" w:footer="851" w:gutter="0"/>
          <w:cols w:space="720" w:num="1"/>
          <w:titlePg/>
          <w:docGrid w:linePitch="312" w:charSpace="0"/>
        </w:sectPr>
      </w:pPr>
    </w:p>
    <w:p>
      <w:pPr>
        <w:pStyle w:val="2"/>
        <w:ind w:firstLine="602"/>
        <w:rPr>
          <w:rFonts w:ascii="宋体" w:cs="宋体"/>
          <w:color w:val="auto"/>
          <w:highlight w:val="none"/>
        </w:rPr>
      </w:pPr>
      <w:r>
        <w:rPr>
          <w:rFonts w:hint="eastAsia" w:ascii="宋体" w:cs="宋体"/>
          <w:color w:val="auto"/>
          <w:highlight w:val="none"/>
        </w:rPr>
        <w:t>第六章投标文件格式</w:t>
      </w:r>
      <w:bookmarkEnd w:id="163"/>
      <w:bookmarkEnd w:id="164"/>
      <w:bookmarkEnd w:id="165"/>
    </w:p>
    <w:p>
      <w:pPr>
        <w:snapToGrid w:val="0"/>
        <w:spacing w:before="120" w:beforeLines="50" w:after="50" w:line="360" w:lineRule="auto"/>
        <w:ind w:firstLine="422"/>
        <w:rPr>
          <w:rFonts w:ascii="宋体" w:hAnsi="宋体" w:cs="宋体"/>
          <w:b/>
          <w:bCs/>
          <w:color w:val="auto"/>
          <w:highlight w:val="none"/>
        </w:rPr>
      </w:pPr>
      <w:r>
        <w:rPr>
          <w:rFonts w:hint="eastAsia" w:ascii="宋体" w:hAnsi="宋体" w:cs="宋体"/>
          <w:b/>
          <w:bCs/>
          <w:color w:val="auto"/>
          <w:highlight w:val="none"/>
        </w:rPr>
        <w:t>1.封面格式：</w:t>
      </w:r>
    </w:p>
    <w:p>
      <w:pPr>
        <w:snapToGrid w:val="0"/>
        <w:spacing w:before="120" w:beforeLines="50" w:after="50" w:line="360" w:lineRule="auto"/>
        <w:ind w:firstLine="207" w:firstLineChars="98"/>
        <w:rPr>
          <w:rFonts w:ascii="宋体" w:hAnsi="宋体" w:cs="宋体"/>
          <w:b/>
          <w:bCs/>
          <w:color w:val="auto"/>
          <w:highlight w:val="none"/>
        </w:rPr>
      </w:pPr>
    </w:p>
    <w:p>
      <w:pPr>
        <w:snapToGrid w:val="0"/>
        <w:spacing w:before="120" w:beforeLines="50" w:after="50" w:line="360" w:lineRule="auto"/>
        <w:ind w:firstLine="422"/>
        <w:jc w:val="center"/>
        <w:rPr>
          <w:rFonts w:ascii="宋体" w:hAnsi="宋体" w:cs="宋体"/>
          <w:color w:val="auto"/>
          <w:highlight w:val="none"/>
        </w:rPr>
      </w:pPr>
      <w:r>
        <w:rPr>
          <w:rFonts w:hint="eastAsia" w:ascii="宋体" w:hAnsi="宋体" w:cs="宋体"/>
          <w:b/>
          <w:bCs/>
          <w:color w:val="auto"/>
          <w:highlight w:val="none"/>
        </w:rPr>
        <w:t>正本/或副本</w:t>
      </w:r>
    </w:p>
    <w:p>
      <w:pPr>
        <w:snapToGrid w:val="0"/>
        <w:spacing w:before="120" w:beforeLines="50" w:after="50" w:line="360" w:lineRule="auto"/>
        <w:jc w:val="center"/>
        <w:rPr>
          <w:rFonts w:ascii="宋体" w:hAnsi="宋体" w:cs="宋体"/>
          <w:color w:val="auto"/>
          <w:highlight w:val="none"/>
        </w:rPr>
      </w:pPr>
      <w:r>
        <w:rPr>
          <w:rFonts w:hint="eastAsia" w:ascii="宋体" w:hAnsi="宋体" w:cs="宋体"/>
          <w:color w:val="auto"/>
          <w:highlight w:val="none"/>
        </w:rPr>
        <w:t>投标文件（商务技术文件/报价文件）</w:t>
      </w:r>
    </w:p>
    <w:p>
      <w:pPr>
        <w:snapToGrid w:val="0"/>
        <w:spacing w:before="120" w:beforeLines="50" w:after="50" w:line="360" w:lineRule="auto"/>
        <w:ind w:firstLine="6054" w:firstLineChars="2883"/>
        <w:rPr>
          <w:rFonts w:ascii="宋体" w:hAnsi="宋体" w:cs="宋体"/>
          <w:color w:val="auto"/>
          <w:highlight w:val="none"/>
        </w:rPr>
      </w:pPr>
    </w:p>
    <w:p>
      <w:pPr>
        <w:snapToGrid w:val="0"/>
        <w:spacing w:before="120" w:beforeLines="50" w:after="50" w:line="360" w:lineRule="auto"/>
        <w:ind w:firstLine="945" w:firstLineChars="450"/>
        <w:rPr>
          <w:rFonts w:hint="eastAsia" w:ascii="宋体" w:hAnsi="宋体" w:eastAsia="宋体" w:cs="宋体"/>
          <w:color w:val="auto"/>
          <w:highlight w:val="none"/>
          <w:lang w:eastAsia="zh-CN"/>
        </w:rPr>
      </w:pPr>
      <w:r>
        <w:rPr>
          <w:rFonts w:hint="eastAsia" w:ascii="宋体" w:hAnsi="宋体" w:cs="宋体"/>
          <w:color w:val="auto"/>
          <w:highlight w:val="none"/>
        </w:rPr>
        <w:t>项目名称：</w:t>
      </w:r>
      <w:r>
        <w:rPr>
          <w:rFonts w:hint="eastAsia" w:ascii="宋体" w:hAnsi="宋体" w:cs="宋体"/>
          <w:color w:val="auto"/>
          <w:highlight w:val="none"/>
          <w:lang w:eastAsia="zh-CN"/>
        </w:rPr>
        <w:t>丽水市妇幼保健院病原微生物核酸快速检测分析试剂采购项目（重发）</w:t>
      </w:r>
    </w:p>
    <w:p>
      <w:pPr>
        <w:snapToGrid w:val="0"/>
        <w:spacing w:before="120" w:beforeLines="50" w:after="50" w:line="360" w:lineRule="auto"/>
        <w:ind w:firstLine="840" w:firstLineChars="400"/>
        <w:rPr>
          <w:rFonts w:hint="eastAsia" w:ascii="宋体" w:hAnsi="宋体" w:eastAsia="宋体" w:cs="宋体"/>
          <w:color w:val="auto"/>
          <w:highlight w:val="none"/>
          <w:lang w:eastAsia="zh-CN"/>
        </w:rPr>
      </w:pPr>
      <w:r>
        <w:rPr>
          <w:rFonts w:hint="eastAsia" w:ascii="宋体" w:hAnsi="宋体" w:cs="宋体"/>
          <w:color w:val="auto"/>
          <w:highlight w:val="none"/>
        </w:rPr>
        <w:t>项目编号：</w:t>
      </w:r>
      <w:r>
        <w:rPr>
          <w:rFonts w:hint="eastAsia" w:ascii="宋体" w:hAnsi="宋体" w:cs="宋体"/>
          <w:color w:val="auto"/>
          <w:highlight w:val="none"/>
          <w:lang w:eastAsia="zh-CN"/>
        </w:rPr>
        <w:t>CBNB-20245172GLS（重发）</w:t>
      </w:r>
    </w:p>
    <w:p>
      <w:pPr>
        <w:snapToGrid w:val="0"/>
        <w:spacing w:before="120" w:beforeLines="50" w:after="50" w:line="360" w:lineRule="auto"/>
        <w:ind w:firstLine="945" w:firstLineChars="450"/>
        <w:rPr>
          <w:rFonts w:ascii="宋体" w:hAnsi="宋体" w:cs="宋体"/>
          <w:color w:val="auto"/>
          <w:highlight w:val="none"/>
        </w:rPr>
      </w:pPr>
      <w:r>
        <w:rPr>
          <w:rFonts w:hint="eastAsia" w:ascii="宋体" w:hAnsi="宋体" w:cs="宋体"/>
          <w:color w:val="auto"/>
          <w:highlight w:val="none"/>
        </w:rPr>
        <w:t>投标人名称（加盖公章）：</w:t>
      </w:r>
    </w:p>
    <w:p>
      <w:pPr>
        <w:snapToGrid w:val="0"/>
        <w:spacing w:before="120" w:beforeLines="50" w:after="50" w:line="360" w:lineRule="auto"/>
        <w:ind w:firstLine="945" w:firstLineChars="450"/>
        <w:rPr>
          <w:rFonts w:ascii="宋体" w:hAnsi="宋体" w:cs="宋体"/>
          <w:color w:val="auto"/>
          <w:highlight w:val="none"/>
        </w:rPr>
      </w:pPr>
      <w:r>
        <w:rPr>
          <w:rFonts w:hint="eastAsia" w:ascii="宋体" w:hAnsi="宋体" w:cs="宋体"/>
          <w:color w:val="auto"/>
          <w:highlight w:val="none"/>
        </w:rPr>
        <w:t>投标人地址：</w:t>
      </w:r>
    </w:p>
    <w:p>
      <w:pPr>
        <w:pStyle w:val="137"/>
        <w:numPr>
          <w:ilvl w:val="0"/>
          <w:numId w:val="0"/>
        </w:numPr>
        <w:spacing w:before="120" w:after="120"/>
        <w:ind w:left="420" w:leftChars="200"/>
        <w:rPr>
          <w:rFonts w:hAnsi="宋体"/>
          <w:color w:val="auto"/>
          <w:highlight w:val="none"/>
        </w:rPr>
      </w:pPr>
    </w:p>
    <w:p>
      <w:pPr>
        <w:snapToGrid w:val="0"/>
        <w:spacing w:before="50" w:after="50" w:line="360" w:lineRule="auto"/>
        <w:ind w:firstLine="1050" w:firstLineChars="500"/>
        <w:outlineLvl w:val="1"/>
        <w:rPr>
          <w:rFonts w:ascii="宋体" w:hAnsi="宋体" w:cs="宋体"/>
          <w:color w:val="auto"/>
          <w:highlight w:val="none"/>
        </w:rPr>
      </w:pPr>
      <w:bookmarkStart w:id="166" w:name="_Toc47388387"/>
      <w:bookmarkStart w:id="167" w:name="_Toc447886499"/>
      <w:bookmarkStart w:id="168" w:name="_Toc447886361"/>
      <w:bookmarkStart w:id="169" w:name="_Toc23227"/>
      <w:r>
        <w:rPr>
          <w:rFonts w:hint="eastAsia" w:ascii="宋体" w:hAnsi="宋体" w:cs="宋体"/>
          <w:color w:val="auto"/>
          <w:highlight w:val="none"/>
        </w:rPr>
        <w:t>年 月 日</w:t>
      </w:r>
      <w:bookmarkEnd w:id="166"/>
      <w:bookmarkEnd w:id="167"/>
      <w:bookmarkEnd w:id="168"/>
      <w:bookmarkEnd w:id="169"/>
    </w:p>
    <w:p>
      <w:pPr>
        <w:snapToGrid w:val="0"/>
        <w:spacing w:before="120" w:beforeLines="50" w:after="50"/>
        <w:rPr>
          <w:rFonts w:ascii="宋体" w:hAnsi="宋体" w:cs="宋体"/>
          <w:color w:val="auto"/>
          <w:highlight w:val="none"/>
        </w:rPr>
      </w:pPr>
    </w:p>
    <w:p>
      <w:pPr>
        <w:snapToGrid w:val="0"/>
        <w:spacing w:before="120" w:beforeLines="50" w:after="50"/>
        <w:ind w:firstLine="422"/>
        <w:jc w:val="center"/>
        <w:rPr>
          <w:rFonts w:ascii="宋体" w:hAnsi="宋体" w:cs="宋体"/>
          <w:color w:val="auto"/>
          <w:highlight w:val="none"/>
        </w:rPr>
        <w:sectPr>
          <w:pgSz w:w="11906" w:h="16838"/>
          <w:pgMar w:top="1474" w:right="1797" w:bottom="1247" w:left="1797" w:header="851" w:footer="851" w:gutter="0"/>
          <w:cols w:space="720" w:num="1"/>
          <w:titlePg/>
          <w:docGrid w:linePitch="312" w:charSpace="0"/>
        </w:sectPr>
      </w:pPr>
      <w:r>
        <w:rPr>
          <w:rFonts w:hint="eastAsia" w:ascii="宋体" w:hAnsi="宋体" w:cs="宋体"/>
          <w:b/>
          <w:color w:val="auto"/>
          <w:highlight w:val="none"/>
        </w:rPr>
        <w:t>注：联合体投标的，可只由联合体牵头人盖章。</w:t>
      </w:r>
    </w:p>
    <w:p>
      <w:pPr>
        <w:snapToGrid w:val="0"/>
        <w:spacing w:before="120" w:beforeLines="50" w:after="50"/>
        <w:rPr>
          <w:rFonts w:ascii="宋体" w:hAnsi="宋体" w:cs="宋体"/>
          <w:b/>
          <w:bCs/>
          <w:color w:val="auto"/>
          <w:highlight w:val="none"/>
        </w:rPr>
      </w:pPr>
      <w:r>
        <w:rPr>
          <w:rFonts w:hint="eastAsia" w:ascii="宋体" w:hAnsi="宋体" w:cs="宋体"/>
          <w:b/>
          <w:bCs/>
          <w:color w:val="auto"/>
          <w:highlight w:val="none"/>
        </w:rPr>
        <w:t>一、报价文件</w:t>
      </w:r>
    </w:p>
    <w:p>
      <w:pPr>
        <w:snapToGrid w:val="0"/>
        <w:spacing w:before="120" w:beforeLines="50" w:after="50"/>
        <w:rPr>
          <w:rFonts w:ascii="宋体" w:hAnsi="宋体" w:cs="宋体"/>
          <w:color w:val="auto"/>
          <w:highlight w:val="none"/>
        </w:rPr>
      </w:pPr>
      <w:r>
        <w:rPr>
          <w:rFonts w:hint="eastAsia" w:ascii="宋体" w:hAnsi="宋体" w:cs="宋体"/>
          <w:color w:val="auto"/>
          <w:highlight w:val="none"/>
        </w:rPr>
        <w:t>（1）投标函</w:t>
      </w:r>
    </w:p>
    <w:p>
      <w:pPr>
        <w:pStyle w:val="19"/>
        <w:widowControl/>
        <w:spacing w:line="360" w:lineRule="auto"/>
        <w:ind w:firstLine="406"/>
        <w:jc w:val="center"/>
        <w:rPr>
          <w:rFonts w:hAnsi="宋体"/>
          <w:b/>
          <w:bCs/>
          <w:color w:val="auto"/>
          <w:sz w:val="21"/>
          <w:szCs w:val="21"/>
          <w:highlight w:val="none"/>
        </w:rPr>
      </w:pPr>
      <w:r>
        <w:rPr>
          <w:rFonts w:hint="eastAsia" w:hAnsi="宋体"/>
          <w:b/>
          <w:bCs/>
          <w:color w:val="auto"/>
          <w:sz w:val="21"/>
          <w:szCs w:val="21"/>
          <w:highlight w:val="none"/>
        </w:rPr>
        <w:t>投标函</w:t>
      </w:r>
    </w:p>
    <w:p>
      <w:pPr>
        <w:pStyle w:val="19"/>
        <w:widowControl/>
        <w:spacing w:line="360" w:lineRule="auto"/>
        <w:ind w:firstLine="466"/>
        <w:jc w:val="center"/>
        <w:rPr>
          <w:rFonts w:hAnsi="宋体"/>
          <w:b/>
          <w:bCs/>
          <w:color w:val="auto"/>
          <w:sz w:val="24"/>
          <w:szCs w:val="24"/>
          <w:highlight w:val="none"/>
        </w:rPr>
      </w:pPr>
    </w:p>
    <w:p>
      <w:pPr>
        <w:pStyle w:val="19"/>
        <w:widowControl/>
        <w:spacing w:line="360" w:lineRule="auto"/>
        <w:ind w:firstLine="404"/>
        <w:jc w:val="left"/>
        <w:rPr>
          <w:rFonts w:hAnsi="宋体"/>
          <w:color w:val="auto"/>
          <w:sz w:val="21"/>
          <w:szCs w:val="21"/>
          <w:highlight w:val="none"/>
        </w:rPr>
      </w:pPr>
      <w:r>
        <w:rPr>
          <w:rFonts w:hint="eastAsia" w:hAnsi="宋体"/>
          <w:color w:val="auto"/>
          <w:sz w:val="21"/>
          <w:szCs w:val="21"/>
          <w:highlight w:val="none"/>
          <w:u w:val="single"/>
        </w:rPr>
        <w:t>致（采购代理机构）</w:t>
      </w:r>
      <w:r>
        <w:rPr>
          <w:rFonts w:hint="eastAsia" w:hAnsi="宋体"/>
          <w:color w:val="auto"/>
          <w:sz w:val="21"/>
          <w:szCs w:val="21"/>
          <w:highlight w:val="none"/>
        </w:rPr>
        <w:t>：</w:t>
      </w:r>
    </w:p>
    <w:p>
      <w:pPr>
        <w:pStyle w:val="19"/>
        <w:widowControl/>
        <w:spacing w:line="360" w:lineRule="auto"/>
        <w:ind w:firstLine="404"/>
        <w:jc w:val="left"/>
        <w:rPr>
          <w:rFonts w:hAnsi="宋体"/>
          <w:color w:val="auto"/>
          <w:sz w:val="21"/>
          <w:szCs w:val="21"/>
          <w:highlight w:val="none"/>
        </w:rPr>
      </w:pPr>
      <w:r>
        <w:rPr>
          <w:rFonts w:hint="eastAsia" w:hAnsi="宋体"/>
          <w:color w:val="auto"/>
          <w:sz w:val="21"/>
          <w:szCs w:val="21"/>
          <w:highlight w:val="none"/>
          <w:u w:val="single"/>
        </w:rPr>
        <w:t>（投标人全称）</w:t>
      </w:r>
      <w:r>
        <w:rPr>
          <w:rFonts w:hint="eastAsia" w:hAnsi="宋体"/>
          <w:color w:val="auto"/>
          <w:sz w:val="21"/>
          <w:szCs w:val="21"/>
          <w:highlight w:val="none"/>
        </w:rPr>
        <w:t>授权</w:t>
      </w:r>
      <w:r>
        <w:rPr>
          <w:rFonts w:hint="eastAsia" w:hAnsi="宋体"/>
          <w:color w:val="auto"/>
          <w:sz w:val="21"/>
          <w:szCs w:val="21"/>
          <w:highlight w:val="none"/>
          <w:u w:val="single"/>
        </w:rPr>
        <w:t>（授权代表姓名、职务）</w:t>
      </w:r>
      <w:r>
        <w:rPr>
          <w:rFonts w:hint="eastAsia" w:hAnsi="宋体"/>
          <w:color w:val="auto"/>
          <w:sz w:val="21"/>
          <w:szCs w:val="21"/>
          <w:highlight w:val="none"/>
        </w:rPr>
        <w:t>为本公司（单位）合法代理人，参加贵方组织的</w:t>
      </w:r>
      <w:r>
        <w:rPr>
          <w:rFonts w:hint="eastAsia" w:hAnsi="宋体"/>
          <w:color w:val="auto"/>
          <w:sz w:val="21"/>
          <w:szCs w:val="21"/>
          <w:highlight w:val="none"/>
          <w:u w:val="single"/>
        </w:rPr>
        <w:t>（项目编号、项目名称）</w:t>
      </w:r>
      <w:r>
        <w:rPr>
          <w:rFonts w:hint="eastAsia" w:hAnsi="宋体"/>
          <w:color w:val="auto"/>
          <w:sz w:val="21"/>
          <w:szCs w:val="21"/>
          <w:highlight w:val="none"/>
        </w:rPr>
        <w:t>招投标活动，代表本公司（单位）处理招投标活动中的一切事宜，为对</w:t>
      </w:r>
      <w:r>
        <w:rPr>
          <w:rFonts w:hint="eastAsia" w:hAnsi="宋体"/>
          <w:color w:val="auto"/>
          <w:sz w:val="21"/>
          <w:szCs w:val="21"/>
          <w:highlight w:val="none"/>
          <w:u w:val="single"/>
        </w:rPr>
        <w:t>（货物名称）</w:t>
      </w:r>
      <w:r>
        <w:rPr>
          <w:rFonts w:hint="eastAsia" w:hAnsi="宋体"/>
          <w:color w:val="auto"/>
          <w:sz w:val="21"/>
          <w:szCs w:val="21"/>
          <w:highlight w:val="none"/>
        </w:rPr>
        <w:t>进行投标，在此：</w:t>
      </w:r>
    </w:p>
    <w:p>
      <w:pPr>
        <w:pStyle w:val="19"/>
        <w:widowControl/>
        <w:spacing w:line="360" w:lineRule="auto"/>
        <w:ind w:firstLine="404"/>
        <w:jc w:val="left"/>
        <w:rPr>
          <w:rFonts w:hAnsi="宋体"/>
          <w:color w:val="auto"/>
          <w:sz w:val="21"/>
          <w:szCs w:val="21"/>
          <w:highlight w:val="none"/>
        </w:rPr>
      </w:pPr>
      <w:r>
        <w:rPr>
          <w:rFonts w:hint="eastAsia" w:hAnsi="宋体"/>
          <w:color w:val="auto"/>
          <w:sz w:val="21"/>
          <w:szCs w:val="21"/>
          <w:highlight w:val="none"/>
        </w:rPr>
        <w:t>1、提供招标文件中“投标须知”规定的全部投标文件：报价文件、资格证明文件及商务技术文件；</w:t>
      </w:r>
    </w:p>
    <w:p>
      <w:pPr>
        <w:pStyle w:val="19"/>
        <w:widowControl/>
        <w:numPr>
          <w:ilvl w:val="0"/>
          <w:numId w:val="21"/>
        </w:numPr>
        <w:spacing w:line="360" w:lineRule="auto"/>
        <w:ind w:firstLine="404"/>
        <w:jc w:val="left"/>
        <w:rPr>
          <w:rFonts w:hAnsi="宋体"/>
          <w:color w:val="auto"/>
          <w:sz w:val="21"/>
          <w:szCs w:val="21"/>
          <w:highlight w:val="none"/>
        </w:rPr>
      </w:pPr>
      <w:r>
        <w:rPr>
          <w:rFonts w:hint="eastAsia" w:hAnsi="宋体"/>
          <w:color w:val="auto"/>
          <w:sz w:val="21"/>
          <w:szCs w:val="21"/>
          <w:highlight w:val="none"/>
        </w:rPr>
        <w:t>据此函，签字代表宣布并承诺如下：</w:t>
      </w:r>
    </w:p>
    <w:p>
      <w:pPr>
        <w:pStyle w:val="19"/>
        <w:widowControl/>
        <w:spacing w:line="360" w:lineRule="auto"/>
        <w:ind w:firstLine="404"/>
        <w:jc w:val="left"/>
        <w:rPr>
          <w:rFonts w:hAnsi="宋体"/>
          <w:color w:val="auto"/>
          <w:sz w:val="21"/>
          <w:szCs w:val="21"/>
          <w:highlight w:val="none"/>
        </w:rPr>
      </w:pPr>
      <w:r>
        <w:rPr>
          <w:rFonts w:hint="eastAsia" w:hAnsi="宋体"/>
          <w:color w:val="auto"/>
          <w:sz w:val="21"/>
          <w:szCs w:val="21"/>
          <w:highlight w:val="none"/>
        </w:rPr>
        <w:t>（1）本报价已经包含了所供货物应纳的税金及招标文件规定的报价方式应包含的其它费用。本报价在投标有效期内固定不变，并在合同有效期内不受利率波动的影响。</w:t>
      </w:r>
    </w:p>
    <w:p>
      <w:pPr>
        <w:pStyle w:val="19"/>
        <w:widowControl/>
        <w:numPr>
          <w:ilvl w:val="0"/>
          <w:numId w:val="22"/>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本投标自开标之日起</w:t>
      </w:r>
      <w:r>
        <w:rPr>
          <w:rFonts w:hint="eastAsia" w:hAnsi="宋体"/>
          <w:color w:val="auto"/>
          <w:sz w:val="21"/>
          <w:szCs w:val="21"/>
          <w:highlight w:val="none"/>
          <w:u w:val="single"/>
        </w:rPr>
        <w:t>90</w:t>
      </w:r>
      <w:r>
        <w:rPr>
          <w:rFonts w:hint="eastAsia" w:hAnsi="宋体"/>
          <w:color w:val="auto"/>
          <w:sz w:val="21"/>
          <w:szCs w:val="21"/>
          <w:highlight w:val="none"/>
        </w:rPr>
        <w:t>天内有效。</w:t>
      </w:r>
    </w:p>
    <w:p>
      <w:pPr>
        <w:pStyle w:val="19"/>
        <w:widowControl/>
        <w:numPr>
          <w:ilvl w:val="0"/>
          <w:numId w:val="22"/>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我们已详细审查全部招标文件及有关的澄清/修改文件(若有的话)，我们完全理解并同意放弃对这方面提出任何异议的权利。保证遵守招标文件有关条款规定。</w:t>
      </w:r>
    </w:p>
    <w:p>
      <w:pPr>
        <w:pStyle w:val="19"/>
        <w:widowControl/>
        <w:numPr>
          <w:ilvl w:val="0"/>
          <w:numId w:val="22"/>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保证在中标后忠实地执行与采购人所签署的合同，并承担合同规定的责任义务。保证在中标后按照招标文件的规定支付中标服务费。</w:t>
      </w:r>
    </w:p>
    <w:p>
      <w:pPr>
        <w:pStyle w:val="19"/>
        <w:widowControl/>
        <w:numPr>
          <w:ilvl w:val="0"/>
          <w:numId w:val="22"/>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承诺应贵方要求提供任何与该项目投标有关的数据、情况和技术资料。</w:t>
      </w:r>
    </w:p>
    <w:p>
      <w:pPr>
        <w:pStyle w:val="19"/>
        <w:widowControl/>
        <w:numPr>
          <w:ilvl w:val="0"/>
          <w:numId w:val="22"/>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我们承诺，与为采购人采购本次招标的货物进行设计、编制规范和其他文件所委托的咨询公司或其附属机构无任何直接或间接的关联。</w:t>
      </w:r>
    </w:p>
    <w:p>
      <w:pPr>
        <w:pStyle w:val="19"/>
        <w:widowControl/>
        <w:numPr>
          <w:ilvl w:val="0"/>
          <w:numId w:val="22"/>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投标人已详细审查并理解全部招标文件，已完全明确招标文件中的全部内容。如有违反，愿意接受监管机构相应的处理。</w:t>
      </w:r>
    </w:p>
    <w:p>
      <w:pPr>
        <w:pStyle w:val="19"/>
        <w:widowControl/>
        <w:spacing w:line="360" w:lineRule="auto"/>
        <w:ind w:firstLine="404"/>
        <w:jc w:val="left"/>
        <w:rPr>
          <w:rFonts w:hAnsi="宋体"/>
          <w:color w:val="auto"/>
          <w:sz w:val="21"/>
          <w:szCs w:val="21"/>
          <w:highlight w:val="none"/>
        </w:rPr>
      </w:pPr>
      <w:r>
        <w:rPr>
          <w:rFonts w:hint="eastAsia" w:hAnsi="宋体"/>
          <w:color w:val="auto"/>
          <w:sz w:val="21"/>
          <w:szCs w:val="21"/>
          <w:highlight w:val="none"/>
        </w:rPr>
        <w:t>4、与本投标有关的一切往来通讯请寄：</w:t>
      </w:r>
    </w:p>
    <w:p>
      <w:pPr>
        <w:pStyle w:val="19"/>
        <w:widowControl/>
        <w:spacing w:line="360" w:lineRule="auto"/>
        <w:ind w:firstLine="404"/>
        <w:jc w:val="left"/>
        <w:rPr>
          <w:rFonts w:hAnsi="宋体"/>
          <w:color w:val="auto"/>
          <w:sz w:val="21"/>
          <w:szCs w:val="21"/>
          <w:highlight w:val="none"/>
        </w:rPr>
      </w:pPr>
      <w:r>
        <w:rPr>
          <w:rFonts w:hint="eastAsia" w:hAnsi="宋体"/>
          <w:color w:val="auto"/>
          <w:sz w:val="21"/>
          <w:szCs w:val="21"/>
          <w:highlight w:val="none"/>
        </w:rPr>
        <w:t>地址：</w:t>
      </w:r>
    </w:p>
    <w:p>
      <w:pPr>
        <w:pStyle w:val="19"/>
        <w:widowControl/>
        <w:spacing w:line="360" w:lineRule="auto"/>
        <w:ind w:firstLine="404"/>
        <w:jc w:val="left"/>
        <w:rPr>
          <w:rFonts w:hAnsi="宋体"/>
          <w:color w:val="auto"/>
          <w:sz w:val="21"/>
          <w:szCs w:val="21"/>
          <w:highlight w:val="none"/>
          <w:u w:val="single"/>
        </w:rPr>
      </w:pPr>
      <w:r>
        <w:rPr>
          <w:rFonts w:hint="eastAsia" w:hAnsi="宋体"/>
          <w:color w:val="auto"/>
          <w:sz w:val="21"/>
          <w:szCs w:val="21"/>
          <w:highlight w:val="none"/>
        </w:rPr>
        <w:t>邮编：电话：传真：</w:t>
      </w:r>
    </w:p>
    <w:p>
      <w:pPr>
        <w:pStyle w:val="19"/>
        <w:widowControl/>
        <w:spacing w:line="360" w:lineRule="auto"/>
        <w:ind w:firstLine="404"/>
        <w:jc w:val="left"/>
        <w:rPr>
          <w:rFonts w:hAnsi="宋体"/>
          <w:color w:val="auto"/>
          <w:sz w:val="21"/>
          <w:szCs w:val="21"/>
          <w:highlight w:val="none"/>
        </w:rPr>
      </w:pPr>
    </w:p>
    <w:p>
      <w:pPr>
        <w:pStyle w:val="24"/>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snapToGrid w:val="0"/>
        <w:spacing w:line="360" w:lineRule="auto"/>
        <w:rPr>
          <w:rFonts w:ascii="宋体" w:hAnsi="宋体" w:cs="宋体"/>
          <w:color w:val="auto"/>
          <w:highlight w:val="none"/>
        </w:rPr>
      </w:pPr>
      <w:r>
        <w:rPr>
          <w:rFonts w:hint="eastAsia" w:ascii="宋体" w:hAnsi="宋体" w:cs="宋体"/>
          <w:color w:val="auto"/>
          <w:highlight w:val="none"/>
        </w:rPr>
        <w:t>日期:_____年___月___日</w:t>
      </w:r>
    </w:p>
    <w:p>
      <w:pPr>
        <w:snapToGrid w:val="0"/>
        <w:spacing w:before="120" w:beforeLines="50" w:after="50"/>
        <w:ind w:firstLine="422"/>
        <w:rPr>
          <w:rFonts w:ascii="宋体" w:hAnsi="宋体" w:cs="宋体"/>
          <w:color w:val="auto"/>
          <w:highlight w:val="none"/>
        </w:rPr>
      </w:pPr>
      <w:r>
        <w:rPr>
          <w:rFonts w:hint="eastAsia" w:ascii="宋体" w:hAnsi="宋体" w:cs="宋体"/>
          <w:b/>
          <w:color w:val="auto"/>
          <w:highlight w:val="none"/>
        </w:rPr>
        <w:t>注：联合体投标的，可只由联合体牵头人盖章。</w:t>
      </w:r>
    </w:p>
    <w:p>
      <w:pPr>
        <w:snapToGrid w:val="0"/>
        <w:spacing w:line="360" w:lineRule="auto"/>
        <w:jc w:val="left"/>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（2）开标一览表</w:t>
      </w:r>
    </w:p>
    <w:p>
      <w:pPr>
        <w:snapToGrid w:val="0"/>
        <w:spacing w:before="50" w:after="50" w:line="360" w:lineRule="auto"/>
        <w:ind w:firstLine="422"/>
        <w:jc w:val="center"/>
        <w:rPr>
          <w:rFonts w:ascii="宋体" w:hAnsi="宋体" w:cs="宋体"/>
          <w:b/>
          <w:bCs/>
          <w:color w:val="auto"/>
          <w:highlight w:val="none"/>
        </w:rPr>
      </w:pPr>
    </w:p>
    <w:p>
      <w:pPr>
        <w:snapToGrid w:val="0"/>
        <w:spacing w:before="50" w:after="50" w:line="360" w:lineRule="auto"/>
        <w:ind w:firstLine="422"/>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rPr>
        <w:t>开标一览表</w:t>
      </w:r>
    </w:p>
    <w:p>
      <w:pPr>
        <w:snapToGrid w:val="0"/>
        <w:spacing w:before="50" w:after="50"/>
        <w:rPr>
          <w:rFonts w:ascii="宋体" w:hAnsi="宋体" w:cs="宋体"/>
          <w:color w:val="auto"/>
          <w:highlight w:val="none"/>
        </w:rPr>
      </w:pPr>
      <w:r>
        <w:rPr>
          <w:rFonts w:hint="eastAsia" w:ascii="宋体" w:hAnsi="宋体" w:cs="宋体"/>
          <w:color w:val="auto"/>
          <w:highlight w:val="none"/>
        </w:rPr>
        <w:t xml:space="preserve">项目编号：                         项目名称：   </w:t>
      </w:r>
    </w:p>
    <w:p>
      <w:pPr>
        <w:rPr>
          <w:rFonts w:ascii="宋体" w:hAnsi="宋体" w:cs="宋体"/>
          <w:color w:val="auto"/>
          <w:highlight w:val="none"/>
        </w:rPr>
      </w:pPr>
    </w:p>
    <w:tbl>
      <w:tblPr>
        <w:tblStyle w:val="47"/>
        <w:tblW w:w="8981" w:type="dxa"/>
        <w:tblInd w:w="-45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5"/>
        <w:gridCol w:w="4635"/>
        <w:gridCol w:w="34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85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序号</w:t>
            </w:r>
          </w:p>
        </w:tc>
        <w:tc>
          <w:tcPr>
            <w:tcW w:w="463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采购标的名称</w:t>
            </w:r>
          </w:p>
        </w:tc>
        <w:tc>
          <w:tcPr>
            <w:tcW w:w="3491"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投标报价（元）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55" w:type="dxa"/>
            <w:vMerge w:val="restart"/>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w:t>
            </w:r>
          </w:p>
        </w:tc>
        <w:tc>
          <w:tcPr>
            <w:tcW w:w="4635" w:type="dxa"/>
            <w:vAlign w:val="center"/>
          </w:tcPr>
          <w:p>
            <w:pPr>
              <w:widowControl/>
              <w:spacing w:line="300" w:lineRule="auto"/>
              <w:jc w:val="center"/>
              <w:textAlignment w:val="center"/>
              <w:rPr>
                <w:rFonts w:ascii="宋体" w:hAnsi="宋体" w:cs="宋体"/>
                <w:color w:val="auto"/>
                <w:highlight w:val="none"/>
              </w:rPr>
            </w:pPr>
            <w:r>
              <w:rPr>
                <w:rFonts w:hint="eastAsia" w:ascii="宋体" w:hAnsi="宋体" w:cs="宋体"/>
                <w:color w:val="auto"/>
                <w:highlight w:val="none"/>
              </w:rPr>
              <w:t>配套仪器</w:t>
            </w:r>
          </w:p>
        </w:tc>
        <w:tc>
          <w:tcPr>
            <w:tcW w:w="3491" w:type="dxa"/>
            <w:vAlign w:val="center"/>
          </w:tcPr>
          <w:p>
            <w:pPr>
              <w:spacing w:line="400" w:lineRule="exact"/>
              <w:ind w:firstLine="1680" w:firstLineChars="800"/>
              <w:jc w:val="left"/>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55" w:type="dxa"/>
            <w:vMerge w:val="continue"/>
            <w:vAlign w:val="center"/>
          </w:tcPr>
          <w:p>
            <w:pPr>
              <w:spacing w:line="400" w:lineRule="exact"/>
              <w:jc w:val="center"/>
              <w:rPr>
                <w:rFonts w:ascii="宋体" w:hAnsi="宋体" w:cs="宋体"/>
                <w:color w:val="auto"/>
                <w:highlight w:val="none"/>
              </w:rPr>
            </w:pPr>
          </w:p>
        </w:tc>
        <w:tc>
          <w:tcPr>
            <w:tcW w:w="4635" w:type="dxa"/>
            <w:vAlign w:val="center"/>
          </w:tcPr>
          <w:p>
            <w:pPr>
              <w:widowControl/>
              <w:spacing w:line="300" w:lineRule="auto"/>
              <w:jc w:val="center"/>
              <w:textAlignment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病原微生物核酸快速检测分析试剂</w:t>
            </w:r>
          </w:p>
        </w:tc>
        <w:tc>
          <w:tcPr>
            <w:tcW w:w="3491" w:type="dxa"/>
            <w:vAlign w:val="center"/>
          </w:tcPr>
          <w:p>
            <w:pPr>
              <w:spacing w:line="400" w:lineRule="exact"/>
              <w:ind w:firstLine="1680" w:firstLineChars="800"/>
              <w:jc w:val="left"/>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5490" w:type="dxa"/>
            <w:gridSpan w:val="2"/>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投标总价</w:t>
            </w:r>
          </w:p>
        </w:tc>
        <w:tc>
          <w:tcPr>
            <w:tcW w:w="3491" w:type="dxa"/>
            <w:vAlign w:val="center"/>
          </w:tcPr>
          <w:p>
            <w:pPr>
              <w:spacing w:line="400" w:lineRule="exact"/>
              <w:jc w:val="left"/>
              <w:rPr>
                <w:rFonts w:ascii="宋体" w:hAnsi="宋体" w:cs="宋体"/>
                <w:color w:val="auto"/>
                <w:highlight w:val="none"/>
              </w:rPr>
            </w:pPr>
            <w:r>
              <w:rPr>
                <w:rFonts w:hint="eastAsia" w:ascii="宋体" w:hAnsi="宋体" w:cs="宋体"/>
                <w:color w:val="auto"/>
                <w:highlight w:val="none"/>
              </w:rPr>
              <w:t>大写：</w:t>
            </w:r>
          </w:p>
          <w:p>
            <w:pPr>
              <w:spacing w:line="400" w:lineRule="exact"/>
              <w:jc w:val="left"/>
              <w:rPr>
                <w:rFonts w:ascii="宋体" w:hAnsi="宋体" w:cs="宋体"/>
                <w:color w:val="auto"/>
                <w:highlight w:val="none"/>
              </w:rPr>
            </w:pPr>
            <w:r>
              <w:rPr>
                <w:rFonts w:hint="eastAsia" w:ascii="宋体" w:hAnsi="宋体" w:cs="宋体"/>
                <w:color w:val="auto"/>
                <w:highlight w:val="none"/>
              </w:rPr>
              <w:t>小写：</w:t>
            </w:r>
          </w:p>
        </w:tc>
      </w:tr>
    </w:tbl>
    <w:p>
      <w:pPr>
        <w:snapToGrid w:val="0"/>
        <w:spacing w:line="360" w:lineRule="auto"/>
        <w:jc w:val="left"/>
        <w:rPr>
          <w:rFonts w:ascii="宋体" w:hAnsi="宋体" w:cs="宋体"/>
          <w:color w:val="auto"/>
          <w:highlight w:val="none"/>
        </w:rPr>
      </w:pPr>
      <w:r>
        <w:rPr>
          <w:rFonts w:hint="eastAsia" w:ascii="宋体" w:hAnsi="宋体" w:cs="宋体"/>
          <w:color w:val="auto"/>
          <w:highlight w:val="none"/>
        </w:rPr>
        <w:t>注: 1、报价一经涂改，应在涂改处加盖单位公章或者由法定代表人或授权委托人签字或盖章，否则其投标作无效标处理。</w:t>
      </w:r>
    </w:p>
    <w:p>
      <w:pPr>
        <w:snapToGrid w:val="0"/>
        <w:spacing w:line="360" w:lineRule="auto"/>
        <w:ind w:left="-21" w:leftChars="-72" w:right="-817" w:rightChars="-389" w:hanging="130" w:hangingChars="62"/>
        <w:rPr>
          <w:rFonts w:ascii="宋体" w:hAnsi="宋体" w:cs="宋体"/>
          <w:color w:val="auto"/>
          <w:highlight w:val="none"/>
        </w:rPr>
      </w:pPr>
    </w:p>
    <w:p>
      <w:pPr>
        <w:snapToGrid w:val="0"/>
        <w:spacing w:line="360" w:lineRule="auto"/>
        <w:ind w:left="-21" w:leftChars="-72" w:right="-817" w:rightChars="-389" w:hanging="130" w:hangingChars="62"/>
        <w:rPr>
          <w:rFonts w:ascii="宋体" w:hAnsi="宋体" w:cs="宋体"/>
          <w:color w:val="auto"/>
          <w:highlight w:val="none"/>
        </w:rPr>
      </w:pPr>
    </w:p>
    <w:p>
      <w:pPr>
        <w:pStyle w:val="24"/>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pStyle w:val="24"/>
        <w:tabs>
          <w:tab w:val="left" w:pos="2472"/>
        </w:tabs>
        <w:snapToGrid w:val="0"/>
        <w:spacing w:beforeLines="0" w:afterLines="0" w:line="360" w:lineRule="auto"/>
        <w:jc w:val="left"/>
        <w:rPr>
          <w:rFonts w:hAnsi="宋体"/>
          <w:color w:val="auto"/>
          <w:highlight w:val="none"/>
        </w:rPr>
      </w:pPr>
      <w:r>
        <w:rPr>
          <w:rFonts w:hint="eastAsia" w:hAnsi="宋体"/>
          <w:color w:val="auto"/>
          <w:sz w:val="21"/>
          <w:szCs w:val="21"/>
          <w:highlight w:val="none"/>
        </w:rPr>
        <w:t>日期:_____年___月___日</w:t>
      </w:r>
    </w:p>
    <w:p>
      <w:pPr>
        <w:pStyle w:val="18"/>
        <w:ind w:firstLine="560"/>
        <w:rPr>
          <w:rFonts w:ascii="宋体" w:hAnsi="宋体" w:cs="宋体"/>
          <w:color w:val="auto"/>
          <w:highlight w:val="none"/>
        </w:rPr>
      </w:pPr>
    </w:p>
    <w:p>
      <w:pPr>
        <w:snapToGrid w:val="0"/>
        <w:spacing w:before="120" w:beforeLines="50" w:after="50"/>
        <w:ind w:firstLine="422"/>
        <w:rPr>
          <w:rFonts w:ascii="宋体" w:hAnsi="宋体" w:cs="宋体"/>
          <w:color w:val="auto"/>
          <w:highlight w:val="none"/>
        </w:rPr>
      </w:pPr>
      <w:r>
        <w:rPr>
          <w:rFonts w:hint="eastAsia" w:ascii="宋体" w:hAnsi="宋体" w:cs="宋体"/>
          <w:b/>
          <w:color w:val="auto"/>
          <w:highlight w:val="none"/>
        </w:rPr>
        <w:t>注：联合体投标的，可只由联合体牵头人盖章。</w:t>
      </w:r>
    </w:p>
    <w:p>
      <w:pPr>
        <w:snapToGrid w:val="0"/>
        <w:spacing w:before="50" w:after="50" w:line="360" w:lineRule="auto"/>
        <w:ind w:firstLine="422"/>
        <w:jc w:val="center"/>
        <w:rPr>
          <w:rFonts w:ascii="宋体" w:hAnsi="宋体" w:cs="宋体"/>
          <w:b/>
          <w:bCs/>
          <w:color w:val="auto"/>
          <w:highlight w:val="none"/>
        </w:rPr>
      </w:pPr>
    </w:p>
    <w:p>
      <w:pPr>
        <w:snapToGrid w:val="0"/>
        <w:spacing w:before="50" w:after="50" w:line="360" w:lineRule="auto"/>
        <w:ind w:firstLine="422"/>
        <w:jc w:val="center"/>
        <w:rPr>
          <w:rFonts w:hint="eastAsia" w:ascii="宋体" w:hAnsi="宋体" w:cs="宋体"/>
          <w:b/>
          <w:bCs/>
          <w:color w:val="auto"/>
          <w:highlight w:val="none"/>
        </w:rPr>
      </w:pPr>
    </w:p>
    <w:p>
      <w:pPr>
        <w:rPr>
          <w:rFonts w:ascii="宋体" w:hAnsi="宋体" w:cs="宋体"/>
          <w:color w:val="auto"/>
          <w:highlight w:val="none"/>
        </w:rPr>
      </w:pPr>
    </w:p>
    <w:p>
      <w:pPr>
        <w:snapToGrid w:val="0"/>
        <w:spacing w:before="50" w:after="50" w:line="360" w:lineRule="auto"/>
        <w:jc w:val="both"/>
        <w:rPr>
          <w:rFonts w:hint="eastAsia" w:ascii="宋体" w:hAnsi="宋体" w:cs="宋体"/>
          <w:b/>
          <w:bCs/>
          <w:color w:val="auto"/>
          <w:highlight w:val="none"/>
        </w:rPr>
      </w:pPr>
    </w:p>
    <w:p>
      <w:pPr>
        <w:snapToGrid w:val="0"/>
        <w:spacing w:before="50" w:after="50" w:line="360" w:lineRule="auto"/>
        <w:ind w:firstLine="422"/>
        <w:jc w:val="center"/>
        <w:rPr>
          <w:rFonts w:hint="eastAsia" w:ascii="宋体" w:hAnsi="宋体" w:cs="宋体"/>
          <w:b/>
          <w:bCs/>
          <w:color w:val="auto"/>
          <w:highlight w:val="none"/>
        </w:rPr>
      </w:pPr>
    </w:p>
    <w:p>
      <w:pPr>
        <w:snapToGrid w:val="0"/>
        <w:spacing w:before="50" w:after="50" w:line="360" w:lineRule="auto"/>
        <w:ind w:firstLine="422"/>
        <w:jc w:val="center"/>
        <w:rPr>
          <w:rFonts w:hint="eastAsia" w:ascii="宋体" w:hAnsi="宋体" w:cs="宋体"/>
          <w:b/>
          <w:bCs/>
          <w:color w:val="auto"/>
          <w:highlight w:val="none"/>
        </w:rPr>
      </w:pPr>
    </w:p>
    <w:p>
      <w:pPr>
        <w:snapToGrid w:val="0"/>
        <w:spacing w:before="50" w:after="50" w:line="360" w:lineRule="auto"/>
        <w:ind w:firstLine="422"/>
        <w:jc w:val="center"/>
        <w:rPr>
          <w:rFonts w:hint="eastAsia" w:ascii="宋体" w:hAnsi="宋体" w:cs="宋体"/>
          <w:b/>
          <w:bCs/>
          <w:color w:val="auto"/>
          <w:highlight w:val="none"/>
        </w:rPr>
      </w:pPr>
    </w:p>
    <w:p>
      <w:pPr>
        <w:snapToGrid w:val="0"/>
        <w:spacing w:before="50" w:after="50" w:line="360" w:lineRule="auto"/>
        <w:ind w:firstLine="422"/>
        <w:jc w:val="center"/>
        <w:rPr>
          <w:rFonts w:hint="eastAsia" w:ascii="宋体" w:hAnsi="宋体" w:cs="宋体"/>
          <w:b/>
          <w:bCs/>
          <w:color w:val="auto"/>
          <w:highlight w:val="none"/>
        </w:rPr>
      </w:pPr>
    </w:p>
    <w:p>
      <w:pPr>
        <w:pStyle w:val="24"/>
        <w:snapToGrid w:val="0"/>
        <w:spacing w:beforeLines="0" w:afterLines="0" w:line="240" w:lineRule="auto"/>
        <w:rPr>
          <w:rFonts w:hAnsi="宋体"/>
          <w:color w:val="auto"/>
          <w:sz w:val="21"/>
          <w:szCs w:val="21"/>
          <w:highlight w:val="none"/>
        </w:rPr>
      </w:pPr>
      <w:r>
        <w:rPr>
          <w:rFonts w:hint="eastAsia" w:hAnsi="宋体"/>
          <w:color w:val="auto"/>
          <w:sz w:val="21"/>
          <w:szCs w:val="21"/>
          <w:highlight w:val="none"/>
        </w:rPr>
        <w:br w:type="page"/>
      </w:r>
      <w:r>
        <w:rPr>
          <w:rFonts w:hint="eastAsia" w:hAnsi="宋体"/>
          <w:color w:val="auto"/>
          <w:sz w:val="21"/>
          <w:szCs w:val="21"/>
          <w:highlight w:val="none"/>
        </w:rPr>
        <w:t>（3）投标报价明细表</w:t>
      </w:r>
    </w:p>
    <w:p>
      <w:pPr>
        <w:pStyle w:val="24"/>
        <w:snapToGrid w:val="0"/>
        <w:spacing w:beforeLines="0" w:afterLines="0" w:line="240" w:lineRule="auto"/>
        <w:ind w:firstLine="422"/>
        <w:jc w:val="center"/>
        <w:rPr>
          <w:rFonts w:hAnsi="宋体"/>
          <w:b/>
          <w:bCs/>
          <w:color w:val="auto"/>
          <w:sz w:val="21"/>
          <w:szCs w:val="21"/>
          <w:highlight w:val="none"/>
        </w:rPr>
      </w:pPr>
      <w:r>
        <w:rPr>
          <w:rFonts w:hint="eastAsia" w:hAnsi="宋体"/>
          <w:b/>
          <w:bCs/>
          <w:color w:val="auto"/>
          <w:sz w:val="21"/>
          <w:szCs w:val="21"/>
          <w:highlight w:val="none"/>
        </w:rPr>
        <w:t>投标报价明细表</w:t>
      </w:r>
    </w:p>
    <w:p>
      <w:pPr>
        <w:pStyle w:val="24"/>
        <w:snapToGrid w:val="0"/>
        <w:spacing w:beforeLines="0" w:afterLines="0" w:line="240" w:lineRule="auto"/>
        <w:ind w:firstLine="422"/>
        <w:rPr>
          <w:rFonts w:hAnsi="宋体"/>
          <w:color w:val="auto"/>
          <w:sz w:val="21"/>
          <w:szCs w:val="21"/>
          <w:highlight w:val="none"/>
        </w:rPr>
      </w:pPr>
      <w:r>
        <w:rPr>
          <w:rFonts w:hint="eastAsia" w:hAnsi="宋体"/>
          <w:b/>
          <w:bCs/>
          <w:color w:val="auto"/>
          <w:sz w:val="21"/>
          <w:szCs w:val="21"/>
          <w:highlight w:val="none"/>
        </w:rPr>
        <w:t>3.1设备部分</w:t>
      </w:r>
    </w:p>
    <w:p>
      <w:pPr>
        <w:pStyle w:val="24"/>
        <w:snapToGrid w:val="0"/>
        <w:spacing w:beforeLines="0" w:afterLines="0"/>
        <w:rPr>
          <w:rFonts w:hAnsi="宋体"/>
          <w:color w:val="auto"/>
          <w:sz w:val="21"/>
          <w:szCs w:val="21"/>
          <w:highlight w:val="none"/>
          <w:u w:val="single"/>
        </w:rPr>
      </w:pPr>
      <w:r>
        <w:rPr>
          <w:rFonts w:hint="eastAsia" w:hAnsi="宋体"/>
          <w:color w:val="auto"/>
          <w:sz w:val="21"/>
          <w:szCs w:val="21"/>
          <w:highlight w:val="none"/>
        </w:rPr>
        <w:t>项目编号：项目名称：</w:t>
      </w:r>
    </w:p>
    <w:p>
      <w:pPr>
        <w:pStyle w:val="24"/>
        <w:snapToGrid w:val="0"/>
        <w:spacing w:beforeLines="0" w:afterLines="0"/>
        <w:rPr>
          <w:rFonts w:hAnsi="宋体"/>
          <w:color w:val="auto"/>
          <w:sz w:val="21"/>
          <w:szCs w:val="21"/>
          <w:highlight w:val="none"/>
        </w:rPr>
      </w:pPr>
      <w:r>
        <w:rPr>
          <w:rFonts w:hint="eastAsia" w:hAnsi="宋体"/>
          <w:color w:val="auto"/>
          <w:sz w:val="21"/>
          <w:szCs w:val="21"/>
          <w:highlight w:val="none"/>
        </w:rPr>
        <w:t>金额单位：人民币（元）</w:t>
      </w:r>
    </w:p>
    <w:tbl>
      <w:tblPr>
        <w:tblStyle w:val="47"/>
        <w:tblW w:w="8528" w:type="dxa"/>
        <w:tblInd w:w="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25"/>
        <w:gridCol w:w="1423"/>
        <w:gridCol w:w="1023"/>
        <w:gridCol w:w="1364"/>
        <w:gridCol w:w="1535"/>
        <w:gridCol w:w="1194"/>
        <w:gridCol w:w="13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625" w:type="dxa"/>
            <w:vAlign w:val="center"/>
          </w:tcPr>
          <w:p>
            <w:pPr>
              <w:tabs>
                <w:tab w:val="left" w:pos="1418"/>
              </w:tabs>
              <w:snapToGrid w:val="0"/>
              <w:spacing w:before="50" w:after="50" w:line="400" w:lineRule="exact"/>
              <w:jc w:val="center"/>
              <w:rPr>
                <w:rFonts w:ascii="宋体" w:hAnsi="宋体" w:cs="宋体"/>
                <w:b/>
                <w:bCs/>
                <w:color w:val="auto"/>
                <w:spacing w:val="20"/>
                <w:highlight w:val="none"/>
              </w:rPr>
            </w:pPr>
            <w:r>
              <w:rPr>
                <w:rFonts w:hint="eastAsia" w:ascii="宋体" w:hAnsi="宋体" w:cs="宋体"/>
                <w:b/>
                <w:bCs/>
                <w:color w:val="auto"/>
                <w:highlight w:val="none"/>
              </w:rPr>
              <w:t>序号</w:t>
            </w:r>
          </w:p>
        </w:tc>
        <w:tc>
          <w:tcPr>
            <w:tcW w:w="1423" w:type="dxa"/>
            <w:vAlign w:val="center"/>
          </w:tcPr>
          <w:p>
            <w:pPr>
              <w:tabs>
                <w:tab w:val="left" w:pos="1418"/>
              </w:tabs>
              <w:snapToGrid w:val="0"/>
              <w:spacing w:before="50" w:after="50" w:line="400" w:lineRule="exact"/>
              <w:jc w:val="center"/>
              <w:rPr>
                <w:rFonts w:ascii="宋体" w:hAnsi="宋体" w:cs="宋体"/>
                <w:b/>
                <w:bCs/>
                <w:color w:val="auto"/>
                <w:spacing w:val="20"/>
                <w:highlight w:val="none"/>
              </w:rPr>
            </w:pPr>
            <w:r>
              <w:rPr>
                <w:rFonts w:hint="eastAsia" w:ascii="宋体" w:hAnsi="宋体" w:cs="宋体"/>
                <w:b/>
                <w:bCs/>
                <w:color w:val="auto"/>
                <w:highlight w:val="none"/>
              </w:rPr>
              <w:t>设备名称</w:t>
            </w:r>
          </w:p>
        </w:tc>
        <w:tc>
          <w:tcPr>
            <w:tcW w:w="1023" w:type="dxa"/>
            <w:vAlign w:val="center"/>
          </w:tcPr>
          <w:p>
            <w:pPr>
              <w:pStyle w:val="212"/>
              <w:snapToGrid w:val="0"/>
              <w:spacing w:before="50" w:after="50" w:line="400" w:lineRule="exact"/>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产地品牌</w:t>
            </w:r>
          </w:p>
        </w:tc>
        <w:tc>
          <w:tcPr>
            <w:tcW w:w="1364" w:type="dxa"/>
            <w:vAlign w:val="center"/>
          </w:tcPr>
          <w:p>
            <w:pPr>
              <w:tabs>
                <w:tab w:val="left" w:pos="1418"/>
              </w:tabs>
              <w:snapToGrid w:val="0"/>
              <w:spacing w:before="50" w:after="50" w:line="400" w:lineRule="exact"/>
              <w:jc w:val="center"/>
              <w:rPr>
                <w:rFonts w:ascii="宋体" w:hAnsi="宋体" w:cs="宋体"/>
                <w:b/>
                <w:bCs/>
                <w:color w:val="auto"/>
                <w:spacing w:val="20"/>
                <w:highlight w:val="none"/>
              </w:rPr>
            </w:pPr>
            <w:r>
              <w:rPr>
                <w:rFonts w:hint="eastAsia" w:ascii="宋体" w:hAnsi="宋体" w:cs="宋体"/>
                <w:b/>
                <w:bCs/>
                <w:color w:val="auto"/>
                <w:highlight w:val="none"/>
              </w:rPr>
              <w:t>规格型号</w:t>
            </w:r>
          </w:p>
        </w:tc>
        <w:tc>
          <w:tcPr>
            <w:tcW w:w="1535" w:type="dxa"/>
            <w:vAlign w:val="center"/>
          </w:tcPr>
          <w:p>
            <w:pPr>
              <w:tabs>
                <w:tab w:val="left" w:pos="1418"/>
              </w:tabs>
              <w:snapToGrid w:val="0"/>
              <w:spacing w:before="50" w:after="50" w:line="400" w:lineRule="exact"/>
              <w:jc w:val="center"/>
              <w:rPr>
                <w:rFonts w:ascii="宋体" w:hAnsi="宋体" w:cs="宋体"/>
                <w:b/>
                <w:bCs/>
                <w:color w:val="auto"/>
                <w:spacing w:val="20"/>
                <w:highlight w:val="none"/>
              </w:rPr>
            </w:pPr>
            <w:r>
              <w:rPr>
                <w:rFonts w:hint="eastAsia" w:ascii="宋体" w:hAnsi="宋体" w:cs="宋体"/>
                <w:b/>
                <w:bCs/>
                <w:color w:val="auto"/>
                <w:highlight w:val="none"/>
              </w:rPr>
              <w:t>单位及数量</w:t>
            </w:r>
          </w:p>
        </w:tc>
        <w:tc>
          <w:tcPr>
            <w:tcW w:w="1194" w:type="dxa"/>
            <w:vAlign w:val="center"/>
          </w:tcPr>
          <w:p>
            <w:pPr>
              <w:tabs>
                <w:tab w:val="left" w:pos="1418"/>
              </w:tabs>
              <w:snapToGrid w:val="0"/>
              <w:spacing w:before="50" w:after="50" w:line="400" w:lineRule="exact"/>
              <w:jc w:val="center"/>
              <w:rPr>
                <w:rFonts w:ascii="宋体" w:hAnsi="宋体" w:cs="宋体"/>
                <w:b/>
                <w:bCs/>
                <w:color w:val="auto"/>
                <w:spacing w:val="20"/>
                <w:highlight w:val="none"/>
              </w:rPr>
            </w:pPr>
            <w:r>
              <w:rPr>
                <w:rFonts w:hint="eastAsia" w:ascii="宋体" w:hAnsi="宋体" w:cs="宋体"/>
                <w:b/>
                <w:bCs/>
                <w:color w:val="auto"/>
                <w:highlight w:val="none"/>
              </w:rPr>
              <w:t>单价（元）</w:t>
            </w:r>
          </w:p>
        </w:tc>
        <w:tc>
          <w:tcPr>
            <w:tcW w:w="1364" w:type="dxa"/>
            <w:vAlign w:val="center"/>
          </w:tcPr>
          <w:p>
            <w:pPr>
              <w:tabs>
                <w:tab w:val="left" w:pos="1418"/>
              </w:tabs>
              <w:snapToGrid w:val="0"/>
              <w:spacing w:before="50" w:after="50" w:line="400" w:lineRule="exact"/>
              <w:jc w:val="center"/>
              <w:rPr>
                <w:rFonts w:ascii="宋体" w:hAnsi="宋体" w:cs="宋体"/>
                <w:b/>
                <w:bCs/>
                <w:color w:val="auto"/>
                <w:spacing w:val="20"/>
                <w:highlight w:val="none"/>
              </w:rPr>
            </w:pPr>
            <w:r>
              <w:rPr>
                <w:rFonts w:hint="eastAsia" w:ascii="宋体" w:hAnsi="宋体" w:cs="宋体"/>
                <w:b/>
                <w:bCs/>
                <w:color w:val="auto"/>
                <w:highlight w:val="none"/>
              </w:rPr>
              <w:t>金额（元）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625"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423"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023"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36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535"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19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36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625"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423"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023"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36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535"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19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36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1" w:hRule="atLeast"/>
        </w:trPr>
        <w:tc>
          <w:tcPr>
            <w:tcW w:w="625"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423" w:type="dxa"/>
          </w:tcPr>
          <w:p>
            <w:pPr>
              <w:tabs>
                <w:tab w:val="left" w:pos="1418"/>
              </w:tabs>
              <w:snapToGrid w:val="0"/>
              <w:spacing w:before="50" w:after="50" w:line="400" w:lineRule="exact"/>
              <w:ind w:firstLine="500"/>
              <w:jc w:val="center"/>
              <w:rPr>
                <w:rFonts w:ascii="宋体" w:hAnsi="宋体" w:cs="宋体"/>
                <w:color w:val="auto"/>
                <w:spacing w:val="20"/>
                <w:highlight w:val="none"/>
              </w:rPr>
            </w:pPr>
            <w:r>
              <w:rPr>
                <w:rFonts w:hint="eastAsia" w:ascii="宋体" w:hAnsi="宋体" w:cs="宋体"/>
                <w:color w:val="auto"/>
                <w:spacing w:val="20"/>
                <w:highlight w:val="none"/>
              </w:rPr>
              <w:t>……</w:t>
            </w:r>
          </w:p>
        </w:tc>
        <w:tc>
          <w:tcPr>
            <w:tcW w:w="1023"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36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535"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19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36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atLeast"/>
        </w:trPr>
        <w:tc>
          <w:tcPr>
            <w:tcW w:w="625"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423" w:type="dxa"/>
            <w:vMerge w:val="restart"/>
            <w:vAlign w:val="center"/>
          </w:tcPr>
          <w:p>
            <w:pPr>
              <w:tabs>
                <w:tab w:val="left" w:pos="1418"/>
              </w:tabs>
              <w:snapToGrid w:val="0"/>
              <w:spacing w:before="50" w:after="50" w:line="400" w:lineRule="exact"/>
              <w:ind w:firstLine="502"/>
              <w:jc w:val="center"/>
              <w:rPr>
                <w:rFonts w:ascii="宋体" w:hAnsi="宋体" w:cs="宋体"/>
                <w:color w:val="auto"/>
                <w:spacing w:val="20"/>
                <w:highlight w:val="none"/>
              </w:rPr>
            </w:pPr>
            <w:r>
              <w:rPr>
                <w:rFonts w:hint="eastAsia" w:ascii="宋体" w:hAnsi="宋体" w:cs="宋体"/>
                <w:b/>
                <w:bCs/>
                <w:color w:val="auto"/>
                <w:spacing w:val="20"/>
                <w:highlight w:val="none"/>
              </w:rPr>
              <w:t>专用耗材</w:t>
            </w:r>
          </w:p>
        </w:tc>
        <w:tc>
          <w:tcPr>
            <w:tcW w:w="1023"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36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535"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19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36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atLeast"/>
        </w:trPr>
        <w:tc>
          <w:tcPr>
            <w:tcW w:w="625"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423" w:type="dxa"/>
            <w:vMerge w:val="continue"/>
          </w:tcPr>
          <w:p>
            <w:pPr>
              <w:tabs>
                <w:tab w:val="left" w:pos="1418"/>
              </w:tabs>
              <w:snapToGrid w:val="0"/>
              <w:spacing w:before="50" w:after="50" w:line="400" w:lineRule="exact"/>
              <w:ind w:firstLine="502"/>
              <w:jc w:val="center"/>
              <w:rPr>
                <w:rFonts w:ascii="宋体" w:hAnsi="宋体" w:cs="宋体"/>
                <w:b/>
                <w:bCs/>
                <w:color w:val="auto"/>
                <w:spacing w:val="20"/>
                <w:highlight w:val="none"/>
              </w:rPr>
            </w:pPr>
          </w:p>
        </w:tc>
        <w:tc>
          <w:tcPr>
            <w:tcW w:w="1023"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36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535"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19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c>
          <w:tcPr>
            <w:tcW w:w="136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7164" w:type="dxa"/>
            <w:gridSpan w:val="6"/>
          </w:tcPr>
          <w:p>
            <w:pPr>
              <w:tabs>
                <w:tab w:val="left" w:pos="1418"/>
              </w:tabs>
              <w:snapToGrid w:val="0"/>
              <w:spacing w:before="50" w:after="50" w:line="400" w:lineRule="exact"/>
              <w:ind w:firstLine="500"/>
              <w:jc w:val="center"/>
              <w:rPr>
                <w:rFonts w:ascii="宋体" w:hAnsi="宋体" w:cs="宋体"/>
                <w:color w:val="auto"/>
                <w:spacing w:val="20"/>
                <w:highlight w:val="none"/>
              </w:rPr>
            </w:pPr>
            <w:r>
              <w:rPr>
                <w:rFonts w:hint="eastAsia" w:ascii="宋体" w:hAnsi="宋体" w:cs="宋体"/>
                <w:color w:val="auto"/>
                <w:spacing w:val="20"/>
                <w:highlight w:val="none"/>
              </w:rPr>
              <w:t>投标总价</w:t>
            </w:r>
            <w:r>
              <w:rPr>
                <w:rFonts w:hint="eastAsia" w:ascii="宋体" w:hAnsi="宋体" w:cs="宋体"/>
                <w:color w:val="auto"/>
                <w:highlight w:val="none"/>
              </w:rPr>
              <w:t>（元）</w:t>
            </w:r>
          </w:p>
        </w:tc>
        <w:tc>
          <w:tcPr>
            <w:tcW w:w="1364" w:type="dxa"/>
          </w:tcPr>
          <w:p>
            <w:pPr>
              <w:tabs>
                <w:tab w:val="left" w:pos="1418"/>
              </w:tabs>
              <w:snapToGrid w:val="0"/>
              <w:spacing w:before="50" w:after="50" w:line="400" w:lineRule="exact"/>
              <w:ind w:firstLine="500"/>
              <w:jc w:val="center"/>
              <w:rPr>
                <w:rFonts w:ascii="宋体" w:hAnsi="宋体" w:cs="宋体"/>
                <w:color w:val="auto"/>
                <w:spacing w:val="20"/>
                <w:highlight w:val="none"/>
              </w:rPr>
            </w:pPr>
          </w:p>
        </w:tc>
      </w:tr>
    </w:tbl>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注：分别报出每台设备的金额。</w:t>
      </w:r>
    </w:p>
    <w:p>
      <w:pPr>
        <w:pStyle w:val="24"/>
        <w:spacing w:before="120" w:after="120"/>
        <w:ind w:firstLine="480"/>
        <w:rPr>
          <w:color w:val="auto"/>
          <w:highlight w:val="none"/>
        </w:rPr>
      </w:pPr>
    </w:p>
    <w:p>
      <w:pPr>
        <w:pStyle w:val="24"/>
        <w:snapToGrid w:val="0"/>
        <w:spacing w:beforeLines="0" w:afterLines="0" w:line="240" w:lineRule="auto"/>
        <w:ind w:firstLine="422"/>
        <w:rPr>
          <w:rFonts w:hAnsi="宋体"/>
          <w:b/>
          <w:bCs/>
          <w:color w:val="auto"/>
          <w:sz w:val="21"/>
          <w:szCs w:val="21"/>
          <w:highlight w:val="none"/>
        </w:rPr>
      </w:pPr>
      <w:r>
        <w:rPr>
          <w:rFonts w:hint="eastAsia" w:hAnsi="宋体"/>
          <w:b/>
          <w:bCs/>
          <w:color w:val="auto"/>
          <w:sz w:val="21"/>
          <w:szCs w:val="21"/>
          <w:highlight w:val="none"/>
        </w:rPr>
        <w:t>3.2试剂部分</w:t>
      </w:r>
    </w:p>
    <w:tbl>
      <w:tblPr>
        <w:tblStyle w:val="47"/>
        <w:tblpPr w:leftFromText="180" w:rightFromText="180" w:vertAnchor="text" w:horzAnchor="page" w:tblpXSpec="center" w:tblpY="498"/>
        <w:tblOverlap w:val="never"/>
        <w:tblW w:w="8334" w:type="dxa"/>
        <w:jc w:val="center"/>
        <w:tblLayout w:type="fixed"/>
        <w:tblCellMar>
          <w:top w:w="0" w:type="dxa"/>
          <w:left w:w="0" w:type="dxa"/>
          <w:bottom w:w="0" w:type="dxa"/>
          <w:right w:w="0" w:type="dxa"/>
        </w:tblCellMar>
      </w:tblPr>
      <w:tblGrid>
        <w:gridCol w:w="456"/>
        <w:gridCol w:w="1274"/>
        <w:gridCol w:w="846"/>
        <w:gridCol w:w="789"/>
        <w:gridCol w:w="43"/>
        <w:gridCol w:w="787"/>
        <w:gridCol w:w="694"/>
        <w:gridCol w:w="866"/>
        <w:gridCol w:w="663"/>
        <w:gridCol w:w="667"/>
        <w:gridCol w:w="624"/>
        <w:gridCol w:w="625"/>
      </w:tblGrid>
      <w:tr>
        <w:tblPrEx>
          <w:tblCellMar>
            <w:top w:w="0" w:type="dxa"/>
            <w:left w:w="0" w:type="dxa"/>
            <w:bottom w:w="0" w:type="dxa"/>
            <w:right w:w="0" w:type="dxa"/>
          </w:tblCellMar>
        </w:tblPrEx>
        <w:trPr>
          <w:trHeight w:val="343" w:hRule="atLeast"/>
          <w:jc w:val="center"/>
        </w:trPr>
        <w:tc>
          <w:tcPr>
            <w:tcW w:w="45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both"/>
              <w:textAlignment w:val="center"/>
              <w:rPr>
                <w:rFonts w:ascii="宋体" w:hAnsi="宋体" w:cs="宋体"/>
                <w:b/>
                <w:color w:val="auto"/>
                <w:highlight w:val="none"/>
              </w:rPr>
            </w:pPr>
            <w:r>
              <w:rPr>
                <w:rFonts w:hint="eastAsia" w:ascii="宋体" w:hAnsi="宋体" w:cs="宋体"/>
                <w:b/>
                <w:color w:val="auto"/>
                <w:highlight w:val="none"/>
              </w:rPr>
              <w:t>序号</w:t>
            </w:r>
          </w:p>
        </w:tc>
        <w:tc>
          <w:tcPr>
            <w:tcW w:w="127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b/>
                <w:color w:val="auto"/>
                <w:highlight w:val="none"/>
              </w:rPr>
            </w:pPr>
            <w:r>
              <w:rPr>
                <w:rStyle w:val="323"/>
                <w:rFonts w:hint="default" w:cs="宋体"/>
                <w:b/>
                <w:color w:val="auto"/>
                <w:highlight w:val="none"/>
                <w:lang w:bidi="ar"/>
              </w:rPr>
              <w:t>项目名称</w:t>
            </w:r>
          </w:p>
        </w:tc>
        <w:tc>
          <w:tcPr>
            <w:tcW w:w="8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b/>
                <w:color w:val="auto"/>
                <w:highlight w:val="none"/>
              </w:rPr>
            </w:pPr>
            <w:r>
              <w:rPr>
                <w:rStyle w:val="323"/>
                <w:rFonts w:hint="default" w:cs="宋体"/>
                <w:b/>
                <w:color w:val="auto"/>
                <w:highlight w:val="none"/>
                <w:lang w:bidi="ar"/>
              </w:rPr>
              <w:t>检测项目</w:t>
            </w:r>
          </w:p>
        </w:tc>
        <w:tc>
          <w:tcPr>
            <w:tcW w:w="832"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b/>
                <w:color w:val="auto"/>
                <w:highlight w:val="none"/>
              </w:rPr>
            </w:pPr>
            <w:r>
              <w:rPr>
                <w:rStyle w:val="323"/>
                <w:rFonts w:hint="default" w:cs="宋体"/>
                <w:b/>
                <w:color w:val="auto"/>
                <w:highlight w:val="none"/>
                <w:lang w:bidi="ar"/>
              </w:rPr>
              <w:t>计价单位</w:t>
            </w:r>
          </w:p>
        </w:tc>
        <w:tc>
          <w:tcPr>
            <w:tcW w:w="78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b/>
                <w:color w:val="auto"/>
                <w:highlight w:val="none"/>
                <w:lang w:bidi="ar"/>
              </w:rPr>
            </w:pPr>
            <w:r>
              <w:rPr>
                <w:rStyle w:val="323"/>
                <w:rFonts w:hint="default" w:cs="宋体"/>
                <w:b/>
                <w:color w:val="auto"/>
                <w:highlight w:val="none"/>
                <w:lang w:bidi="ar"/>
              </w:rPr>
              <w:t>最高单价（元）</w:t>
            </w:r>
          </w:p>
        </w:tc>
        <w:tc>
          <w:tcPr>
            <w:tcW w:w="69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b/>
                <w:color w:val="auto"/>
                <w:highlight w:val="none"/>
                <w:lang w:bidi="ar"/>
              </w:rPr>
            </w:pPr>
            <w:r>
              <w:rPr>
                <w:rStyle w:val="323"/>
                <w:rFonts w:hint="default" w:cs="宋体"/>
                <w:b/>
                <w:color w:val="auto"/>
                <w:highlight w:val="none"/>
                <w:lang w:bidi="ar"/>
              </w:rPr>
              <w:t>数量</w:t>
            </w:r>
          </w:p>
        </w:tc>
        <w:tc>
          <w:tcPr>
            <w:tcW w:w="86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Style w:val="323"/>
                <w:rFonts w:hint="default" w:cs="宋体"/>
                <w:b/>
                <w:color w:val="auto"/>
                <w:highlight w:val="none"/>
                <w:lang w:bidi="ar"/>
              </w:rPr>
            </w:pPr>
            <w:r>
              <w:rPr>
                <w:rStyle w:val="323"/>
                <w:rFonts w:hint="default" w:cs="宋体"/>
                <w:b/>
                <w:color w:val="auto"/>
                <w:highlight w:val="none"/>
                <w:lang w:bidi="ar"/>
              </w:rPr>
              <w:t>最高总价（元）</w:t>
            </w:r>
          </w:p>
        </w:tc>
        <w:tc>
          <w:tcPr>
            <w:tcW w:w="66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Style w:val="323"/>
                <w:rFonts w:hint="default" w:cs="宋体"/>
                <w:b/>
                <w:color w:val="auto"/>
                <w:highlight w:val="none"/>
                <w:lang w:bidi="ar"/>
              </w:rPr>
            </w:pPr>
            <w:r>
              <w:rPr>
                <w:rStyle w:val="323"/>
                <w:rFonts w:hint="default" w:cs="宋体"/>
                <w:b/>
                <w:color w:val="auto"/>
                <w:highlight w:val="none"/>
                <w:lang w:bidi="ar"/>
              </w:rPr>
              <w:t>单价报价（元）</w:t>
            </w:r>
          </w:p>
        </w:tc>
        <w:tc>
          <w:tcPr>
            <w:tcW w:w="6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Style w:val="323"/>
                <w:rFonts w:hint="default" w:cs="宋体"/>
                <w:b/>
                <w:color w:val="auto"/>
                <w:highlight w:val="none"/>
                <w:lang w:bidi="ar"/>
              </w:rPr>
            </w:pPr>
            <w:r>
              <w:rPr>
                <w:rStyle w:val="323"/>
                <w:rFonts w:hint="default" w:cs="宋体"/>
                <w:b/>
                <w:color w:val="auto"/>
                <w:highlight w:val="none"/>
                <w:lang w:bidi="ar"/>
              </w:rPr>
              <w:t>报价小计元）</w:t>
            </w:r>
          </w:p>
        </w:tc>
        <w:tc>
          <w:tcPr>
            <w:tcW w:w="62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Style w:val="323"/>
                <w:rFonts w:hint="default" w:cs="宋体"/>
                <w:b/>
                <w:color w:val="auto"/>
                <w:highlight w:val="none"/>
                <w:lang w:bidi="ar"/>
              </w:rPr>
            </w:pPr>
            <w:r>
              <w:rPr>
                <w:rStyle w:val="323"/>
                <w:rFonts w:hint="default" w:cs="宋体"/>
                <w:b/>
                <w:color w:val="auto"/>
                <w:highlight w:val="none"/>
                <w:lang w:bidi="ar"/>
              </w:rPr>
              <w:t>品牌</w:t>
            </w:r>
          </w:p>
        </w:tc>
        <w:tc>
          <w:tcPr>
            <w:tcW w:w="62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Style w:val="323"/>
                <w:rFonts w:hint="default" w:cs="宋体"/>
                <w:b/>
                <w:color w:val="auto"/>
                <w:highlight w:val="none"/>
                <w:lang w:bidi="ar"/>
              </w:rPr>
            </w:pPr>
            <w:r>
              <w:rPr>
                <w:rStyle w:val="323"/>
                <w:rFonts w:hint="default" w:cs="宋体"/>
                <w:b/>
                <w:color w:val="auto"/>
                <w:highlight w:val="none"/>
                <w:lang w:bidi="ar"/>
              </w:rPr>
              <w:t>注册证号</w:t>
            </w:r>
          </w:p>
        </w:tc>
      </w:tr>
      <w:tr>
        <w:tblPrEx>
          <w:tblCellMar>
            <w:top w:w="0" w:type="dxa"/>
            <w:left w:w="0" w:type="dxa"/>
            <w:bottom w:w="0" w:type="dxa"/>
            <w:right w:w="0" w:type="dxa"/>
          </w:tblCellMar>
        </w:tblPrEx>
        <w:trPr>
          <w:trHeight w:val="335" w:hRule="atLeast"/>
          <w:jc w:val="center"/>
        </w:trPr>
        <w:tc>
          <w:tcPr>
            <w:tcW w:w="45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127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4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32"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78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9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86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r>
      <w:tr>
        <w:tblPrEx>
          <w:tblCellMar>
            <w:top w:w="0" w:type="dxa"/>
            <w:left w:w="0" w:type="dxa"/>
            <w:bottom w:w="0" w:type="dxa"/>
            <w:right w:w="0" w:type="dxa"/>
          </w:tblCellMar>
        </w:tblPrEx>
        <w:trPr>
          <w:trHeight w:val="329" w:hRule="atLeast"/>
          <w:jc w:val="center"/>
        </w:trPr>
        <w:tc>
          <w:tcPr>
            <w:tcW w:w="45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127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4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32"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78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9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86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r>
      <w:tr>
        <w:tblPrEx>
          <w:tblCellMar>
            <w:top w:w="0" w:type="dxa"/>
            <w:left w:w="0" w:type="dxa"/>
            <w:bottom w:w="0" w:type="dxa"/>
            <w:right w:w="0" w:type="dxa"/>
          </w:tblCellMar>
        </w:tblPrEx>
        <w:trPr>
          <w:trHeight w:val="329" w:hRule="atLeast"/>
          <w:jc w:val="center"/>
        </w:trPr>
        <w:tc>
          <w:tcPr>
            <w:tcW w:w="45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127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4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32"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78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9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86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r>
      <w:tr>
        <w:tblPrEx>
          <w:tblCellMar>
            <w:top w:w="0" w:type="dxa"/>
            <w:left w:w="0" w:type="dxa"/>
            <w:bottom w:w="0" w:type="dxa"/>
            <w:right w:w="0" w:type="dxa"/>
          </w:tblCellMar>
        </w:tblPrEx>
        <w:trPr>
          <w:trHeight w:val="329" w:hRule="atLeast"/>
          <w:jc w:val="center"/>
        </w:trPr>
        <w:tc>
          <w:tcPr>
            <w:tcW w:w="45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127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4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32"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78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9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86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r>
      <w:tr>
        <w:tblPrEx>
          <w:tblCellMar>
            <w:top w:w="0" w:type="dxa"/>
            <w:left w:w="0" w:type="dxa"/>
            <w:bottom w:w="0" w:type="dxa"/>
            <w:right w:w="0" w:type="dxa"/>
          </w:tblCellMar>
        </w:tblPrEx>
        <w:trPr>
          <w:trHeight w:val="329" w:hRule="atLeast"/>
          <w:jc w:val="center"/>
        </w:trPr>
        <w:tc>
          <w:tcPr>
            <w:tcW w:w="45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127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4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32"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78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9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86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r>
      <w:tr>
        <w:tblPrEx>
          <w:tblCellMar>
            <w:top w:w="0" w:type="dxa"/>
            <w:left w:w="0" w:type="dxa"/>
            <w:bottom w:w="0" w:type="dxa"/>
            <w:right w:w="0" w:type="dxa"/>
          </w:tblCellMar>
        </w:tblPrEx>
        <w:trPr>
          <w:trHeight w:val="329" w:hRule="atLeast"/>
          <w:jc w:val="center"/>
        </w:trPr>
        <w:tc>
          <w:tcPr>
            <w:tcW w:w="45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127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4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32"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78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9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86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4"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r>
      <w:tr>
        <w:tblPrEx>
          <w:tblCellMar>
            <w:top w:w="0" w:type="dxa"/>
            <w:left w:w="0" w:type="dxa"/>
            <w:bottom w:w="0" w:type="dxa"/>
            <w:right w:w="0" w:type="dxa"/>
          </w:tblCellMar>
        </w:tblPrEx>
        <w:trPr>
          <w:trHeight w:val="329" w:hRule="atLeast"/>
          <w:jc w:val="center"/>
        </w:trPr>
        <w:tc>
          <w:tcPr>
            <w:tcW w:w="456" w:type="dxa"/>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1274" w:type="dxa"/>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46" w:type="dxa"/>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832" w:type="dxa"/>
            <w:gridSpan w:val="2"/>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highlight w:val="none"/>
              </w:rPr>
            </w:pPr>
          </w:p>
        </w:tc>
        <w:tc>
          <w:tcPr>
            <w:tcW w:w="787" w:type="dxa"/>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94" w:type="dxa"/>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866" w:type="dxa"/>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3" w:type="dxa"/>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67" w:type="dxa"/>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4" w:type="dxa"/>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c>
          <w:tcPr>
            <w:tcW w:w="625" w:type="dxa"/>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spacing w:line="300" w:lineRule="auto"/>
              <w:jc w:val="center"/>
              <w:textAlignment w:val="center"/>
              <w:rPr>
                <w:rFonts w:ascii="宋体" w:hAnsi="宋体" w:cs="宋体"/>
                <w:color w:val="auto"/>
                <w:kern w:val="0"/>
                <w:highlight w:val="none"/>
                <w:lang w:bidi="ar"/>
              </w:rPr>
            </w:pPr>
          </w:p>
        </w:tc>
      </w:tr>
      <w:tr>
        <w:tblPrEx>
          <w:tblCellMar>
            <w:top w:w="0" w:type="dxa"/>
            <w:left w:w="0" w:type="dxa"/>
            <w:bottom w:w="0" w:type="dxa"/>
            <w:right w:w="0" w:type="dxa"/>
          </w:tblCellMar>
        </w:tblPrEx>
        <w:trPr>
          <w:trHeight w:val="558" w:hRule="atLeast"/>
          <w:jc w:val="center"/>
        </w:trPr>
        <w:tc>
          <w:tcPr>
            <w:tcW w:w="3365" w:type="dxa"/>
            <w:gridSpan w:val="4"/>
            <w:tcBorders>
              <w:top w:val="single" w:color="auto" w:sz="4" w:space="0"/>
              <w:left w:val="single" w:color="auto" w:sz="4" w:space="0"/>
              <w:bottom w:val="single" w:color="auto" w:sz="4" w:space="0"/>
              <w:right w:val="single" w:color="auto" w:sz="4" w:space="0"/>
            </w:tcBorders>
            <w:vAlign w:val="center"/>
          </w:tcPr>
          <w:p>
            <w:pPr>
              <w:widowControl/>
              <w:ind w:firstLine="422"/>
              <w:jc w:val="center"/>
              <w:textAlignment w:val="center"/>
              <w:rPr>
                <w:rFonts w:ascii="宋体" w:hAnsi="宋体" w:cs="宋体"/>
                <w:b/>
                <w:bCs/>
                <w:color w:val="auto"/>
                <w:kern w:val="0"/>
                <w:highlight w:val="none"/>
                <w:lang w:bidi="ar"/>
              </w:rPr>
            </w:pPr>
            <w:r>
              <w:rPr>
                <w:rFonts w:hint="eastAsia" w:ascii="宋体" w:hAnsi="宋体" w:cs="宋体"/>
                <w:b/>
                <w:bCs/>
                <w:color w:val="auto"/>
                <w:kern w:val="0"/>
                <w:highlight w:val="none"/>
                <w:lang w:bidi="ar"/>
              </w:rPr>
              <w:t>总价（元）</w:t>
            </w:r>
          </w:p>
        </w:tc>
        <w:tc>
          <w:tcPr>
            <w:tcW w:w="830" w:type="dxa"/>
            <w:gridSpan w:val="2"/>
            <w:tcBorders>
              <w:top w:val="single" w:color="auto" w:sz="4" w:space="0"/>
              <w:left w:val="single" w:color="auto" w:sz="4" w:space="0"/>
              <w:bottom w:val="single" w:color="auto" w:sz="4" w:space="0"/>
              <w:right w:val="single" w:color="auto" w:sz="4" w:space="0"/>
            </w:tcBorders>
          </w:tcPr>
          <w:p>
            <w:pPr>
              <w:widowControl/>
              <w:ind w:firstLine="422"/>
              <w:jc w:val="center"/>
              <w:textAlignment w:val="center"/>
              <w:rPr>
                <w:rFonts w:ascii="宋体" w:hAnsi="宋体" w:cs="宋体"/>
                <w:b/>
                <w:bCs/>
                <w:color w:val="auto"/>
                <w:kern w:val="0"/>
                <w:highlight w:val="none"/>
                <w:lang w:bidi="ar"/>
              </w:rPr>
            </w:pPr>
          </w:p>
        </w:tc>
        <w:tc>
          <w:tcPr>
            <w:tcW w:w="2890" w:type="dxa"/>
            <w:gridSpan w:val="4"/>
            <w:tcBorders>
              <w:top w:val="single" w:color="auto" w:sz="4" w:space="0"/>
              <w:left w:val="single" w:color="auto" w:sz="4" w:space="0"/>
              <w:bottom w:val="single" w:color="auto" w:sz="4" w:space="0"/>
              <w:right w:val="single" w:color="auto" w:sz="4" w:space="0"/>
            </w:tcBorders>
          </w:tcPr>
          <w:p>
            <w:pPr>
              <w:widowControl/>
              <w:spacing w:line="300" w:lineRule="auto"/>
              <w:ind w:firstLine="422"/>
              <w:jc w:val="center"/>
              <w:textAlignment w:val="center"/>
              <w:rPr>
                <w:rFonts w:ascii="宋体" w:hAnsi="宋体" w:cs="宋体"/>
                <w:b/>
                <w:bCs/>
                <w:color w:val="auto"/>
                <w:kern w:val="0"/>
                <w:highlight w:val="none"/>
                <w:lang w:bidi="ar"/>
              </w:rPr>
            </w:pPr>
          </w:p>
        </w:tc>
        <w:tc>
          <w:tcPr>
            <w:tcW w:w="624" w:type="dxa"/>
            <w:tcBorders>
              <w:top w:val="single" w:color="auto" w:sz="4" w:space="0"/>
              <w:left w:val="single" w:color="auto" w:sz="4" w:space="0"/>
              <w:bottom w:val="single" w:color="auto" w:sz="4" w:space="0"/>
              <w:right w:val="single" w:color="auto" w:sz="4" w:space="0"/>
            </w:tcBorders>
          </w:tcPr>
          <w:p>
            <w:pPr>
              <w:widowControl/>
              <w:spacing w:line="300" w:lineRule="auto"/>
              <w:ind w:firstLine="422"/>
              <w:jc w:val="center"/>
              <w:textAlignment w:val="center"/>
              <w:rPr>
                <w:rFonts w:ascii="宋体" w:hAnsi="宋体" w:cs="宋体"/>
                <w:b/>
                <w:bCs/>
                <w:color w:val="auto"/>
                <w:kern w:val="0"/>
                <w:highlight w:val="none"/>
                <w:lang w:bidi="ar"/>
              </w:rPr>
            </w:pPr>
          </w:p>
        </w:tc>
        <w:tc>
          <w:tcPr>
            <w:tcW w:w="625" w:type="dxa"/>
            <w:tcBorders>
              <w:top w:val="single" w:color="auto" w:sz="4" w:space="0"/>
              <w:left w:val="single" w:color="auto" w:sz="4" w:space="0"/>
              <w:bottom w:val="single" w:color="auto" w:sz="4" w:space="0"/>
              <w:right w:val="single" w:color="auto" w:sz="4" w:space="0"/>
            </w:tcBorders>
          </w:tcPr>
          <w:p>
            <w:pPr>
              <w:widowControl/>
              <w:spacing w:line="300" w:lineRule="auto"/>
              <w:ind w:firstLine="422"/>
              <w:jc w:val="center"/>
              <w:textAlignment w:val="center"/>
              <w:rPr>
                <w:rFonts w:ascii="宋体" w:hAnsi="宋体" w:cs="宋体"/>
                <w:b/>
                <w:bCs/>
                <w:color w:val="auto"/>
                <w:kern w:val="0"/>
                <w:highlight w:val="none"/>
                <w:lang w:bidi="ar"/>
              </w:rPr>
            </w:pPr>
          </w:p>
        </w:tc>
      </w:tr>
    </w:tbl>
    <w:p>
      <w:pPr>
        <w:pStyle w:val="24"/>
        <w:snapToGrid w:val="0"/>
        <w:spacing w:beforeLines="0" w:afterLines="0" w:line="240" w:lineRule="auto"/>
        <w:rPr>
          <w:rFonts w:hAnsi="宋体"/>
          <w:b/>
          <w:bCs/>
          <w:color w:val="auto"/>
          <w:sz w:val="21"/>
          <w:szCs w:val="21"/>
          <w:highlight w:val="none"/>
        </w:rPr>
      </w:pPr>
    </w:p>
    <w:p>
      <w:pPr>
        <w:pStyle w:val="2"/>
        <w:jc w:val="left"/>
        <w:rPr>
          <w:rFonts w:hAnsi="宋体"/>
          <w:color w:val="auto"/>
          <w:sz w:val="21"/>
          <w:szCs w:val="21"/>
          <w:highlight w:val="none"/>
        </w:rPr>
      </w:pPr>
      <w:r>
        <w:rPr>
          <w:rFonts w:hint="eastAsia" w:ascii="宋体" w:cs="宋体"/>
          <w:color w:val="auto"/>
          <w:sz w:val="21"/>
          <w:szCs w:val="21"/>
          <w:highlight w:val="none"/>
        </w:rPr>
        <w:t>注：投标试剂单价包含完成该项目的所有耗材及质控材料。</w:t>
      </w:r>
    </w:p>
    <w:p>
      <w:pPr>
        <w:pStyle w:val="24"/>
        <w:tabs>
          <w:tab w:val="left" w:pos="2472"/>
        </w:tabs>
        <w:snapToGrid w:val="0"/>
        <w:spacing w:beforeLines="0" w:afterLines="0" w:line="360" w:lineRule="auto"/>
        <w:jc w:val="left"/>
        <w:rPr>
          <w:rFonts w:hAnsi="宋体"/>
          <w:color w:val="auto"/>
          <w:sz w:val="21"/>
          <w:szCs w:val="21"/>
          <w:highlight w:val="none"/>
        </w:rPr>
      </w:pPr>
    </w:p>
    <w:p>
      <w:pPr>
        <w:pStyle w:val="24"/>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snapToGrid w:val="0"/>
        <w:spacing w:before="50" w:after="50"/>
        <w:rPr>
          <w:rFonts w:ascii="宋体" w:hAnsi="宋体" w:cs="宋体"/>
          <w:color w:val="auto"/>
          <w:highlight w:val="none"/>
        </w:rPr>
      </w:pPr>
      <w:r>
        <w:rPr>
          <w:rFonts w:hint="eastAsia" w:ascii="宋体" w:hAnsi="宋体" w:cs="宋体"/>
          <w:color w:val="auto"/>
          <w:highlight w:val="none"/>
        </w:rPr>
        <w:t>日期:_____年___月___日</w:t>
      </w:r>
    </w:p>
    <w:p>
      <w:pPr>
        <w:snapToGrid w:val="0"/>
        <w:spacing w:before="50" w:after="50"/>
        <w:ind w:firstLine="422"/>
        <w:rPr>
          <w:rFonts w:ascii="宋体" w:hAnsi="宋体" w:cs="宋体"/>
          <w:b/>
          <w:color w:val="auto"/>
          <w:highlight w:val="none"/>
        </w:rPr>
      </w:pPr>
    </w:p>
    <w:p>
      <w:pPr>
        <w:snapToGrid w:val="0"/>
        <w:spacing w:before="50" w:after="50"/>
        <w:rPr>
          <w:rFonts w:ascii="宋体" w:cs="宋体"/>
          <w:bCs w:val="0"/>
          <w:color w:val="auto"/>
          <w:sz w:val="21"/>
          <w:szCs w:val="21"/>
          <w:highlight w:val="none"/>
        </w:rPr>
        <w:sectPr>
          <w:pgSz w:w="11906" w:h="16838"/>
          <w:pgMar w:top="1474" w:right="1797" w:bottom="1247" w:left="1797" w:header="851" w:footer="851" w:gutter="0"/>
          <w:cols w:space="720" w:num="1"/>
          <w:titlePg/>
          <w:docGrid w:linePitch="312" w:charSpace="0"/>
        </w:sectPr>
      </w:pPr>
      <w:r>
        <w:rPr>
          <w:rFonts w:hint="eastAsia" w:ascii="宋体" w:hAnsi="宋体" w:cs="宋体"/>
          <w:b/>
          <w:color w:val="auto"/>
          <w:highlight w:val="none"/>
        </w:rPr>
        <w:t>注：联合体投标的，可只由联合体牵头人盖章</w:t>
      </w:r>
    </w:p>
    <w:p>
      <w:pPr>
        <w:pStyle w:val="19"/>
        <w:spacing w:line="520" w:lineRule="exact"/>
        <w:ind w:left="0" w:leftChars="0" w:firstLine="0" w:firstLineChars="0"/>
        <w:jc w:val="left"/>
        <w:rPr>
          <w:rFonts w:hAnsi="宋体"/>
          <w:color w:val="auto"/>
          <w:sz w:val="21"/>
          <w:szCs w:val="21"/>
          <w:highlight w:val="none"/>
        </w:rPr>
      </w:pPr>
      <w:r>
        <w:rPr>
          <w:rFonts w:hint="eastAsia" w:hAnsi="宋体"/>
          <w:color w:val="auto"/>
          <w:sz w:val="21"/>
          <w:szCs w:val="21"/>
          <w:highlight w:val="none"/>
        </w:rPr>
        <w:t>（4）中小企业声明函</w:t>
      </w:r>
    </w:p>
    <w:p>
      <w:pPr>
        <w:pStyle w:val="19"/>
        <w:spacing w:line="520" w:lineRule="exact"/>
        <w:ind w:firstLine="466"/>
        <w:rPr>
          <w:rFonts w:hAnsi="宋体"/>
          <w:b/>
          <w:bCs/>
          <w:color w:val="auto"/>
          <w:sz w:val="24"/>
          <w:szCs w:val="24"/>
          <w:highlight w:val="none"/>
        </w:rPr>
      </w:pPr>
    </w:p>
    <w:p>
      <w:pPr>
        <w:snapToGrid w:val="0"/>
        <w:spacing w:after="120" w:afterLines="50" w:line="360" w:lineRule="auto"/>
        <w:ind w:firstLine="422"/>
        <w:jc w:val="center"/>
        <w:rPr>
          <w:rFonts w:ascii="宋体" w:hAnsi="宋体" w:cs="宋体"/>
          <w:b/>
          <w:bCs/>
          <w:color w:val="auto"/>
          <w:highlight w:val="none"/>
        </w:rPr>
      </w:pPr>
      <w:r>
        <w:rPr>
          <w:rFonts w:hint="eastAsia" w:ascii="宋体" w:hAnsi="宋体" w:cs="宋体"/>
          <w:b/>
          <w:bCs/>
          <w:color w:val="auto"/>
          <w:highlight w:val="none"/>
        </w:rPr>
        <w:t>中小企业声明函</w:t>
      </w:r>
    </w:p>
    <w:p>
      <w:pPr>
        <w:spacing w:line="360" w:lineRule="auto"/>
        <w:ind w:firstLine="446"/>
        <w:rPr>
          <w:rFonts w:ascii="宋体" w:hAnsi="宋体" w:cs="宋体"/>
          <w:b/>
          <w:bCs/>
          <w:color w:val="auto"/>
          <w:spacing w:val="6"/>
          <w:highlight w:val="none"/>
        </w:rPr>
      </w:pP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本公司（联合体）郑重声明，根据《政府采购促进中小企业发展管理办法》（财库﹝2020﹞46 号）的规定，本公司（联合体）参加</w:t>
      </w:r>
      <w:r>
        <w:rPr>
          <w:rFonts w:hint="eastAsia" w:ascii="宋体" w:hAnsi="宋体" w:cs="宋体"/>
          <w:color w:val="auto"/>
          <w:spacing w:val="6"/>
          <w:highlight w:val="none"/>
          <w:u w:val="single"/>
        </w:rPr>
        <w:t>（单位名称）</w:t>
      </w:r>
      <w:r>
        <w:rPr>
          <w:rFonts w:hint="eastAsia" w:ascii="宋体" w:hAnsi="宋体" w:cs="宋体"/>
          <w:color w:val="auto"/>
          <w:spacing w:val="6"/>
          <w:highlight w:val="none"/>
        </w:rPr>
        <w:t>的</w:t>
      </w:r>
      <w:r>
        <w:rPr>
          <w:rFonts w:hint="eastAsia" w:ascii="宋体" w:hAnsi="宋体" w:cs="宋体"/>
          <w:color w:val="auto"/>
          <w:spacing w:val="6"/>
          <w:highlight w:val="none"/>
          <w:u w:val="single"/>
        </w:rPr>
        <w:t>（项目名称）</w:t>
      </w:r>
      <w:r>
        <w:rPr>
          <w:rFonts w:hint="eastAsia" w:ascii="宋体" w:hAnsi="宋体" w:cs="宋体"/>
          <w:color w:val="auto"/>
          <w:spacing w:val="6"/>
          <w:highlight w:val="none"/>
        </w:rPr>
        <w:t>采购活动，提供的货物全部由符合政策要求的中小企业制造。相关企业（含联合体中的中小企业、签订分包意向协议的中小企业）的具体情况如下：</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 xml:space="preserve">1. </w:t>
      </w:r>
      <w:r>
        <w:rPr>
          <w:rFonts w:hint="eastAsia" w:ascii="宋体" w:hAnsi="宋体" w:cs="宋体"/>
          <w:color w:val="auto"/>
          <w:spacing w:val="6"/>
          <w:highlight w:val="none"/>
          <w:u w:val="single"/>
          <w:lang w:val="en-US" w:eastAsia="zh-CN"/>
        </w:rPr>
        <w:t>全自动化学发光分析试剂/病原微生物核酸快速检测分析试剂/全自动尿液化学（尿沉渣）分析试剂</w:t>
      </w:r>
      <w:r>
        <w:rPr>
          <w:rFonts w:hint="eastAsia" w:ascii="宋体" w:hAnsi="宋体" w:cs="宋体"/>
          <w:color w:val="auto"/>
          <w:spacing w:val="6"/>
          <w:highlight w:val="none"/>
        </w:rPr>
        <w:t>，属于</w:t>
      </w:r>
      <w:r>
        <w:rPr>
          <w:rFonts w:hint="eastAsia" w:ascii="宋体" w:hAnsi="宋体" w:cs="宋体"/>
          <w:color w:val="auto"/>
          <w:spacing w:val="6"/>
          <w:highlight w:val="none"/>
          <w:u w:val="single"/>
        </w:rPr>
        <w:t>工业</w:t>
      </w:r>
      <w:r>
        <w:rPr>
          <w:rFonts w:hint="eastAsia" w:ascii="宋体" w:hAnsi="宋体" w:cs="宋体"/>
          <w:color w:val="auto"/>
          <w:spacing w:val="6"/>
          <w:highlight w:val="none"/>
        </w:rPr>
        <w:t>行业；制造商为</w:t>
      </w:r>
      <w:r>
        <w:rPr>
          <w:rFonts w:hint="eastAsia" w:ascii="宋体" w:hAnsi="宋体" w:cs="宋体"/>
          <w:color w:val="auto"/>
          <w:spacing w:val="6"/>
          <w:highlight w:val="none"/>
          <w:u w:val="single"/>
        </w:rPr>
        <w:t>（企业名称）</w:t>
      </w:r>
      <w:r>
        <w:rPr>
          <w:rFonts w:hint="eastAsia" w:ascii="宋体" w:hAnsi="宋体" w:cs="宋体"/>
          <w:color w:val="auto"/>
          <w:spacing w:val="6"/>
          <w:highlight w:val="none"/>
        </w:rPr>
        <w:t>，从业人员人，营业收入为万元</w:t>
      </w:r>
      <w:r>
        <w:rPr>
          <w:rFonts w:hint="eastAsia" w:ascii="宋体" w:hAnsi="宋体" w:cs="宋体"/>
          <w:color w:val="auto"/>
          <w:highlight w:val="none"/>
          <w:vertAlign w:val="superscript"/>
        </w:rPr>
        <w:t>1</w:t>
      </w:r>
      <w:r>
        <w:rPr>
          <w:rFonts w:hint="eastAsia" w:ascii="宋体" w:hAnsi="宋体" w:cs="宋体"/>
          <w:color w:val="auto"/>
          <w:spacing w:val="6"/>
          <w:highlight w:val="none"/>
        </w:rPr>
        <w:t>，资产总额为万元，属于</w:t>
      </w:r>
      <w:r>
        <w:rPr>
          <w:rFonts w:hint="eastAsia" w:ascii="宋体" w:hAnsi="宋体" w:cs="宋体"/>
          <w:color w:val="auto"/>
          <w:spacing w:val="6"/>
          <w:highlight w:val="none"/>
          <w:u w:val="single"/>
        </w:rPr>
        <w:t>（中型企业、小型企业、微型企业）</w:t>
      </w:r>
      <w:r>
        <w:rPr>
          <w:rFonts w:hint="eastAsia" w:ascii="宋体" w:hAnsi="宋体" w:cs="宋体"/>
          <w:color w:val="auto"/>
          <w:spacing w:val="6"/>
          <w:highlight w:val="none"/>
        </w:rPr>
        <w:t>；</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2.</w:t>
      </w:r>
      <w:r>
        <w:rPr>
          <w:rFonts w:hint="eastAsia" w:ascii="宋体" w:hAnsi="宋体" w:cs="宋体"/>
          <w:color w:val="auto"/>
          <w:spacing w:val="6"/>
          <w:highlight w:val="none"/>
          <w:u w:val="single"/>
        </w:rPr>
        <w:t>配套仪器</w:t>
      </w:r>
      <w:r>
        <w:rPr>
          <w:rFonts w:hint="eastAsia" w:ascii="宋体" w:hAnsi="宋体" w:cs="宋体"/>
          <w:color w:val="auto"/>
          <w:spacing w:val="6"/>
          <w:highlight w:val="none"/>
        </w:rPr>
        <w:t>，属于</w:t>
      </w:r>
      <w:r>
        <w:rPr>
          <w:rFonts w:hint="eastAsia" w:ascii="宋体" w:hAnsi="宋体" w:cs="宋体"/>
          <w:color w:val="auto"/>
          <w:spacing w:val="6"/>
          <w:highlight w:val="none"/>
          <w:u w:val="single"/>
        </w:rPr>
        <w:t>工业</w:t>
      </w:r>
      <w:r>
        <w:rPr>
          <w:rFonts w:hint="eastAsia" w:ascii="宋体" w:hAnsi="宋体" w:cs="宋体"/>
          <w:color w:val="auto"/>
          <w:spacing w:val="6"/>
          <w:highlight w:val="none"/>
        </w:rPr>
        <w:t>行业；制造商为</w:t>
      </w:r>
      <w:r>
        <w:rPr>
          <w:rFonts w:hint="eastAsia" w:ascii="宋体" w:hAnsi="宋体" w:cs="宋体"/>
          <w:color w:val="auto"/>
          <w:spacing w:val="6"/>
          <w:highlight w:val="none"/>
          <w:u w:val="single"/>
        </w:rPr>
        <w:t>（企业名称）</w:t>
      </w:r>
      <w:r>
        <w:rPr>
          <w:rFonts w:hint="eastAsia" w:ascii="宋体" w:hAnsi="宋体" w:cs="宋体"/>
          <w:color w:val="auto"/>
          <w:spacing w:val="6"/>
          <w:highlight w:val="none"/>
        </w:rPr>
        <w:t>，从业人员人，营业收入为万元，资产总额为万元，属于</w:t>
      </w:r>
      <w:r>
        <w:rPr>
          <w:rFonts w:hint="eastAsia" w:ascii="宋体" w:hAnsi="宋体" w:cs="宋体"/>
          <w:color w:val="auto"/>
          <w:spacing w:val="6"/>
          <w:highlight w:val="none"/>
          <w:u w:val="single"/>
        </w:rPr>
        <w:t>（中型企业、小型企业、微型企业）</w:t>
      </w:r>
      <w:r>
        <w:rPr>
          <w:rFonts w:hint="eastAsia" w:ascii="宋体" w:hAnsi="宋体" w:cs="宋体"/>
          <w:color w:val="auto"/>
          <w:spacing w:val="6"/>
          <w:highlight w:val="none"/>
        </w:rPr>
        <w:t>；</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以上企业，不属于大企业的分支机构，不存在控股股东为大企业的情形，也不存在与大企业的负责人为同一人的情形。</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本企业对上述声明内容的真实性负责。如有虚假，将依法承担相应责任。</w:t>
      </w:r>
    </w:p>
    <w:p>
      <w:pPr>
        <w:spacing w:line="360" w:lineRule="auto"/>
        <w:ind w:firstLine="444" w:firstLineChars="200"/>
        <w:rPr>
          <w:rFonts w:ascii="宋体" w:hAnsi="宋体" w:cs="宋体"/>
          <w:color w:val="auto"/>
          <w:spacing w:val="6"/>
          <w:highlight w:val="none"/>
        </w:rPr>
      </w:pPr>
    </w:p>
    <w:p>
      <w:pPr>
        <w:spacing w:line="360" w:lineRule="auto"/>
        <w:ind w:firstLine="3330" w:firstLineChars="1500"/>
        <w:rPr>
          <w:rFonts w:ascii="宋体" w:hAnsi="宋体" w:cs="宋体"/>
          <w:color w:val="auto"/>
          <w:spacing w:val="6"/>
          <w:highlight w:val="none"/>
        </w:rPr>
      </w:pPr>
      <w:r>
        <w:rPr>
          <w:rFonts w:hint="eastAsia" w:ascii="宋体" w:hAnsi="宋体" w:cs="宋体"/>
          <w:color w:val="auto"/>
          <w:spacing w:val="6"/>
          <w:highlight w:val="none"/>
        </w:rPr>
        <w:t>企业名称（盖章）：</w:t>
      </w:r>
    </w:p>
    <w:p>
      <w:pPr>
        <w:spacing w:line="360" w:lineRule="auto"/>
        <w:ind w:firstLine="444" w:firstLineChars="200"/>
        <w:rPr>
          <w:rFonts w:ascii="宋体" w:hAnsi="宋体" w:cs="宋体"/>
          <w:color w:val="auto"/>
          <w:spacing w:val="6"/>
          <w:highlight w:val="none"/>
        </w:rPr>
      </w:pPr>
      <w:r>
        <w:rPr>
          <w:rFonts w:hint="eastAsia" w:ascii="宋体" w:hAnsi="宋体" w:cs="宋体"/>
          <w:color w:val="auto"/>
          <w:spacing w:val="6"/>
          <w:highlight w:val="none"/>
        </w:rPr>
        <w:t>日期：</w:t>
      </w:r>
    </w:p>
    <w:p>
      <w:pPr>
        <w:widowControl/>
        <w:tabs>
          <w:tab w:val="left" w:pos="606"/>
        </w:tabs>
        <w:spacing w:line="360" w:lineRule="auto"/>
        <w:ind w:firstLine="396"/>
        <w:jc w:val="left"/>
        <w:rPr>
          <w:rFonts w:ascii="宋体" w:hAnsi="宋体" w:cs="宋体"/>
          <w:color w:val="auto"/>
          <w:spacing w:val="-6"/>
          <w:kern w:val="0"/>
          <w:highlight w:val="none"/>
        </w:rPr>
      </w:pPr>
    </w:p>
    <w:p>
      <w:pPr>
        <w:widowControl/>
        <w:tabs>
          <w:tab w:val="left" w:pos="606"/>
        </w:tabs>
        <w:spacing w:line="360" w:lineRule="auto"/>
        <w:ind w:firstLine="396"/>
        <w:jc w:val="left"/>
        <w:rPr>
          <w:rFonts w:ascii="宋体" w:hAnsi="宋体" w:cs="宋体"/>
          <w:color w:val="auto"/>
          <w:kern w:val="0"/>
          <w:highlight w:val="none"/>
        </w:rPr>
      </w:pPr>
      <w:r>
        <w:rPr>
          <w:rFonts w:hint="eastAsia" w:ascii="宋体" w:hAnsi="宋体" w:cs="宋体"/>
          <w:color w:val="auto"/>
          <w:spacing w:val="-6"/>
          <w:kern w:val="0"/>
          <w:highlight w:val="none"/>
        </w:rPr>
        <w:t>1</w:t>
      </w:r>
      <w:r>
        <w:rPr>
          <w:rFonts w:hint="eastAsia" w:ascii="宋体" w:hAnsi="宋体" w:cs="宋体"/>
          <w:color w:val="auto"/>
          <w:kern w:val="0"/>
          <w:highlight w:val="none"/>
        </w:rPr>
        <w:t>、从业人员、营业收入、资产总额填报上一年度数据，无上一年度数据的新成立企业可不填报。</w:t>
      </w:r>
    </w:p>
    <w:p>
      <w:pPr>
        <w:widowControl/>
        <w:tabs>
          <w:tab w:val="left" w:pos="606"/>
        </w:tabs>
        <w:spacing w:line="360" w:lineRule="auto"/>
        <w:jc w:val="left"/>
        <w:rPr>
          <w:rFonts w:ascii="宋体" w:hAnsi="宋体" w:cs="宋体"/>
          <w:color w:val="auto"/>
          <w:kern w:val="0"/>
          <w:highlight w:val="none"/>
        </w:rPr>
      </w:pPr>
      <w:r>
        <w:rPr>
          <w:rFonts w:hint="eastAsia" w:ascii="宋体" w:hAnsi="宋体" w:cs="宋体"/>
          <w:color w:val="auto"/>
          <w:kern w:val="0"/>
          <w:highlight w:val="none"/>
        </w:rPr>
        <w:t>2、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pacing w:line="360" w:lineRule="auto"/>
        <w:ind w:firstLine="422"/>
        <w:jc w:val="center"/>
        <w:rPr>
          <w:rFonts w:ascii="宋体" w:hAnsi="宋体" w:cs="宋体"/>
          <w:b/>
          <w:bCs/>
          <w:color w:val="auto"/>
          <w:kern w:val="0"/>
          <w:highlight w:val="none"/>
        </w:rPr>
      </w:pPr>
    </w:p>
    <w:p>
      <w:pPr>
        <w:snapToGrid w:val="0"/>
        <w:spacing w:line="360" w:lineRule="auto"/>
        <w:ind w:firstLine="422"/>
        <w:jc w:val="left"/>
        <w:rPr>
          <w:rFonts w:ascii="宋体" w:hAnsi="宋体" w:cs="宋体"/>
          <w:color w:val="auto"/>
          <w:highlight w:val="none"/>
        </w:rPr>
      </w:pPr>
      <w:r>
        <w:rPr>
          <w:rFonts w:hint="eastAsia" w:ascii="宋体" w:hAnsi="宋体" w:cs="宋体"/>
          <w:b/>
          <w:bCs/>
          <w:color w:val="auto"/>
          <w:kern w:val="0"/>
          <w:highlight w:val="none"/>
        </w:rPr>
        <w:t>注：适用小微企业政策的请提供，未提供的不享受小微企业政策</w:t>
      </w:r>
      <w:r>
        <w:rPr>
          <w:rFonts w:hint="eastAsia" w:ascii="宋体" w:hAnsi="宋体" w:cs="宋体"/>
          <w:b/>
          <w:bCs/>
          <w:color w:val="auto"/>
          <w:highlight w:val="none"/>
        </w:rPr>
        <w:t>。</w:t>
      </w:r>
    </w:p>
    <w:p>
      <w:pPr>
        <w:adjustRightInd w:val="0"/>
        <w:snapToGrid w:val="0"/>
        <w:spacing w:line="360" w:lineRule="auto"/>
        <w:jc w:val="left"/>
        <w:rPr>
          <w:rFonts w:ascii="宋体" w:hAnsi="宋体" w:cs="宋体"/>
          <w:color w:val="auto"/>
          <w:highlight w:val="none"/>
        </w:rPr>
      </w:pPr>
    </w:p>
    <w:p>
      <w:pPr>
        <w:pStyle w:val="19"/>
        <w:spacing w:line="520" w:lineRule="exact"/>
        <w:ind w:firstLine="404"/>
        <w:jc w:val="left"/>
        <w:rPr>
          <w:rFonts w:hAnsi="宋体"/>
          <w:color w:val="auto"/>
          <w:sz w:val="21"/>
          <w:szCs w:val="21"/>
          <w:highlight w:val="none"/>
        </w:rPr>
        <w:sectPr>
          <w:pgSz w:w="11906" w:h="16838"/>
          <w:pgMar w:top="1474" w:right="1797" w:bottom="1247" w:left="1797" w:header="851" w:footer="851" w:gutter="0"/>
          <w:cols w:space="720" w:num="1"/>
          <w:titlePg/>
          <w:docGrid w:linePitch="312" w:charSpace="0"/>
        </w:sectPr>
      </w:pPr>
    </w:p>
    <w:p>
      <w:pPr>
        <w:tabs>
          <w:tab w:val="left" w:pos="518"/>
          <w:tab w:val="left" w:pos="840"/>
        </w:tabs>
        <w:spacing w:line="360" w:lineRule="auto"/>
        <w:rPr>
          <w:rFonts w:ascii="宋体" w:hAnsi="宋体" w:cs="宋体"/>
          <w:color w:val="auto"/>
          <w:highlight w:val="none"/>
        </w:rPr>
      </w:pPr>
      <w:r>
        <w:rPr>
          <w:rFonts w:hint="eastAsia" w:ascii="宋体" w:hAnsi="宋体" w:cs="宋体"/>
          <w:color w:val="auto"/>
          <w:highlight w:val="none"/>
        </w:rPr>
        <w:t>（5）供应商为监狱企业的证明文件：省级以上监狱管理局、戒毒管理局（含新疆生产建设兵团）出具（如是请提供）；</w:t>
      </w:r>
    </w:p>
    <w:p>
      <w:pPr>
        <w:pStyle w:val="19"/>
        <w:spacing w:line="520" w:lineRule="exact"/>
        <w:ind w:left="0" w:leftChars="0" w:firstLine="0" w:firstLineChars="0"/>
        <w:jc w:val="left"/>
        <w:rPr>
          <w:rFonts w:hAnsi="宋体"/>
          <w:color w:val="auto"/>
          <w:sz w:val="21"/>
          <w:szCs w:val="21"/>
          <w:highlight w:val="none"/>
        </w:rPr>
      </w:pPr>
      <w:r>
        <w:rPr>
          <w:rFonts w:hint="eastAsia" w:hAnsi="宋体"/>
          <w:color w:val="auto"/>
          <w:sz w:val="21"/>
          <w:szCs w:val="21"/>
          <w:highlight w:val="none"/>
        </w:rPr>
        <w:t>（6）残疾人福利性单位声明函</w:t>
      </w:r>
    </w:p>
    <w:p>
      <w:pPr>
        <w:ind w:firstLine="422"/>
        <w:jc w:val="center"/>
        <w:rPr>
          <w:rFonts w:ascii="宋体" w:hAnsi="宋体" w:cs="宋体"/>
          <w:b/>
          <w:color w:val="auto"/>
          <w:kern w:val="0"/>
          <w:highlight w:val="none"/>
        </w:rPr>
      </w:pPr>
    </w:p>
    <w:p>
      <w:pPr>
        <w:spacing w:line="588" w:lineRule="exact"/>
        <w:ind w:firstLine="446"/>
        <w:jc w:val="center"/>
        <w:rPr>
          <w:rFonts w:ascii="宋体" w:hAnsi="宋体" w:cs="宋体"/>
          <w:b/>
          <w:bCs/>
          <w:color w:val="auto"/>
          <w:spacing w:val="6"/>
          <w:highlight w:val="none"/>
        </w:rPr>
      </w:pPr>
      <w:bookmarkStart w:id="170" w:name="OLE_LINK14"/>
      <w:bookmarkStart w:id="171" w:name="OLE_LINK13"/>
      <w:r>
        <w:rPr>
          <w:rFonts w:hint="eastAsia" w:ascii="宋体" w:hAnsi="宋体" w:cs="宋体"/>
          <w:b/>
          <w:bCs/>
          <w:color w:val="auto"/>
          <w:spacing w:val="6"/>
          <w:highlight w:val="none"/>
        </w:rPr>
        <w:t>残疾人福利性单位声明函</w:t>
      </w:r>
    </w:p>
    <w:bookmarkEnd w:id="170"/>
    <w:bookmarkEnd w:id="171"/>
    <w:p>
      <w:pPr>
        <w:spacing w:line="588" w:lineRule="exact"/>
        <w:ind w:firstLine="446"/>
        <w:rPr>
          <w:rFonts w:ascii="宋体" w:hAnsi="宋体" w:cs="宋体"/>
          <w:b/>
          <w:bCs/>
          <w:color w:val="auto"/>
          <w:spacing w:val="6"/>
          <w:highlight w:val="none"/>
        </w:rPr>
      </w:pPr>
    </w:p>
    <w:p>
      <w:pPr>
        <w:spacing w:line="588" w:lineRule="exact"/>
        <w:ind w:firstLine="444" w:firstLineChars="200"/>
        <w:rPr>
          <w:rFonts w:ascii="宋体" w:hAnsi="宋体" w:cs="宋体"/>
          <w:color w:val="auto"/>
          <w:spacing w:val="6"/>
          <w:highlight w:val="none"/>
        </w:rPr>
      </w:pPr>
      <w:r>
        <w:rPr>
          <w:rFonts w:hint="eastAsia" w:ascii="宋体" w:hAnsi="宋体" w:cs="宋体"/>
          <w:color w:val="auto"/>
          <w:spacing w:val="6"/>
          <w:highlight w:val="none"/>
        </w:rPr>
        <w:t>本单位郑重声明，根据《财政部民政部中国残疾人联合会关于促进残疾人就业政府采购政策的通知》（财库</w:t>
      </w:r>
      <w:r>
        <w:rPr>
          <w:rFonts w:hint="eastAsia" w:ascii="宋体" w:hAnsi="宋体" w:cs="宋体"/>
          <w:color w:val="auto"/>
          <w:highlight w:val="none"/>
        </w:rPr>
        <w:t>〔2017〕 141</w:t>
      </w:r>
      <w:r>
        <w:rPr>
          <w:rFonts w:hint="eastAsia" w:ascii="宋体" w:hAnsi="宋体" w:cs="宋体"/>
          <w:color w:val="auto"/>
          <w:spacing w:val="6"/>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588" w:lineRule="exact"/>
        <w:ind w:firstLine="444" w:firstLineChars="200"/>
        <w:rPr>
          <w:rFonts w:ascii="宋体" w:hAnsi="宋体" w:cs="宋体"/>
          <w:color w:val="auto"/>
          <w:spacing w:val="6"/>
          <w:highlight w:val="none"/>
        </w:rPr>
      </w:pPr>
    </w:p>
    <w:p>
      <w:pPr>
        <w:spacing w:line="588" w:lineRule="exact"/>
        <w:ind w:firstLine="444" w:firstLineChars="200"/>
        <w:rPr>
          <w:rFonts w:ascii="宋体" w:hAnsi="宋体" w:cs="宋体"/>
          <w:color w:val="auto"/>
          <w:spacing w:val="6"/>
          <w:highlight w:val="none"/>
        </w:rPr>
      </w:pPr>
    </w:p>
    <w:p>
      <w:pPr>
        <w:tabs>
          <w:tab w:val="left" w:pos="4860"/>
        </w:tabs>
        <w:spacing w:line="588" w:lineRule="exact"/>
        <w:ind w:right="1560"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单位名称（盖章）：</w:t>
      </w:r>
    </w:p>
    <w:p>
      <w:pPr>
        <w:tabs>
          <w:tab w:val="left" w:pos="4860"/>
        </w:tabs>
        <w:spacing w:line="588" w:lineRule="exact"/>
        <w:ind w:right="1560"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日期：</w:t>
      </w:r>
    </w:p>
    <w:p>
      <w:pPr>
        <w:pStyle w:val="18"/>
        <w:ind w:firstLine="560"/>
        <w:rPr>
          <w:rFonts w:ascii="宋体" w:hAnsi="宋体" w:cs="宋体"/>
          <w:color w:val="auto"/>
          <w:highlight w:val="none"/>
        </w:rPr>
      </w:pPr>
    </w:p>
    <w:p>
      <w:pPr>
        <w:rPr>
          <w:rFonts w:ascii="宋体" w:hAnsi="宋体" w:cs="宋体"/>
          <w:color w:val="auto"/>
          <w:highlight w:val="none"/>
        </w:rPr>
      </w:pPr>
    </w:p>
    <w:p>
      <w:pPr>
        <w:pStyle w:val="18"/>
        <w:ind w:firstLine="560"/>
        <w:rPr>
          <w:rFonts w:ascii="宋体" w:hAnsi="宋体" w:cs="宋体"/>
          <w:color w:val="auto"/>
          <w:highlight w:val="none"/>
        </w:rPr>
      </w:pPr>
    </w:p>
    <w:p>
      <w:pPr>
        <w:rPr>
          <w:rFonts w:ascii="宋体" w:hAnsi="宋体" w:cs="宋体"/>
          <w:color w:val="auto"/>
          <w:highlight w:val="none"/>
        </w:rPr>
      </w:pPr>
    </w:p>
    <w:p>
      <w:pPr>
        <w:pStyle w:val="18"/>
        <w:ind w:firstLine="560"/>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t>（7）投标人针对报价需要说明的其他文件和说明</w:t>
      </w:r>
    </w:p>
    <w:p>
      <w:pPr>
        <w:pStyle w:val="19"/>
        <w:snapToGrid w:val="0"/>
        <w:spacing w:line="360" w:lineRule="auto"/>
        <w:ind w:firstLine="344"/>
        <w:rPr>
          <w:rFonts w:hAnsi="宋体"/>
          <w:b/>
          <w:bCs/>
          <w:color w:val="auto"/>
          <w:highlight w:val="none"/>
        </w:rPr>
      </w:pPr>
      <w:r>
        <w:rPr>
          <w:rFonts w:hint="eastAsia" w:hAnsi="宋体"/>
          <w:color w:val="auto"/>
          <w:highlight w:val="none"/>
        </w:rPr>
        <w:br w:type="page"/>
      </w:r>
      <w:r>
        <w:rPr>
          <w:rFonts w:hint="eastAsia" w:hAnsi="宋体"/>
          <w:b/>
          <w:bCs/>
          <w:color w:val="auto"/>
          <w:sz w:val="21"/>
          <w:szCs w:val="21"/>
          <w:highlight w:val="none"/>
        </w:rPr>
        <w:t>二、资格证明文件</w:t>
      </w:r>
    </w:p>
    <w:p>
      <w:pPr>
        <w:outlineLvl w:val="2"/>
        <w:rPr>
          <w:rFonts w:ascii="宋体" w:hAnsi="宋体" w:cs="宋体"/>
          <w:b/>
          <w:bCs/>
          <w:color w:val="auto"/>
          <w:highlight w:val="none"/>
        </w:rPr>
      </w:pPr>
      <w:bookmarkStart w:id="172" w:name="_Toc275865606"/>
      <w:r>
        <w:rPr>
          <w:rFonts w:hint="eastAsia" w:ascii="宋体" w:hAnsi="宋体" w:cs="宋体"/>
          <w:b/>
          <w:bCs/>
          <w:color w:val="auto"/>
          <w:highlight w:val="none"/>
        </w:rPr>
        <w:t>（1）投标人的营业执照副本复印件</w:t>
      </w:r>
    </w:p>
    <w:p>
      <w:pPr>
        <w:ind w:firstLine="422"/>
        <w:outlineLvl w:val="2"/>
        <w:rPr>
          <w:rFonts w:ascii="宋体" w:hAnsi="宋体" w:cs="宋体"/>
          <w:b/>
          <w:bCs/>
          <w:color w:val="auto"/>
          <w:highlight w:val="none"/>
        </w:rPr>
      </w:pPr>
    </w:p>
    <w:p>
      <w:pPr>
        <w:ind w:firstLine="422"/>
        <w:outlineLvl w:val="2"/>
        <w:rPr>
          <w:rFonts w:ascii="宋体" w:hAnsi="宋体" w:cs="宋体"/>
          <w:b/>
          <w:bCs/>
          <w:color w:val="auto"/>
          <w:highlight w:val="none"/>
        </w:rPr>
      </w:pPr>
    </w:p>
    <w:p>
      <w:pPr>
        <w:outlineLvl w:val="2"/>
        <w:rPr>
          <w:rFonts w:ascii="宋体" w:hAnsi="宋体" w:cs="宋体"/>
          <w:b/>
          <w:bCs/>
          <w:color w:val="auto"/>
          <w:sz w:val="28"/>
          <w:szCs w:val="28"/>
          <w:highlight w:val="none"/>
        </w:rPr>
      </w:pPr>
      <w:r>
        <w:rPr>
          <w:rFonts w:hint="eastAsia" w:ascii="宋体" w:hAnsi="宋体" w:cs="宋体"/>
          <w:b/>
          <w:bCs/>
          <w:color w:val="auto"/>
          <w:highlight w:val="none"/>
        </w:rPr>
        <w:t>（2）投标人资格声明函</w:t>
      </w:r>
    </w:p>
    <w:p>
      <w:pPr>
        <w:ind w:firstLine="422"/>
        <w:jc w:val="center"/>
        <w:rPr>
          <w:rFonts w:ascii="宋体" w:hAnsi="宋体" w:cs="宋体"/>
          <w:b/>
          <w:bCs/>
          <w:color w:val="auto"/>
          <w:highlight w:val="none"/>
        </w:rPr>
      </w:pPr>
    </w:p>
    <w:p>
      <w:pPr>
        <w:ind w:firstLine="422"/>
        <w:jc w:val="center"/>
        <w:rPr>
          <w:rFonts w:ascii="宋体" w:hAnsi="宋体" w:cs="宋体"/>
          <w:b/>
          <w:bCs/>
          <w:color w:val="auto"/>
          <w:highlight w:val="none"/>
        </w:rPr>
      </w:pPr>
    </w:p>
    <w:p>
      <w:pPr>
        <w:ind w:firstLine="422"/>
        <w:jc w:val="center"/>
        <w:rPr>
          <w:rFonts w:ascii="宋体" w:hAnsi="宋体" w:cs="宋体"/>
          <w:b/>
          <w:bCs/>
          <w:color w:val="auto"/>
          <w:highlight w:val="none"/>
        </w:rPr>
      </w:pPr>
      <w:r>
        <w:rPr>
          <w:rFonts w:hint="eastAsia" w:ascii="宋体" w:hAnsi="宋体" w:cs="宋体"/>
          <w:b/>
          <w:bCs/>
          <w:color w:val="auto"/>
          <w:highlight w:val="none"/>
        </w:rPr>
        <w:t>投标人资格声明函</w:t>
      </w:r>
      <w:bookmarkEnd w:id="172"/>
    </w:p>
    <w:p>
      <w:pPr>
        <w:ind w:firstLine="422"/>
        <w:rPr>
          <w:rFonts w:ascii="宋体" w:hAnsi="宋体" w:cs="宋体"/>
          <w:b/>
          <w:bCs/>
          <w:color w:val="auto"/>
          <w:highlight w:val="none"/>
        </w:rPr>
      </w:pPr>
    </w:p>
    <w:p>
      <w:pPr>
        <w:spacing w:line="360" w:lineRule="auto"/>
        <w:ind w:firstLine="422"/>
        <w:rPr>
          <w:rFonts w:ascii="宋体" w:hAnsi="宋体" w:cs="宋体"/>
          <w:b/>
          <w:bCs/>
          <w:color w:val="auto"/>
          <w:highlight w:val="none"/>
        </w:rPr>
      </w:pPr>
      <w:r>
        <w:rPr>
          <w:rFonts w:hint="eastAsia" w:ascii="宋体" w:hAnsi="宋体" w:cs="宋体"/>
          <w:b/>
          <w:bCs/>
          <w:color w:val="auto"/>
          <w:highlight w:val="none"/>
        </w:rPr>
        <w:t>宁波中基国际招标有限公司：</w:t>
      </w:r>
    </w:p>
    <w:p>
      <w:pPr>
        <w:numPr>
          <w:ilvl w:val="0"/>
          <w:numId w:val="23"/>
        </w:num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我方具备《中华人民共和国政府采购法》第二十二条规定资格条件：</w:t>
      </w:r>
    </w:p>
    <w:p>
      <w:pPr>
        <w:snapToGrid w:val="0"/>
        <w:spacing w:line="360" w:lineRule="auto"/>
        <w:ind w:firstLine="630" w:firstLineChars="300"/>
        <w:rPr>
          <w:rFonts w:ascii="宋体" w:hAnsi="宋体" w:cs="宋体"/>
          <w:color w:val="auto"/>
          <w:highlight w:val="none"/>
        </w:rPr>
      </w:pPr>
      <w:r>
        <w:rPr>
          <w:rFonts w:hint="eastAsia" w:ascii="宋体" w:hAnsi="宋体" w:cs="宋体"/>
          <w:color w:val="auto"/>
          <w:highlight w:val="none"/>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2、我方的单位负责人与所参投的本采购项目的其他投标人的单位负责人不为同一人且与其他投标人之间不存在直接控股、管理关系。</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3、我方不是本采购项目提供整体设计、规范编制或者项目管理、监理、检测等服务的供应商。</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4、我方未被“信用中国”（www.creditchina.gov.cn)、中国政府采购网（www.ccgp.gov.cn）列入失信被执行人、重大税收违法案件当事人名单、政府采购严重违法失信行为记录名单。</w:t>
      </w:r>
    </w:p>
    <w:p>
      <w:pPr>
        <w:spacing w:line="360" w:lineRule="auto"/>
        <w:ind w:firstLine="420"/>
        <w:rPr>
          <w:rFonts w:ascii="宋体" w:hAnsi="宋体" w:cs="宋体"/>
          <w:b/>
          <w:bCs/>
          <w:color w:val="auto"/>
          <w:highlight w:val="none"/>
        </w:rPr>
      </w:pPr>
      <w:r>
        <w:rPr>
          <w:rFonts w:hint="eastAsia" w:ascii="宋体" w:hAnsi="宋体" w:cs="宋体"/>
          <w:color w:val="auto"/>
          <w:highlight w:val="none"/>
        </w:rPr>
        <w:t>我方对上述声明的真实性负责。本次招标采购活动中，如有违法、违规、弄虚作假行为，所造成的损失、不良后果及法律责任，一律由我我方承担</w:t>
      </w:r>
    </w:p>
    <w:p>
      <w:pPr>
        <w:spacing w:line="360" w:lineRule="auto"/>
        <w:ind w:firstLine="422"/>
        <w:rPr>
          <w:rFonts w:ascii="宋体" w:hAnsi="宋体" w:cs="宋体"/>
          <w:b/>
          <w:bCs/>
          <w:color w:val="auto"/>
          <w:highlight w:val="none"/>
        </w:rPr>
      </w:pPr>
    </w:p>
    <w:p>
      <w:pPr>
        <w:spacing w:line="360" w:lineRule="auto"/>
        <w:ind w:firstLine="422"/>
        <w:rPr>
          <w:rFonts w:ascii="宋体" w:hAnsi="宋体" w:cs="宋体"/>
          <w:b/>
          <w:bCs/>
          <w:color w:val="auto"/>
          <w:highlight w:val="none"/>
        </w:rPr>
      </w:pPr>
    </w:p>
    <w:p>
      <w:pPr>
        <w:spacing w:line="360" w:lineRule="auto"/>
        <w:ind w:firstLine="422"/>
        <w:rPr>
          <w:rFonts w:ascii="宋体" w:hAnsi="宋体" w:cs="宋体"/>
          <w:b/>
          <w:bCs/>
          <w:color w:val="auto"/>
          <w:highlight w:val="none"/>
        </w:rPr>
      </w:pPr>
      <w:r>
        <w:rPr>
          <w:rFonts w:hint="eastAsia" w:ascii="宋体" w:hAnsi="宋体" w:cs="宋体"/>
          <w:b/>
          <w:bCs/>
          <w:color w:val="auto"/>
          <w:highlight w:val="none"/>
        </w:rPr>
        <w:t>特此声明！</w:t>
      </w:r>
    </w:p>
    <w:p>
      <w:pPr>
        <w:adjustRightInd w:val="0"/>
        <w:snapToGrid w:val="0"/>
        <w:spacing w:line="360" w:lineRule="auto"/>
        <w:ind w:left="425" w:firstLine="436"/>
        <w:rPr>
          <w:rFonts w:ascii="宋体" w:hAnsi="宋体" w:cs="宋体"/>
          <w:color w:val="auto"/>
          <w:spacing w:val="4"/>
          <w:highlight w:val="none"/>
        </w:rPr>
      </w:pPr>
    </w:p>
    <w:p>
      <w:pPr>
        <w:spacing w:line="360" w:lineRule="auto"/>
        <w:ind w:firstLine="3675" w:firstLineChars="1750"/>
        <w:rPr>
          <w:rFonts w:ascii="宋体" w:hAnsi="宋体" w:cs="宋体"/>
          <w:color w:val="auto"/>
          <w:highlight w:val="none"/>
        </w:rPr>
      </w:pPr>
      <w:r>
        <w:rPr>
          <w:rFonts w:hint="eastAsia" w:ascii="宋体" w:hAnsi="宋体" w:cs="宋体"/>
          <w:color w:val="auto"/>
          <w:highlight w:val="none"/>
        </w:rPr>
        <w:t>投标人（盖章）：</w:t>
      </w:r>
    </w:p>
    <w:p>
      <w:pPr>
        <w:spacing w:line="360" w:lineRule="auto"/>
        <w:rPr>
          <w:rFonts w:ascii="宋体" w:hAnsi="宋体" w:cs="宋体"/>
          <w:color w:val="auto"/>
          <w:highlight w:val="none"/>
        </w:rPr>
      </w:pPr>
      <w:r>
        <w:rPr>
          <w:rFonts w:hint="eastAsia" w:ascii="宋体" w:hAnsi="宋体" w:cs="宋体"/>
          <w:color w:val="auto"/>
          <w:highlight w:val="none"/>
        </w:rPr>
        <w:t>日期：</w:t>
      </w:r>
    </w:p>
    <w:p>
      <w:pPr>
        <w:spacing w:line="360" w:lineRule="auto"/>
        <w:rPr>
          <w:rFonts w:ascii="宋体" w:hAnsi="宋体" w:cs="宋体"/>
          <w:color w:val="auto"/>
          <w:highlight w:val="none"/>
        </w:rPr>
      </w:pPr>
    </w:p>
    <w:p>
      <w:pPr>
        <w:pStyle w:val="18"/>
        <w:ind w:firstLine="422"/>
        <w:rPr>
          <w:rFonts w:ascii="宋体" w:hAnsi="宋体" w:cs="宋体"/>
          <w:b/>
          <w:bCs/>
          <w:color w:val="auto"/>
          <w:highlight w:val="none"/>
        </w:rPr>
      </w:pPr>
      <w:r>
        <w:rPr>
          <w:rFonts w:hint="eastAsia" w:ascii="宋体" w:hAnsi="宋体" w:cs="宋体"/>
          <w:b/>
          <w:bCs/>
          <w:color w:val="auto"/>
          <w:sz w:val="21"/>
          <w:szCs w:val="21"/>
          <w:highlight w:val="none"/>
        </w:rPr>
        <w:t>注：联合体投标的，可只由联合体牵头人盖章。</w:t>
      </w:r>
    </w:p>
    <w:p>
      <w:pPr>
        <w:spacing w:line="360" w:lineRule="auto"/>
        <w:ind w:firstLine="422"/>
        <w:rPr>
          <w:rFonts w:ascii="宋体" w:hAnsi="宋体" w:cs="宋体"/>
          <w:b/>
          <w:bCs/>
          <w:color w:val="auto"/>
          <w:highlight w:val="none"/>
        </w:rPr>
      </w:pPr>
    </w:p>
    <w:p>
      <w:pPr>
        <w:spacing w:line="360" w:lineRule="auto"/>
        <w:rPr>
          <w:rFonts w:ascii="宋体" w:hAnsi="宋体" w:cs="宋体"/>
          <w:color w:val="auto"/>
          <w:kern w:val="0"/>
          <w:highlight w:val="none"/>
        </w:rPr>
      </w:pPr>
      <w:r>
        <w:rPr>
          <w:rFonts w:hint="eastAsia" w:ascii="宋体" w:hAnsi="宋体" w:cs="宋体"/>
          <w:b/>
          <w:bCs/>
          <w:color w:val="auto"/>
          <w:highlight w:val="none"/>
        </w:rPr>
        <w:t>（3）投标人的特定条件的证明文件：</w:t>
      </w:r>
      <w:r>
        <w:rPr>
          <w:rFonts w:hint="eastAsia" w:ascii="宋体" w:hAnsi="宋体" w:cs="宋体"/>
          <w:color w:val="auto"/>
          <w:kern w:val="0"/>
          <w:highlight w:val="none"/>
        </w:rPr>
        <w:t xml:space="preserve">第二类、第三类医疗器械生产企业提供《医疗器械生产许可证》复印件、第一类医疗器械生产企业提供第一类医疗器械生产备案凭证复印件。 </w:t>
      </w:r>
    </w:p>
    <w:p>
      <w:pPr>
        <w:spacing w:line="360" w:lineRule="auto"/>
        <w:rPr>
          <w:rFonts w:ascii="宋体" w:hAnsi="宋体" w:cs="宋体"/>
          <w:color w:val="auto"/>
          <w:kern w:val="0"/>
          <w:highlight w:val="none"/>
        </w:rPr>
      </w:pPr>
      <w:r>
        <w:rPr>
          <w:rFonts w:hint="eastAsia" w:ascii="宋体" w:hAnsi="宋体" w:cs="宋体"/>
          <w:color w:val="auto"/>
          <w:kern w:val="0"/>
          <w:highlight w:val="none"/>
        </w:rPr>
        <w:t>投标人为医疗器械经营企业的：第三类医疗器械经营企业提供《医疗器械经营许可证》复印件、第二类医疗器械经营企业提供第二类医疗器械经营备案凭证复印件。</w:t>
      </w:r>
    </w:p>
    <w:p>
      <w:pPr>
        <w:ind w:firstLine="422"/>
        <w:rPr>
          <w:rFonts w:ascii="宋体" w:hAnsi="宋体" w:cs="宋体"/>
          <w:b/>
          <w:bCs/>
          <w:color w:val="auto"/>
          <w:highlight w:val="none"/>
        </w:rPr>
      </w:pPr>
    </w:p>
    <w:p>
      <w:pPr>
        <w:rPr>
          <w:rFonts w:ascii="宋体" w:hAnsi="宋体" w:cs="宋体"/>
          <w:b/>
          <w:color w:val="auto"/>
          <w:kern w:val="0"/>
          <w:highlight w:val="none"/>
        </w:rPr>
      </w:pPr>
      <w:r>
        <w:rPr>
          <w:rFonts w:hint="eastAsia" w:ascii="宋体" w:hAnsi="宋体" w:cs="宋体"/>
          <w:b/>
          <w:bCs/>
          <w:color w:val="auto"/>
          <w:highlight w:val="none"/>
        </w:rPr>
        <w:t>（4）</w:t>
      </w:r>
      <w:r>
        <w:rPr>
          <w:rFonts w:hint="eastAsia" w:ascii="宋体" w:hAnsi="宋体" w:cs="宋体"/>
          <w:b/>
          <w:color w:val="auto"/>
          <w:kern w:val="0"/>
          <w:highlight w:val="none"/>
        </w:rPr>
        <w:t>联合投标协议书</w:t>
      </w:r>
    </w:p>
    <w:p>
      <w:pPr>
        <w:widowControl/>
        <w:adjustRightInd w:val="0"/>
        <w:spacing w:line="360" w:lineRule="auto"/>
        <w:ind w:firstLine="436"/>
        <w:jc w:val="left"/>
        <w:rPr>
          <w:rFonts w:ascii="宋体" w:hAnsi="宋体" w:cs="宋体"/>
          <w:color w:val="auto"/>
          <w:spacing w:val="4"/>
          <w:highlight w:val="none"/>
        </w:rPr>
      </w:pPr>
    </w:p>
    <w:p>
      <w:pPr>
        <w:ind w:firstLine="422"/>
        <w:jc w:val="center"/>
        <w:rPr>
          <w:rFonts w:ascii="宋体" w:hAnsi="宋体" w:cs="宋体"/>
          <w:b/>
          <w:color w:val="auto"/>
          <w:kern w:val="0"/>
          <w:highlight w:val="none"/>
        </w:rPr>
      </w:pPr>
      <w:r>
        <w:rPr>
          <w:rFonts w:hint="eastAsia" w:ascii="宋体" w:hAnsi="宋体" w:cs="宋体"/>
          <w:b/>
          <w:color w:val="auto"/>
          <w:kern w:val="0"/>
          <w:highlight w:val="none"/>
        </w:rPr>
        <w:t>联合投标协议书</w:t>
      </w:r>
    </w:p>
    <w:p>
      <w:pPr>
        <w:jc w:val="center"/>
        <w:rPr>
          <w:rFonts w:ascii="宋体" w:hAnsi="宋体" w:cs="宋体"/>
          <w:b/>
          <w:color w:val="auto"/>
          <w:kern w:val="0"/>
          <w:highlight w:val="none"/>
        </w:rPr>
      </w:pPr>
      <w:r>
        <w:rPr>
          <w:rFonts w:hint="eastAsia" w:ascii="宋体" w:hAnsi="宋体" w:cs="宋体"/>
          <w:color w:val="auto"/>
          <w:highlight w:val="none"/>
        </w:rPr>
        <w:t>（联合体投标须提供）</w:t>
      </w:r>
    </w:p>
    <w:p>
      <w:pPr>
        <w:pStyle w:val="19"/>
        <w:overflowPunct w:val="0"/>
        <w:spacing w:before="24" w:beforeLines="10" w:line="500" w:lineRule="exact"/>
        <w:ind w:left="842" w:firstLine="406"/>
        <w:rPr>
          <w:rFonts w:hAnsi="宋体"/>
          <w:b/>
          <w:color w:val="auto"/>
          <w:sz w:val="21"/>
          <w:szCs w:val="21"/>
          <w:highlight w:val="none"/>
        </w:rPr>
      </w:pPr>
      <w:r>
        <w:rPr>
          <w:rFonts w:hint="eastAsia" w:hAnsi="宋体"/>
          <w:b/>
          <w:color w:val="auto"/>
          <w:sz w:val="21"/>
          <w:szCs w:val="21"/>
          <w:highlight w:val="none"/>
        </w:rPr>
        <w:t>甲方：</w:t>
      </w:r>
    </w:p>
    <w:p>
      <w:pPr>
        <w:pStyle w:val="19"/>
        <w:overflowPunct w:val="0"/>
        <w:spacing w:before="24" w:beforeLines="10" w:line="500" w:lineRule="exact"/>
        <w:ind w:left="842" w:firstLine="406"/>
        <w:rPr>
          <w:rFonts w:hAnsi="宋体"/>
          <w:b/>
          <w:color w:val="auto"/>
          <w:sz w:val="21"/>
          <w:szCs w:val="21"/>
          <w:highlight w:val="none"/>
        </w:rPr>
      </w:pPr>
      <w:r>
        <w:rPr>
          <w:rFonts w:hint="eastAsia" w:hAnsi="宋体"/>
          <w:b/>
          <w:color w:val="auto"/>
          <w:sz w:val="21"/>
          <w:szCs w:val="21"/>
          <w:highlight w:val="none"/>
        </w:rPr>
        <w:t>乙方：</w:t>
      </w:r>
    </w:p>
    <w:p>
      <w:pPr>
        <w:pStyle w:val="19"/>
        <w:spacing w:line="500" w:lineRule="exact"/>
        <w:ind w:left="-107" w:leftChars="-51" w:firstLine="404"/>
        <w:rPr>
          <w:rFonts w:hAnsi="宋体"/>
          <w:color w:val="auto"/>
          <w:sz w:val="21"/>
          <w:szCs w:val="21"/>
          <w:highlight w:val="none"/>
        </w:rPr>
      </w:pPr>
      <w:r>
        <w:rPr>
          <w:rFonts w:hint="eastAsia" w:hAnsi="宋体"/>
          <w:color w:val="auto"/>
          <w:sz w:val="21"/>
          <w:szCs w:val="21"/>
          <w:highlight w:val="none"/>
        </w:rPr>
        <w:t>各方经协商，就响应（招标方）组织实施的项目（采购编号：招标活动联合进行投标之事宜，达成如下协议：</w:t>
      </w:r>
    </w:p>
    <w:p>
      <w:pPr>
        <w:pStyle w:val="19"/>
        <w:spacing w:line="500" w:lineRule="exact"/>
        <w:ind w:left="-107" w:leftChars="-51" w:firstLine="404"/>
        <w:rPr>
          <w:rFonts w:hAnsi="宋体"/>
          <w:color w:val="auto"/>
          <w:sz w:val="21"/>
          <w:szCs w:val="21"/>
          <w:highlight w:val="none"/>
        </w:rPr>
      </w:pPr>
      <w:r>
        <w:rPr>
          <w:rFonts w:hint="eastAsia" w:hAnsi="宋体"/>
          <w:color w:val="auto"/>
          <w:sz w:val="21"/>
          <w:szCs w:val="21"/>
          <w:highlight w:val="none"/>
        </w:rPr>
        <w:t>一、各方一致决定，以为联合体牵头人，为联合体成员，共同进行投标，并按照招标文件的规定分别提交资格文件。</w:t>
      </w:r>
    </w:p>
    <w:p>
      <w:pPr>
        <w:pStyle w:val="19"/>
        <w:spacing w:line="500" w:lineRule="exact"/>
        <w:ind w:left="-107" w:leftChars="-51" w:firstLine="404"/>
        <w:rPr>
          <w:rFonts w:hAnsi="宋体"/>
          <w:color w:val="auto"/>
          <w:sz w:val="21"/>
          <w:szCs w:val="21"/>
          <w:highlight w:val="none"/>
        </w:rPr>
      </w:pPr>
      <w:r>
        <w:rPr>
          <w:rFonts w:hint="eastAsia" w:hAnsi="宋体"/>
          <w:color w:val="auto"/>
          <w:sz w:val="21"/>
          <w:szCs w:val="21"/>
          <w:highlight w:val="none"/>
        </w:rPr>
        <w:t>二、在本次投标过程中，联合体牵头人的法定代表人或其委托代理人根据招标文件规定及投标内容而对采购人所作的任何合法承诺，包括书面澄清及响应等均对联合投标各方产生约束力。如果中标并签订合同，则联合投标各方将共同履行对采购人所负有的全部义务并就采购合同约定的事项对采购人承担连带责任。</w:t>
      </w:r>
    </w:p>
    <w:p>
      <w:pPr>
        <w:pStyle w:val="19"/>
        <w:spacing w:line="500" w:lineRule="exact"/>
        <w:ind w:left="-107" w:leftChars="-51" w:firstLine="404"/>
        <w:rPr>
          <w:rFonts w:hAnsi="宋体"/>
          <w:color w:val="auto"/>
          <w:sz w:val="21"/>
          <w:szCs w:val="21"/>
          <w:highlight w:val="none"/>
        </w:rPr>
      </w:pPr>
      <w:r>
        <w:rPr>
          <w:rFonts w:hint="eastAsia" w:hAnsi="宋体"/>
          <w:color w:val="auto"/>
          <w:sz w:val="21"/>
          <w:szCs w:val="21"/>
          <w:highlight w:val="none"/>
        </w:rPr>
        <w:t>三、联合投标其余各方保证对联合体牵头人为响应本次招标而提供的产品和服务提供全部质量保证及售后服务支持。</w:t>
      </w:r>
    </w:p>
    <w:p>
      <w:pPr>
        <w:pStyle w:val="19"/>
        <w:spacing w:line="500" w:lineRule="exact"/>
        <w:ind w:left="-107" w:leftChars="-51" w:firstLine="404"/>
        <w:rPr>
          <w:rFonts w:hAnsi="宋体"/>
          <w:color w:val="auto"/>
          <w:sz w:val="21"/>
          <w:szCs w:val="21"/>
          <w:highlight w:val="none"/>
        </w:rPr>
      </w:pPr>
      <w:r>
        <w:rPr>
          <w:rFonts w:hint="eastAsia" w:hAnsi="宋体"/>
          <w:color w:val="auto"/>
          <w:sz w:val="21"/>
          <w:szCs w:val="21"/>
          <w:highlight w:val="none"/>
        </w:rPr>
        <w:t>四、本次联合投标中，甲方承担的工作和义务为：</w:t>
      </w:r>
    </w:p>
    <w:p>
      <w:pPr>
        <w:pStyle w:val="19"/>
        <w:spacing w:line="500" w:lineRule="exact"/>
        <w:ind w:left="-107" w:leftChars="-51" w:firstLine="404"/>
        <w:rPr>
          <w:rFonts w:hAnsi="宋体"/>
          <w:color w:val="auto"/>
          <w:sz w:val="21"/>
          <w:szCs w:val="21"/>
          <w:highlight w:val="none"/>
        </w:rPr>
      </w:pPr>
      <w:r>
        <w:rPr>
          <w:rFonts w:hint="eastAsia" w:hAnsi="宋体"/>
          <w:color w:val="auto"/>
          <w:sz w:val="21"/>
          <w:szCs w:val="21"/>
          <w:highlight w:val="none"/>
        </w:rPr>
        <w:t xml:space="preserve">                    甲方承担本项目的工作和义务占合同总金额的%</w:t>
      </w:r>
    </w:p>
    <w:p>
      <w:pPr>
        <w:pStyle w:val="19"/>
        <w:spacing w:line="500" w:lineRule="exact"/>
        <w:ind w:left="-107" w:leftChars="-51" w:firstLine="404"/>
        <w:rPr>
          <w:rFonts w:hAnsi="宋体"/>
          <w:color w:val="auto"/>
          <w:sz w:val="21"/>
          <w:szCs w:val="21"/>
          <w:highlight w:val="none"/>
        </w:rPr>
      </w:pPr>
      <w:r>
        <w:rPr>
          <w:rFonts w:hint="eastAsia" w:hAnsi="宋体"/>
          <w:color w:val="auto"/>
          <w:sz w:val="21"/>
          <w:szCs w:val="21"/>
          <w:highlight w:val="none"/>
        </w:rPr>
        <w:t xml:space="preserve">                    乙方承担的工作和义务为：</w:t>
      </w:r>
    </w:p>
    <w:p>
      <w:pPr>
        <w:pStyle w:val="19"/>
        <w:spacing w:line="500" w:lineRule="exact"/>
        <w:ind w:left="-107" w:leftChars="-51" w:firstLine="404"/>
        <w:rPr>
          <w:rFonts w:hAnsi="宋体"/>
          <w:color w:val="auto"/>
          <w:sz w:val="21"/>
          <w:szCs w:val="21"/>
          <w:highlight w:val="none"/>
        </w:rPr>
      </w:pPr>
      <w:r>
        <w:rPr>
          <w:rFonts w:hint="eastAsia" w:hAnsi="宋体"/>
          <w:color w:val="auto"/>
          <w:sz w:val="21"/>
          <w:szCs w:val="21"/>
          <w:highlight w:val="none"/>
        </w:rPr>
        <w:t xml:space="preserve">                    乙方承担本项目的工作和义务占合同总金额的%</w:t>
      </w:r>
    </w:p>
    <w:p>
      <w:pPr>
        <w:pStyle w:val="19"/>
        <w:spacing w:line="500" w:lineRule="exact"/>
        <w:ind w:left="-107" w:leftChars="-51" w:firstLine="404"/>
        <w:rPr>
          <w:rFonts w:hAnsi="宋体"/>
          <w:color w:val="auto"/>
          <w:sz w:val="21"/>
          <w:szCs w:val="21"/>
          <w:highlight w:val="none"/>
        </w:rPr>
      </w:pPr>
      <w:r>
        <w:rPr>
          <w:rFonts w:hint="eastAsia" w:hAnsi="宋体"/>
          <w:color w:val="auto"/>
          <w:sz w:val="21"/>
          <w:szCs w:val="21"/>
          <w:highlight w:val="none"/>
        </w:rPr>
        <w:t>五、有关本次联合投标的其他事宜：</w:t>
      </w:r>
    </w:p>
    <w:p>
      <w:pPr>
        <w:pStyle w:val="19"/>
        <w:spacing w:line="500" w:lineRule="exact"/>
        <w:ind w:left="-107" w:leftChars="-51" w:firstLine="404"/>
        <w:rPr>
          <w:rFonts w:hAnsi="宋体"/>
          <w:color w:val="auto"/>
          <w:sz w:val="21"/>
          <w:szCs w:val="21"/>
          <w:highlight w:val="none"/>
        </w:rPr>
      </w:pPr>
      <w:r>
        <w:rPr>
          <w:rFonts w:hint="eastAsia" w:hAnsi="宋体"/>
          <w:color w:val="auto"/>
          <w:sz w:val="21"/>
          <w:szCs w:val="21"/>
          <w:highlight w:val="none"/>
        </w:rPr>
        <w:t>六、本协议提交采购人后，联合投标各方不得以任何形式对上述实质内容进行修改或撤销。</w:t>
      </w:r>
    </w:p>
    <w:p>
      <w:pPr>
        <w:pStyle w:val="19"/>
        <w:spacing w:line="500" w:lineRule="exact"/>
        <w:ind w:left="-107" w:leftChars="-51" w:firstLine="404"/>
        <w:rPr>
          <w:rFonts w:hAnsi="宋体"/>
          <w:color w:val="auto"/>
          <w:sz w:val="21"/>
          <w:szCs w:val="21"/>
          <w:highlight w:val="none"/>
        </w:rPr>
      </w:pPr>
      <w:r>
        <w:rPr>
          <w:rFonts w:hint="eastAsia" w:hAnsi="宋体"/>
          <w:color w:val="auto"/>
          <w:sz w:val="21"/>
          <w:szCs w:val="21"/>
          <w:highlight w:val="none"/>
        </w:rPr>
        <w:t>七、本协议一式二份，签约各方各持一份。</w:t>
      </w:r>
    </w:p>
    <w:p>
      <w:pPr>
        <w:pStyle w:val="19"/>
        <w:spacing w:line="500" w:lineRule="exact"/>
        <w:ind w:left="840" w:firstLine="404"/>
        <w:rPr>
          <w:rFonts w:hAnsi="宋体"/>
          <w:color w:val="auto"/>
          <w:sz w:val="21"/>
          <w:szCs w:val="21"/>
          <w:highlight w:val="none"/>
        </w:rPr>
      </w:pPr>
    </w:p>
    <w:p>
      <w:pPr>
        <w:pStyle w:val="19"/>
        <w:spacing w:line="360" w:lineRule="auto"/>
        <w:ind w:left="840" w:firstLine="404"/>
        <w:rPr>
          <w:rFonts w:hAnsi="宋体"/>
          <w:color w:val="auto"/>
          <w:sz w:val="21"/>
          <w:szCs w:val="21"/>
          <w:highlight w:val="none"/>
        </w:rPr>
      </w:pPr>
      <w:r>
        <w:rPr>
          <w:rFonts w:hint="eastAsia" w:hAnsi="宋体"/>
          <w:color w:val="auto"/>
          <w:sz w:val="21"/>
          <w:szCs w:val="21"/>
          <w:highlight w:val="none"/>
        </w:rPr>
        <w:t xml:space="preserve">甲方单位（盖章）：                            乙方单位（盖章）：           </w:t>
      </w:r>
    </w:p>
    <w:p>
      <w:pPr>
        <w:pStyle w:val="19"/>
        <w:spacing w:line="360" w:lineRule="auto"/>
        <w:ind w:left="840" w:firstLine="404"/>
        <w:rPr>
          <w:rFonts w:hAnsi="宋体"/>
          <w:color w:val="auto"/>
          <w:sz w:val="21"/>
          <w:szCs w:val="21"/>
          <w:highlight w:val="none"/>
        </w:rPr>
      </w:pPr>
    </w:p>
    <w:p>
      <w:pPr>
        <w:pStyle w:val="19"/>
        <w:spacing w:line="360" w:lineRule="auto"/>
        <w:ind w:left="840" w:firstLine="404"/>
        <w:rPr>
          <w:rFonts w:hAnsi="宋体"/>
          <w:color w:val="auto"/>
          <w:sz w:val="21"/>
          <w:szCs w:val="21"/>
          <w:highlight w:val="none"/>
        </w:rPr>
      </w:pPr>
      <w:r>
        <w:rPr>
          <w:rFonts w:hint="eastAsia" w:hAnsi="宋体"/>
          <w:color w:val="auto"/>
          <w:sz w:val="21"/>
          <w:szCs w:val="21"/>
          <w:highlight w:val="none"/>
        </w:rPr>
        <w:t>法定代表人或其委托代理人（签字或盖章）：      法定代表人或其委托代理人（签字或盖章）：</w:t>
      </w: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sectPr>
          <w:pgSz w:w="11906" w:h="16838"/>
          <w:pgMar w:top="1474" w:right="1797" w:bottom="1247" w:left="1797" w:header="851" w:footer="851" w:gutter="0"/>
          <w:cols w:space="720" w:num="1"/>
          <w:titlePg/>
          <w:docGrid w:linePitch="312" w:charSpace="0"/>
        </w:sectPr>
      </w:pPr>
      <w:r>
        <w:rPr>
          <w:rFonts w:hint="eastAsia" w:ascii="宋体" w:hAnsi="宋体" w:cs="宋体"/>
          <w:color w:val="auto"/>
          <w:highlight w:val="none"/>
        </w:rPr>
        <w:t>日期：202</w:t>
      </w:r>
      <w:r>
        <w:rPr>
          <w:rFonts w:hint="eastAsia" w:ascii="宋体" w:hAnsi="宋体" w:cs="宋体"/>
          <w:color w:val="auto"/>
          <w:highlight w:val="none"/>
          <w:lang w:val="en-US" w:eastAsia="zh-CN"/>
        </w:rPr>
        <w:t>4</w:t>
      </w:r>
      <w:r>
        <w:rPr>
          <w:rFonts w:hint="eastAsia" w:ascii="宋体" w:hAnsi="宋体" w:cs="宋体"/>
          <w:color w:val="auto"/>
          <w:highlight w:val="none"/>
        </w:rPr>
        <w:t>年  月   日                     日期：202</w:t>
      </w:r>
      <w:r>
        <w:rPr>
          <w:rFonts w:hint="eastAsia" w:ascii="宋体" w:hAnsi="宋体" w:cs="宋体"/>
          <w:color w:val="auto"/>
          <w:highlight w:val="none"/>
          <w:lang w:val="en-US" w:eastAsia="zh-CN"/>
        </w:rPr>
        <w:t>4</w:t>
      </w:r>
      <w:r>
        <w:rPr>
          <w:rFonts w:hint="eastAsia" w:ascii="宋体" w:hAnsi="宋体" w:cs="宋体"/>
          <w:color w:val="auto"/>
          <w:highlight w:val="none"/>
        </w:rPr>
        <w:t>年  月   日</w:t>
      </w:r>
    </w:p>
    <w:p>
      <w:pPr>
        <w:rPr>
          <w:rFonts w:ascii="宋体" w:hAnsi="宋体" w:cs="宋体"/>
          <w:b/>
          <w:bCs/>
          <w:color w:val="auto"/>
          <w:highlight w:val="none"/>
        </w:rPr>
      </w:pPr>
      <w:r>
        <w:rPr>
          <w:rFonts w:hint="eastAsia" w:ascii="宋体" w:hAnsi="宋体" w:cs="宋体"/>
          <w:b/>
          <w:bCs/>
          <w:color w:val="auto"/>
          <w:spacing w:val="4"/>
          <w:highlight w:val="none"/>
        </w:rPr>
        <w:t>三、</w:t>
      </w:r>
      <w:r>
        <w:rPr>
          <w:rFonts w:hint="eastAsia" w:ascii="宋体" w:hAnsi="宋体" w:cs="宋体"/>
          <w:b/>
          <w:bCs/>
          <w:color w:val="auto"/>
          <w:highlight w:val="none"/>
        </w:rPr>
        <w:t>商务技术文件</w:t>
      </w:r>
    </w:p>
    <w:p>
      <w:pPr>
        <w:snapToGrid w:val="0"/>
        <w:spacing w:before="120" w:beforeLines="50" w:after="50"/>
        <w:jc w:val="left"/>
        <w:rPr>
          <w:rFonts w:ascii="宋体" w:hAnsi="宋体" w:cs="宋体"/>
          <w:color w:val="auto"/>
          <w:highlight w:val="none"/>
        </w:rPr>
      </w:pPr>
      <w:r>
        <w:rPr>
          <w:rFonts w:hint="eastAsia" w:ascii="宋体" w:hAnsi="宋体" w:cs="宋体"/>
          <w:color w:val="auto"/>
          <w:highlight w:val="none"/>
        </w:rPr>
        <w:t>（1）符合性自查表</w:t>
      </w:r>
    </w:p>
    <w:p>
      <w:pPr>
        <w:snapToGrid w:val="0"/>
        <w:spacing w:before="120" w:beforeLines="50" w:after="50"/>
        <w:ind w:firstLine="422"/>
        <w:jc w:val="center"/>
        <w:rPr>
          <w:rFonts w:ascii="宋体" w:hAnsi="宋体" w:cs="宋体"/>
          <w:b/>
          <w:color w:val="auto"/>
          <w:kern w:val="0"/>
          <w:highlight w:val="none"/>
        </w:rPr>
      </w:pPr>
      <w:r>
        <w:rPr>
          <w:rFonts w:hint="eastAsia" w:ascii="宋体" w:hAnsi="宋体" w:cs="宋体"/>
          <w:b/>
          <w:color w:val="auto"/>
          <w:highlight w:val="none"/>
        </w:rPr>
        <w:t>符合性自查表</w:t>
      </w:r>
    </w:p>
    <w:tbl>
      <w:tblPr>
        <w:tblStyle w:val="47"/>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4313"/>
        <w:gridCol w:w="1260"/>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0"/>
                <w:highlight w:val="none"/>
              </w:rPr>
            </w:pPr>
            <w:r>
              <w:rPr>
                <w:rFonts w:hint="eastAsia" w:ascii="宋体" w:hAnsi="宋体" w:cs="宋体"/>
                <w:color w:val="auto"/>
                <w:highlight w:val="none"/>
              </w:rPr>
              <w:t>评审内容</w:t>
            </w:r>
          </w:p>
        </w:tc>
        <w:tc>
          <w:tcPr>
            <w:tcW w:w="43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采购文件要求</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自查结论</w:t>
            </w:r>
          </w:p>
        </w:tc>
        <w:tc>
          <w:tcPr>
            <w:tcW w:w="1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符合性审</w:t>
            </w:r>
          </w:p>
          <w:p>
            <w:pPr>
              <w:rPr>
                <w:rFonts w:ascii="宋体" w:hAnsi="宋体" w:cs="宋体"/>
                <w:color w:val="auto"/>
                <w:highlight w:val="none"/>
              </w:rPr>
            </w:pPr>
            <w:r>
              <w:rPr>
                <w:rFonts w:hint="eastAsia" w:ascii="宋体" w:hAnsi="宋体" w:cs="宋体"/>
                <w:color w:val="auto"/>
                <w:highlight w:val="none"/>
              </w:rPr>
              <w:t>查（商务技术文件）</w:t>
            </w: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（一）按照采购文件规定要求签署或盖章；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4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（二）投标文件有法定代表人签署本人姓名（或印盖本人姓名章），或签署人提供有效的法定代表人授权委托书且授权委托书填写项目齐全的；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（三）投标文件标明的响应或偏离与事实相符且无虚假投标的；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（四）投标文件的实质性内容使用中文表述且意思表述明确，前后无矛盾且使用计量单位符合采购文件要求的；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（五）带“★”的条款满足采购文件要求、已实质性响应采购文件要求且投标文件无采购人不能接受的附加条件的；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（六）投标技术方案明确，不存在一个或一个以上备选（替代）投标方案的；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szCs w:val="24"/>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4"/>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（七）不存在法律、法规和采购文件规定的其他无效情形；</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szCs w:val="24"/>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4"/>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szCs w:val="24"/>
                <w:highlight w:val="none"/>
              </w:rPr>
            </w:pPr>
            <w:r>
              <w:rPr>
                <w:rFonts w:hint="eastAsia" w:ascii="宋体" w:hAnsi="宋体" w:cs="宋体"/>
                <w:color w:val="auto"/>
                <w:highlight w:val="none"/>
              </w:rPr>
              <w:t>（八）不存在投标文件的有效期不满足采购文件要求情形；</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0"/>
                <w:highlight w:val="none"/>
              </w:rPr>
            </w:pPr>
            <w:r>
              <w:rPr>
                <w:rFonts w:hint="eastAsia" w:ascii="宋体" w:hAnsi="宋体" w:cs="宋体"/>
                <w:color w:val="auto"/>
                <w:highlight w:val="none"/>
              </w:rPr>
              <w:t xml:space="preserve">□通过 </w:t>
            </w:r>
          </w:p>
          <w:p>
            <w:pPr>
              <w:rPr>
                <w:rFonts w:ascii="宋体" w:hAnsi="宋体" w:cs="宋体"/>
                <w:color w:val="auto"/>
                <w:szCs w:val="24"/>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4"/>
                <w:highlight w:val="none"/>
              </w:rPr>
            </w:pPr>
            <w:r>
              <w:rPr>
                <w:rFonts w:hint="eastAsia" w:ascii="宋体" w:hAnsi="宋体" w:cs="宋体"/>
                <w:color w:val="auto"/>
                <w:highlight w:val="none"/>
              </w:rPr>
              <w:t>第（ ）页</w:t>
            </w:r>
          </w:p>
        </w:tc>
      </w:tr>
    </w:tbl>
    <w:p>
      <w:pPr>
        <w:snapToGrid w:val="0"/>
        <w:spacing w:before="120" w:beforeLines="50" w:after="50"/>
        <w:ind w:firstLine="422"/>
        <w:rPr>
          <w:rFonts w:ascii="宋体" w:hAnsi="宋体" w:cs="宋体"/>
          <w:color w:val="auto"/>
          <w:highlight w:val="none"/>
        </w:rPr>
      </w:pPr>
      <w:r>
        <w:rPr>
          <w:rFonts w:hint="eastAsia" w:ascii="宋体" w:hAnsi="宋体" w:cs="宋体"/>
          <w:b/>
          <w:color w:val="auto"/>
          <w:highlight w:val="none"/>
        </w:rPr>
        <w:t>备注：供应商自查表将作为供应商有效性审查的重要内容之一，供应商必须严格按照其内容及序列要求在投标文件中对应如实提供，对符合性证明文件的任何缺漏和不符合项将会直接导致投标无效！</w:t>
      </w:r>
    </w:p>
    <w:p>
      <w:pPr>
        <w:pStyle w:val="137"/>
        <w:numPr>
          <w:ilvl w:val="0"/>
          <w:numId w:val="0"/>
        </w:numPr>
        <w:spacing w:before="120" w:after="120"/>
        <w:rPr>
          <w:rFonts w:hAnsi="宋体"/>
          <w:color w:val="auto"/>
          <w:spacing w:val="4"/>
          <w:highlight w:val="none"/>
        </w:rPr>
      </w:pPr>
    </w:p>
    <w:p>
      <w:pPr>
        <w:pStyle w:val="137"/>
        <w:numPr>
          <w:ilvl w:val="0"/>
          <w:numId w:val="0"/>
        </w:numPr>
        <w:spacing w:before="120" w:after="120"/>
        <w:rPr>
          <w:rFonts w:hAnsi="宋体"/>
          <w:color w:val="auto"/>
          <w:spacing w:val="4"/>
          <w:highlight w:val="none"/>
        </w:rPr>
      </w:pPr>
    </w:p>
    <w:p>
      <w:pPr>
        <w:pStyle w:val="137"/>
        <w:numPr>
          <w:ilvl w:val="0"/>
          <w:numId w:val="0"/>
        </w:numPr>
        <w:spacing w:before="120" w:after="120"/>
        <w:rPr>
          <w:rFonts w:hAnsi="宋体"/>
          <w:color w:val="auto"/>
          <w:spacing w:val="4"/>
          <w:highlight w:val="none"/>
        </w:rPr>
      </w:pPr>
    </w:p>
    <w:p>
      <w:pPr>
        <w:pStyle w:val="137"/>
        <w:numPr>
          <w:ilvl w:val="0"/>
          <w:numId w:val="0"/>
        </w:numPr>
        <w:spacing w:before="120" w:after="120"/>
        <w:rPr>
          <w:rFonts w:hAnsi="宋体"/>
          <w:color w:val="auto"/>
          <w:spacing w:val="4"/>
          <w:highlight w:val="none"/>
        </w:rPr>
      </w:pPr>
    </w:p>
    <w:p>
      <w:pPr>
        <w:pStyle w:val="137"/>
        <w:numPr>
          <w:ilvl w:val="0"/>
          <w:numId w:val="0"/>
        </w:numPr>
        <w:spacing w:before="120" w:after="120"/>
        <w:rPr>
          <w:rFonts w:hAnsi="宋体"/>
          <w:color w:val="auto"/>
          <w:spacing w:val="4"/>
          <w:highlight w:val="none"/>
        </w:rPr>
      </w:pPr>
    </w:p>
    <w:p>
      <w:pPr>
        <w:widowControl/>
        <w:adjustRightInd w:val="0"/>
        <w:spacing w:line="360" w:lineRule="auto"/>
        <w:jc w:val="left"/>
        <w:rPr>
          <w:rFonts w:ascii="宋体" w:hAnsi="宋体" w:cs="宋体"/>
          <w:color w:val="auto"/>
          <w:spacing w:val="4"/>
          <w:highlight w:val="none"/>
        </w:rPr>
      </w:pPr>
      <w:r>
        <w:rPr>
          <w:rFonts w:hint="eastAsia" w:ascii="宋体" w:hAnsi="宋体" w:cs="宋体"/>
          <w:color w:val="auto"/>
          <w:spacing w:val="4"/>
          <w:highlight w:val="none"/>
        </w:rPr>
        <w:t>（2）法定代表人身份证明</w:t>
      </w:r>
    </w:p>
    <w:p>
      <w:pPr>
        <w:snapToGrid w:val="0"/>
        <w:spacing w:before="120" w:beforeLines="50" w:after="50"/>
        <w:rPr>
          <w:rFonts w:ascii="宋体" w:hAnsi="宋体" w:cs="宋体"/>
          <w:color w:val="auto"/>
          <w:highlight w:val="none"/>
        </w:rPr>
      </w:pPr>
    </w:p>
    <w:p>
      <w:pPr>
        <w:widowControl/>
        <w:spacing w:line="360" w:lineRule="auto"/>
        <w:ind w:firstLine="422"/>
        <w:jc w:val="center"/>
        <w:rPr>
          <w:rFonts w:ascii="宋体" w:hAnsi="宋体" w:cs="宋体"/>
          <w:b/>
          <w:bCs/>
          <w:color w:val="auto"/>
          <w:highlight w:val="none"/>
        </w:rPr>
      </w:pPr>
      <w:r>
        <w:rPr>
          <w:rFonts w:hint="eastAsia" w:ascii="宋体" w:hAnsi="宋体" w:cs="宋体"/>
          <w:b/>
          <w:bCs/>
          <w:color w:val="auto"/>
          <w:highlight w:val="none"/>
        </w:rPr>
        <w:t>法定代表人身份证明</w:t>
      </w:r>
    </w:p>
    <w:p>
      <w:pPr>
        <w:widowControl/>
        <w:adjustRightInd w:val="0"/>
        <w:spacing w:line="360" w:lineRule="auto"/>
        <w:ind w:firstLine="422"/>
        <w:jc w:val="left"/>
        <w:rPr>
          <w:rFonts w:ascii="宋体" w:hAnsi="宋体" w:cs="宋体"/>
          <w:b/>
          <w:bCs/>
          <w:color w:val="auto"/>
          <w:highlight w:val="none"/>
        </w:rPr>
      </w:pPr>
    </w:p>
    <w:p>
      <w:pPr>
        <w:widowControl/>
        <w:spacing w:line="360" w:lineRule="auto"/>
        <w:rPr>
          <w:rFonts w:ascii="宋体" w:hAnsi="宋体" w:cs="宋体"/>
          <w:color w:val="auto"/>
          <w:highlight w:val="none"/>
        </w:rPr>
      </w:pPr>
      <w:r>
        <w:rPr>
          <w:rFonts w:hint="eastAsia" w:ascii="宋体" w:hAnsi="宋体" w:cs="宋体"/>
          <w:color w:val="auto"/>
          <w:highlight w:val="none"/>
        </w:rPr>
        <w:t>单位名称：</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rPr>
      </w:pPr>
      <w:r>
        <w:rPr>
          <w:rFonts w:hint="eastAsia" w:ascii="宋体" w:hAnsi="宋体" w:cs="宋体"/>
          <w:color w:val="auto"/>
          <w:highlight w:val="none"/>
        </w:rPr>
        <w:t>地    址：</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rPr>
      </w:pPr>
      <w:r>
        <w:rPr>
          <w:rFonts w:hint="eastAsia" w:ascii="宋体" w:hAnsi="宋体" w:cs="宋体"/>
          <w:color w:val="auto"/>
          <w:highlight w:val="none"/>
        </w:rPr>
        <w:t>姓    名：</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性    别：</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u w:val="single"/>
        </w:rPr>
      </w:pPr>
      <w:r>
        <w:rPr>
          <w:rFonts w:hint="eastAsia" w:ascii="宋体" w:hAnsi="宋体" w:cs="宋体"/>
          <w:color w:val="auto"/>
          <w:highlight w:val="none"/>
        </w:rPr>
        <w:t>年    龄：</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职    务：</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rPr>
      </w:pPr>
      <w:r>
        <w:rPr>
          <w:rFonts w:hint="eastAsia" w:ascii="宋体" w:hAnsi="宋体" w:cs="宋体"/>
          <w:color w:val="auto"/>
          <w:highlight w:val="none"/>
        </w:rPr>
        <w:t>身份证号码：</w:t>
      </w:r>
      <w:r>
        <w:rPr>
          <w:rFonts w:hint="eastAsia" w:ascii="宋体" w:hAnsi="宋体" w:cs="宋体"/>
          <w:color w:val="auto"/>
          <w:highlight w:val="none"/>
          <w:u w:val="single"/>
        </w:rPr>
        <w:t xml:space="preserve">                                    </w:t>
      </w:r>
    </w:p>
    <w:p>
      <w:pPr>
        <w:widowControl/>
        <w:spacing w:line="360" w:lineRule="auto"/>
        <w:rPr>
          <w:rFonts w:ascii="宋体" w:hAnsi="宋体" w:cs="宋体"/>
          <w:color w:val="auto"/>
          <w:highlight w:val="none"/>
        </w:rPr>
      </w:pPr>
      <w:r>
        <w:rPr>
          <w:rFonts w:hint="eastAsia" w:ascii="宋体" w:hAnsi="宋体" w:cs="宋体"/>
          <w:color w:val="auto"/>
          <w:highlight w:val="none"/>
        </w:rPr>
        <w:t xml:space="preserve">    系</w:t>
      </w:r>
      <w:r>
        <w:rPr>
          <w:rFonts w:hint="eastAsia" w:ascii="宋体" w:hAnsi="宋体" w:cs="宋体"/>
          <w:color w:val="auto"/>
          <w:highlight w:val="none"/>
          <w:u w:val="single"/>
        </w:rPr>
        <w:t xml:space="preserve">         （投标人名称）      </w:t>
      </w:r>
      <w:r>
        <w:rPr>
          <w:rFonts w:hint="eastAsia" w:ascii="宋体" w:hAnsi="宋体" w:cs="宋体"/>
          <w:color w:val="auto"/>
          <w:highlight w:val="none"/>
        </w:rPr>
        <w:t>的法定代表人，为</w:t>
      </w:r>
      <w:r>
        <w:rPr>
          <w:rFonts w:hint="eastAsia" w:ascii="宋体" w:hAnsi="宋体" w:cs="宋体"/>
          <w:color w:val="auto"/>
          <w:highlight w:val="none"/>
          <w:u w:val="single"/>
        </w:rPr>
        <w:t xml:space="preserve">     （招标编号、项目名称）   </w:t>
      </w:r>
      <w:r>
        <w:rPr>
          <w:rFonts w:hint="eastAsia" w:ascii="宋体" w:hAnsi="宋体" w:cs="宋体"/>
          <w:color w:val="auto"/>
          <w:highlight w:val="none"/>
        </w:rPr>
        <w:t>项目，签署上述项目的投标文件，进行合同谈判、签署合同和处理与之有关的一切事宜。</w:t>
      </w:r>
    </w:p>
    <w:p>
      <w:pPr>
        <w:widowControl/>
        <w:spacing w:line="360" w:lineRule="auto"/>
        <w:rPr>
          <w:rFonts w:ascii="宋体" w:hAnsi="宋体" w:cs="宋体"/>
          <w:color w:val="auto"/>
          <w:highlight w:val="none"/>
        </w:rPr>
      </w:pPr>
      <w:r>
        <w:rPr>
          <w:rFonts w:hint="eastAsia" w:ascii="宋体" w:hAnsi="宋体" w:cs="宋体"/>
          <w:color w:val="auto"/>
          <w:highlight w:val="none"/>
        </w:rPr>
        <w:t xml:space="preserve">    特此证明。</w:t>
      </w: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r>
        <w:rPr>
          <w:rFonts w:hint="eastAsia" w:ascii="宋体" w:hAnsi="宋体" w:cs="宋体"/>
          <w:color w:val="auto"/>
          <w:highlight w:val="none"/>
        </w:rPr>
        <w:t>后附法定代表人身份证正反面复印件，加盖公章。</w:t>
      </w: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p>
    <w:p>
      <w:pPr>
        <w:widowControl/>
        <w:spacing w:line="360" w:lineRule="auto"/>
        <w:rPr>
          <w:rFonts w:ascii="宋体" w:hAnsi="宋体" w:cs="宋体"/>
          <w:color w:val="auto"/>
          <w:highlight w:val="none"/>
        </w:rPr>
      </w:pPr>
    </w:p>
    <w:p>
      <w:pPr>
        <w:pStyle w:val="24"/>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snapToGrid w:val="0"/>
        <w:spacing w:before="120" w:beforeLines="50" w:after="50"/>
        <w:rPr>
          <w:rFonts w:ascii="宋体" w:hAnsi="宋体" w:cs="宋体"/>
          <w:color w:val="auto"/>
          <w:highlight w:val="none"/>
        </w:rPr>
      </w:pPr>
      <w:r>
        <w:rPr>
          <w:rFonts w:hint="eastAsia" w:ascii="宋体" w:hAnsi="宋体" w:cs="宋体"/>
          <w:color w:val="auto"/>
          <w:highlight w:val="none"/>
        </w:rPr>
        <w:t>日期:_____年___月___日</w:t>
      </w:r>
    </w:p>
    <w:p>
      <w:pPr>
        <w:snapToGrid w:val="0"/>
        <w:spacing w:line="360" w:lineRule="auto"/>
        <w:jc w:val="center"/>
        <w:rPr>
          <w:rFonts w:ascii="宋体" w:hAnsi="宋体" w:cs="宋体"/>
          <w:color w:val="auto"/>
          <w:highlight w:val="none"/>
        </w:rPr>
      </w:pPr>
    </w:p>
    <w:p>
      <w:pPr>
        <w:snapToGrid w:val="0"/>
        <w:spacing w:line="360" w:lineRule="auto"/>
        <w:jc w:val="center"/>
        <w:rPr>
          <w:rFonts w:ascii="宋体" w:hAnsi="宋体" w:cs="宋体"/>
          <w:color w:val="auto"/>
          <w:highlight w:val="none"/>
        </w:rPr>
      </w:pPr>
    </w:p>
    <w:p>
      <w:pPr>
        <w:snapToGrid w:val="0"/>
        <w:spacing w:line="360" w:lineRule="auto"/>
        <w:jc w:val="center"/>
        <w:rPr>
          <w:rFonts w:ascii="宋体" w:hAnsi="宋体" w:cs="宋体"/>
          <w:color w:val="auto"/>
          <w:highlight w:val="none"/>
        </w:rPr>
      </w:pPr>
    </w:p>
    <w:p>
      <w:pPr>
        <w:snapToGrid w:val="0"/>
        <w:spacing w:line="360" w:lineRule="auto"/>
        <w:jc w:val="center"/>
        <w:rPr>
          <w:rFonts w:ascii="宋体" w:hAnsi="宋体" w:cs="宋体"/>
          <w:color w:val="auto"/>
          <w:highlight w:val="none"/>
        </w:rPr>
      </w:pPr>
    </w:p>
    <w:p>
      <w:pPr>
        <w:snapToGrid w:val="0"/>
        <w:spacing w:line="360" w:lineRule="auto"/>
        <w:jc w:val="center"/>
        <w:rPr>
          <w:rFonts w:ascii="宋体" w:hAnsi="宋体" w:cs="宋体"/>
          <w:color w:val="auto"/>
          <w:highlight w:val="none"/>
        </w:rPr>
      </w:pPr>
    </w:p>
    <w:p>
      <w:pPr>
        <w:snapToGrid w:val="0"/>
        <w:spacing w:before="50" w:after="120" w:afterLines="50"/>
        <w:ind w:firstLine="422"/>
        <w:jc w:val="left"/>
        <w:rPr>
          <w:rFonts w:ascii="宋体" w:hAnsi="宋体" w:cs="宋体"/>
          <w:b/>
          <w:bCs/>
          <w:color w:val="auto"/>
          <w:highlight w:val="none"/>
        </w:rPr>
      </w:pPr>
      <w:r>
        <w:rPr>
          <w:rFonts w:hint="eastAsia" w:ascii="宋体" w:hAnsi="宋体" w:cs="宋体"/>
          <w:b/>
          <w:bCs/>
          <w:color w:val="auto"/>
          <w:highlight w:val="none"/>
        </w:rPr>
        <w:t>附：法定代表人身份证正反面复印件。</w:t>
      </w:r>
    </w:p>
    <w:p>
      <w:pPr>
        <w:snapToGrid w:val="0"/>
        <w:spacing w:before="50" w:after="120" w:afterLines="50"/>
        <w:ind w:firstLine="422"/>
        <w:jc w:val="left"/>
        <w:rPr>
          <w:rFonts w:ascii="宋体" w:hAnsi="宋体" w:cs="宋体"/>
          <w:b/>
          <w:bCs/>
          <w:color w:val="auto"/>
          <w:highlight w:val="none"/>
        </w:rPr>
      </w:pPr>
      <w:r>
        <w:rPr>
          <w:rFonts w:hint="eastAsia" w:ascii="宋体" w:hAnsi="宋体" w:cs="宋体"/>
          <w:b/>
          <w:bCs/>
          <w:color w:val="auto"/>
          <w:highlight w:val="none"/>
        </w:rPr>
        <w:t>注：联合体投标的，可只由联合体牵头人盖章。</w:t>
      </w:r>
    </w:p>
    <w:p>
      <w:pPr>
        <w:snapToGrid w:val="0"/>
        <w:spacing w:line="360" w:lineRule="auto"/>
        <w:jc w:val="left"/>
        <w:rPr>
          <w:rFonts w:ascii="宋体" w:hAnsi="宋体" w:cs="宋体"/>
          <w:color w:val="auto"/>
          <w:highlight w:val="none"/>
        </w:rPr>
      </w:pPr>
      <w:r>
        <w:rPr>
          <w:rFonts w:hint="eastAsia" w:ascii="宋体" w:hAnsi="宋体" w:cs="宋体"/>
          <w:color w:val="auto"/>
          <w:highlight w:val="none"/>
        </w:rPr>
        <w:br w:type="page"/>
      </w:r>
    </w:p>
    <w:p>
      <w:pPr>
        <w:snapToGrid w:val="0"/>
        <w:spacing w:line="360" w:lineRule="auto"/>
        <w:ind w:firstLine="422"/>
        <w:jc w:val="center"/>
        <w:rPr>
          <w:rFonts w:ascii="宋体" w:hAnsi="宋体" w:cs="宋体"/>
          <w:b/>
          <w:bCs/>
          <w:color w:val="auto"/>
          <w:highlight w:val="none"/>
        </w:rPr>
      </w:pPr>
      <w:r>
        <w:rPr>
          <w:rFonts w:hint="eastAsia" w:ascii="宋体" w:hAnsi="宋体" w:cs="宋体"/>
          <w:b/>
          <w:bCs/>
          <w:color w:val="auto"/>
          <w:highlight w:val="none"/>
        </w:rPr>
        <w:t>法定代表人授权委托书</w:t>
      </w:r>
    </w:p>
    <w:p>
      <w:pPr>
        <w:snapToGrid w:val="0"/>
        <w:spacing w:line="360" w:lineRule="auto"/>
        <w:ind w:firstLine="422"/>
        <w:jc w:val="center"/>
        <w:rPr>
          <w:rFonts w:ascii="宋体" w:hAnsi="宋体" w:cs="宋体"/>
          <w:b/>
          <w:bCs/>
          <w:color w:val="auto"/>
          <w:highlight w:val="none"/>
        </w:rPr>
      </w:pPr>
      <w:r>
        <w:rPr>
          <w:rFonts w:hint="eastAsia" w:ascii="宋体" w:hAnsi="宋体" w:cs="宋体"/>
          <w:b/>
          <w:bCs/>
          <w:color w:val="auto"/>
          <w:highlight w:val="none"/>
        </w:rPr>
        <w:t>（非联合体投标人适用）</w:t>
      </w:r>
    </w:p>
    <w:p>
      <w:pPr>
        <w:snapToGrid w:val="0"/>
        <w:spacing w:line="360" w:lineRule="auto"/>
        <w:rPr>
          <w:rFonts w:ascii="宋体" w:hAnsi="宋体" w:cs="宋体"/>
          <w:color w:val="auto"/>
          <w:highlight w:val="none"/>
        </w:rPr>
      </w:pPr>
    </w:p>
    <w:p>
      <w:pPr>
        <w:snapToGrid w:val="0"/>
        <w:spacing w:line="360" w:lineRule="auto"/>
        <w:rPr>
          <w:rFonts w:ascii="宋体" w:hAnsi="宋体" w:cs="宋体"/>
          <w:b/>
          <w:bCs/>
          <w:color w:val="auto"/>
          <w:highlight w:val="none"/>
        </w:rPr>
      </w:pPr>
      <w:r>
        <w:rPr>
          <w:rFonts w:hint="eastAsia" w:ascii="宋体" w:hAnsi="宋体" w:cs="宋体"/>
          <w:color w:val="auto"/>
          <w:highlight w:val="none"/>
        </w:rPr>
        <w:t>致：</w:t>
      </w:r>
      <w:r>
        <w:rPr>
          <w:rFonts w:hint="eastAsia" w:ascii="宋体" w:hAnsi="宋体" w:cs="宋体"/>
          <w:color w:val="auto"/>
          <w:highlight w:val="none"/>
          <w:u w:val="single"/>
        </w:rPr>
        <w:t xml:space="preserve">　　              </w:t>
      </w:r>
      <w:r>
        <w:rPr>
          <w:rFonts w:hint="eastAsia" w:ascii="宋体" w:hAnsi="宋体" w:cs="宋体"/>
          <w:color w:val="auto"/>
          <w:highlight w:val="none"/>
        </w:rPr>
        <w:t>（采购人名称）</w:t>
      </w:r>
      <w:r>
        <w:rPr>
          <w:rFonts w:hint="eastAsia" w:ascii="宋体" w:hAnsi="宋体" w:cs="宋体"/>
          <w:b/>
          <w:bCs/>
          <w:color w:val="auto"/>
          <w:highlight w:val="none"/>
        </w:rPr>
        <w:t xml:space="preserve"> </w:t>
      </w:r>
      <w:r>
        <w:rPr>
          <w:rFonts w:hint="eastAsia" w:ascii="宋体" w:hAnsi="宋体" w:cs="宋体"/>
          <w:color w:val="auto"/>
          <w:highlight w:val="none"/>
        </w:rPr>
        <w:t>：</w:t>
      </w:r>
    </w:p>
    <w:p>
      <w:pPr>
        <w:snapToGrid w:val="0"/>
        <w:spacing w:line="360" w:lineRule="auto"/>
        <w:ind w:firstLine="630" w:firstLineChars="300"/>
        <w:rPr>
          <w:rFonts w:ascii="宋体" w:hAnsi="宋体" w:cs="宋体"/>
          <w:color w:val="auto"/>
          <w:highlight w:val="none"/>
        </w:rPr>
      </w:pPr>
      <w:r>
        <w:rPr>
          <w:rFonts w:hint="eastAsia" w:ascii="宋体" w:hAnsi="宋体" w:cs="宋体"/>
          <w:color w:val="auto"/>
          <w:highlight w:val="none"/>
        </w:rPr>
        <w:t>我</w:t>
      </w:r>
      <w:r>
        <w:rPr>
          <w:rFonts w:hint="eastAsia" w:ascii="宋体" w:hAnsi="宋体" w:cs="宋体"/>
          <w:color w:val="auto"/>
          <w:highlight w:val="none"/>
          <w:u w:val="single"/>
        </w:rPr>
        <w:t xml:space="preserve">　　              </w:t>
      </w:r>
      <w:r>
        <w:rPr>
          <w:rFonts w:hint="eastAsia" w:ascii="宋体" w:hAnsi="宋体" w:cs="宋体"/>
          <w:color w:val="auto"/>
          <w:highlight w:val="none"/>
        </w:rPr>
        <w:t>（姓名）系</w:t>
      </w:r>
      <w:r>
        <w:rPr>
          <w:rFonts w:hint="eastAsia" w:ascii="宋体" w:hAnsi="宋体" w:cs="宋体"/>
          <w:color w:val="auto"/>
          <w:highlight w:val="none"/>
          <w:u w:val="single"/>
        </w:rPr>
        <w:t xml:space="preserve">　　              </w:t>
      </w:r>
      <w:r>
        <w:rPr>
          <w:rFonts w:hint="eastAsia" w:ascii="宋体" w:hAnsi="宋体" w:cs="宋体"/>
          <w:color w:val="auto"/>
          <w:highlight w:val="none"/>
        </w:rPr>
        <w:t xml:space="preserve">（投标人名称）的法定代表人，现授权委托本单位在职职工 </w:t>
      </w:r>
      <w:r>
        <w:rPr>
          <w:rFonts w:hint="eastAsia" w:ascii="宋体" w:hAnsi="宋体" w:cs="宋体"/>
          <w:color w:val="auto"/>
          <w:highlight w:val="none"/>
          <w:u w:val="single"/>
        </w:rPr>
        <w:t xml:space="preserve">              </w:t>
      </w:r>
      <w:r>
        <w:rPr>
          <w:rFonts w:hint="eastAsia" w:ascii="宋体" w:hAnsi="宋体" w:cs="宋体"/>
          <w:color w:val="auto"/>
          <w:highlight w:val="none"/>
        </w:rPr>
        <w:t>（姓名）以我方的名义参加</w:t>
      </w:r>
      <w:r>
        <w:rPr>
          <w:rFonts w:hint="eastAsia" w:ascii="宋体" w:hAnsi="宋体" w:cs="宋体"/>
          <w:color w:val="auto"/>
          <w:highlight w:val="none"/>
          <w:u w:val="single"/>
        </w:rPr>
        <w:t xml:space="preserve">            </w:t>
      </w:r>
      <w:r>
        <w:rPr>
          <w:rFonts w:hint="eastAsia" w:ascii="宋体" w:hAnsi="宋体" w:cs="宋体"/>
          <w:color w:val="auto"/>
          <w:highlight w:val="none"/>
        </w:rPr>
        <w:t>项目的投标活动，并代表我方全权办理针对上述项目的投标、开标、评标、签约等具体事务和签署相关文件。</w:t>
      </w:r>
    </w:p>
    <w:p>
      <w:pPr>
        <w:snapToGrid w:val="0"/>
        <w:spacing w:line="360" w:lineRule="auto"/>
        <w:rPr>
          <w:rFonts w:ascii="宋体" w:hAnsi="宋体" w:cs="宋体"/>
          <w:color w:val="auto"/>
          <w:highlight w:val="none"/>
        </w:rPr>
      </w:pPr>
      <w:r>
        <w:rPr>
          <w:rFonts w:hint="eastAsia" w:ascii="宋体" w:hAnsi="宋体" w:cs="宋体"/>
          <w:color w:val="auto"/>
          <w:highlight w:val="none"/>
        </w:rPr>
        <w:t xml:space="preserve">    我方对被授权人的签名事项负全部责任。</w:t>
      </w:r>
    </w:p>
    <w:p>
      <w:pPr>
        <w:snapToGrid w:val="0"/>
        <w:spacing w:line="360" w:lineRule="auto"/>
        <w:ind w:firstLine="420"/>
        <w:rPr>
          <w:rFonts w:ascii="宋体" w:hAnsi="宋体" w:cs="宋体"/>
          <w:color w:val="auto"/>
          <w:highlight w:val="none"/>
        </w:rPr>
      </w:pPr>
      <w:r>
        <w:rPr>
          <w:rFonts w:hint="eastAsia" w:ascii="宋体" w:hAnsi="宋体" w:cs="宋体"/>
          <w:color w:val="auto"/>
          <w:highlight w:val="none"/>
          <w:u w:val="single"/>
        </w:rPr>
        <w:t>在撤销授权的书面通知以前，本授权书一直有效。</w:t>
      </w:r>
      <w:r>
        <w:rPr>
          <w:rFonts w:hint="eastAsia" w:ascii="宋体" w:hAnsi="宋体" w:cs="宋体"/>
          <w:color w:val="auto"/>
          <w:highlight w:val="none"/>
        </w:rPr>
        <w:t>被授权人在授权书有效期内签署的所有文件不因授权的撤销而失效。</w:t>
      </w:r>
    </w:p>
    <w:p>
      <w:pPr>
        <w:snapToGrid w:val="0"/>
        <w:spacing w:line="360" w:lineRule="auto"/>
        <w:ind w:firstLine="420"/>
        <w:rPr>
          <w:rFonts w:ascii="宋体" w:hAnsi="宋体" w:cs="宋体"/>
          <w:color w:val="auto"/>
          <w:highlight w:val="none"/>
        </w:rPr>
      </w:pPr>
      <w:r>
        <w:rPr>
          <w:rFonts w:hint="eastAsia" w:ascii="宋体" w:hAnsi="宋体" w:cs="宋体"/>
          <w:color w:val="auto"/>
          <w:highlight w:val="none"/>
        </w:rPr>
        <w:t>被授权人无转委托权，特此委托。</w:t>
      </w: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u w:val="single"/>
        </w:rPr>
      </w:pPr>
      <w:r>
        <w:rPr>
          <w:rFonts w:hint="eastAsia" w:ascii="宋体" w:hAnsi="宋体" w:cs="宋体"/>
          <w:color w:val="auto"/>
          <w:highlight w:val="none"/>
        </w:rPr>
        <w:t>被授权人签名或盖章：</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法定代表人签名或盖章：</w:t>
      </w:r>
      <w:r>
        <w:rPr>
          <w:rFonts w:hint="eastAsia" w:ascii="宋体" w:hAnsi="宋体" w:cs="宋体"/>
          <w:color w:val="auto"/>
          <w:highlight w:val="none"/>
          <w:u w:val="single"/>
        </w:rPr>
        <w:t xml:space="preserve">          </w:t>
      </w:r>
    </w:p>
    <w:p>
      <w:pPr>
        <w:snapToGrid w:val="0"/>
        <w:spacing w:line="360" w:lineRule="auto"/>
        <w:ind w:firstLine="840" w:firstLineChars="400"/>
        <w:rPr>
          <w:rFonts w:ascii="宋体" w:hAnsi="宋体" w:cs="宋体"/>
          <w:color w:val="auto"/>
          <w:highlight w:val="none"/>
        </w:rPr>
      </w:pPr>
      <w:r>
        <w:rPr>
          <w:rFonts w:hint="eastAsia" w:ascii="宋体" w:hAnsi="宋体" w:cs="宋体"/>
          <w:color w:val="auto"/>
          <w:highlight w:val="none"/>
        </w:rPr>
        <w:t>职务：</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职务：</w:t>
      </w:r>
      <w:r>
        <w:rPr>
          <w:rFonts w:hint="eastAsia" w:ascii="宋体" w:hAnsi="宋体" w:cs="宋体"/>
          <w:color w:val="auto"/>
          <w:highlight w:val="none"/>
          <w:u w:val="single"/>
        </w:rPr>
        <w:t xml:space="preserve">           </w:t>
      </w:r>
    </w:p>
    <w:p>
      <w:pPr>
        <w:snapToGrid w:val="0"/>
        <w:spacing w:line="360" w:lineRule="auto"/>
        <w:rPr>
          <w:rFonts w:ascii="宋体" w:hAnsi="宋体" w:cs="宋体"/>
          <w:color w:val="auto"/>
          <w:highlight w:val="none"/>
        </w:rPr>
      </w:pPr>
      <w:r>
        <w:rPr>
          <w:rFonts w:hint="eastAsia" w:ascii="宋体" w:hAnsi="宋体" w:cs="宋体"/>
          <w:color w:val="auto"/>
          <w:highlight w:val="none"/>
        </w:rPr>
        <w:t>被授权人身份证号码：</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napToGrid w:val="0"/>
        <w:spacing w:line="360" w:lineRule="auto"/>
        <w:rPr>
          <w:rFonts w:ascii="宋体" w:hAnsi="宋体" w:cs="宋体"/>
          <w:color w:val="auto"/>
          <w:highlight w:val="none"/>
        </w:rPr>
      </w:pPr>
      <w:r>
        <w:rPr>
          <w:rFonts w:hint="eastAsia" w:ascii="宋体" w:hAnsi="宋体" w:cs="宋体"/>
          <w:color w:val="auto"/>
          <w:highlight w:val="none"/>
        </w:rPr>
        <w:t>法定代表人身份证号码：</w:t>
      </w:r>
      <w:r>
        <w:rPr>
          <w:rFonts w:hint="eastAsia" w:ascii="宋体" w:hAnsi="宋体" w:cs="宋体"/>
          <w:color w:val="auto"/>
          <w:highlight w:val="none"/>
          <w:u w:val="single"/>
        </w:rPr>
        <w:t xml:space="preserve">                           </w:t>
      </w: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pPr>
    </w:p>
    <w:p>
      <w:pPr>
        <w:pStyle w:val="24"/>
        <w:tabs>
          <w:tab w:val="left" w:pos="2472"/>
        </w:tabs>
        <w:snapToGrid w:val="0"/>
        <w:spacing w:beforeLines="0" w:afterLines="0" w:line="360" w:lineRule="auto"/>
        <w:ind w:firstLine="420"/>
        <w:jc w:val="left"/>
        <w:rPr>
          <w:rFonts w:hAnsi="宋体"/>
          <w:color w:val="auto"/>
          <w:sz w:val="21"/>
          <w:szCs w:val="21"/>
          <w:highlight w:val="none"/>
        </w:rPr>
      </w:pPr>
      <w:r>
        <w:rPr>
          <w:rFonts w:hint="eastAsia" w:hAnsi="宋体"/>
          <w:color w:val="auto"/>
          <w:sz w:val="21"/>
          <w:szCs w:val="21"/>
          <w:highlight w:val="none"/>
        </w:rPr>
        <w:t>投标人名称(公章):___________________</w:t>
      </w:r>
    </w:p>
    <w:p>
      <w:pPr>
        <w:snapToGrid w:val="0"/>
        <w:spacing w:line="360" w:lineRule="auto"/>
        <w:rPr>
          <w:rFonts w:ascii="宋体" w:hAnsi="宋体" w:cs="宋体"/>
          <w:color w:val="auto"/>
          <w:highlight w:val="none"/>
        </w:rPr>
      </w:pPr>
      <w:r>
        <w:rPr>
          <w:rFonts w:hint="eastAsia" w:ascii="宋体" w:hAnsi="宋体" w:cs="宋体"/>
          <w:color w:val="auto"/>
          <w:highlight w:val="none"/>
        </w:rPr>
        <w:t>日期:_____年___月___日</w:t>
      </w:r>
    </w:p>
    <w:p>
      <w:pPr>
        <w:snapToGrid w:val="0"/>
        <w:spacing w:line="360" w:lineRule="auto"/>
        <w:jc w:val="left"/>
        <w:rPr>
          <w:rFonts w:ascii="宋体" w:hAnsi="宋体" w:cs="宋体"/>
          <w:color w:val="auto"/>
          <w:highlight w:val="none"/>
        </w:rPr>
      </w:pPr>
    </w:p>
    <w:p>
      <w:pPr>
        <w:snapToGrid w:val="0"/>
        <w:spacing w:before="50" w:after="120" w:afterLines="50"/>
        <w:jc w:val="left"/>
        <w:rPr>
          <w:rFonts w:ascii="宋体" w:hAnsi="宋体" w:cs="宋体"/>
          <w:color w:val="auto"/>
          <w:highlight w:val="none"/>
        </w:rPr>
      </w:pPr>
    </w:p>
    <w:p>
      <w:pPr>
        <w:snapToGrid w:val="0"/>
        <w:spacing w:before="50" w:after="120" w:afterLines="50"/>
        <w:jc w:val="left"/>
        <w:rPr>
          <w:rFonts w:ascii="宋体" w:hAnsi="宋体" w:cs="宋体"/>
          <w:color w:val="auto"/>
          <w:highlight w:val="none"/>
        </w:rPr>
      </w:pPr>
    </w:p>
    <w:p>
      <w:pPr>
        <w:snapToGrid w:val="0"/>
        <w:spacing w:before="50" w:after="120" w:afterLines="50"/>
        <w:ind w:firstLine="422"/>
        <w:jc w:val="left"/>
        <w:rPr>
          <w:rFonts w:ascii="宋体" w:hAnsi="宋体" w:cs="宋体"/>
          <w:b/>
          <w:bCs/>
          <w:color w:val="auto"/>
          <w:highlight w:val="none"/>
        </w:rPr>
      </w:pPr>
    </w:p>
    <w:p>
      <w:pPr>
        <w:snapToGrid w:val="0"/>
        <w:spacing w:before="50" w:after="120" w:afterLines="50"/>
        <w:ind w:firstLine="422"/>
        <w:jc w:val="left"/>
        <w:rPr>
          <w:rFonts w:ascii="宋体" w:hAnsi="宋体" w:cs="宋体"/>
          <w:b/>
          <w:bCs/>
          <w:color w:val="auto"/>
          <w:highlight w:val="none"/>
        </w:rPr>
      </w:pPr>
    </w:p>
    <w:p>
      <w:pPr>
        <w:pStyle w:val="18"/>
        <w:ind w:firstLine="560"/>
        <w:rPr>
          <w:rFonts w:ascii="宋体" w:hAnsi="宋体" w:cs="宋体"/>
          <w:color w:val="auto"/>
          <w:highlight w:val="none"/>
        </w:rPr>
      </w:pPr>
      <w:r>
        <w:rPr>
          <w:rFonts w:hint="eastAsia" w:ascii="宋体" w:hAnsi="宋体" w:cs="宋体"/>
          <w:color w:val="auto"/>
          <w:highlight w:val="none"/>
        </w:rPr>
        <w:br w:type="page"/>
      </w:r>
    </w:p>
    <w:p>
      <w:pPr>
        <w:pStyle w:val="24"/>
        <w:spacing w:before="120" w:after="120" w:line="240" w:lineRule="auto"/>
        <w:ind w:firstLine="442"/>
        <w:jc w:val="center"/>
        <w:rPr>
          <w:rFonts w:hAnsi="宋体"/>
          <w:b/>
          <w:color w:val="auto"/>
          <w:sz w:val="22"/>
          <w:szCs w:val="22"/>
          <w:highlight w:val="none"/>
        </w:rPr>
      </w:pPr>
      <w:r>
        <w:rPr>
          <w:rFonts w:hint="eastAsia" w:hAnsi="宋体"/>
          <w:b/>
          <w:color w:val="auto"/>
          <w:sz w:val="22"/>
          <w:szCs w:val="22"/>
          <w:highlight w:val="none"/>
        </w:rPr>
        <w:t>联合投标授权委托书</w:t>
      </w:r>
    </w:p>
    <w:p>
      <w:pPr>
        <w:pStyle w:val="19"/>
        <w:spacing w:line="240" w:lineRule="auto"/>
        <w:ind w:left="840" w:leftChars="400" w:firstLine="2222" w:firstLineChars="1100"/>
        <w:rPr>
          <w:rFonts w:hAnsi="宋体"/>
          <w:color w:val="auto"/>
          <w:sz w:val="21"/>
          <w:szCs w:val="21"/>
          <w:highlight w:val="none"/>
        </w:rPr>
      </w:pPr>
      <w:r>
        <w:rPr>
          <w:rFonts w:hint="eastAsia" w:hAnsi="宋体"/>
          <w:color w:val="auto"/>
          <w:sz w:val="21"/>
          <w:szCs w:val="21"/>
          <w:highlight w:val="none"/>
        </w:rPr>
        <w:t>（联合体投标须提供）</w:t>
      </w:r>
    </w:p>
    <w:p>
      <w:pPr>
        <w:pStyle w:val="19"/>
        <w:spacing w:line="480" w:lineRule="auto"/>
        <w:ind w:left="-107" w:leftChars="-51" w:firstLine="404" w:firstLineChars="200"/>
        <w:rPr>
          <w:rFonts w:hAnsi="宋体"/>
          <w:color w:val="auto"/>
          <w:sz w:val="21"/>
          <w:szCs w:val="21"/>
          <w:highlight w:val="none"/>
        </w:rPr>
      </w:pPr>
    </w:p>
    <w:p>
      <w:pPr>
        <w:pStyle w:val="19"/>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本授权委托书声明：根据</w:t>
      </w:r>
      <w:r>
        <w:rPr>
          <w:rFonts w:hint="eastAsia" w:hAnsi="宋体"/>
          <w:color w:val="auto"/>
          <w:sz w:val="21"/>
          <w:szCs w:val="21"/>
          <w:highlight w:val="none"/>
          <w:u w:val="single"/>
        </w:rPr>
        <w:t xml:space="preserve">             </w:t>
      </w:r>
      <w:r>
        <w:rPr>
          <w:rFonts w:hint="eastAsia" w:hAnsi="宋体"/>
          <w:color w:val="auto"/>
          <w:sz w:val="21"/>
          <w:szCs w:val="21"/>
          <w:highlight w:val="none"/>
        </w:rPr>
        <w:t>与</w:t>
      </w:r>
      <w:r>
        <w:rPr>
          <w:rFonts w:hint="eastAsia" w:hAnsi="宋体"/>
          <w:color w:val="auto"/>
          <w:sz w:val="21"/>
          <w:szCs w:val="21"/>
          <w:highlight w:val="none"/>
          <w:u w:val="single"/>
        </w:rPr>
        <w:t xml:space="preserve">             </w:t>
      </w:r>
      <w:r>
        <w:rPr>
          <w:rFonts w:hint="eastAsia" w:hAnsi="宋体"/>
          <w:color w:val="auto"/>
          <w:sz w:val="21"/>
          <w:szCs w:val="21"/>
          <w:highlight w:val="none"/>
        </w:rPr>
        <w:t>签订的《联合投标协议书》的内容，联合体牵头人</w:t>
      </w:r>
      <w:r>
        <w:rPr>
          <w:rFonts w:hint="eastAsia" w:hAnsi="宋体"/>
          <w:color w:val="auto"/>
          <w:sz w:val="21"/>
          <w:szCs w:val="21"/>
          <w:highlight w:val="none"/>
          <w:u w:val="single"/>
        </w:rPr>
        <w:t xml:space="preserve">            </w:t>
      </w:r>
      <w:r>
        <w:rPr>
          <w:rFonts w:hint="eastAsia" w:hAnsi="宋体"/>
          <w:color w:val="auto"/>
          <w:sz w:val="21"/>
          <w:szCs w:val="21"/>
          <w:highlight w:val="none"/>
        </w:rPr>
        <w:t>的法定代表人</w:t>
      </w:r>
      <w:r>
        <w:rPr>
          <w:rFonts w:hint="eastAsia" w:hAnsi="宋体"/>
          <w:color w:val="auto"/>
          <w:sz w:val="21"/>
          <w:szCs w:val="21"/>
          <w:highlight w:val="none"/>
          <w:u w:val="single"/>
        </w:rPr>
        <w:t xml:space="preserve">            </w:t>
      </w:r>
      <w:r>
        <w:rPr>
          <w:rFonts w:hint="eastAsia" w:hAnsi="宋体"/>
          <w:color w:val="auto"/>
          <w:sz w:val="21"/>
          <w:szCs w:val="21"/>
          <w:highlight w:val="none"/>
        </w:rPr>
        <w:t>现授权</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为联合投标委托代理人，委托代理人在投标、开标、评标、合同谈判过程中所签署的一切文件和处理与这有关的一切事务，联合投标各方均予以认可并遵守。 </w:t>
      </w:r>
    </w:p>
    <w:p>
      <w:pPr>
        <w:pStyle w:val="19"/>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特此委托。 </w:t>
      </w:r>
    </w:p>
    <w:p>
      <w:pPr>
        <w:pStyle w:val="19"/>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     </w:t>
      </w:r>
    </w:p>
    <w:p>
      <w:pPr>
        <w:pStyle w:val="19"/>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投标人（盖章）：</w:t>
      </w:r>
    </w:p>
    <w:p>
      <w:pPr>
        <w:pStyle w:val="19"/>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法定代表人（签字或盖章）： </w:t>
      </w:r>
    </w:p>
    <w:p>
      <w:pPr>
        <w:pStyle w:val="19"/>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日期：202</w:t>
      </w:r>
      <w:r>
        <w:rPr>
          <w:rFonts w:hint="eastAsia" w:hAnsi="宋体"/>
          <w:color w:val="auto"/>
          <w:sz w:val="21"/>
          <w:szCs w:val="21"/>
          <w:highlight w:val="none"/>
          <w:lang w:val="en-US" w:eastAsia="zh-CN"/>
        </w:rPr>
        <w:t>4</w:t>
      </w:r>
      <w:r>
        <w:rPr>
          <w:rFonts w:hint="eastAsia" w:hAnsi="宋体"/>
          <w:color w:val="auto"/>
          <w:sz w:val="21"/>
          <w:szCs w:val="21"/>
          <w:highlight w:val="none"/>
        </w:rPr>
        <w:t xml:space="preserve">年  月  日 </w:t>
      </w:r>
    </w:p>
    <w:p>
      <w:pPr>
        <w:pStyle w:val="19"/>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 xml:space="preserve"> </w:t>
      </w:r>
    </w:p>
    <w:p>
      <w:pPr>
        <w:pStyle w:val="19"/>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委托代理人（签字或盖章）；</w:t>
      </w:r>
    </w:p>
    <w:p>
      <w:pPr>
        <w:pStyle w:val="19"/>
        <w:spacing w:line="480" w:lineRule="auto"/>
        <w:ind w:left="-107" w:leftChars="-51" w:firstLine="404" w:firstLineChars="200"/>
        <w:rPr>
          <w:rFonts w:hAnsi="宋体"/>
          <w:color w:val="auto"/>
          <w:sz w:val="21"/>
          <w:szCs w:val="21"/>
          <w:highlight w:val="none"/>
        </w:rPr>
      </w:pPr>
      <w:r>
        <w:rPr>
          <w:rFonts w:hint="eastAsia" w:hAnsi="宋体"/>
          <w:color w:val="auto"/>
          <w:sz w:val="21"/>
          <w:szCs w:val="21"/>
          <w:highlight w:val="none"/>
        </w:rPr>
        <w:t>日期：202</w:t>
      </w:r>
      <w:r>
        <w:rPr>
          <w:rFonts w:hint="eastAsia" w:hAnsi="宋体"/>
          <w:color w:val="auto"/>
          <w:sz w:val="21"/>
          <w:szCs w:val="21"/>
          <w:highlight w:val="none"/>
          <w:lang w:val="en-US" w:eastAsia="zh-CN"/>
        </w:rPr>
        <w:t>4</w:t>
      </w:r>
      <w:r>
        <w:rPr>
          <w:rFonts w:hint="eastAsia" w:hAnsi="宋体"/>
          <w:color w:val="auto"/>
          <w:sz w:val="21"/>
          <w:szCs w:val="21"/>
          <w:highlight w:val="none"/>
        </w:rPr>
        <w:t>年  月  日</w:t>
      </w:r>
    </w:p>
    <w:p>
      <w:pPr>
        <w:pStyle w:val="19"/>
        <w:spacing w:line="480" w:lineRule="auto"/>
        <w:ind w:left="840" w:firstLine="404"/>
        <w:rPr>
          <w:rFonts w:hAnsi="宋体"/>
          <w:color w:val="auto"/>
          <w:sz w:val="21"/>
          <w:szCs w:val="21"/>
          <w:highlight w:val="none"/>
        </w:rPr>
      </w:pPr>
    </w:p>
    <w:p>
      <w:pPr>
        <w:pStyle w:val="19"/>
        <w:spacing w:line="480" w:lineRule="auto"/>
        <w:ind w:firstLine="406"/>
        <w:rPr>
          <w:rFonts w:hAnsi="宋体"/>
          <w:b/>
          <w:bCs/>
          <w:color w:val="auto"/>
          <w:sz w:val="21"/>
          <w:szCs w:val="21"/>
          <w:highlight w:val="none"/>
        </w:rPr>
      </w:pPr>
      <w:r>
        <w:rPr>
          <w:rFonts w:hint="eastAsia" w:hAnsi="宋体"/>
          <w:b/>
          <w:bCs/>
          <w:color w:val="auto"/>
          <w:sz w:val="21"/>
          <w:szCs w:val="21"/>
          <w:highlight w:val="none"/>
        </w:rPr>
        <w:t>注：联合体投标的，此委托书由联合体牵头人的法定代表人签署，并加盖联合体牵头人单位章。</w:t>
      </w:r>
    </w:p>
    <w:p>
      <w:pPr>
        <w:snapToGrid w:val="0"/>
        <w:spacing w:before="50" w:after="120" w:afterLines="50"/>
        <w:jc w:val="left"/>
        <w:rPr>
          <w:rFonts w:ascii="宋体" w:hAnsi="宋体" w:cs="宋体"/>
          <w:color w:val="auto"/>
          <w:highlight w:val="none"/>
        </w:rPr>
      </w:pPr>
    </w:p>
    <w:p>
      <w:pPr>
        <w:snapToGrid w:val="0"/>
        <w:spacing w:before="50" w:after="120" w:afterLines="50"/>
        <w:jc w:val="left"/>
        <w:rPr>
          <w:rFonts w:ascii="宋体" w:hAnsi="宋体" w:cs="宋体"/>
          <w:color w:val="auto"/>
          <w:highlight w:val="none"/>
        </w:rPr>
      </w:pPr>
    </w:p>
    <w:p>
      <w:pPr>
        <w:snapToGrid w:val="0"/>
        <w:spacing w:before="50" w:after="120" w:afterLines="50"/>
        <w:jc w:val="left"/>
        <w:rPr>
          <w:rFonts w:ascii="宋体" w:hAnsi="宋体" w:cs="宋体"/>
          <w:color w:val="auto"/>
          <w:highlight w:val="none"/>
        </w:rPr>
      </w:pPr>
    </w:p>
    <w:p>
      <w:pPr>
        <w:snapToGrid w:val="0"/>
        <w:spacing w:before="50" w:after="120" w:afterLines="50"/>
        <w:jc w:val="left"/>
        <w:rPr>
          <w:rFonts w:ascii="宋体" w:hAnsi="宋体" w:cs="宋体"/>
          <w:color w:val="auto"/>
          <w:highlight w:val="none"/>
        </w:rPr>
      </w:pPr>
    </w:p>
    <w:p>
      <w:pPr>
        <w:snapToGrid w:val="0"/>
        <w:spacing w:before="50" w:after="120" w:afterLines="50"/>
        <w:ind w:firstLine="422"/>
        <w:jc w:val="left"/>
        <w:rPr>
          <w:rFonts w:ascii="宋体" w:hAnsi="宋体" w:cs="宋体"/>
          <w:b/>
          <w:bCs/>
          <w:color w:val="auto"/>
          <w:highlight w:val="none"/>
        </w:rPr>
      </w:pPr>
    </w:p>
    <w:p>
      <w:pPr>
        <w:snapToGrid w:val="0"/>
        <w:spacing w:before="50" w:after="120" w:afterLines="50"/>
        <w:ind w:firstLine="422"/>
        <w:jc w:val="left"/>
        <w:rPr>
          <w:rFonts w:ascii="宋体" w:hAnsi="宋体" w:cs="宋体"/>
          <w:b/>
          <w:bCs/>
          <w:color w:val="auto"/>
          <w:highlight w:val="none"/>
        </w:rPr>
      </w:pPr>
    </w:p>
    <w:p>
      <w:pPr>
        <w:snapToGrid w:val="0"/>
        <w:spacing w:before="50" w:after="120" w:afterLines="50"/>
        <w:ind w:firstLine="422"/>
        <w:jc w:val="left"/>
        <w:rPr>
          <w:rFonts w:ascii="宋体" w:hAnsi="宋体" w:cs="宋体"/>
          <w:b/>
          <w:bCs/>
          <w:color w:val="auto"/>
          <w:highlight w:val="none"/>
        </w:rPr>
      </w:pPr>
    </w:p>
    <w:p>
      <w:pPr>
        <w:snapToGrid w:val="0"/>
        <w:spacing w:before="50" w:after="120" w:afterLines="50"/>
        <w:ind w:firstLine="422"/>
        <w:jc w:val="left"/>
        <w:rPr>
          <w:rFonts w:ascii="宋体" w:hAnsi="宋体" w:cs="宋体"/>
          <w:b/>
          <w:bCs/>
          <w:color w:val="auto"/>
          <w:highlight w:val="none"/>
        </w:rPr>
      </w:pPr>
    </w:p>
    <w:p>
      <w:pPr>
        <w:snapToGrid w:val="0"/>
        <w:spacing w:before="50" w:line="360" w:lineRule="auto"/>
        <w:jc w:val="left"/>
        <w:rPr>
          <w:rFonts w:ascii="宋体" w:hAnsi="宋体" w:cs="宋体"/>
          <w:color w:val="auto"/>
          <w:highlight w:val="none"/>
        </w:rPr>
      </w:pPr>
      <w:r>
        <w:rPr>
          <w:rFonts w:hint="eastAsia" w:ascii="宋体" w:hAnsi="宋体" w:cs="宋体"/>
          <w:b/>
          <w:bCs/>
          <w:color w:val="auto"/>
          <w:highlight w:val="none"/>
        </w:rPr>
        <w:br w:type="page"/>
      </w:r>
      <w:r>
        <w:rPr>
          <w:rFonts w:hint="eastAsia" w:ascii="宋体" w:hAnsi="宋体" w:cs="宋体"/>
          <w:color w:val="auto"/>
          <w:highlight w:val="none"/>
        </w:rPr>
        <w:t>（3）商务条款响应（偏离）表</w:t>
      </w:r>
    </w:p>
    <w:p>
      <w:pPr>
        <w:snapToGrid w:val="0"/>
        <w:spacing w:before="50" w:line="360" w:lineRule="auto"/>
        <w:jc w:val="left"/>
        <w:rPr>
          <w:rFonts w:ascii="宋体" w:hAnsi="宋体" w:cs="宋体"/>
          <w:color w:val="auto"/>
          <w:highlight w:val="none"/>
        </w:rPr>
      </w:pPr>
    </w:p>
    <w:p>
      <w:pPr>
        <w:snapToGrid w:val="0"/>
        <w:spacing w:before="50" w:line="360" w:lineRule="auto"/>
        <w:ind w:firstLine="422"/>
        <w:jc w:val="center"/>
        <w:rPr>
          <w:rFonts w:ascii="宋体" w:hAnsi="宋体" w:cs="宋体"/>
          <w:b/>
          <w:bCs/>
          <w:color w:val="auto"/>
          <w:highlight w:val="none"/>
        </w:rPr>
      </w:pPr>
      <w:r>
        <w:rPr>
          <w:rFonts w:hint="eastAsia" w:ascii="宋体" w:hAnsi="宋体" w:cs="宋体"/>
          <w:b/>
          <w:bCs/>
          <w:color w:val="auto"/>
          <w:highlight w:val="none"/>
        </w:rPr>
        <w:t>商务条款响应（偏离）表</w:t>
      </w:r>
    </w:p>
    <w:p>
      <w:pPr>
        <w:snapToGrid w:val="0"/>
        <w:spacing w:before="50" w:line="360" w:lineRule="auto"/>
        <w:jc w:val="center"/>
        <w:rPr>
          <w:rFonts w:ascii="宋体" w:hAnsi="宋体" w:cs="宋体"/>
          <w:color w:val="auto"/>
          <w:highlight w:val="none"/>
        </w:rPr>
      </w:pPr>
    </w:p>
    <w:p>
      <w:pPr>
        <w:snapToGrid w:val="0"/>
        <w:spacing w:before="50" w:line="360" w:lineRule="auto"/>
        <w:jc w:val="left"/>
        <w:rPr>
          <w:rFonts w:ascii="宋体" w:hAnsi="宋体" w:cs="宋体"/>
          <w:color w:val="auto"/>
          <w:highlight w:val="none"/>
          <w:u w:val="single"/>
        </w:rPr>
      </w:pPr>
      <w:r>
        <w:rPr>
          <w:rFonts w:hint="eastAsia" w:ascii="宋体" w:hAnsi="宋体" w:cs="宋体"/>
          <w:color w:val="auto"/>
          <w:highlight w:val="none"/>
        </w:rPr>
        <w:t>项目编号：</w:t>
      </w:r>
    </w:p>
    <w:tbl>
      <w:tblPr>
        <w:tblStyle w:val="47"/>
        <w:tblW w:w="852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bottom w:val="single" w:color="auto" w:sz="4" w:space="0"/>
              <w:right w:val="single" w:color="auto" w:sz="4" w:space="0"/>
            </w:tcBorders>
          </w:tcPr>
          <w:p>
            <w:pPr>
              <w:snapToGrid w:val="0"/>
              <w:spacing w:before="120" w:beforeLines="50" w:line="400" w:lineRule="exact"/>
              <w:jc w:val="center"/>
              <w:rPr>
                <w:rFonts w:ascii="宋体" w:hAnsi="宋体" w:cs="宋体"/>
                <w:color w:val="auto"/>
                <w:highlight w:val="none"/>
              </w:rPr>
            </w:pPr>
            <w:r>
              <w:rPr>
                <w:rFonts w:hint="eastAsia" w:ascii="宋体" w:hAnsi="宋体" w:cs="宋体"/>
                <w:color w:val="auto"/>
                <w:highlight w:val="none"/>
              </w:rPr>
              <w:t>名称</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jc w:val="center"/>
              <w:rPr>
                <w:rFonts w:ascii="宋体" w:hAnsi="宋体" w:cs="宋体"/>
                <w:color w:val="auto"/>
                <w:highlight w:val="none"/>
              </w:rPr>
            </w:pPr>
            <w:r>
              <w:rPr>
                <w:rFonts w:hint="eastAsia" w:ascii="宋体" w:hAnsi="宋体" w:cs="宋体"/>
                <w:color w:val="auto"/>
                <w:highlight w:val="none"/>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jc w:val="center"/>
              <w:rPr>
                <w:rFonts w:ascii="宋体" w:hAnsi="宋体" w:cs="宋体"/>
                <w:color w:val="auto"/>
                <w:highlight w:val="none"/>
              </w:rPr>
            </w:pPr>
            <w:r>
              <w:rPr>
                <w:rFonts w:hint="eastAsia" w:ascii="宋体" w:hAnsi="宋体" w:cs="宋体"/>
                <w:color w:val="auto"/>
                <w:highlight w:val="none"/>
              </w:rPr>
              <w:t>是否响应</w:t>
            </w:r>
          </w:p>
        </w:tc>
        <w:tc>
          <w:tcPr>
            <w:tcW w:w="3020" w:type="dxa"/>
            <w:tcBorders>
              <w:top w:val="single" w:color="auto" w:sz="4" w:space="0"/>
              <w:left w:val="single" w:color="auto" w:sz="4" w:space="0"/>
              <w:bottom w:val="single" w:color="auto" w:sz="4" w:space="0"/>
            </w:tcBorders>
          </w:tcPr>
          <w:p>
            <w:pPr>
              <w:snapToGrid w:val="0"/>
              <w:spacing w:before="120" w:beforeLines="50" w:line="400" w:lineRule="exact"/>
              <w:jc w:val="center"/>
              <w:rPr>
                <w:rFonts w:ascii="宋体" w:hAnsi="宋体" w:cs="宋体"/>
                <w:color w:val="auto"/>
                <w:highlight w:val="none"/>
              </w:rPr>
            </w:pPr>
            <w:r>
              <w:rPr>
                <w:rFonts w:hint="eastAsia" w:ascii="宋体" w:hAnsi="宋体" w:cs="宋体"/>
                <w:color w:val="auto"/>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hAnsi="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ind w:firstLine="643"/>
              <w:rPr>
                <w:rFonts w:ascii="宋体" w:hAnsi="宋体" w:cs="宋体"/>
                <w:b/>
                <w:bCs/>
                <w:color w:val="auto"/>
                <w:sz w:val="32"/>
                <w:szCs w:val="32"/>
                <w:highlight w:val="none"/>
              </w:rPr>
            </w:pPr>
          </w:p>
        </w:tc>
        <w:tc>
          <w:tcPr>
            <w:tcW w:w="3020" w:type="dxa"/>
            <w:tcBorders>
              <w:top w:val="single" w:color="auto" w:sz="4" w:space="0"/>
              <w:left w:val="single" w:color="auto" w:sz="4" w:space="0"/>
              <w:bottom w:val="single" w:color="auto" w:sz="4" w:space="0"/>
            </w:tcBorders>
          </w:tcPr>
          <w:p>
            <w:pPr>
              <w:snapToGrid w:val="0"/>
              <w:spacing w:before="120" w:beforeLines="50" w:line="400" w:lineRule="exact"/>
              <w:ind w:firstLine="643"/>
              <w:rPr>
                <w:rFonts w:ascii="宋体" w:hAnsi="宋体" w:cs="宋体"/>
                <w:b/>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hAnsi="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ind w:firstLine="643"/>
              <w:rPr>
                <w:rFonts w:ascii="宋体" w:hAnsi="宋体" w:cs="宋体"/>
                <w:b/>
                <w:bCs/>
                <w:color w:val="auto"/>
                <w:sz w:val="32"/>
                <w:szCs w:val="32"/>
                <w:highlight w:val="none"/>
              </w:rPr>
            </w:pPr>
          </w:p>
        </w:tc>
        <w:tc>
          <w:tcPr>
            <w:tcW w:w="3020" w:type="dxa"/>
            <w:tcBorders>
              <w:top w:val="single" w:color="auto" w:sz="4" w:space="0"/>
              <w:left w:val="single" w:color="auto" w:sz="4" w:space="0"/>
              <w:bottom w:val="single" w:color="auto" w:sz="4" w:space="0"/>
            </w:tcBorders>
          </w:tcPr>
          <w:p>
            <w:pPr>
              <w:snapToGrid w:val="0"/>
              <w:spacing w:before="120" w:beforeLines="50" w:line="400" w:lineRule="exact"/>
              <w:ind w:firstLine="643"/>
              <w:rPr>
                <w:rFonts w:ascii="宋体" w:hAnsi="宋体" w:cs="宋体"/>
                <w:b/>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hAnsi="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ind w:firstLine="643"/>
              <w:rPr>
                <w:rFonts w:ascii="宋体" w:hAnsi="宋体" w:cs="宋体"/>
                <w:b/>
                <w:bCs/>
                <w:color w:val="auto"/>
                <w:sz w:val="32"/>
                <w:szCs w:val="32"/>
                <w:highlight w:val="none"/>
              </w:rPr>
            </w:pPr>
          </w:p>
        </w:tc>
        <w:tc>
          <w:tcPr>
            <w:tcW w:w="3020" w:type="dxa"/>
            <w:tcBorders>
              <w:top w:val="single" w:color="auto" w:sz="4" w:space="0"/>
              <w:left w:val="single" w:color="auto" w:sz="4" w:space="0"/>
              <w:bottom w:val="single" w:color="auto" w:sz="4" w:space="0"/>
            </w:tcBorders>
          </w:tcPr>
          <w:p>
            <w:pPr>
              <w:snapToGrid w:val="0"/>
              <w:spacing w:before="120" w:beforeLines="50" w:line="400" w:lineRule="exact"/>
              <w:ind w:firstLine="643"/>
              <w:rPr>
                <w:rFonts w:ascii="宋体" w:hAnsi="宋体" w:cs="宋体"/>
                <w:b/>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hAnsi="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ind w:firstLine="643"/>
              <w:rPr>
                <w:rFonts w:ascii="宋体" w:hAnsi="宋体" w:cs="宋体"/>
                <w:b/>
                <w:bCs/>
                <w:color w:val="auto"/>
                <w:sz w:val="32"/>
                <w:szCs w:val="32"/>
                <w:highlight w:val="none"/>
              </w:rPr>
            </w:pPr>
          </w:p>
        </w:tc>
        <w:tc>
          <w:tcPr>
            <w:tcW w:w="3020" w:type="dxa"/>
            <w:tcBorders>
              <w:top w:val="single" w:color="auto" w:sz="4" w:space="0"/>
              <w:left w:val="single" w:color="auto" w:sz="4" w:space="0"/>
              <w:bottom w:val="single" w:color="auto" w:sz="4" w:space="0"/>
            </w:tcBorders>
          </w:tcPr>
          <w:p>
            <w:pPr>
              <w:snapToGrid w:val="0"/>
              <w:spacing w:before="120" w:beforeLines="50" w:line="400" w:lineRule="exact"/>
              <w:ind w:firstLine="643"/>
              <w:rPr>
                <w:rFonts w:ascii="宋体" w:hAnsi="宋体" w:cs="宋体"/>
                <w:b/>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hAnsi="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ind w:firstLine="643"/>
              <w:rPr>
                <w:rFonts w:ascii="宋体" w:hAnsi="宋体" w:cs="宋体"/>
                <w:b/>
                <w:bCs/>
                <w:color w:val="auto"/>
                <w:sz w:val="32"/>
                <w:szCs w:val="32"/>
                <w:highlight w:val="none"/>
              </w:rPr>
            </w:pPr>
          </w:p>
        </w:tc>
        <w:tc>
          <w:tcPr>
            <w:tcW w:w="3020" w:type="dxa"/>
            <w:tcBorders>
              <w:top w:val="single" w:color="auto" w:sz="4" w:space="0"/>
              <w:left w:val="single" w:color="auto" w:sz="4" w:space="0"/>
              <w:bottom w:val="single" w:color="auto" w:sz="4" w:space="0"/>
            </w:tcBorders>
          </w:tcPr>
          <w:p>
            <w:pPr>
              <w:snapToGrid w:val="0"/>
              <w:spacing w:before="120" w:beforeLines="50" w:line="400" w:lineRule="exact"/>
              <w:ind w:firstLine="643"/>
              <w:rPr>
                <w:rFonts w:ascii="宋体" w:hAnsi="宋体" w:cs="宋体"/>
                <w:b/>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548" w:type="dxa"/>
            <w:tcBorders>
              <w:top w:val="single" w:color="auto" w:sz="4" w:space="0"/>
              <w:bottom w:val="single" w:color="auto" w:sz="4" w:space="0"/>
              <w:right w:val="single" w:color="auto" w:sz="4" w:space="0"/>
            </w:tcBorders>
          </w:tcPr>
          <w:p>
            <w:pPr>
              <w:snapToGrid w:val="0"/>
              <w:spacing w:before="120" w:beforeLines="50" w:line="400" w:lineRule="exact"/>
              <w:rPr>
                <w:rFonts w:ascii="宋体" w:hAnsi="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ind w:firstLine="643"/>
              <w:rPr>
                <w:rFonts w:ascii="宋体" w:hAnsi="宋体" w:cs="宋体"/>
                <w:b/>
                <w:bCs/>
                <w:color w:val="auto"/>
                <w:sz w:val="32"/>
                <w:szCs w:val="32"/>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ind w:firstLine="643"/>
              <w:rPr>
                <w:rFonts w:ascii="宋体" w:hAnsi="宋体" w:cs="宋体"/>
                <w:b/>
                <w:bCs/>
                <w:color w:val="auto"/>
                <w:sz w:val="32"/>
                <w:szCs w:val="32"/>
                <w:highlight w:val="none"/>
              </w:rPr>
            </w:pPr>
          </w:p>
        </w:tc>
        <w:tc>
          <w:tcPr>
            <w:tcW w:w="3020" w:type="dxa"/>
            <w:tcBorders>
              <w:top w:val="single" w:color="auto" w:sz="4" w:space="0"/>
              <w:left w:val="single" w:color="auto" w:sz="4" w:space="0"/>
              <w:bottom w:val="single" w:color="auto" w:sz="4" w:space="0"/>
            </w:tcBorders>
          </w:tcPr>
          <w:p>
            <w:pPr>
              <w:snapToGrid w:val="0"/>
              <w:spacing w:before="120" w:beforeLines="50" w:line="400" w:lineRule="exact"/>
              <w:ind w:firstLine="643"/>
              <w:rPr>
                <w:rFonts w:ascii="宋体" w:hAnsi="宋体" w:cs="宋体"/>
                <w:b/>
                <w:bCs/>
                <w:color w:val="auto"/>
                <w:sz w:val="32"/>
                <w:szCs w:val="32"/>
                <w:highlight w:val="none"/>
              </w:rPr>
            </w:pPr>
          </w:p>
        </w:tc>
      </w:tr>
    </w:tbl>
    <w:p>
      <w:pPr>
        <w:snapToGrid w:val="0"/>
        <w:spacing w:before="50"/>
        <w:rPr>
          <w:rFonts w:ascii="宋体" w:hAnsi="宋体" w:cs="宋体"/>
          <w:color w:val="auto"/>
          <w:kern w:val="0"/>
          <w:highlight w:val="none"/>
        </w:rPr>
      </w:pPr>
      <w:r>
        <w:rPr>
          <w:rFonts w:hint="eastAsia" w:ascii="宋体" w:hAnsi="宋体" w:cs="宋体"/>
          <w:color w:val="auto"/>
          <w:highlight w:val="none"/>
        </w:rPr>
        <w:t>注:投标人须按第二章 招标需求</w:t>
      </w:r>
      <w:r>
        <w:rPr>
          <w:rFonts w:hint="eastAsia" w:ascii="宋体" w:hAnsi="宋体" w:cs="宋体"/>
          <w:b/>
          <w:bCs/>
          <w:color w:val="auto"/>
          <w:highlight w:val="none"/>
        </w:rPr>
        <w:t>一、商务要求中</w:t>
      </w:r>
      <w:r>
        <w:rPr>
          <w:rFonts w:hint="eastAsia" w:ascii="宋体" w:hAnsi="宋体" w:cs="宋体"/>
          <w:color w:val="auto"/>
          <w:highlight w:val="none"/>
        </w:rPr>
        <w:t>逐条填写，在说明栏如实填写“正偏离”、“无偏离”或“负偏离”。</w:t>
      </w:r>
    </w:p>
    <w:p>
      <w:pPr>
        <w:snapToGrid w:val="0"/>
        <w:spacing w:before="50"/>
        <w:jc w:val="left"/>
        <w:rPr>
          <w:rFonts w:ascii="宋体" w:hAnsi="宋体" w:cs="宋体"/>
          <w:color w:val="auto"/>
          <w:highlight w:val="none"/>
        </w:rPr>
      </w:pPr>
    </w:p>
    <w:p>
      <w:pPr>
        <w:snapToGrid w:val="0"/>
        <w:spacing w:before="50"/>
        <w:jc w:val="left"/>
        <w:rPr>
          <w:rFonts w:ascii="宋体" w:hAnsi="宋体" w:cs="宋体"/>
          <w:color w:val="auto"/>
          <w:highlight w:val="none"/>
        </w:rPr>
      </w:pPr>
    </w:p>
    <w:p>
      <w:pPr>
        <w:snapToGrid w:val="0"/>
        <w:spacing w:before="50"/>
        <w:jc w:val="left"/>
        <w:rPr>
          <w:rFonts w:ascii="宋体" w:hAnsi="宋体" w:cs="宋体"/>
          <w:color w:val="auto"/>
          <w:highlight w:val="none"/>
        </w:rPr>
      </w:pPr>
    </w:p>
    <w:p>
      <w:pPr>
        <w:pStyle w:val="24"/>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 xml:space="preserve">投标人名称(公章):___________________                    </w:t>
      </w:r>
    </w:p>
    <w:p>
      <w:pPr>
        <w:snapToGrid w:val="0"/>
        <w:spacing w:before="50" w:after="120" w:afterLines="50"/>
        <w:jc w:val="left"/>
        <w:rPr>
          <w:rFonts w:ascii="宋体" w:hAnsi="宋体" w:cs="宋体"/>
          <w:color w:val="auto"/>
          <w:highlight w:val="none"/>
        </w:rPr>
      </w:pPr>
      <w:r>
        <w:rPr>
          <w:rFonts w:hint="eastAsia" w:ascii="宋体" w:hAnsi="宋体" w:cs="宋体"/>
          <w:color w:val="auto"/>
          <w:highlight w:val="none"/>
        </w:rPr>
        <w:t>日期:_____年___月___日</w:t>
      </w:r>
    </w:p>
    <w:p>
      <w:pPr>
        <w:snapToGrid w:val="0"/>
        <w:spacing w:before="50" w:after="120" w:afterLines="50"/>
        <w:jc w:val="left"/>
        <w:rPr>
          <w:rFonts w:ascii="宋体" w:hAnsi="宋体" w:cs="宋体"/>
          <w:color w:val="auto"/>
          <w:highlight w:val="none"/>
        </w:rPr>
      </w:pPr>
    </w:p>
    <w:p>
      <w:pPr>
        <w:snapToGrid w:val="0"/>
        <w:spacing w:before="50" w:after="120" w:afterLines="50"/>
        <w:ind w:firstLine="422"/>
        <w:jc w:val="left"/>
        <w:rPr>
          <w:rFonts w:ascii="宋体" w:hAnsi="宋体" w:cs="宋体"/>
          <w:color w:val="auto"/>
          <w:highlight w:val="none"/>
        </w:rPr>
      </w:pPr>
      <w:r>
        <w:rPr>
          <w:rFonts w:hint="eastAsia" w:ascii="宋体" w:hAnsi="宋体" w:cs="宋体"/>
          <w:b/>
          <w:bCs/>
          <w:color w:val="auto"/>
          <w:highlight w:val="none"/>
        </w:rPr>
        <w:t>注：联合体投标的，可只由联合体牵头人盖章。</w:t>
      </w:r>
    </w:p>
    <w:p>
      <w:pPr>
        <w:snapToGrid w:val="0"/>
        <w:spacing w:before="50" w:after="120" w:afterLines="50"/>
        <w:jc w:val="left"/>
        <w:rPr>
          <w:rFonts w:ascii="宋体" w:hAnsi="宋体" w:cs="宋体"/>
          <w:color w:val="auto"/>
          <w:highlight w:val="none"/>
        </w:rPr>
      </w:pPr>
    </w:p>
    <w:p>
      <w:pPr>
        <w:snapToGrid w:val="0"/>
        <w:spacing w:before="50" w:after="120" w:afterLines="50"/>
        <w:jc w:val="left"/>
        <w:rPr>
          <w:rFonts w:ascii="宋体" w:hAnsi="宋体" w:cs="宋体"/>
          <w:color w:val="auto"/>
          <w:highlight w:val="none"/>
        </w:rPr>
      </w:pPr>
    </w:p>
    <w:p>
      <w:pPr>
        <w:snapToGrid w:val="0"/>
        <w:spacing w:before="50" w:line="360" w:lineRule="auto"/>
        <w:jc w:val="left"/>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（4）技术条款响应（偏离）表</w:t>
      </w:r>
    </w:p>
    <w:p>
      <w:pPr>
        <w:spacing w:line="400" w:lineRule="exact"/>
        <w:ind w:firstLine="422"/>
        <w:jc w:val="center"/>
        <w:rPr>
          <w:rFonts w:ascii="宋体" w:hAnsi="宋体" w:cs="宋体"/>
          <w:b/>
          <w:bCs/>
          <w:color w:val="auto"/>
          <w:highlight w:val="none"/>
        </w:rPr>
      </w:pPr>
      <w:r>
        <w:rPr>
          <w:rFonts w:hint="eastAsia" w:ascii="宋体" w:hAnsi="宋体" w:cs="宋体"/>
          <w:b/>
          <w:bCs/>
          <w:color w:val="auto"/>
          <w:highlight w:val="none"/>
        </w:rPr>
        <w:t>技术条款响应（偏离）表</w:t>
      </w:r>
    </w:p>
    <w:p>
      <w:pPr>
        <w:snapToGrid w:val="0"/>
        <w:spacing w:before="50" w:line="360" w:lineRule="auto"/>
        <w:jc w:val="left"/>
        <w:rPr>
          <w:rFonts w:ascii="宋体" w:hAnsi="宋体" w:cs="宋体"/>
          <w:color w:val="auto"/>
          <w:highlight w:val="none"/>
          <w:u w:val="single"/>
        </w:rPr>
      </w:pPr>
      <w:r>
        <w:rPr>
          <w:rFonts w:hint="eastAsia" w:ascii="宋体" w:hAnsi="宋体" w:cs="宋体"/>
          <w:color w:val="auto"/>
          <w:highlight w:val="none"/>
        </w:rPr>
        <w:t>项目编号：</w:t>
      </w:r>
    </w:p>
    <w:tbl>
      <w:tblPr>
        <w:tblStyle w:val="47"/>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序号</w:t>
            </w:r>
          </w:p>
        </w:tc>
        <w:tc>
          <w:tcPr>
            <w:tcW w:w="336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招标文件</w:t>
            </w:r>
          </w:p>
          <w:p>
            <w:pPr>
              <w:spacing w:line="400" w:lineRule="exact"/>
              <w:jc w:val="center"/>
              <w:rPr>
                <w:rFonts w:ascii="宋体" w:hAnsi="宋体" w:cs="宋体"/>
                <w:color w:val="auto"/>
                <w:highlight w:val="none"/>
              </w:rPr>
            </w:pPr>
            <w:r>
              <w:rPr>
                <w:rFonts w:hint="eastAsia" w:ascii="宋体" w:hAnsi="宋体" w:cs="宋体"/>
                <w:color w:val="auto"/>
                <w:highlight w:val="none"/>
              </w:rPr>
              <w:t>技术规格、要求</w:t>
            </w:r>
          </w:p>
        </w:tc>
        <w:tc>
          <w:tcPr>
            <w:tcW w:w="2908"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投标文件</w:t>
            </w:r>
          </w:p>
          <w:p>
            <w:pPr>
              <w:spacing w:line="400" w:lineRule="exact"/>
              <w:jc w:val="center"/>
              <w:rPr>
                <w:rFonts w:ascii="宋体" w:hAnsi="宋体" w:cs="宋体"/>
                <w:color w:val="auto"/>
                <w:highlight w:val="none"/>
              </w:rPr>
            </w:pPr>
            <w:r>
              <w:rPr>
                <w:rFonts w:hint="eastAsia" w:ascii="宋体" w:hAnsi="宋体" w:cs="宋体"/>
                <w:color w:val="auto"/>
                <w:highlight w:val="none"/>
              </w:rPr>
              <w:t>对应规格</w:t>
            </w:r>
          </w:p>
        </w:tc>
        <w:tc>
          <w:tcPr>
            <w:tcW w:w="1578"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hAnsi="宋体" w:cs="宋体"/>
                <w:color w:val="auto"/>
                <w:highlight w:val="none"/>
              </w:rPr>
            </w:pPr>
          </w:p>
        </w:tc>
        <w:tc>
          <w:tcPr>
            <w:tcW w:w="3360" w:type="dxa"/>
            <w:vAlign w:val="center"/>
          </w:tcPr>
          <w:p>
            <w:pPr>
              <w:spacing w:line="400" w:lineRule="exact"/>
              <w:jc w:val="center"/>
              <w:rPr>
                <w:rFonts w:ascii="宋体" w:hAnsi="宋体" w:cs="宋体"/>
                <w:color w:val="auto"/>
                <w:highlight w:val="none"/>
              </w:rPr>
            </w:pPr>
          </w:p>
        </w:tc>
        <w:tc>
          <w:tcPr>
            <w:tcW w:w="2908" w:type="dxa"/>
            <w:vAlign w:val="center"/>
          </w:tcPr>
          <w:p>
            <w:pPr>
              <w:spacing w:line="400" w:lineRule="exact"/>
              <w:jc w:val="center"/>
              <w:rPr>
                <w:rFonts w:ascii="宋体" w:hAnsi="宋体" w:cs="宋体"/>
                <w:color w:val="auto"/>
                <w:highlight w:val="none"/>
              </w:rPr>
            </w:pPr>
          </w:p>
        </w:tc>
        <w:tc>
          <w:tcPr>
            <w:tcW w:w="1578" w:type="dxa"/>
            <w:vAlign w:val="center"/>
          </w:tcPr>
          <w:p>
            <w:pPr>
              <w:spacing w:line="400" w:lineRule="exact"/>
              <w:jc w:val="center"/>
              <w:rPr>
                <w:rFonts w:ascii="宋体" w:hAnsi="宋体" w:cs="宋体"/>
                <w:color w:val="auto"/>
                <w:highlight w:val="none"/>
              </w:rPr>
            </w:pPr>
          </w:p>
        </w:tc>
      </w:tr>
    </w:tbl>
    <w:p>
      <w:pPr>
        <w:snapToGrid w:val="0"/>
        <w:spacing w:before="50"/>
        <w:rPr>
          <w:rFonts w:ascii="宋体" w:hAnsi="宋体" w:cs="宋体"/>
          <w:color w:val="auto"/>
          <w:kern w:val="0"/>
          <w:highlight w:val="none"/>
        </w:rPr>
      </w:pPr>
      <w:r>
        <w:rPr>
          <w:rFonts w:hint="eastAsia" w:ascii="宋体" w:hAnsi="宋体" w:cs="宋体"/>
          <w:color w:val="auto"/>
          <w:highlight w:val="none"/>
        </w:rPr>
        <w:t>注：注:投标人须按第二章 招标需求</w:t>
      </w:r>
      <w:r>
        <w:rPr>
          <w:rFonts w:hint="eastAsia" w:ascii="宋体" w:hAnsi="宋体" w:cs="宋体"/>
          <w:b/>
          <w:bCs/>
          <w:color w:val="auto"/>
          <w:highlight w:val="none"/>
        </w:rPr>
        <w:t>二、技术需求</w:t>
      </w:r>
      <w:r>
        <w:rPr>
          <w:rFonts w:hint="eastAsia" w:ascii="宋体" w:hAnsi="宋体" w:cs="宋体"/>
          <w:color w:val="auto"/>
          <w:highlight w:val="none"/>
        </w:rPr>
        <w:t>逐条填写，在说明栏如实填写“正偏离”、“无偏离”或“负偏离”。</w:t>
      </w:r>
    </w:p>
    <w:p>
      <w:pPr>
        <w:spacing w:line="400" w:lineRule="exact"/>
        <w:rPr>
          <w:rFonts w:ascii="宋体" w:hAnsi="宋体" w:cs="宋体"/>
          <w:color w:val="auto"/>
          <w:highlight w:val="none"/>
        </w:rPr>
      </w:pPr>
      <w:r>
        <w:rPr>
          <w:rFonts w:hint="eastAsia" w:ascii="宋体" w:hAnsi="宋体" w:cs="宋体"/>
          <w:color w:val="auto"/>
          <w:highlight w:val="none"/>
        </w:rPr>
        <w:t>投标人（盖章）：</w:t>
      </w:r>
    </w:p>
    <w:p>
      <w:pPr>
        <w:pStyle w:val="19"/>
        <w:spacing w:line="360" w:lineRule="exact"/>
        <w:ind w:firstLine="404"/>
        <w:jc w:val="left"/>
        <w:rPr>
          <w:rFonts w:hAnsi="宋体"/>
          <w:color w:val="auto"/>
          <w:spacing w:val="6"/>
          <w:sz w:val="21"/>
          <w:szCs w:val="21"/>
          <w:highlight w:val="none"/>
        </w:rPr>
      </w:pPr>
      <w:r>
        <w:rPr>
          <w:rFonts w:hint="eastAsia" w:hAnsi="宋体"/>
          <w:color w:val="auto"/>
          <w:sz w:val="21"/>
          <w:szCs w:val="21"/>
          <w:highlight w:val="none"/>
        </w:rPr>
        <w:t>日期：</w:t>
      </w:r>
    </w:p>
    <w:p>
      <w:pPr>
        <w:snapToGrid w:val="0"/>
        <w:spacing w:before="50" w:after="120" w:afterLines="50"/>
        <w:jc w:val="left"/>
        <w:rPr>
          <w:rFonts w:ascii="宋体" w:hAnsi="宋体" w:cs="宋体"/>
          <w:color w:val="auto"/>
          <w:highlight w:val="none"/>
        </w:rPr>
      </w:pPr>
    </w:p>
    <w:p>
      <w:pPr>
        <w:snapToGrid w:val="0"/>
        <w:spacing w:before="50" w:after="120" w:afterLines="50"/>
        <w:ind w:firstLine="422"/>
        <w:jc w:val="left"/>
        <w:rPr>
          <w:rFonts w:ascii="宋体" w:hAnsi="宋体" w:cs="宋体"/>
          <w:color w:val="auto"/>
          <w:highlight w:val="none"/>
        </w:rPr>
      </w:pPr>
      <w:r>
        <w:rPr>
          <w:rFonts w:hint="eastAsia" w:ascii="宋体" w:hAnsi="宋体" w:cs="宋体"/>
          <w:b/>
          <w:bCs/>
          <w:color w:val="auto"/>
          <w:highlight w:val="none"/>
        </w:rPr>
        <w:t>注：联合体投标的，可只由联合体牵头人盖章。</w:t>
      </w:r>
    </w:p>
    <w:p>
      <w:pPr>
        <w:pStyle w:val="18"/>
        <w:ind w:firstLine="560"/>
        <w:rPr>
          <w:rFonts w:ascii="宋体" w:hAnsi="宋体" w:cs="宋体"/>
          <w:color w:val="auto"/>
          <w:highlight w:val="none"/>
        </w:rPr>
        <w:sectPr>
          <w:pgSz w:w="11906" w:h="16838"/>
          <w:pgMar w:top="1474" w:right="1797" w:bottom="1247" w:left="1797" w:header="851" w:footer="851" w:gutter="0"/>
          <w:cols w:space="720" w:num="1"/>
          <w:titlePg/>
          <w:docGrid w:linePitch="312" w:charSpace="0"/>
        </w:sectPr>
      </w:pPr>
    </w:p>
    <w:p>
      <w:pPr>
        <w:spacing w:line="360" w:lineRule="auto"/>
        <w:rPr>
          <w:rFonts w:ascii="宋体" w:hAnsi="宋体" w:cs="宋体"/>
          <w:color w:val="auto"/>
          <w:highlight w:val="none"/>
        </w:rPr>
      </w:pPr>
      <w:r>
        <w:rPr>
          <w:rFonts w:hint="eastAsia" w:ascii="宋体" w:hAnsi="宋体" w:cs="宋体"/>
          <w:color w:val="auto"/>
          <w:highlight w:val="none"/>
        </w:rPr>
        <w:t>（5）技术需求中要求提供的证明资料（加盖公章）；</w:t>
      </w:r>
    </w:p>
    <w:p>
      <w:pPr>
        <w:spacing w:line="360" w:lineRule="auto"/>
        <w:rPr>
          <w:rFonts w:ascii="宋体" w:hAnsi="宋体" w:cs="宋体"/>
          <w:color w:val="auto"/>
          <w:highlight w:val="none"/>
        </w:rPr>
      </w:pPr>
      <w:r>
        <w:rPr>
          <w:rFonts w:hint="eastAsia" w:ascii="宋体" w:hAnsi="宋体" w:cs="宋体"/>
          <w:color w:val="auto"/>
          <w:highlight w:val="none"/>
        </w:rPr>
        <w:t>（6）试剂质量保证措施、冷库仓储能力、产品验收方案；</w:t>
      </w:r>
    </w:p>
    <w:p>
      <w:pPr>
        <w:spacing w:line="360" w:lineRule="auto"/>
        <w:rPr>
          <w:rFonts w:ascii="宋体" w:hAnsi="宋体" w:cs="宋体"/>
          <w:color w:val="auto"/>
          <w:highlight w:val="none"/>
        </w:rPr>
      </w:pPr>
      <w:r>
        <w:rPr>
          <w:rFonts w:hint="eastAsia" w:ascii="宋体" w:hAnsi="宋体" w:cs="宋体"/>
          <w:color w:val="auto"/>
          <w:highlight w:val="none"/>
        </w:rPr>
        <w:t>（7）过渡期间保证方案、物流方案、技术服务、技术培训、售后服务方案、维修成本方案、应急处置能力；</w:t>
      </w:r>
    </w:p>
    <w:p>
      <w:pPr>
        <w:spacing w:line="360" w:lineRule="auto"/>
        <w:rPr>
          <w:rFonts w:ascii="宋体" w:hAnsi="宋体" w:cs="宋体"/>
          <w:color w:val="auto"/>
          <w:highlight w:val="none"/>
        </w:rPr>
      </w:pPr>
      <w:r>
        <w:rPr>
          <w:rFonts w:hint="eastAsia" w:ascii="宋体" w:hAnsi="宋体" w:cs="宋体"/>
          <w:color w:val="auto"/>
          <w:highlight w:val="none"/>
        </w:rPr>
        <w:t>（8）投标人所投产品的节能环保产品认证证书复印件及所投产品</w:t>
      </w:r>
      <w:r>
        <w:rPr>
          <w:rFonts w:hint="eastAsia" w:ascii="宋体" w:hAnsi="宋体" w:cs="宋体"/>
          <w:color w:val="auto"/>
          <w:highlight w:val="none"/>
          <w:lang w:val="zh-CN"/>
        </w:rPr>
        <w:t>属于“节能产品政府采购清单”</w:t>
      </w:r>
      <w:r>
        <w:rPr>
          <w:rFonts w:hint="eastAsia" w:ascii="宋体" w:hAnsi="宋体" w:cs="宋体"/>
          <w:color w:val="auto"/>
          <w:highlight w:val="none"/>
        </w:rPr>
        <w:t>中所列产品的</w:t>
      </w:r>
      <w:r>
        <w:rPr>
          <w:rFonts w:hint="eastAsia" w:ascii="宋体" w:hAnsi="宋体" w:cs="宋体"/>
          <w:color w:val="auto"/>
          <w:highlight w:val="none"/>
          <w:lang w:val="zh-CN"/>
        </w:rPr>
        <w:t>相关证明资料或截图</w:t>
      </w:r>
      <w:r>
        <w:rPr>
          <w:rFonts w:hint="eastAsia" w:ascii="宋体" w:hAnsi="宋体" w:cs="宋体"/>
          <w:color w:val="auto"/>
          <w:highlight w:val="none"/>
        </w:rPr>
        <w:t>（如有请提供，加盖公章）；</w:t>
      </w:r>
    </w:p>
    <w:p>
      <w:pPr>
        <w:spacing w:line="360" w:lineRule="auto"/>
        <w:rPr>
          <w:rFonts w:ascii="宋体" w:hAnsi="宋体" w:cs="宋体"/>
          <w:color w:val="auto"/>
          <w:spacing w:val="6"/>
          <w:highlight w:val="none"/>
        </w:rPr>
      </w:pPr>
      <w:r>
        <w:rPr>
          <w:rFonts w:hint="eastAsia" w:ascii="宋体" w:hAnsi="宋体" w:cs="宋体"/>
          <w:color w:val="auto"/>
          <w:highlight w:val="none"/>
        </w:rPr>
        <w:t>（9）其他采购需求或评分标准所需资料；</w:t>
      </w:r>
    </w:p>
    <w:sectPr>
      <w:headerReference r:id="rId8" w:type="default"/>
      <w:footerReference r:id="rId9" w:type="default"/>
      <w:pgSz w:w="11906" w:h="16838"/>
      <w:pgMar w:top="1474" w:right="1797" w:bottom="1247" w:left="179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汉鼎简细圆">
    <w:altName w:val="宋体"/>
    <w:panose1 w:val="00000000000000000000"/>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horndale">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PMingLiUfalt">
    <w:altName w:val="MingLiU-ExtB"/>
    <w:panose1 w:val="00000000000000000000"/>
    <w:charset w:val="88"/>
    <w:family w:val="auto"/>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HYShuSongErKW">
    <w:altName w:val="Cambria"/>
    <w:panose1 w:val="00000000000000000000"/>
    <w:charset w:val="00"/>
    <w:family w:val="roman"/>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30"/>
                            <w:jc w:val="center"/>
                            <w:rPr>
                              <w:rFonts w:cs="Times New Roman"/>
                            </w:rPr>
                          </w:pPr>
                          <w:r>
                            <w:fldChar w:fldCharType="begin"/>
                          </w:r>
                          <w:r>
                            <w:instrText xml:space="preserve"> PAGE   \* MERGEFORMAT </w:instrText>
                          </w:r>
                          <w:r>
                            <w:fldChar w:fldCharType="separate"/>
                          </w:r>
                          <w:r>
                            <w:rPr>
                              <w:lang w:val="zh-CN"/>
                            </w:rPr>
                            <w:t>6</w:t>
                          </w:r>
                          <w:r>
                            <w:rPr>
                              <w:lang w:val="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Pi91E0AAAAAIBAAAPAAAAAAAAAAEAIAAAACIAAABk&#10;cnMvZG93bnJldi54bWxQSwECFAAUAAAACACHTuJAAen+zdUBAACnAwAADgAAAAAAAAABACAAAAAf&#10;AQAAZHJzL2Uyb0RvYy54bWxQSwUGAAAAAAYABgBZAQAAZgUAAAAA&#10;">
              <v:fill on="f" focussize="0,0"/>
              <v:stroke on="f"/>
              <v:imagedata o:title=""/>
              <o:lock v:ext="edit" aspectratio="f"/>
              <v:textbox inset="0mm,0mm,0mm,0mm" style="mso-fit-shape-to-text:t;">
                <w:txbxContent>
                  <w:p>
                    <w:pPr>
                      <w:pStyle w:val="30"/>
                      <w:jc w:val="center"/>
                      <w:rPr>
                        <w:rFonts w:cs="Times New Roman"/>
                      </w:rPr>
                    </w:pPr>
                    <w:r>
                      <w:fldChar w:fldCharType="begin"/>
                    </w:r>
                    <w:r>
                      <w:instrText xml:space="preserve"> PAGE   \* MERGEFORMAT </w:instrText>
                    </w:r>
                    <w:r>
                      <w:fldChar w:fldCharType="separate"/>
                    </w:r>
                    <w:r>
                      <w:rPr>
                        <w:lang w:val="zh-CN"/>
                      </w:rPr>
                      <w:t>6</w:t>
                    </w:r>
                    <w:r>
                      <w:rPr>
                        <w:lang w:val="zh-CN"/>
                      </w:rPr>
                      <w:fldChar w:fldCharType="end"/>
                    </w:r>
                  </w:p>
                </w:txbxContent>
              </v:textbox>
            </v:shape>
          </w:pict>
        </mc:Fallback>
      </mc:AlternateContent>
    </w:r>
  </w:p>
  <w:p>
    <w:pPr>
      <w:pStyle w:val="3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10185" cy="301625"/>
              <wp:effectExtent l="0" t="0" r="0" b="0"/>
              <wp:wrapNone/>
              <wp:docPr id="3" name="文本框 1"/>
              <wp:cNvGraphicFramePr/>
              <a:graphic xmlns:a="http://schemas.openxmlformats.org/drawingml/2006/main">
                <a:graphicData uri="http://schemas.microsoft.com/office/word/2010/wordprocessingShape">
                  <wps:wsp>
                    <wps:cNvSpPr txBox="1"/>
                    <wps:spPr>
                      <a:xfrm>
                        <a:off x="0" y="0"/>
                        <a:ext cx="210185" cy="301625"/>
                      </a:xfrm>
                      <a:prstGeom prst="rect">
                        <a:avLst/>
                      </a:prstGeom>
                      <a:noFill/>
                      <a:ln>
                        <a:noFill/>
                      </a:ln>
                      <a:effectLst/>
                    </wps:spPr>
                    <wps:txbx>
                      <w:txbxContent>
                        <w:p>
                          <w:pPr>
                            <w:snapToGrid w:val="0"/>
                            <w:rPr>
                              <w:sz w:val="18"/>
                              <w:szCs w:val="18"/>
                            </w:rPr>
                          </w:pPr>
                          <w:r>
                            <w:fldChar w:fldCharType="begin"/>
                          </w:r>
                          <w:r>
                            <w:instrText xml:space="preserve"> PAGE  \* MERGEFORMAT </w:instrText>
                          </w:r>
                          <w:r>
                            <w:fldChar w:fldCharType="separate"/>
                          </w:r>
                          <w:r>
                            <w:rPr>
                              <w:sz w:val="18"/>
                              <w:szCs w:val="18"/>
                            </w:rPr>
                            <w:t>10</w:t>
                          </w:r>
                          <w:r>
                            <w:rPr>
                              <w:sz w:val="18"/>
                              <w:szCs w:val="18"/>
                            </w:rPr>
                            <w:fldChar w:fldCharType="end"/>
                          </w:r>
                        </w:p>
                      </w:txbxContent>
                    </wps:txbx>
                    <wps:bodyPr wrap="square" lIns="0" tIns="0" rIns="0" bIns="0" upright="1"/>
                  </wps:wsp>
                </a:graphicData>
              </a:graphic>
            </wp:anchor>
          </w:drawing>
        </mc:Choice>
        <mc:Fallback>
          <w:pict>
            <v:shape id="文本框 1" o:spid="_x0000_s1026" o:spt="202" type="#_x0000_t202" style="position:absolute;left:0pt;margin-top:0pt;height:23.75pt;width:16.55pt;mso-position-horizontal:center;mso-position-horizontal-relative:margin;z-index:251660288;mso-width-relative:page;mso-height-relative:page;" filled="f" stroked="f" coordsize="21600,21600" o:gfxdata="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Kd38y1AAAAAMBAAAPAAAAAAAAAAEAIAAAACIAAABkcnMvZG93bnJl&#10;di54bWxQSwECFAAUAAAACACHTuJAw28LBcgBAACNAwAADgAAAAAAAAABACAAAAAjAQAAZHJzL2Uy&#10;b0RvYy54bWxQSwUGAAAAAAYABgBZAQAAXQUAAAAA&#10;">
              <v:fill on="f" focussize="0,0"/>
              <v:stroke on="f"/>
              <v:imagedata o:title=""/>
              <o:lock v:ext="edit" aspectratio="f"/>
              <v:textbox inset="0mm,0mm,0mm,0mm">
                <w:txbxContent>
                  <w:p>
                    <w:pPr>
                      <w:snapToGrid w:val="0"/>
                      <w:rPr>
                        <w:sz w:val="18"/>
                        <w:szCs w:val="18"/>
                      </w:rPr>
                    </w:pPr>
                    <w:r>
                      <w:fldChar w:fldCharType="begin"/>
                    </w:r>
                    <w:r>
                      <w:instrText xml:space="preserve"> PAGE  \* MERGEFORMAT </w:instrText>
                    </w:r>
                    <w:r>
                      <w:fldChar w:fldCharType="separate"/>
                    </w:r>
                    <w:r>
                      <w:rPr>
                        <w:sz w:val="18"/>
                        <w:szCs w:val="18"/>
                      </w:rPr>
                      <w:t>10</w:t>
                    </w:r>
                    <w:r>
                      <w:rPr>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10185" cy="301625"/>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210185" cy="301625"/>
                      </a:xfrm>
                      <a:prstGeom prst="rect">
                        <a:avLst/>
                      </a:prstGeom>
                      <a:noFill/>
                      <a:ln>
                        <a:noFill/>
                      </a:ln>
                      <a:effectLst/>
                    </wps:spPr>
                    <wps:txbx>
                      <w:txbxContent>
                        <w:p>
                          <w:pPr>
                            <w:snapToGrid w:val="0"/>
                            <w:rPr>
                              <w:sz w:val="18"/>
                              <w:szCs w:val="18"/>
                            </w:rPr>
                          </w:pPr>
                          <w:r>
                            <w:fldChar w:fldCharType="begin"/>
                          </w:r>
                          <w:r>
                            <w:instrText xml:space="preserve"> PAGE  \* MERGEFORMAT </w:instrText>
                          </w:r>
                          <w:r>
                            <w:fldChar w:fldCharType="separate"/>
                          </w:r>
                          <w:r>
                            <w:rPr>
                              <w:sz w:val="18"/>
                              <w:szCs w:val="18"/>
                            </w:rPr>
                            <w:t>63</w:t>
                          </w:r>
                          <w:r>
                            <w:rPr>
                              <w:sz w:val="18"/>
                              <w:szCs w:val="18"/>
                            </w:rPr>
                            <w:fldChar w:fldCharType="end"/>
                          </w:r>
                        </w:p>
                      </w:txbxContent>
                    </wps:txbx>
                    <wps:bodyPr wrap="square" lIns="0" tIns="0" rIns="0" bIns="0" upright="1"/>
                  </wps:wsp>
                </a:graphicData>
              </a:graphic>
            </wp:anchor>
          </w:drawing>
        </mc:Choice>
        <mc:Fallback>
          <w:pict>
            <v:shape id="文本框 1028" o:spid="_x0000_s1026" o:spt="202" type="#_x0000_t202" style="position:absolute;left:0pt;margin-top:0pt;height:23.75pt;width:16.55pt;mso-position-horizontal:center;mso-position-horizontal-relative:margin;z-index:251661312;mso-width-relative:page;mso-height-relative:page;" filled="f" stroked="f" coordsize="21600,21600" o:gfxdata="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nd/MtQAAAADAQAADwAAAAAAAAABACAAAAAiAAAAZHJzL2Rvd25y&#10;ZXYueG1sUEsBAhQAFAAAAAgAh07iQJCG1rnJAQAAkAMAAA4AAAAAAAAAAQAgAAAAIwEAAGRycy9l&#10;Mm9Eb2MueG1sUEsFBgAAAAAGAAYAWQEAAF4FAAAAAA==&#10;">
              <v:fill on="f" focussize="0,0"/>
              <v:stroke on="f"/>
              <v:imagedata o:title=""/>
              <o:lock v:ext="edit" aspectratio="f"/>
              <v:textbox inset="0mm,0mm,0mm,0mm">
                <w:txbxContent>
                  <w:p>
                    <w:pPr>
                      <w:snapToGrid w:val="0"/>
                      <w:rPr>
                        <w:sz w:val="18"/>
                        <w:szCs w:val="18"/>
                      </w:rPr>
                    </w:pPr>
                    <w:r>
                      <w:fldChar w:fldCharType="begin"/>
                    </w:r>
                    <w:r>
                      <w:instrText xml:space="preserve"> PAGE  \* MERGEFORMAT </w:instrText>
                    </w:r>
                    <w:r>
                      <w:fldChar w:fldCharType="separate"/>
                    </w:r>
                    <w:r>
                      <w:rPr>
                        <w:sz w:val="18"/>
                        <w:szCs w:val="18"/>
                      </w:rPr>
                      <w:t>63</w:t>
                    </w:r>
                    <w:r>
                      <w:rPr>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0"/>
                          </w:pPr>
                          <w:r>
                            <w:fldChar w:fldCharType="begin"/>
                          </w:r>
                          <w:r>
                            <w:instrText xml:space="preserve"> PAGE  \* MERGEFORMAT </w:instrText>
                          </w:r>
                          <w:r>
                            <w:fldChar w:fldCharType="separate"/>
                          </w:r>
                          <w:r>
                            <w:t>54</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jHnm/NABAACqAwAADgAAAAAAAAABACAAAAAeAQAAZHJz&#10;L2Uyb0RvYy54bWxQSwUGAAAAAAYABgBZAQAAYAU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firstLine="360"/>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30"/>
                            <w:rPr>
                              <w:rStyle w:val="51"/>
                              <w:rFonts w:cs="Times New Roman"/>
                            </w:rPr>
                          </w:pPr>
                          <w:r>
                            <w:rPr>
                              <w:rStyle w:val="51"/>
                            </w:rPr>
                            <w:fldChar w:fldCharType="begin"/>
                          </w:r>
                          <w:r>
                            <w:rPr>
                              <w:rStyle w:val="51"/>
                            </w:rPr>
                            <w:instrText xml:space="preserve">PAGE  </w:instrText>
                          </w:r>
                          <w:r>
                            <w:rPr>
                              <w:rStyle w:val="51"/>
                            </w:rPr>
                            <w:fldChar w:fldCharType="separate"/>
                          </w:r>
                          <w:r>
                            <w:rPr>
                              <w:rStyle w:val="51"/>
                            </w:rPr>
                            <w:t>65</w:t>
                          </w:r>
                          <w:r>
                            <w:rPr>
                              <w:rStyle w:val="51"/>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D5X5J0AAAAAMBAAAPAAAAAAAAAAEAIAAAACIAAABk&#10;cnMvZG93bnJldi54bWxQSwECFAAUAAAACACHTuJAI++H7NUBAACoAwAADgAAAAAAAAABACAAAAAf&#10;AQAAZHJzL2Uyb0RvYy54bWxQSwUGAAAAAAYABgBZAQAAZgUAAAAA&#10;">
              <v:fill on="f" focussize="0,0"/>
              <v:stroke on="f"/>
              <v:imagedata o:title=""/>
              <o:lock v:ext="edit" aspectratio="f"/>
              <v:textbox inset="0mm,0mm,0mm,0mm" style="mso-fit-shape-to-text:t;">
                <w:txbxContent>
                  <w:p>
                    <w:pPr>
                      <w:pStyle w:val="30"/>
                      <w:rPr>
                        <w:rStyle w:val="51"/>
                        <w:rFonts w:cs="Times New Roman"/>
                      </w:rPr>
                    </w:pPr>
                    <w:r>
                      <w:rPr>
                        <w:rStyle w:val="51"/>
                      </w:rPr>
                      <w:fldChar w:fldCharType="begin"/>
                    </w:r>
                    <w:r>
                      <w:rPr>
                        <w:rStyle w:val="51"/>
                      </w:rPr>
                      <w:instrText xml:space="preserve">PAGE  </w:instrText>
                    </w:r>
                    <w:r>
                      <w:rPr>
                        <w:rStyle w:val="51"/>
                      </w:rPr>
                      <w:fldChar w:fldCharType="separate"/>
                    </w:r>
                    <w:r>
                      <w:rPr>
                        <w:rStyle w:val="51"/>
                      </w:rPr>
                      <w:t>65</w:t>
                    </w:r>
                    <w:r>
                      <w:rPr>
                        <w:rStyle w:val="5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ind w:firstLine="360"/>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42CF6"/>
    <w:multiLevelType w:val="singleLevel"/>
    <w:tmpl w:val="85142CF6"/>
    <w:lvl w:ilvl="0" w:tentative="0">
      <w:start w:val="1"/>
      <w:numFmt w:val="decimalEnclosedCircleChinese"/>
      <w:suff w:val="nothing"/>
      <w:lvlText w:val="%1　"/>
      <w:lvlJc w:val="left"/>
      <w:pPr>
        <w:ind w:left="0" w:firstLine="400"/>
      </w:pPr>
      <w:rPr>
        <w:rFonts w:hint="eastAsia"/>
      </w:rPr>
    </w:lvl>
  </w:abstractNum>
  <w:abstractNum w:abstractNumId="1">
    <w:nsid w:val="8E279065"/>
    <w:multiLevelType w:val="singleLevel"/>
    <w:tmpl w:val="8E279065"/>
    <w:lvl w:ilvl="0" w:tentative="0">
      <w:start w:val="1"/>
      <w:numFmt w:val="chineseCounting"/>
      <w:suff w:val="nothing"/>
      <w:lvlText w:val="%1、"/>
      <w:lvlJc w:val="left"/>
      <w:rPr>
        <w:rFonts w:hint="eastAsia"/>
      </w:rPr>
    </w:lvl>
  </w:abstractNum>
  <w:abstractNum w:abstractNumId="2">
    <w:nsid w:val="C43CD8F0"/>
    <w:multiLevelType w:val="singleLevel"/>
    <w:tmpl w:val="C43CD8F0"/>
    <w:lvl w:ilvl="0" w:tentative="0">
      <w:start w:val="4"/>
      <w:numFmt w:val="chineseCounting"/>
      <w:suff w:val="nothing"/>
      <w:lvlText w:val="%1、"/>
      <w:lvlJc w:val="left"/>
      <w:pPr>
        <w:ind w:left="420" w:firstLine="0"/>
      </w:pPr>
      <w:rPr>
        <w:rFonts w:hint="eastAsia"/>
      </w:rPr>
    </w:lvl>
  </w:abstractNum>
  <w:abstractNum w:abstractNumId="3">
    <w:nsid w:val="E29497BC"/>
    <w:multiLevelType w:val="singleLevel"/>
    <w:tmpl w:val="E29497BC"/>
    <w:lvl w:ilvl="0" w:tentative="0">
      <w:start w:val="1"/>
      <w:numFmt w:val="decimal"/>
      <w:suff w:val="nothing"/>
      <w:lvlText w:val="%1、"/>
      <w:lvlJc w:val="left"/>
    </w:lvl>
  </w:abstractNum>
  <w:abstractNum w:abstractNumId="4">
    <w:nsid w:val="F462A7A4"/>
    <w:multiLevelType w:val="singleLevel"/>
    <w:tmpl w:val="F462A7A4"/>
    <w:lvl w:ilvl="0" w:tentative="0">
      <w:start w:val="1"/>
      <w:numFmt w:val="decimal"/>
      <w:lvlText w:val="%1."/>
      <w:lvlJc w:val="left"/>
      <w:pPr>
        <w:tabs>
          <w:tab w:val="left" w:pos="312"/>
        </w:tabs>
      </w:pPr>
    </w:lvl>
  </w:abstractNum>
  <w:abstractNum w:abstractNumId="5">
    <w:nsid w:val="F7695ACB"/>
    <w:multiLevelType w:val="singleLevel"/>
    <w:tmpl w:val="F7695ACB"/>
    <w:lvl w:ilvl="0" w:tentative="0">
      <w:start w:val="1"/>
      <w:numFmt w:val="decimalEnclosedCircleChinese"/>
      <w:suff w:val="nothing"/>
      <w:lvlText w:val="%1　"/>
      <w:lvlJc w:val="left"/>
      <w:pPr>
        <w:ind w:left="0" w:firstLine="400"/>
      </w:pPr>
      <w:rPr>
        <w:rFonts w:hint="eastAsia"/>
      </w:rPr>
    </w:lvl>
  </w:abstractNum>
  <w:abstractNum w:abstractNumId="6">
    <w:nsid w:val="FCA17147"/>
    <w:multiLevelType w:val="singleLevel"/>
    <w:tmpl w:val="FCA17147"/>
    <w:lvl w:ilvl="0" w:tentative="0">
      <w:start w:val="1"/>
      <w:numFmt w:val="decimal"/>
      <w:lvlText w:val="%1."/>
      <w:lvlJc w:val="left"/>
      <w:pPr>
        <w:tabs>
          <w:tab w:val="left" w:pos="312"/>
        </w:tabs>
      </w:pPr>
    </w:lvl>
  </w:abstractNum>
  <w:abstractNum w:abstractNumId="7">
    <w:nsid w:val="00000003"/>
    <w:multiLevelType w:val="singleLevel"/>
    <w:tmpl w:val="00000003"/>
    <w:lvl w:ilvl="0" w:tentative="0">
      <w:start w:val="2"/>
      <w:numFmt w:val="decimal"/>
      <w:suff w:val="nothing"/>
      <w:lvlText w:val="（%1）"/>
      <w:lvlJc w:val="left"/>
    </w:lvl>
  </w:abstractNum>
  <w:abstractNum w:abstractNumId="8">
    <w:nsid w:val="00000005"/>
    <w:multiLevelType w:val="multilevel"/>
    <w:tmpl w:val="00000005"/>
    <w:lvl w:ilvl="0" w:tentative="0">
      <w:start w:val="1"/>
      <w:numFmt w:val="japaneseCounting"/>
      <w:pStyle w:val="137"/>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6"/>
      <w:lvlText w:val="%5)"/>
      <w:lvlJc w:val="left"/>
      <w:pPr>
        <w:tabs>
          <w:tab w:val="left" w:pos="2100"/>
        </w:tabs>
        <w:ind w:left="2100" w:hanging="420"/>
      </w:pPr>
    </w:lvl>
    <w:lvl w:ilvl="5" w:tentative="0">
      <w:start w:val="1"/>
      <w:numFmt w:val="lowerRoman"/>
      <w:pStyle w:val="8"/>
      <w:lvlText w:val="%6."/>
      <w:lvlJc w:val="right"/>
      <w:pPr>
        <w:tabs>
          <w:tab w:val="left" w:pos="2520"/>
        </w:tabs>
        <w:ind w:left="2520" w:hanging="420"/>
      </w:pPr>
    </w:lvl>
    <w:lvl w:ilvl="6" w:tentative="0">
      <w:start w:val="1"/>
      <w:numFmt w:val="decimal"/>
      <w:pStyle w:val="9"/>
      <w:lvlText w:val="%7."/>
      <w:lvlJc w:val="left"/>
      <w:pPr>
        <w:tabs>
          <w:tab w:val="left" w:pos="2940"/>
        </w:tabs>
        <w:ind w:left="2940" w:hanging="420"/>
      </w:pPr>
    </w:lvl>
    <w:lvl w:ilvl="7" w:tentative="0">
      <w:start w:val="1"/>
      <w:numFmt w:val="lowerLetter"/>
      <w:pStyle w:val="10"/>
      <w:lvlText w:val="%8)"/>
      <w:lvlJc w:val="left"/>
      <w:pPr>
        <w:tabs>
          <w:tab w:val="left" w:pos="3360"/>
        </w:tabs>
        <w:ind w:left="3360" w:hanging="420"/>
      </w:pPr>
    </w:lvl>
    <w:lvl w:ilvl="8" w:tentative="0">
      <w:start w:val="1"/>
      <w:numFmt w:val="lowerRoman"/>
      <w:pStyle w:val="11"/>
      <w:lvlText w:val="%9."/>
      <w:lvlJc w:val="right"/>
      <w:pPr>
        <w:tabs>
          <w:tab w:val="left" w:pos="3780"/>
        </w:tabs>
        <w:ind w:left="3780" w:hanging="420"/>
      </w:pPr>
    </w:lvl>
  </w:abstractNum>
  <w:abstractNum w:abstractNumId="9">
    <w:nsid w:val="00000007"/>
    <w:multiLevelType w:val="singleLevel"/>
    <w:tmpl w:val="00000007"/>
    <w:lvl w:ilvl="0" w:tentative="0">
      <w:start w:val="1"/>
      <w:numFmt w:val="chineseCounting"/>
      <w:pStyle w:val="202"/>
      <w:suff w:val="nothing"/>
      <w:lvlText w:val="%1、"/>
      <w:lvlJc w:val="left"/>
    </w:lvl>
  </w:abstractNum>
  <w:abstractNum w:abstractNumId="10">
    <w:nsid w:val="0000000B"/>
    <w:multiLevelType w:val="singleLevel"/>
    <w:tmpl w:val="0000000B"/>
    <w:lvl w:ilvl="0" w:tentative="0">
      <w:start w:val="1"/>
      <w:numFmt w:val="decimal"/>
      <w:suff w:val="nothing"/>
      <w:lvlText w:val="（%1）"/>
      <w:lvlJc w:val="left"/>
      <w:pPr>
        <w:ind w:firstLine="400"/>
      </w:pPr>
      <w:rPr>
        <w:rFonts w:hint="default" w:ascii="宋体" w:hAnsi="宋体" w:eastAsia="宋体" w:cs="宋体"/>
      </w:rPr>
    </w:lvl>
  </w:abstractNum>
  <w:abstractNum w:abstractNumId="11">
    <w:nsid w:val="00000015"/>
    <w:multiLevelType w:val="singleLevel"/>
    <w:tmpl w:val="00000015"/>
    <w:lvl w:ilvl="0" w:tentative="0">
      <w:start w:val="2"/>
      <w:numFmt w:val="decimal"/>
      <w:suff w:val="nothing"/>
      <w:lvlText w:val="%1、"/>
      <w:lvlJc w:val="left"/>
    </w:lvl>
  </w:abstractNum>
  <w:abstractNum w:abstractNumId="12">
    <w:nsid w:val="0000001F"/>
    <w:multiLevelType w:val="multilevel"/>
    <w:tmpl w:val="0000001F"/>
    <w:lvl w:ilvl="0" w:tentative="0">
      <w:start w:val="1"/>
      <w:numFmt w:val="decimal"/>
      <w:pStyle w:val="146"/>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0E5A4BA2"/>
    <w:multiLevelType w:val="multilevel"/>
    <w:tmpl w:val="0E5A4BA2"/>
    <w:lvl w:ilvl="0" w:tentative="0">
      <w:start w:val="1"/>
      <w:numFmt w:val="chineseCountingThousand"/>
      <w:pStyle w:val="62"/>
      <w:lvlText w:val="第%1章"/>
      <w:lvlJc w:val="left"/>
      <w:pPr>
        <w:ind w:left="425" w:hanging="425"/>
      </w:pPr>
      <w:rPr>
        <w:rFonts w:hint="eastAsia"/>
        <w:sz w:val="36"/>
        <w:szCs w:val="36"/>
      </w:rPr>
    </w:lvl>
    <w:lvl w:ilvl="1" w:tentative="0">
      <w:start w:val="1"/>
      <w:numFmt w:val="decimal"/>
      <w:isLgl/>
      <w:lvlText w:val="%1.%2"/>
      <w:lvlJc w:val="left"/>
      <w:pPr>
        <w:ind w:left="992" w:hanging="567"/>
      </w:pPr>
      <w:rPr>
        <w:rFonts w:hint="eastAsia"/>
      </w:rPr>
    </w:lvl>
    <w:lvl w:ilvl="2" w:tentative="0">
      <w:start w:val="1"/>
      <w:numFmt w:val="decimal"/>
      <w:isLgl/>
      <w:lvlText w:val="%1.%2.%3"/>
      <w:lvlJc w:val="left"/>
      <w:pPr>
        <w:ind w:left="1418" w:hanging="567"/>
      </w:pPr>
      <w:rPr>
        <w:rFonts w:hint="eastAsia"/>
      </w:rPr>
    </w:lvl>
    <w:lvl w:ilvl="3" w:tentative="0">
      <w:start w:val="1"/>
      <w:numFmt w:val="decimal"/>
      <w:isLgl/>
      <w:lvlText w:val="%1.%2.%3.%4"/>
      <w:lvlJc w:val="left"/>
      <w:pPr>
        <w:ind w:left="1984" w:hanging="708"/>
      </w:pPr>
      <w:rPr>
        <w:rFonts w:hint="eastAsia"/>
      </w:rPr>
    </w:lvl>
    <w:lvl w:ilvl="4" w:tentative="0">
      <w:start w:val="1"/>
      <w:numFmt w:val="decimal"/>
      <w:pStyle w:val="211"/>
      <w:isLgl/>
      <w:lvlText w:val="%1.%2.%3.%4.%5"/>
      <w:lvlJc w:val="left"/>
      <w:pPr>
        <w:ind w:left="2551" w:hanging="850"/>
      </w:pPr>
      <w:rPr>
        <w:rFonts w:hint="eastAsia"/>
      </w:rPr>
    </w:lvl>
    <w:lvl w:ilvl="5" w:tentative="0">
      <w:start w:val="1"/>
      <w:numFmt w:val="decimal"/>
      <w:isLgl/>
      <w:lvlText w:val="%1.%2.%3.%4.%5.%6"/>
      <w:lvlJc w:val="left"/>
      <w:pPr>
        <w:ind w:left="3260" w:hanging="1134"/>
      </w:pPr>
      <w:rPr>
        <w:rFonts w:hint="eastAsia"/>
      </w:rPr>
    </w:lvl>
    <w:lvl w:ilvl="6" w:tentative="0">
      <w:start w:val="1"/>
      <w:numFmt w:val="decimal"/>
      <w:isLgl/>
      <w:lvlText w:val="%1.%2.%3.%4.%5.%6.%7"/>
      <w:lvlJc w:val="left"/>
      <w:pPr>
        <w:ind w:left="3827" w:hanging="1276"/>
      </w:pPr>
      <w:rPr>
        <w:rFonts w:hint="eastAsia"/>
      </w:rPr>
    </w:lvl>
    <w:lvl w:ilvl="7" w:tentative="0">
      <w:start w:val="1"/>
      <w:numFmt w:val="decimal"/>
      <w:isLgl/>
      <w:lvlText w:val="%1.%2.%3.%4.%5.%6.%7.%8"/>
      <w:lvlJc w:val="left"/>
      <w:pPr>
        <w:ind w:left="4394" w:hanging="1418"/>
      </w:pPr>
      <w:rPr>
        <w:rFonts w:hint="eastAsia"/>
      </w:rPr>
    </w:lvl>
    <w:lvl w:ilvl="8" w:tentative="0">
      <w:start w:val="1"/>
      <w:numFmt w:val="decimal"/>
      <w:isLgl/>
      <w:lvlText w:val="%1.%2.%3.%4.%5.%6.%7.%8.%9"/>
      <w:lvlJc w:val="left"/>
      <w:pPr>
        <w:ind w:left="5102" w:hanging="1700"/>
      </w:pPr>
      <w:rPr>
        <w:rFonts w:hint="eastAsia"/>
      </w:rPr>
    </w:lvl>
  </w:abstractNum>
  <w:abstractNum w:abstractNumId="14">
    <w:nsid w:val="216BF5E2"/>
    <w:multiLevelType w:val="singleLevel"/>
    <w:tmpl w:val="216BF5E2"/>
    <w:lvl w:ilvl="0" w:tentative="0">
      <w:start w:val="2"/>
      <w:numFmt w:val="decimal"/>
      <w:suff w:val="space"/>
      <w:lvlText w:val="%1."/>
      <w:lvlJc w:val="left"/>
    </w:lvl>
  </w:abstractNum>
  <w:abstractNum w:abstractNumId="15">
    <w:nsid w:val="24578A95"/>
    <w:multiLevelType w:val="singleLevel"/>
    <w:tmpl w:val="24578A95"/>
    <w:lvl w:ilvl="0" w:tentative="0">
      <w:start w:val="1"/>
      <w:numFmt w:val="decimal"/>
      <w:lvlText w:val="%1."/>
      <w:lvlJc w:val="left"/>
      <w:pPr>
        <w:tabs>
          <w:tab w:val="left" w:pos="312"/>
        </w:tabs>
      </w:pPr>
      <w:rPr>
        <w:rFonts w:hint="default" w:ascii="宋体" w:hAnsi="宋体" w:eastAsia="宋体" w:cs="宋体"/>
      </w:rPr>
    </w:lvl>
  </w:abstractNum>
  <w:abstractNum w:abstractNumId="16">
    <w:nsid w:val="29D120CC"/>
    <w:multiLevelType w:val="singleLevel"/>
    <w:tmpl w:val="29D120CC"/>
    <w:lvl w:ilvl="0" w:tentative="0">
      <w:start w:val="1"/>
      <w:numFmt w:val="decimal"/>
      <w:suff w:val="nothing"/>
      <w:lvlText w:val="（%1）"/>
      <w:lvlJc w:val="left"/>
    </w:lvl>
  </w:abstractNum>
  <w:abstractNum w:abstractNumId="17">
    <w:nsid w:val="2C5917C3"/>
    <w:multiLevelType w:val="multilevel"/>
    <w:tmpl w:val="2C5917C3"/>
    <w:lvl w:ilvl="0" w:tentative="0">
      <w:start w:val="1"/>
      <w:numFmt w:val="none"/>
      <w:suff w:val="nothing"/>
      <w:lvlText w:val="%1——"/>
      <w:lvlJc w:val="left"/>
      <w:pPr>
        <w:ind w:left="2393" w:hanging="408"/>
      </w:pPr>
    </w:lvl>
    <w:lvl w:ilvl="1" w:tentative="0">
      <w:start w:val="1"/>
      <w:numFmt w:val="bullet"/>
      <w:pStyle w:val="157"/>
      <w:lvlText w:val=""/>
      <w:lvlJc w:val="left"/>
      <w:pPr>
        <w:tabs>
          <w:tab w:val="left" w:pos="760"/>
        </w:tabs>
        <w:ind w:left="1264" w:hanging="413"/>
      </w:pPr>
      <w:rPr>
        <w:rFonts w:hint="default" w:ascii="Symbol" w:hAnsi="Symbol" w:cs="Symbol"/>
        <w:color w:val="auto"/>
      </w:rPr>
    </w:lvl>
    <w:lvl w:ilvl="2" w:tentative="0">
      <w:start w:val="1"/>
      <w:numFmt w:val="bullet"/>
      <w:pStyle w:val="155"/>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18">
    <w:nsid w:val="2FEC68FF"/>
    <w:multiLevelType w:val="singleLevel"/>
    <w:tmpl w:val="2FEC68FF"/>
    <w:lvl w:ilvl="0" w:tentative="0">
      <w:start w:val="1"/>
      <w:numFmt w:val="decimalEnclosedCircleChinese"/>
      <w:suff w:val="nothing"/>
      <w:lvlText w:val="%1　"/>
      <w:lvlJc w:val="left"/>
      <w:pPr>
        <w:ind w:left="0" w:firstLine="400"/>
      </w:pPr>
      <w:rPr>
        <w:rFonts w:hint="eastAsia"/>
      </w:rPr>
    </w:lvl>
  </w:abstractNum>
  <w:abstractNum w:abstractNumId="19">
    <w:nsid w:val="49D5323B"/>
    <w:multiLevelType w:val="multilevel"/>
    <w:tmpl w:val="49D5323B"/>
    <w:lvl w:ilvl="0" w:tentative="0">
      <w:start w:val="1"/>
      <w:numFmt w:val="upperLetter"/>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567CFDD7"/>
    <w:multiLevelType w:val="singleLevel"/>
    <w:tmpl w:val="567CFDD7"/>
    <w:lvl w:ilvl="0" w:tentative="0">
      <w:start w:val="1"/>
      <w:numFmt w:val="decimal"/>
      <w:suff w:val="nothing"/>
      <w:lvlText w:val="%1、"/>
      <w:lvlJc w:val="left"/>
    </w:lvl>
  </w:abstractNum>
  <w:abstractNum w:abstractNumId="21">
    <w:nsid w:val="598B6D96"/>
    <w:multiLevelType w:val="singleLevel"/>
    <w:tmpl w:val="598B6D96"/>
    <w:lvl w:ilvl="0" w:tentative="0">
      <w:start w:val="2"/>
      <w:numFmt w:val="chineseCounting"/>
      <w:suff w:val="nothing"/>
      <w:lvlText w:val="%1、"/>
      <w:lvlJc w:val="left"/>
      <w:rPr>
        <w:rFonts w:hint="eastAsia" w:ascii="宋体" w:hAnsi="宋体" w:eastAsia="宋体" w:cs="宋体"/>
        <w:b/>
        <w:bCs/>
      </w:rPr>
    </w:lvl>
  </w:abstractNum>
  <w:abstractNum w:abstractNumId="22">
    <w:nsid w:val="67825C8E"/>
    <w:multiLevelType w:val="singleLevel"/>
    <w:tmpl w:val="67825C8E"/>
    <w:lvl w:ilvl="0" w:tentative="0">
      <w:start w:val="3"/>
      <w:numFmt w:val="decimal"/>
      <w:lvlText w:val="%1."/>
      <w:lvlJc w:val="left"/>
      <w:pPr>
        <w:tabs>
          <w:tab w:val="left" w:pos="312"/>
        </w:tabs>
      </w:pPr>
    </w:lvl>
  </w:abstractNum>
  <w:num w:numId="1">
    <w:abstractNumId w:val="8"/>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5"/>
  </w:num>
  <w:num w:numId="7">
    <w:abstractNumId w:val="21"/>
  </w:num>
  <w:num w:numId="8">
    <w:abstractNumId w:val="3"/>
  </w:num>
  <w:num w:numId="9">
    <w:abstractNumId w:val="4"/>
  </w:num>
  <w:num w:numId="10">
    <w:abstractNumId w:val="10"/>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0"/>
  </w:num>
  <w:num w:numId="16">
    <w:abstractNumId w:val="14"/>
  </w:num>
  <w:num w:numId="17">
    <w:abstractNumId w:val="18"/>
  </w:num>
  <w:num w:numId="18">
    <w:abstractNumId w:val="22"/>
  </w:num>
  <w:num w:numId="19">
    <w:abstractNumId w:val="2"/>
  </w:num>
  <w:num w:numId="20">
    <w:abstractNumId w:val="6"/>
  </w:num>
  <w:num w:numId="21">
    <w:abstractNumId w:val="1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kNames" w:val="?¡ì?????????¡ì?¡ì?"/>
    <w:docVar w:name="commondata" w:val="eyJoZGlkIjoiNWM2ZDA5ODkwMzRlMGQ1YTk4ZmI3ZDIxNDgyMjBmMjUifQ=="/>
    <w:docVar w:name="CurUserName" w:val="??¡ì??? ???¡ì??? 1???????¡ì?????¡ì????¡ì???H1h1Level 1 Topic HeadingH11H12H111H13H1... Char"/>
    <w:docVar w:name="DeleteMarces" w:val="?¡ì?????????¡ì?¡ì???~????b ?~??????¡§????"/>
    <w:docVar w:name="DocName" w:val="w:rsidR"/>
    <w:docVar w:name="OldInfo" w:val="??????"/>
  </w:docVars>
  <w:rsids>
    <w:rsidRoot w:val="00172A27"/>
    <w:rsid w:val="000049CD"/>
    <w:rsid w:val="00005E47"/>
    <w:rsid w:val="00010A2C"/>
    <w:rsid w:val="000112D8"/>
    <w:rsid w:val="00013ADC"/>
    <w:rsid w:val="00015B7B"/>
    <w:rsid w:val="00021FF7"/>
    <w:rsid w:val="00030FA0"/>
    <w:rsid w:val="00031829"/>
    <w:rsid w:val="000327A3"/>
    <w:rsid w:val="00033472"/>
    <w:rsid w:val="00033B44"/>
    <w:rsid w:val="00033F8F"/>
    <w:rsid w:val="000345C2"/>
    <w:rsid w:val="00035824"/>
    <w:rsid w:val="00036646"/>
    <w:rsid w:val="00037FFA"/>
    <w:rsid w:val="0004100E"/>
    <w:rsid w:val="00041F33"/>
    <w:rsid w:val="00041FDA"/>
    <w:rsid w:val="00042A8E"/>
    <w:rsid w:val="0004424B"/>
    <w:rsid w:val="00046008"/>
    <w:rsid w:val="000503C2"/>
    <w:rsid w:val="00053B09"/>
    <w:rsid w:val="00054378"/>
    <w:rsid w:val="0005668C"/>
    <w:rsid w:val="0005721E"/>
    <w:rsid w:val="000579FC"/>
    <w:rsid w:val="0006051B"/>
    <w:rsid w:val="0006108D"/>
    <w:rsid w:val="00062050"/>
    <w:rsid w:val="000621A1"/>
    <w:rsid w:val="00062805"/>
    <w:rsid w:val="00062902"/>
    <w:rsid w:val="00063BF3"/>
    <w:rsid w:val="00064033"/>
    <w:rsid w:val="0007142A"/>
    <w:rsid w:val="00071A95"/>
    <w:rsid w:val="0007225D"/>
    <w:rsid w:val="00072C34"/>
    <w:rsid w:val="000738F4"/>
    <w:rsid w:val="00077E23"/>
    <w:rsid w:val="000803DB"/>
    <w:rsid w:val="000808D9"/>
    <w:rsid w:val="0008431C"/>
    <w:rsid w:val="000861D4"/>
    <w:rsid w:val="00087742"/>
    <w:rsid w:val="00090C82"/>
    <w:rsid w:val="00090EC1"/>
    <w:rsid w:val="00093C91"/>
    <w:rsid w:val="00093EC1"/>
    <w:rsid w:val="00097AD4"/>
    <w:rsid w:val="00097FF8"/>
    <w:rsid w:val="000A2C88"/>
    <w:rsid w:val="000A3670"/>
    <w:rsid w:val="000A5443"/>
    <w:rsid w:val="000A555E"/>
    <w:rsid w:val="000A6393"/>
    <w:rsid w:val="000B00A3"/>
    <w:rsid w:val="000B08DA"/>
    <w:rsid w:val="000B23DC"/>
    <w:rsid w:val="000B26C8"/>
    <w:rsid w:val="000B3673"/>
    <w:rsid w:val="000B3C9B"/>
    <w:rsid w:val="000B4307"/>
    <w:rsid w:val="000B5AE1"/>
    <w:rsid w:val="000B6EA7"/>
    <w:rsid w:val="000C1383"/>
    <w:rsid w:val="000C1EE4"/>
    <w:rsid w:val="000C4B41"/>
    <w:rsid w:val="000C4FDD"/>
    <w:rsid w:val="000C766B"/>
    <w:rsid w:val="000D0500"/>
    <w:rsid w:val="000D0F41"/>
    <w:rsid w:val="000D1351"/>
    <w:rsid w:val="000D21D7"/>
    <w:rsid w:val="000D2B5A"/>
    <w:rsid w:val="000D3556"/>
    <w:rsid w:val="000D5400"/>
    <w:rsid w:val="000D701E"/>
    <w:rsid w:val="000D796C"/>
    <w:rsid w:val="000E12B4"/>
    <w:rsid w:val="000E3D93"/>
    <w:rsid w:val="000E677F"/>
    <w:rsid w:val="000E7418"/>
    <w:rsid w:val="000F2188"/>
    <w:rsid w:val="000F2D65"/>
    <w:rsid w:val="000F3F73"/>
    <w:rsid w:val="000F5421"/>
    <w:rsid w:val="000F5648"/>
    <w:rsid w:val="000F595A"/>
    <w:rsid w:val="000F598A"/>
    <w:rsid w:val="000F7912"/>
    <w:rsid w:val="00100F91"/>
    <w:rsid w:val="001010CE"/>
    <w:rsid w:val="00101AE9"/>
    <w:rsid w:val="00103334"/>
    <w:rsid w:val="001055CA"/>
    <w:rsid w:val="001104E3"/>
    <w:rsid w:val="00112436"/>
    <w:rsid w:val="001136FC"/>
    <w:rsid w:val="001174E0"/>
    <w:rsid w:val="00120E07"/>
    <w:rsid w:val="00121864"/>
    <w:rsid w:val="001224BE"/>
    <w:rsid w:val="00130D10"/>
    <w:rsid w:val="00131C44"/>
    <w:rsid w:val="001341A1"/>
    <w:rsid w:val="00135135"/>
    <w:rsid w:val="00135942"/>
    <w:rsid w:val="001360B5"/>
    <w:rsid w:val="00142C92"/>
    <w:rsid w:val="00144B53"/>
    <w:rsid w:val="00154D49"/>
    <w:rsid w:val="00154DD7"/>
    <w:rsid w:val="00155930"/>
    <w:rsid w:val="00160F11"/>
    <w:rsid w:val="00162B94"/>
    <w:rsid w:val="00162D88"/>
    <w:rsid w:val="0016378D"/>
    <w:rsid w:val="001642A1"/>
    <w:rsid w:val="0016583C"/>
    <w:rsid w:val="00166CD6"/>
    <w:rsid w:val="00167E56"/>
    <w:rsid w:val="0017073C"/>
    <w:rsid w:val="00170CAE"/>
    <w:rsid w:val="00171834"/>
    <w:rsid w:val="00172A27"/>
    <w:rsid w:val="00173BC1"/>
    <w:rsid w:val="00174255"/>
    <w:rsid w:val="00174294"/>
    <w:rsid w:val="001746BB"/>
    <w:rsid w:val="00174721"/>
    <w:rsid w:val="0018099E"/>
    <w:rsid w:val="00180B1D"/>
    <w:rsid w:val="00181C4C"/>
    <w:rsid w:val="00182035"/>
    <w:rsid w:val="001836DD"/>
    <w:rsid w:val="00183887"/>
    <w:rsid w:val="0018481A"/>
    <w:rsid w:val="00185343"/>
    <w:rsid w:val="0018621B"/>
    <w:rsid w:val="00187EC3"/>
    <w:rsid w:val="001924C0"/>
    <w:rsid w:val="0019386F"/>
    <w:rsid w:val="001A0A83"/>
    <w:rsid w:val="001A2B1C"/>
    <w:rsid w:val="001A52F2"/>
    <w:rsid w:val="001A5E8D"/>
    <w:rsid w:val="001A6884"/>
    <w:rsid w:val="001B223C"/>
    <w:rsid w:val="001B4BC4"/>
    <w:rsid w:val="001B58C3"/>
    <w:rsid w:val="001B619E"/>
    <w:rsid w:val="001B6B2C"/>
    <w:rsid w:val="001B6E44"/>
    <w:rsid w:val="001B794C"/>
    <w:rsid w:val="001B7A8D"/>
    <w:rsid w:val="001B7B8F"/>
    <w:rsid w:val="001C01BE"/>
    <w:rsid w:val="001C15EF"/>
    <w:rsid w:val="001C37C0"/>
    <w:rsid w:val="001C3834"/>
    <w:rsid w:val="001C4529"/>
    <w:rsid w:val="001C779B"/>
    <w:rsid w:val="001D0747"/>
    <w:rsid w:val="001D135E"/>
    <w:rsid w:val="001D288E"/>
    <w:rsid w:val="001D3324"/>
    <w:rsid w:val="001D53BC"/>
    <w:rsid w:val="001D5E95"/>
    <w:rsid w:val="001D7D62"/>
    <w:rsid w:val="001E17C4"/>
    <w:rsid w:val="001E50D3"/>
    <w:rsid w:val="001E5FE6"/>
    <w:rsid w:val="001F2B28"/>
    <w:rsid w:val="001F3547"/>
    <w:rsid w:val="001F3DBE"/>
    <w:rsid w:val="001F4201"/>
    <w:rsid w:val="001F4B8E"/>
    <w:rsid w:val="001F6CB8"/>
    <w:rsid w:val="0020163F"/>
    <w:rsid w:val="002031F7"/>
    <w:rsid w:val="00204FEE"/>
    <w:rsid w:val="0020670E"/>
    <w:rsid w:val="00210618"/>
    <w:rsid w:val="00210718"/>
    <w:rsid w:val="002110DA"/>
    <w:rsid w:val="00211417"/>
    <w:rsid w:val="0021304A"/>
    <w:rsid w:val="00213DD0"/>
    <w:rsid w:val="002150F1"/>
    <w:rsid w:val="00215274"/>
    <w:rsid w:val="00215FB9"/>
    <w:rsid w:val="00217D8B"/>
    <w:rsid w:val="002200D7"/>
    <w:rsid w:val="00220FA4"/>
    <w:rsid w:val="0022194B"/>
    <w:rsid w:val="00222AD3"/>
    <w:rsid w:val="002247DD"/>
    <w:rsid w:val="00224FDC"/>
    <w:rsid w:val="00225378"/>
    <w:rsid w:val="002253D6"/>
    <w:rsid w:val="00227059"/>
    <w:rsid w:val="00227649"/>
    <w:rsid w:val="00227C3B"/>
    <w:rsid w:val="00231FCA"/>
    <w:rsid w:val="002328B4"/>
    <w:rsid w:val="00232C22"/>
    <w:rsid w:val="00233A62"/>
    <w:rsid w:val="00234C40"/>
    <w:rsid w:val="0023553F"/>
    <w:rsid w:val="00235969"/>
    <w:rsid w:val="00240115"/>
    <w:rsid w:val="00241BD1"/>
    <w:rsid w:val="00244384"/>
    <w:rsid w:val="00245CF3"/>
    <w:rsid w:val="002471B3"/>
    <w:rsid w:val="00250CBF"/>
    <w:rsid w:val="00261BDD"/>
    <w:rsid w:val="00262DCF"/>
    <w:rsid w:val="00262F39"/>
    <w:rsid w:val="00265F1F"/>
    <w:rsid w:val="00267A10"/>
    <w:rsid w:val="0027124A"/>
    <w:rsid w:val="00271804"/>
    <w:rsid w:val="00274FF9"/>
    <w:rsid w:val="00280DE3"/>
    <w:rsid w:val="00281821"/>
    <w:rsid w:val="0028661E"/>
    <w:rsid w:val="00287653"/>
    <w:rsid w:val="00287F91"/>
    <w:rsid w:val="00290D16"/>
    <w:rsid w:val="00292882"/>
    <w:rsid w:val="00293FF2"/>
    <w:rsid w:val="00294202"/>
    <w:rsid w:val="00294959"/>
    <w:rsid w:val="00294A12"/>
    <w:rsid w:val="002953EB"/>
    <w:rsid w:val="00295B44"/>
    <w:rsid w:val="00297ED1"/>
    <w:rsid w:val="002A0823"/>
    <w:rsid w:val="002A154C"/>
    <w:rsid w:val="002A3F8E"/>
    <w:rsid w:val="002A4682"/>
    <w:rsid w:val="002A56AF"/>
    <w:rsid w:val="002B0CBD"/>
    <w:rsid w:val="002B2510"/>
    <w:rsid w:val="002B312E"/>
    <w:rsid w:val="002B4090"/>
    <w:rsid w:val="002B40ED"/>
    <w:rsid w:val="002B468D"/>
    <w:rsid w:val="002B6ED3"/>
    <w:rsid w:val="002C0D58"/>
    <w:rsid w:val="002C2F3E"/>
    <w:rsid w:val="002C303E"/>
    <w:rsid w:val="002C35D5"/>
    <w:rsid w:val="002C36B3"/>
    <w:rsid w:val="002C5FEB"/>
    <w:rsid w:val="002C78B6"/>
    <w:rsid w:val="002D0748"/>
    <w:rsid w:val="002D2B7C"/>
    <w:rsid w:val="002D700A"/>
    <w:rsid w:val="002D748D"/>
    <w:rsid w:val="002E104E"/>
    <w:rsid w:val="002E2061"/>
    <w:rsid w:val="002E254A"/>
    <w:rsid w:val="002E34E8"/>
    <w:rsid w:val="002E35A6"/>
    <w:rsid w:val="002E38EA"/>
    <w:rsid w:val="002E484F"/>
    <w:rsid w:val="002F0249"/>
    <w:rsid w:val="002F080C"/>
    <w:rsid w:val="002F0DE5"/>
    <w:rsid w:val="002F63AA"/>
    <w:rsid w:val="00302676"/>
    <w:rsid w:val="0030365B"/>
    <w:rsid w:val="00303F39"/>
    <w:rsid w:val="00305438"/>
    <w:rsid w:val="0031042E"/>
    <w:rsid w:val="003152A5"/>
    <w:rsid w:val="00317C07"/>
    <w:rsid w:val="00323149"/>
    <w:rsid w:val="003271C6"/>
    <w:rsid w:val="00327B34"/>
    <w:rsid w:val="003321ED"/>
    <w:rsid w:val="0033278E"/>
    <w:rsid w:val="003327E1"/>
    <w:rsid w:val="00333EC5"/>
    <w:rsid w:val="00334227"/>
    <w:rsid w:val="00340AA7"/>
    <w:rsid w:val="003424C4"/>
    <w:rsid w:val="00345DC8"/>
    <w:rsid w:val="00346ED0"/>
    <w:rsid w:val="00346F6A"/>
    <w:rsid w:val="00347048"/>
    <w:rsid w:val="003471D1"/>
    <w:rsid w:val="00350876"/>
    <w:rsid w:val="003521FA"/>
    <w:rsid w:val="0035337F"/>
    <w:rsid w:val="003541B4"/>
    <w:rsid w:val="003561AC"/>
    <w:rsid w:val="00357848"/>
    <w:rsid w:val="003578AF"/>
    <w:rsid w:val="00357E25"/>
    <w:rsid w:val="003610B6"/>
    <w:rsid w:val="003616A0"/>
    <w:rsid w:val="00362B7D"/>
    <w:rsid w:val="00362E1D"/>
    <w:rsid w:val="00363E3D"/>
    <w:rsid w:val="00366473"/>
    <w:rsid w:val="00366942"/>
    <w:rsid w:val="00370C44"/>
    <w:rsid w:val="00370C71"/>
    <w:rsid w:val="00373232"/>
    <w:rsid w:val="00373FB2"/>
    <w:rsid w:val="0037516C"/>
    <w:rsid w:val="00375451"/>
    <w:rsid w:val="0037723A"/>
    <w:rsid w:val="00380634"/>
    <w:rsid w:val="003816EE"/>
    <w:rsid w:val="00385A22"/>
    <w:rsid w:val="00385CE4"/>
    <w:rsid w:val="003870C7"/>
    <w:rsid w:val="00392830"/>
    <w:rsid w:val="00395D8E"/>
    <w:rsid w:val="00396D0C"/>
    <w:rsid w:val="003A1EBA"/>
    <w:rsid w:val="003A2C49"/>
    <w:rsid w:val="003A58B3"/>
    <w:rsid w:val="003B08A8"/>
    <w:rsid w:val="003B0983"/>
    <w:rsid w:val="003B1086"/>
    <w:rsid w:val="003B12C9"/>
    <w:rsid w:val="003B351D"/>
    <w:rsid w:val="003B50B9"/>
    <w:rsid w:val="003B62B2"/>
    <w:rsid w:val="003B70A7"/>
    <w:rsid w:val="003B7110"/>
    <w:rsid w:val="003B71DD"/>
    <w:rsid w:val="003C1A3A"/>
    <w:rsid w:val="003C2BB3"/>
    <w:rsid w:val="003C2D4A"/>
    <w:rsid w:val="003C3673"/>
    <w:rsid w:val="003C70CF"/>
    <w:rsid w:val="003D42D9"/>
    <w:rsid w:val="003D528C"/>
    <w:rsid w:val="003D7B39"/>
    <w:rsid w:val="003E05CB"/>
    <w:rsid w:val="003E1A91"/>
    <w:rsid w:val="003E32D8"/>
    <w:rsid w:val="003E6E22"/>
    <w:rsid w:val="003E75A1"/>
    <w:rsid w:val="003F0520"/>
    <w:rsid w:val="003F1BBE"/>
    <w:rsid w:val="003F1EEC"/>
    <w:rsid w:val="003F22A7"/>
    <w:rsid w:val="003F53C0"/>
    <w:rsid w:val="003F6C47"/>
    <w:rsid w:val="0040027F"/>
    <w:rsid w:val="00401340"/>
    <w:rsid w:val="00403306"/>
    <w:rsid w:val="00406297"/>
    <w:rsid w:val="00411E7E"/>
    <w:rsid w:val="0041279A"/>
    <w:rsid w:val="0041294C"/>
    <w:rsid w:val="004139B9"/>
    <w:rsid w:val="0041687A"/>
    <w:rsid w:val="004208B5"/>
    <w:rsid w:val="0042154B"/>
    <w:rsid w:val="0042160A"/>
    <w:rsid w:val="00423EA6"/>
    <w:rsid w:val="00424540"/>
    <w:rsid w:val="00425785"/>
    <w:rsid w:val="004258E1"/>
    <w:rsid w:val="00431614"/>
    <w:rsid w:val="00435A7F"/>
    <w:rsid w:val="00435BE5"/>
    <w:rsid w:val="00436E97"/>
    <w:rsid w:val="00437095"/>
    <w:rsid w:val="00440ED2"/>
    <w:rsid w:val="0044147E"/>
    <w:rsid w:val="00442895"/>
    <w:rsid w:val="00443CED"/>
    <w:rsid w:val="00444F94"/>
    <w:rsid w:val="004502D9"/>
    <w:rsid w:val="004522E9"/>
    <w:rsid w:val="004551DA"/>
    <w:rsid w:val="00455863"/>
    <w:rsid w:val="00457AE2"/>
    <w:rsid w:val="00461481"/>
    <w:rsid w:val="00462285"/>
    <w:rsid w:val="00462550"/>
    <w:rsid w:val="004636EC"/>
    <w:rsid w:val="00466AAA"/>
    <w:rsid w:val="0047442F"/>
    <w:rsid w:val="0047495F"/>
    <w:rsid w:val="00477628"/>
    <w:rsid w:val="00477D19"/>
    <w:rsid w:val="004809E5"/>
    <w:rsid w:val="00486554"/>
    <w:rsid w:val="0048771D"/>
    <w:rsid w:val="004905DD"/>
    <w:rsid w:val="00490D43"/>
    <w:rsid w:val="00491088"/>
    <w:rsid w:val="00491C1F"/>
    <w:rsid w:val="00494A7B"/>
    <w:rsid w:val="00494BF7"/>
    <w:rsid w:val="00495676"/>
    <w:rsid w:val="004962A4"/>
    <w:rsid w:val="004A0028"/>
    <w:rsid w:val="004A62DF"/>
    <w:rsid w:val="004A77CB"/>
    <w:rsid w:val="004A7CCC"/>
    <w:rsid w:val="004A7CDE"/>
    <w:rsid w:val="004B0927"/>
    <w:rsid w:val="004B0D73"/>
    <w:rsid w:val="004B1F7B"/>
    <w:rsid w:val="004B24D8"/>
    <w:rsid w:val="004B2B02"/>
    <w:rsid w:val="004B34E5"/>
    <w:rsid w:val="004B3EEA"/>
    <w:rsid w:val="004B54B3"/>
    <w:rsid w:val="004C459C"/>
    <w:rsid w:val="004C49BE"/>
    <w:rsid w:val="004C5CD3"/>
    <w:rsid w:val="004C608E"/>
    <w:rsid w:val="004D0B92"/>
    <w:rsid w:val="004D0F1B"/>
    <w:rsid w:val="004D6573"/>
    <w:rsid w:val="004E28FB"/>
    <w:rsid w:val="004E4B22"/>
    <w:rsid w:val="004E65EA"/>
    <w:rsid w:val="004E6A99"/>
    <w:rsid w:val="004F2C1F"/>
    <w:rsid w:val="004F35ED"/>
    <w:rsid w:val="004F4A52"/>
    <w:rsid w:val="004F54EE"/>
    <w:rsid w:val="004F6BCD"/>
    <w:rsid w:val="004F7116"/>
    <w:rsid w:val="0050178D"/>
    <w:rsid w:val="00501F4A"/>
    <w:rsid w:val="00502312"/>
    <w:rsid w:val="0051211E"/>
    <w:rsid w:val="00513884"/>
    <w:rsid w:val="00514E69"/>
    <w:rsid w:val="00514EA8"/>
    <w:rsid w:val="00520A90"/>
    <w:rsid w:val="00521A76"/>
    <w:rsid w:val="00522AFB"/>
    <w:rsid w:val="00524984"/>
    <w:rsid w:val="00526DB2"/>
    <w:rsid w:val="00526FFA"/>
    <w:rsid w:val="00531EAC"/>
    <w:rsid w:val="00532C24"/>
    <w:rsid w:val="00532D32"/>
    <w:rsid w:val="00533DB4"/>
    <w:rsid w:val="00534A8E"/>
    <w:rsid w:val="005352C8"/>
    <w:rsid w:val="005401BB"/>
    <w:rsid w:val="0054028B"/>
    <w:rsid w:val="0054197C"/>
    <w:rsid w:val="0054570C"/>
    <w:rsid w:val="0054648E"/>
    <w:rsid w:val="00546539"/>
    <w:rsid w:val="00553F5D"/>
    <w:rsid w:val="00554C69"/>
    <w:rsid w:val="00556C4F"/>
    <w:rsid w:val="005571E2"/>
    <w:rsid w:val="00557CB3"/>
    <w:rsid w:val="0056035A"/>
    <w:rsid w:val="00560FE1"/>
    <w:rsid w:val="00561D09"/>
    <w:rsid w:val="00562337"/>
    <w:rsid w:val="005641D3"/>
    <w:rsid w:val="005642A5"/>
    <w:rsid w:val="005650BD"/>
    <w:rsid w:val="005674B8"/>
    <w:rsid w:val="00567A61"/>
    <w:rsid w:val="00567A8E"/>
    <w:rsid w:val="00571F65"/>
    <w:rsid w:val="00576B6F"/>
    <w:rsid w:val="00577841"/>
    <w:rsid w:val="005827D4"/>
    <w:rsid w:val="005835E7"/>
    <w:rsid w:val="00584321"/>
    <w:rsid w:val="005847B5"/>
    <w:rsid w:val="005847E2"/>
    <w:rsid w:val="0059160B"/>
    <w:rsid w:val="005939CE"/>
    <w:rsid w:val="00594015"/>
    <w:rsid w:val="005940DD"/>
    <w:rsid w:val="00594B6D"/>
    <w:rsid w:val="0059504E"/>
    <w:rsid w:val="00596D40"/>
    <w:rsid w:val="005A766E"/>
    <w:rsid w:val="005A7FAB"/>
    <w:rsid w:val="005B106A"/>
    <w:rsid w:val="005B2699"/>
    <w:rsid w:val="005B2916"/>
    <w:rsid w:val="005B3820"/>
    <w:rsid w:val="005B52FA"/>
    <w:rsid w:val="005B684A"/>
    <w:rsid w:val="005C1AEC"/>
    <w:rsid w:val="005C40DA"/>
    <w:rsid w:val="005D1127"/>
    <w:rsid w:val="005D3490"/>
    <w:rsid w:val="005D4230"/>
    <w:rsid w:val="005E0608"/>
    <w:rsid w:val="005E599E"/>
    <w:rsid w:val="005F0DAA"/>
    <w:rsid w:val="005F1B69"/>
    <w:rsid w:val="005F4991"/>
    <w:rsid w:val="00601652"/>
    <w:rsid w:val="00602BC9"/>
    <w:rsid w:val="0060375E"/>
    <w:rsid w:val="00603A96"/>
    <w:rsid w:val="0060582E"/>
    <w:rsid w:val="0060583D"/>
    <w:rsid w:val="006058A7"/>
    <w:rsid w:val="006060E2"/>
    <w:rsid w:val="0061249A"/>
    <w:rsid w:val="0061277C"/>
    <w:rsid w:val="0061390C"/>
    <w:rsid w:val="006143C0"/>
    <w:rsid w:val="00616750"/>
    <w:rsid w:val="00616F43"/>
    <w:rsid w:val="00617400"/>
    <w:rsid w:val="00620E3B"/>
    <w:rsid w:val="0062353A"/>
    <w:rsid w:val="00623FD6"/>
    <w:rsid w:val="00626F6F"/>
    <w:rsid w:val="00634E05"/>
    <w:rsid w:val="006352D5"/>
    <w:rsid w:val="00643F5A"/>
    <w:rsid w:val="006444EA"/>
    <w:rsid w:val="00646114"/>
    <w:rsid w:val="006465FE"/>
    <w:rsid w:val="006541D7"/>
    <w:rsid w:val="00654D43"/>
    <w:rsid w:val="00661315"/>
    <w:rsid w:val="0066199A"/>
    <w:rsid w:val="00662AFA"/>
    <w:rsid w:val="0066703F"/>
    <w:rsid w:val="0067095C"/>
    <w:rsid w:val="00671F12"/>
    <w:rsid w:val="00673B27"/>
    <w:rsid w:val="00673F23"/>
    <w:rsid w:val="00675C56"/>
    <w:rsid w:val="00684DD4"/>
    <w:rsid w:val="00685D97"/>
    <w:rsid w:val="00691BA9"/>
    <w:rsid w:val="00693B4A"/>
    <w:rsid w:val="0069442A"/>
    <w:rsid w:val="006952FD"/>
    <w:rsid w:val="00695642"/>
    <w:rsid w:val="006A0711"/>
    <w:rsid w:val="006A219C"/>
    <w:rsid w:val="006A6F2A"/>
    <w:rsid w:val="006B0474"/>
    <w:rsid w:val="006B075F"/>
    <w:rsid w:val="006B0D2A"/>
    <w:rsid w:val="006B1163"/>
    <w:rsid w:val="006B4255"/>
    <w:rsid w:val="006B44E1"/>
    <w:rsid w:val="006B4EB6"/>
    <w:rsid w:val="006C3420"/>
    <w:rsid w:val="006C3E04"/>
    <w:rsid w:val="006C4219"/>
    <w:rsid w:val="006D157E"/>
    <w:rsid w:val="006D23F3"/>
    <w:rsid w:val="006D34F5"/>
    <w:rsid w:val="006D367C"/>
    <w:rsid w:val="006D5B61"/>
    <w:rsid w:val="006D7BB3"/>
    <w:rsid w:val="006D7CCA"/>
    <w:rsid w:val="006E0AC6"/>
    <w:rsid w:val="006E2839"/>
    <w:rsid w:val="006E6C95"/>
    <w:rsid w:val="006F036C"/>
    <w:rsid w:val="006F2D4E"/>
    <w:rsid w:val="006F4088"/>
    <w:rsid w:val="006F41D9"/>
    <w:rsid w:val="006F52DC"/>
    <w:rsid w:val="006F6CB0"/>
    <w:rsid w:val="0070020C"/>
    <w:rsid w:val="00700396"/>
    <w:rsid w:val="00703367"/>
    <w:rsid w:val="007057EF"/>
    <w:rsid w:val="0071043E"/>
    <w:rsid w:val="00710C1A"/>
    <w:rsid w:val="00711298"/>
    <w:rsid w:val="00712118"/>
    <w:rsid w:val="00712282"/>
    <w:rsid w:val="00715468"/>
    <w:rsid w:val="007209FB"/>
    <w:rsid w:val="00721AC0"/>
    <w:rsid w:val="00721B0C"/>
    <w:rsid w:val="00723BD9"/>
    <w:rsid w:val="007254C9"/>
    <w:rsid w:val="00725B9E"/>
    <w:rsid w:val="007265A9"/>
    <w:rsid w:val="0073012C"/>
    <w:rsid w:val="007335FD"/>
    <w:rsid w:val="00733B25"/>
    <w:rsid w:val="00734CB6"/>
    <w:rsid w:val="00735C00"/>
    <w:rsid w:val="00737487"/>
    <w:rsid w:val="007375E9"/>
    <w:rsid w:val="00741CFA"/>
    <w:rsid w:val="00744C4B"/>
    <w:rsid w:val="00744FBE"/>
    <w:rsid w:val="00746EEC"/>
    <w:rsid w:val="0075011A"/>
    <w:rsid w:val="00751447"/>
    <w:rsid w:val="0075236A"/>
    <w:rsid w:val="00752915"/>
    <w:rsid w:val="00754AA6"/>
    <w:rsid w:val="00757C9B"/>
    <w:rsid w:val="0076223C"/>
    <w:rsid w:val="00765DBB"/>
    <w:rsid w:val="00767DBB"/>
    <w:rsid w:val="007722F2"/>
    <w:rsid w:val="00773232"/>
    <w:rsid w:val="007735B6"/>
    <w:rsid w:val="0077451F"/>
    <w:rsid w:val="00775BF3"/>
    <w:rsid w:val="00780AFB"/>
    <w:rsid w:val="00782695"/>
    <w:rsid w:val="0078513E"/>
    <w:rsid w:val="00785739"/>
    <w:rsid w:val="0078653A"/>
    <w:rsid w:val="00786631"/>
    <w:rsid w:val="00786D33"/>
    <w:rsid w:val="007908DD"/>
    <w:rsid w:val="007942B9"/>
    <w:rsid w:val="00796025"/>
    <w:rsid w:val="007961D5"/>
    <w:rsid w:val="007A1822"/>
    <w:rsid w:val="007A2065"/>
    <w:rsid w:val="007A2446"/>
    <w:rsid w:val="007A3FC3"/>
    <w:rsid w:val="007A40EF"/>
    <w:rsid w:val="007A5161"/>
    <w:rsid w:val="007A5D19"/>
    <w:rsid w:val="007A6268"/>
    <w:rsid w:val="007A641D"/>
    <w:rsid w:val="007A6977"/>
    <w:rsid w:val="007B25EC"/>
    <w:rsid w:val="007B304D"/>
    <w:rsid w:val="007B5289"/>
    <w:rsid w:val="007B533A"/>
    <w:rsid w:val="007B707F"/>
    <w:rsid w:val="007C137C"/>
    <w:rsid w:val="007C4CA4"/>
    <w:rsid w:val="007C5A0B"/>
    <w:rsid w:val="007D0315"/>
    <w:rsid w:val="007D0422"/>
    <w:rsid w:val="007D255C"/>
    <w:rsid w:val="007D3B05"/>
    <w:rsid w:val="007D5A45"/>
    <w:rsid w:val="007D7FC1"/>
    <w:rsid w:val="007E104B"/>
    <w:rsid w:val="007E1EFD"/>
    <w:rsid w:val="007E2E82"/>
    <w:rsid w:val="007E4B2B"/>
    <w:rsid w:val="007E4CA5"/>
    <w:rsid w:val="007E4E7A"/>
    <w:rsid w:val="007E58D2"/>
    <w:rsid w:val="007E5F8A"/>
    <w:rsid w:val="007E630F"/>
    <w:rsid w:val="007E6978"/>
    <w:rsid w:val="007E6CA3"/>
    <w:rsid w:val="007E7413"/>
    <w:rsid w:val="007F5B8E"/>
    <w:rsid w:val="007F6240"/>
    <w:rsid w:val="007F71BE"/>
    <w:rsid w:val="007F7610"/>
    <w:rsid w:val="0080141A"/>
    <w:rsid w:val="008019F1"/>
    <w:rsid w:val="0080239E"/>
    <w:rsid w:val="00802B71"/>
    <w:rsid w:val="008033AB"/>
    <w:rsid w:val="00803CEB"/>
    <w:rsid w:val="008041AB"/>
    <w:rsid w:val="00805878"/>
    <w:rsid w:val="00806C1C"/>
    <w:rsid w:val="00810CE2"/>
    <w:rsid w:val="00811461"/>
    <w:rsid w:val="00815A19"/>
    <w:rsid w:val="008163CB"/>
    <w:rsid w:val="00816A8B"/>
    <w:rsid w:val="008176F5"/>
    <w:rsid w:val="00824069"/>
    <w:rsid w:val="008244DD"/>
    <w:rsid w:val="00831FEA"/>
    <w:rsid w:val="0083397E"/>
    <w:rsid w:val="008350D7"/>
    <w:rsid w:val="00836588"/>
    <w:rsid w:val="0084036C"/>
    <w:rsid w:val="008409A3"/>
    <w:rsid w:val="00840B81"/>
    <w:rsid w:val="00844985"/>
    <w:rsid w:val="00846663"/>
    <w:rsid w:val="00850251"/>
    <w:rsid w:val="008507F9"/>
    <w:rsid w:val="008509C0"/>
    <w:rsid w:val="00850CA9"/>
    <w:rsid w:val="0085311B"/>
    <w:rsid w:val="008544D8"/>
    <w:rsid w:val="00857C85"/>
    <w:rsid w:val="00861E33"/>
    <w:rsid w:val="00861E94"/>
    <w:rsid w:val="00863AE8"/>
    <w:rsid w:val="008643C1"/>
    <w:rsid w:val="008665A8"/>
    <w:rsid w:val="00871043"/>
    <w:rsid w:val="0087108B"/>
    <w:rsid w:val="0087191A"/>
    <w:rsid w:val="00871B11"/>
    <w:rsid w:val="00874338"/>
    <w:rsid w:val="00874697"/>
    <w:rsid w:val="0088022D"/>
    <w:rsid w:val="00880FC3"/>
    <w:rsid w:val="00884779"/>
    <w:rsid w:val="00886CB3"/>
    <w:rsid w:val="0089142B"/>
    <w:rsid w:val="00891451"/>
    <w:rsid w:val="008915FB"/>
    <w:rsid w:val="0089178D"/>
    <w:rsid w:val="00891CBA"/>
    <w:rsid w:val="00891DE5"/>
    <w:rsid w:val="00892629"/>
    <w:rsid w:val="00893905"/>
    <w:rsid w:val="008953F8"/>
    <w:rsid w:val="00895A4F"/>
    <w:rsid w:val="0089619A"/>
    <w:rsid w:val="008964A9"/>
    <w:rsid w:val="008A12C6"/>
    <w:rsid w:val="008A1755"/>
    <w:rsid w:val="008A30D8"/>
    <w:rsid w:val="008A40B4"/>
    <w:rsid w:val="008A45BD"/>
    <w:rsid w:val="008A517F"/>
    <w:rsid w:val="008A7415"/>
    <w:rsid w:val="008B0BC9"/>
    <w:rsid w:val="008B1454"/>
    <w:rsid w:val="008B1944"/>
    <w:rsid w:val="008B3568"/>
    <w:rsid w:val="008B4426"/>
    <w:rsid w:val="008B46A0"/>
    <w:rsid w:val="008B5055"/>
    <w:rsid w:val="008B5401"/>
    <w:rsid w:val="008C09E6"/>
    <w:rsid w:val="008C1D52"/>
    <w:rsid w:val="008C1DEC"/>
    <w:rsid w:val="008C1EB6"/>
    <w:rsid w:val="008C272F"/>
    <w:rsid w:val="008C4165"/>
    <w:rsid w:val="008C73C6"/>
    <w:rsid w:val="008C7C24"/>
    <w:rsid w:val="008D0BFD"/>
    <w:rsid w:val="008D1A96"/>
    <w:rsid w:val="008D3129"/>
    <w:rsid w:val="008D39FF"/>
    <w:rsid w:val="008D6208"/>
    <w:rsid w:val="008D7D9F"/>
    <w:rsid w:val="008E0566"/>
    <w:rsid w:val="008E0F28"/>
    <w:rsid w:val="008E26D5"/>
    <w:rsid w:val="008E31AF"/>
    <w:rsid w:val="008E5BE0"/>
    <w:rsid w:val="008E75C4"/>
    <w:rsid w:val="008F790F"/>
    <w:rsid w:val="00900515"/>
    <w:rsid w:val="009012F6"/>
    <w:rsid w:val="009042F3"/>
    <w:rsid w:val="009049D8"/>
    <w:rsid w:val="00906CEC"/>
    <w:rsid w:val="009077FD"/>
    <w:rsid w:val="00911BCA"/>
    <w:rsid w:val="0091394E"/>
    <w:rsid w:val="00916E92"/>
    <w:rsid w:val="00920D99"/>
    <w:rsid w:val="009218E5"/>
    <w:rsid w:val="0092266F"/>
    <w:rsid w:val="009236A2"/>
    <w:rsid w:val="00923721"/>
    <w:rsid w:val="00924578"/>
    <w:rsid w:val="00924E25"/>
    <w:rsid w:val="00930A6F"/>
    <w:rsid w:val="009314F8"/>
    <w:rsid w:val="00933A1D"/>
    <w:rsid w:val="0093432E"/>
    <w:rsid w:val="009349B4"/>
    <w:rsid w:val="00935477"/>
    <w:rsid w:val="0093552B"/>
    <w:rsid w:val="009402DA"/>
    <w:rsid w:val="009406A0"/>
    <w:rsid w:val="00940E05"/>
    <w:rsid w:val="00940FF4"/>
    <w:rsid w:val="00941307"/>
    <w:rsid w:val="009420E9"/>
    <w:rsid w:val="009462DB"/>
    <w:rsid w:val="00947918"/>
    <w:rsid w:val="00947DED"/>
    <w:rsid w:val="00950240"/>
    <w:rsid w:val="00951B85"/>
    <w:rsid w:val="0095225A"/>
    <w:rsid w:val="00953404"/>
    <w:rsid w:val="009554B4"/>
    <w:rsid w:val="00957791"/>
    <w:rsid w:val="0095783B"/>
    <w:rsid w:val="0096305E"/>
    <w:rsid w:val="009641F4"/>
    <w:rsid w:val="009660EA"/>
    <w:rsid w:val="009664C8"/>
    <w:rsid w:val="00966C37"/>
    <w:rsid w:val="00966EE5"/>
    <w:rsid w:val="009670AC"/>
    <w:rsid w:val="009673F7"/>
    <w:rsid w:val="009674C4"/>
    <w:rsid w:val="00967B6F"/>
    <w:rsid w:val="00967E7F"/>
    <w:rsid w:val="00970C1A"/>
    <w:rsid w:val="00974596"/>
    <w:rsid w:val="00974E25"/>
    <w:rsid w:val="009801C8"/>
    <w:rsid w:val="00981AD5"/>
    <w:rsid w:val="00982B27"/>
    <w:rsid w:val="00984837"/>
    <w:rsid w:val="0098633E"/>
    <w:rsid w:val="00990014"/>
    <w:rsid w:val="00990D10"/>
    <w:rsid w:val="00991F72"/>
    <w:rsid w:val="00992927"/>
    <w:rsid w:val="00996D01"/>
    <w:rsid w:val="009A1C10"/>
    <w:rsid w:val="009A2C46"/>
    <w:rsid w:val="009A2EA7"/>
    <w:rsid w:val="009A356C"/>
    <w:rsid w:val="009A3DA5"/>
    <w:rsid w:val="009A7091"/>
    <w:rsid w:val="009A7F20"/>
    <w:rsid w:val="009B5659"/>
    <w:rsid w:val="009C1D4C"/>
    <w:rsid w:val="009C1EE2"/>
    <w:rsid w:val="009C26A5"/>
    <w:rsid w:val="009C35FF"/>
    <w:rsid w:val="009C36A9"/>
    <w:rsid w:val="009C4476"/>
    <w:rsid w:val="009D017E"/>
    <w:rsid w:val="009D0EA3"/>
    <w:rsid w:val="009D380B"/>
    <w:rsid w:val="009D66D8"/>
    <w:rsid w:val="009D68B6"/>
    <w:rsid w:val="009D71A9"/>
    <w:rsid w:val="009D76AE"/>
    <w:rsid w:val="009D7F44"/>
    <w:rsid w:val="009E10FD"/>
    <w:rsid w:val="009E1D76"/>
    <w:rsid w:val="009E3155"/>
    <w:rsid w:val="009E4E87"/>
    <w:rsid w:val="009F0CB0"/>
    <w:rsid w:val="009F21E0"/>
    <w:rsid w:val="009F6C9F"/>
    <w:rsid w:val="00A01D1B"/>
    <w:rsid w:val="00A02197"/>
    <w:rsid w:val="00A02A49"/>
    <w:rsid w:val="00A0364A"/>
    <w:rsid w:val="00A05943"/>
    <w:rsid w:val="00A062D0"/>
    <w:rsid w:val="00A13392"/>
    <w:rsid w:val="00A1555B"/>
    <w:rsid w:val="00A17C60"/>
    <w:rsid w:val="00A225F3"/>
    <w:rsid w:val="00A22A5E"/>
    <w:rsid w:val="00A22CC6"/>
    <w:rsid w:val="00A22EA8"/>
    <w:rsid w:val="00A23776"/>
    <w:rsid w:val="00A246B5"/>
    <w:rsid w:val="00A260F4"/>
    <w:rsid w:val="00A26EB6"/>
    <w:rsid w:val="00A274AC"/>
    <w:rsid w:val="00A27B08"/>
    <w:rsid w:val="00A32DBF"/>
    <w:rsid w:val="00A34640"/>
    <w:rsid w:val="00A364ED"/>
    <w:rsid w:val="00A42F3F"/>
    <w:rsid w:val="00A44692"/>
    <w:rsid w:val="00A51C1C"/>
    <w:rsid w:val="00A51F4B"/>
    <w:rsid w:val="00A526A3"/>
    <w:rsid w:val="00A5293E"/>
    <w:rsid w:val="00A535B3"/>
    <w:rsid w:val="00A547DC"/>
    <w:rsid w:val="00A6135B"/>
    <w:rsid w:val="00A63BE9"/>
    <w:rsid w:val="00A63D08"/>
    <w:rsid w:val="00A64CAB"/>
    <w:rsid w:val="00A67931"/>
    <w:rsid w:val="00A702D7"/>
    <w:rsid w:val="00A70E22"/>
    <w:rsid w:val="00A7192B"/>
    <w:rsid w:val="00A7475B"/>
    <w:rsid w:val="00A74DD9"/>
    <w:rsid w:val="00A74E9A"/>
    <w:rsid w:val="00A76B86"/>
    <w:rsid w:val="00A77C6B"/>
    <w:rsid w:val="00A81520"/>
    <w:rsid w:val="00A82AC0"/>
    <w:rsid w:val="00A84270"/>
    <w:rsid w:val="00A857FB"/>
    <w:rsid w:val="00A87F74"/>
    <w:rsid w:val="00A9149B"/>
    <w:rsid w:val="00A91866"/>
    <w:rsid w:val="00A9234B"/>
    <w:rsid w:val="00A950BE"/>
    <w:rsid w:val="00A969B1"/>
    <w:rsid w:val="00AA0013"/>
    <w:rsid w:val="00AA32B3"/>
    <w:rsid w:val="00AA3781"/>
    <w:rsid w:val="00AA40FB"/>
    <w:rsid w:val="00AA5405"/>
    <w:rsid w:val="00AA589B"/>
    <w:rsid w:val="00AA6F57"/>
    <w:rsid w:val="00AA7544"/>
    <w:rsid w:val="00AB1B5E"/>
    <w:rsid w:val="00AB5573"/>
    <w:rsid w:val="00AB6191"/>
    <w:rsid w:val="00AB6C79"/>
    <w:rsid w:val="00AB783D"/>
    <w:rsid w:val="00AB7E6A"/>
    <w:rsid w:val="00AC0280"/>
    <w:rsid w:val="00AC3A39"/>
    <w:rsid w:val="00AC4D13"/>
    <w:rsid w:val="00AC4F93"/>
    <w:rsid w:val="00AC5649"/>
    <w:rsid w:val="00AC7415"/>
    <w:rsid w:val="00AD07A2"/>
    <w:rsid w:val="00AD08E8"/>
    <w:rsid w:val="00AD2579"/>
    <w:rsid w:val="00AD30BE"/>
    <w:rsid w:val="00AD65D0"/>
    <w:rsid w:val="00AD7CE1"/>
    <w:rsid w:val="00AE0CF6"/>
    <w:rsid w:val="00AE1AC6"/>
    <w:rsid w:val="00AE1C41"/>
    <w:rsid w:val="00AE5213"/>
    <w:rsid w:val="00AE6BE5"/>
    <w:rsid w:val="00AF160B"/>
    <w:rsid w:val="00AF1648"/>
    <w:rsid w:val="00AF3413"/>
    <w:rsid w:val="00B0324A"/>
    <w:rsid w:val="00B04931"/>
    <w:rsid w:val="00B058BB"/>
    <w:rsid w:val="00B07354"/>
    <w:rsid w:val="00B07D9D"/>
    <w:rsid w:val="00B1140F"/>
    <w:rsid w:val="00B11AEC"/>
    <w:rsid w:val="00B1427E"/>
    <w:rsid w:val="00B15A78"/>
    <w:rsid w:val="00B16A83"/>
    <w:rsid w:val="00B17F39"/>
    <w:rsid w:val="00B209D6"/>
    <w:rsid w:val="00B21EDE"/>
    <w:rsid w:val="00B2208B"/>
    <w:rsid w:val="00B27FB2"/>
    <w:rsid w:val="00B31213"/>
    <w:rsid w:val="00B31D06"/>
    <w:rsid w:val="00B32885"/>
    <w:rsid w:val="00B34682"/>
    <w:rsid w:val="00B37554"/>
    <w:rsid w:val="00B37F26"/>
    <w:rsid w:val="00B37F82"/>
    <w:rsid w:val="00B41259"/>
    <w:rsid w:val="00B41EF3"/>
    <w:rsid w:val="00B4278A"/>
    <w:rsid w:val="00B4300D"/>
    <w:rsid w:val="00B44135"/>
    <w:rsid w:val="00B44725"/>
    <w:rsid w:val="00B459C4"/>
    <w:rsid w:val="00B47B10"/>
    <w:rsid w:val="00B5006C"/>
    <w:rsid w:val="00B513FF"/>
    <w:rsid w:val="00B56012"/>
    <w:rsid w:val="00B5621E"/>
    <w:rsid w:val="00B60FC0"/>
    <w:rsid w:val="00B619EA"/>
    <w:rsid w:val="00B61BBF"/>
    <w:rsid w:val="00B647C7"/>
    <w:rsid w:val="00B6586E"/>
    <w:rsid w:val="00B65C3E"/>
    <w:rsid w:val="00B661E4"/>
    <w:rsid w:val="00B710D4"/>
    <w:rsid w:val="00B72A92"/>
    <w:rsid w:val="00B7389E"/>
    <w:rsid w:val="00B73DA8"/>
    <w:rsid w:val="00B76B9F"/>
    <w:rsid w:val="00B817BA"/>
    <w:rsid w:val="00B84840"/>
    <w:rsid w:val="00B87236"/>
    <w:rsid w:val="00B87467"/>
    <w:rsid w:val="00B91C53"/>
    <w:rsid w:val="00B93043"/>
    <w:rsid w:val="00B93899"/>
    <w:rsid w:val="00B93BD6"/>
    <w:rsid w:val="00B95C51"/>
    <w:rsid w:val="00B96FAF"/>
    <w:rsid w:val="00BA0A88"/>
    <w:rsid w:val="00BA184C"/>
    <w:rsid w:val="00BA208F"/>
    <w:rsid w:val="00BA3574"/>
    <w:rsid w:val="00BA5EF8"/>
    <w:rsid w:val="00BA7450"/>
    <w:rsid w:val="00BA7BBA"/>
    <w:rsid w:val="00BB0E3A"/>
    <w:rsid w:val="00BB292D"/>
    <w:rsid w:val="00BB48B2"/>
    <w:rsid w:val="00BB7BD7"/>
    <w:rsid w:val="00BC29E1"/>
    <w:rsid w:val="00BC36EE"/>
    <w:rsid w:val="00BC3D53"/>
    <w:rsid w:val="00BC534B"/>
    <w:rsid w:val="00BC5D5D"/>
    <w:rsid w:val="00BC6AFA"/>
    <w:rsid w:val="00BC6E9F"/>
    <w:rsid w:val="00BC774F"/>
    <w:rsid w:val="00BD2FDE"/>
    <w:rsid w:val="00BD4A72"/>
    <w:rsid w:val="00BE0B08"/>
    <w:rsid w:val="00BE0C47"/>
    <w:rsid w:val="00BE1B95"/>
    <w:rsid w:val="00BE1DFB"/>
    <w:rsid w:val="00BE1E6E"/>
    <w:rsid w:val="00BE24F6"/>
    <w:rsid w:val="00BE4133"/>
    <w:rsid w:val="00BE41DF"/>
    <w:rsid w:val="00BE5D2E"/>
    <w:rsid w:val="00BE60D3"/>
    <w:rsid w:val="00BF12A1"/>
    <w:rsid w:val="00BF2C17"/>
    <w:rsid w:val="00BF316E"/>
    <w:rsid w:val="00BF6F1B"/>
    <w:rsid w:val="00BF725C"/>
    <w:rsid w:val="00C030DE"/>
    <w:rsid w:val="00C0620E"/>
    <w:rsid w:val="00C11321"/>
    <w:rsid w:val="00C1265D"/>
    <w:rsid w:val="00C133E6"/>
    <w:rsid w:val="00C141F1"/>
    <w:rsid w:val="00C1516C"/>
    <w:rsid w:val="00C236A5"/>
    <w:rsid w:val="00C23798"/>
    <w:rsid w:val="00C25E87"/>
    <w:rsid w:val="00C3145A"/>
    <w:rsid w:val="00C31EC3"/>
    <w:rsid w:val="00C33F2B"/>
    <w:rsid w:val="00C35165"/>
    <w:rsid w:val="00C36F66"/>
    <w:rsid w:val="00C37797"/>
    <w:rsid w:val="00C37FA9"/>
    <w:rsid w:val="00C40288"/>
    <w:rsid w:val="00C4091F"/>
    <w:rsid w:val="00C42443"/>
    <w:rsid w:val="00C51DCC"/>
    <w:rsid w:val="00C540C6"/>
    <w:rsid w:val="00C54170"/>
    <w:rsid w:val="00C56635"/>
    <w:rsid w:val="00C56CB5"/>
    <w:rsid w:val="00C603FA"/>
    <w:rsid w:val="00C60483"/>
    <w:rsid w:val="00C6144A"/>
    <w:rsid w:val="00C61B9A"/>
    <w:rsid w:val="00C63046"/>
    <w:rsid w:val="00C637AB"/>
    <w:rsid w:val="00C66386"/>
    <w:rsid w:val="00C67485"/>
    <w:rsid w:val="00C67C50"/>
    <w:rsid w:val="00C7386D"/>
    <w:rsid w:val="00C74E1F"/>
    <w:rsid w:val="00C75EDB"/>
    <w:rsid w:val="00C77AE6"/>
    <w:rsid w:val="00C80A13"/>
    <w:rsid w:val="00C82240"/>
    <w:rsid w:val="00C822A6"/>
    <w:rsid w:val="00C84172"/>
    <w:rsid w:val="00C849CB"/>
    <w:rsid w:val="00C854F7"/>
    <w:rsid w:val="00C90CDF"/>
    <w:rsid w:val="00C93AD5"/>
    <w:rsid w:val="00C9593A"/>
    <w:rsid w:val="00C962D5"/>
    <w:rsid w:val="00CA38D5"/>
    <w:rsid w:val="00CA3B06"/>
    <w:rsid w:val="00CA3B70"/>
    <w:rsid w:val="00CA6646"/>
    <w:rsid w:val="00CA7746"/>
    <w:rsid w:val="00CB228C"/>
    <w:rsid w:val="00CB2BE6"/>
    <w:rsid w:val="00CB5E4F"/>
    <w:rsid w:val="00CB67A5"/>
    <w:rsid w:val="00CB7AA1"/>
    <w:rsid w:val="00CC1AF1"/>
    <w:rsid w:val="00CC1E5D"/>
    <w:rsid w:val="00CC1E8E"/>
    <w:rsid w:val="00CC1EE2"/>
    <w:rsid w:val="00CC2F1B"/>
    <w:rsid w:val="00CC424C"/>
    <w:rsid w:val="00CC43BC"/>
    <w:rsid w:val="00CC4746"/>
    <w:rsid w:val="00CC5FBE"/>
    <w:rsid w:val="00CC60E4"/>
    <w:rsid w:val="00CC768C"/>
    <w:rsid w:val="00CD1B38"/>
    <w:rsid w:val="00CD4EF1"/>
    <w:rsid w:val="00CD5252"/>
    <w:rsid w:val="00CD5A51"/>
    <w:rsid w:val="00CD66BF"/>
    <w:rsid w:val="00CE045D"/>
    <w:rsid w:val="00CE0D56"/>
    <w:rsid w:val="00CE428D"/>
    <w:rsid w:val="00CF0E51"/>
    <w:rsid w:val="00CF21A7"/>
    <w:rsid w:val="00CF33EF"/>
    <w:rsid w:val="00CF4C4D"/>
    <w:rsid w:val="00CF52F9"/>
    <w:rsid w:val="00D00215"/>
    <w:rsid w:val="00D00B29"/>
    <w:rsid w:val="00D02786"/>
    <w:rsid w:val="00D04265"/>
    <w:rsid w:val="00D0426A"/>
    <w:rsid w:val="00D04BB1"/>
    <w:rsid w:val="00D05EC5"/>
    <w:rsid w:val="00D0619A"/>
    <w:rsid w:val="00D0635E"/>
    <w:rsid w:val="00D10127"/>
    <w:rsid w:val="00D148B3"/>
    <w:rsid w:val="00D16B49"/>
    <w:rsid w:val="00D17791"/>
    <w:rsid w:val="00D17B2F"/>
    <w:rsid w:val="00D209DF"/>
    <w:rsid w:val="00D2136F"/>
    <w:rsid w:val="00D21699"/>
    <w:rsid w:val="00D2205A"/>
    <w:rsid w:val="00D2329B"/>
    <w:rsid w:val="00D2371C"/>
    <w:rsid w:val="00D25916"/>
    <w:rsid w:val="00D265A4"/>
    <w:rsid w:val="00D3178A"/>
    <w:rsid w:val="00D3486C"/>
    <w:rsid w:val="00D34F26"/>
    <w:rsid w:val="00D36723"/>
    <w:rsid w:val="00D379FE"/>
    <w:rsid w:val="00D37F77"/>
    <w:rsid w:val="00D406DA"/>
    <w:rsid w:val="00D42D23"/>
    <w:rsid w:val="00D4317B"/>
    <w:rsid w:val="00D441A9"/>
    <w:rsid w:val="00D44BA1"/>
    <w:rsid w:val="00D46202"/>
    <w:rsid w:val="00D4701D"/>
    <w:rsid w:val="00D52D1C"/>
    <w:rsid w:val="00D54361"/>
    <w:rsid w:val="00D554CA"/>
    <w:rsid w:val="00D55B94"/>
    <w:rsid w:val="00D623DE"/>
    <w:rsid w:val="00D62D26"/>
    <w:rsid w:val="00D63F97"/>
    <w:rsid w:val="00D67896"/>
    <w:rsid w:val="00D70435"/>
    <w:rsid w:val="00D7089E"/>
    <w:rsid w:val="00D71A67"/>
    <w:rsid w:val="00D71B90"/>
    <w:rsid w:val="00D71D5B"/>
    <w:rsid w:val="00D720BF"/>
    <w:rsid w:val="00D72607"/>
    <w:rsid w:val="00D73E36"/>
    <w:rsid w:val="00D83F82"/>
    <w:rsid w:val="00D844F9"/>
    <w:rsid w:val="00D8481B"/>
    <w:rsid w:val="00D84FE6"/>
    <w:rsid w:val="00D85DAD"/>
    <w:rsid w:val="00D86C88"/>
    <w:rsid w:val="00D87014"/>
    <w:rsid w:val="00D874F4"/>
    <w:rsid w:val="00D912C9"/>
    <w:rsid w:val="00DA004C"/>
    <w:rsid w:val="00DA0200"/>
    <w:rsid w:val="00DA24E7"/>
    <w:rsid w:val="00DA4A05"/>
    <w:rsid w:val="00DA4E30"/>
    <w:rsid w:val="00DA5B48"/>
    <w:rsid w:val="00DA615B"/>
    <w:rsid w:val="00DA653F"/>
    <w:rsid w:val="00DB03BB"/>
    <w:rsid w:val="00DB108C"/>
    <w:rsid w:val="00DB1338"/>
    <w:rsid w:val="00DB3245"/>
    <w:rsid w:val="00DB64E9"/>
    <w:rsid w:val="00DC00A5"/>
    <w:rsid w:val="00DC05D6"/>
    <w:rsid w:val="00DC4179"/>
    <w:rsid w:val="00DC48E6"/>
    <w:rsid w:val="00DD13C3"/>
    <w:rsid w:val="00DD145D"/>
    <w:rsid w:val="00DD2314"/>
    <w:rsid w:val="00DD3203"/>
    <w:rsid w:val="00DD3844"/>
    <w:rsid w:val="00DD70AC"/>
    <w:rsid w:val="00DE1ECA"/>
    <w:rsid w:val="00DE3B01"/>
    <w:rsid w:val="00DE3D80"/>
    <w:rsid w:val="00DE3FBC"/>
    <w:rsid w:val="00DF007B"/>
    <w:rsid w:val="00DF183B"/>
    <w:rsid w:val="00DF3350"/>
    <w:rsid w:val="00DF3592"/>
    <w:rsid w:val="00DF4B1D"/>
    <w:rsid w:val="00DF7436"/>
    <w:rsid w:val="00DF77E8"/>
    <w:rsid w:val="00E00E8F"/>
    <w:rsid w:val="00E01CB1"/>
    <w:rsid w:val="00E039B6"/>
    <w:rsid w:val="00E0475C"/>
    <w:rsid w:val="00E077E4"/>
    <w:rsid w:val="00E07EB0"/>
    <w:rsid w:val="00E10EA2"/>
    <w:rsid w:val="00E13D52"/>
    <w:rsid w:val="00E143B3"/>
    <w:rsid w:val="00E151FA"/>
    <w:rsid w:val="00E171F8"/>
    <w:rsid w:val="00E20D96"/>
    <w:rsid w:val="00E21A2C"/>
    <w:rsid w:val="00E21AD0"/>
    <w:rsid w:val="00E22CC6"/>
    <w:rsid w:val="00E23C4E"/>
    <w:rsid w:val="00E24AFE"/>
    <w:rsid w:val="00E26F18"/>
    <w:rsid w:val="00E30231"/>
    <w:rsid w:val="00E30C86"/>
    <w:rsid w:val="00E30F8A"/>
    <w:rsid w:val="00E30FAC"/>
    <w:rsid w:val="00E310DF"/>
    <w:rsid w:val="00E31E6F"/>
    <w:rsid w:val="00E3360C"/>
    <w:rsid w:val="00E33674"/>
    <w:rsid w:val="00E353D4"/>
    <w:rsid w:val="00E35B47"/>
    <w:rsid w:val="00E434E3"/>
    <w:rsid w:val="00E452A4"/>
    <w:rsid w:val="00E50394"/>
    <w:rsid w:val="00E5153E"/>
    <w:rsid w:val="00E524D1"/>
    <w:rsid w:val="00E535CE"/>
    <w:rsid w:val="00E543DC"/>
    <w:rsid w:val="00E61730"/>
    <w:rsid w:val="00E61B55"/>
    <w:rsid w:val="00E654D5"/>
    <w:rsid w:val="00E65995"/>
    <w:rsid w:val="00E664FD"/>
    <w:rsid w:val="00E66550"/>
    <w:rsid w:val="00E703AB"/>
    <w:rsid w:val="00E705EC"/>
    <w:rsid w:val="00E70874"/>
    <w:rsid w:val="00E73255"/>
    <w:rsid w:val="00E73368"/>
    <w:rsid w:val="00E746B4"/>
    <w:rsid w:val="00E74A3C"/>
    <w:rsid w:val="00E76B98"/>
    <w:rsid w:val="00E777A2"/>
    <w:rsid w:val="00E80846"/>
    <w:rsid w:val="00E81B07"/>
    <w:rsid w:val="00E84968"/>
    <w:rsid w:val="00E85699"/>
    <w:rsid w:val="00E90C0E"/>
    <w:rsid w:val="00E90C30"/>
    <w:rsid w:val="00E91676"/>
    <w:rsid w:val="00E9709A"/>
    <w:rsid w:val="00E97EE7"/>
    <w:rsid w:val="00EA0F97"/>
    <w:rsid w:val="00EA1872"/>
    <w:rsid w:val="00EA27E1"/>
    <w:rsid w:val="00EA391C"/>
    <w:rsid w:val="00EA4EF7"/>
    <w:rsid w:val="00EA7261"/>
    <w:rsid w:val="00EB175A"/>
    <w:rsid w:val="00EB24B8"/>
    <w:rsid w:val="00EB4E76"/>
    <w:rsid w:val="00EB6BF1"/>
    <w:rsid w:val="00EB76CD"/>
    <w:rsid w:val="00EC0BCA"/>
    <w:rsid w:val="00EC238A"/>
    <w:rsid w:val="00EC29E3"/>
    <w:rsid w:val="00EC47FD"/>
    <w:rsid w:val="00EC535B"/>
    <w:rsid w:val="00ED08E2"/>
    <w:rsid w:val="00ED14E4"/>
    <w:rsid w:val="00ED1597"/>
    <w:rsid w:val="00ED2573"/>
    <w:rsid w:val="00ED2CD2"/>
    <w:rsid w:val="00ED3DF2"/>
    <w:rsid w:val="00ED58B0"/>
    <w:rsid w:val="00ED70A6"/>
    <w:rsid w:val="00EE0D21"/>
    <w:rsid w:val="00EE101B"/>
    <w:rsid w:val="00EE1981"/>
    <w:rsid w:val="00EE1E69"/>
    <w:rsid w:val="00EE1E92"/>
    <w:rsid w:val="00EE3389"/>
    <w:rsid w:val="00EE42B0"/>
    <w:rsid w:val="00EE69F5"/>
    <w:rsid w:val="00EE7F63"/>
    <w:rsid w:val="00EF06B7"/>
    <w:rsid w:val="00EF1125"/>
    <w:rsid w:val="00EF1550"/>
    <w:rsid w:val="00EF2476"/>
    <w:rsid w:val="00EF28D8"/>
    <w:rsid w:val="00EF38C0"/>
    <w:rsid w:val="00EF3E87"/>
    <w:rsid w:val="00EF3E92"/>
    <w:rsid w:val="00EF4B80"/>
    <w:rsid w:val="00F020E9"/>
    <w:rsid w:val="00F03DA5"/>
    <w:rsid w:val="00F04918"/>
    <w:rsid w:val="00F06544"/>
    <w:rsid w:val="00F075F0"/>
    <w:rsid w:val="00F079B6"/>
    <w:rsid w:val="00F113F4"/>
    <w:rsid w:val="00F1180C"/>
    <w:rsid w:val="00F13A10"/>
    <w:rsid w:val="00F17094"/>
    <w:rsid w:val="00F21961"/>
    <w:rsid w:val="00F21A4F"/>
    <w:rsid w:val="00F2201C"/>
    <w:rsid w:val="00F23699"/>
    <w:rsid w:val="00F24F02"/>
    <w:rsid w:val="00F263DB"/>
    <w:rsid w:val="00F3005D"/>
    <w:rsid w:val="00F36355"/>
    <w:rsid w:val="00F37359"/>
    <w:rsid w:val="00F406F3"/>
    <w:rsid w:val="00F40774"/>
    <w:rsid w:val="00F426E3"/>
    <w:rsid w:val="00F45908"/>
    <w:rsid w:val="00F46131"/>
    <w:rsid w:val="00F4618C"/>
    <w:rsid w:val="00F50CDF"/>
    <w:rsid w:val="00F5260D"/>
    <w:rsid w:val="00F560E9"/>
    <w:rsid w:val="00F56A1C"/>
    <w:rsid w:val="00F57572"/>
    <w:rsid w:val="00F578BE"/>
    <w:rsid w:val="00F57DED"/>
    <w:rsid w:val="00F62EAC"/>
    <w:rsid w:val="00F63E63"/>
    <w:rsid w:val="00F643E4"/>
    <w:rsid w:val="00F64AE3"/>
    <w:rsid w:val="00F65E61"/>
    <w:rsid w:val="00F67401"/>
    <w:rsid w:val="00F674B8"/>
    <w:rsid w:val="00F72FE3"/>
    <w:rsid w:val="00F7332A"/>
    <w:rsid w:val="00F758B5"/>
    <w:rsid w:val="00F77580"/>
    <w:rsid w:val="00F83182"/>
    <w:rsid w:val="00F8345F"/>
    <w:rsid w:val="00F9156A"/>
    <w:rsid w:val="00F928DD"/>
    <w:rsid w:val="00F93029"/>
    <w:rsid w:val="00F93219"/>
    <w:rsid w:val="00F93E4D"/>
    <w:rsid w:val="00F951BF"/>
    <w:rsid w:val="00F9526B"/>
    <w:rsid w:val="00F95403"/>
    <w:rsid w:val="00F96651"/>
    <w:rsid w:val="00FA051B"/>
    <w:rsid w:val="00FA0B1B"/>
    <w:rsid w:val="00FA1E74"/>
    <w:rsid w:val="00FA4232"/>
    <w:rsid w:val="00FA4A60"/>
    <w:rsid w:val="00FA56FB"/>
    <w:rsid w:val="00FB09FC"/>
    <w:rsid w:val="00FB1289"/>
    <w:rsid w:val="00FB1C39"/>
    <w:rsid w:val="00FB2254"/>
    <w:rsid w:val="00FB477F"/>
    <w:rsid w:val="00FC3B3D"/>
    <w:rsid w:val="00FD22B2"/>
    <w:rsid w:val="00FD37FF"/>
    <w:rsid w:val="00FD58F3"/>
    <w:rsid w:val="00FD621C"/>
    <w:rsid w:val="00FE0D61"/>
    <w:rsid w:val="00FE0DCB"/>
    <w:rsid w:val="00FE2153"/>
    <w:rsid w:val="00FE7F73"/>
    <w:rsid w:val="00FF0059"/>
    <w:rsid w:val="00FF6365"/>
    <w:rsid w:val="01141165"/>
    <w:rsid w:val="01170C55"/>
    <w:rsid w:val="01205D5C"/>
    <w:rsid w:val="01325A8F"/>
    <w:rsid w:val="01396E1E"/>
    <w:rsid w:val="01456A08"/>
    <w:rsid w:val="014A4B87"/>
    <w:rsid w:val="01521C8D"/>
    <w:rsid w:val="0156177E"/>
    <w:rsid w:val="015D0D5E"/>
    <w:rsid w:val="01675739"/>
    <w:rsid w:val="016C71F3"/>
    <w:rsid w:val="016F45ED"/>
    <w:rsid w:val="017C6D0A"/>
    <w:rsid w:val="019329D2"/>
    <w:rsid w:val="019F1377"/>
    <w:rsid w:val="01A01E12"/>
    <w:rsid w:val="01AA3877"/>
    <w:rsid w:val="01AC5842"/>
    <w:rsid w:val="01C56903"/>
    <w:rsid w:val="01C73FAA"/>
    <w:rsid w:val="01C963F3"/>
    <w:rsid w:val="01D37272"/>
    <w:rsid w:val="01E44FDB"/>
    <w:rsid w:val="01F40F97"/>
    <w:rsid w:val="02353A89"/>
    <w:rsid w:val="024C492F"/>
    <w:rsid w:val="024E06A7"/>
    <w:rsid w:val="02502671"/>
    <w:rsid w:val="025F28B4"/>
    <w:rsid w:val="02647ECA"/>
    <w:rsid w:val="027520D7"/>
    <w:rsid w:val="027D71DE"/>
    <w:rsid w:val="028642E4"/>
    <w:rsid w:val="028C11CF"/>
    <w:rsid w:val="02902A6D"/>
    <w:rsid w:val="02963DFC"/>
    <w:rsid w:val="02987B74"/>
    <w:rsid w:val="029C1412"/>
    <w:rsid w:val="02AB3D4B"/>
    <w:rsid w:val="02B0310F"/>
    <w:rsid w:val="02B20C36"/>
    <w:rsid w:val="02B349AE"/>
    <w:rsid w:val="02B56978"/>
    <w:rsid w:val="02BA3F8E"/>
    <w:rsid w:val="02BC1AB4"/>
    <w:rsid w:val="02BD75DA"/>
    <w:rsid w:val="02BE3A7E"/>
    <w:rsid w:val="02BF3353"/>
    <w:rsid w:val="02BF77F6"/>
    <w:rsid w:val="02C72207"/>
    <w:rsid w:val="02D04360"/>
    <w:rsid w:val="02DC2156"/>
    <w:rsid w:val="02F4124E"/>
    <w:rsid w:val="02FA438B"/>
    <w:rsid w:val="03081215"/>
    <w:rsid w:val="03092820"/>
    <w:rsid w:val="030F6088"/>
    <w:rsid w:val="031B02C9"/>
    <w:rsid w:val="03253AFD"/>
    <w:rsid w:val="032D4760"/>
    <w:rsid w:val="03321D76"/>
    <w:rsid w:val="034026E5"/>
    <w:rsid w:val="03465822"/>
    <w:rsid w:val="034A3564"/>
    <w:rsid w:val="03675EC4"/>
    <w:rsid w:val="03771E7F"/>
    <w:rsid w:val="037B196F"/>
    <w:rsid w:val="03802AE2"/>
    <w:rsid w:val="03990047"/>
    <w:rsid w:val="03AF786B"/>
    <w:rsid w:val="03B1713F"/>
    <w:rsid w:val="03D33559"/>
    <w:rsid w:val="03D746CC"/>
    <w:rsid w:val="03E70DB3"/>
    <w:rsid w:val="03EC0177"/>
    <w:rsid w:val="03FD05D6"/>
    <w:rsid w:val="04161698"/>
    <w:rsid w:val="041871BE"/>
    <w:rsid w:val="04194CE4"/>
    <w:rsid w:val="0433224A"/>
    <w:rsid w:val="04473600"/>
    <w:rsid w:val="044C330C"/>
    <w:rsid w:val="045301F6"/>
    <w:rsid w:val="04675A50"/>
    <w:rsid w:val="047775AF"/>
    <w:rsid w:val="049727D9"/>
    <w:rsid w:val="049C7DEF"/>
    <w:rsid w:val="049D5915"/>
    <w:rsid w:val="04A86794"/>
    <w:rsid w:val="04BB633C"/>
    <w:rsid w:val="04C56194"/>
    <w:rsid w:val="04DA26C6"/>
    <w:rsid w:val="04F35535"/>
    <w:rsid w:val="04FA68C4"/>
    <w:rsid w:val="04FC43EA"/>
    <w:rsid w:val="05014F82"/>
    <w:rsid w:val="05087233"/>
    <w:rsid w:val="051C4A8C"/>
    <w:rsid w:val="051F632A"/>
    <w:rsid w:val="0526590B"/>
    <w:rsid w:val="053C512E"/>
    <w:rsid w:val="05483AD3"/>
    <w:rsid w:val="05495D59"/>
    <w:rsid w:val="054A784B"/>
    <w:rsid w:val="054D733B"/>
    <w:rsid w:val="054E09BE"/>
    <w:rsid w:val="05681A7F"/>
    <w:rsid w:val="05760640"/>
    <w:rsid w:val="057743B8"/>
    <w:rsid w:val="05883ED0"/>
    <w:rsid w:val="058A5E9A"/>
    <w:rsid w:val="05A84572"/>
    <w:rsid w:val="05AB5E10"/>
    <w:rsid w:val="05B41169"/>
    <w:rsid w:val="05CF7D50"/>
    <w:rsid w:val="05D435B9"/>
    <w:rsid w:val="05E03D0C"/>
    <w:rsid w:val="05E27A84"/>
    <w:rsid w:val="05EA4B8A"/>
    <w:rsid w:val="06035C4C"/>
    <w:rsid w:val="06082F3D"/>
    <w:rsid w:val="060C68AF"/>
    <w:rsid w:val="06163BD1"/>
    <w:rsid w:val="062D1753"/>
    <w:rsid w:val="06336531"/>
    <w:rsid w:val="063858F6"/>
    <w:rsid w:val="063A78C0"/>
    <w:rsid w:val="063C4113"/>
    <w:rsid w:val="064E6EC7"/>
    <w:rsid w:val="065344DE"/>
    <w:rsid w:val="066466EB"/>
    <w:rsid w:val="066B5CCB"/>
    <w:rsid w:val="066B7BDD"/>
    <w:rsid w:val="06976AC0"/>
    <w:rsid w:val="06AB256C"/>
    <w:rsid w:val="06B01930"/>
    <w:rsid w:val="06C07F8B"/>
    <w:rsid w:val="06C74ECC"/>
    <w:rsid w:val="06D373CC"/>
    <w:rsid w:val="06F7755F"/>
    <w:rsid w:val="06FE4433"/>
    <w:rsid w:val="070E48A8"/>
    <w:rsid w:val="0712694D"/>
    <w:rsid w:val="072639A0"/>
    <w:rsid w:val="073360BD"/>
    <w:rsid w:val="074327A4"/>
    <w:rsid w:val="07554285"/>
    <w:rsid w:val="0768484A"/>
    <w:rsid w:val="077F1302"/>
    <w:rsid w:val="078A03D3"/>
    <w:rsid w:val="079500F6"/>
    <w:rsid w:val="079E3E7E"/>
    <w:rsid w:val="07B70A9C"/>
    <w:rsid w:val="07CF4038"/>
    <w:rsid w:val="07DB29DD"/>
    <w:rsid w:val="07DE427B"/>
    <w:rsid w:val="07E13D6B"/>
    <w:rsid w:val="07F43A9E"/>
    <w:rsid w:val="07F92E63"/>
    <w:rsid w:val="07FE2B6F"/>
    <w:rsid w:val="08000695"/>
    <w:rsid w:val="080C0DE8"/>
    <w:rsid w:val="080D690E"/>
    <w:rsid w:val="0812156A"/>
    <w:rsid w:val="081B727D"/>
    <w:rsid w:val="082F2D28"/>
    <w:rsid w:val="083640B7"/>
    <w:rsid w:val="083C7EB4"/>
    <w:rsid w:val="0842480A"/>
    <w:rsid w:val="084367D4"/>
    <w:rsid w:val="0845254C"/>
    <w:rsid w:val="08624EAC"/>
    <w:rsid w:val="08730E67"/>
    <w:rsid w:val="088210AA"/>
    <w:rsid w:val="088E7A4F"/>
    <w:rsid w:val="089D4136"/>
    <w:rsid w:val="08A059D4"/>
    <w:rsid w:val="08A91BD9"/>
    <w:rsid w:val="08A94889"/>
    <w:rsid w:val="08BF22FE"/>
    <w:rsid w:val="08BF40AC"/>
    <w:rsid w:val="08C8003B"/>
    <w:rsid w:val="08CE42EF"/>
    <w:rsid w:val="08D12032"/>
    <w:rsid w:val="08D23469"/>
    <w:rsid w:val="08EE04EE"/>
    <w:rsid w:val="090146C5"/>
    <w:rsid w:val="0913264A"/>
    <w:rsid w:val="09385C0D"/>
    <w:rsid w:val="09434CDD"/>
    <w:rsid w:val="09442803"/>
    <w:rsid w:val="0946657C"/>
    <w:rsid w:val="09475E50"/>
    <w:rsid w:val="095073FA"/>
    <w:rsid w:val="09554A11"/>
    <w:rsid w:val="095F3199"/>
    <w:rsid w:val="096535C8"/>
    <w:rsid w:val="09734E97"/>
    <w:rsid w:val="09816C22"/>
    <w:rsid w:val="098D5F59"/>
    <w:rsid w:val="098F1CD1"/>
    <w:rsid w:val="0992356F"/>
    <w:rsid w:val="099C619C"/>
    <w:rsid w:val="09A514F4"/>
    <w:rsid w:val="09AB4631"/>
    <w:rsid w:val="09BA2AC6"/>
    <w:rsid w:val="09BE4364"/>
    <w:rsid w:val="09CA0F5B"/>
    <w:rsid w:val="09CD45A7"/>
    <w:rsid w:val="09DE67B4"/>
    <w:rsid w:val="09DF42DA"/>
    <w:rsid w:val="09E30875"/>
    <w:rsid w:val="09E51804"/>
    <w:rsid w:val="09EE7000"/>
    <w:rsid w:val="09EF09C1"/>
    <w:rsid w:val="09FC4E8C"/>
    <w:rsid w:val="0A1E4E03"/>
    <w:rsid w:val="0A374116"/>
    <w:rsid w:val="0A432ABB"/>
    <w:rsid w:val="0A4800D1"/>
    <w:rsid w:val="0A5E78F5"/>
    <w:rsid w:val="0A650C83"/>
    <w:rsid w:val="0A6F700C"/>
    <w:rsid w:val="0A726EFC"/>
    <w:rsid w:val="0A742C74"/>
    <w:rsid w:val="0A786C09"/>
    <w:rsid w:val="0A7D7D7B"/>
    <w:rsid w:val="0A825391"/>
    <w:rsid w:val="0A960E3D"/>
    <w:rsid w:val="0A9652E1"/>
    <w:rsid w:val="0A9D0A64"/>
    <w:rsid w:val="0A9E5F43"/>
    <w:rsid w:val="0AA2244C"/>
    <w:rsid w:val="0AA25A34"/>
    <w:rsid w:val="0AAA48E8"/>
    <w:rsid w:val="0AAC68B2"/>
    <w:rsid w:val="0AB001CB"/>
    <w:rsid w:val="0AB1211B"/>
    <w:rsid w:val="0ABD0ABF"/>
    <w:rsid w:val="0AC05EBA"/>
    <w:rsid w:val="0AC7549A"/>
    <w:rsid w:val="0AD52632"/>
    <w:rsid w:val="0AD96F7B"/>
    <w:rsid w:val="0AE41BA8"/>
    <w:rsid w:val="0AF049F1"/>
    <w:rsid w:val="0AF10769"/>
    <w:rsid w:val="0AF52007"/>
    <w:rsid w:val="0B044101"/>
    <w:rsid w:val="0B187AA4"/>
    <w:rsid w:val="0B2823DD"/>
    <w:rsid w:val="0B381EF4"/>
    <w:rsid w:val="0B4E1717"/>
    <w:rsid w:val="0B534F80"/>
    <w:rsid w:val="0B582596"/>
    <w:rsid w:val="0B5F56D3"/>
    <w:rsid w:val="0B626F71"/>
    <w:rsid w:val="0B6947A3"/>
    <w:rsid w:val="0B6E3B68"/>
    <w:rsid w:val="0B723658"/>
    <w:rsid w:val="0B801484"/>
    <w:rsid w:val="0B845139"/>
    <w:rsid w:val="0B884C29"/>
    <w:rsid w:val="0B8C3FEE"/>
    <w:rsid w:val="0B9A5A90"/>
    <w:rsid w:val="0B9C2483"/>
    <w:rsid w:val="0BA852CC"/>
    <w:rsid w:val="0BCA3494"/>
    <w:rsid w:val="0BD50D25"/>
    <w:rsid w:val="0BE55DD4"/>
    <w:rsid w:val="0BF027CF"/>
    <w:rsid w:val="0C063B21"/>
    <w:rsid w:val="0C0C2939"/>
    <w:rsid w:val="0C0F0EA7"/>
    <w:rsid w:val="0C1722D9"/>
    <w:rsid w:val="0C177D5B"/>
    <w:rsid w:val="0C1E733C"/>
    <w:rsid w:val="0C3152C1"/>
    <w:rsid w:val="0C3B6140"/>
    <w:rsid w:val="0C564D28"/>
    <w:rsid w:val="0C566AD6"/>
    <w:rsid w:val="0C6F7B97"/>
    <w:rsid w:val="0C7B653C"/>
    <w:rsid w:val="0C807E08"/>
    <w:rsid w:val="0C833643"/>
    <w:rsid w:val="0C8D626F"/>
    <w:rsid w:val="0C9413AC"/>
    <w:rsid w:val="0C945E53"/>
    <w:rsid w:val="0C9C64B3"/>
    <w:rsid w:val="0CA737D5"/>
    <w:rsid w:val="0CBB2DDD"/>
    <w:rsid w:val="0CCC0564"/>
    <w:rsid w:val="0CCD48BE"/>
    <w:rsid w:val="0CCF4ADA"/>
    <w:rsid w:val="0CD36378"/>
    <w:rsid w:val="0CDC3332"/>
    <w:rsid w:val="0CEB1914"/>
    <w:rsid w:val="0CFB0EF3"/>
    <w:rsid w:val="0D094556"/>
    <w:rsid w:val="0D110C4F"/>
    <w:rsid w:val="0D15073F"/>
    <w:rsid w:val="0D3D37F2"/>
    <w:rsid w:val="0D485BAA"/>
    <w:rsid w:val="0D5A25F6"/>
    <w:rsid w:val="0D5D3E94"/>
    <w:rsid w:val="0D605732"/>
    <w:rsid w:val="0D71793F"/>
    <w:rsid w:val="0D7F3E0A"/>
    <w:rsid w:val="0D837D9E"/>
    <w:rsid w:val="0D8853B5"/>
    <w:rsid w:val="0D892EDB"/>
    <w:rsid w:val="0D8C6527"/>
    <w:rsid w:val="0D98311E"/>
    <w:rsid w:val="0D9B7981"/>
    <w:rsid w:val="0DA41AC3"/>
    <w:rsid w:val="0DA63A8D"/>
    <w:rsid w:val="0DB5782C"/>
    <w:rsid w:val="0DB77A48"/>
    <w:rsid w:val="0DBD4932"/>
    <w:rsid w:val="0DBE0DD6"/>
    <w:rsid w:val="0DC53787"/>
    <w:rsid w:val="0DC7755F"/>
    <w:rsid w:val="0DD405FA"/>
    <w:rsid w:val="0DD74424"/>
    <w:rsid w:val="0DE545B5"/>
    <w:rsid w:val="0DF742E8"/>
    <w:rsid w:val="0DFD7F0C"/>
    <w:rsid w:val="0DFF319D"/>
    <w:rsid w:val="0E012A71"/>
    <w:rsid w:val="0E1F1149"/>
    <w:rsid w:val="0E325320"/>
    <w:rsid w:val="0E3270CE"/>
    <w:rsid w:val="0E3B2427"/>
    <w:rsid w:val="0E407A3D"/>
    <w:rsid w:val="0E4312DC"/>
    <w:rsid w:val="0E43752E"/>
    <w:rsid w:val="0E527771"/>
    <w:rsid w:val="0E5C65DD"/>
    <w:rsid w:val="0E647CD2"/>
    <w:rsid w:val="0E653000"/>
    <w:rsid w:val="0E813BB2"/>
    <w:rsid w:val="0E9C09EC"/>
    <w:rsid w:val="0E9D6C3E"/>
    <w:rsid w:val="0EA578A0"/>
    <w:rsid w:val="0EAF24CD"/>
    <w:rsid w:val="0EB126E9"/>
    <w:rsid w:val="0EB67D00"/>
    <w:rsid w:val="0ED924DE"/>
    <w:rsid w:val="0EDE1004"/>
    <w:rsid w:val="0EF94CF1"/>
    <w:rsid w:val="0EFD76DC"/>
    <w:rsid w:val="0F2326A2"/>
    <w:rsid w:val="0F360E40"/>
    <w:rsid w:val="0F384BB8"/>
    <w:rsid w:val="0F386966"/>
    <w:rsid w:val="0F3F5F47"/>
    <w:rsid w:val="0F4F5A5E"/>
    <w:rsid w:val="0F591CD2"/>
    <w:rsid w:val="0F657030"/>
    <w:rsid w:val="0F670FFA"/>
    <w:rsid w:val="0F6B0AEA"/>
    <w:rsid w:val="0F6C4862"/>
    <w:rsid w:val="0F784FB5"/>
    <w:rsid w:val="0F81030D"/>
    <w:rsid w:val="0FA638D0"/>
    <w:rsid w:val="0FA97A45"/>
    <w:rsid w:val="0FAE09D7"/>
    <w:rsid w:val="0FB57FB7"/>
    <w:rsid w:val="0FD541B5"/>
    <w:rsid w:val="0FDD12BC"/>
    <w:rsid w:val="0FE663C2"/>
    <w:rsid w:val="0FE8213B"/>
    <w:rsid w:val="0FF24D67"/>
    <w:rsid w:val="0FFA00C0"/>
    <w:rsid w:val="0FFB429B"/>
    <w:rsid w:val="100B7BD7"/>
    <w:rsid w:val="10156CA8"/>
    <w:rsid w:val="10315ED5"/>
    <w:rsid w:val="105542E0"/>
    <w:rsid w:val="106D43EE"/>
    <w:rsid w:val="10725D5E"/>
    <w:rsid w:val="10727C56"/>
    <w:rsid w:val="107514F4"/>
    <w:rsid w:val="108B0D18"/>
    <w:rsid w:val="10914580"/>
    <w:rsid w:val="10923E54"/>
    <w:rsid w:val="10AD0C8E"/>
    <w:rsid w:val="10AD5132"/>
    <w:rsid w:val="10BE4C49"/>
    <w:rsid w:val="10C1473A"/>
    <w:rsid w:val="10C55FD8"/>
    <w:rsid w:val="10D0497D"/>
    <w:rsid w:val="10DE353E"/>
    <w:rsid w:val="10E02E12"/>
    <w:rsid w:val="10E5667A"/>
    <w:rsid w:val="10EA0134"/>
    <w:rsid w:val="10F20D97"/>
    <w:rsid w:val="10F66AD9"/>
    <w:rsid w:val="10F93ED3"/>
    <w:rsid w:val="110F1949"/>
    <w:rsid w:val="111D7D2A"/>
    <w:rsid w:val="11254CC9"/>
    <w:rsid w:val="113B0990"/>
    <w:rsid w:val="114E06C3"/>
    <w:rsid w:val="11537A88"/>
    <w:rsid w:val="1154735C"/>
    <w:rsid w:val="11555572"/>
    <w:rsid w:val="116577BB"/>
    <w:rsid w:val="116A4DD1"/>
    <w:rsid w:val="11763776"/>
    <w:rsid w:val="117F6ACF"/>
    <w:rsid w:val="11845E93"/>
    <w:rsid w:val="118E0AC0"/>
    <w:rsid w:val="119836EC"/>
    <w:rsid w:val="11A2456B"/>
    <w:rsid w:val="11A26319"/>
    <w:rsid w:val="11B106F4"/>
    <w:rsid w:val="11B5604C"/>
    <w:rsid w:val="11B81FE1"/>
    <w:rsid w:val="11CC783A"/>
    <w:rsid w:val="11DA2A58"/>
    <w:rsid w:val="11DB182B"/>
    <w:rsid w:val="11E701D0"/>
    <w:rsid w:val="11E903EC"/>
    <w:rsid w:val="11EB4164"/>
    <w:rsid w:val="11FA6155"/>
    <w:rsid w:val="120668A8"/>
    <w:rsid w:val="12074ED2"/>
    <w:rsid w:val="120D40DA"/>
    <w:rsid w:val="12130FC5"/>
    <w:rsid w:val="12135469"/>
    <w:rsid w:val="121511E1"/>
    <w:rsid w:val="12260CF8"/>
    <w:rsid w:val="123478B9"/>
    <w:rsid w:val="123553DF"/>
    <w:rsid w:val="12435D4E"/>
    <w:rsid w:val="124B075F"/>
    <w:rsid w:val="12655CC4"/>
    <w:rsid w:val="126637EB"/>
    <w:rsid w:val="126E6D2B"/>
    <w:rsid w:val="126F08F1"/>
    <w:rsid w:val="12744159"/>
    <w:rsid w:val="127C4DBC"/>
    <w:rsid w:val="128622EF"/>
    <w:rsid w:val="12957C2C"/>
    <w:rsid w:val="1299596E"/>
    <w:rsid w:val="129C0FBA"/>
    <w:rsid w:val="12A04F4F"/>
    <w:rsid w:val="12AF6F40"/>
    <w:rsid w:val="12B02CB8"/>
    <w:rsid w:val="12B24C82"/>
    <w:rsid w:val="12B91B6C"/>
    <w:rsid w:val="12BC165D"/>
    <w:rsid w:val="12CD5618"/>
    <w:rsid w:val="12E017EF"/>
    <w:rsid w:val="12E50BB3"/>
    <w:rsid w:val="12E758C4"/>
    <w:rsid w:val="12ED3C46"/>
    <w:rsid w:val="13001549"/>
    <w:rsid w:val="13031039"/>
    <w:rsid w:val="1303728B"/>
    <w:rsid w:val="130F3E82"/>
    <w:rsid w:val="131C3185"/>
    <w:rsid w:val="13286CF2"/>
    <w:rsid w:val="132A2A6A"/>
    <w:rsid w:val="132D4308"/>
    <w:rsid w:val="1336140F"/>
    <w:rsid w:val="13491142"/>
    <w:rsid w:val="134C478E"/>
    <w:rsid w:val="13511DA5"/>
    <w:rsid w:val="13561D65"/>
    <w:rsid w:val="13750189"/>
    <w:rsid w:val="13765CAF"/>
    <w:rsid w:val="137C5F4E"/>
    <w:rsid w:val="13833F28"/>
    <w:rsid w:val="13854144"/>
    <w:rsid w:val="13A04ADA"/>
    <w:rsid w:val="13A46379"/>
    <w:rsid w:val="13C94031"/>
    <w:rsid w:val="13CC3B21"/>
    <w:rsid w:val="13D50C28"/>
    <w:rsid w:val="13D6674E"/>
    <w:rsid w:val="13DA623E"/>
    <w:rsid w:val="13DC1FB6"/>
    <w:rsid w:val="13F15336"/>
    <w:rsid w:val="13F56BD4"/>
    <w:rsid w:val="13FA41EA"/>
    <w:rsid w:val="13FD3CDB"/>
    <w:rsid w:val="141A663B"/>
    <w:rsid w:val="14270D58"/>
    <w:rsid w:val="142851FC"/>
    <w:rsid w:val="14290F74"/>
    <w:rsid w:val="14321BD6"/>
    <w:rsid w:val="1433594E"/>
    <w:rsid w:val="143516C6"/>
    <w:rsid w:val="14447B5C"/>
    <w:rsid w:val="144638D4"/>
    <w:rsid w:val="144D6A10"/>
    <w:rsid w:val="1457788F"/>
    <w:rsid w:val="1461070D"/>
    <w:rsid w:val="147321EF"/>
    <w:rsid w:val="14771CDF"/>
    <w:rsid w:val="14783A0E"/>
    <w:rsid w:val="147F2942"/>
    <w:rsid w:val="148D505F"/>
    <w:rsid w:val="14904B4F"/>
    <w:rsid w:val="14A14FAE"/>
    <w:rsid w:val="14A16D5C"/>
    <w:rsid w:val="14B06F9F"/>
    <w:rsid w:val="14CB202B"/>
    <w:rsid w:val="14D64C58"/>
    <w:rsid w:val="14D964F6"/>
    <w:rsid w:val="14DE1D5E"/>
    <w:rsid w:val="14DF1632"/>
    <w:rsid w:val="14E76E65"/>
    <w:rsid w:val="14EA24B1"/>
    <w:rsid w:val="14F259E4"/>
    <w:rsid w:val="14F74BCE"/>
    <w:rsid w:val="14FC21E4"/>
    <w:rsid w:val="14FE7D0A"/>
    <w:rsid w:val="150A2B53"/>
    <w:rsid w:val="151417DA"/>
    <w:rsid w:val="151614F8"/>
    <w:rsid w:val="15211C4B"/>
    <w:rsid w:val="15316332"/>
    <w:rsid w:val="15347E88"/>
    <w:rsid w:val="153B0F5F"/>
    <w:rsid w:val="15657D89"/>
    <w:rsid w:val="15714980"/>
    <w:rsid w:val="157D50D3"/>
    <w:rsid w:val="15802E15"/>
    <w:rsid w:val="158521DA"/>
    <w:rsid w:val="158F3058"/>
    <w:rsid w:val="158F4E06"/>
    <w:rsid w:val="15915022"/>
    <w:rsid w:val="159863B1"/>
    <w:rsid w:val="15995C85"/>
    <w:rsid w:val="15B22235"/>
    <w:rsid w:val="15B34F99"/>
    <w:rsid w:val="15B66837"/>
    <w:rsid w:val="15BA6327"/>
    <w:rsid w:val="15BF5D27"/>
    <w:rsid w:val="15C2342E"/>
    <w:rsid w:val="15CA5E3E"/>
    <w:rsid w:val="15CE592F"/>
    <w:rsid w:val="15D26D5F"/>
    <w:rsid w:val="15E72E94"/>
    <w:rsid w:val="15F07F9B"/>
    <w:rsid w:val="15F143E2"/>
    <w:rsid w:val="15F64E85"/>
    <w:rsid w:val="15FC68B5"/>
    <w:rsid w:val="15FF01DE"/>
    <w:rsid w:val="16007AB2"/>
    <w:rsid w:val="160E21CF"/>
    <w:rsid w:val="161C2A95"/>
    <w:rsid w:val="16201F02"/>
    <w:rsid w:val="1621518F"/>
    <w:rsid w:val="162437A1"/>
    <w:rsid w:val="1626790E"/>
    <w:rsid w:val="162714E3"/>
    <w:rsid w:val="16300397"/>
    <w:rsid w:val="16361726"/>
    <w:rsid w:val="16421E79"/>
    <w:rsid w:val="164B3423"/>
    <w:rsid w:val="16565924"/>
    <w:rsid w:val="16573B76"/>
    <w:rsid w:val="1663076D"/>
    <w:rsid w:val="167A1613"/>
    <w:rsid w:val="16810BF3"/>
    <w:rsid w:val="168B1A72"/>
    <w:rsid w:val="16985F3D"/>
    <w:rsid w:val="16B40FC8"/>
    <w:rsid w:val="16C136E5"/>
    <w:rsid w:val="16E5220F"/>
    <w:rsid w:val="16ED0036"/>
    <w:rsid w:val="16EF2001"/>
    <w:rsid w:val="16F47617"/>
    <w:rsid w:val="16F92E7F"/>
    <w:rsid w:val="17013AE2"/>
    <w:rsid w:val="170F4451"/>
    <w:rsid w:val="17163A31"/>
    <w:rsid w:val="171A1078"/>
    <w:rsid w:val="172D2B29"/>
    <w:rsid w:val="172D48D7"/>
    <w:rsid w:val="174335E8"/>
    <w:rsid w:val="17471E3D"/>
    <w:rsid w:val="17487963"/>
    <w:rsid w:val="174C7453"/>
    <w:rsid w:val="175B58E8"/>
    <w:rsid w:val="175C6F6A"/>
    <w:rsid w:val="17602EFE"/>
    <w:rsid w:val="1763654B"/>
    <w:rsid w:val="17650515"/>
    <w:rsid w:val="17773DA4"/>
    <w:rsid w:val="17800EAB"/>
    <w:rsid w:val="1783099B"/>
    <w:rsid w:val="178F10EE"/>
    <w:rsid w:val="17B86896"/>
    <w:rsid w:val="17BD3D47"/>
    <w:rsid w:val="17C57205"/>
    <w:rsid w:val="17D3547E"/>
    <w:rsid w:val="17D42FA4"/>
    <w:rsid w:val="17E53404"/>
    <w:rsid w:val="17E7717C"/>
    <w:rsid w:val="17EB6C6C"/>
    <w:rsid w:val="17F337BA"/>
    <w:rsid w:val="17FA5823"/>
    <w:rsid w:val="1802759E"/>
    <w:rsid w:val="1807337A"/>
    <w:rsid w:val="180A4C18"/>
    <w:rsid w:val="180B5202"/>
    <w:rsid w:val="18117D55"/>
    <w:rsid w:val="182A0E16"/>
    <w:rsid w:val="18335F1D"/>
    <w:rsid w:val="18365A0D"/>
    <w:rsid w:val="183A5435"/>
    <w:rsid w:val="1840063A"/>
    <w:rsid w:val="184719C8"/>
    <w:rsid w:val="184E71FB"/>
    <w:rsid w:val="18736C61"/>
    <w:rsid w:val="18746723"/>
    <w:rsid w:val="18787DD4"/>
    <w:rsid w:val="1881312C"/>
    <w:rsid w:val="1890336F"/>
    <w:rsid w:val="189B7D05"/>
    <w:rsid w:val="18A706B9"/>
    <w:rsid w:val="18B232E6"/>
    <w:rsid w:val="18B666E7"/>
    <w:rsid w:val="18CC3E8C"/>
    <w:rsid w:val="18DA0A8E"/>
    <w:rsid w:val="18DA44EF"/>
    <w:rsid w:val="18E45469"/>
    <w:rsid w:val="18EA6F23"/>
    <w:rsid w:val="18F54ACC"/>
    <w:rsid w:val="18F71640"/>
    <w:rsid w:val="18FD6FE5"/>
    <w:rsid w:val="190D676E"/>
    <w:rsid w:val="19121FD6"/>
    <w:rsid w:val="192D0BBE"/>
    <w:rsid w:val="19314B52"/>
    <w:rsid w:val="19324427"/>
    <w:rsid w:val="193C7053"/>
    <w:rsid w:val="194523AC"/>
    <w:rsid w:val="1945415A"/>
    <w:rsid w:val="194F4FD8"/>
    <w:rsid w:val="1954439D"/>
    <w:rsid w:val="19616ABA"/>
    <w:rsid w:val="196842EC"/>
    <w:rsid w:val="196F7429"/>
    <w:rsid w:val="19707D4F"/>
    <w:rsid w:val="19874772"/>
    <w:rsid w:val="199C5D44"/>
    <w:rsid w:val="199D3F96"/>
    <w:rsid w:val="19AF7825"/>
    <w:rsid w:val="19C31523"/>
    <w:rsid w:val="19CA335A"/>
    <w:rsid w:val="19D11E91"/>
    <w:rsid w:val="19D61256"/>
    <w:rsid w:val="19E27BFB"/>
    <w:rsid w:val="19FA13E8"/>
    <w:rsid w:val="1A085187"/>
    <w:rsid w:val="1A0A0EFF"/>
    <w:rsid w:val="1A0F29BA"/>
    <w:rsid w:val="1A143B2C"/>
    <w:rsid w:val="1A310B82"/>
    <w:rsid w:val="1A385085"/>
    <w:rsid w:val="1A534654"/>
    <w:rsid w:val="1A5F749D"/>
    <w:rsid w:val="1A732F49"/>
    <w:rsid w:val="1A736AA5"/>
    <w:rsid w:val="1A7647E7"/>
    <w:rsid w:val="1A7867B1"/>
    <w:rsid w:val="1A82318C"/>
    <w:rsid w:val="1A887069"/>
    <w:rsid w:val="1A9058A9"/>
    <w:rsid w:val="1AA43102"/>
    <w:rsid w:val="1ABC669E"/>
    <w:rsid w:val="1ABD41C4"/>
    <w:rsid w:val="1ABF1CEA"/>
    <w:rsid w:val="1AD05CA5"/>
    <w:rsid w:val="1AD31C39"/>
    <w:rsid w:val="1ADA4D76"/>
    <w:rsid w:val="1AE856E5"/>
    <w:rsid w:val="1AED4AA9"/>
    <w:rsid w:val="1AFC685F"/>
    <w:rsid w:val="1B03607B"/>
    <w:rsid w:val="1B0B13D3"/>
    <w:rsid w:val="1B0D6EF9"/>
    <w:rsid w:val="1B220567"/>
    <w:rsid w:val="1B2F50C2"/>
    <w:rsid w:val="1B35322E"/>
    <w:rsid w:val="1B4E09D7"/>
    <w:rsid w:val="1B50328A"/>
    <w:rsid w:val="1B652C55"/>
    <w:rsid w:val="1B6D7998"/>
    <w:rsid w:val="1B724FAE"/>
    <w:rsid w:val="1B76566B"/>
    <w:rsid w:val="1B7E7DF7"/>
    <w:rsid w:val="1B805743"/>
    <w:rsid w:val="1B811695"/>
    <w:rsid w:val="1B9413C8"/>
    <w:rsid w:val="1B972C67"/>
    <w:rsid w:val="1BAB04C0"/>
    <w:rsid w:val="1BB05AD7"/>
    <w:rsid w:val="1BB630ED"/>
    <w:rsid w:val="1BBD091F"/>
    <w:rsid w:val="1BBE01F3"/>
    <w:rsid w:val="1BC03F6C"/>
    <w:rsid w:val="1BC31CAE"/>
    <w:rsid w:val="1BCD6688"/>
    <w:rsid w:val="1BD9502D"/>
    <w:rsid w:val="1BE455C0"/>
    <w:rsid w:val="1BF319CB"/>
    <w:rsid w:val="1C033E58"/>
    <w:rsid w:val="1C161DDD"/>
    <w:rsid w:val="1C2564C4"/>
    <w:rsid w:val="1C2E5379"/>
    <w:rsid w:val="1C33473D"/>
    <w:rsid w:val="1C395ACC"/>
    <w:rsid w:val="1C3E30E2"/>
    <w:rsid w:val="1C511106"/>
    <w:rsid w:val="1C5B3C94"/>
    <w:rsid w:val="1C5B5A42"/>
    <w:rsid w:val="1C672639"/>
    <w:rsid w:val="1C746B04"/>
    <w:rsid w:val="1C7A6810"/>
    <w:rsid w:val="1C7D1E5D"/>
    <w:rsid w:val="1C7E25A5"/>
    <w:rsid w:val="1C8036FB"/>
    <w:rsid w:val="1C8F393E"/>
    <w:rsid w:val="1C902538"/>
    <w:rsid w:val="1C960037"/>
    <w:rsid w:val="1CA218C3"/>
    <w:rsid w:val="1CA473E9"/>
    <w:rsid w:val="1CAB69CA"/>
    <w:rsid w:val="1CB6711D"/>
    <w:rsid w:val="1CB82E95"/>
    <w:rsid w:val="1CBB4733"/>
    <w:rsid w:val="1CC01D49"/>
    <w:rsid w:val="1CCB2BC8"/>
    <w:rsid w:val="1CCC6940"/>
    <w:rsid w:val="1CE123EB"/>
    <w:rsid w:val="1CF245F9"/>
    <w:rsid w:val="1CFC5477"/>
    <w:rsid w:val="1D0C4F8F"/>
    <w:rsid w:val="1D13456F"/>
    <w:rsid w:val="1D1722B1"/>
    <w:rsid w:val="1D2642A2"/>
    <w:rsid w:val="1D320E99"/>
    <w:rsid w:val="1D352737"/>
    <w:rsid w:val="1D3F7112"/>
    <w:rsid w:val="1D4027FB"/>
    <w:rsid w:val="1D412E8A"/>
    <w:rsid w:val="1D4E37F9"/>
    <w:rsid w:val="1D644DCB"/>
    <w:rsid w:val="1D666D95"/>
    <w:rsid w:val="1D6B7F07"/>
    <w:rsid w:val="1D7A45EE"/>
    <w:rsid w:val="1D7E40DE"/>
    <w:rsid w:val="1D85546D"/>
    <w:rsid w:val="1D862F93"/>
    <w:rsid w:val="1D970CFC"/>
    <w:rsid w:val="1D9C6312"/>
    <w:rsid w:val="1DA33B45"/>
    <w:rsid w:val="1DA653E3"/>
    <w:rsid w:val="1DC37D43"/>
    <w:rsid w:val="1DC55869"/>
    <w:rsid w:val="1DD45AAC"/>
    <w:rsid w:val="1DE81558"/>
    <w:rsid w:val="1DEA52D0"/>
    <w:rsid w:val="1DEF28E6"/>
    <w:rsid w:val="1DF61EC7"/>
    <w:rsid w:val="1DFB128B"/>
    <w:rsid w:val="1E012619"/>
    <w:rsid w:val="1E1660C5"/>
    <w:rsid w:val="1E1D38F7"/>
    <w:rsid w:val="1E3824DF"/>
    <w:rsid w:val="1E3B3D7D"/>
    <w:rsid w:val="1E3D5D47"/>
    <w:rsid w:val="1E42335E"/>
    <w:rsid w:val="1E432C32"/>
    <w:rsid w:val="1E470974"/>
    <w:rsid w:val="1E4A5D6E"/>
    <w:rsid w:val="1E594203"/>
    <w:rsid w:val="1E5A7ADD"/>
    <w:rsid w:val="1E5E7A6C"/>
    <w:rsid w:val="1E911BEF"/>
    <w:rsid w:val="1E91399D"/>
    <w:rsid w:val="1E9E60BA"/>
    <w:rsid w:val="1EAC07D7"/>
    <w:rsid w:val="1EC71AB5"/>
    <w:rsid w:val="1ECE322F"/>
    <w:rsid w:val="1ED41ADC"/>
    <w:rsid w:val="1EDD4E34"/>
    <w:rsid w:val="1EEB734D"/>
    <w:rsid w:val="1EF14A9D"/>
    <w:rsid w:val="1EF81C6E"/>
    <w:rsid w:val="1F036DC8"/>
    <w:rsid w:val="1F0B19A2"/>
    <w:rsid w:val="1F0C74C8"/>
    <w:rsid w:val="1F0E4FEE"/>
    <w:rsid w:val="1F1B4407"/>
    <w:rsid w:val="1F240CB5"/>
    <w:rsid w:val="1F2E743E"/>
    <w:rsid w:val="1F3709E9"/>
    <w:rsid w:val="1F3E1D77"/>
    <w:rsid w:val="1F4E188E"/>
    <w:rsid w:val="1F590191"/>
    <w:rsid w:val="1F5C044F"/>
    <w:rsid w:val="1F5F3A9B"/>
    <w:rsid w:val="1F6466AD"/>
    <w:rsid w:val="1F6D7F66"/>
    <w:rsid w:val="1FA92F69"/>
    <w:rsid w:val="1FAD2A59"/>
    <w:rsid w:val="1FB44357"/>
    <w:rsid w:val="1FB738D7"/>
    <w:rsid w:val="1FB97650"/>
    <w:rsid w:val="1FBC7140"/>
    <w:rsid w:val="1FC16504"/>
    <w:rsid w:val="1FC35DD8"/>
    <w:rsid w:val="1FCD4EA9"/>
    <w:rsid w:val="1FD71884"/>
    <w:rsid w:val="1FE50445"/>
    <w:rsid w:val="1FED72F9"/>
    <w:rsid w:val="1FF266BE"/>
    <w:rsid w:val="1FF70178"/>
    <w:rsid w:val="20176124"/>
    <w:rsid w:val="203D03EF"/>
    <w:rsid w:val="203E1903"/>
    <w:rsid w:val="20427645"/>
    <w:rsid w:val="20474C5B"/>
    <w:rsid w:val="205630F0"/>
    <w:rsid w:val="2059498F"/>
    <w:rsid w:val="205B0707"/>
    <w:rsid w:val="20601879"/>
    <w:rsid w:val="20623843"/>
    <w:rsid w:val="20651585"/>
    <w:rsid w:val="20711CD8"/>
    <w:rsid w:val="207D68CF"/>
    <w:rsid w:val="20853320"/>
    <w:rsid w:val="208539D6"/>
    <w:rsid w:val="2099122F"/>
    <w:rsid w:val="20A91472"/>
    <w:rsid w:val="20D34741"/>
    <w:rsid w:val="20D9162C"/>
    <w:rsid w:val="20DD2ECA"/>
    <w:rsid w:val="20E71F9A"/>
    <w:rsid w:val="20F546B7"/>
    <w:rsid w:val="20FA7F20"/>
    <w:rsid w:val="20FC7BA4"/>
    <w:rsid w:val="20FF72E4"/>
    <w:rsid w:val="21025026"/>
    <w:rsid w:val="21115269"/>
    <w:rsid w:val="21134B3E"/>
    <w:rsid w:val="21162880"/>
    <w:rsid w:val="213A031C"/>
    <w:rsid w:val="214473ED"/>
    <w:rsid w:val="215238B8"/>
    <w:rsid w:val="215313DE"/>
    <w:rsid w:val="21555156"/>
    <w:rsid w:val="217750CC"/>
    <w:rsid w:val="217F21D3"/>
    <w:rsid w:val="2181181C"/>
    <w:rsid w:val="21891265"/>
    <w:rsid w:val="21937A2C"/>
    <w:rsid w:val="219E6AFD"/>
    <w:rsid w:val="21A525BC"/>
    <w:rsid w:val="21B76AE0"/>
    <w:rsid w:val="21CD6779"/>
    <w:rsid w:val="21D06ED2"/>
    <w:rsid w:val="21D7200F"/>
    <w:rsid w:val="21D95D87"/>
    <w:rsid w:val="21E367AA"/>
    <w:rsid w:val="21F26E49"/>
    <w:rsid w:val="21F375E0"/>
    <w:rsid w:val="21FF3314"/>
    <w:rsid w:val="21FF50C2"/>
    <w:rsid w:val="22001566"/>
    <w:rsid w:val="220426D8"/>
    <w:rsid w:val="220B7F0B"/>
    <w:rsid w:val="22105521"/>
    <w:rsid w:val="22200A78"/>
    <w:rsid w:val="22347461"/>
    <w:rsid w:val="223C6316"/>
    <w:rsid w:val="224859F5"/>
    <w:rsid w:val="224B0307"/>
    <w:rsid w:val="22596EC8"/>
    <w:rsid w:val="225D0766"/>
    <w:rsid w:val="226D4721"/>
    <w:rsid w:val="227B6E3E"/>
    <w:rsid w:val="22853819"/>
    <w:rsid w:val="228C2DF9"/>
    <w:rsid w:val="228F6446"/>
    <w:rsid w:val="22A46395"/>
    <w:rsid w:val="22A8574C"/>
    <w:rsid w:val="22AD4B1E"/>
    <w:rsid w:val="22C2681B"/>
    <w:rsid w:val="22C407E5"/>
    <w:rsid w:val="22CF0F38"/>
    <w:rsid w:val="22D81D21"/>
    <w:rsid w:val="22D93B65"/>
    <w:rsid w:val="22DF561F"/>
    <w:rsid w:val="22E91FFA"/>
    <w:rsid w:val="22EC1AEA"/>
    <w:rsid w:val="22F4274D"/>
    <w:rsid w:val="23075220"/>
    <w:rsid w:val="231352C9"/>
    <w:rsid w:val="231828DF"/>
    <w:rsid w:val="23305E7B"/>
    <w:rsid w:val="233A4603"/>
    <w:rsid w:val="233D40F4"/>
    <w:rsid w:val="234E6301"/>
    <w:rsid w:val="23594841"/>
    <w:rsid w:val="23700025"/>
    <w:rsid w:val="23713D9D"/>
    <w:rsid w:val="237B69CA"/>
    <w:rsid w:val="23962576"/>
    <w:rsid w:val="23A83C63"/>
    <w:rsid w:val="23AF407D"/>
    <w:rsid w:val="23B1063E"/>
    <w:rsid w:val="23B343B6"/>
    <w:rsid w:val="23B51EDC"/>
    <w:rsid w:val="23BD5235"/>
    <w:rsid w:val="23BE3486"/>
    <w:rsid w:val="23D5432C"/>
    <w:rsid w:val="23DA1943"/>
    <w:rsid w:val="23E40A13"/>
    <w:rsid w:val="23F549CE"/>
    <w:rsid w:val="240E783E"/>
    <w:rsid w:val="2426102C"/>
    <w:rsid w:val="24284DA4"/>
    <w:rsid w:val="24373239"/>
    <w:rsid w:val="24386EC6"/>
    <w:rsid w:val="24392B0D"/>
    <w:rsid w:val="243F3E9B"/>
    <w:rsid w:val="244020ED"/>
    <w:rsid w:val="244F0582"/>
    <w:rsid w:val="245D5EB9"/>
    <w:rsid w:val="246062EC"/>
    <w:rsid w:val="24637B8A"/>
    <w:rsid w:val="24651B54"/>
    <w:rsid w:val="246F4781"/>
    <w:rsid w:val="248A5117"/>
    <w:rsid w:val="24945F95"/>
    <w:rsid w:val="24977834"/>
    <w:rsid w:val="24AA3A0B"/>
    <w:rsid w:val="24B108F5"/>
    <w:rsid w:val="24BB1774"/>
    <w:rsid w:val="24C06D8A"/>
    <w:rsid w:val="24CC5C1F"/>
    <w:rsid w:val="24D10F97"/>
    <w:rsid w:val="24F44C86"/>
    <w:rsid w:val="24F9229C"/>
    <w:rsid w:val="250C1FD0"/>
    <w:rsid w:val="25194ECF"/>
    <w:rsid w:val="251B2213"/>
    <w:rsid w:val="25203CCD"/>
    <w:rsid w:val="2527505B"/>
    <w:rsid w:val="25290DD3"/>
    <w:rsid w:val="252E63EA"/>
    <w:rsid w:val="25311A36"/>
    <w:rsid w:val="254A0D4A"/>
    <w:rsid w:val="257302A1"/>
    <w:rsid w:val="257D4C7B"/>
    <w:rsid w:val="25853522"/>
    <w:rsid w:val="258E6E89"/>
    <w:rsid w:val="25983863"/>
    <w:rsid w:val="25A0096A"/>
    <w:rsid w:val="25A4045A"/>
    <w:rsid w:val="25BA5ED0"/>
    <w:rsid w:val="25BF5294"/>
    <w:rsid w:val="25BF7042"/>
    <w:rsid w:val="25C44658"/>
    <w:rsid w:val="25D7082F"/>
    <w:rsid w:val="25E22D30"/>
    <w:rsid w:val="25E940BF"/>
    <w:rsid w:val="25EE5B79"/>
    <w:rsid w:val="26051C13"/>
    <w:rsid w:val="26064C71"/>
    <w:rsid w:val="26085158"/>
    <w:rsid w:val="263712CE"/>
    <w:rsid w:val="263F0183"/>
    <w:rsid w:val="26485289"/>
    <w:rsid w:val="26571970"/>
    <w:rsid w:val="2659233E"/>
    <w:rsid w:val="265A6D6B"/>
    <w:rsid w:val="266100F9"/>
    <w:rsid w:val="26633A17"/>
    <w:rsid w:val="2670658E"/>
    <w:rsid w:val="267A740D"/>
    <w:rsid w:val="268169ED"/>
    <w:rsid w:val="26936BE5"/>
    <w:rsid w:val="26955FF5"/>
    <w:rsid w:val="26B172D2"/>
    <w:rsid w:val="26B75F6B"/>
    <w:rsid w:val="26B96187"/>
    <w:rsid w:val="26BE554B"/>
    <w:rsid w:val="26C03072"/>
    <w:rsid w:val="26CD1C32"/>
    <w:rsid w:val="26CD6F7F"/>
    <w:rsid w:val="26D134D1"/>
    <w:rsid w:val="26E33204"/>
    <w:rsid w:val="26E50D2A"/>
    <w:rsid w:val="26EA6341"/>
    <w:rsid w:val="26ED5E31"/>
    <w:rsid w:val="26ED7BDF"/>
    <w:rsid w:val="26F7280B"/>
    <w:rsid w:val="26FC6074"/>
    <w:rsid w:val="27066B06"/>
    <w:rsid w:val="27070CA1"/>
    <w:rsid w:val="271138CD"/>
    <w:rsid w:val="27225ADA"/>
    <w:rsid w:val="27231852"/>
    <w:rsid w:val="27277FAE"/>
    <w:rsid w:val="272F01F7"/>
    <w:rsid w:val="272F1FA5"/>
    <w:rsid w:val="27427F2B"/>
    <w:rsid w:val="274E52FB"/>
    <w:rsid w:val="27565784"/>
    <w:rsid w:val="2762237B"/>
    <w:rsid w:val="276B6DDD"/>
    <w:rsid w:val="2775024B"/>
    <w:rsid w:val="27767BD4"/>
    <w:rsid w:val="277976C4"/>
    <w:rsid w:val="277B168E"/>
    <w:rsid w:val="278247CB"/>
    <w:rsid w:val="27B150B0"/>
    <w:rsid w:val="27D05536"/>
    <w:rsid w:val="27E72880"/>
    <w:rsid w:val="2802590C"/>
    <w:rsid w:val="280D12AA"/>
    <w:rsid w:val="280E42B1"/>
    <w:rsid w:val="28164F13"/>
    <w:rsid w:val="281C69CE"/>
    <w:rsid w:val="28277120"/>
    <w:rsid w:val="282B4E63"/>
    <w:rsid w:val="282D0BDB"/>
    <w:rsid w:val="28447CD2"/>
    <w:rsid w:val="28481E02"/>
    <w:rsid w:val="28642123"/>
    <w:rsid w:val="28650375"/>
    <w:rsid w:val="286F2FA1"/>
    <w:rsid w:val="28773C04"/>
    <w:rsid w:val="287E1436"/>
    <w:rsid w:val="28862099"/>
    <w:rsid w:val="288A7DDB"/>
    <w:rsid w:val="2899001E"/>
    <w:rsid w:val="28A2470F"/>
    <w:rsid w:val="28A30E9D"/>
    <w:rsid w:val="28AD1D1C"/>
    <w:rsid w:val="28AF339E"/>
    <w:rsid w:val="28B906C0"/>
    <w:rsid w:val="28CC03F4"/>
    <w:rsid w:val="28E079FB"/>
    <w:rsid w:val="28EA6ACC"/>
    <w:rsid w:val="28EB63A0"/>
    <w:rsid w:val="290C07F0"/>
    <w:rsid w:val="290D2E15"/>
    <w:rsid w:val="291901A2"/>
    <w:rsid w:val="2944442E"/>
    <w:rsid w:val="29451F54"/>
    <w:rsid w:val="294A1318"/>
    <w:rsid w:val="295553C3"/>
    <w:rsid w:val="29673C78"/>
    <w:rsid w:val="2973261D"/>
    <w:rsid w:val="297840D8"/>
    <w:rsid w:val="297E234F"/>
    <w:rsid w:val="29842A7C"/>
    <w:rsid w:val="29883BEF"/>
    <w:rsid w:val="298F1421"/>
    <w:rsid w:val="299018E8"/>
    <w:rsid w:val="29A9603F"/>
    <w:rsid w:val="29AC7D37"/>
    <w:rsid w:val="29AF73CD"/>
    <w:rsid w:val="29B35110"/>
    <w:rsid w:val="29BA649E"/>
    <w:rsid w:val="29BF3AB4"/>
    <w:rsid w:val="29C015DB"/>
    <w:rsid w:val="29CF181E"/>
    <w:rsid w:val="29D67050"/>
    <w:rsid w:val="29F64FFC"/>
    <w:rsid w:val="29FA689B"/>
    <w:rsid w:val="2A102562"/>
    <w:rsid w:val="2A137E8B"/>
    <w:rsid w:val="2A1A0CEB"/>
    <w:rsid w:val="2A1B4A63"/>
    <w:rsid w:val="2A1C0F07"/>
    <w:rsid w:val="2A1C2CB5"/>
    <w:rsid w:val="2A1D6A2D"/>
    <w:rsid w:val="2A1E3946"/>
    <w:rsid w:val="2A273408"/>
    <w:rsid w:val="2A2B739C"/>
    <w:rsid w:val="2A2C0A1E"/>
    <w:rsid w:val="2A3049B2"/>
    <w:rsid w:val="2A351FC9"/>
    <w:rsid w:val="2A3C3357"/>
    <w:rsid w:val="2A473AAA"/>
    <w:rsid w:val="2A497822"/>
    <w:rsid w:val="2A5C1303"/>
    <w:rsid w:val="2A663F30"/>
    <w:rsid w:val="2A697EC4"/>
    <w:rsid w:val="2A7C3754"/>
    <w:rsid w:val="2A8820F8"/>
    <w:rsid w:val="2A905451"/>
    <w:rsid w:val="2A9767DF"/>
    <w:rsid w:val="2A9E7B6E"/>
    <w:rsid w:val="2AB327AA"/>
    <w:rsid w:val="2AB729DE"/>
    <w:rsid w:val="2AC375D4"/>
    <w:rsid w:val="2AE17A5A"/>
    <w:rsid w:val="2AEF2177"/>
    <w:rsid w:val="2B0379D1"/>
    <w:rsid w:val="2B0A0D5F"/>
    <w:rsid w:val="2B0F45C8"/>
    <w:rsid w:val="2B230073"/>
    <w:rsid w:val="2B2A1401"/>
    <w:rsid w:val="2B4D50F0"/>
    <w:rsid w:val="2B726905"/>
    <w:rsid w:val="2B746B21"/>
    <w:rsid w:val="2B7A5F62"/>
    <w:rsid w:val="2B7D5DD5"/>
    <w:rsid w:val="2B874C0D"/>
    <w:rsid w:val="2B91322F"/>
    <w:rsid w:val="2B966A97"/>
    <w:rsid w:val="2B9B22FF"/>
    <w:rsid w:val="2BA271EA"/>
    <w:rsid w:val="2BA967CA"/>
    <w:rsid w:val="2BAD5B8F"/>
    <w:rsid w:val="2BB313F7"/>
    <w:rsid w:val="2BB331A5"/>
    <w:rsid w:val="2BBD04C8"/>
    <w:rsid w:val="2BC5112A"/>
    <w:rsid w:val="2BD575BF"/>
    <w:rsid w:val="2BDD6474"/>
    <w:rsid w:val="2BE94E19"/>
    <w:rsid w:val="2C0175AB"/>
    <w:rsid w:val="2C131E96"/>
    <w:rsid w:val="2C267E1B"/>
    <w:rsid w:val="2C2B3683"/>
    <w:rsid w:val="2C2C11A9"/>
    <w:rsid w:val="2C5A7AC4"/>
    <w:rsid w:val="2C5D75B5"/>
    <w:rsid w:val="2C640943"/>
    <w:rsid w:val="2C697D08"/>
    <w:rsid w:val="2C70553A"/>
    <w:rsid w:val="2C7152FF"/>
    <w:rsid w:val="2C73502A"/>
    <w:rsid w:val="2C755F83"/>
    <w:rsid w:val="2C772424"/>
    <w:rsid w:val="2C8E59C0"/>
    <w:rsid w:val="2C8E776E"/>
    <w:rsid w:val="2C950AFD"/>
    <w:rsid w:val="2C9805ED"/>
    <w:rsid w:val="2C9D688B"/>
    <w:rsid w:val="2CA23219"/>
    <w:rsid w:val="2CAF6062"/>
    <w:rsid w:val="2CBB002A"/>
    <w:rsid w:val="2CC87124"/>
    <w:rsid w:val="2CDD2306"/>
    <w:rsid w:val="2CDF446E"/>
    <w:rsid w:val="2CE81574"/>
    <w:rsid w:val="2CE90E48"/>
    <w:rsid w:val="2CF021D7"/>
    <w:rsid w:val="2D031F0A"/>
    <w:rsid w:val="2D157E8F"/>
    <w:rsid w:val="2D1C121E"/>
    <w:rsid w:val="2D242EC8"/>
    <w:rsid w:val="2D300825"/>
    <w:rsid w:val="2D39592C"/>
    <w:rsid w:val="2D412A32"/>
    <w:rsid w:val="2D4C1B03"/>
    <w:rsid w:val="2D50340F"/>
    <w:rsid w:val="2D546C0A"/>
    <w:rsid w:val="2D572256"/>
    <w:rsid w:val="2D574004"/>
    <w:rsid w:val="2D6D3827"/>
    <w:rsid w:val="2D834DF9"/>
    <w:rsid w:val="2D9139BA"/>
    <w:rsid w:val="2DAF2092"/>
    <w:rsid w:val="2DB9081B"/>
    <w:rsid w:val="2DBB5BDA"/>
    <w:rsid w:val="2DC378EB"/>
    <w:rsid w:val="2DDB3F6C"/>
    <w:rsid w:val="2DE41D3C"/>
    <w:rsid w:val="2E0028ED"/>
    <w:rsid w:val="2E075A2A"/>
    <w:rsid w:val="2E156399"/>
    <w:rsid w:val="2E1E4B22"/>
    <w:rsid w:val="2E292B12"/>
    <w:rsid w:val="2E2C36E3"/>
    <w:rsid w:val="2E2C723F"/>
    <w:rsid w:val="2E3D144C"/>
    <w:rsid w:val="2E4C168F"/>
    <w:rsid w:val="2E662DF3"/>
    <w:rsid w:val="2E76670C"/>
    <w:rsid w:val="2E8452CD"/>
    <w:rsid w:val="2E894691"/>
    <w:rsid w:val="2E9A064C"/>
    <w:rsid w:val="2EA74B17"/>
    <w:rsid w:val="2EAE5EA6"/>
    <w:rsid w:val="2EB536D8"/>
    <w:rsid w:val="2EC456C9"/>
    <w:rsid w:val="2EC8340B"/>
    <w:rsid w:val="2ECE479A"/>
    <w:rsid w:val="2ED578D6"/>
    <w:rsid w:val="2EE43FBD"/>
    <w:rsid w:val="2EEB6188"/>
    <w:rsid w:val="2EFA558F"/>
    <w:rsid w:val="2EFC4E63"/>
    <w:rsid w:val="2EFE6E2D"/>
    <w:rsid w:val="2EFF0195"/>
    <w:rsid w:val="2F041F69"/>
    <w:rsid w:val="2F065CE2"/>
    <w:rsid w:val="2F097580"/>
    <w:rsid w:val="2F133481"/>
    <w:rsid w:val="2F285C58"/>
    <w:rsid w:val="2F2B1BEC"/>
    <w:rsid w:val="2F48454C"/>
    <w:rsid w:val="2F490659"/>
    <w:rsid w:val="2F4D3910"/>
    <w:rsid w:val="2F633134"/>
    <w:rsid w:val="2F662C24"/>
    <w:rsid w:val="2F7215C9"/>
    <w:rsid w:val="2F7B047E"/>
    <w:rsid w:val="2F7E3ACA"/>
    <w:rsid w:val="2F832EF4"/>
    <w:rsid w:val="2F8D1F5F"/>
    <w:rsid w:val="2F9A4B34"/>
    <w:rsid w:val="2F9E23BE"/>
    <w:rsid w:val="2FA31782"/>
    <w:rsid w:val="2FB35E69"/>
    <w:rsid w:val="2FBB6ACC"/>
    <w:rsid w:val="2FC50F6B"/>
    <w:rsid w:val="2FFB336C"/>
    <w:rsid w:val="30032221"/>
    <w:rsid w:val="300C7328"/>
    <w:rsid w:val="3025488D"/>
    <w:rsid w:val="30313232"/>
    <w:rsid w:val="3038636F"/>
    <w:rsid w:val="303B5E5F"/>
    <w:rsid w:val="304271ED"/>
    <w:rsid w:val="304E7940"/>
    <w:rsid w:val="30556F21"/>
    <w:rsid w:val="305634D0"/>
    <w:rsid w:val="305807BF"/>
    <w:rsid w:val="30607673"/>
    <w:rsid w:val="30711881"/>
    <w:rsid w:val="30782C0F"/>
    <w:rsid w:val="308A649E"/>
    <w:rsid w:val="309A30B2"/>
    <w:rsid w:val="30A47560"/>
    <w:rsid w:val="30A532D8"/>
    <w:rsid w:val="30A9726C"/>
    <w:rsid w:val="30B005FB"/>
    <w:rsid w:val="30D20571"/>
    <w:rsid w:val="30D37E45"/>
    <w:rsid w:val="30DD6F16"/>
    <w:rsid w:val="30FA3624"/>
    <w:rsid w:val="30FC739C"/>
    <w:rsid w:val="310E09E9"/>
    <w:rsid w:val="311F752F"/>
    <w:rsid w:val="312B1A2F"/>
    <w:rsid w:val="312B5ED3"/>
    <w:rsid w:val="312F7772"/>
    <w:rsid w:val="313034EA"/>
    <w:rsid w:val="313A7EC4"/>
    <w:rsid w:val="31466869"/>
    <w:rsid w:val="314D7BF8"/>
    <w:rsid w:val="316311C9"/>
    <w:rsid w:val="31644F41"/>
    <w:rsid w:val="31750EFD"/>
    <w:rsid w:val="317A6513"/>
    <w:rsid w:val="317C04DD"/>
    <w:rsid w:val="317E24A7"/>
    <w:rsid w:val="31832FA6"/>
    <w:rsid w:val="318F1FBE"/>
    <w:rsid w:val="31A51BCB"/>
    <w:rsid w:val="31BB7257"/>
    <w:rsid w:val="31DE2F46"/>
    <w:rsid w:val="31E0281A"/>
    <w:rsid w:val="31E57E30"/>
    <w:rsid w:val="31E71DFA"/>
    <w:rsid w:val="31F2254D"/>
    <w:rsid w:val="31FB58A6"/>
    <w:rsid w:val="32056724"/>
    <w:rsid w:val="32087FC3"/>
    <w:rsid w:val="321E4CC7"/>
    <w:rsid w:val="3220355E"/>
    <w:rsid w:val="322841C1"/>
    <w:rsid w:val="322946C9"/>
    <w:rsid w:val="322966CA"/>
    <w:rsid w:val="322F554F"/>
    <w:rsid w:val="32333292"/>
    <w:rsid w:val="323963CE"/>
    <w:rsid w:val="323D7C6C"/>
    <w:rsid w:val="324C6101"/>
    <w:rsid w:val="324E00CB"/>
    <w:rsid w:val="3264169D"/>
    <w:rsid w:val="326C2300"/>
    <w:rsid w:val="326F1DF0"/>
    <w:rsid w:val="328A6C2A"/>
    <w:rsid w:val="32AF737A"/>
    <w:rsid w:val="32B048E2"/>
    <w:rsid w:val="32B36180"/>
    <w:rsid w:val="32BA12BD"/>
    <w:rsid w:val="32BB5035"/>
    <w:rsid w:val="32BD0DAD"/>
    <w:rsid w:val="32BD70E3"/>
    <w:rsid w:val="32BF0681"/>
    <w:rsid w:val="32CC2D9E"/>
    <w:rsid w:val="32CE4D68"/>
    <w:rsid w:val="32E20814"/>
    <w:rsid w:val="32E53E60"/>
    <w:rsid w:val="32E77BD8"/>
    <w:rsid w:val="32EC51EE"/>
    <w:rsid w:val="33010C9A"/>
    <w:rsid w:val="33030EB6"/>
    <w:rsid w:val="33093940"/>
    <w:rsid w:val="330D3AE3"/>
    <w:rsid w:val="33150BE9"/>
    <w:rsid w:val="33184235"/>
    <w:rsid w:val="331C3D26"/>
    <w:rsid w:val="332130EA"/>
    <w:rsid w:val="33240E2C"/>
    <w:rsid w:val="333A7FDD"/>
    <w:rsid w:val="334E7C57"/>
    <w:rsid w:val="336D4581"/>
    <w:rsid w:val="337771AE"/>
    <w:rsid w:val="33890C8F"/>
    <w:rsid w:val="339935C8"/>
    <w:rsid w:val="339B7340"/>
    <w:rsid w:val="33A04957"/>
    <w:rsid w:val="33B63FE8"/>
    <w:rsid w:val="33C30645"/>
    <w:rsid w:val="33C33309"/>
    <w:rsid w:val="33D463AE"/>
    <w:rsid w:val="33D97E69"/>
    <w:rsid w:val="33E800AC"/>
    <w:rsid w:val="33ED7470"/>
    <w:rsid w:val="33F97BC3"/>
    <w:rsid w:val="3411315F"/>
    <w:rsid w:val="34140EA1"/>
    <w:rsid w:val="341E7629"/>
    <w:rsid w:val="3421711A"/>
    <w:rsid w:val="346E18ED"/>
    <w:rsid w:val="347E456C"/>
    <w:rsid w:val="34825E0A"/>
    <w:rsid w:val="348C0A37"/>
    <w:rsid w:val="3491429F"/>
    <w:rsid w:val="349873DC"/>
    <w:rsid w:val="349A75F8"/>
    <w:rsid w:val="34CC3529"/>
    <w:rsid w:val="34D4418C"/>
    <w:rsid w:val="34D50630"/>
    <w:rsid w:val="34D66156"/>
    <w:rsid w:val="34E209C6"/>
    <w:rsid w:val="34E42621"/>
    <w:rsid w:val="34EC7728"/>
    <w:rsid w:val="34F77B28"/>
    <w:rsid w:val="35020CF9"/>
    <w:rsid w:val="35132F06"/>
    <w:rsid w:val="351F5D4F"/>
    <w:rsid w:val="35335357"/>
    <w:rsid w:val="35380BBF"/>
    <w:rsid w:val="353D61D5"/>
    <w:rsid w:val="35472BB0"/>
    <w:rsid w:val="354D466A"/>
    <w:rsid w:val="354E03E2"/>
    <w:rsid w:val="35505F08"/>
    <w:rsid w:val="355157DD"/>
    <w:rsid w:val="35576E7F"/>
    <w:rsid w:val="356069DD"/>
    <w:rsid w:val="35611EC4"/>
    <w:rsid w:val="35683252"/>
    <w:rsid w:val="356B4AF0"/>
    <w:rsid w:val="3579545F"/>
    <w:rsid w:val="35867B7C"/>
    <w:rsid w:val="358E6A31"/>
    <w:rsid w:val="35926521"/>
    <w:rsid w:val="35944047"/>
    <w:rsid w:val="3598340C"/>
    <w:rsid w:val="359E55F9"/>
    <w:rsid w:val="35A06DAC"/>
    <w:rsid w:val="35A3428A"/>
    <w:rsid w:val="35A857D6"/>
    <w:rsid w:val="35BA52BE"/>
    <w:rsid w:val="35BB5A78"/>
    <w:rsid w:val="35C81F43"/>
    <w:rsid w:val="35CA4616"/>
    <w:rsid w:val="35DE52C2"/>
    <w:rsid w:val="35E623C9"/>
    <w:rsid w:val="35E87EEF"/>
    <w:rsid w:val="35F44AE6"/>
    <w:rsid w:val="360D204B"/>
    <w:rsid w:val="36162CAE"/>
    <w:rsid w:val="362F5B1E"/>
    <w:rsid w:val="363B44C3"/>
    <w:rsid w:val="36405F7D"/>
    <w:rsid w:val="364C66D0"/>
    <w:rsid w:val="364D2448"/>
    <w:rsid w:val="365C268B"/>
    <w:rsid w:val="36617474"/>
    <w:rsid w:val="36624145"/>
    <w:rsid w:val="3667175C"/>
    <w:rsid w:val="3668693C"/>
    <w:rsid w:val="366B28CE"/>
    <w:rsid w:val="366C0B20"/>
    <w:rsid w:val="367B0D63"/>
    <w:rsid w:val="36835E6A"/>
    <w:rsid w:val="36851BE2"/>
    <w:rsid w:val="36873BAC"/>
    <w:rsid w:val="36883480"/>
    <w:rsid w:val="368C4D1E"/>
    <w:rsid w:val="36965B9D"/>
    <w:rsid w:val="36A01C80"/>
    <w:rsid w:val="36A93B22"/>
    <w:rsid w:val="36AF6C5F"/>
    <w:rsid w:val="36B204FD"/>
    <w:rsid w:val="36B349A1"/>
    <w:rsid w:val="36B9188B"/>
    <w:rsid w:val="36C7044C"/>
    <w:rsid w:val="36C872FA"/>
    <w:rsid w:val="36DC537E"/>
    <w:rsid w:val="36DD5106"/>
    <w:rsid w:val="36DF5796"/>
    <w:rsid w:val="36EC7EB3"/>
    <w:rsid w:val="36F32FEF"/>
    <w:rsid w:val="370A0339"/>
    <w:rsid w:val="37392328"/>
    <w:rsid w:val="373A6E70"/>
    <w:rsid w:val="373F7FE3"/>
    <w:rsid w:val="37441A9D"/>
    <w:rsid w:val="37500502"/>
    <w:rsid w:val="375C6DE7"/>
    <w:rsid w:val="37607F59"/>
    <w:rsid w:val="376932B2"/>
    <w:rsid w:val="378123A9"/>
    <w:rsid w:val="378A0189"/>
    <w:rsid w:val="378B3228"/>
    <w:rsid w:val="378D6FA0"/>
    <w:rsid w:val="37926ED3"/>
    <w:rsid w:val="37AB5678"/>
    <w:rsid w:val="37AC435C"/>
    <w:rsid w:val="37AE5168"/>
    <w:rsid w:val="37BE35FD"/>
    <w:rsid w:val="37C26D2D"/>
    <w:rsid w:val="37C624B2"/>
    <w:rsid w:val="37DA41AF"/>
    <w:rsid w:val="37E42938"/>
    <w:rsid w:val="37E64902"/>
    <w:rsid w:val="37ED3EE3"/>
    <w:rsid w:val="37F0752F"/>
    <w:rsid w:val="37F7266B"/>
    <w:rsid w:val="37FB65FF"/>
    <w:rsid w:val="380A05F1"/>
    <w:rsid w:val="3814146F"/>
    <w:rsid w:val="38211DDE"/>
    <w:rsid w:val="382A0C93"/>
    <w:rsid w:val="382F0057"/>
    <w:rsid w:val="38334452"/>
    <w:rsid w:val="38341B11"/>
    <w:rsid w:val="383733B0"/>
    <w:rsid w:val="38390ED6"/>
    <w:rsid w:val="38393973"/>
    <w:rsid w:val="38451629"/>
    <w:rsid w:val="384B29B7"/>
    <w:rsid w:val="38683569"/>
    <w:rsid w:val="387E0FDF"/>
    <w:rsid w:val="38803573"/>
    <w:rsid w:val="388F4F9A"/>
    <w:rsid w:val="389B393F"/>
    <w:rsid w:val="38A345A1"/>
    <w:rsid w:val="38A81BB8"/>
    <w:rsid w:val="38AF73EA"/>
    <w:rsid w:val="38B93DC5"/>
    <w:rsid w:val="38C20ECB"/>
    <w:rsid w:val="38D17360"/>
    <w:rsid w:val="38D34E86"/>
    <w:rsid w:val="38D8249D"/>
    <w:rsid w:val="38E56968"/>
    <w:rsid w:val="38E76B84"/>
    <w:rsid w:val="38EE7F12"/>
    <w:rsid w:val="38F848ED"/>
    <w:rsid w:val="39033292"/>
    <w:rsid w:val="390B403D"/>
    <w:rsid w:val="390E5784"/>
    <w:rsid w:val="39276F80"/>
    <w:rsid w:val="39332945"/>
    <w:rsid w:val="39364146"/>
    <w:rsid w:val="39365415"/>
    <w:rsid w:val="39382F3B"/>
    <w:rsid w:val="39461AFC"/>
    <w:rsid w:val="394915ED"/>
    <w:rsid w:val="394A2C6F"/>
    <w:rsid w:val="3951224F"/>
    <w:rsid w:val="39663F4D"/>
    <w:rsid w:val="39674C8B"/>
    <w:rsid w:val="39730417"/>
    <w:rsid w:val="397B72CC"/>
    <w:rsid w:val="3982065B"/>
    <w:rsid w:val="3986639D"/>
    <w:rsid w:val="39897C3B"/>
    <w:rsid w:val="399A178F"/>
    <w:rsid w:val="399A1E48"/>
    <w:rsid w:val="39A6259B"/>
    <w:rsid w:val="39A763EE"/>
    <w:rsid w:val="39AC56D7"/>
    <w:rsid w:val="39B8407C"/>
    <w:rsid w:val="39CE564E"/>
    <w:rsid w:val="39D215E2"/>
    <w:rsid w:val="39D54C2E"/>
    <w:rsid w:val="39F03816"/>
    <w:rsid w:val="39FC21BB"/>
    <w:rsid w:val="3A03179B"/>
    <w:rsid w:val="3A0E0A46"/>
    <w:rsid w:val="3A1219DE"/>
    <w:rsid w:val="3A1F234D"/>
    <w:rsid w:val="3A2A31CC"/>
    <w:rsid w:val="3A2B6F44"/>
    <w:rsid w:val="3A2E5D93"/>
    <w:rsid w:val="3A325BDD"/>
    <w:rsid w:val="3A326270"/>
    <w:rsid w:val="3A3758E9"/>
    <w:rsid w:val="3A465B2C"/>
    <w:rsid w:val="3A4D2A17"/>
    <w:rsid w:val="3A4F678F"/>
    <w:rsid w:val="3A574785"/>
    <w:rsid w:val="3A5F274A"/>
    <w:rsid w:val="3A6C5593"/>
    <w:rsid w:val="3A6F0BDF"/>
    <w:rsid w:val="3A704957"/>
    <w:rsid w:val="3A7B3A28"/>
    <w:rsid w:val="3A916ECC"/>
    <w:rsid w:val="3A9C574C"/>
    <w:rsid w:val="3AA36ADA"/>
    <w:rsid w:val="3AA840F1"/>
    <w:rsid w:val="3AB40CE8"/>
    <w:rsid w:val="3AC0768C"/>
    <w:rsid w:val="3AC151B3"/>
    <w:rsid w:val="3AC56A51"/>
    <w:rsid w:val="3AC76C6D"/>
    <w:rsid w:val="3AD924FC"/>
    <w:rsid w:val="3ADC3D9A"/>
    <w:rsid w:val="3AE570F3"/>
    <w:rsid w:val="3AE96BE3"/>
    <w:rsid w:val="3AF15616"/>
    <w:rsid w:val="3AF37A62"/>
    <w:rsid w:val="3AF410E4"/>
    <w:rsid w:val="3AF61300"/>
    <w:rsid w:val="3AF85078"/>
    <w:rsid w:val="3B027CA5"/>
    <w:rsid w:val="3B097ED6"/>
    <w:rsid w:val="3B1D4ADF"/>
    <w:rsid w:val="3B2A0FAA"/>
    <w:rsid w:val="3B2C087E"/>
    <w:rsid w:val="3B351E28"/>
    <w:rsid w:val="3B540F72"/>
    <w:rsid w:val="3B6444BC"/>
    <w:rsid w:val="3B64626A"/>
    <w:rsid w:val="3B6B0AF2"/>
    <w:rsid w:val="3BA15B6E"/>
    <w:rsid w:val="3BC62A80"/>
    <w:rsid w:val="3BE13D5E"/>
    <w:rsid w:val="3BE92C13"/>
    <w:rsid w:val="3BF176A1"/>
    <w:rsid w:val="3BF3370C"/>
    <w:rsid w:val="3BF70E8C"/>
    <w:rsid w:val="3C017F5D"/>
    <w:rsid w:val="3C096E11"/>
    <w:rsid w:val="3C12216A"/>
    <w:rsid w:val="3C265C15"/>
    <w:rsid w:val="3C325A68"/>
    <w:rsid w:val="3C3814A4"/>
    <w:rsid w:val="3C3C71E7"/>
    <w:rsid w:val="3C44609B"/>
    <w:rsid w:val="3C4B11D8"/>
    <w:rsid w:val="3C4D4F50"/>
    <w:rsid w:val="3C5C5193"/>
    <w:rsid w:val="3C687FDC"/>
    <w:rsid w:val="3C6F608F"/>
    <w:rsid w:val="3C715CC0"/>
    <w:rsid w:val="3C746980"/>
    <w:rsid w:val="3C7526A2"/>
    <w:rsid w:val="3C7E77FF"/>
    <w:rsid w:val="3C940DD1"/>
    <w:rsid w:val="3CAB1C76"/>
    <w:rsid w:val="3CC82828"/>
    <w:rsid w:val="3CCF005B"/>
    <w:rsid w:val="3CD15B81"/>
    <w:rsid w:val="3CD70CBD"/>
    <w:rsid w:val="3CEB6517"/>
    <w:rsid w:val="3CF67E76"/>
    <w:rsid w:val="3CFB0E50"/>
    <w:rsid w:val="3CFC0724"/>
    <w:rsid w:val="3CFC24D2"/>
    <w:rsid w:val="3D073351"/>
    <w:rsid w:val="3D0D2931"/>
    <w:rsid w:val="3D115F7D"/>
    <w:rsid w:val="3D3B2FFA"/>
    <w:rsid w:val="3D3B749E"/>
    <w:rsid w:val="3D3D6D72"/>
    <w:rsid w:val="3D404A98"/>
    <w:rsid w:val="3D404AB5"/>
    <w:rsid w:val="3D4520CB"/>
    <w:rsid w:val="3D4C681A"/>
    <w:rsid w:val="3D51346C"/>
    <w:rsid w:val="3D540560"/>
    <w:rsid w:val="3D5440BC"/>
    <w:rsid w:val="3D58666B"/>
    <w:rsid w:val="3D5D5666"/>
    <w:rsid w:val="3D7E738B"/>
    <w:rsid w:val="3D8A3557"/>
    <w:rsid w:val="3D8E5820"/>
    <w:rsid w:val="3D996B25"/>
    <w:rsid w:val="3DBF07FA"/>
    <w:rsid w:val="3DDB658B"/>
    <w:rsid w:val="3DFD6502"/>
    <w:rsid w:val="3E045BE9"/>
    <w:rsid w:val="3E063608"/>
    <w:rsid w:val="3E1201FF"/>
    <w:rsid w:val="3E157CEF"/>
    <w:rsid w:val="3E1C1B38"/>
    <w:rsid w:val="3E24344E"/>
    <w:rsid w:val="3E2C6DE7"/>
    <w:rsid w:val="3E2D328B"/>
    <w:rsid w:val="3E345A47"/>
    <w:rsid w:val="3E43485C"/>
    <w:rsid w:val="3E43589F"/>
    <w:rsid w:val="3E4B3711"/>
    <w:rsid w:val="3E524A9F"/>
    <w:rsid w:val="3E52684D"/>
    <w:rsid w:val="3E557A55"/>
    <w:rsid w:val="3E6D18D9"/>
    <w:rsid w:val="3E7A2248"/>
    <w:rsid w:val="3EA6733F"/>
    <w:rsid w:val="3EAE5A4E"/>
    <w:rsid w:val="3EB23790"/>
    <w:rsid w:val="3EBA43F3"/>
    <w:rsid w:val="3EBC3B56"/>
    <w:rsid w:val="3EC6733A"/>
    <w:rsid w:val="3ED100BA"/>
    <w:rsid w:val="3EDC080D"/>
    <w:rsid w:val="3EEA117C"/>
    <w:rsid w:val="3EEF22EE"/>
    <w:rsid w:val="3EF45B57"/>
    <w:rsid w:val="3EF913BF"/>
    <w:rsid w:val="3F051B12"/>
    <w:rsid w:val="3F0A35CC"/>
    <w:rsid w:val="3F163D1F"/>
    <w:rsid w:val="3F171845"/>
    <w:rsid w:val="3F185CE9"/>
    <w:rsid w:val="3F1955BD"/>
    <w:rsid w:val="3F2301EA"/>
    <w:rsid w:val="3F3E6DD2"/>
    <w:rsid w:val="3F487C50"/>
    <w:rsid w:val="3F4E1470"/>
    <w:rsid w:val="3F5860E5"/>
    <w:rsid w:val="3F6031EC"/>
    <w:rsid w:val="3F760C61"/>
    <w:rsid w:val="3F7647BE"/>
    <w:rsid w:val="3F7D78FA"/>
    <w:rsid w:val="3F836EDA"/>
    <w:rsid w:val="3F890995"/>
    <w:rsid w:val="3F8C5D8F"/>
    <w:rsid w:val="3F9D7F9C"/>
    <w:rsid w:val="3F9F1F66"/>
    <w:rsid w:val="3FAF7CCF"/>
    <w:rsid w:val="3FB53538"/>
    <w:rsid w:val="3FBD2F61"/>
    <w:rsid w:val="3FC36380"/>
    <w:rsid w:val="3FCA4B09"/>
    <w:rsid w:val="3FD61700"/>
    <w:rsid w:val="3FD6525C"/>
    <w:rsid w:val="3FD85478"/>
    <w:rsid w:val="3FDF2363"/>
    <w:rsid w:val="3FFB4CC3"/>
    <w:rsid w:val="400022D9"/>
    <w:rsid w:val="40094AB4"/>
    <w:rsid w:val="401144E6"/>
    <w:rsid w:val="401C5365"/>
    <w:rsid w:val="40307062"/>
    <w:rsid w:val="40322DDA"/>
    <w:rsid w:val="40326890"/>
    <w:rsid w:val="4035308B"/>
    <w:rsid w:val="40414DCB"/>
    <w:rsid w:val="40582115"/>
    <w:rsid w:val="405A7C3B"/>
    <w:rsid w:val="40624D42"/>
    <w:rsid w:val="406330B9"/>
    <w:rsid w:val="40786313"/>
    <w:rsid w:val="40896174"/>
    <w:rsid w:val="40980764"/>
    <w:rsid w:val="40A11D0E"/>
    <w:rsid w:val="40A4535A"/>
    <w:rsid w:val="40AF61D9"/>
    <w:rsid w:val="40B03CFF"/>
    <w:rsid w:val="40B25CC9"/>
    <w:rsid w:val="40BC6B48"/>
    <w:rsid w:val="40CE4185"/>
    <w:rsid w:val="40D93256"/>
    <w:rsid w:val="40E1210B"/>
    <w:rsid w:val="40E85247"/>
    <w:rsid w:val="40E90FBF"/>
    <w:rsid w:val="40EB2F89"/>
    <w:rsid w:val="40F7192E"/>
    <w:rsid w:val="40FC4F02"/>
    <w:rsid w:val="41036525"/>
    <w:rsid w:val="41175B2C"/>
    <w:rsid w:val="411C1395"/>
    <w:rsid w:val="412F10C8"/>
    <w:rsid w:val="41390199"/>
    <w:rsid w:val="414032D5"/>
    <w:rsid w:val="414C7ECC"/>
    <w:rsid w:val="418304BE"/>
    <w:rsid w:val="41895373"/>
    <w:rsid w:val="418F1B67"/>
    <w:rsid w:val="41943621"/>
    <w:rsid w:val="41984EBF"/>
    <w:rsid w:val="419D5C78"/>
    <w:rsid w:val="41A03D74"/>
    <w:rsid w:val="41B11ADD"/>
    <w:rsid w:val="41B33AA7"/>
    <w:rsid w:val="41BC157F"/>
    <w:rsid w:val="41E33C60"/>
    <w:rsid w:val="41EF2605"/>
    <w:rsid w:val="42075BA1"/>
    <w:rsid w:val="42140B1B"/>
    <w:rsid w:val="42380450"/>
    <w:rsid w:val="42426BD9"/>
    <w:rsid w:val="424741EF"/>
    <w:rsid w:val="424C018D"/>
    <w:rsid w:val="42533248"/>
    <w:rsid w:val="4255690C"/>
    <w:rsid w:val="425C413F"/>
    <w:rsid w:val="425F3C2F"/>
    <w:rsid w:val="42613AF4"/>
    <w:rsid w:val="427159DF"/>
    <w:rsid w:val="427C131F"/>
    <w:rsid w:val="42845443"/>
    <w:rsid w:val="42890CAC"/>
    <w:rsid w:val="42935686"/>
    <w:rsid w:val="42A41642"/>
    <w:rsid w:val="42AE426E"/>
    <w:rsid w:val="42B71375"/>
    <w:rsid w:val="42B86E9B"/>
    <w:rsid w:val="42BA70B7"/>
    <w:rsid w:val="42CE22CA"/>
    <w:rsid w:val="42E87780"/>
    <w:rsid w:val="430622FC"/>
    <w:rsid w:val="431B5DA8"/>
    <w:rsid w:val="43282273"/>
    <w:rsid w:val="432A7D99"/>
    <w:rsid w:val="433E55F2"/>
    <w:rsid w:val="43574906"/>
    <w:rsid w:val="4368266F"/>
    <w:rsid w:val="43684E1C"/>
    <w:rsid w:val="436A4639"/>
    <w:rsid w:val="436C6603"/>
    <w:rsid w:val="43741014"/>
    <w:rsid w:val="43761230"/>
    <w:rsid w:val="43792CB4"/>
    <w:rsid w:val="43813731"/>
    <w:rsid w:val="43881319"/>
    <w:rsid w:val="438A0837"/>
    <w:rsid w:val="438F40A0"/>
    <w:rsid w:val="4392593E"/>
    <w:rsid w:val="43A63197"/>
    <w:rsid w:val="43AE09CA"/>
    <w:rsid w:val="43AF4742"/>
    <w:rsid w:val="43B753A5"/>
    <w:rsid w:val="43BE6733"/>
    <w:rsid w:val="43BF3FB9"/>
    <w:rsid w:val="43C97C3C"/>
    <w:rsid w:val="43D561DF"/>
    <w:rsid w:val="43EC504E"/>
    <w:rsid w:val="43F32881"/>
    <w:rsid w:val="43F860E9"/>
    <w:rsid w:val="43FD725B"/>
    <w:rsid w:val="44056110"/>
    <w:rsid w:val="440C749E"/>
    <w:rsid w:val="440E76BA"/>
    <w:rsid w:val="44114C1C"/>
    <w:rsid w:val="44136A7F"/>
    <w:rsid w:val="44366C11"/>
    <w:rsid w:val="44466E54"/>
    <w:rsid w:val="44542F9E"/>
    <w:rsid w:val="445F3A72"/>
    <w:rsid w:val="44617EC6"/>
    <w:rsid w:val="44632243"/>
    <w:rsid w:val="447B4624"/>
    <w:rsid w:val="448654A3"/>
    <w:rsid w:val="44872FC9"/>
    <w:rsid w:val="4497145E"/>
    <w:rsid w:val="44A1491C"/>
    <w:rsid w:val="44AA2020"/>
    <w:rsid w:val="44B518E4"/>
    <w:rsid w:val="44B71B00"/>
    <w:rsid w:val="44BA15F0"/>
    <w:rsid w:val="44BF6C07"/>
    <w:rsid w:val="44C45FCB"/>
    <w:rsid w:val="44D53D34"/>
    <w:rsid w:val="44DA759D"/>
    <w:rsid w:val="44E95A32"/>
    <w:rsid w:val="44E977E0"/>
    <w:rsid w:val="44FD328B"/>
    <w:rsid w:val="4501464E"/>
    <w:rsid w:val="450D7972"/>
    <w:rsid w:val="45156827"/>
    <w:rsid w:val="452151CC"/>
    <w:rsid w:val="4537679D"/>
    <w:rsid w:val="45392515"/>
    <w:rsid w:val="454315E6"/>
    <w:rsid w:val="454B3FF6"/>
    <w:rsid w:val="45505AB1"/>
    <w:rsid w:val="45545244"/>
    <w:rsid w:val="45592BB7"/>
    <w:rsid w:val="45637592"/>
    <w:rsid w:val="456926CF"/>
    <w:rsid w:val="457C68A6"/>
    <w:rsid w:val="457E43CC"/>
    <w:rsid w:val="459360DD"/>
    <w:rsid w:val="45997458"/>
    <w:rsid w:val="459E681C"/>
    <w:rsid w:val="45A04342"/>
    <w:rsid w:val="45B61DB8"/>
    <w:rsid w:val="45B93656"/>
    <w:rsid w:val="45BE2A1A"/>
    <w:rsid w:val="45D87F80"/>
    <w:rsid w:val="45E2495B"/>
    <w:rsid w:val="45E32481"/>
    <w:rsid w:val="45EC3A2B"/>
    <w:rsid w:val="45F14B9E"/>
    <w:rsid w:val="45F34DBA"/>
    <w:rsid w:val="45FB3C6E"/>
    <w:rsid w:val="46024FFD"/>
    <w:rsid w:val="460A3EB2"/>
    <w:rsid w:val="460D5750"/>
    <w:rsid w:val="46115CF7"/>
    <w:rsid w:val="46205483"/>
    <w:rsid w:val="462649B1"/>
    <w:rsid w:val="463827CD"/>
    <w:rsid w:val="46456C98"/>
    <w:rsid w:val="466435C2"/>
    <w:rsid w:val="466730B2"/>
    <w:rsid w:val="46780E1B"/>
    <w:rsid w:val="467852BF"/>
    <w:rsid w:val="46794B93"/>
    <w:rsid w:val="4689127A"/>
    <w:rsid w:val="46A2233C"/>
    <w:rsid w:val="46A77952"/>
    <w:rsid w:val="46A936CA"/>
    <w:rsid w:val="46B856BC"/>
    <w:rsid w:val="46E07C2E"/>
    <w:rsid w:val="46E110B6"/>
    <w:rsid w:val="46F50B99"/>
    <w:rsid w:val="46F54B62"/>
    <w:rsid w:val="46F801AE"/>
    <w:rsid w:val="47017063"/>
    <w:rsid w:val="47226FD9"/>
    <w:rsid w:val="4723347D"/>
    <w:rsid w:val="472E5F3D"/>
    <w:rsid w:val="47305B9A"/>
    <w:rsid w:val="473C62ED"/>
    <w:rsid w:val="474E2445"/>
    <w:rsid w:val="475353E4"/>
    <w:rsid w:val="47646C1E"/>
    <w:rsid w:val="47794E4B"/>
    <w:rsid w:val="477F6A54"/>
    <w:rsid w:val="47803BF8"/>
    <w:rsid w:val="47887727"/>
    <w:rsid w:val="478A52AA"/>
    <w:rsid w:val="47947ED7"/>
    <w:rsid w:val="47953C4F"/>
    <w:rsid w:val="47A508CD"/>
    <w:rsid w:val="47B02834"/>
    <w:rsid w:val="47B36031"/>
    <w:rsid w:val="47B642F1"/>
    <w:rsid w:val="47C3256A"/>
    <w:rsid w:val="47CB141F"/>
    <w:rsid w:val="47DB78B4"/>
    <w:rsid w:val="47E50732"/>
    <w:rsid w:val="47EC1AC1"/>
    <w:rsid w:val="47F939A3"/>
    <w:rsid w:val="48212F85"/>
    <w:rsid w:val="482E032B"/>
    <w:rsid w:val="482F7BFF"/>
    <w:rsid w:val="48311BC9"/>
    <w:rsid w:val="4839282C"/>
    <w:rsid w:val="483B65A4"/>
    <w:rsid w:val="4856518C"/>
    <w:rsid w:val="485D476D"/>
    <w:rsid w:val="48671147"/>
    <w:rsid w:val="487321E2"/>
    <w:rsid w:val="48831CF9"/>
    <w:rsid w:val="48896395"/>
    <w:rsid w:val="48897310"/>
    <w:rsid w:val="48A95C04"/>
    <w:rsid w:val="48BD345D"/>
    <w:rsid w:val="48CE11C6"/>
    <w:rsid w:val="48D6451F"/>
    <w:rsid w:val="48DA1CB5"/>
    <w:rsid w:val="48E1539E"/>
    <w:rsid w:val="48E1714C"/>
    <w:rsid w:val="48E42798"/>
    <w:rsid w:val="48EA3B26"/>
    <w:rsid w:val="48EE3617"/>
    <w:rsid w:val="48F13107"/>
    <w:rsid w:val="490B5F77"/>
    <w:rsid w:val="49137521"/>
    <w:rsid w:val="49211C3E"/>
    <w:rsid w:val="49267254"/>
    <w:rsid w:val="49584F34"/>
    <w:rsid w:val="495913D8"/>
    <w:rsid w:val="495A5150"/>
    <w:rsid w:val="495A6EFE"/>
    <w:rsid w:val="49706721"/>
    <w:rsid w:val="49731D6E"/>
    <w:rsid w:val="497E0E3E"/>
    <w:rsid w:val="497F6965"/>
    <w:rsid w:val="498126DD"/>
    <w:rsid w:val="49861AA1"/>
    <w:rsid w:val="49971F00"/>
    <w:rsid w:val="499A379E"/>
    <w:rsid w:val="49AE2DA6"/>
    <w:rsid w:val="49B26D3A"/>
    <w:rsid w:val="49BC1967"/>
    <w:rsid w:val="49C24E8D"/>
    <w:rsid w:val="49C6119C"/>
    <w:rsid w:val="49CD5922"/>
    <w:rsid w:val="49E56C14"/>
    <w:rsid w:val="49E60792"/>
    <w:rsid w:val="49EA0282"/>
    <w:rsid w:val="49EB7B56"/>
    <w:rsid w:val="49F509D5"/>
    <w:rsid w:val="49F64E79"/>
    <w:rsid w:val="4A037596"/>
    <w:rsid w:val="4A0550BC"/>
    <w:rsid w:val="4A1452FF"/>
    <w:rsid w:val="4A1946C3"/>
    <w:rsid w:val="4A213237"/>
    <w:rsid w:val="4A2A68D0"/>
    <w:rsid w:val="4A2D63C1"/>
    <w:rsid w:val="4A510301"/>
    <w:rsid w:val="4A527BD5"/>
    <w:rsid w:val="4A54394D"/>
    <w:rsid w:val="4A5C2802"/>
    <w:rsid w:val="4A6242BC"/>
    <w:rsid w:val="4A8C758B"/>
    <w:rsid w:val="4A8E3303"/>
    <w:rsid w:val="4A9401EE"/>
    <w:rsid w:val="4A9455FE"/>
    <w:rsid w:val="4A9811D0"/>
    <w:rsid w:val="4AA2290B"/>
    <w:rsid w:val="4AAA17BF"/>
    <w:rsid w:val="4AC17717"/>
    <w:rsid w:val="4AC42881"/>
    <w:rsid w:val="4AD32597"/>
    <w:rsid w:val="4ADA20A4"/>
    <w:rsid w:val="4AE7656F"/>
    <w:rsid w:val="4AEC627C"/>
    <w:rsid w:val="4AF34F14"/>
    <w:rsid w:val="4AF64A04"/>
    <w:rsid w:val="4B005883"/>
    <w:rsid w:val="4B0435C5"/>
    <w:rsid w:val="4B1B446B"/>
    <w:rsid w:val="4B271062"/>
    <w:rsid w:val="4B307F16"/>
    <w:rsid w:val="4B3A0D95"/>
    <w:rsid w:val="4B49547C"/>
    <w:rsid w:val="4B50680B"/>
    <w:rsid w:val="4B517E8D"/>
    <w:rsid w:val="4B6422B6"/>
    <w:rsid w:val="4B726781"/>
    <w:rsid w:val="4B73249C"/>
    <w:rsid w:val="4B797B0F"/>
    <w:rsid w:val="4B7C13AE"/>
    <w:rsid w:val="4B7D6ED4"/>
    <w:rsid w:val="4B871B00"/>
    <w:rsid w:val="4B906C07"/>
    <w:rsid w:val="4BA40904"/>
    <w:rsid w:val="4BA803F5"/>
    <w:rsid w:val="4BC62629"/>
    <w:rsid w:val="4BCF5981"/>
    <w:rsid w:val="4BD006C9"/>
    <w:rsid w:val="4BD016F9"/>
    <w:rsid w:val="4BDA60D4"/>
    <w:rsid w:val="4BDC0F33"/>
    <w:rsid w:val="4BF278C2"/>
    <w:rsid w:val="4BF55B2E"/>
    <w:rsid w:val="4BFF5B3B"/>
    <w:rsid w:val="4C0373D9"/>
    <w:rsid w:val="4C0513A3"/>
    <w:rsid w:val="4C080E93"/>
    <w:rsid w:val="4C0A0767"/>
    <w:rsid w:val="4C0B44E0"/>
    <w:rsid w:val="4C15535E"/>
    <w:rsid w:val="4C1C049B"/>
    <w:rsid w:val="4C373527"/>
    <w:rsid w:val="4C3D6D8F"/>
    <w:rsid w:val="4C481290"/>
    <w:rsid w:val="4C5812F1"/>
    <w:rsid w:val="4C6B4F7E"/>
    <w:rsid w:val="4C787DC7"/>
    <w:rsid w:val="4C87625C"/>
    <w:rsid w:val="4C8C3872"/>
    <w:rsid w:val="4C8F3363"/>
    <w:rsid w:val="4C912C37"/>
    <w:rsid w:val="4C991AEB"/>
    <w:rsid w:val="4CAA5AA7"/>
    <w:rsid w:val="4CBC08E9"/>
    <w:rsid w:val="4CCE3E8B"/>
    <w:rsid w:val="4CCE5C39"/>
    <w:rsid w:val="4CD314A1"/>
    <w:rsid w:val="4CE87C0B"/>
    <w:rsid w:val="4CEA0599"/>
    <w:rsid w:val="4D07114B"/>
    <w:rsid w:val="4D0D7563"/>
    <w:rsid w:val="4D153868"/>
    <w:rsid w:val="4D17113D"/>
    <w:rsid w:val="4D1A70D0"/>
    <w:rsid w:val="4D1D096E"/>
    <w:rsid w:val="4D21045F"/>
    <w:rsid w:val="4D2F41FE"/>
    <w:rsid w:val="4D3D196F"/>
    <w:rsid w:val="4D3D2DBF"/>
    <w:rsid w:val="4D40640B"/>
    <w:rsid w:val="4D493511"/>
    <w:rsid w:val="4D665E71"/>
    <w:rsid w:val="4D73114F"/>
    <w:rsid w:val="4D75339F"/>
    <w:rsid w:val="4D7E765F"/>
    <w:rsid w:val="4D811942"/>
    <w:rsid w:val="4D814A59"/>
    <w:rsid w:val="4D8B3B2A"/>
    <w:rsid w:val="4D8C33FE"/>
    <w:rsid w:val="4DA1334D"/>
    <w:rsid w:val="4DB27309"/>
    <w:rsid w:val="4DC40DEA"/>
    <w:rsid w:val="4DCB03CA"/>
    <w:rsid w:val="4DEB1B3E"/>
    <w:rsid w:val="4DEB281B"/>
    <w:rsid w:val="4DEB3FAD"/>
    <w:rsid w:val="4DED6593"/>
    <w:rsid w:val="4DFA480C"/>
    <w:rsid w:val="4E0B4C6B"/>
    <w:rsid w:val="4E105DDD"/>
    <w:rsid w:val="4E1E04FA"/>
    <w:rsid w:val="4E257ADB"/>
    <w:rsid w:val="4E3046D1"/>
    <w:rsid w:val="4E467A51"/>
    <w:rsid w:val="4E473EF5"/>
    <w:rsid w:val="4E54216E"/>
    <w:rsid w:val="4E557C94"/>
    <w:rsid w:val="4E5E123E"/>
    <w:rsid w:val="4E5E4D9B"/>
    <w:rsid w:val="4E7736AC"/>
    <w:rsid w:val="4E7E543D"/>
    <w:rsid w:val="4E850579"/>
    <w:rsid w:val="4E982041"/>
    <w:rsid w:val="4EB66985"/>
    <w:rsid w:val="4EB86BA1"/>
    <w:rsid w:val="4EBF117C"/>
    <w:rsid w:val="4EC05A55"/>
    <w:rsid w:val="4EC2357B"/>
    <w:rsid w:val="4ECD1F20"/>
    <w:rsid w:val="4EE31744"/>
    <w:rsid w:val="4EEA0D24"/>
    <w:rsid w:val="4F073684"/>
    <w:rsid w:val="4F0C0C9A"/>
    <w:rsid w:val="4F0F2539"/>
    <w:rsid w:val="4F1B0EDE"/>
    <w:rsid w:val="4F204746"/>
    <w:rsid w:val="4F245FE4"/>
    <w:rsid w:val="4F361873"/>
    <w:rsid w:val="4F3B1580"/>
    <w:rsid w:val="4F455F5A"/>
    <w:rsid w:val="4F4977F9"/>
    <w:rsid w:val="4F4F2935"/>
    <w:rsid w:val="4F5530A1"/>
    <w:rsid w:val="4F5A37B4"/>
    <w:rsid w:val="4F6603AB"/>
    <w:rsid w:val="4F6F4D85"/>
    <w:rsid w:val="4F74239C"/>
    <w:rsid w:val="4F7725B8"/>
    <w:rsid w:val="4F943D47"/>
    <w:rsid w:val="4F975D19"/>
    <w:rsid w:val="4F9C3DCC"/>
    <w:rsid w:val="4F9D18F3"/>
    <w:rsid w:val="4FA2515B"/>
    <w:rsid w:val="4FA62E9D"/>
    <w:rsid w:val="4FAD422B"/>
    <w:rsid w:val="4FBA24A4"/>
    <w:rsid w:val="4FC21359"/>
    <w:rsid w:val="4FC43323"/>
    <w:rsid w:val="4FD5108C"/>
    <w:rsid w:val="4FD55530"/>
    <w:rsid w:val="4FE319FB"/>
    <w:rsid w:val="4FF70310"/>
    <w:rsid w:val="4FF9121F"/>
    <w:rsid w:val="50047BC4"/>
    <w:rsid w:val="50067498"/>
    <w:rsid w:val="500876B4"/>
    <w:rsid w:val="50096F88"/>
    <w:rsid w:val="501F49FD"/>
    <w:rsid w:val="501F67AB"/>
    <w:rsid w:val="50283FB0"/>
    <w:rsid w:val="50570B33"/>
    <w:rsid w:val="506B379F"/>
    <w:rsid w:val="50707007"/>
    <w:rsid w:val="509506D9"/>
    <w:rsid w:val="50AD2009"/>
    <w:rsid w:val="50B213CE"/>
    <w:rsid w:val="50BE7D72"/>
    <w:rsid w:val="50C01D3C"/>
    <w:rsid w:val="50CC248F"/>
    <w:rsid w:val="50EE68AA"/>
    <w:rsid w:val="50F47C38"/>
    <w:rsid w:val="51037E7B"/>
    <w:rsid w:val="511931FB"/>
    <w:rsid w:val="513242BC"/>
    <w:rsid w:val="51497F84"/>
    <w:rsid w:val="5153670D"/>
    <w:rsid w:val="515801C7"/>
    <w:rsid w:val="51595CED"/>
    <w:rsid w:val="51730B5D"/>
    <w:rsid w:val="51750D79"/>
    <w:rsid w:val="518C60C3"/>
    <w:rsid w:val="518D05C9"/>
    <w:rsid w:val="519B03BF"/>
    <w:rsid w:val="51A52CE0"/>
    <w:rsid w:val="51A946CE"/>
    <w:rsid w:val="51AB25FA"/>
    <w:rsid w:val="51B353FD"/>
    <w:rsid w:val="51BD627C"/>
    <w:rsid w:val="51CD2963"/>
    <w:rsid w:val="51D3784E"/>
    <w:rsid w:val="51DD691E"/>
    <w:rsid w:val="51EE0B2B"/>
    <w:rsid w:val="51F37EF0"/>
    <w:rsid w:val="52067C23"/>
    <w:rsid w:val="52232583"/>
    <w:rsid w:val="522602C5"/>
    <w:rsid w:val="52271947"/>
    <w:rsid w:val="522E0F28"/>
    <w:rsid w:val="523C1897"/>
    <w:rsid w:val="5241662E"/>
    <w:rsid w:val="524D5852"/>
    <w:rsid w:val="524F40DA"/>
    <w:rsid w:val="52720E14"/>
    <w:rsid w:val="527821A3"/>
    <w:rsid w:val="528374C6"/>
    <w:rsid w:val="52854FEC"/>
    <w:rsid w:val="528B0128"/>
    <w:rsid w:val="52992845"/>
    <w:rsid w:val="52A82A88"/>
    <w:rsid w:val="52B15DE1"/>
    <w:rsid w:val="52B33145"/>
    <w:rsid w:val="52B637BA"/>
    <w:rsid w:val="52C5188C"/>
    <w:rsid w:val="52CC2690"/>
    <w:rsid w:val="52CF44B9"/>
    <w:rsid w:val="52EF06B7"/>
    <w:rsid w:val="52EF089A"/>
    <w:rsid w:val="52FC4B82"/>
    <w:rsid w:val="52FE4D9E"/>
    <w:rsid w:val="53051C89"/>
    <w:rsid w:val="53057EDB"/>
    <w:rsid w:val="530F48B5"/>
    <w:rsid w:val="531B7E46"/>
    <w:rsid w:val="53202F66"/>
    <w:rsid w:val="53234805"/>
    <w:rsid w:val="533662E6"/>
    <w:rsid w:val="5338205E"/>
    <w:rsid w:val="53446C55"/>
    <w:rsid w:val="534C5B09"/>
    <w:rsid w:val="53566988"/>
    <w:rsid w:val="53607241"/>
    <w:rsid w:val="53740BBC"/>
    <w:rsid w:val="538057B3"/>
    <w:rsid w:val="538434F5"/>
    <w:rsid w:val="538708F0"/>
    <w:rsid w:val="53937294"/>
    <w:rsid w:val="5394300C"/>
    <w:rsid w:val="53A07C03"/>
    <w:rsid w:val="53A25729"/>
    <w:rsid w:val="53A94D0A"/>
    <w:rsid w:val="53AA2C29"/>
    <w:rsid w:val="53BC2C8F"/>
    <w:rsid w:val="53C25DCC"/>
    <w:rsid w:val="53C914C2"/>
    <w:rsid w:val="53D33B35"/>
    <w:rsid w:val="53E144A4"/>
    <w:rsid w:val="540957A8"/>
    <w:rsid w:val="540C5299"/>
    <w:rsid w:val="540E7263"/>
    <w:rsid w:val="541303D5"/>
    <w:rsid w:val="54212AF2"/>
    <w:rsid w:val="542645AC"/>
    <w:rsid w:val="5429409D"/>
    <w:rsid w:val="54322F51"/>
    <w:rsid w:val="54370568"/>
    <w:rsid w:val="543A3BB4"/>
    <w:rsid w:val="54444A33"/>
    <w:rsid w:val="544607AB"/>
    <w:rsid w:val="544669FD"/>
    <w:rsid w:val="54613836"/>
    <w:rsid w:val="546D21DB"/>
    <w:rsid w:val="54752E3E"/>
    <w:rsid w:val="548968E9"/>
    <w:rsid w:val="5492579E"/>
    <w:rsid w:val="549C486F"/>
    <w:rsid w:val="54A92AE8"/>
    <w:rsid w:val="54BE2A37"/>
    <w:rsid w:val="54C142D5"/>
    <w:rsid w:val="54CC5154"/>
    <w:rsid w:val="54D45DB6"/>
    <w:rsid w:val="54D47B64"/>
    <w:rsid w:val="54D77655"/>
    <w:rsid w:val="54DA5359"/>
    <w:rsid w:val="54DE09E3"/>
    <w:rsid w:val="54EA7388"/>
    <w:rsid w:val="54EC75A4"/>
    <w:rsid w:val="54EF0E42"/>
    <w:rsid w:val="54F621D1"/>
    <w:rsid w:val="5503669C"/>
    <w:rsid w:val="550B5550"/>
    <w:rsid w:val="550D3076"/>
    <w:rsid w:val="55102B67"/>
    <w:rsid w:val="55125758"/>
    <w:rsid w:val="55284354"/>
    <w:rsid w:val="554114A0"/>
    <w:rsid w:val="55480552"/>
    <w:rsid w:val="554967A4"/>
    <w:rsid w:val="554A42CB"/>
    <w:rsid w:val="555313D1"/>
    <w:rsid w:val="556233C2"/>
    <w:rsid w:val="556D1D67"/>
    <w:rsid w:val="55713605"/>
    <w:rsid w:val="5579487B"/>
    <w:rsid w:val="55945546"/>
    <w:rsid w:val="559612BE"/>
    <w:rsid w:val="55AC6AAE"/>
    <w:rsid w:val="55AC6D33"/>
    <w:rsid w:val="55BB0D24"/>
    <w:rsid w:val="55BD2CEE"/>
    <w:rsid w:val="55C73B6D"/>
    <w:rsid w:val="55CA71B9"/>
    <w:rsid w:val="55D61B13"/>
    <w:rsid w:val="55D63DB0"/>
    <w:rsid w:val="55D65B5E"/>
    <w:rsid w:val="55E44564"/>
    <w:rsid w:val="55F304BE"/>
    <w:rsid w:val="55FA184D"/>
    <w:rsid w:val="5606595A"/>
    <w:rsid w:val="560E70A6"/>
    <w:rsid w:val="56270168"/>
    <w:rsid w:val="56336B0D"/>
    <w:rsid w:val="563F54B2"/>
    <w:rsid w:val="564526E9"/>
    <w:rsid w:val="564E7DEA"/>
    <w:rsid w:val="565C42B5"/>
    <w:rsid w:val="56625644"/>
    <w:rsid w:val="566D64C3"/>
    <w:rsid w:val="56717635"/>
    <w:rsid w:val="56821842"/>
    <w:rsid w:val="568A7C35"/>
    <w:rsid w:val="568B2403"/>
    <w:rsid w:val="568E01E7"/>
    <w:rsid w:val="568F468B"/>
    <w:rsid w:val="569E667C"/>
    <w:rsid w:val="569F23F4"/>
    <w:rsid w:val="56A63783"/>
    <w:rsid w:val="56A8574D"/>
    <w:rsid w:val="56B76BE4"/>
    <w:rsid w:val="56D504FC"/>
    <w:rsid w:val="56DF0A43"/>
    <w:rsid w:val="56EF6ED8"/>
    <w:rsid w:val="56F40992"/>
    <w:rsid w:val="570010E5"/>
    <w:rsid w:val="57064221"/>
    <w:rsid w:val="570861EB"/>
    <w:rsid w:val="570F757A"/>
    <w:rsid w:val="571F7091"/>
    <w:rsid w:val="572528F9"/>
    <w:rsid w:val="5728063B"/>
    <w:rsid w:val="572B1EDA"/>
    <w:rsid w:val="572D5C52"/>
    <w:rsid w:val="573A3ECB"/>
    <w:rsid w:val="57437223"/>
    <w:rsid w:val="574F7976"/>
    <w:rsid w:val="5754798A"/>
    <w:rsid w:val="575B631B"/>
    <w:rsid w:val="575C02E5"/>
    <w:rsid w:val="57623B4D"/>
    <w:rsid w:val="57827D4C"/>
    <w:rsid w:val="57841C4E"/>
    <w:rsid w:val="5789732C"/>
    <w:rsid w:val="578D049F"/>
    <w:rsid w:val="57911D3D"/>
    <w:rsid w:val="57996E43"/>
    <w:rsid w:val="57A2219C"/>
    <w:rsid w:val="57AC6B77"/>
    <w:rsid w:val="57B1418D"/>
    <w:rsid w:val="57BD0D84"/>
    <w:rsid w:val="57BD5228"/>
    <w:rsid w:val="57D936E4"/>
    <w:rsid w:val="57E207EA"/>
    <w:rsid w:val="57EA3B43"/>
    <w:rsid w:val="57FA3D42"/>
    <w:rsid w:val="57FF75EE"/>
    <w:rsid w:val="5818420C"/>
    <w:rsid w:val="581A3E7B"/>
    <w:rsid w:val="58226E39"/>
    <w:rsid w:val="582726A1"/>
    <w:rsid w:val="582D6EF7"/>
    <w:rsid w:val="583059FA"/>
    <w:rsid w:val="583879A4"/>
    <w:rsid w:val="584A65AA"/>
    <w:rsid w:val="584F7E8A"/>
    <w:rsid w:val="5855720E"/>
    <w:rsid w:val="58562F86"/>
    <w:rsid w:val="585711D8"/>
    <w:rsid w:val="58627B7D"/>
    <w:rsid w:val="58670D41"/>
    <w:rsid w:val="58694A68"/>
    <w:rsid w:val="586B4C84"/>
    <w:rsid w:val="587B106E"/>
    <w:rsid w:val="588673C8"/>
    <w:rsid w:val="588C69A8"/>
    <w:rsid w:val="588E44CE"/>
    <w:rsid w:val="58AE2DC2"/>
    <w:rsid w:val="58CB127E"/>
    <w:rsid w:val="58CD3249"/>
    <w:rsid w:val="58DE5456"/>
    <w:rsid w:val="58E3481A"/>
    <w:rsid w:val="58E6255C"/>
    <w:rsid w:val="58E76206"/>
    <w:rsid w:val="58E862D4"/>
    <w:rsid w:val="590B3D71"/>
    <w:rsid w:val="591075D9"/>
    <w:rsid w:val="59246BE1"/>
    <w:rsid w:val="59262959"/>
    <w:rsid w:val="592F0511"/>
    <w:rsid w:val="59350DEE"/>
    <w:rsid w:val="593E4146"/>
    <w:rsid w:val="594A4899"/>
    <w:rsid w:val="5954396A"/>
    <w:rsid w:val="59562159"/>
    <w:rsid w:val="59704B69"/>
    <w:rsid w:val="59723DF0"/>
    <w:rsid w:val="5975743C"/>
    <w:rsid w:val="59771406"/>
    <w:rsid w:val="59854BAC"/>
    <w:rsid w:val="5996188C"/>
    <w:rsid w:val="599924D4"/>
    <w:rsid w:val="59AD4E28"/>
    <w:rsid w:val="59B12B6A"/>
    <w:rsid w:val="59CA4BDF"/>
    <w:rsid w:val="59CF4D9E"/>
    <w:rsid w:val="59D32AE1"/>
    <w:rsid w:val="59D86349"/>
    <w:rsid w:val="59E545C2"/>
    <w:rsid w:val="59FB3DE5"/>
    <w:rsid w:val="5A094754"/>
    <w:rsid w:val="5A1D336D"/>
    <w:rsid w:val="5A1E1882"/>
    <w:rsid w:val="5A201A9E"/>
    <w:rsid w:val="5A292701"/>
    <w:rsid w:val="5A451372"/>
    <w:rsid w:val="5A47527D"/>
    <w:rsid w:val="5A4A2677"/>
    <w:rsid w:val="5A5B4884"/>
    <w:rsid w:val="5A5F4374"/>
    <w:rsid w:val="5A64198B"/>
    <w:rsid w:val="5A655703"/>
    <w:rsid w:val="5A6C4CE3"/>
    <w:rsid w:val="5A76072B"/>
    <w:rsid w:val="5A765143"/>
    <w:rsid w:val="5A7F688E"/>
    <w:rsid w:val="5A8B6F17"/>
    <w:rsid w:val="5AA004E9"/>
    <w:rsid w:val="5AAC3332"/>
    <w:rsid w:val="5AAD1584"/>
    <w:rsid w:val="5ABA77FD"/>
    <w:rsid w:val="5AC97A40"/>
    <w:rsid w:val="5ACC7530"/>
    <w:rsid w:val="5AD563E4"/>
    <w:rsid w:val="5AF01470"/>
    <w:rsid w:val="5AF26F96"/>
    <w:rsid w:val="5B0171D9"/>
    <w:rsid w:val="5B165CAC"/>
    <w:rsid w:val="5B2031B0"/>
    <w:rsid w:val="5B2F1F99"/>
    <w:rsid w:val="5B303DC6"/>
    <w:rsid w:val="5B353327"/>
    <w:rsid w:val="5B4067A6"/>
    <w:rsid w:val="5B4C22C4"/>
    <w:rsid w:val="5B527A35"/>
    <w:rsid w:val="5B561CFC"/>
    <w:rsid w:val="5B865931"/>
    <w:rsid w:val="5B8A3673"/>
    <w:rsid w:val="5B8D4F11"/>
    <w:rsid w:val="5B8F2A37"/>
    <w:rsid w:val="5BA504AD"/>
    <w:rsid w:val="5BE74621"/>
    <w:rsid w:val="5BEC60DC"/>
    <w:rsid w:val="5BF64864"/>
    <w:rsid w:val="5BFE5E0F"/>
    <w:rsid w:val="5C0056E3"/>
    <w:rsid w:val="5C036F81"/>
    <w:rsid w:val="5C050F4B"/>
    <w:rsid w:val="5C0D7E00"/>
    <w:rsid w:val="5C0F5F7E"/>
    <w:rsid w:val="5C125416"/>
    <w:rsid w:val="5C14118E"/>
    <w:rsid w:val="5C2D3FFE"/>
    <w:rsid w:val="5C3559D8"/>
    <w:rsid w:val="5C4E644E"/>
    <w:rsid w:val="5C5400DE"/>
    <w:rsid w:val="5C5872CD"/>
    <w:rsid w:val="5C5A1297"/>
    <w:rsid w:val="5C8005D2"/>
    <w:rsid w:val="5C846314"/>
    <w:rsid w:val="5C9F314E"/>
    <w:rsid w:val="5CA40764"/>
    <w:rsid w:val="5CB309A7"/>
    <w:rsid w:val="5CB64EB5"/>
    <w:rsid w:val="5CB87D6C"/>
    <w:rsid w:val="5CBF559E"/>
    <w:rsid w:val="5CCB5CF1"/>
    <w:rsid w:val="5CD32DF8"/>
    <w:rsid w:val="5CEB0141"/>
    <w:rsid w:val="5CF039A9"/>
    <w:rsid w:val="5CF05758"/>
    <w:rsid w:val="5CFB5EAA"/>
    <w:rsid w:val="5D094A6B"/>
    <w:rsid w:val="5D101956"/>
    <w:rsid w:val="5D153410"/>
    <w:rsid w:val="5D175006"/>
    <w:rsid w:val="5D184CAE"/>
    <w:rsid w:val="5D192992"/>
    <w:rsid w:val="5D355860"/>
    <w:rsid w:val="5D3C6BEF"/>
    <w:rsid w:val="5D437F7D"/>
    <w:rsid w:val="5D551A5E"/>
    <w:rsid w:val="5D5757D7"/>
    <w:rsid w:val="5D635F29"/>
    <w:rsid w:val="5D656AC5"/>
    <w:rsid w:val="5D6D6DA8"/>
    <w:rsid w:val="5D731EE5"/>
    <w:rsid w:val="5D7719D5"/>
    <w:rsid w:val="5D8660BC"/>
    <w:rsid w:val="5D8F4F70"/>
    <w:rsid w:val="5D995DEF"/>
    <w:rsid w:val="5D9C143B"/>
    <w:rsid w:val="5DA16A52"/>
    <w:rsid w:val="5DA33F85"/>
    <w:rsid w:val="5DA56542"/>
    <w:rsid w:val="5DAA1DAA"/>
    <w:rsid w:val="5DAF73C1"/>
    <w:rsid w:val="5DB22A0D"/>
    <w:rsid w:val="5DC15346"/>
    <w:rsid w:val="5DC310BE"/>
    <w:rsid w:val="5DCA41FA"/>
    <w:rsid w:val="5DD010E5"/>
    <w:rsid w:val="5DD07337"/>
    <w:rsid w:val="5DE057CC"/>
    <w:rsid w:val="5DE54B90"/>
    <w:rsid w:val="5DEA03F9"/>
    <w:rsid w:val="5E145319"/>
    <w:rsid w:val="5E210744"/>
    <w:rsid w:val="5E323B4E"/>
    <w:rsid w:val="5E5F0DE7"/>
    <w:rsid w:val="5E604B5F"/>
    <w:rsid w:val="5E622685"/>
    <w:rsid w:val="5E6E2DD8"/>
    <w:rsid w:val="5E6F08FE"/>
    <w:rsid w:val="5E7B72A3"/>
    <w:rsid w:val="5E7D126D"/>
    <w:rsid w:val="5E800D5D"/>
    <w:rsid w:val="5E8425FB"/>
    <w:rsid w:val="5E930A90"/>
    <w:rsid w:val="5E9F5687"/>
    <w:rsid w:val="5EA20CD3"/>
    <w:rsid w:val="5EA902B4"/>
    <w:rsid w:val="5EAC1B52"/>
    <w:rsid w:val="5ECC2685"/>
    <w:rsid w:val="5ED30E8D"/>
    <w:rsid w:val="5ED510A9"/>
    <w:rsid w:val="5ED74E21"/>
    <w:rsid w:val="5EDF5A84"/>
    <w:rsid w:val="5EFD415C"/>
    <w:rsid w:val="5EFF1C82"/>
    <w:rsid w:val="5F0C25F1"/>
    <w:rsid w:val="5F105C3D"/>
    <w:rsid w:val="5F17346F"/>
    <w:rsid w:val="5F1D035A"/>
    <w:rsid w:val="5F1D47FE"/>
    <w:rsid w:val="5F3A0F0C"/>
    <w:rsid w:val="5F506981"/>
    <w:rsid w:val="5F57386C"/>
    <w:rsid w:val="5F6917F1"/>
    <w:rsid w:val="5F6B7317"/>
    <w:rsid w:val="5F6C6E42"/>
    <w:rsid w:val="5F6D12E1"/>
    <w:rsid w:val="5F7268F8"/>
    <w:rsid w:val="5F8403D9"/>
    <w:rsid w:val="5F8E3006"/>
    <w:rsid w:val="5F926F9A"/>
    <w:rsid w:val="5F9C5723"/>
    <w:rsid w:val="5FA016B7"/>
    <w:rsid w:val="5FAB005C"/>
    <w:rsid w:val="5FD02094"/>
    <w:rsid w:val="5FD70E51"/>
    <w:rsid w:val="5FDA449D"/>
    <w:rsid w:val="5FE32DF1"/>
    <w:rsid w:val="5FE654DD"/>
    <w:rsid w:val="5FEA2932"/>
    <w:rsid w:val="5FEB66AA"/>
    <w:rsid w:val="5FF437B1"/>
    <w:rsid w:val="60121E89"/>
    <w:rsid w:val="6017749F"/>
    <w:rsid w:val="60221DB4"/>
    <w:rsid w:val="603B13E0"/>
    <w:rsid w:val="604A1623"/>
    <w:rsid w:val="6065645C"/>
    <w:rsid w:val="606E3563"/>
    <w:rsid w:val="6074044E"/>
    <w:rsid w:val="60747F1B"/>
    <w:rsid w:val="60883E73"/>
    <w:rsid w:val="60895068"/>
    <w:rsid w:val="60997EB4"/>
    <w:rsid w:val="60A24FBB"/>
    <w:rsid w:val="60A26D69"/>
    <w:rsid w:val="60AA0313"/>
    <w:rsid w:val="60AC7BE7"/>
    <w:rsid w:val="60C5514D"/>
    <w:rsid w:val="60E530F9"/>
    <w:rsid w:val="60F17CF0"/>
    <w:rsid w:val="60FB46CB"/>
    <w:rsid w:val="60FF1094"/>
    <w:rsid w:val="6109328C"/>
    <w:rsid w:val="611063C8"/>
    <w:rsid w:val="6118702B"/>
    <w:rsid w:val="6126799A"/>
    <w:rsid w:val="61412A26"/>
    <w:rsid w:val="614222FA"/>
    <w:rsid w:val="614C4F26"/>
    <w:rsid w:val="614D7F03"/>
    <w:rsid w:val="614E5143"/>
    <w:rsid w:val="6151253D"/>
    <w:rsid w:val="617526CF"/>
    <w:rsid w:val="6186668A"/>
    <w:rsid w:val="619A3EE4"/>
    <w:rsid w:val="619B6B9D"/>
    <w:rsid w:val="61AD00BB"/>
    <w:rsid w:val="61AE50A6"/>
    <w:rsid w:val="61BA4586"/>
    <w:rsid w:val="61CE3B8D"/>
    <w:rsid w:val="61D645F9"/>
    <w:rsid w:val="61E055B5"/>
    <w:rsid w:val="61E23677"/>
    <w:rsid w:val="61E33ADD"/>
    <w:rsid w:val="620174BF"/>
    <w:rsid w:val="62051CA5"/>
    <w:rsid w:val="620D6DAC"/>
    <w:rsid w:val="621912AD"/>
    <w:rsid w:val="624502F4"/>
    <w:rsid w:val="624C78D4"/>
    <w:rsid w:val="624D71A8"/>
    <w:rsid w:val="624F4CCE"/>
    <w:rsid w:val="62540537"/>
    <w:rsid w:val="625978FB"/>
    <w:rsid w:val="6260512D"/>
    <w:rsid w:val="628506F0"/>
    <w:rsid w:val="6299419B"/>
    <w:rsid w:val="62A25746"/>
    <w:rsid w:val="62A274F4"/>
    <w:rsid w:val="62AE40EB"/>
    <w:rsid w:val="62AE5E99"/>
    <w:rsid w:val="62C3746A"/>
    <w:rsid w:val="62CA25A7"/>
    <w:rsid w:val="62D52568"/>
    <w:rsid w:val="62D653F0"/>
    <w:rsid w:val="62E80C7F"/>
    <w:rsid w:val="62EA0E9B"/>
    <w:rsid w:val="630930CF"/>
    <w:rsid w:val="630A6E47"/>
    <w:rsid w:val="63161C90"/>
    <w:rsid w:val="6317515F"/>
    <w:rsid w:val="6320666B"/>
    <w:rsid w:val="632717A7"/>
    <w:rsid w:val="63387E58"/>
    <w:rsid w:val="633D0FCB"/>
    <w:rsid w:val="63400ABB"/>
    <w:rsid w:val="63414F5F"/>
    <w:rsid w:val="63520F1A"/>
    <w:rsid w:val="63536A40"/>
    <w:rsid w:val="63555685"/>
    <w:rsid w:val="63620A31"/>
    <w:rsid w:val="636429FB"/>
    <w:rsid w:val="63780255"/>
    <w:rsid w:val="637A3FCD"/>
    <w:rsid w:val="637F3391"/>
    <w:rsid w:val="638F154A"/>
    <w:rsid w:val="63901A42"/>
    <w:rsid w:val="6393508F"/>
    <w:rsid w:val="639C2195"/>
    <w:rsid w:val="63CC234F"/>
    <w:rsid w:val="63F0603D"/>
    <w:rsid w:val="63F975E8"/>
    <w:rsid w:val="6417181C"/>
    <w:rsid w:val="641E0DFC"/>
    <w:rsid w:val="643B19AE"/>
    <w:rsid w:val="6441132E"/>
    <w:rsid w:val="64412D3D"/>
    <w:rsid w:val="64462101"/>
    <w:rsid w:val="646563D3"/>
    <w:rsid w:val="646D58E0"/>
    <w:rsid w:val="646F78AA"/>
    <w:rsid w:val="6470717E"/>
    <w:rsid w:val="6472321C"/>
    <w:rsid w:val="647749B0"/>
    <w:rsid w:val="64794284"/>
    <w:rsid w:val="647E189B"/>
    <w:rsid w:val="648669A1"/>
    <w:rsid w:val="648C045C"/>
    <w:rsid w:val="649410BE"/>
    <w:rsid w:val="64970BAF"/>
    <w:rsid w:val="649B244D"/>
    <w:rsid w:val="649B41FB"/>
    <w:rsid w:val="649D4417"/>
    <w:rsid w:val="649E3CEB"/>
    <w:rsid w:val="64A55079"/>
    <w:rsid w:val="64AD2180"/>
    <w:rsid w:val="64B17EC2"/>
    <w:rsid w:val="64BD6867"/>
    <w:rsid w:val="64C00105"/>
    <w:rsid w:val="64C51278"/>
    <w:rsid w:val="64CD637E"/>
    <w:rsid w:val="64D37E39"/>
    <w:rsid w:val="64DB4F3F"/>
    <w:rsid w:val="64E71F99"/>
    <w:rsid w:val="64F1206D"/>
    <w:rsid w:val="64FF527C"/>
    <w:rsid w:val="65314B5F"/>
    <w:rsid w:val="65475601"/>
    <w:rsid w:val="654C1999"/>
    <w:rsid w:val="654F36E7"/>
    <w:rsid w:val="65530F79"/>
    <w:rsid w:val="656211BC"/>
    <w:rsid w:val="65635506"/>
    <w:rsid w:val="656942F9"/>
    <w:rsid w:val="656A1E1F"/>
    <w:rsid w:val="656B0071"/>
    <w:rsid w:val="656E190F"/>
    <w:rsid w:val="656F7435"/>
    <w:rsid w:val="657F58CB"/>
    <w:rsid w:val="658904F7"/>
    <w:rsid w:val="658A571A"/>
    <w:rsid w:val="65954D6B"/>
    <w:rsid w:val="65A215B9"/>
    <w:rsid w:val="65B03CD6"/>
    <w:rsid w:val="65B5753E"/>
    <w:rsid w:val="65B732B6"/>
    <w:rsid w:val="65BD2897"/>
    <w:rsid w:val="65C027C7"/>
    <w:rsid w:val="65C37EAD"/>
    <w:rsid w:val="65D8322D"/>
    <w:rsid w:val="65DA0D53"/>
    <w:rsid w:val="65E10333"/>
    <w:rsid w:val="65E16585"/>
    <w:rsid w:val="65E46075"/>
    <w:rsid w:val="65E47E23"/>
    <w:rsid w:val="65E87914"/>
    <w:rsid w:val="65EB6FD2"/>
    <w:rsid w:val="65ED6CD8"/>
    <w:rsid w:val="65FC516D"/>
    <w:rsid w:val="660202AA"/>
    <w:rsid w:val="66025943"/>
    <w:rsid w:val="66100C18"/>
    <w:rsid w:val="661204ED"/>
    <w:rsid w:val="661324B7"/>
    <w:rsid w:val="662F72F1"/>
    <w:rsid w:val="66410DD2"/>
    <w:rsid w:val="664D3C1B"/>
    <w:rsid w:val="664E34EF"/>
    <w:rsid w:val="66542C6C"/>
    <w:rsid w:val="66611474"/>
    <w:rsid w:val="666A0329"/>
    <w:rsid w:val="6672542F"/>
    <w:rsid w:val="667F18FA"/>
    <w:rsid w:val="668F4A03"/>
    <w:rsid w:val="669676D4"/>
    <w:rsid w:val="66A01F9C"/>
    <w:rsid w:val="66AD46B9"/>
    <w:rsid w:val="66AD6467"/>
    <w:rsid w:val="66B71094"/>
    <w:rsid w:val="66B9305E"/>
    <w:rsid w:val="66BE68C6"/>
    <w:rsid w:val="66C0619B"/>
    <w:rsid w:val="66D734E4"/>
    <w:rsid w:val="66DC0AFB"/>
    <w:rsid w:val="66E16111"/>
    <w:rsid w:val="66EC6F90"/>
    <w:rsid w:val="66FC62B6"/>
    <w:rsid w:val="67006EDF"/>
    <w:rsid w:val="670A5668"/>
    <w:rsid w:val="670F2FB6"/>
    <w:rsid w:val="67114C48"/>
    <w:rsid w:val="671169F6"/>
    <w:rsid w:val="67286252"/>
    <w:rsid w:val="674342E3"/>
    <w:rsid w:val="675348DF"/>
    <w:rsid w:val="675B2367"/>
    <w:rsid w:val="676B1D6C"/>
    <w:rsid w:val="677D408C"/>
    <w:rsid w:val="678673E4"/>
    <w:rsid w:val="6787315C"/>
    <w:rsid w:val="678C42CF"/>
    <w:rsid w:val="67902011"/>
    <w:rsid w:val="679F2254"/>
    <w:rsid w:val="67B101D9"/>
    <w:rsid w:val="67B51A77"/>
    <w:rsid w:val="67B81568"/>
    <w:rsid w:val="67BC2E06"/>
    <w:rsid w:val="67C1666E"/>
    <w:rsid w:val="67C63C85"/>
    <w:rsid w:val="67C9107F"/>
    <w:rsid w:val="67D30150"/>
    <w:rsid w:val="67E4410B"/>
    <w:rsid w:val="67E67E83"/>
    <w:rsid w:val="67E759A9"/>
    <w:rsid w:val="67E91721"/>
    <w:rsid w:val="67E97973"/>
    <w:rsid w:val="67EB36EB"/>
    <w:rsid w:val="67F3434E"/>
    <w:rsid w:val="67F500C6"/>
    <w:rsid w:val="67F81964"/>
    <w:rsid w:val="67F87BB6"/>
    <w:rsid w:val="681E35B5"/>
    <w:rsid w:val="681F3395"/>
    <w:rsid w:val="68232E85"/>
    <w:rsid w:val="68355788"/>
    <w:rsid w:val="683706DE"/>
    <w:rsid w:val="68442DFB"/>
    <w:rsid w:val="684921C0"/>
    <w:rsid w:val="685272C6"/>
    <w:rsid w:val="68576637"/>
    <w:rsid w:val="685968A7"/>
    <w:rsid w:val="687E00BB"/>
    <w:rsid w:val="68846787"/>
    <w:rsid w:val="68921DB9"/>
    <w:rsid w:val="68953657"/>
    <w:rsid w:val="689E69AF"/>
    <w:rsid w:val="68A35D74"/>
    <w:rsid w:val="68B27D65"/>
    <w:rsid w:val="68BC6E36"/>
    <w:rsid w:val="68BE670A"/>
    <w:rsid w:val="68C006D4"/>
    <w:rsid w:val="68CB7079"/>
    <w:rsid w:val="68D526EA"/>
    <w:rsid w:val="68D63121"/>
    <w:rsid w:val="68E02B84"/>
    <w:rsid w:val="68F95994"/>
    <w:rsid w:val="68FE2FAA"/>
    <w:rsid w:val="690A7BA1"/>
    <w:rsid w:val="690D143F"/>
    <w:rsid w:val="69126A56"/>
    <w:rsid w:val="691461EE"/>
    <w:rsid w:val="69185935"/>
    <w:rsid w:val="69195777"/>
    <w:rsid w:val="691C1682"/>
    <w:rsid w:val="692073C4"/>
    <w:rsid w:val="69252C2D"/>
    <w:rsid w:val="69320EA6"/>
    <w:rsid w:val="69450BD9"/>
    <w:rsid w:val="69476DB4"/>
    <w:rsid w:val="69482477"/>
    <w:rsid w:val="6958090C"/>
    <w:rsid w:val="69635503"/>
    <w:rsid w:val="696A4AE4"/>
    <w:rsid w:val="6974326C"/>
    <w:rsid w:val="69774C8C"/>
    <w:rsid w:val="698A6F34"/>
    <w:rsid w:val="69935DE8"/>
    <w:rsid w:val="699851AD"/>
    <w:rsid w:val="69A41DA4"/>
    <w:rsid w:val="69A753F0"/>
    <w:rsid w:val="69B1626F"/>
    <w:rsid w:val="69B53FB1"/>
    <w:rsid w:val="69BB0E9B"/>
    <w:rsid w:val="69C2615F"/>
    <w:rsid w:val="69CA7330"/>
    <w:rsid w:val="6A211646"/>
    <w:rsid w:val="6A244C92"/>
    <w:rsid w:val="6A333127"/>
    <w:rsid w:val="6A3824EC"/>
    <w:rsid w:val="6A3A42D2"/>
    <w:rsid w:val="6A3D7B02"/>
    <w:rsid w:val="6A413893"/>
    <w:rsid w:val="6A464C09"/>
    <w:rsid w:val="6A49294B"/>
    <w:rsid w:val="6A4B66C3"/>
    <w:rsid w:val="6A5A06B4"/>
    <w:rsid w:val="6A5C61DA"/>
    <w:rsid w:val="6A6908F7"/>
    <w:rsid w:val="6A70612A"/>
    <w:rsid w:val="6A7259FE"/>
    <w:rsid w:val="6A837C0B"/>
    <w:rsid w:val="6A8B4D12"/>
    <w:rsid w:val="6A8B6AC0"/>
    <w:rsid w:val="6A9516EC"/>
    <w:rsid w:val="6AA3205B"/>
    <w:rsid w:val="6AB26742"/>
    <w:rsid w:val="6ABE50E7"/>
    <w:rsid w:val="6AD20B92"/>
    <w:rsid w:val="6ADC3625"/>
    <w:rsid w:val="6AE54418"/>
    <w:rsid w:val="6AEB755E"/>
    <w:rsid w:val="6AED32D6"/>
    <w:rsid w:val="6AEF704E"/>
    <w:rsid w:val="6AF34E03"/>
    <w:rsid w:val="6AFE7291"/>
    <w:rsid w:val="6B030D4C"/>
    <w:rsid w:val="6B0625EA"/>
    <w:rsid w:val="6B1940CB"/>
    <w:rsid w:val="6B272C8C"/>
    <w:rsid w:val="6B340F05"/>
    <w:rsid w:val="6B3B2294"/>
    <w:rsid w:val="6B480E55"/>
    <w:rsid w:val="6B797260"/>
    <w:rsid w:val="6B811C71"/>
    <w:rsid w:val="6B8C2459"/>
    <w:rsid w:val="6B9419A4"/>
    <w:rsid w:val="6B95409A"/>
    <w:rsid w:val="6BC4672D"/>
    <w:rsid w:val="6BC73B27"/>
    <w:rsid w:val="6BDD159D"/>
    <w:rsid w:val="6BE60CE3"/>
    <w:rsid w:val="6BFA214F"/>
    <w:rsid w:val="6BFB213B"/>
    <w:rsid w:val="6BFD39ED"/>
    <w:rsid w:val="6C0A7EB8"/>
    <w:rsid w:val="6C111246"/>
    <w:rsid w:val="6C150D37"/>
    <w:rsid w:val="6C184383"/>
    <w:rsid w:val="6C1B3E73"/>
    <w:rsid w:val="6C1F02F1"/>
    <w:rsid w:val="6C2429A7"/>
    <w:rsid w:val="6C270A6A"/>
    <w:rsid w:val="6C2905ED"/>
    <w:rsid w:val="6C3A69EF"/>
    <w:rsid w:val="6C423AF6"/>
    <w:rsid w:val="6C445178"/>
    <w:rsid w:val="6C4F7438"/>
    <w:rsid w:val="6C5740F9"/>
    <w:rsid w:val="6C6121CE"/>
    <w:rsid w:val="6C7E6B4A"/>
    <w:rsid w:val="6C895281"/>
    <w:rsid w:val="6C9205D9"/>
    <w:rsid w:val="6C952E4F"/>
    <w:rsid w:val="6C9F6852"/>
    <w:rsid w:val="6CA16A6E"/>
    <w:rsid w:val="6CB247D7"/>
    <w:rsid w:val="6CBC11B2"/>
    <w:rsid w:val="6CBE317C"/>
    <w:rsid w:val="6CDF1345"/>
    <w:rsid w:val="6CE95D1F"/>
    <w:rsid w:val="6CEC139B"/>
    <w:rsid w:val="6CEF1588"/>
    <w:rsid w:val="6CF52916"/>
    <w:rsid w:val="6D0668D1"/>
    <w:rsid w:val="6D0B3EE8"/>
    <w:rsid w:val="6D107750"/>
    <w:rsid w:val="6D184E6C"/>
    <w:rsid w:val="6D350F65"/>
    <w:rsid w:val="6D3A657B"/>
    <w:rsid w:val="6D4D62AE"/>
    <w:rsid w:val="6D583572"/>
    <w:rsid w:val="6D5B6C1D"/>
    <w:rsid w:val="6D6B4986"/>
    <w:rsid w:val="6D6D6950"/>
    <w:rsid w:val="6D981C1F"/>
    <w:rsid w:val="6DB14A8F"/>
    <w:rsid w:val="6DB97DE8"/>
    <w:rsid w:val="6DC20A4A"/>
    <w:rsid w:val="6DC347C2"/>
    <w:rsid w:val="6DC971E3"/>
    <w:rsid w:val="6DCA5B51"/>
    <w:rsid w:val="6DDB5FB0"/>
    <w:rsid w:val="6DE5298B"/>
    <w:rsid w:val="6E0F17B6"/>
    <w:rsid w:val="6E13574A"/>
    <w:rsid w:val="6E166FE8"/>
    <w:rsid w:val="6E1D6F24"/>
    <w:rsid w:val="6E3F02ED"/>
    <w:rsid w:val="6E405E13"/>
    <w:rsid w:val="6E453429"/>
    <w:rsid w:val="6E55366C"/>
    <w:rsid w:val="6E5A0C83"/>
    <w:rsid w:val="6E5A6ED5"/>
    <w:rsid w:val="6E5C0E9F"/>
    <w:rsid w:val="6E5F273D"/>
    <w:rsid w:val="6E625D89"/>
    <w:rsid w:val="6E657628"/>
    <w:rsid w:val="6E680B4E"/>
    <w:rsid w:val="6E69536A"/>
    <w:rsid w:val="6E6E0BD2"/>
    <w:rsid w:val="6E753D0F"/>
    <w:rsid w:val="6E7B6E4B"/>
    <w:rsid w:val="6E985C4F"/>
    <w:rsid w:val="6EA36ACE"/>
    <w:rsid w:val="6EA463A2"/>
    <w:rsid w:val="6EB5235D"/>
    <w:rsid w:val="6EC175DC"/>
    <w:rsid w:val="6EC801D0"/>
    <w:rsid w:val="6ED30A35"/>
    <w:rsid w:val="6ED35967"/>
    <w:rsid w:val="6ED8429D"/>
    <w:rsid w:val="6EF74EAA"/>
    <w:rsid w:val="6F0137F4"/>
    <w:rsid w:val="6F062BB9"/>
    <w:rsid w:val="6F0B6421"/>
    <w:rsid w:val="6F1277AF"/>
    <w:rsid w:val="6F141779"/>
    <w:rsid w:val="6F26325B"/>
    <w:rsid w:val="6F2F65B3"/>
    <w:rsid w:val="6F307C36"/>
    <w:rsid w:val="6F3911E0"/>
    <w:rsid w:val="6F433E0D"/>
    <w:rsid w:val="6F435BBB"/>
    <w:rsid w:val="6F4E54A4"/>
    <w:rsid w:val="6F541B76"/>
    <w:rsid w:val="6F543924"/>
    <w:rsid w:val="6F6618A9"/>
    <w:rsid w:val="6F7C10CD"/>
    <w:rsid w:val="6F865AA7"/>
    <w:rsid w:val="6F885CC3"/>
    <w:rsid w:val="6F8A37EA"/>
    <w:rsid w:val="6F8D6E36"/>
    <w:rsid w:val="6F977CB5"/>
    <w:rsid w:val="6FA128E1"/>
    <w:rsid w:val="6FB30EF7"/>
    <w:rsid w:val="6FB676E1"/>
    <w:rsid w:val="6FCA008A"/>
    <w:rsid w:val="6FD24704"/>
    <w:rsid w:val="6FD61C0D"/>
    <w:rsid w:val="6FD809F9"/>
    <w:rsid w:val="6FE253D4"/>
    <w:rsid w:val="6FE32EFA"/>
    <w:rsid w:val="6FE41740"/>
    <w:rsid w:val="6FEA4288"/>
    <w:rsid w:val="6FEF189F"/>
    <w:rsid w:val="6FFB0243"/>
    <w:rsid w:val="700215D2"/>
    <w:rsid w:val="700F0193"/>
    <w:rsid w:val="701337DF"/>
    <w:rsid w:val="701E2184"/>
    <w:rsid w:val="702C664F"/>
    <w:rsid w:val="70311EB7"/>
    <w:rsid w:val="703A5210"/>
    <w:rsid w:val="703C62B3"/>
    <w:rsid w:val="704B11CB"/>
    <w:rsid w:val="705F07D2"/>
    <w:rsid w:val="70657DB3"/>
    <w:rsid w:val="70690479"/>
    <w:rsid w:val="706C7393"/>
    <w:rsid w:val="70851853"/>
    <w:rsid w:val="70932B72"/>
    <w:rsid w:val="709A3F00"/>
    <w:rsid w:val="70B12FF8"/>
    <w:rsid w:val="70C17BF2"/>
    <w:rsid w:val="70C20D61"/>
    <w:rsid w:val="70C42D2B"/>
    <w:rsid w:val="70CE7706"/>
    <w:rsid w:val="70D56CE6"/>
    <w:rsid w:val="70ED4030"/>
    <w:rsid w:val="70F353BF"/>
    <w:rsid w:val="70F84783"/>
    <w:rsid w:val="70FA499F"/>
    <w:rsid w:val="71092E34"/>
    <w:rsid w:val="71153587"/>
    <w:rsid w:val="71186BD3"/>
    <w:rsid w:val="711C4915"/>
    <w:rsid w:val="71213CDA"/>
    <w:rsid w:val="712B6906"/>
    <w:rsid w:val="713C0B14"/>
    <w:rsid w:val="71467BE4"/>
    <w:rsid w:val="71607830"/>
    <w:rsid w:val="716342F2"/>
    <w:rsid w:val="71867FE1"/>
    <w:rsid w:val="71900E5F"/>
    <w:rsid w:val="71940950"/>
    <w:rsid w:val="719C1F4A"/>
    <w:rsid w:val="71A5490B"/>
    <w:rsid w:val="71A768D5"/>
    <w:rsid w:val="71AA0173"/>
    <w:rsid w:val="71B52674"/>
    <w:rsid w:val="71BE59CD"/>
    <w:rsid w:val="71C64881"/>
    <w:rsid w:val="71C75112"/>
    <w:rsid w:val="71DE7E1D"/>
    <w:rsid w:val="71F15DA2"/>
    <w:rsid w:val="72037883"/>
    <w:rsid w:val="720C498A"/>
    <w:rsid w:val="72165809"/>
    <w:rsid w:val="7227662E"/>
    <w:rsid w:val="722C2936"/>
    <w:rsid w:val="722F2426"/>
    <w:rsid w:val="7231619E"/>
    <w:rsid w:val="724F4877"/>
    <w:rsid w:val="72587BCF"/>
    <w:rsid w:val="72640322"/>
    <w:rsid w:val="72655E48"/>
    <w:rsid w:val="72730565"/>
    <w:rsid w:val="72834520"/>
    <w:rsid w:val="72A72905"/>
    <w:rsid w:val="72AC73D0"/>
    <w:rsid w:val="72B868C0"/>
    <w:rsid w:val="72CE60E3"/>
    <w:rsid w:val="72D11266"/>
    <w:rsid w:val="72DF5BFA"/>
    <w:rsid w:val="72E41463"/>
    <w:rsid w:val="72E43211"/>
    <w:rsid w:val="72F71196"/>
    <w:rsid w:val="73010267"/>
    <w:rsid w:val="73075151"/>
    <w:rsid w:val="73306456"/>
    <w:rsid w:val="73326672"/>
    <w:rsid w:val="73340F05"/>
    <w:rsid w:val="73351CBE"/>
    <w:rsid w:val="733A5527"/>
    <w:rsid w:val="73506AF8"/>
    <w:rsid w:val="73555EBD"/>
    <w:rsid w:val="735F4F8D"/>
    <w:rsid w:val="736507F6"/>
    <w:rsid w:val="7379123A"/>
    <w:rsid w:val="737C78ED"/>
    <w:rsid w:val="73830C7C"/>
    <w:rsid w:val="739509AF"/>
    <w:rsid w:val="73972904"/>
    <w:rsid w:val="7399224D"/>
    <w:rsid w:val="739C1D3D"/>
    <w:rsid w:val="73A6496A"/>
    <w:rsid w:val="73A66718"/>
    <w:rsid w:val="73BB49CC"/>
    <w:rsid w:val="73C03C7E"/>
    <w:rsid w:val="73C05019"/>
    <w:rsid w:val="73C17798"/>
    <w:rsid w:val="73C179F6"/>
    <w:rsid w:val="73C6500C"/>
    <w:rsid w:val="73CF5C6F"/>
    <w:rsid w:val="73E536E4"/>
    <w:rsid w:val="73E831D5"/>
    <w:rsid w:val="73F2195D"/>
    <w:rsid w:val="740C0C71"/>
    <w:rsid w:val="74116287"/>
    <w:rsid w:val="74147B26"/>
    <w:rsid w:val="742324ED"/>
    <w:rsid w:val="74237D69"/>
    <w:rsid w:val="743E2DF5"/>
    <w:rsid w:val="7443665D"/>
    <w:rsid w:val="7452064E"/>
    <w:rsid w:val="7456013E"/>
    <w:rsid w:val="745E5245"/>
    <w:rsid w:val="7467234B"/>
    <w:rsid w:val="748F3650"/>
    <w:rsid w:val="74A15B41"/>
    <w:rsid w:val="74AF5AA0"/>
    <w:rsid w:val="74B86703"/>
    <w:rsid w:val="74B9247B"/>
    <w:rsid w:val="74BD1F6B"/>
    <w:rsid w:val="74C55EC1"/>
    <w:rsid w:val="74CA4688"/>
    <w:rsid w:val="74DB0643"/>
    <w:rsid w:val="74E21DF1"/>
    <w:rsid w:val="74EE0377"/>
    <w:rsid w:val="74F82FA3"/>
    <w:rsid w:val="75061B64"/>
    <w:rsid w:val="75071439"/>
    <w:rsid w:val="750A2CD7"/>
    <w:rsid w:val="75226B23"/>
    <w:rsid w:val="75267B11"/>
    <w:rsid w:val="75322959"/>
    <w:rsid w:val="7535244A"/>
    <w:rsid w:val="75371D1E"/>
    <w:rsid w:val="75383CE8"/>
    <w:rsid w:val="753A35BC"/>
    <w:rsid w:val="753F6E24"/>
    <w:rsid w:val="755723C0"/>
    <w:rsid w:val="756920F3"/>
    <w:rsid w:val="75720FA8"/>
    <w:rsid w:val="7581743D"/>
    <w:rsid w:val="75826D11"/>
    <w:rsid w:val="75952EE8"/>
    <w:rsid w:val="759915A9"/>
    <w:rsid w:val="759A22AD"/>
    <w:rsid w:val="759C4277"/>
    <w:rsid w:val="75A33736"/>
    <w:rsid w:val="75A629FF"/>
    <w:rsid w:val="75AB270C"/>
    <w:rsid w:val="75AE7B06"/>
    <w:rsid w:val="75BA294F"/>
    <w:rsid w:val="75C12C13"/>
    <w:rsid w:val="75C14E11"/>
    <w:rsid w:val="75CE5EB9"/>
    <w:rsid w:val="75D27C98"/>
    <w:rsid w:val="75DE5EFB"/>
    <w:rsid w:val="75EB0D5A"/>
    <w:rsid w:val="75F96FD3"/>
    <w:rsid w:val="75FE45EA"/>
    <w:rsid w:val="760140DA"/>
    <w:rsid w:val="760616F0"/>
    <w:rsid w:val="760D2A7F"/>
    <w:rsid w:val="76171B4F"/>
    <w:rsid w:val="76272880"/>
    <w:rsid w:val="762F50EB"/>
    <w:rsid w:val="76397D18"/>
    <w:rsid w:val="76515EBE"/>
    <w:rsid w:val="765D3A06"/>
    <w:rsid w:val="766234D3"/>
    <w:rsid w:val="766905FD"/>
    <w:rsid w:val="766E5C13"/>
    <w:rsid w:val="7671300D"/>
    <w:rsid w:val="76747FB2"/>
    <w:rsid w:val="76852F5D"/>
    <w:rsid w:val="768865A9"/>
    <w:rsid w:val="768A40CF"/>
    <w:rsid w:val="769158AA"/>
    <w:rsid w:val="769B008A"/>
    <w:rsid w:val="76B86E8E"/>
    <w:rsid w:val="76BF646F"/>
    <w:rsid w:val="76C1103D"/>
    <w:rsid w:val="76FB321F"/>
    <w:rsid w:val="7702635B"/>
    <w:rsid w:val="771542E1"/>
    <w:rsid w:val="772067E2"/>
    <w:rsid w:val="77212C85"/>
    <w:rsid w:val="773109EF"/>
    <w:rsid w:val="77324E93"/>
    <w:rsid w:val="773C7ABF"/>
    <w:rsid w:val="7746449A"/>
    <w:rsid w:val="77476464"/>
    <w:rsid w:val="774C5829"/>
    <w:rsid w:val="774E334F"/>
    <w:rsid w:val="776E6E78"/>
    <w:rsid w:val="77731007"/>
    <w:rsid w:val="77751E5F"/>
    <w:rsid w:val="77764653"/>
    <w:rsid w:val="777736FE"/>
    <w:rsid w:val="777D59E2"/>
    <w:rsid w:val="77860D3A"/>
    <w:rsid w:val="778E4676"/>
    <w:rsid w:val="77925931"/>
    <w:rsid w:val="77955DC5"/>
    <w:rsid w:val="77B37656"/>
    <w:rsid w:val="77B533CE"/>
    <w:rsid w:val="77C24D06"/>
    <w:rsid w:val="77CD23CE"/>
    <w:rsid w:val="780D4FB8"/>
    <w:rsid w:val="781F6A99"/>
    <w:rsid w:val="78212811"/>
    <w:rsid w:val="78281DF2"/>
    <w:rsid w:val="78554479"/>
    <w:rsid w:val="7859644F"/>
    <w:rsid w:val="78670B6C"/>
    <w:rsid w:val="78680440"/>
    <w:rsid w:val="78770683"/>
    <w:rsid w:val="787B63C5"/>
    <w:rsid w:val="787D213D"/>
    <w:rsid w:val="78940C6A"/>
    <w:rsid w:val="789D27E0"/>
    <w:rsid w:val="789F4AFD"/>
    <w:rsid w:val="78A53442"/>
    <w:rsid w:val="78B673FD"/>
    <w:rsid w:val="78BB2C66"/>
    <w:rsid w:val="78C0027C"/>
    <w:rsid w:val="78C733B9"/>
    <w:rsid w:val="78CA4C57"/>
    <w:rsid w:val="78CE71F9"/>
    <w:rsid w:val="78EA354B"/>
    <w:rsid w:val="793622EC"/>
    <w:rsid w:val="793703A8"/>
    <w:rsid w:val="79450781"/>
    <w:rsid w:val="79605479"/>
    <w:rsid w:val="79652BD2"/>
    <w:rsid w:val="79782905"/>
    <w:rsid w:val="797D616D"/>
    <w:rsid w:val="798474FC"/>
    <w:rsid w:val="79854C1B"/>
    <w:rsid w:val="79872B48"/>
    <w:rsid w:val="798B2638"/>
    <w:rsid w:val="79A33E26"/>
    <w:rsid w:val="79B31B8F"/>
    <w:rsid w:val="79B7342D"/>
    <w:rsid w:val="79B80F53"/>
    <w:rsid w:val="79BA462A"/>
    <w:rsid w:val="79BA4CCB"/>
    <w:rsid w:val="79BD2A0E"/>
    <w:rsid w:val="79C8388C"/>
    <w:rsid w:val="79D40FAF"/>
    <w:rsid w:val="79DC2E94"/>
    <w:rsid w:val="79E24222"/>
    <w:rsid w:val="79FC7092"/>
    <w:rsid w:val="7A170370"/>
    <w:rsid w:val="7A291E51"/>
    <w:rsid w:val="7A3B22B0"/>
    <w:rsid w:val="7A441A53"/>
    <w:rsid w:val="7A4F18B8"/>
    <w:rsid w:val="7A5B64AE"/>
    <w:rsid w:val="7A613399"/>
    <w:rsid w:val="7A8157E9"/>
    <w:rsid w:val="7A886B78"/>
    <w:rsid w:val="7A903C7E"/>
    <w:rsid w:val="7A9B06C5"/>
    <w:rsid w:val="7AA5772A"/>
    <w:rsid w:val="7AB87CEE"/>
    <w:rsid w:val="7ACC27FF"/>
    <w:rsid w:val="7AD1051F"/>
    <w:rsid w:val="7ADC6EC3"/>
    <w:rsid w:val="7AE30252"/>
    <w:rsid w:val="7AE53FCA"/>
    <w:rsid w:val="7AE77D42"/>
    <w:rsid w:val="7AEC35AA"/>
    <w:rsid w:val="7B0408F4"/>
    <w:rsid w:val="7B087CB8"/>
    <w:rsid w:val="7B2C39A7"/>
    <w:rsid w:val="7B314EB2"/>
    <w:rsid w:val="7B315461"/>
    <w:rsid w:val="7B3B1E3C"/>
    <w:rsid w:val="7B3F7B7E"/>
    <w:rsid w:val="7B4F7695"/>
    <w:rsid w:val="7B507F03"/>
    <w:rsid w:val="7B5D0004"/>
    <w:rsid w:val="7B735A7A"/>
    <w:rsid w:val="7B7470FC"/>
    <w:rsid w:val="7B7517F2"/>
    <w:rsid w:val="7B7D06A6"/>
    <w:rsid w:val="7B8B2DC3"/>
    <w:rsid w:val="7B9652C4"/>
    <w:rsid w:val="7BC736D0"/>
    <w:rsid w:val="7BCB1412"/>
    <w:rsid w:val="7BD52290"/>
    <w:rsid w:val="7BDA1655"/>
    <w:rsid w:val="7BE05BB5"/>
    <w:rsid w:val="7BE10C35"/>
    <w:rsid w:val="7BE2675B"/>
    <w:rsid w:val="7BEB1AB4"/>
    <w:rsid w:val="7BEF5047"/>
    <w:rsid w:val="7BF22E42"/>
    <w:rsid w:val="7BFA1CF7"/>
    <w:rsid w:val="7BFA55A5"/>
    <w:rsid w:val="7BFC15CB"/>
    <w:rsid w:val="7C030BAC"/>
    <w:rsid w:val="7C120DEF"/>
    <w:rsid w:val="7C2154D6"/>
    <w:rsid w:val="7C2366FD"/>
    <w:rsid w:val="7C240B22"/>
    <w:rsid w:val="7C2A52CB"/>
    <w:rsid w:val="7C3F3BAE"/>
    <w:rsid w:val="7C413482"/>
    <w:rsid w:val="7C460A98"/>
    <w:rsid w:val="7C490589"/>
    <w:rsid w:val="7C4D0079"/>
    <w:rsid w:val="7C4F2043"/>
    <w:rsid w:val="7C611D76"/>
    <w:rsid w:val="7C613B24"/>
    <w:rsid w:val="7C7E6484"/>
    <w:rsid w:val="7C855A65"/>
    <w:rsid w:val="7C926D2C"/>
    <w:rsid w:val="7CB65C1E"/>
    <w:rsid w:val="7CBC0D5A"/>
    <w:rsid w:val="7CC83BA3"/>
    <w:rsid w:val="7CD6006E"/>
    <w:rsid w:val="7CDB5685"/>
    <w:rsid w:val="7CDD764F"/>
    <w:rsid w:val="7CE02C9B"/>
    <w:rsid w:val="7CEC7892"/>
    <w:rsid w:val="7CEF1130"/>
    <w:rsid w:val="7CF229CE"/>
    <w:rsid w:val="7CFC072C"/>
    <w:rsid w:val="7CFD384D"/>
    <w:rsid w:val="7D0050EB"/>
    <w:rsid w:val="7D020E63"/>
    <w:rsid w:val="7D1110A6"/>
    <w:rsid w:val="7D1666BD"/>
    <w:rsid w:val="7D260A8C"/>
    <w:rsid w:val="7D2A660C"/>
    <w:rsid w:val="7D3905FD"/>
    <w:rsid w:val="7D3D1E9B"/>
    <w:rsid w:val="7D4274B2"/>
    <w:rsid w:val="7D4278A5"/>
    <w:rsid w:val="7D4C20DE"/>
    <w:rsid w:val="7D4F7E21"/>
    <w:rsid w:val="7D657D5A"/>
    <w:rsid w:val="7D7D79ED"/>
    <w:rsid w:val="7D80622C"/>
    <w:rsid w:val="7D823D52"/>
    <w:rsid w:val="7D853842"/>
    <w:rsid w:val="7D965A4F"/>
    <w:rsid w:val="7D9B4E14"/>
    <w:rsid w:val="7DAE0FEB"/>
    <w:rsid w:val="7DCC1688"/>
    <w:rsid w:val="7DD56578"/>
    <w:rsid w:val="7DDB3462"/>
    <w:rsid w:val="7DDD542C"/>
    <w:rsid w:val="7DDF6300"/>
    <w:rsid w:val="7DE60216"/>
    <w:rsid w:val="7DE60785"/>
    <w:rsid w:val="7DE844FD"/>
    <w:rsid w:val="7DE95B7F"/>
    <w:rsid w:val="7DEC566F"/>
    <w:rsid w:val="7E03776A"/>
    <w:rsid w:val="7E0B1F99"/>
    <w:rsid w:val="7E301A00"/>
    <w:rsid w:val="7E447259"/>
    <w:rsid w:val="7E645B88"/>
    <w:rsid w:val="7E6B0C8A"/>
    <w:rsid w:val="7E6D661C"/>
    <w:rsid w:val="7E6E2528"/>
    <w:rsid w:val="7E745D91"/>
    <w:rsid w:val="7E924469"/>
    <w:rsid w:val="7E926217"/>
    <w:rsid w:val="7E957AB5"/>
    <w:rsid w:val="7E9A371A"/>
    <w:rsid w:val="7EA47CF8"/>
    <w:rsid w:val="7EB02B41"/>
    <w:rsid w:val="7EB97C47"/>
    <w:rsid w:val="7EBB7543"/>
    <w:rsid w:val="7EC860DC"/>
    <w:rsid w:val="7ECF2FC7"/>
    <w:rsid w:val="7ED21A34"/>
    <w:rsid w:val="7ED71E7C"/>
    <w:rsid w:val="7ED92098"/>
    <w:rsid w:val="7EED78F1"/>
    <w:rsid w:val="7EF7251E"/>
    <w:rsid w:val="7F0C595B"/>
    <w:rsid w:val="7F121106"/>
    <w:rsid w:val="7F2350C1"/>
    <w:rsid w:val="7F264BB1"/>
    <w:rsid w:val="7F275DB7"/>
    <w:rsid w:val="7F2F1CB8"/>
    <w:rsid w:val="7F390D88"/>
    <w:rsid w:val="7F402581"/>
    <w:rsid w:val="7F4D213E"/>
    <w:rsid w:val="7F6851CA"/>
    <w:rsid w:val="7F6A2CF0"/>
    <w:rsid w:val="7F6C2F0C"/>
    <w:rsid w:val="7F6D27E0"/>
    <w:rsid w:val="7F78540D"/>
    <w:rsid w:val="7F857B2A"/>
    <w:rsid w:val="7F914720"/>
    <w:rsid w:val="7F945FBF"/>
    <w:rsid w:val="7F956D5C"/>
    <w:rsid w:val="7F963AE5"/>
    <w:rsid w:val="7F9B559F"/>
    <w:rsid w:val="7FA2248A"/>
    <w:rsid w:val="7FA97CBC"/>
    <w:rsid w:val="7FB81CAD"/>
    <w:rsid w:val="7FB83A5B"/>
    <w:rsid w:val="7FBA3C77"/>
    <w:rsid w:val="7FC760F5"/>
    <w:rsid w:val="7FDB3BED"/>
    <w:rsid w:val="7FDE37F0"/>
    <w:rsid w:val="7FDF723A"/>
    <w:rsid w:val="7FE64A6C"/>
    <w:rsid w:val="7FEF1CAB"/>
    <w:rsid w:val="7FF32CE5"/>
    <w:rsid w:val="7FF5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1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255"/>
    <w:autoRedefine/>
    <w:qFormat/>
    <w:uiPriority w:val="99"/>
    <w:pPr>
      <w:snapToGrid w:val="0"/>
      <w:spacing w:before="120" w:after="120" w:line="360" w:lineRule="auto"/>
      <w:jc w:val="center"/>
      <w:outlineLvl w:val="0"/>
    </w:pPr>
    <w:rPr>
      <w:rFonts w:hAnsi="宋体" w:cs="Calibri"/>
      <w:b/>
      <w:bCs/>
      <w:color w:val="000000"/>
      <w:sz w:val="30"/>
      <w:szCs w:val="30"/>
    </w:rPr>
  </w:style>
  <w:style w:type="paragraph" w:styleId="3">
    <w:name w:val="heading 2"/>
    <w:basedOn w:val="1"/>
    <w:next w:val="1"/>
    <w:link w:val="256"/>
    <w:qFormat/>
    <w:uiPriority w:val="99"/>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257"/>
    <w:qFormat/>
    <w:uiPriority w:val="99"/>
    <w:pPr>
      <w:keepNext/>
      <w:keepLines/>
      <w:adjustRightInd w:val="0"/>
      <w:spacing w:before="260" w:after="260" w:line="416" w:lineRule="atLeast"/>
      <w:textAlignment w:val="baseline"/>
      <w:outlineLvl w:val="2"/>
    </w:pPr>
    <w:rPr>
      <w:rFonts w:cs="Calibri"/>
      <w:b/>
      <w:bCs/>
      <w:kern w:val="0"/>
      <w:sz w:val="32"/>
      <w:szCs w:val="32"/>
    </w:rPr>
  </w:style>
  <w:style w:type="paragraph" w:styleId="5">
    <w:name w:val="heading 4"/>
    <w:basedOn w:val="1"/>
    <w:next w:val="1"/>
    <w:link w:val="258"/>
    <w:qFormat/>
    <w:uiPriority w:val="99"/>
    <w:pPr>
      <w:keepNext/>
      <w:keepLines/>
      <w:spacing w:before="280" w:after="290" w:line="372" w:lineRule="auto"/>
      <w:outlineLvl w:val="3"/>
    </w:pPr>
    <w:rPr>
      <w:rFonts w:ascii="Arial" w:hAnsi="Arial" w:eastAsia="黑体" w:cs="Arial"/>
      <w:b/>
      <w:bCs/>
      <w:sz w:val="28"/>
      <w:szCs w:val="28"/>
    </w:rPr>
  </w:style>
  <w:style w:type="paragraph" w:styleId="6">
    <w:name w:val="heading 5"/>
    <w:basedOn w:val="1"/>
    <w:next w:val="7"/>
    <w:link w:val="259"/>
    <w:qFormat/>
    <w:uiPriority w:val="99"/>
    <w:pPr>
      <w:keepNext/>
      <w:keepLines/>
      <w:numPr>
        <w:ilvl w:val="4"/>
        <w:numId w:val="1"/>
      </w:numPr>
      <w:spacing w:before="280" w:after="290" w:line="372" w:lineRule="auto"/>
      <w:outlineLvl w:val="4"/>
    </w:pPr>
    <w:rPr>
      <w:rFonts w:cs="Calibri"/>
      <w:b/>
      <w:bCs/>
      <w:sz w:val="28"/>
      <w:szCs w:val="28"/>
    </w:rPr>
  </w:style>
  <w:style w:type="paragraph" w:styleId="8">
    <w:name w:val="heading 6"/>
    <w:basedOn w:val="1"/>
    <w:next w:val="7"/>
    <w:link w:val="260"/>
    <w:qFormat/>
    <w:uiPriority w:val="99"/>
    <w:pPr>
      <w:keepNext/>
      <w:keepLines/>
      <w:numPr>
        <w:ilvl w:val="5"/>
        <w:numId w:val="1"/>
      </w:numPr>
      <w:spacing w:before="240" w:after="64" w:line="317" w:lineRule="auto"/>
      <w:outlineLvl w:val="5"/>
    </w:pPr>
    <w:rPr>
      <w:rFonts w:ascii="Arial" w:hAnsi="Arial" w:eastAsia="黑体" w:cs="Arial"/>
      <w:b/>
      <w:bCs/>
      <w:sz w:val="24"/>
      <w:szCs w:val="24"/>
    </w:rPr>
  </w:style>
  <w:style w:type="paragraph" w:styleId="9">
    <w:name w:val="heading 7"/>
    <w:basedOn w:val="1"/>
    <w:next w:val="7"/>
    <w:link w:val="261"/>
    <w:qFormat/>
    <w:uiPriority w:val="99"/>
    <w:pPr>
      <w:keepNext/>
      <w:keepLines/>
      <w:numPr>
        <w:ilvl w:val="6"/>
        <w:numId w:val="1"/>
      </w:numPr>
      <w:spacing w:before="240" w:after="64" w:line="317" w:lineRule="auto"/>
      <w:outlineLvl w:val="6"/>
    </w:pPr>
    <w:rPr>
      <w:rFonts w:cs="Calibri"/>
      <w:b/>
      <w:bCs/>
      <w:sz w:val="24"/>
      <w:szCs w:val="24"/>
    </w:rPr>
  </w:style>
  <w:style w:type="paragraph" w:styleId="10">
    <w:name w:val="heading 8"/>
    <w:basedOn w:val="1"/>
    <w:next w:val="7"/>
    <w:link w:val="262"/>
    <w:qFormat/>
    <w:uiPriority w:val="99"/>
    <w:pPr>
      <w:keepNext/>
      <w:keepLines/>
      <w:numPr>
        <w:ilvl w:val="7"/>
        <w:numId w:val="1"/>
      </w:numPr>
      <w:spacing w:before="240" w:after="64" w:line="317" w:lineRule="auto"/>
      <w:outlineLvl w:val="7"/>
    </w:pPr>
    <w:rPr>
      <w:rFonts w:ascii="Arial" w:hAnsi="Arial" w:eastAsia="黑体" w:cs="Arial"/>
      <w:sz w:val="24"/>
      <w:szCs w:val="24"/>
    </w:rPr>
  </w:style>
  <w:style w:type="paragraph" w:styleId="11">
    <w:name w:val="heading 9"/>
    <w:basedOn w:val="1"/>
    <w:next w:val="7"/>
    <w:link w:val="263"/>
    <w:qFormat/>
    <w:uiPriority w:val="99"/>
    <w:pPr>
      <w:keepNext/>
      <w:keepLines/>
      <w:numPr>
        <w:ilvl w:val="8"/>
        <w:numId w:val="1"/>
      </w:numPr>
      <w:spacing w:before="240" w:after="64" w:line="317" w:lineRule="auto"/>
      <w:outlineLvl w:val="8"/>
    </w:pPr>
    <w:rPr>
      <w:rFonts w:ascii="Arial" w:hAnsi="Arial" w:eastAsia="黑体" w:cs="Arial"/>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254"/>
    <w:qFormat/>
    <w:uiPriority w:val="99"/>
    <w:pPr>
      <w:spacing w:line="360" w:lineRule="auto"/>
      <w:ind w:firstLine="420"/>
    </w:pPr>
  </w:style>
  <w:style w:type="paragraph" w:styleId="12">
    <w:name w:val="toc 7"/>
    <w:basedOn w:val="1"/>
    <w:next w:val="1"/>
    <w:semiHidden/>
    <w:qFormat/>
    <w:uiPriority w:val="99"/>
    <w:pPr>
      <w:ind w:left="1260"/>
      <w:jc w:val="left"/>
    </w:pPr>
    <w:rPr>
      <w:sz w:val="18"/>
      <w:szCs w:val="18"/>
    </w:rPr>
  </w:style>
  <w:style w:type="paragraph" w:styleId="13">
    <w:name w:val="List Number"/>
    <w:basedOn w:val="1"/>
    <w:qFormat/>
    <w:uiPriority w:val="99"/>
    <w:pPr>
      <w:widowControl/>
      <w:tabs>
        <w:tab w:val="left" w:pos="454"/>
        <w:tab w:val="left" w:pos="720"/>
      </w:tabs>
      <w:spacing w:afterLines="50"/>
      <w:ind w:left="454" w:hanging="284"/>
      <w:jc w:val="left"/>
    </w:pPr>
    <w:rPr>
      <w:kern w:val="0"/>
      <w:sz w:val="24"/>
      <w:szCs w:val="24"/>
    </w:r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Document Map"/>
    <w:basedOn w:val="1"/>
    <w:link w:val="264"/>
    <w:semiHidden/>
    <w:qFormat/>
    <w:uiPriority w:val="99"/>
    <w:pPr>
      <w:shd w:val="clear" w:color="auto" w:fill="000080"/>
    </w:pPr>
    <w:rPr>
      <w:rFonts w:cs="Calibri"/>
      <w:shd w:val="clear" w:color="auto" w:fill="000080"/>
    </w:rPr>
  </w:style>
  <w:style w:type="paragraph" w:styleId="16">
    <w:name w:val="annotation text"/>
    <w:basedOn w:val="1"/>
    <w:link w:val="265"/>
    <w:semiHidden/>
    <w:qFormat/>
    <w:uiPriority w:val="99"/>
    <w:pPr>
      <w:jc w:val="left"/>
    </w:pPr>
    <w:rPr>
      <w:rFonts w:cs="Calibri"/>
    </w:rPr>
  </w:style>
  <w:style w:type="paragraph" w:styleId="17">
    <w:name w:val="Body Text 3"/>
    <w:basedOn w:val="1"/>
    <w:link w:val="266"/>
    <w:qFormat/>
    <w:uiPriority w:val="99"/>
    <w:pPr>
      <w:snapToGrid w:val="0"/>
      <w:spacing w:before="50" w:after="50"/>
    </w:pPr>
    <w:rPr>
      <w:rFonts w:hAnsi="宋体" w:eastAsia="仿宋_GB2312" w:cs="Calibri"/>
      <w:b/>
      <w:bCs/>
      <w:sz w:val="24"/>
      <w:szCs w:val="24"/>
    </w:rPr>
  </w:style>
  <w:style w:type="paragraph" w:styleId="18">
    <w:name w:val="Body Text"/>
    <w:basedOn w:val="1"/>
    <w:link w:val="267"/>
    <w:qFormat/>
    <w:uiPriority w:val="99"/>
    <w:pPr>
      <w:spacing w:after="120"/>
    </w:pPr>
    <w:rPr>
      <w:rFonts w:cs="Calibri"/>
      <w:sz w:val="28"/>
      <w:szCs w:val="28"/>
    </w:rPr>
  </w:style>
  <w:style w:type="paragraph" w:styleId="19">
    <w:name w:val="Body Text Indent"/>
    <w:basedOn w:val="1"/>
    <w:next w:val="1"/>
    <w:link w:val="268"/>
    <w:qFormat/>
    <w:uiPriority w:val="99"/>
    <w:pPr>
      <w:spacing w:line="200" w:lineRule="exact"/>
      <w:ind w:firstLine="301"/>
    </w:pPr>
    <w:rPr>
      <w:rFonts w:ascii="宋体" w:hAnsi="Courier New" w:cs="宋体"/>
      <w:spacing w:val="-4"/>
      <w:sz w:val="18"/>
      <w:szCs w:val="18"/>
    </w:rPr>
  </w:style>
  <w:style w:type="paragraph" w:styleId="20">
    <w:name w:val="List Number 3"/>
    <w:basedOn w:val="1"/>
    <w:qFormat/>
    <w:uiPriority w:val="99"/>
    <w:pPr>
      <w:tabs>
        <w:tab w:val="left" w:pos="1200"/>
      </w:tabs>
      <w:ind w:left="1200" w:hanging="360"/>
    </w:pPr>
  </w:style>
  <w:style w:type="paragraph" w:styleId="21">
    <w:name w:val="List 2"/>
    <w:basedOn w:val="1"/>
    <w:qFormat/>
    <w:uiPriority w:val="99"/>
    <w:pPr>
      <w:ind w:left="100" w:leftChars="200" w:hanging="200" w:hangingChars="200"/>
    </w:pPr>
    <w:rPr>
      <w:sz w:val="28"/>
      <w:szCs w:val="28"/>
    </w:rPr>
  </w:style>
  <w:style w:type="paragraph" w:styleId="22">
    <w:name w:val="toc 5"/>
    <w:basedOn w:val="1"/>
    <w:next w:val="1"/>
    <w:autoRedefine/>
    <w:semiHidden/>
    <w:qFormat/>
    <w:uiPriority w:val="99"/>
    <w:pPr>
      <w:ind w:left="840"/>
      <w:jc w:val="left"/>
    </w:pPr>
    <w:rPr>
      <w:sz w:val="18"/>
      <w:szCs w:val="18"/>
    </w:rPr>
  </w:style>
  <w:style w:type="paragraph" w:styleId="23">
    <w:name w:val="toc 3"/>
    <w:basedOn w:val="1"/>
    <w:next w:val="1"/>
    <w:autoRedefine/>
    <w:semiHidden/>
    <w:qFormat/>
    <w:uiPriority w:val="99"/>
    <w:pPr>
      <w:ind w:left="420"/>
      <w:jc w:val="left"/>
    </w:pPr>
    <w:rPr>
      <w:i/>
      <w:iCs/>
      <w:sz w:val="20"/>
      <w:szCs w:val="20"/>
    </w:rPr>
  </w:style>
  <w:style w:type="paragraph" w:styleId="24">
    <w:name w:val="Plain Text"/>
    <w:basedOn w:val="1"/>
    <w:link w:val="269"/>
    <w:autoRedefine/>
    <w:qFormat/>
    <w:uiPriority w:val="99"/>
    <w:pPr>
      <w:spacing w:beforeLines="50" w:afterLines="50" w:line="400" w:lineRule="exact"/>
    </w:pPr>
    <w:rPr>
      <w:rFonts w:ascii="宋体" w:hAnsi="Courier New" w:cs="宋体"/>
      <w:sz w:val="24"/>
      <w:szCs w:val="24"/>
    </w:rPr>
  </w:style>
  <w:style w:type="paragraph" w:styleId="25">
    <w:name w:val="toc 8"/>
    <w:basedOn w:val="1"/>
    <w:next w:val="1"/>
    <w:autoRedefine/>
    <w:semiHidden/>
    <w:qFormat/>
    <w:uiPriority w:val="99"/>
    <w:pPr>
      <w:ind w:left="1470"/>
      <w:jc w:val="left"/>
    </w:pPr>
    <w:rPr>
      <w:sz w:val="18"/>
      <w:szCs w:val="18"/>
    </w:rPr>
  </w:style>
  <w:style w:type="paragraph" w:styleId="26">
    <w:name w:val="Date"/>
    <w:basedOn w:val="1"/>
    <w:next w:val="1"/>
    <w:link w:val="270"/>
    <w:autoRedefine/>
    <w:qFormat/>
    <w:uiPriority w:val="99"/>
    <w:pPr>
      <w:ind w:left="2500" w:leftChars="2500"/>
    </w:pPr>
    <w:rPr>
      <w:rFonts w:eastAsia="楷体_GB2312" w:cs="Calibri"/>
      <w:sz w:val="32"/>
      <w:szCs w:val="32"/>
    </w:rPr>
  </w:style>
  <w:style w:type="paragraph" w:styleId="27">
    <w:name w:val="Body Text Indent 2"/>
    <w:basedOn w:val="1"/>
    <w:link w:val="271"/>
    <w:autoRedefine/>
    <w:qFormat/>
    <w:uiPriority w:val="99"/>
    <w:pPr>
      <w:snapToGrid w:val="0"/>
      <w:ind w:firstLine="542" w:firstLineChars="225"/>
    </w:pPr>
    <w:rPr>
      <w:rFonts w:ascii="仿宋_GB2312" w:hAnsi="宋体" w:cs="仿宋_GB2312"/>
      <w:b/>
      <w:bCs/>
      <w:color w:val="000000"/>
      <w:sz w:val="24"/>
      <w:szCs w:val="24"/>
    </w:rPr>
  </w:style>
  <w:style w:type="paragraph" w:styleId="28">
    <w:name w:val="endnote text"/>
    <w:basedOn w:val="1"/>
    <w:link w:val="272"/>
    <w:autoRedefine/>
    <w:semiHidden/>
    <w:qFormat/>
    <w:uiPriority w:val="99"/>
    <w:pPr>
      <w:snapToGrid w:val="0"/>
      <w:jc w:val="left"/>
    </w:pPr>
    <w:rPr>
      <w:rFonts w:cs="Calibri"/>
    </w:rPr>
  </w:style>
  <w:style w:type="paragraph" w:styleId="29">
    <w:name w:val="Balloon Text"/>
    <w:basedOn w:val="1"/>
    <w:link w:val="273"/>
    <w:autoRedefine/>
    <w:semiHidden/>
    <w:qFormat/>
    <w:uiPriority w:val="99"/>
    <w:rPr>
      <w:rFonts w:cs="Calibri"/>
      <w:sz w:val="18"/>
      <w:szCs w:val="18"/>
    </w:rPr>
  </w:style>
  <w:style w:type="paragraph" w:styleId="30">
    <w:name w:val="footer"/>
    <w:basedOn w:val="1"/>
    <w:link w:val="274"/>
    <w:autoRedefine/>
    <w:qFormat/>
    <w:uiPriority w:val="99"/>
    <w:pPr>
      <w:tabs>
        <w:tab w:val="center" w:pos="4153"/>
        <w:tab w:val="right" w:pos="8306"/>
      </w:tabs>
      <w:snapToGrid w:val="0"/>
      <w:jc w:val="left"/>
    </w:pPr>
    <w:rPr>
      <w:rFonts w:eastAsia="黑体" w:cs="Calibri"/>
      <w:kern w:val="0"/>
      <w:sz w:val="18"/>
      <w:szCs w:val="18"/>
    </w:rPr>
  </w:style>
  <w:style w:type="paragraph" w:styleId="31">
    <w:name w:val="header"/>
    <w:basedOn w:val="1"/>
    <w:link w:val="275"/>
    <w:autoRedefine/>
    <w:qFormat/>
    <w:uiPriority w:val="99"/>
    <w:pPr>
      <w:pBdr>
        <w:bottom w:val="single" w:color="auto" w:sz="6" w:space="1"/>
      </w:pBdr>
      <w:tabs>
        <w:tab w:val="center" w:pos="4153"/>
        <w:tab w:val="right" w:pos="8306"/>
      </w:tabs>
      <w:snapToGrid w:val="0"/>
      <w:jc w:val="center"/>
    </w:pPr>
    <w:rPr>
      <w:rFonts w:eastAsia="仿宋_GB2312" w:cs="Calibri"/>
      <w:sz w:val="18"/>
      <w:szCs w:val="18"/>
    </w:rPr>
  </w:style>
  <w:style w:type="paragraph" w:styleId="32">
    <w:name w:val="toc 1"/>
    <w:basedOn w:val="1"/>
    <w:next w:val="1"/>
    <w:autoRedefine/>
    <w:semiHidden/>
    <w:qFormat/>
    <w:uiPriority w:val="99"/>
  </w:style>
  <w:style w:type="paragraph" w:styleId="33">
    <w:name w:val="toc 4"/>
    <w:basedOn w:val="1"/>
    <w:next w:val="1"/>
    <w:autoRedefine/>
    <w:semiHidden/>
    <w:qFormat/>
    <w:uiPriority w:val="99"/>
    <w:pPr>
      <w:ind w:left="630"/>
      <w:jc w:val="left"/>
    </w:pPr>
    <w:rPr>
      <w:sz w:val="18"/>
      <w:szCs w:val="18"/>
    </w:rPr>
  </w:style>
  <w:style w:type="paragraph" w:styleId="34">
    <w:name w:val="Subtitle"/>
    <w:basedOn w:val="1"/>
    <w:next w:val="1"/>
    <w:link w:val="276"/>
    <w:autoRedefine/>
    <w:qFormat/>
    <w:uiPriority w:val="99"/>
    <w:pPr>
      <w:spacing w:before="240" w:after="60" w:line="312" w:lineRule="auto"/>
      <w:jc w:val="center"/>
      <w:outlineLvl w:val="1"/>
    </w:pPr>
    <w:rPr>
      <w:rFonts w:ascii="Cambria" w:hAnsi="Cambria" w:cs="Cambria"/>
      <w:b/>
      <w:bCs/>
      <w:kern w:val="28"/>
      <w:sz w:val="32"/>
      <w:szCs w:val="32"/>
    </w:rPr>
  </w:style>
  <w:style w:type="paragraph" w:styleId="35">
    <w:name w:val="List"/>
    <w:basedOn w:val="1"/>
    <w:autoRedefine/>
    <w:qFormat/>
    <w:uiPriority w:val="99"/>
    <w:pPr>
      <w:ind w:left="200" w:hanging="200" w:hangingChars="200"/>
    </w:pPr>
    <w:rPr>
      <w:sz w:val="28"/>
      <w:szCs w:val="28"/>
    </w:rPr>
  </w:style>
  <w:style w:type="paragraph" w:styleId="36">
    <w:name w:val="footnote text"/>
    <w:basedOn w:val="1"/>
    <w:link w:val="277"/>
    <w:autoRedefine/>
    <w:semiHidden/>
    <w:qFormat/>
    <w:uiPriority w:val="99"/>
    <w:pPr>
      <w:snapToGrid w:val="0"/>
      <w:jc w:val="left"/>
    </w:pPr>
    <w:rPr>
      <w:rFonts w:cs="Calibri"/>
      <w:sz w:val="18"/>
      <w:szCs w:val="18"/>
    </w:rPr>
  </w:style>
  <w:style w:type="paragraph" w:styleId="37">
    <w:name w:val="toc 6"/>
    <w:basedOn w:val="1"/>
    <w:next w:val="1"/>
    <w:autoRedefine/>
    <w:semiHidden/>
    <w:qFormat/>
    <w:uiPriority w:val="99"/>
    <w:pPr>
      <w:ind w:left="1050"/>
      <w:jc w:val="left"/>
    </w:pPr>
    <w:rPr>
      <w:sz w:val="18"/>
      <w:szCs w:val="18"/>
    </w:rPr>
  </w:style>
  <w:style w:type="paragraph" w:styleId="38">
    <w:name w:val="Body Text Indent 3"/>
    <w:basedOn w:val="1"/>
    <w:link w:val="278"/>
    <w:autoRedefine/>
    <w:qFormat/>
    <w:uiPriority w:val="99"/>
    <w:pPr>
      <w:snapToGrid w:val="0"/>
      <w:ind w:firstLine="480" w:firstLineChars="200"/>
      <w:jc w:val="left"/>
    </w:pPr>
    <w:rPr>
      <w:rFonts w:ascii="仿宋_GB2312" w:hAnsi="宋体" w:eastAsia="仿宋_GB2312" w:cs="仿宋_GB2312"/>
      <w:color w:val="000000"/>
      <w:sz w:val="24"/>
      <w:szCs w:val="24"/>
    </w:rPr>
  </w:style>
  <w:style w:type="paragraph" w:styleId="39">
    <w:name w:val="toc 2"/>
    <w:basedOn w:val="1"/>
    <w:next w:val="1"/>
    <w:autoRedefine/>
    <w:semiHidden/>
    <w:qFormat/>
    <w:uiPriority w:val="99"/>
    <w:pPr>
      <w:ind w:left="210"/>
      <w:jc w:val="left"/>
    </w:pPr>
    <w:rPr>
      <w:smallCaps/>
      <w:sz w:val="20"/>
      <w:szCs w:val="20"/>
    </w:rPr>
  </w:style>
  <w:style w:type="paragraph" w:styleId="40">
    <w:name w:val="toc 9"/>
    <w:basedOn w:val="1"/>
    <w:next w:val="1"/>
    <w:autoRedefine/>
    <w:semiHidden/>
    <w:qFormat/>
    <w:uiPriority w:val="99"/>
    <w:pPr>
      <w:ind w:left="1680"/>
      <w:jc w:val="left"/>
    </w:pPr>
    <w:rPr>
      <w:sz w:val="18"/>
      <w:szCs w:val="18"/>
    </w:rPr>
  </w:style>
  <w:style w:type="paragraph" w:styleId="41">
    <w:name w:val="Body Text 2"/>
    <w:basedOn w:val="1"/>
    <w:link w:val="279"/>
    <w:autoRedefine/>
    <w:qFormat/>
    <w:uiPriority w:val="99"/>
    <w:pPr>
      <w:widowControl/>
      <w:snapToGrid w:val="0"/>
      <w:spacing w:before="50" w:afterLines="50" w:line="400" w:lineRule="exact"/>
      <w:jc w:val="left"/>
    </w:pPr>
    <w:rPr>
      <w:rFonts w:ascii="宋体" w:hAnsi="宋体" w:cs="宋体"/>
      <w:color w:val="000000"/>
      <w:sz w:val="24"/>
      <w:szCs w:val="24"/>
    </w:rPr>
  </w:style>
  <w:style w:type="paragraph" w:styleId="42">
    <w:name w:val="Normal (Web)"/>
    <w:basedOn w:val="1"/>
    <w:autoRedefine/>
    <w:qFormat/>
    <w:uiPriority w:val="99"/>
    <w:pPr>
      <w:widowControl/>
      <w:spacing w:before="100" w:beforeAutospacing="1" w:after="100" w:afterAutospacing="1"/>
      <w:jc w:val="left"/>
    </w:pPr>
    <w:rPr>
      <w:kern w:val="0"/>
      <w:sz w:val="24"/>
      <w:szCs w:val="24"/>
    </w:rPr>
  </w:style>
  <w:style w:type="paragraph" w:styleId="43">
    <w:name w:val="Title"/>
    <w:basedOn w:val="1"/>
    <w:next w:val="1"/>
    <w:link w:val="280"/>
    <w:autoRedefine/>
    <w:qFormat/>
    <w:uiPriority w:val="10"/>
    <w:pPr>
      <w:spacing w:before="240" w:after="60"/>
      <w:jc w:val="center"/>
      <w:outlineLvl w:val="0"/>
    </w:pPr>
    <w:rPr>
      <w:rFonts w:ascii="Cambria" w:hAnsi="Cambria" w:cs="Cambria"/>
      <w:b/>
      <w:bCs/>
      <w:sz w:val="32"/>
      <w:szCs w:val="32"/>
    </w:rPr>
  </w:style>
  <w:style w:type="paragraph" w:styleId="44">
    <w:name w:val="annotation subject"/>
    <w:basedOn w:val="16"/>
    <w:next w:val="16"/>
    <w:link w:val="281"/>
    <w:autoRedefine/>
    <w:semiHidden/>
    <w:qFormat/>
    <w:uiPriority w:val="99"/>
    <w:rPr>
      <w:b/>
      <w:bCs/>
    </w:rPr>
  </w:style>
  <w:style w:type="paragraph" w:styleId="45">
    <w:name w:val="Body Text First Indent"/>
    <w:basedOn w:val="18"/>
    <w:next w:val="37"/>
    <w:link w:val="282"/>
    <w:autoRedefine/>
    <w:qFormat/>
    <w:uiPriority w:val="99"/>
    <w:pPr>
      <w:ind w:firstLine="420" w:firstLineChars="100"/>
    </w:pPr>
    <w:rPr>
      <w:sz w:val="21"/>
      <w:szCs w:val="21"/>
    </w:rPr>
  </w:style>
  <w:style w:type="paragraph" w:styleId="46">
    <w:name w:val="Body Text First Indent 2"/>
    <w:basedOn w:val="19"/>
    <w:next w:val="1"/>
    <w:link w:val="283"/>
    <w:autoRedefine/>
    <w:qFormat/>
    <w:uiPriority w:val="99"/>
    <w:pPr>
      <w:spacing w:after="120" w:line="240" w:lineRule="auto"/>
      <w:ind w:left="420" w:leftChars="200" w:firstLine="420" w:firstLineChars="200"/>
    </w:pPr>
    <w:rPr>
      <w:rFonts w:ascii="Times New Roman" w:hAnsi="Times New Roman" w:cs="Times New Roman"/>
      <w:spacing w:val="0"/>
      <w:sz w:val="21"/>
      <w:szCs w:val="21"/>
    </w:rPr>
  </w:style>
  <w:style w:type="table" w:styleId="48">
    <w:name w:val="Table Grid"/>
    <w:basedOn w:val="4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autoRedefine/>
    <w:qFormat/>
    <w:uiPriority w:val="99"/>
    <w:rPr>
      <w:b/>
      <w:bCs/>
    </w:rPr>
  </w:style>
  <w:style w:type="character" w:styleId="51">
    <w:name w:val="page number"/>
    <w:autoRedefine/>
    <w:qFormat/>
    <w:uiPriority w:val="99"/>
  </w:style>
  <w:style w:type="character" w:styleId="52">
    <w:name w:val="FollowedHyperlink"/>
    <w:qFormat/>
    <w:uiPriority w:val="99"/>
    <w:rPr>
      <w:color w:val="800080"/>
      <w:u w:val="single"/>
    </w:rPr>
  </w:style>
  <w:style w:type="character" w:styleId="53">
    <w:name w:val="Emphasis"/>
    <w:qFormat/>
    <w:uiPriority w:val="99"/>
    <w:rPr>
      <w:i/>
      <w:iCs/>
    </w:rPr>
  </w:style>
  <w:style w:type="character" w:styleId="54">
    <w:name w:val="Hyperlink"/>
    <w:qFormat/>
    <w:uiPriority w:val="99"/>
    <w:rPr>
      <w:color w:val="0000FF"/>
      <w:u w:val="single"/>
    </w:rPr>
  </w:style>
  <w:style w:type="character" w:styleId="55">
    <w:name w:val="annotation reference"/>
    <w:semiHidden/>
    <w:qFormat/>
    <w:uiPriority w:val="99"/>
    <w:rPr>
      <w:sz w:val="21"/>
      <w:szCs w:val="21"/>
    </w:rPr>
  </w:style>
  <w:style w:type="paragraph" w:customStyle="1" w:styleId="56">
    <w:name w:val="首行缩进"/>
    <w:basedOn w:val="1"/>
    <w:autoRedefine/>
    <w:qFormat/>
    <w:uiPriority w:val="0"/>
    <w:pPr>
      <w:spacing w:line="360" w:lineRule="auto"/>
      <w:ind w:firstLine="480" w:firstLineChars="200"/>
    </w:pPr>
    <w:rPr>
      <w:sz w:val="24"/>
      <w:szCs w:val="22"/>
      <w:lang w:val="zh-CN"/>
    </w:rPr>
  </w:style>
  <w:style w:type="paragraph" w:customStyle="1" w:styleId="57">
    <w:name w:val="二级标题"/>
    <w:basedOn w:val="3"/>
    <w:link w:val="288"/>
    <w:autoRedefine/>
    <w:qFormat/>
    <w:uiPriority w:val="99"/>
    <w:pPr>
      <w:adjustRightInd w:val="0"/>
      <w:spacing w:beforeLines="50" w:after="0" w:line="360" w:lineRule="auto"/>
      <w:jc w:val="left"/>
      <w:textAlignment w:val="baseline"/>
    </w:pPr>
    <w:rPr>
      <w:rFonts w:ascii="宋体" w:hAnsi="Times New Roman" w:eastAsia="宋体" w:cs="宋体"/>
      <w:kern w:val="0"/>
      <w:sz w:val="30"/>
      <w:szCs w:val="30"/>
      <w:lang w:val="zh-CN"/>
    </w:rPr>
  </w:style>
  <w:style w:type="paragraph" w:customStyle="1" w:styleId="58">
    <w:name w:val="04-正文"/>
    <w:basedOn w:val="1"/>
    <w:link w:val="298"/>
    <w:qFormat/>
    <w:uiPriority w:val="99"/>
    <w:pPr>
      <w:spacing w:line="360" w:lineRule="exact"/>
      <w:ind w:firstLine="420"/>
    </w:pPr>
    <w:rPr>
      <w:kern w:val="0"/>
      <w:sz w:val="24"/>
      <w:szCs w:val="24"/>
    </w:rPr>
  </w:style>
  <w:style w:type="paragraph" w:customStyle="1" w:styleId="59">
    <w:name w:val="www序号1)"/>
    <w:basedOn w:val="1"/>
    <w:link w:val="304"/>
    <w:qFormat/>
    <w:uiPriority w:val="99"/>
    <w:pPr>
      <w:tabs>
        <w:tab w:val="left" w:pos="2160"/>
      </w:tabs>
      <w:ind w:left="2160" w:hanging="420"/>
    </w:pPr>
    <w:rPr>
      <w:kern w:val="0"/>
      <w:sz w:val="24"/>
      <w:szCs w:val="24"/>
    </w:rPr>
  </w:style>
  <w:style w:type="paragraph" w:customStyle="1" w:styleId="60">
    <w:name w:val="段"/>
    <w:link w:val="312"/>
    <w:qFormat/>
    <w:uiPriority w:val="99"/>
    <w:pPr>
      <w:autoSpaceDE w:val="0"/>
      <w:autoSpaceDN w:val="0"/>
      <w:ind w:firstLine="200" w:firstLineChars="200"/>
      <w:jc w:val="both"/>
    </w:pPr>
    <w:rPr>
      <w:rFonts w:ascii="宋体" w:hAnsi="Calibri" w:eastAsia="宋体" w:cs="宋体"/>
      <w:sz w:val="21"/>
      <w:szCs w:val="21"/>
      <w:lang w:val="en-US" w:eastAsia="zh-CN" w:bidi="ar-SA"/>
    </w:rPr>
  </w:style>
  <w:style w:type="paragraph" w:customStyle="1" w:styleId="61">
    <w:name w:val="_正文段落"/>
    <w:basedOn w:val="1"/>
    <w:link w:val="317"/>
    <w:qFormat/>
    <w:uiPriority w:val="99"/>
    <w:pPr>
      <w:spacing w:beforeLines="15" w:afterLines="15" w:line="360" w:lineRule="auto"/>
      <w:ind w:firstLine="480" w:firstLineChars="200"/>
    </w:pPr>
    <w:rPr>
      <w:rFonts w:ascii="宋体" w:hAnsi="宋体" w:eastAsia="仿宋_GB2312" w:cs="宋体"/>
      <w:kern w:val="0"/>
      <w:sz w:val="24"/>
      <w:szCs w:val="24"/>
    </w:rPr>
  </w:style>
  <w:style w:type="paragraph" w:customStyle="1" w:styleId="62">
    <w:name w:val="2.1样式"/>
    <w:basedOn w:val="3"/>
    <w:link w:val="319"/>
    <w:qFormat/>
    <w:uiPriority w:val="99"/>
    <w:pPr>
      <w:numPr>
        <w:ilvl w:val="0"/>
        <w:numId w:val="2"/>
      </w:numPr>
      <w:spacing w:line="416" w:lineRule="auto"/>
    </w:pPr>
    <w:rPr>
      <w:kern w:val="0"/>
    </w:rPr>
  </w:style>
  <w:style w:type="paragraph" w:customStyle="1" w:styleId="63">
    <w:name w:val="样式 正文缩进 + 首行缩进:  2 字符"/>
    <w:basedOn w:val="7"/>
    <w:link w:val="322"/>
    <w:qFormat/>
    <w:uiPriority w:val="99"/>
    <w:pPr>
      <w:spacing w:after="80"/>
      <w:ind w:firstLine="480" w:firstLineChars="200"/>
    </w:pPr>
    <w:rPr>
      <w:kern w:val="0"/>
      <w:sz w:val="24"/>
      <w:szCs w:val="24"/>
    </w:rPr>
  </w:style>
  <w:style w:type="paragraph" w:customStyle="1" w:styleId="64">
    <w:name w:val="列出段落11"/>
    <w:basedOn w:val="1"/>
    <w:link w:val="325"/>
    <w:qFormat/>
    <w:uiPriority w:val="99"/>
    <w:pPr>
      <w:ind w:firstLine="420" w:firstLineChars="200"/>
    </w:pPr>
    <w:rPr>
      <w:rFonts w:cs="Calibri"/>
      <w:sz w:val="22"/>
      <w:szCs w:val="22"/>
    </w:rPr>
  </w:style>
  <w:style w:type="paragraph" w:customStyle="1" w:styleId="65">
    <w:name w:val="JD1-正文"/>
    <w:basedOn w:val="1"/>
    <w:link w:val="328"/>
    <w:autoRedefine/>
    <w:qFormat/>
    <w:uiPriority w:val="99"/>
    <w:pPr>
      <w:spacing w:line="360" w:lineRule="auto"/>
      <w:ind w:firstLine="480"/>
      <w:jc w:val="left"/>
    </w:pPr>
    <w:rPr>
      <w:rFonts w:ascii="宋体" w:hAnsi="宋体" w:eastAsia="仿宋_GB2312" w:cs="宋体"/>
      <w:sz w:val="24"/>
      <w:szCs w:val="24"/>
      <w:lang w:val="zh-CN"/>
    </w:rPr>
  </w:style>
  <w:style w:type="paragraph" w:customStyle="1" w:styleId="66">
    <w:name w:val="文档正文"/>
    <w:basedOn w:val="1"/>
    <w:link w:val="337"/>
    <w:autoRedefine/>
    <w:qFormat/>
    <w:uiPriority w:val="99"/>
    <w:rPr>
      <w:rFonts w:ascii="Arial" w:hAnsi="Arial" w:cs="Arial"/>
      <w:kern w:val="0"/>
      <w:sz w:val="24"/>
      <w:szCs w:val="24"/>
    </w:rPr>
  </w:style>
  <w:style w:type="paragraph" w:customStyle="1" w:styleId="67">
    <w:name w:val="font8"/>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68">
    <w:name w:val="Char5"/>
    <w:basedOn w:val="1"/>
    <w:autoRedefine/>
    <w:qFormat/>
    <w:uiPriority w:val="99"/>
    <w:pPr>
      <w:tabs>
        <w:tab w:val="left" w:pos="840"/>
      </w:tabs>
      <w:ind w:left="840" w:hanging="420"/>
    </w:pPr>
    <w:rPr>
      <w:kern w:val="0"/>
      <w:sz w:val="24"/>
      <w:szCs w:val="24"/>
    </w:rPr>
  </w:style>
  <w:style w:type="paragraph" w:customStyle="1" w:styleId="69">
    <w:name w:val="Char1 Char Char Char Char Char"/>
    <w:basedOn w:val="1"/>
    <w:autoRedefine/>
    <w:qFormat/>
    <w:uiPriority w:val="99"/>
    <w:rPr>
      <w:rFonts w:ascii="仿宋_GB2312" w:eastAsia="仿宋_GB2312" w:cs="仿宋_GB2312"/>
      <w:sz w:val="24"/>
      <w:szCs w:val="24"/>
    </w:rPr>
  </w:style>
  <w:style w:type="paragraph" w:customStyle="1" w:styleId="70">
    <w:name w:val="xl83"/>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71">
    <w:name w:val="WPSOffice手动目录 2"/>
    <w:autoRedefine/>
    <w:qFormat/>
    <w:uiPriority w:val="99"/>
    <w:pPr>
      <w:ind w:left="200" w:leftChars="200"/>
    </w:pPr>
    <w:rPr>
      <w:rFonts w:ascii="Calibri" w:hAnsi="Calibri" w:eastAsia="宋体" w:cs="Calibri"/>
      <w:lang w:val="en-US" w:eastAsia="zh-CN" w:bidi="ar-SA"/>
    </w:rPr>
  </w:style>
  <w:style w:type="paragraph" w:customStyle="1" w:styleId="72">
    <w:name w:val="_Style 2"/>
    <w:autoRedefine/>
    <w:qFormat/>
    <w:uiPriority w:val="99"/>
    <w:pPr>
      <w:widowControl w:val="0"/>
      <w:spacing w:line="360" w:lineRule="auto"/>
    </w:pPr>
    <w:rPr>
      <w:rFonts w:ascii="Calibri" w:hAnsi="Calibri" w:eastAsia="宋体" w:cs="Times New Roman"/>
      <w:kern w:val="2"/>
      <w:sz w:val="21"/>
      <w:szCs w:val="21"/>
      <w:lang w:val="en-US" w:eastAsia="zh-CN" w:bidi="ar-SA"/>
    </w:rPr>
  </w:style>
  <w:style w:type="paragraph" w:customStyle="1" w:styleId="73">
    <w:name w:val="列出段落2"/>
    <w:basedOn w:val="1"/>
    <w:autoRedefine/>
    <w:qFormat/>
    <w:uiPriority w:val="99"/>
    <w:pPr>
      <w:spacing w:line="360" w:lineRule="auto"/>
      <w:ind w:firstLine="420" w:firstLineChars="200"/>
    </w:pPr>
    <w:rPr>
      <w:sz w:val="24"/>
      <w:szCs w:val="24"/>
    </w:rPr>
  </w:style>
  <w:style w:type="paragraph" w:customStyle="1" w:styleId="74">
    <w:name w:val="Note Level 8"/>
    <w:basedOn w:val="1"/>
    <w:autoRedefine/>
    <w:qFormat/>
    <w:uiPriority w:val="99"/>
    <w:pPr>
      <w:keepNext/>
      <w:tabs>
        <w:tab w:val="left" w:pos="1200"/>
      </w:tabs>
      <w:ind w:left="3360" w:hanging="420"/>
      <w:outlineLvl w:val="7"/>
    </w:pPr>
    <w:rPr>
      <w:rFonts w:ascii="宋体" w:hAnsi="Cambria" w:cs="宋体"/>
      <w:sz w:val="24"/>
      <w:szCs w:val="24"/>
    </w:rPr>
  </w:style>
  <w:style w:type="paragraph" w:customStyle="1" w:styleId="75">
    <w:name w:val="xl5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kern w:val="0"/>
      <w:sz w:val="24"/>
      <w:szCs w:val="24"/>
    </w:rPr>
  </w:style>
  <w:style w:type="paragraph" w:customStyle="1" w:styleId="76">
    <w:name w:val="xl9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77">
    <w:name w:val="xl66"/>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78">
    <w:name w:val="默认段落字体 Para Char Char Char Char Char Char Char Char Char1 Char Char Char Char"/>
    <w:basedOn w:val="1"/>
    <w:autoRedefine/>
    <w:qFormat/>
    <w:uiPriority w:val="99"/>
    <w:rPr>
      <w:rFonts w:ascii="Tahoma" w:hAnsi="Tahoma" w:cs="Tahoma"/>
      <w:sz w:val="24"/>
      <w:szCs w:val="24"/>
    </w:rPr>
  </w:style>
  <w:style w:type="paragraph" w:customStyle="1" w:styleId="79">
    <w:name w:val="xl70"/>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80">
    <w:name w:val="正文－恩普"/>
    <w:basedOn w:val="7"/>
    <w:autoRedefine/>
    <w:qFormat/>
    <w:uiPriority w:val="99"/>
    <w:pPr>
      <w:widowControl/>
      <w:spacing w:afterLines="50"/>
      <w:ind w:firstLine="480" w:firstLineChars="200"/>
      <w:jc w:val="left"/>
    </w:pPr>
    <w:rPr>
      <w:kern w:val="0"/>
      <w:sz w:val="24"/>
      <w:szCs w:val="24"/>
    </w:rPr>
  </w:style>
  <w:style w:type="paragraph" w:customStyle="1" w:styleId="81">
    <w:name w:val="List Paragraph1"/>
    <w:basedOn w:val="1"/>
    <w:autoRedefine/>
    <w:qFormat/>
    <w:uiPriority w:val="99"/>
    <w:pPr>
      <w:ind w:firstLine="420" w:firstLineChars="200"/>
    </w:pPr>
    <w:rPr>
      <w:rFonts w:cs="Calibri"/>
    </w:rPr>
  </w:style>
  <w:style w:type="paragraph" w:customStyle="1" w:styleId="82">
    <w:name w:val="para"/>
    <w:basedOn w:val="1"/>
    <w:autoRedefine/>
    <w:qFormat/>
    <w:uiPriority w:val="99"/>
    <w:pPr>
      <w:widowControl/>
      <w:adjustRightInd w:val="0"/>
      <w:spacing w:before="160" w:line="360" w:lineRule="auto"/>
      <w:ind w:firstLine="425"/>
      <w:textAlignment w:val="baseline"/>
    </w:pPr>
    <w:rPr>
      <w:kern w:val="0"/>
      <w:sz w:val="24"/>
      <w:szCs w:val="24"/>
      <w:lang w:eastAsia="en-US"/>
    </w:rPr>
  </w:style>
  <w:style w:type="paragraph" w:customStyle="1" w:styleId="83">
    <w:name w:val="Note Level 3"/>
    <w:basedOn w:val="1"/>
    <w:autoRedefine/>
    <w:qFormat/>
    <w:uiPriority w:val="99"/>
    <w:pPr>
      <w:keepNext/>
      <w:tabs>
        <w:tab w:val="left" w:pos="1200"/>
      </w:tabs>
      <w:ind w:left="1260" w:hanging="420"/>
      <w:outlineLvl w:val="2"/>
    </w:pPr>
    <w:rPr>
      <w:rFonts w:ascii="宋体" w:hAnsi="Cambria" w:cs="宋体"/>
      <w:sz w:val="24"/>
      <w:szCs w:val="24"/>
    </w:rPr>
  </w:style>
  <w:style w:type="paragraph" w:customStyle="1" w:styleId="84">
    <w:name w:val="Normal New New New New New New New New New New New New New New New New New New New New New New New New New New New New New New New New New New New New New New New New New New New New New New New New New New New New New New New New New New New"/>
    <w:autoRedefine/>
    <w:qFormat/>
    <w:uiPriority w:val="99"/>
    <w:pPr>
      <w:widowControl w:val="0"/>
      <w:jc w:val="both"/>
    </w:pPr>
    <w:rPr>
      <w:rFonts w:ascii="Calibri" w:hAnsi="Calibri" w:eastAsia="宋体" w:cs="Times New Roman"/>
      <w:kern w:val="2"/>
      <w:sz w:val="28"/>
      <w:szCs w:val="28"/>
      <w:lang w:val="en-US" w:eastAsia="zh-CN" w:bidi="ar-SA"/>
    </w:rPr>
  </w:style>
  <w:style w:type="paragraph" w:customStyle="1" w:styleId="85">
    <w:name w:val="xl92"/>
    <w:basedOn w:val="1"/>
    <w:autoRedefine/>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86">
    <w:name w:val="font5"/>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87">
    <w:name w:val="xl41"/>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88">
    <w:name w:val="xl95"/>
    <w:basedOn w:val="1"/>
    <w:autoRedefine/>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89">
    <w:name w:val="Note Level 4"/>
    <w:basedOn w:val="1"/>
    <w:autoRedefine/>
    <w:qFormat/>
    <w:uiPriority w:val="99"/>
    <w:pPr>
      <w:keepNext/>
      <w:tabs>
        <w:tab w:val="left" w:pos="1200"/>
      </w:tabs>
      <w:ind w:left="1680" w:hanging="420"/>
      <w:outlineLvl w:val="3"/>
    </w:pPr>
    <w:rPr>
      <w:rFonts w:ascii="宋体" w:hAnsi="Cambria" w:cs="宋体"/>
      <w:sz w:val="24"/>
      <w:szCs w:val="24"/>
    </w:rPr>
  </w:style>
  <w:style w:type="paragraph" w:customStyle="1" w:styleId="90">
    <w:name w:val="样式1"/>
    <w:basedOn w:val="5"/>
    <w:autoRedefine/>
    <w:qFormat/>
    <w:uiPriority w:val="99"/>
  </w:style>
  <w:style w:type="paragraph" w:customStyle="1" w:styleId="91">
    <w:name w:val="_Style 116"/>
    <w:basedOn w:val="1"/>
    <w:next w:val="1"/>
    <w:autoRedefine/>
    <w:qFormat/>
    <w:uiPriority w:val="99"/>
    <w:pPr>
      <w:spacing w:line="360" w:lineRule="auto"/>
      <w:ind w:firstLine="600"/>
    </w:pPr>
    <w:rPr>
      <w:sz w:val="24"/>
      <w:szCs w:val="24"/>
    </w:rPr>
  </w:style>
  <w:style w:type="paragraph" w:customStyle="1" w:styleId="92">
    <w:name w:val="xl29"/>
    <w:basedOn w:val="1"/>
    <w:autoRedefine/>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93">
    <w:name w:val="xl61"/>
    <w:basedOn w:val="1"/>
    <w:autoRedefine/>
    <w:qFormat/>
    <w:uiPriority w:val="99"/>
    <w:pPr>
      <w:widowControl/>
      <w:shd w:val="clear" w:color="auto" w:fill="FFFFFF"/>
      <w:spacing w:before="100" w:beforeAutospacing="1" w:after="100" w:afterAutospacing="1"/>
      <w:jc w:val="center"/>
      <w:textAlignment w:val="center"/>
    </w:pPr>
    <w:rPr>
      <w:rFonts w:ascii="Arial Unicode MS" w:hAnsi="Arial Unicode MS" w:cs="Arial Unicode MS"/>
      <w:b/>
      <w:bCs/>
      <w:kern w:val="0"/>
      <w:sz w:val="36"/>
      <w:szCs w:val="36"/>
    </w:rPr>
  </w:style>
  <w:style w:type="paragraph" w:customStyle="1" w:styleId="94">
    <w:name w:val="样式 标题 1 + 两端对齐"/>
    <w:basedOn w:val="3"/>
    <w:next w:val="3"/>
    <w:autoRedefine/>
    <w:qFormat/>
    <w:uiPriority w:val="99"/>
    <w:pPr>
      <w:autoSpaceDE w:val="0"/>
      <w:autoSpaceDN w:val="0"/>
      <w:adjustRightInd w:val="0"/>
      <w:spacing w:before="340" w:after="330" w:line="240" w:lineRule="auto"/>
      <w:jc w:val="center"/>
    </w:pPr>
    <w:rPr>
      <w:rFonts w:ascii="汉鼎简细圆" w:hAnsi="Times New Roman" w:eastAsia="宋体" w:cs="汉鼎简细圆"/>
      <w:kern w:val="44"/>
      <w:sz w:val="28"/>
      <w:szCs w:val="28"/>
    </w:rPr>
  </w:style>
  <w:style w:type="paragraph" w:customStyle="1" w:styleId="95">
    <w:name w:val="xl82"/>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96">
    <w:name w:val="TOC 标题1"/>
    <w:basedOn w:val="2"/>
    <w:next w:val="1"/>
    <w:autoRedefine/>
    <w:qFormat/>
    <w:uiPriority w:val="9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97">
    <w:name w:val="TOC 标题2"/>
    <w:basedOn w:val="2"/>
    <w:next w:val="1"/>
    <w:autoRedefine/>
    <w:qFormat/>
    <w:uiPriority w:val="9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98">
    <w:name w:val="Char"/>
    <w:basedOn w:val="1"/>
    <w:autoRedefine/>
    <w:qFormat/>
    <w:uiPriority w:val="99"/>
    <w:pPr>
      <w:ind w:firstLine="200" w:firstLineChars="200"/>
    </w:pPr>
    <w:rPr>
      <w:rFonts w:ascii="Tahoma" w:hAnsi="Tahoma" w:cs="Tahoma"/>
      <w:sz w:val="24"/>
      <w:szCs w:val="24"/>
    </w:rPr>
  </w:style>
  <w:style w:type="paragraph" w:customStyle="1" w:styleId="99">
    <w:name w:val="此正文"/>
    <w:basedOn w:val="1"/>
    <w:autoRedefine/>
    <w:qFormat/>
    <w:uiPriority w:val="99"/>
    <w:pPr>
      <w:spacing w:line="360" w:lineRule="auto"/>
      <w:ind w:firstLine="200" w:firstLineChars="200"/>
    </w:pPr>
    <w:rPr>
      <w:sz w:val="24"/>
      <w:szCs w:val="24"/>
    </w:rPr>
  </w:style>
  <w:style w:type="paragraph" w:customStyle="1" w:styleId="100">
    <w:name w:val="无间隔1"/>
    <w:autoRedefine/>
    <w:qFormat/>
    <w:uiPriority w:val="99"/>
    <w:pPr>
      <w:widowControl w:val="0"/>
      <w:spacing w:line="360" w:lineRule="auto"/>
      <w:jc w:val="both"/>
    </w:pPr>
    <w:rPr>
      <w:rFonts w:ascii="宋体" w:hAnsi="Calibri" w:eastAsia="宋体" w:cs="宋体"/>
      <w:kern w:val="2"/>
      <w:sz w:val="24"/>
      <w:szCs w:val="24"/>
      <w:lang w:val="en-US" w:eastAsia="zh-CN" w:bidi="ar-SA"/>
    </w:rPr>
  </w:style>
  <w:style w:type="paragraph" w:styleId="101">
    <w:name w:val="No Spacing"/>
    <w:autoRedefine/>
    <w:qFormat/>
    <w:uiPriority w:val="99"/>
    <w:pPr>
      <w:widowControl w:val="0"/>
      <w:spacing w:line="360" w:lineRule="auto"/>
    </w:pPr>
    <w:rPr>
      <w:rFonts w:ascii="Calibri" w:hAnsi="Calibri" w:eastAsia="宋体" w:cs="Times New Roman"/>
      <w:kern w:val="2"/>
      <w:sz w:val="21"/>
      <w:szCs w:val="21"/>
      <w:lang w:val="en-US" w:eastAsia="zh-CN" w:bidi="ar-SA"/>
    </w:rPr>
  </w:style>
  <w:style w:type="paragraph" w:customStyle="1" w:styleId="102">
    <w:name w:val="xl43"/>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103">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04">
    <w:name w:val="font13"/>
    <w:basedOn w:val="1"/>
    <w:autoRedefine/>
    <w:qFormat/>
    <w:uiPriority w:val="99"/>
    <w:pPr>
      <w:widowControl/>
      <w:spacing w:before="100" w:beforeAutospacing="1" w:after="100" w:afterAutospacing="1"/>
      <w:jc w:val="left"/>
    </w:pPr>
    <w:rPr>
      <w:b/>
      <w:bCs/>
      <w:kern w:val="0"/>
      <w:sz w:val="24"/>
      <w:szCs w:val="24"/>
    </w:rPr>
  </w:style>
  <w:style w:type="paragraph" w:customStyle="1" w:styleId="105">
    <w:name w:val="xl4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106">
    <w:name w:val="xl3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07">
    <w:name w:val="xl96"/>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108">
    <w:name w:val="ZJGIS-五级标题"/>
    <w:basedOn w:val="6"/>
    <w:autoRedefine/>
    <w:qFormat/>
    <w:uiPriority w:val="99"/>
    <w:pPr>
      <w:tabs>
        <w:tab w:val="left" w:pos="992"/>
        <w:tab w:val="clear" w:pos="2100"/>
      </w:tabs>
      <w:spacing w:before="120" w:after="120" w:line="240" w:lineRule="auto"/>
      <w:ind w:left="0" w:firstLine="0"/>
    </w:pPr>
  </w:style>
  <w:style w:type="paragraph" w:customStyle="1" w:styleId="109">
    <w:name w:val="big"/>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110">
    <w:name w:val="xl52"/>
    <w:basedOn w:val="1"/>
    <w:autoRedefine/>
    <w:qFormat/>
    <w:uiPriority w:val="99"/>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11">
    <w:name w:val="xl53"/>
    <w:basedOn w:val="1"/>
    <w:autoRedefine/>
    <w:qFormat/>
    <w:uiPriority w:val="99"/>
    <w:pPr>
      <w:widowControl/>
      <w:pBdr>
        <w:left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12">
    <w:name w:val="纯文本1"/>
    <w:basedOn w:val="1"/>
    <w:autoRedefine/>
    <w:qFormat/>
    <w:uiPriority w:val="99"/>
    <w:pPr>
      <w:spacing w:beforeLines="50" w:afterLines="50" w:line="400" w:lineRule="exact"/>
    </w:pPr>
    <w:rPr>
      <w:rFonts w:ascii="宋体" w:hAnsi="Courier New" w:cs="宋体"/>
      <w:sz w:val="24"/>
      <w:szCs w:val="24"/>
    </w:rPr>
  </w:style>
  <w:style w:type="paragraph" w:customStyle="1" w:styleId="113">
    <w:name w:val="Char2"/>
    <w:basedOn w:val="1"/>
    <w:autoRedefine/>
    <w:qFormat/>
    <w:uiPriority w:val="99"/>
    <w:rPr>
      <w:rFonts w:ascii="仿宋_GB2312" w:eastAsia="仿宋_GB2312" w:cs="仿宋_GB2312"/>
      <w:b/>
      <w:bCs/>
      <w:sz w:val="32"/>
      <w:szCs w:val="32"/>
    </w:rPr>
  </w:style>
  <w:style w:type="paragraph" w:customStyle="1" w:styleId="114">
    <w:name w:val="xl84"/>
    <w:basedOn w:val="1"/>
    <w:autoRedefine/>
    <w:qFormat/>
    <w:uiPriority w:val="99"/>
    <w:pPr>
      <w:widowControl/>
      <w:shd w:val="clear" w:color="auto" w:fill="FFFFFF"/>
      <w:spacing w:before="100" w:beforeAutospacing="1" w:after="100" w:afterAutospacing="1"/>
      <w:jc w:val="left"/>
      <w:textAlignment w:val="center"/>
    </w:pPr>
    <w:rPr>
      <w:kern w:val="0"/>
      <w:sz w:val="24"/>
      <w:szCs w:val="24"/>
    </w:rPr>
  </w:style>
  <w:style w:type="paragraph" w:customStyle="1" w:styleId="115">
    <w:name w:val="xl75"/>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16">
    <w:name w:val="xl94"/>
    <w:basedOn w:val="1"/>
    <w:autoRedefine/>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117">
    <w:name w:val="font9"/>
    <w:basedOn w:val="1"/>
    <w:autoRedefine/>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118">
    <w:name w:val="xl3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19">
    <w:name w:val="xl74"/>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20">
    <w:name w:val="xl5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Unicode MS" w:hAnsi="Arial Unicode MS" w:cs="Arial Unicode MS"/>
      <w:kern w:val="0"/>
      <w:sz w:val="24"/>
      <w:szCs w:val="24"/>
    </w:rPr>
  </w:style>
  <w:style w:type="paragraph" w:customStyle="1" w:styleId="121">
    <w:name w:val="Note Level 1"/>
    <w:basedOn w:val="1"/>
    <w:autoRedefine/>
    <w:qFormat/>
    <w:uiPriority w:val="99"/>
    <w:pPr>
      <w:keepNext/>
      <w:tabs>
        <w:tab w:val="left" w:pos="1200"/>
      </w:tabs>
      <w:ind w:left="450" w:hanging="450"/>
      <w:outlineLvl w:val="0"/>
    </w:pPr>
    <w:rPr>
      <w:rFonts w:ascii="宋体" w:hAnsi="Cambria" w:cs="宋体"/>
      <w:sz w:val="24"/>
      <w:szCs w:val="24"/>
    </w:rPr>
  </w:style>
  <w:style w:type="paragraph" w:customStyle="1" w:styleId="122">
    <w:name w:val="列表段落2"/>
    <w:basedOn w:val="1"/>
    <w:autoRedefine/>
    <w:qFormat/>
    <w:uiPriority w:val="99"/>
    <w:pPr>
      <w:ind w:firstLine="420" w:firstLineChars="200"/>
    </w:pPr>
    <w:rPr>
      <w:rFonts w:cs="Calibri"/>
    </w:rPr>
  </w:style>
  <w:style w:type="paragraph" w:customStyle="1" w:styleId="123">
    <w:name w:val="自由格式 A"/>
    <w:autoRedefine/>
    <w:qFormat/>
    <w:uiPriority w:val="99"/>
    <w:rPr>
      <w:rFonts w:ascii="Helvetica" w:hAnsi="Helvetica" w:eastAsia="宋体" w:cs="Helvetica"/>
      <w:color w:val="000000"/>
      <w:sz w:val="24"/>
      <w:szCs w:val="24"/>
      <w:lang w:val="en-US" w:eastAsia="zh-CN" w:bidi="ar-SA"/>
    </w:rPr>
  </w:style>
  <w:style w:type="paragraph" w:customStyle="1" w:styleId="124">
    <w:name w:val="四号正文"/>
    <w:basedOn w:val="1"/>
    <w:autoRedefine/>
    <w:qFormat/>
    <w:uiPriority w:val="99"/>
    <w:pPr>
      <w:spacing w:line="360" w:lineRule="auto"/>
      <w:ind w:firstLine="560" w:firstLineChars="200"/>
    </w:pPr>
    <w:rPr>
      <w:sz w:val="28"/>
      <w:szCs w:val="28"/>
    </w:rPr>
  </w:style>
  <w:style w:type="paragraph" w:customStyle="1" w:styleId="125">
    <w:name w:val="xl36"/>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color w:val="000000"/>
      <w:kern w:val="0"/>
      <w:sz w:val="24"/>
      <w:szCs w:val="24"/>
    </w:rPr>
  </w:style>
  <w:style w:type="paragraph" w:customStyle="1" w:styleId="126">
    <w:name w:val="xl62"/>
    <w:basedOn w:val="1"/>
    <w:autoRedefine/>
    <w:qFormat/>
    <w:uiPriority w:val="99"/>
    <w:pPr>
      <w:widowControl/>
      <w:pBdr>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27">
    <w:name w:val="xl3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b/>
      <w:bCs/>
      <w:kern w:val="0"/>
      <w:sz w:val="24"/>
      <w:szCs w:val="24"/>
    </w:rPr>
  </w:style>
  <w:style w:type="paragraph" w:customStyle="1" w:styleId="128">
    <w:name w:val="xl8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styleId="129">
    <w:name w:val="List Paragraph"/>
    <w:basedOn w:val="1"/>
    <w:autoRedefine/>
    <w:qFormat/>
    <w:uiPriority w:val="34"/>
    <w:pPr>
      <w:ind w:firstLine="420" w:firstLineChars="200"/>
    </w:pPr>
  </w:style>
  <w:style w:type="paragraph" w:customStyle="1" w:styleId="130">
    <w:name w:val="xl31"/>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31">
    <w:name w:val="WPSOffice手动目录 1"/>
    <w:autoRedefine/>
    <w:qFormat/>
    <w:uiPriority w:val="99"/>
    <w:rPr>
      <w:rFonts w:ascii="Calibri" w:hAnsi="Calibri" w:eastAsia="宋体" w:cs="Calibri"/>
      <w:lang w:val="en-US" w:eastAsia="zh-CN" w:bidi="ar-SA"/>
    </w:rPr>
  </w:style>
  <w:style w:type="paragraph" w:customStyle="1" w:styleId="132">
    <w:name w:val="修订2"/>
    <w:autoRedefine/>
    <w:qFormat/>
    <w:uiPriority w:val="99"/>
    <w:rPr>
      <w:rFonts w:ascii="Calibri" w:hAnsi="Calibri" w:eastAsia="宋体" w:cs="Times New Roman"/>
      <w:kern w:val="2"/>
      <w:sz w:val="21"/>
      <w:szCs w:val="21"/>
      <w:lang w:val="en-US" w:eastAsia="zh-CN" w:bidi="ar-SA"/>
    </w:rPr>
  </w:style>
  <w:style w:type="paragraph" w:customStyle="1" w:styleId="133">
    <w:name w:val="List Paragraph2"/>
    <w:basedOn w:val="1"/>
    <w:autoRedefine/>
    <w:qFormat/>
    <w:uiPriority w:val="0"/>
    <w:pPr>
      <w:ind w:firstLine="420" w:firstLineChars="200"/>
    </w:pPr>
    <w:rPr>
      <w:szCs w:val="22"/>
    </w:rPr>
  </w:style>
  <w:style w:type="paragraph" w:customStyle="1" w:styleId="134">
    <w:name w:val="标准正文"/>
    <w:basedOn w:val="1"/>
    <w:autoRedefine/>
    <w:qFormat/>
    <w:uiPriority w:val="99"/>
    <w:pPr>
      <w:spacing w:line="240" w:lineRule="atLeast"/>
      <w:ind w:firstLine="200" w:firstLineChars="200"/>
    </w:pPr>
  </w:style>
  <w:style w:type="paragraph" w:customStyle="1" w:styleId="135">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36">
    <w:name w:val="42-表格数字"/>
    <w:next w:val="1"/>
    <w:autoRedefine/>
    <w:qFormat/>
    <w:uiPriority w:val="99"/>
    <w:pPr>
      <w:jc w:val="center"/>
      <w:textAlignment w:val="center"/>
    </w:pPr>
    <w:rPr>
      <w:rFonts w:ascii="Calibri" w:hAnsi="Calibri" w:eastAsia="微软雅黑" w:cs="Times New Roman"/>
      <w:color w:val="000000"/>
      <w:sz w:val="18"/>
      <w:szCs w:val="18"/>
      <w:lang w:val="en-US" w:eastAsia="zh-CN" w:bidi="ar-SA"/>
    </w:rPr>
  </w:style>
  <w:style w:type="paragraph" w:customStyle="1" w:styleId="137">
    <w:name w:val="样式3"/>
    <w:basedOn w:val="24"/>
    <w:autoRedefine/>
    <w:qFormat/>
    <w:uiPriority w:val="99"/>
    <w:pPr>
      <w:numPr>
        <w:ilvl w:val="0"/>
        <w:numId w:val="1"/>
      </w:numPr>
      <w:tabs>
        <w:tab w:val="left" w:pos="420"/>
      </w:tabs>
      <w:spacing w:line="360" w:lineRule="auto"/>
      <w:ind w:left="0" w:firstLine="883" w:firstLineChars="200"/>
      <w:jc w:val="left"/>
    </w:pPr>
    <w:rPr>
      <w:sz w:val="28"/>
      <w:szCs w:val="28"/>
    </w:rPr>
  </w:style>
  <w:style w:type="paragraph" w:customStyle="1" w:styleId="138">
    <w:name w:val="列出段落1111"/>
    <w:basedOn w:val="1"/>
    <w:autoRedefine/>
    <w:qFormat/>
    <w:uiPriority w:val="99"/>
    <w:pPr>
      <w:ind w:firstLine="420" w:firstLineChars="200"/>
    </w:pPr>
    <w:rPr>
      <w:rFonts w:cs="Calibri"/>
    </w:rPr>
  </w:style>
  <w:style w:type="paragraph" w:customStyle="1" w:styleId="139">
    <w:name w:val="列项——（一级）"/>
    <w:autoRedefine/>
    <w:qFormat/>
    <w:uiPriority w:val="99"/>
    <w:pPr>
      <w:widowControl w:val="0"/>
      <w:ind w:left="1118" w:hanging="408"/>
      <w:jc w:val="both"/>
    </w:pPr>
    <w:rPr>
      <w:rFonts w:ascii="宋体" w:hAnsi="Calibri" w:eastAsia="宋体" w:cs="宋体"/>
      <w:sz w:val="21"/>
      <w:szCs w:val="21"/>
      <w:lang w:val="en-US" w:eastAsia="zh-CN" w:bidi="ar-SA"/>
    </w:rPr>
  </w:style>
  <w:style w:type="paragraph" w:customStyle="1" w:styleId="140">
    <w:name w:val="Normal Char"/>
    <w:basedOn w:val="1"/>
    <w:autoRedefine/>
    <w:qFormat/>
    <w:uiPriority w:val="99"/>
    <w:pPr>
      <w:suppressAutoHyphens/>
      <w:autoSpaceDE w:val="0"/>
      <w:jc w:val="left"/>
    </w:pPr>
    <w:rPr>
      <w:rFonts w:ascii="Thorndale" w:hAnsi="Thorndale" w:cs="Thorndale"/>
      <w:color w:val="000000"/>
      <w:kern w:val="0"/>
      <w:sz w:val="20"/>
      <w:szCs w:val="20"/>
      <w:lang w:val="hu-HU"/>
    </w:rPr>
  </w:style>
  <w:style w:type="paragraph" w:customStyle="1" w:styleId="141">
    <w:name w:val="文字"/>
    <w:basedOn w:val="1"/>
    <w:autoRedefine/>
    <w:qFormat/>
    <w:uiPriority w:val="99"/>
    <w:pPr>
      <w:tabs>
        <w:tab w:val="left" w:pos="8520"/>
      </w:tabs>
      <w:spacing w:line="312" w:lineRule="auto"/>
      <w:ind w:right="-210" w:firstLine="556"/>
    </w:pPr>
    <w:rPr>
      <w:rFonts w:ascii="宋体" w:cs="宋体"/>
      <w:sz w:val="28"/>
      <w:szCs w:val="28"/>
    </w:rPr>
  </w:style>
  <w:style w:type="paragraph" w:customStyle="1" w:styleId="142">
    <w:name w:val="Char4"/>
    <w:basedOn w:val="1"/>
    <w:autoRedefine/>
    <w:qFormat/>
    <w:uiPriority w:val="99"/>
    <w:pPr>
      <w:tabs>
        <w:tab w:val="left" w:pos="840"/>
      </w:tabs>
      <w:ind w:left="840" w:hanging="420"/>
    </w:pPr>
    <w:rPr>
      <w:kern w:val="0"/>
      <w:sz w:val="24"/>
      <w:szCs w:val="24"/>
    </w:rPr>
  </w:style>
  <w:style w:type="paragraph" w:customStyle="1" w:styleId="143">
    <w:name w:val="xl86"/>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44">
    <w:name w:val="Note Level 9"/>
    <w:basedOn w:val="1"/>
    <w:autoRedefine/>
    <w:qFormat/>
    <w:uiPriority w:val="99"/>
    <w:pPr>
      <w:keepNext/>
      <w:tabs>
        <w:tab w:val="left" w:pos="1200"/>
      </w:tabs>
      <w:ind w:left="3780" w:hanging="420"/>
      <w:outlineLvl w:val="8"/>
    </w:pPr>
    <w:rPr>
      <w:rFonts w:ascii="宋体" w:hAnsi="Cambria" w:cs="宋体"/>
      <w:sz w:val="24"/>
      <w:szCs w:val="24"/>
    </w:rPr>
  </w:style>
  <w:style w:type="paragraph" w:customStyle="1" w:styleId="145">
    <w:name w:val="样式 标题 1合同标题卷标题H1h1Level 1 Topic HeadingH11H12H111H13H1..."/>
    <w:autoRedefine/>
    <w:qFormat/>
    <w:uiPriority w:val="99"/>
    <w:rPr>
      <w:rFonts w:ascii="宋体" w:hAnsi="宋体" w:eastAsia="宋体" w:cs="宋体"/>
      <w:b/>
      <w:bCs/>
      <w:kern w:val="44"/>
      <w:sz w:val="24"/>
      <w:szCs w:val="24"/>
      <w:lang w:val="en-US" w:eastAsia="zh-CN" w:bidi="ar-SA"/>
    </w:rPr>
  </w:style>
  <w:style w:type="paragraph" w:customStyle="1" w:styleId="146">
    <w:name w:val="33-1级列表编号-1"/>
    <w:basedOn w:val="1"/>
    <w:next w:val="1"/>
    <w:autoRedefine/>
    <w:qFormat/>
    <w:uiPriority w:val="99"/>
    <w:pPr>
      <w:numPr>
        <w:ilvl w:val="0"/>
        <w:numId w:val="3"/>
      </w:numPr>
      <w:adjustRightInd w:val="0"/>
      <w:spacing w:line="360" w:lineRule="exact"/>
    </w:pPr>
  </w:style>
  <w:style w:type="paragraph" w:customStyle="1" w:styleId="147">
    <w:name w:val="xl8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48">
    <w:name w:val="普通(网站)1"/>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149">
    <w:name w:val="xl4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50">
    <w:name w:val="font0"/>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151">
    <w:name w:val="Normal New New New New New New New New New New New New New New New New"/>
    <w:autoRedefine/>
    <w:qFormat/>
    <w:uiPriority w:val="99"/>
    <w:pPr>
      <w:widowControl w:val="0"/>
      <w:jc w:val="both"/>
    </w:pPr>
    <w:rPr>
      <w:rFonts w:ascii="Calibri" w:hAnsi="Calibri" w:eastAsia="宋体" w:cs="Times New Roman"/>
      <w:kern w:val="2"/>
      <w:sz w:val="28"/>
      <w:szCs w:val="28"/>
      <w:lang w:val="en-US" w:eastAsia="zh-CN" w:bidi="ar-SA"/>
    </w:rPr>
  </w:style>
  <w:style w:type="paragraph" w:customStyle="1" w:styleId="152">
    <w:name w:val="正文段"/>
    <w:basedOn w:val="1"/>
    <w:autoRedefine/>
    <w:qFormat/>
    <w:uiPriority w:val="99"/>
    <w:pPr>
      <w:widowControl/>
      <w:snapToGrid w:val="0"/>
      <w:spacing w:afterLines="50"/>
      <w:ind w:firstLine="200" w:firstLineChars="200"/>
    </w:pPr>
    <w:rPr>
      <w:kern w:val="0"/>
      <w:sz w:val="24"/>
      <w:szCs w:val="24"/>
    </w:rPr>
  </w:style>
  <w:style w:type="paragraph" w:customStyle="1" w:styleId="153">
    <w:name w:val="xl9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54">
    <w:name w:val="Char1 Char Char Char"/>
    <w:basedOn w:val="1"/>
    <w:autoRedefine/>
    <w:qFormat/>
    <w:uiPriority w:val="99"/>
    <w:pPr>
      <w:tabs>
        <w:tab w:val="left" w:pos="420"/>
      </w:tabs>
      <w:ind w:left="420" w:hanging="420"/>
    </w:pPr>
    <w:rPr>
      <w:rFonts w:ascii="Tahoma" w:hAnsi="Tahoma" w:cs="Tahoma"/>
      <w:sz w:val="24"/>
      <w:szCs w:val="24"/>
    </w:rPr>
  </w:style>
  <w:style w:type="paragraph" w:customStyle="1" w:styleId="155">
    <w:name w:val="列项◆（三级）"/>
    <w:basedOn w:val="1"/>
    <w:autoRedefine/>
    <w:qFormat/>
    <w:uiPriority w:val="99"/>
    <w:pPr>
      <w:numPr>
        <w:ilvl w:val="2"/>
        <w:numId w:val="4"/>
      </w:numPr>
      <w:ind w:firstLine="0"/>
    </w:pPr>
    <w:rPr>
      <w:rFonts w:ascii="宋体" w:cs="宋体"/>
    </w:rPr>
  </w:style>
  <w:style w:type="paragraph" w:customStyle="1" w:styleId="156">
    <w:name w:val="xl85"/>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57">
    <w:name w:val="列项●（二级）"/>
    <w:autoRedefine/>
    <w:qFormat/>
    <w:uiPriority w:val="99"/>
    <w:pPr>
      <w:numPr>
        <w:ilvl w:val="1"/>
        <w:numId w:val="4"/>
      </w:numPr>
      <w:tabs>
        <w:tab w:val="left" w:pos="840"/>
      </w:tabs>
      <w:jc w:val="both"/>
    </w:pPr>
    <w:rPr>
      <w:rFonts w:ascii="宋体" w:hAnsi="Calibri" w:eastAsia="宋体" w:cs="宋体"/>
      <w:sz w:val="21"/>
      <w:szCs w:val="21"/>
      <w:lang w:val="en-US" w:eastAsia="zh-CN" w:bidi="ar-SA"/>
    </w:rPr>
  </w:style>
  <w:style w:type="paragraph" w:customStyle="1" w:styleId="158">
    <w:name w:val="xl76"/>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59">
    <w:name w:val="Char1 Char"/>
    <w:basedOn w:val="1"/>
    <w:autoRedefine/>
    <w:qFormat/>
    <w:uiPriority w:val="99"/>
    <w:pPr>
      <w:tabs>
        <w:tab w:val="left" w:pos="360"/>
      </w:tabs>
      <w:spacing w:line="360" w:lineRule="auto"/>
    </w:pPr>
    <w:rPr>
      <w:sz w:val="24"/>
      <w:szCs w:val="24"/>
    </w:rPr>
  </w:style>
  <w:style w:type="paragraph" w:customStyle="1" w:styleId="160">
    <w:name w:val="正文1"/>
    <w:autoRedefine/>
    <w:qFormat/>
    <w:uiPriority w:val="99"/>
    <w:pPr>
      <w:jc w:val="both"/>
    </w:pPr>
    <w:rPr>
      <w:rFonts w:ascii="等线" w:hAnsi="等线" w:eastAsia="宋体" w:cs="等线"/>
      <w:kern w:val="2"/>
      <w:sz w:val="21"/>
      <w:szCs w:val="21"/>
      <w:lang w:val="en-US" w:eastAsia="zh-CN" w:bidi="ar-SA"/>
    </w:rPr>
  </w:style>
  <w:style w:type="paragraph" w:customStyle="1" w:styleId="161">
    <w:name w:val="修订1"/>
    <w:autoRedefine/>
    <w:qFormat/>
    <w:uiPriority w:val="99"/>
    <w:rPr>
      <w:rFonts w:ascii="Calibri" w:hAnsi="Calibri" w:eastAsia="宋体" w:cs="Times New Roman"/>
      <w:kern w:val="2"/>
      <w:sz w:val="21"/>
      <w:szCs w:val="21"/>
      <w:lang w:val="en-US" w:eastAsia="zh-CN" w:bidi="ar-SA"/>
    </w:rPr>
  </w:style>
  <w:style w:type="paragraph" w:customStyle="1" w:styleId="162">
    <w:name w:val="xl78"/>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163">
    <w:name w:val="证文"/>
    <w:basedOn w:val="1"/>
    <w:autoRedefine/>
    <w:qFormat/>
    <w:uiPriority w:val="99"/>
    <w:pPr>
      <w:spacing w:line="360" w:lineRule="auto"/>
    </w:pPr>
    <w:rPr>
      <w:sz w:val="24"/>
      <w:szCs w:val="24"/>
    </w:rPr>
  </w:style>
  <w:style w:type="paragraph" w:customStyle="1" w:styleId="164">
    <w:name w:val="font12"/>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165">
    <w:name w:val="_Style 1"/>
    <w:basedOn w:val="1"/>
    <w:autoRedefine/>
    <w:qFormat/>
    <w:uiPriority w:val="99"/>
    <w:pPr>
      <w:ind w:firstLine="420" w:firstLineChars="200"/>
    </w:pPr>
    <w:rPr>
      <w:rFonts w:cs="Calibri"/>
    </w:rPr>
  </w:style>
  <w:style w:type="paragraph" w:customStyle="1" w:styleId="166">
    <w:name w:val="Char Char Char Char Char Char"/>
    <w:basedOn w:val="1"/>
    <w:autoRedefine/>
    <w:qFormat/>
    <w:uiPriority w:val="99"/>
    <w:pPr>
      <w:ind w:firstLine="200" w:firstLineChars="200"/>
    </w:pPr>
    <w:rPr>
      <w:rFonts w:ascii="Tahoma" w:hAnsi="Tahoma" w:cs="Tahoma"/>
      <w:sz w:val="24"/>
      <w:szCs w:val="24"/>
    </w:rPr>
  </w:style>
  <w:style w:type="paragraph" w:customStyle="1" w:styleId="167">
    <w:name w:val="列出段落111"/>
    <w:basedOn w:val="1"/>
    <w:autoRedefine/>
    <w:qFormat/>
    <w:uiPriority w:val="99"/>
    <w:pPr>
      <w:spacing w:line="360" w:lineRule="auto"/>
      <w:ind w:firstLine="420" w:firstLineChars="200"/>
    </w:pPr>
    <w:rPr>
      <w:rFonts w:cs="Calibri"/>
    </w:rPr>
  </w:style>
  <w:style w:type="paragraph" w:customStyle="1" w:styleId="168">
    <w:name w:val="ZJGIS-四级标题"/>
    <w:basedOn w:val="5"/>
    <w:autoRedefine/>
    <w:qFormat/>
    <w:uiPriority w:val="99"/>
    <w:pPr>
      <w:spacing w:before="120" w:after="120" w:line="240" w:lineRule="auto"/>
    </w:pPr>
    <w:rPr>
      <w:rFonts w:eastAsia="仿宋_GB2312"/>
    </w:rPr>
  </w:style>
  <w:style w:type="paragraph" w:customStyle="1" w:styleId="169">
    <w:name w:val="样式 标题 3 +"/>
    <w:basedOn w:val="4"/>
    <w:autoRedefine/>
    <w:qFormat/>
    <w:uiPriority w:val="99"/>
    <w:pPr>
      <w:adjustRightInd/>
      <w:spacing w:line="416" w:lineRule="auto"/>
      <w:jc w:val="center"/>
      <w:textAlignment w:val="auto"/>
    </w:pPr>
    <w:rPr>
      <w:sz w:val="28"/>
      <w:szCs w:val="28"/>
    </w:rPr>
  </w:style>
  <w:style w:type="paragraph" w:customStyle="1" w:styleId="170">
    <w:name w:val="样式 标题 3 +1"/>
    <w:basedOn w:val="4"/>
    <w:autoRedefine/>
    <w:qFormat/>
    <w:uiPriority w:val="99"/>
    <w:pPr>
      <w:adjustRightInd/>
      <w:spacing w:line="416" w:lineRule="auto"/>
      <w:jc w:val="center"/>
      <w:textAlignment w:val="auto"/>
    </w:pPr>
    <w:rPr>
      <w:sz w:val="28"/>
      <w:szCs w:val="28"/>
    </w:rPr>
  </w:style>
  <w:style w:type="paragraph" w:customStyle="1" w:styleId="171">
    <w:name w:val="xl2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72">
    <w:name w:val="40-表格首行"/>
    <w:basedOn w:val="1"/>
    <w:next w:val="1"/>
    <w:autoRedefine/>
    <w:qFormat/>
    <w:uiPriority w:val="99"/>
    <w:pPr>
      <w:spacing w:line="200" w:lineRule="exact"/>
      <w:jc w:val="center"/>
    </w:pPr>
    <w:rPr>
      <w:rFonts w:eastAsia="微软雅黑"/>
      <w:b/>
      <w:bCs/>
      <w:color w:val="000000"/>
      <w:kern w:val="0"/>
      <w:sz w:val="18"/>
      <w:szCs w:val="18"/>
    </w:rPr>
  </w:style>
  <w:style w:type="paragraph" w:customStyle="1" w:styleId="173">
    <w:name w:val="Note Level 6"/>
    <w:basedOn w:val="1"/>
    <w:autoRedefine/>
    <w:qFormat/>
    <w:uiPriority w:val="99"/>
    <w:pPr>
      <w:keepNext/>
      <w:tabs>
        <w:tab w:val="left" w:pos="1200"/>
      </w:tabs>
      <w:ind w:left="2520" w:hanging="420"/>
      <w:outlineLvl w:val="5"/>
    </w:pPr>
    <w:rPr>
      <w:rFonts w:ascii="宋体" w:hAnsi="Cambria" w:cs="宋体"/>
      <w:sz w:val="24"/>
      <w:szCs w:val="24"/>
    </w:rPr>
  </w:style>
  <w:style w:type="paragraph" w:customStyle="1" w:styleId="174">
    <w:name w:val="xl46"/>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175">
    <w:name w:val="正文-列出段落"/>
    <w:basedOn w:val="1"/>
    <w:next w:val="1"/>
    <w:autoRedefine/>
    <w:qFormat/>
    <w:uiPriority w:val="99"/>
    <w:pPr>
      <w:spacing w:line="360" w:lineRule="auto"/>
    </w:pPr>
    <w:rPr>
      <w:rFonts w:ascii="微软雅黑" w:hAnsi="微软雅黑" w:eastAsia="微软雅黑" w:cs="微软雅黑"/>
      <w:b/>
      <w:bCs/>
      <w:sz w:val="24"/>
      <w:szCs w:val="24"/>
    </w:rPr>
  </w:style>
  <w:style w:type="paragraph" w:customStyle="1" w:styleId="176">
    <w:name w:val="xl64"/>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77">
    <w:name w:val="xl42"/>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kern w:val="0"/>
      <w:sz w:val="24"/>
      <w:szCs w:val="24"/>
    </w:rPr>
  </w:style>
  <w:style w:type="paragraph" w:customStyle="1" w:styleId="178">
    <w:name w:val="43-表格正文"/>
    <w:basedOn w:val="1"/>
    <w:next w:val="1"/>
    <w:autoRedefine/>
    <w:qFormat/>
    <w:uiPriority w:val="99"/>
    <w:pPr>
      <w:jc w:val="left"/>
    </w:pPr>
    <w:rPr>
      <w:rFonts w:eastAsia="微软雅黑"/>
      <w:sz w:val="18"/>
      <w:szCs w:val="18"/>
    </w:rPr>
  </w:style>
  <w:style w:type="paragraph" w:customStyle="1" w:styleId="179">
    <w:name w:val="Char1"/>
    <w:basedOn w:val="1"/>
    <w:autoRedefine/>
    <w:qFormat/>
    <w:uiPriority w:val="99"/>
    <w:rPr>
      <w:rFonts w:ascii="Tahoma" w:hAnsi="Tahoma" w:cs="Tahoma"/>
      <w:sz w:val="24"/>
      <w:szCs w:val="24"/>
    </w:rPr>
  </w:style>
  <w:style w:type="paragraph" w:customStyle="1" w:styleId="180">
    <w:name w:val="xl32"/>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181">
    <w:name w:val="xl4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82">
    <w:name w:val="xl4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183">
    <w:name w:val="xl7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184">
    <w:name w:val="xl4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85">
    <w:name w:val="Char Char Char Char Char Char1"/>
    <w:basedOn w:val="1"/>
    <w:autoRedefine/>
    <w:qFormat/>
    <w:uiPriority w:val="99"/>
    <w:pPr>
      <w:ind w:firstLine="200" w:firstLineChars="200"/>
    </w:pPr>
    <w:rPr>
      <w:rFonts w:ascii="Tahoma" w:hAnsi="Tahoma" w:cs="Tahoma"/>
      <w:sz w:val="24"/>
      <w:szCs w:val="24"/>
    </w:rPr>
  </w:style>
  <w:style w:type="paragraph" w:customStyle="1" w:styleId="186">
    <w:name w:val="font6"/>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187">
    <w:name w:val="xl3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88">
    <w:name w:val="p19"/>
    <w:basedOn w:val="1"/>
    <w:autoRedefine/>
    <w:qFormat/>
    <w:uiPriority w:val="99"/>
    <w:pPr>
      <w:widowControl/>
      <w:snapToGrid w:val="0"/>
      <w:spacing w:before="60" w:after="120" w:line="360" w:lineRule="auto"/>
      <w:ind w:firstLine="420"/>
    </w:pPr>
    <w:rPr>
      <w:rFonts w:ascii="宋体" w:hAnsi="宋体" w:cs="宋体"/>
      <w:color w:val="000000"/>
      <w:kern w:val="0"/>
      <w:sz w:val="24"/>
      <w:szCs w:val="24"/>
    </w:rPr>
  </w:style>
  <w:style w:type="paragraph" w:customStyle="1" w:styleId="189">
    <w:name w:val="xl69"/>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190">
    <w:name w:val="xl50"/>
    <w:basedOn w:val="1"/>
    <w:autoRedefine/>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191">
    <w:name w:val="Char3"/>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92">
    <w:name w:val="xl57"/>
    <w:basedOn w:val="1"/>
    <w:autoRedefine/>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93">
    <w:name w:val="标准小四"/>
    <w:basedOn w:val="1"/>
    <w:autoRedefine/>
    <w:qFormat/>
    <w:uiPriority w:val="99"/>
    <w:pPr>
      <w:spacing w:line="360" w:lineRule="auto"/>
      <w:ind w:firstLine="480" w:firstLineChars="200"/>
    </w:pPr>
    <w:rPr>
      <w:rFonts w:ascii="Arial" w:hAnsi="Arial" w:cs="Arial"/>
      <w:sz w:val="24"/>
      <w:szCs w:val="24"/>
    </w:rPr>
  </w:style>
  <w:style w:type="paragraph" w:customStyle="1" w:styleId="194">
    <w:name w:val="Note Level 2"/>
    <w:basedOn w:val="1"/>
    <w:autoRedefine/>
    <w:qFormat/>
    <w:uiPriority w:val="99"/>
    <w:pPr>
      <w:keepNext/>
      <w:tabs>
        <w:tab w:val="left" w:pos="1200"/>
      </w:tabs>
      <w:ind w:left="840" w:hanging="420"/>
      <w:outlineLvl w:val="1"/>
    </w:pPr>
    <w:rPr>
      <w:rFonts w:ascii="宋体" w:hAnsi="Cambria" w:cs="宋体"/>
      <w:sz w:val="24"/>
      <w:szCs w:val="24"/>
    </w:rPr>
  </w:style>
  <w:style w:type="paragraph" w:customStyle="1" w:styleId="195">
    <w:name w:val="列表段落1"/>
    <w:basedOn w:val="1"/>
    <w:autoRedefine/>
    <w:qFormat/>
    <w:uiPriority w:val="99"/>
    <w:pPr>
      <w:ind w:firstLine="420" w:firstLineChars="200"/>
    </w:pPr>
  </w:style>
  <w:style w:type="paragraph" w:customStyle="1" w:styleId="196">
    <w:name w:val="ZJ正文"/>
    <w:basedOn w:val="1"/>
    <w:autoRedefine/>
    <w:qFormat/>
    <w:uiPriority w:val="99"/>
    <w:pPr>
      <w:spacing w:line="360" w:lineRule="auto"/>
      <w:ind w:firstLine="480" w:firstLineChars="200"/>
    </w:pPr>
    <w:rPr>
      <w:sz w:val="24"/>
      <w:szCs w:val="24"/>
    </w:rPr>
  </w:style>
  <w:style w:type="paragraph" w:customStyle="1" w:styleId="197">
    <w:name w:val="Char11"/>
    <w:basedOn w:val="1"/>
    <w:autoRedefine/>
    <w:qFormat/>
    <w:uiPriority w:val="99"/>
    <w:rPr>
      <w:rFonts w:ascii="Tahoma" w:hAnsi="Tahoma" w:cs="Tahoma"/>
      <w:sz w:val="24"/>
      <w:szCs w:val="24"/>
    </w:rPr>
  </w:style>
  <w:style w:type="paragraph" w:customStyle="1" w:styleId="198">
    <w:name w:val="xl67"/>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99">
    <w:name w:val="xl80"/>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00">
    <w:name w:val="样式 标题 3 + 左侧:  0 厘米 首行缩进:  0 厘米"/>
    <w:basedOn w:val="4"/>
    <w:autoRedefine/>
    <w:qFormat/>
    <w:uiPriority w:val="99"/>
    <w:pPr>
      <w:tabs>
        <w:tab w:val="left" w:pos="720"/>
      </w:tabs>
      <w:adjustRightInd/>
      <w:spacing w:before="240" w:after="120" w:line="520" w:lineRule="atLeast"/>
      <w:ind w:left="267" w:leftChars="267" w:hanging="57" w:hangingChars="57"/>
      <w:textAlignment w:val="auto"/>
    </w:pPr>
    <w:rPr>
      <w:kern w:val="24"/>
      <w:sz w:val="28"/>
      <w:szCs w:val="28"/>
    </w:rPr>
  </w:style>
  <w:style w:type="paragraph" w:customStyle="1" w:styleId="201">
    <w:name w:val="标准正文缩进"/>
    <w:basedOn w:val="1"/>
    <w:autoRedefine/>
    <w:qFormat/>
    <w:uiPriority w:val="99"/>
    <w:pPr>
      <w:spacing w:line="300" w:lineRule="auto"/>
      <w:ind w:firstLine="200" w:firstLineChars="200"/>
      <w:jc w:val="left"/>
    </w:pPr>
    <w:rPr>
      <w:rFonts w:eastAsia="PMingLiUfalt"/>
      <w:sz w:val="24"/>
      <w:szCs w:val="24"/>
    </w:rPr>
  </w:style>
  <w:style w:type="paragraph" w:customStyle="1" w:styleId="202">
    <w:name w:val="Item List in Table"/>
    <w:autoRedefine/>
    <w:qFormat/>
    <w:uiPriority w:val="99"/>
    <w:pPr>
      <w:numPr>
        <w:ilvl w:val="0"/>
        <w:numId w:val="5"/>
      </w:numPr>
      <w:tabs>
        <w:tab w:val="left" w:pos="1260"/>
      </w:tabs>
      <w:spacing w:before="40" w:after="40"/>
      <w:jc w:val="both"/>
    </w:pPr>
    <w:rPr>
      <w:rFonts w:ascii="Arial" w:hAnsi="Arial" w:eastAsia="宋体" w:cs="Arial"/>
      <w:sz w:val="18"/>
      <w:szCs w:val="18"/>
      <w:lang w:val="en-US" w:eastAsia="zh-CN" w:bidi="ar-SA"/>
    </w:rPr>
  </w:style>
  <w:style w:type="paragraph" w:customStyle="1" w:styleId="203">
    <w:name w:val="样式 样式 样式 标题 2 + 左  1 字符 + 左侧:  1 字符 + 左  0 字符"/>
    <w:basedOn w:val="1"/>
    <w:autoRedefine/>
    <w:qFormat/>
    <w:uiPriority w:val="99"/>
    <w:pPr>
      <w:keepNext/>
      <w:keepLines/>
      <w:spacing w:before="120" w:after="120" w:line="520" w:lineRule="atLeast"/>
      <w:outlineLvl w:val="1"/>
    </w:pPr>
    <w:rPr>
      <w:b/>
      <w:bCs/>
      <w:sz w:val="24"/>
      <w:szCs w:val="24"/>
    </w:rPr>
  </w:style>
  <w:style w:type="paragraph" w:customStyle="1" w:styleId="204">
    <w:name w:val="Normal New New New New New New New New New New New New New New New New New New New New New New New New New New New New New New New New New New New New New New New New New New New New New New New New New New New New New New New New New New New New New N"/>
    <w:autoRedefine/>
    <w:qFormat/>
    <w:uiPriority w:val="99"/>
    <w:pPr>
      <w:widowControl w:val="0"/>
      <w:jc w:val="both"/>
    </w:pPr>
    <w:rPr>
      <w:rFonts w:ascii="Calibri" w:hAnsi="Calibri" w:eastAsia="宋体" w:cs="Times New Roman"/>
      <w:kern w:val="2"/>
      <w:sz w:val="28"/>
      <w:szCs w:val="28"/>
      <w:lang w:val="en-US" w:eastAsia="zh-CN" w:bidi="ar-SA"/>
    </w:rPr>
  </w:style>
  <w:style w:type="paragraph" w:customStyle="1" w:styleId="205">
    <w:name w:val="xl34"/>
    <w:basedOn w:val="1"/>
    <w:autoRedefine/>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206">
    <w:name w:val="正文文本缩进1"/>
    <w:basedOn w:val="1"/>
    <w:autoRedefine/>
    <w:qFormat/>
    <w:uiPriority w:val="99"/>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s="宋体"/>
      <w:color w:val="000000"/>
      <w:sz w:val="24"/>
      <w:szCs w:val="24"/>
    </w:rPr>
  </w:style>
  <w:style w:type="paragraph" w:customStyle="1" w:styleId="207">
    <w:name w:val="p18"/>
    <w:basedOn w:val="1"/>
    <w:autoRedefine/>
    <w:qFormat/>
    <w:uiPriority w:val="99"/>
    <w:pPr>
      <w:widowControl/>
    </w:pPr>
    <w:rPr>
      <w:kern w:val="0"/>
      <w:sz w:val="24"/>
      <w:szCs w:val="24"/>
    </w:rPr>
  </w:style>
  <w:style w:type="paragraph" w:customStyle="1" w:styleId="208">
    <w:name w:val="xl9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209">
    <w:name w:val="xl81"/>
    <w:basedOn w:val="1"/>
    <w:autoRedefine/>
    <w:qFormat/>
    <w:uiPriority w:val="99"/>
    <w:pPr>
      <w:widowControl/>
      <w:pBdr>
        <w:top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10">
    <w:name w:val="列出段落111111"/>
    <w:basedOn w:val="1"/>
    <w:autoRedefine/>
    <w:qFormat/>
    <w:uiPriority w:val="99"/>
    <w:pPr>
      <w:spacing w:line="360" w:lineRule="auto"/>
      <w:ind w:firstLine="420" w:firstLineChars="200"/>
    </w:pPr>
    <w:rPr>
      <w:rFonts w:cs="Calibri"/>
    </w:rPr>
  </w:style>
  <w:style w:type="paragraph" w:customStyle="1" w:styleId="211">
    <w:name w:val="Note Level 5"/>
    <w:basedOn w:val="1"/>
    <w:autoRedefine/>
    <w:qFormat/>
    <w:uiPriority w:val="99"/>
    <w:pPr>
      <w:keepNext/>
      <w:numPr>
        <w:ilvl w:val="4"/>
        <w:numId w:val="2"/>
      </w:numPr>
      <w:tabs>
        <w:tab w:val="left" w:pos="1200"/>
      </w:tabs>
      <w:ind w:left="2100" w:hanging="420"/>
      <w:outlineLvl w:val="4"/>
    </w:pPr>
    <w:rPr>
      <w:rFonts w:ascii="宋体" w:hAnsi="Cambria" w:cs="宋体"/>
      <w:sz w:val="24"/>
      <w:szCs w:val="24"/>
    </w:rPr>
  </w:style>
  <w:style w:type="paragraph" w:customStyle="1" w:styleId="212">
    <w:name w:val="表内文字"/>
    <w:basedOn w:val="1"/>
    <w:autoRedefine/>
    <w:qFormat/>
    <w:uiPriority w:val="99"/>
    <w:pPr>
      <w:tabs>
        <w:tab w:val="left" w:pos="1418"/>
      </w:tabs>
      <w:spacing w:line="360" w:lineRule="auto"/>
      <w:jc w:val="center"/>
    </w:pPr>
    <w:rPr>
      <w:rFonts w:ascii="仿宋_GB2312" w:eastAsia="仿宋_GB2312" w:cs="仿宋_GB2312"/>
      <w:spacing w:val="-20"/>
      <w:kern w:val="0"/>
      <w:sz w:val="24"/>
      <w:szCs w:val="24"/>
    </w:rPr>
  </w:style>
  <w:style w:type="paragraph" w:customStyle="1" w:styleId="213">
    <w:name w:val="Table Text Char Char"/>
    <w:autoRedefine/>
    <w:qFormat/>
    <w:uiPriority w:val="99"/>
    <w:pPr>
      <w:snapToGrid w:val="0"/>
      <w:spacing w:before="80" w:after="80"/>
    </w:pPr>
    <w:rPr>
      <w:rFonts w:ascii="Arial" w:hAnsi="Arial" w:eastAsia="宋体" w:cs="Arial"/>
      <w:kern w:val="2"/>
      <w:sz w:val="18"/>
      <w:szCs w:val="18"/>
      <w:lang w:val="en-US" w:eastAsia="zh-CN" w:bidi="ar-SA"/>
    </w:rPr>
  </w:style>
  <w:style w:type="paragraph" w:customStyle="1" w:styleId="214">
    <w:name w:val="正文文字缩进4字符"/>
    <w:basedOn w:val="1"/>
    <w:next w:val="7"/>
    <w:autoRedefine/>
    <w:qFormat/>
    <w:uiPriority w:val="99"/>
    <w:pPr>
      <w:ind w:firstLine="420" w:firstLineChars="200"/>
    </w:pPr>
  </w:style>
  <w:style w:type="paragraph" w:customStyle="1" w:styleId="215">
    <w:name w:val="正文 New New New New"/>
    <w:autoRedefine/>
    <w:qFormat/>
    <w:uiPriority w:val="99"/>
    <w:pPr>
      <w:widowControl w:val="0"/>
      <w:jc w:val="both"/>
    </w:pPr>
    <w:rPr>
      <w:rFonts w:ascii="Calibri" w:hAnsi="Calibri" w:eastAsia="宋体" w:cs="Times New Roman"/>
      <w:kern w:val="2"/>
      <w:sz w:val="24"/>
      <w:szCs w:val="24"/>
      <w:lang w:val="en-US" w:eastAsia="zh-CN" w:bidi="ar-SA"/>
    </w:rPr>
  </w:style>
  <w:style w:type="paragraph" w:customStyle="1" w:styleId="216">
    <w:name w:val="xl71"/>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17">
    <w:name w:val="xl68"/>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218">
    <w:name w:val="xl91"/>
    <w:basedOn w:val="1"/>
    <w:autoRedefine/>
    <w:qFormat/>
    <w:uiPriority w:val="99"/>
    <w:pPr>
      <w:widowControl/>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19">
    <w:name w:val="xl51"/>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20">
    <w:name w:val="5"/>
    <w:basedOn w:val="1"/>
    <w:next w:val="1"/>
    <w:autoRedefine/>
    <w:qFormat/>
    <w:uiPriority w:val="99"/>
  </w:style>
  <w:style w:type="paragraph" w:customStyle="1" w:styleId="221">
    <w:name w:val="地址内"/>
    <w:basedOn w:val="1"/>
    <w:autoRedefine/>
    <w:qFormat/>
    <w:uiPriority w:val="99"/>
  </w:style>
  <w:style w:type="paragraph" w:customStyle="1" w:styleId="222">
    <w:name w:val="xl33"/>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color w:val="000000"/>
      <w:kern w:val="0"/>
      <w:sz w:val="24"/>
      <w:szCs w:val="24"/>
    </w:rPr>
  </w:style>
  <w:style w:type="paragraph" w:customStyle="1" w:styleId="223">
    <w:name w:val="xl65"/>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24">
    <w:name w:val="font7"/>
    <w:basedOn w:val="1"/>
    <w:autoRedefine/>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225">
    <w:name w:val="xl25"/>
    <w:basedOn w:val="1"/>
    <w:autoRedefine/>
    <w:qFormat/>
    <w:uiPriority w:val="99"/>
    <w:pPr>
      <w:widowControl/>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26">
    <w:name w:val="xl2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27">
    <w:name w:val="xl56"/>
    <w:basedOn w:val="1"/>
    <w:autoRedefine/>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28">
    <w:name w:val="Note Level 7"/>
    <w:basedOn w:val="1"/>
    <w:autoRedefine/>
    <w:qFormat/>
    <w:uiPriority w:val="99"/>
    <w:pPr>
      <w:keepNext/>
      <w:tabs>
        <w:tab w:val="left" w:pos="1200"/>
      </w:tabs>
      <w:ind w:left="2940" w:hanging="420"/>
      <w:outlineLvl w:val="6"/>
    </w:pPr>
    <w:rPr>
      <w:rFonts w:ascii="宋体" w:hAnsi="Cambria" w:cs="宋体"/>
      <w:sz w:val="24"/>
      <w:szCs w:val="24"/>
    </w:rPr>
  </w:style>
  <w:style w:type="paragraph" w:customStyle="1" w:styleId="229">
    <w:name w:val="xl93"/>
    <w:basedOn w:val="1"/>
    <w:autoRedefine/>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30">
    <w:name w:val="Default"/>
    <w:autoRedefine/>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31">
    <w:name w:val="xl72"/>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32">
    <w:name w:val="xl45"/>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33">
    <w:name w:val="xl55"/>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234">
    <w:name w:val="Body text|1"/>
    <w:basedOn w:val="1"/>
    <w:autoRedefine/>
    <w:qFormat/>
    <w:uiPriority w:val="0"/>
    <w:pPr>
      <w:spacing w:line="480" w:lineRule="auto"/>
    </w:pPr>
    <w:rPr>
      <w:rFonts w:ascii="宋体" w:hAnsi="宋体" w:cs="宋体"/>
      <w:sz w:val="19"/>
      <w:szCs w:val="19"/>
      <w:lang w:val="zh-TW" w:eastAsia="zh-TW" w:bidi="zh-TW"/>
    </w:rPr>
  </w:style>
  <w:style w:type="paragraph" w:customStyle="1" w:styleId="235">
    <w:name w:val="Char Char Char Char Char Char Char Char Char Char Char Char1 Char"/>
    <w:basedOn w:val="15"/>
    <w:autoRedefine/>
    <w:qFormat/>
    <w:uiPriority w:val="99"/>
    <w:rPr>
      <w:rFonts w:ascii="Tahoma" w:hAnsi="Tahoma" w:cs="Tahoma"/>
      <w:sz w:val="24"/>
      <w:szCs w:val="24"/>
    </w:rPr>
  </w:style>
  <w:style w:type="paragraph" w:customStyle="1" w:styleId="236">
    <w:name w:val="font11"/>
    <w:basedOn w:val="1"/>
    <w:autoRedefine/>
    <w:qFormat/>
    <w:uiPriority w:val="99"/>
    <w:pPr>
      <w:widowControl/>
      <w:spacing w:before="100" w:beforeAutospacing="1" w:after="100" w:afterAutospacing="1"/>
      <w:jc w:val="left"/>
    </w:pPr>
    <w:rPr>
      <w:kern w:val="0"/>
      <w:sz w:val="24"/>
      <w:szCs w:val="24"/>
    </w:rPr>
  </w:style>
  <w:style w:type="paragraph" w:customStyle="1" w:styleId="237">
    <w:name w:val="font10"/>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238">
    <w:name w:val="xl24"/>
    <w:basedOn w:val="1"/>
    <w:autoRedefine/>
    <w:qFormat/>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239">
    <w:name w:val="_Style 222"/>
    <w:basedOn w:val="1"/>
    <w:next w:val="122"/>
    <w:autoRedefine/>
    <w:qFormat/>
    <w:uiPriority w:val="99"/>
    <w:pPr>
      <w:ind w:firstLine="420" w:firstLineChars="200"/>
    </w:pPr>
    <w:rPr>
      <w:rFonts w:cs="Calibri"/>
    </w:rPr>
  </w:style>
  <w:style w:type="paragraph" w:customStyle="1" w:styleId="240">
    <w:name w:val="标准小三"/>
    <w:basedOn w:val="1"/>
    <w:autoRedefine/>
    <w:qFormat/>
    <w:uiPriority w:val="99"/>
    <w:pPr>
      <w:spacing w:line="700" w:lineRule="exact"/>
      <w:ind w:firstLine="200" w:firstLineChars="200"/>
    </w:pPr>
    <w:rPr>
      <w:rFonts w:ascii="宋体" w:hAnsi="Arial" w:eastAsia="仿宋_GB2312" w:cs="宋体"/>
      <w:kern w:val="0"/>
      <w:sz w:val="30"/>
      <w:szCs w:val="30"/>
    </w:rPr>
  </w:style>
  <w:style w:type="paragraph" w:customStyle="1" w:styleId="241">
    <w:name w:val="TOC 标题3"/>
    <w:basedOn w:val="2"/>
    <w:next w:val="1"/>
    <w:autoRedefine/>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42">
    <w:name w:val="正文空2格  1."/>
    <w:basedOn w:val="1"/>
    <w:autoRedefine/>
    <w:qFormat/>
    <w:uiPriority w:val="99"/>
    <w:pPr>
      <w:adjustRightInd w:val="0"/>
      <w:spacing w:line="360" w:lineRule="auto"/>
      <w:ind w:firstLine="480" w:firstLineChars="200"/>
      <w:textAlignment w:val="baseline"/>
    </w:pPr>
    <w:rPr>
      <w:rFonts w:ascii="宋体" w:eastAsia="仿宋" w:cs="宋体"/>
      <w:kern w:val="0"/>
      <w:sz w:val="28"/>
      <w:szCs w:val="28"/>
    </w:rPr>
  </w:style>
  <w:style w:type="paragraph" w:customStyle="1" w:styleId="243">
    <w:name w:val="xl26"/>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4">
    <w:name w:val="xl60"/>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5">
    <w:name w:val="xl73"/>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46">
    <w:name w:val="xl54"/>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47">
    <w:name w:val="xl77"/>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248">
    <w:name w:val="xl63"/>
    <w:basedOn w:val="1"/>
    <w:autoRedefine/>
    <w:qFormat/>
    <w:uiPriority w:val="99"/>
    <w:pPr>
      <w:widowControl/>
      <w:pBdr>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49">
    <w:name w:val="xl9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50">
    <w:name w:val="xl35"/>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251">
    <w:name w:val="p0"/>
    <w:basedOn w:val="1"/>
    <w:autoRedefine/>
    <w:qFormat/>
    <w:uiPriority w:val="99"/>
    <w:pPr>
      <w:widowControl/>
      <w:snapToGrid w:val="0"/>
      <w:spacing w:line="312" w:lineRule="atLeast"/>
    </w:pPr>
    <w:rPr>
      <w:kern w:val="0"/>
    </w:rPr>
  </w:style>
  <w:style w:type="paragraph" w:customStyle="1" w:styleId="252">
    <w:name w:val="列出段落1"/>
    <w:basedOn w:val="1"/>
    <w:autoRedefine/>
    <w:qFormat/>
    <w:uiPriority w:val="99"/>
    <w:pPr>
      <w:ind w:firstLine="420" w:firstLineChars="200"/>
    </w:pPr>
  </w:style>
  <w:style w:type="paragraph" w:customStyle="1" w:styleId="253">
    <w:name w:val="列表段落21"/>
    <w:basedOn w:val="1"/>
    <w:autoRedefine/>
    <w:qFormat/>
    <w:uiPriority w:val="99"/>
    <w:pPr>
      <w:widowControl/>
      <w:spacing w:after="160" w:line="259" w:lineRule="auto"/>
      <w:ind w:left="720"/>
      <w:jc w:val="left"/>
    </w:pPr>
    <w:rPr>
      <w:kern w:val="0"/>
      <w:sz w:val="22"/>
      <w:szCs w:val="22"/>
    </w:rPr>
  </w:style>
  <w:style w:type="character" w:customStyle="1" w:styleId="254">
    <w:name w:val="正文缩进 字符"/>
    <w:link w:val="7"/>
    <w:autoRedefine/>
    <w:qFormat/>
    <w:locked/>
    <w:uiPriority w:val="99"/>
    <w:rPr>
      <w:rFonts w:ascii="Calibri" w:hAnsi="Calibri"/>
      <w:kern w:val="2"/>
      <w:sz w:val="21"/>
      <w:szCs w:val="21"/>
    </w:rPr>
  </w:style>
  <w:style w:type="character" w:customStyle="1" w:styleId="255">
    <w:name w:val="标题 1 字符"/>
    <w:link w:val="2"/>
    <w:autoRedefine/>
    <w:qFormat/>
    <w:locked/>
    <w:uiPriority w:val="99"/>
    <w:rPr>
      <w:rFonts w:hAnsi="宋体"/>
      <w:b/>
      <w:bCs/>
      <w:color w:val="000000"/>
      <w:kern w:val="2"/>
      <w:sz w:val="30"/>
      <w:szCs w:val="30"/>
    </w:rPr>
  </w:style>
  <w:style w:type="character" w:customStyle="1" w:styleId="256">
    <w:name w:val="标题 2 字符"/>
    <w:link w:val="3"/>
    <w:autoRedefine/>
    <w:qFormat/>
    <w:locked/>
    <w:uiPriority w:val="99"/>
    <w:rPr>
      <w:rFonts w:ascii="Arial" w:hAnsi="Arial" w:eastAsia="黑体" w:cs="Arial"/>
      <w:b/>
      <w:bCs/>
      <w:kern w:val="2"/>
      <w:sz w:val="32"/>
      <w:szCs w:val="32"/>
    </w:rPr>
  </w:style>
  <w:style w:type="character" w:customStyle="1" w:styleId="257">
    <w:name w:val="标题 3 字符"/>
    <w:link w:val="4"/>
    <w:autoRedefine/>
    <w:qFormat/>
    <w:locked/>
    <w:uiPriority w:val="99"/>
    <w:rPr>
      <w:b/>
      <w:bCs/>
      <w:sz w:val="32"/>
      <w:szCs w:val="32"/>
    </w:rPr>
  </w:style>
  <w:style w:type="character" w:customStyle="1" w:styleId="258">
    <w:name w:val="标题 4 字符"/>
    <w:link w:val="5"/>
    <w:autoRedefine/>
    <w:qFormat/>
    <w:locked/>
    <w:uiPriority w:val="99"/>
    <w:rPr>
      <w:rFonts w:ascii="Arial" w:hAnsi="Arial" w:eastAsia="黑体" w:cs="Arial"/>
      <w:b/>
      <w:bCs/>
      <w:kern w:val="2"/>
      <w:sz w:val="28"/>
      <w:szCs w:val="28"/>
    </w:rPr>
  </w:style>
  <w:style w:type="character" w:customStyle="1" w:styleId="259">
    <w:name w:val="标题 5 字符"/>
    <w:link w:val="6"/>
    <w:autoRedefine/>
    <w:qFormat/>
    <w:locked/>
    <w:uiPriority w:val="99"/>
    <w:rPr>
      <w:rFonts w:ascii="Calibri" w:hAnsi="Calibri" w:cs="Calibri"/>
      <w:b/>
      <w:bCs/>
      <w:sz w:val="28"/>
      <w:szCs w:val="28"/>
    </w:rPr>
  </w:style>
  <w:style w:type="character" w:customStyle="1" w:styleId="260">
    <w:name w:val="标题 6 字符"/>
    <w:link w:val="8"/>
    <w:autoRedefine/>
    <w:qFormat/>
    <w:locked/>
    <w:uiPriority w:val="99"/>
    <w:rPr>
      <w:rFonts w:ascii="Arial" w:hAnsi="Arial" w:eastAsia="黑体" w:cs="Arial"/>
      <w:b/>
      <w:bCs/>
      <w:sz w:val="24"/>
      <w:szCs w:val="24"/>
    </w:rPr>
  </w:style>
  <w:style w:type="character" w:customStyle="1" w:styleId="261">
    <w:name w:val="标题 7 字符"/>
    <w:link w:val="9"/>
    <w:autoRedefine/>
    <w:qFormat/>
    <w:locked/>
    <w:uiPriority w:val="99"/>
    <w:rPr>
      <w:rFonts w:ascii="Calibri" w:hAnsi="Calibri" w:cs="Calibri"/>
      <w:b/>
      <w:bCs/>
      <w:sz w:val="24"/>
      <w:szCs w:val="24"/>
    </w:rPr>
  </w:style>
  <w:style w:type="character" w:customStyle="1" w:styleId="262">
    <w:name w:val="标题 8 字符"/>
    <w:link w:val="10"/>
    <w:autoRedefine/>
    <w:qFormat/>
    <w:locked/>
    <w:uiPriority w:val="99"/>
    <w:rPr>
      <w:rFonts w:ascii="Arial" w:hAnsi="Arial" w:eastAsia="黑体" w:cs="Arial"/>
      <w:sz w:val="24"/>
      <w:szCs w:val="24"/>
    </w:rPr>
  </w:style>
  <w:style w:type="character" w:customStyle="1" w:styleId="263">
    <w:name w:val="标题 9 字符"/>
    <w:link w:val="11"/>
    <w:autoRedefine/>
    <w:qFormat/>
    <w:locked/>
    <w:uiPriority w:val="99"/>
    <w:rPr>
      <w:rFonts w:ascii="Arial" w:hAnsi="Arial" w:eastAsia="黑体" w:cs="Arial"/>
      <w:szCs w:val="21"/>
    </w:rPr>
  </w:style>
  <w:style w:type="character" w:customStyle="1" w:styleId="264">
    <w:name w:val="文档结构图 字符"/>
    <w:link w:val="15"/>
    <w:qFormat/>
    <w:locked/>
    <w:uiPriority w:val="99"/>
    <w:rPr>
      <w:kern w:val="2"/>
      <w:sz w:val="24"/>
      <w:szCs w:val="24"/>
      <w:shd w:val="clear" w:color="auto" w:fill="000080"/>
    </w:rPr>
  </w:style>
  <w:style w:type="character" w:customStyle="1" w:styleId="265">
    <w:name w:val="批注文字 字符"/>
    <w:link w:val="16"/>
    <w:autoRedefine/>
    <w:semiHidden/>
    <w:qFormat/>
    <w:locked/>
    <w:uiPriority w:val="99"/>
    <w:rPr>
      <w:rFonts w:ascii="Calibri" w:hAnsi="Calibri" w:cs="Calibri"/>
      <w:kern w:val="2"/>
      <w:sz w:val="21"/>
      <w:szCs w:val="21"/>
    </w:rPr>
  </w:style>
  <w:style w:type="character" w:customStyle="1" w:styleId="266">
    <w:name w:val="正文文本 3 字符"/>
    <w:link w:val="17"/>
    <w:autoRedefine/>
    <w:qFormat/>
    <w:locked/>
    <w:uiPriority w:val="99"/>
    <w:rPr>
      <w:rFonts w:hAnsi="宋体" w:eastAsia="仿宋_GB2312"/>
      <w:b/>
      <w:bCs/>
      <w:kern w:val="2"/>
      <w:sz w:val="24"/>
      <w:szCs w:val="24"/>
    </w:rPr>
  </w:style>
  <w:style w:type="character" w:customStyle="1" w:styleId="267">
    <w:name w:val="正文文本 字符"/>
    <w:link w:val="18"/>
    <w:autoRedefine/>
    <w:qFormat/>
    <w:locked/>
    <w:uiPriority w:val="99"/>
    <w:rPr>
      <w:kern w:val="2"/>
      <w:sz w:val="24"/>
      <w:szCs w:val="24"/>
    </w:rPr>
  </w:style>
  <w:style w:type="character" w:customStyle="1" w:styleId="268">
    <w:name w:val="正文文本缩进 字符"/>
    <w:link w:val="19"/>
    <w:autoRedefine/>
    <w:qFormat/>
    <w:locked/>
    <w:uiPriority w:val="99"/>
    <w:rPr>
      <w:rFonts w:ascii="宋体" w:hAnsi="Courier New" w:cs="宋体"/>
      <w:spacing w:val="-4"/>
      <w:kern w:val="2"/>
      <w:sz w:val="18"/>
      <w:szCs w:val="18"/>
    </w:rPr>
  </w:style>
  <w:style w:type="character" w:customStyle="1" w:styleId="269">
    <w:name w:val="纯文本 字符1"/>
    <w:link w:val="24"/>
    <w:autoRedefine/>
    <w:qFormat/>
    <w:locked/>
    <w:uiPriority w:val="99"/>
    <w:rPr>
      <w:rFonts w:ascii="宋体" w:hAnsi="Courier New" w:eastAsia="宋体" w:cs="宋体"/>
      <w:kern w:val="2"/>
      <w:sz w:val="24"/>
      <w:szCs w:val="24"/>
      <w:lang w:val="en-US" w:eastAsia="zh-CN"/>
    </w:rPr>
  </w:style>
  <w:style w:type="character" w:customStyle="1" w:styleId="270">
    <w:name w:val="日期 字符"/>
    <w:link w:val="26"/>
    <w:qFormat/>
    <w:locked/>
    <w:uiPriority w:val="99"/>
    <w:rPr>
      <w:rFonts w:eastAsia="楷体_GB2312"/>
      <w:kern w:val="2"/>
      <w:sz w:val="32"/>
      <w:szCs w:val="32"/>
    </w:rPr>
  </w:style>
  <w:style w:type="character" w:customStyle="1" w:styleId="271">
    <w:name w:val="正文文本缩进 2 字符"/>
    <w:link w:val="27"/>
    <w:autoRedefine/>
    <w:qFormat/>
    <w:locked/>
    <w:uiPriority w:val="99"/>
    <w:rPr>
      <w:rFonts w:ascii="仿宋_GB2312" w:hAnsi="宋体" w:cs="仿宋_GB2312"/>
      <w:b/>
      <w:bCs/>
      <w:color w:val="000000"/>
      <w:kern w:val="2"/>
      <w:sz w:val="24"/>
      <w:szCs w:val="24"/>
    </w:rPr>
  </w:style>
  <w:style w:type="character" w:customStyle="1" w:styleId="272">
    <w:name w:val="尾注文本 字符"/>
    <w:link w:val="28"/>
    <w:autoRedefine/>
    <w:qFormat/>
    <w:locked/>
    <w:uiPriority w:val="99"/>
    <w:rPr>
      <w:kern w:val="2"/>
      <w:sz w:val="24"/>
      <w:szCs w:val="24"/>
    </w:rPr>
  </w:style>
  <w:style w:type="character" w:customStyle="1" w:styleId="273">
    <w:name w:val="批注框文本 字符1"/>
    <w:link w:val="29"/>
    <w:autoRedefine/>
    <w:qFormat/>
    <w:locked/>
    <w:uiPriority w:val="99"/>
    <w:rPr>
      <w:kern w:val="2"/>
      <w:sz w:val="18"/>
      <w:szCs w:val="18"/>
    </w:rPr>
  </w:style>
  <w:style w:type="character" w:customStyle="1" w:styleId="274">
    <w:name w:val="页脚 字符1"/>
    <w:link w:val="30"/>
    <w:autoRedefine/>
    <w:qFormat/>
    <w:locked/>
    <w:uiPriority w:val="99"/>
    <w:rPr>
      <w:rFonts w:eastAsia="黑体"/>
      <w:snapToGrid/>
      <w:sz w:val="18"/>
      <w:szCs w:val="18"/>
      <w:lang w:val="en-US" w:eastAsia="zh-CN"/>
    </w:rPr>
  </w:style>
  <w:style w:type="character" w:customStyle="1" w:styleId="275">
    <w:name w:val="页眉 字符1"/>
    <w:link w:val="31"/>
    <w:autoRedefine/>
    <w:qFormat/>
    <w:locked/>
    <w:uiPriority w:val="99"/>
    <w:rPr>
      <w:rFonts w:eastAsia="仿宋_GB2312"/>
      <w:kern w:val="2"/>
      <w:sz w:val="18"/>
      <w:szCs w:val="18"/>
    </w:rPr>
  </w:style>
  <w:style w:type="character" w:customStyle="1" w:styleId="276">
    <w:name w:val="副标题 字符"/>
    <w:link w:val="34"/>
    <w:qFormat/>
    <w:locked/>
    <w:uiPriority w:val="99"/>
    <w:rPr>
      <w:rFonts w:ascii="Cambria" w:hAnsi="Cambria" w:cs="Cambria"/>
      <w:b/>
      <w:bCs/>
      <w:kern w:val="28"/>
      <w:sz w:val="32"/>
      <w:szCs w:val="32"/>
    </w:rPr>
  </w:style>
  <w:style w:type="character" w:customStyle="1" w:styleId="277">
    <w:name w:val="脚注文本 字符"/>
    <w:link w:val="36"/>
    <w:qFormat/>
    <w:locked/>
    <w:uiPriority w:val="99"/>
    <w:rPr>
      <w:kern w:val="2"/>
      <w:sz w:val="18"/>
      <w:szCs w:val="18"/>
    </w:rPr>
  </w:style>
  <w:style w:type="character" w:customStyle="1" w:styleId="278">
    <w:name w:val="正文文本缩进 3 字符"/>
    <w:link w:val="38"/>
    <w:autoRedefine/>
    <w:qFormat/>
    <w:locked/>
    <w:uiPriority w:val="99"/>
    <w:rPr>
      <w:rFonts w:ascii="仿宋_GB2312" w:hAnsi="宋体" w:eastAsia="仿宋_GB2312" w:cs="仿宋_GB2312"/>
      <w:color w:val="000000"/>
      <w:kern w:val="2"/>
      <w:sz w:val="24"/>
      <w:szCs w:val="24"/>
    </w:rPr>
  </w:style>
  <w:style w:type="character" w:customStyle="1" w:styleId="279">
    <w:name w:val="正文文本 2 字符"/>
    <w:link w:val="41"/>
    <w:qFormat/>
    <w:locked/>
    <w:uiPriority w:val="99"/>
    <w:rPr>
      <w:rFonts w:ascii="宋体" w:eastAsia="宋体" w:cs="宋体"/>
      <w:color w:val="000000"/>
      <w:kern w:val="2"/>
      <w:sz w:val="24"/>
      <w:szCs w:val="24"/>
    </w:rPr>
  </w:style>
  <w:style w:type="character" w:customStyle="1" w:styleId="280">
    <w:name w:val="标题 字符1"/>
    <w:link w:val="43"/>
    <w:autoRedefine/>
    <w:qFormat/>
    <w:locked/>
    <w:uiPriority w:val="10"/>
    <w:rPr>
      <w:rFonts w:ascii="Cambria" w:hAnsi="Cambria" w:cs="Cambria"/>
      <w:b/>
      <w:bCs/>
      <w:kern w:val="2"/>
      <w:sz w:val="32"/>
      <w:szCs w:val="32"/>
    </w:rPr>
  </w:style>
  <w:style w:type="character" w:customStyle="1" w:styleId="281">
    <w:name w:val="批注主题 字符"/>
    <w:link w:val="44"/>
    <w:autoRedefine/>
    <w:qFormat/>
    <w:locked/>
    <w:uiPriority w:val="99"/>
    <w:rPr>
      <w:b/>
      <w:bCs/>
      <w:kern w:val="2"/>
      <w:sz w:val="24"/>
      <w:szCs w:val="24"/>
    </w:rPr>
  </w:style>
  <w:style w:type="character" w:customStyle="1" w:styleId="282">
    <w:name w:val="正文文本首行缩进 字符"/>
    <w:link w:val="45"/>
    <w:qFormat/>
    <w:locked/>
    <w:uiPriority w:val="99"/>
    <w:rPr>
      <w:kern w:val="2"/>
      <w:sz w:val="24"/>
      <w:szCs w:val="24"/>
    </w:rPr>
  </w:style>
  <w:style w:type="character" w:customStyle="1" w:styleId="283">
    <w:name w:val="正文文本首行缩进 2 字符"/>
    <w:link w:val="46"/>
    <w:qFormat/>
    <w:locked/>
    <w:uiPriority w:val="99"/>
    <w:rPr>
      <w:rFonts w:ascii="宋体" w:hAnsi="Courier New" w:cs="宋体"/>
      <w:spacing w:val="-4"/>
      <w:kern w:val="2"/>
      <w:sz w:val="21"/>
      <w:szCs w:val="21"/>
    </w:rPr>
  </w:style>
  <w:style w:type="character" w:customStyle="1" w:styleId="284">
    <w:name w:val="副标题 Char1"/>
    <w:qFormat/>
    <w:uiPriority w:val="99"/>
    <w:rPr>
      <w:rFonts w:ascii="Cambria" w:hAnsi="Cambria" w:cs="Cambria"/>
      <w:b/>
      <w:bCs/>
      <w:kern w:val="28"/>
      <w:sz w:val="32"/>
      <w:szCs w:val="32"/>
    </w:rPr>
  </w:style>
  <w:style w:type="character" w:customStyle="1" w:styleId="285">
    <w:name w:val="bookmark-item"/>
    <w:qFormat/>
    <w:uiPriority w:val="99"/>
  </w:style>
  <w:style w:type="character" w:customStyle="1" w:styleId="286">
    <w:name w:val="H4"/>
    <w:qFormat/>
    <w:uiPriority w:val="99"/>
  </w:style>
  <w:style w:type="character" w:customStyle="1" w:styleId="287">
    <w:name w:val="04-正文 Char"/>
    <w:qFormat/>
    <w:uiPriority w:val="99"/>
    <w:rPr>
      <w:rFonts w:eastAsia="仿宋"/>
      <w:kern w:val="2"/>
      <w:sz w:val="24"/>
      <w:szCs w:val="24"/>
    </w:rPr>
  </w:style>
  <w:style w:type="character" w:customStyle="1" w:styleId="288">
    <w:name w:val="二级标题 Char"/>
    <w:link w:val="57"/>
    <w:qFormat/>
    <w:locked/>
    <w:uiPriority w:val="99"/>
    <w:rPr>
      <w:rFonts w:ascii="宋体" w:eastAsia="宋体" w:cs="宋体"/>
      <w:b/>
      <w:bCs/>
      <w:sz w:val="30"/>
      <w:szCs w:val="30"/>
      <w:lang w:val="zh-CN"/>
    </w:rPr>
  </w:style>
  <w:style w:type="character" w:customStyle="1" w:styleId="289">
    <w:name w:val="正文文本 Char"/>
    <w:qFormat/>
    <w:uiPriority w:val="99"/>
    <w:rPr>
      <w:kern w:val="2"/>
      <w:sz w:val="24"/>
      <w:szCs w:val="24"/>
    </w:rPr>
  </w:style>
  <w:style w:type="character" w:customStyle="1" w:styleId="290">
    <w:name w:val="m_51"/>
    <w:qFormat/>
    <w:uiPriority w:val="99"/>
  </w:style>
  <w:style w:type="character" w:customStyle="1" w:styleId="291">
    <w:name w:val="尾注文本 Char1"/>
    <w:qFormat/>
    <w:uiPriority w:val="99"/>
    <w:rPr>
      <w:kern w:val="2"/>
      <w:sz w:val="24"/>
      <w:szCs w:val="24"/>
    </w:rPr>
  </w:style>
  <w:style w:type="character" w:customStyle="1" w:styleId="292">
    <w:name w:val="正文首行缩进 Char"/>
    <w:qFormat/>
    <w:uiPriority w:val="99"/>
    <w:rPr>
      <w:kern w:val="2"/>
      <w:sz w:val="24"/>
      <w:szCs w:val="24"/>
    </w:rPr>
  </w:style>
  <w:style w:type="character" w:customStyle="1" w:styleId="293">
    <w:name w:val="a41"/>
    <w:qFormat/>
    <w:uiPriority w:val="99"/>
    <w:rPr>
      <w:color w:val="auto"/>
      <w:sz w:val="26"/>
      <w:szCs w:val="26"/>
    </w:rPr>
  </w:style>
  <w:style w:type="character" w:customStyle="1" w:styleId="294">
    <w:name w:val="标题 字符"/>
    <w:qFormat/>
    <w:uiPriority w:val="99"/>
    <w:rPr>
      <w:rFonts w:ascii="等线 Light" w:eastAsia="等线 Light" w:cs="等线 Light"/>
      <w:b/>
      <w:bCs/>
      <w:kern w:val="2"/>
      <w:sz w:val="32"/>
      <w:szCs w:val="32"/>
    </w:rPr>
  </w:style>
  <w:style w:type="character" w:customStyle="1" w:styleId="295">
    <w:name w:val="批注文字 Char1"/>
    <w:qFormat/>
    <w:locked/>
    <w:uiPriority w:val="99"/>
    <w:rPr>
      <w:rFonts w:ascii="Times New Roman" w:hAnsi="Times New Roman" w:eastAsia="宋体" w:cs="Times New Roman"/>
      <w:sz w:val="20"/>
      <w:szCs w:val="20"/>
    </w:rPr>
  </w:style>
  <w:style w:type="character" w:customStyle="1" w:styleId="296">
    <w:name w:val="Plain Text Char"/>
    <w:qFormat/>
    <w:locked/>
    <w:uiPriority w:val="99"/>
    <w:rPr>
      <w:rFonts w:ascii="宋体" w:hAnsi="Courier New" w:eastAsia="宋体" w:cs="宋体"/>
      <w:sz w:val="21"/>
      <w:szCs w:val="21"/>
    </w:rPr>
  </w:style>
  <w:style w:type="character" w:customStyle="1" w:styleId="297">
    <w:name w:val="font51"/>
    <w:qFormat/>
    <w:uiPriority w:val="0"/>
    <w:rPr>
      <w:rFonts w:hint="eastAsia" w:ascii="宋体" w:hAnsi="宋体" w:eastAsia="宋体"/>
      <w:color w:val="000000"/>
      <w:sz w:val="21"/>
      <w:szCs w:val="21"/>
      <w:u w:val="none"/>
    </w:rPr>
  </w:style>
  <w:style w:type="character" w:customStyle="1" w:styleId="298">
    <w:name w:val="04-正文 Char Char"/>
    <w:link w:val="58"/>
    <w:qFormat/>
    <w:locked/>
    <w:uiPriority w:val="99"/>
    <w:rPr>
      <w:sz w:val="24"/>
      <w:szCs w:val="24"/>
    </w:rPr>
  </w:style>
  <w:style w:type="character" w:customStyle="1" w:styleId="299">
    <w:name w:val="Table Text Char Char Char Char"/>
    <w:qFormat/>
    <w:uiPriority w:val="99"/>
    <w:rPr>
      <w:rFonts w:ascii="Arial" w:hAnsi="Arial" w:eastAsia="宋体" w:cs="Arial"/>
      <w:kern w:val="2"/>
      <w:sz w:val="18"/>
      <w:szCs w:val="18"/>
      <w:lang w:val="en-US" w:eastAsia="zh-CN"/>
    </w:rPr>
  </w:style>
  <w:style w:type="character" w:customStyle="1" w:styleId="300">
    <w:name w:val="文档结构图 Char1"/>
    <w:qFormat/>
    <w:uiPriority w:val="99"/>
    <w:rPr>
      <w:rFonts w:ascii="宋体" w:cs="宋体"/>
      <w:kern w:val="2"/>
      <w:sz w:val="18"/>
      <w:szCs w:val="18"/>
    </w:rPr>
  </w:style>
  <w:style w:type="character" w:customStyle="1" w:styleId="301">
    <w:name w:val="列出段落 Char"/>
    <w:qFormat/>
    <w:uiPriority w:val="99"/>
    <w:rPr>
      <w:rFonts w:ascii="Calibri" w:hAnsi="Calibri" w:eastAsia="宋体" w:cs="Calibri"/>
    </w:rPr>
  </w:style>
  <w:style w:type="character" w:customStyle="1" w:styleId="302">
    <w:name w:val="m_01"/>
    <w:qFormat/>
    <w:uiPriority w:val="99"/>
  </w:style>
  <w:style w:type="character" w:customStyle="1" w:styleId="303">
    <w:name w:val="标题 1 Char Char"/>
    <w:qFormat/>
    <w:uiPriority w:val="99"/>
    <w:rPr>
      <w:rFonts w:eastAsia="宋体"/>
      <w:b/>
      <w:bCs/>
      <w:spacing w:val="-2"/>
      <w:sz w:val="24"/>
      <w:szCs w:val="24"/>
      <w:lang w:val="en-US" w:eastAsia="zh-CN"/>
    </w:rPr>
  </w:style>
  <w:style w:type="character" w:customStyle="1" w:styleId="304">
    <w:name w:val="www序号1) Char"/>
    <w:link w:val="59"/>
    <w:qFormat/>
    <w:locked/>
    <w:uiPriority w:val="99"/>
    <w:rPr>
      <w:sz w:val="24"/>
      <w:szCs w:val="24"/>
    </w:rPr>
  </w:style>
  <w:style w:type="character" w:customStyle="1" w:styleId="305">
    <w:name w:val="font01"/>
    <w:qFormat/>
    <w:uiPriority w:val="0"/>
    <w:rPr>
      <w:rFonts w:hint="eastAsia" w:ascii="宋体" w:hAnsi="宋体" w:eastAsia="宋体"/>
      <w:color w:val="000000"/>
      <w:sz w:val="21"/>
      <w:szCs w:val="21"/>
      <w:u w:val="none"/>
      <w:vertAlign w:val="subscript"/>
    </w:rPr>
  </w:style>
  <w:style w:type="character" w:customStyle="1" w:styleId="306">
    <w:name w:val="apple-converted-space"/>
    <w:qFormat/>
    <w:uiPriority w:val="99"/>
  </w:style>
  <w:style w:type="character" w:customStyle="1" w:styleId="307">
    <w:name w:val="m_461"/>
    <w:qFormat/>
    <w:uiPriority w:val="99"/>
  </w:style>
  <w:style w:type="character" w:customStyle="1" w:styleId="308">
    <w:name w:val="z21"/>
    <w:qFormat/>
    <w:uiPriority w:val="99"/>
    <w:rPr>
      <w:color w:val="000000"/>
      <w:sz w:val="18"/>
      <w:szCs w:val="18"/>
    </w:rPr>
  </w:style>
  <w:style w:type="character" w:customStyle="1" w:styleId="309">
    <w:name w:val="en"/>
    <w:qFormat/>
    <w:uiPriority w:val="99"/>
  </w:style>
  <w:style w:type="character" w:customStyle="1" w:styleId="310">
    <w:name w:val="title_emph1"/>
    <w:qFormat/>
    <w:uiPriority w:val="99"/>
    <w:rPr>
      <w:rFonts w:ascii="Arial" w:hAnsi="Arial" w:cs="Arial"/>
      <w:b/>
      <w:bCs/>
      <w:sz w:val="18"/>
      <w:szCs w:val="18"/>
    </w:rPr>
  </w:style>
  <w:style w:type="character" w:customStyle="1" w:styleId="311">
    <w:name w:val="apple-style-span"/>
    <w:qFormat/>
    <w:uiPriority w:val="99"/>
  </w:style>
  <w:style w:type="character" w:customStyle="1" w:styleId="312">
    <w:name w:val="段 Char"/>
    <w:link w:val="60"/>
    <w:qFormat/>
    <w:locked/>
    <w:uiPriority w:val="99"/>
    <w:rPr>
      <w:rFonts w:ascii="宋体" w:cs="宋体"/>
      <w:sz w:val="21"/>
      <w:szCs w:val="21"/>
      <w:lang w:val="en-US" w:eastAsia="zh-CN"/>
    </w:rPr>
  </w:style>
  <w:style w:type="character" w:customStyle="1" w:styleId="313">
    <w:name w:val="脚注文本 Char1"/>
    <w:qFormat/>
    <w:uiPriority w:val="99"/>
    <w:rPr>
      <w:kern w:val="2"/>
      <w:sz w:val="18"/>
      <w:szCs w:val="18"/>
    </w:rPr>
  </w:style>
  <w:style w:type="character" w:customStyle="1" w:styleId="314">
    <w:name w:val="页脚 字符"/>
    <w:qFormat/>
    <w:uiPriority w:val="99"/>
    <w:rPr>
      <w:rFonts w:ascii="Tahoma" w:hAnsi="Tahoma" w:eastAsia="微软雅黑" w:cs="Tahoma"/>
      <w:sz w:val="18"/>
      <w:szCs w:val="18"/>
    </w:rPr>
  </w:style>
  <w:style w:type="character" w:customStyle="1" w:styleId="315">
    <w:name w:val="font61"/>
    <w:qFormat/>
    <w:uiPriority w:val="0"/>
    <w:rPr>
      <w:rFonts w:hint="default" w:ascii="Times New Roman" w:hAnsi="Times New Roman" w:cs="Times New Roman"/>
      <w:color w:val="000000"/>
      <w:sz w:val="20"/>
      <w:szCs w:val="20"/>
      <w:u w:val="none"/>
    </w:rPr>
  </w:style>
  <w:style w:type="character" w:customStyle="1" w:styleId="316">
    <w:name w:val="NormalCharacter"/>
    <w:semiHidden/>
    <w:qFormat/>
    <w:uiPriority w:val="99"/>
  </w:style>
  <w:style w:type="character" w:customStyle="1" w:styleId="317">
    <w:name w:val="_正文段落 Char"/>
    <w:link w:val="61"/>
    <w:qFormat/>
    <w:locked/>
    <w:uiPriority w:val="99"/>
    <w:rPr>
      <w:rFonts w:ascii="宋体" w:hAnsi="宋体" w:eastAsia="仿宋_GB2312" w:cs="宋体"/>
      <w:sz w:val="24"/>
      <w:szCs w:val="24"/>
    </w:rPr>
  </w:style>
  <w:style w:type="character" w:customStyle="1" w:styleId="318">
    <w:name w:val="纯文本 字符"/>
    <w:qFormat/>
    <w:locked/>
    <w:uiPriority w:val="99"/>
    <w:rPr>
      <w:rFonts w:ascii="宋体" w:hAnsi="Courier New" w:cs="宋体"/>
      <w:kern w:val="2"/>
    </w:rPr>
  </w:style>
  <w:style w:type="character" w:customStyle="1" w:styleId="319">
    <w:name w:val="2.1样式 Char"/>
    <w:link w:val="62"/>
    <w:qFormat/>
    <w:locked/>
    <w:uiPriority w:val="99"/>
    <w:rPr>
      <w:rFonts w:ascii="Arial" w:hAnsi="Arial" w:eastAsia="黑体" w:cs="Arial"/>
      <w:b/>
      <w:bCs/>
      <w:kern w:val="0"/>
      <w:sz w:val="32"/>
      <w:szCs w:val="32"/>
    </w:rPr>
  </w:style>
  <w:style w:type="character" w:customStyle="1" w:styleId="320">
    <w:name w:val="font14zd"/>
    <w:qFormat/>
    <w:uiPriority w:val="99"/>
  </w:style>
  <w:style w:type="character" w:customStyle="1" w:styleId="321">
    <w:name w:val="页眉 字符"/>
    <w:qFormat/>
    <w:uiPriority w:val="99"/>
    <w:rPr>
      <w:rFonts w:ascii="Tahoma" w:hAnsi="Tahoma" w:eastAsia="微软雅黑" w:cs="Tahoma"/>
      <w:sz w:val="18"/>
      <w:szCs w:val="18"/>
    </w:rPr>
  </w:style>
  <w:style w:type="character" w:customStyle="1" w:styleId="322">
    <w:name w:val="样式 正文缩进 + 首行缩进:  2 字符 Char"/>
    <w:link w:val="63"/>
    <w:qFormat/>
    <w:locked/>
    <w:uiPriority w:val="99"/>
    <w:rPr>
      <w:sz w:val="24"/>
      <w:szCs w:val="24"/>
    </w:rPr>
  </w:style>
  <w:style w:type="character" w:customStyle="1" w:styleId="323">
    <w:name w:val="font31"/>
    <w:qFormat/>
    <w:uiPriority w:val="0"/>
    <w:rPr>
      <w:rFonts w:hint="eastAsia" w:ascii="宋体" w:hAnsi="宋体" w:eastAsia="宋体"/>
      <w:color w:val="000000"/>
      <w:sz w:val="21"/>
      <w:szCs w:val="21"/>
      <w:u w:val="none"/>
    </w:rPr>
  </w:style>
  <w:style w:type="character" w:customStyle="1" w:styleId="324">
    <w:name w:val="标题 41"/>
    <w:qFormat/>
    <w:uiPriority w:val="99"/>
  </w:style>
  <w:style w:type="character" w:customStyle="1" w:styleId="325">
    <w:name w:val="列出段落 Char1"/>
    <w:link w:val="64"/>
    <w:qFormat/>
    <w:locked/>
    <w:uiPriority w:val="99"/>
    <w:rPr>
      <w:rFonts w:ascii="Calibri" w:hAnsi="Calibri" w:cs="Calibri"/>
      <w:kern w:val="2"/>
      <w:sz w:val="22"/>
      <w:szCs w:val="22"/>
    </w:rPr>
  </w:style>
  <w:style w:type="character" w:customStyle="1" w:styleId="326">
    <w:name w:val="font21"/>
    <w:qFormat/>
    <w:uiPriority w:val="99"/>
    <w:rPr>
      <w:rFonts w:ascii="微软雅黑" w:hAnsi="微软雅黑" w:eastAsia="微软雅黑" w:cs="微软雅黑"/>
      <w:color w:val="auto"/>
      <w:sz w:val="18"/>
      <w:szCs w:val="18"/>
      <w:u w:val="none"/>
    </w:rPr>
  </w:style>
  <w:style w:type="character" w:customStyle="1" w:styleId="327">
    <w:name w:val="m_391"/>
    <w:qFormat/>
    <w:uiPriority w:val="99"/>
  </w:style>
  <w:style w:type="character" w:customStyle="1" w:styleId="328">
    <w:name w:val="JD1-正文 Char"/>
    <w:link w:val="65"/>
    <w:qFormat/>
    <w:locked/>
    <w:uiPriority w:val="99"/>
    <w:rPr>
      <w:rFonts w:ascii="宋体" w:hAnsi="宋体" w:eastAsia="仿宋_GB2312" w:cs="宋体"/>
      <w:kern w:val="2"/>
      <w:sz w:val="24"/>
      <w:szCs w:val="24"/>
      <w:lang w:val="zh-CN"/>
    </w:rPr>
  </w:style>
  <w:style w:type="character" w:customStyle="1" w:styleId="329">
    <w:name w:val="样式 标题 1合同标题卷标题H1h1Level 1 Topic HeadingH11H12H111H13H1... Char Char"/>
    <w:qFormat/>
    <w:uiPriority w:val="99"/>
    <w:rPr>
      <w:rFonts w:ascii="宋体" w:hAnsi="宋体" w:eastAsia="宋体" w:cs="宋体"/>
      <w:b/>
      <w:bCs/>
      <w:kern w:val="44"/>
      <w:sz w:val="44"/>
      <w:szCs w:val="44"/>
      <w:lang w:val="en-US" w:eastAsia="zh-CN"/>
    </w:rPr>
  </w:style>
  <w:style w:type="character" w:customStyle="1" w:styleId="330">
    <w:name w:val="纯文本 Char1"/>
    <w:qFormat/>
    <w:uiPriority w:val="99"/>
    <w:rPr>
      <w:rFonts w:ascii="宋体" w:hAnsi="Courier New" w:eastAsia="宋体" w:cs="宋体"/>
      <w:kern w:val="2"/>
      <w:sz w:val="21"/>
      <w:szCs w:val="21"/>
    </w:rPr>
  </w:style>
  <w:style w:type="character" w:customStyle="1" w:styleId="331">
    <w:name w:val="m_491"/>
    <w:qFormat/>
    <w:uiPriority w:val="99"/>
  </w:style>
  <w:style w:type="character" w:customStyle="1" w:styleId="332">
    <w:name w:val="m_171"/>
    <w:qFormat/>
    <w:uiPriority w:val="99"/>
  </w:style>
  <w:style w:type="character" w:customStyle="1" w:styleId="333">
    <w:name w:val="正文缩进 Char"/>
    <w:qFormat/>
    <w:locked/>
    <w:uiPriority w:val="99"/>
    <w:rPr>
      <w:kern w:val="2"/>
      <w:sz w:val="21"/>
      <w:szCs w:val="21"/>
    </w:rPr>
  </w:style>
  <w:style w:type="character" w:customStyle="1" w:styleId="334">
    <w:name w:val="批注框文本 字符"/>
    <w:qFormat/>
    <w:uiPriority w:val="99"/>
    <w:rPr>
      <w:rFonts w:ascii="Tahoma" w:hAnsi="Tahoma" w:eastAsia="微软雅黑" w:cs="Tahoma"/>
      <w:sz w:val="18"/>
      <w:szCs w:val="18"/>
    </w:rPr>
  </w:style>
  <w:style w:type="character" w:customStyle="1" w:styleId="335">
    <w:name w:val="font71"/>
    <w:qFormat/>
    <w:uiPriority w:val="0"/>
    <w:rPr>
      <w:rFonts w:hint="eastAsia" w:ascii="宋体" w:hAnsi="宋体" w:eastAsia="宋体" w:cs="宋体"/>
      <w:color w:val="000000"/>
      <w:sz w:val="20"/>
      <w:szCs w:val="20"/>
      <w:u w:val="none"/>
    </w:rPr>
  </w:style>
  <w:style w:type="character" w:customStyle="1" w:styleId="336">
    <w:name w:val="未处理的提及1"/>
    <w:qFormat/>
    <w:uiPriority w:val="99"/>
    <w:rPr>
      <w:color w:val="auto"/>
      <w:shd w:val="clear" w:color="auto" w:fill="auto"/>
    </w:rPr>
  </w:style>
  <w:style w:type="character" w:customStyle="1" w:styleId="337">
    <w:name w:val="文档正文 Char"/>
    <w:link w:val="66"/>
    <w:qFormat/>
    <w:locked/>
    <w:uiPriority w:val="99"/>
    <w:rPr>
      <w:rFonts w:ascii="Arial" w:hAnsi="Arial" w:cs="Arial"/>
      <w:sz w:val="24"/>
      <w:szCs w:val="24"/>
    </w:rPr>
  </w:style>
  <w:style w:type="character" w:customStyle="1" w:styleId="338">
    <w:name w:val="15"/>
    <w:qFormat/>
    <w:uiPriority w:val="0"/>
    <w:rPr>
      <w:rFonts w:hint="eastAsia" w:ascii="宋体" w:hAnsi="宋体" w:eastAsia="宋体"/>
      <w:color w:val="000000"/>
      <w:sz w:val="21"/>
      <w:szCs w:val="21"/>
      <w:vertAlign w:val="subscript"/>
    </w:rPr>
  </w:style>
  <w:style w:type="character" w:customStyle="1" w:styleId="339">
    <w:name w:val="页码1"/>
    <w:qFormat/>
    <w:uiPriority w:val="99"/>
  </w:style>
  <w:style w:type="character" w:customStyle="1" w:styleId="340">
    <w:name w:val="text1"/>
    <w:qFormat/>
    <w:uiPriority w:val="99"/>
    <w:rPr>
      <w:color w:val="000000"/>
      <w:sz w:val="24"/>
      <w:szCs w:val="24"/>
    </w:rPr>
  </w:style>
  <w:style w:type="character" w:customStyle="1" w:styleId="341">
    <w:name w:val="样式 标题 1合同标题卷标题H1h1Level 1 Topic HeadingH11H12H111H13H1... Char"/>
    <w:qFormat/>
    <w:uiPriority w:val="99"/>
    <w:rPr>
      <w:rFonts w:ascii="宋体" w:hAnsi="宋体" w:eastAsia="宋体" w:cs="宋体"/>
      <w:b/>
      <w:bCs/>
      <w:kern w:val="44"/>
      <w:sz w:val="44"/>
      <w:szCs w:val="44"/>
      <w:lang w:val="en-US" w:eastAsia="zh-CN"/>
    </w:rPr>
  </w:style>
  <w:style w:type="character" w:customStyle="1" w:styleId="342">
    <w:name w:val="aa1"/>
    <w:qFormat/>
    <w:uiPriority w:val="99"/>
  </w:style>
  <w:style w:type="character" w:customStyle="1" w:styleId="343">
    <w:name w:val="fontstyle01"/>
    <w:qFormat/>
    <w:uiPriority w:val="0"/>
    <w:rPr>
      <w:rFonts w:hint="default" w:ascii="HYShuSongErKW" w:hAnsi="HYShuSongErKW"/>
      <w:color w:val="000000"/>
      <w:sz w:val="24"/>
      <w:szCs w:val="24"/>
    </w:rPr>
  </w:style>
  <w:style w:type="character" w:customStyle="1" w:styleId="344">
    <w:name w:val="fontstyle11"/>
    <w:qFormat/>
    <w:uiPriority w:val="0"/>
    <w:rPr>
      <w:rFonts w:hint="default" w:ascii="TimesNewRomanPSMT" w:hAnsi="TimesNewRomanPSMT"/>
      <w:color w:val="000000"/>
      <w:sz w:val="24"/>
      <w:szCs w:val="24"/>
    </w:rPr>
  </w:style>
  <w:style w:type="table" w:customStyle="1" w:styleId="345">
    <w:name w:val="Table Normal"/>
    <w:unhideWhenUsed/>
    <w:qFormat/>
    <w:uiPriority w:val="0"/>
    <w:rPr>
      <w:rFonts w:ascii="Arial" w:hAnsi="Arial" w:cs="Arial"/>
    </w:rPr>
    <w:tblPr>
      <w:tblCellMar>
        <w:top w:w="0" w:type="dxa"/>
        <w:left w:w="0" w:type="dxa"/>
        <w:bottom w:w="0" w:type="dxa"/>
        <w:right w:w="0" w:type="dxa"/>
      </w:tblCellMar>
    </w:tblPr>
  </w:style>
  <w:style w:type="paragraph" w:customStyle="1" w:styleId="346">
    <w:name w:val="正文 A"/>
    <w:qFormat/>
    <w:uiPriority w:val="0"/>
    <w:pPr>
      <w:framePr w:wrap="around" w:vAnchor="margin" w:hAnchor="text" w:yAlign="top"/>
      <w:widowControl w:val="0"/>
      <w:jc w:val="both"/>
    </w:pPr>
    <w:rPr>
      <w:rFonts w:ascii="Times New Roman" w:hAnsi="Times New Roman" w:eastAsia="Calibri" w:cs="Calibri"/>
      <w:color w:val="000000"/>
      <w:kern w:val="2"/>
      <w:sz w:val="21"/>
      <w:szCs w:val="21"/>
      <w:u w:color="000000"/>
      <w:lang w:val="en-US" w:eastAsia="zh-CN" w:bidi="ar-SA"/>
    </w:rPr>
  </w:style>
  <w:style w:type="paragraph" w:customStyle="1" w:styleId="347">
    <w:name w:val="修订3"/>
    <w:hidden/>
    <w:unhideWhenUsed/>
    <w:qFormat/>
    <w:uiPriority w:val="99"/>
    <w:rPr>
      <w:rFonts w:ascii="Calibri" w:hAnsi="Calibri" w:eastAsia="宋体" w:cs="Times New Roman"/>
      <w:kern w:val="2"/>
      <w:sz w:val="21"/>
      <w:szCs w:val="21"/>
      <w:lang w:val="en-US" w:eastAsia="zh-CN" w:bidi="ar-SA"/>
    </w:rPr>
  </w:style>
  <w:style w:type="character" w:customStyle="1" w:styleId="348">
    <w:name w:val="font41"/>
    <w:basedOn w:val="49"/>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29118</Words>
  <Characters>30415</Characters>
  <Lines>41</Lines>
  <Paragraphs>75</Paragraphs>
  <TotalTime>5</TotalTime>
  <ScaleCrop>false</ScaleCrop>
  <LinksUpToDate>false</LinksUpToDate>
  <CharactersWithSpaces>31678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2024-01-31T04:30:00Z</dcterms:created>
  <dc:creator>cqhac</dc:creator>
  <cp:lastModifiedBy>三三</cp:lastModifiedBy>
  <cp:lastPrinted>2023-04-07T03:33:00Z</cp:lastPrinted>
  <dcterms:modified xsi:type="dcterms:W3CDTF">2024-06-14T01:29:08Z</dcterms:modified>
  <dc:title>丽水市人民医院采购全自动特定蛋白分析系统及配套和便携彩超项目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6695A8F6D29B4A1EBF4E59364664A87A_13</vt:lpwstr>
  </property>
</Properties>
</file>