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ascii="宋体" w:hAnsi="宋体" w:cs="宋体"/>
          <w:sz w:val="32"/>
          <w:szCs w:val="32"/>
          <w:highlight w:val="none"/>
        </w:rPr>
      </w:pPr>
    </w:p>
    <w:p>
      <w:pPr>
        <w:spacing w:line="360" w:lineRule="auto"/>
        <w:jc w:val="center"/>
        <w:rPr>
          <w:rFonts w:ascii="宋体" w:hAnsi="宋体" w:cs="宋体"/>
          <w:sz w:val="32"/>
          <w:szCs w:val="32"/>
          <w:highlight w:val="none"/>
        </w:rPr>
      </w:pPr>
    </w:p>
    <w:p>
      <w:pPr>
        <w:spacing w:line="360" w:lineRule="auto"/>
        <w:jc w:val="center"/>
        <w:rPr>
          <w:rFonts w:ascii="宋体" w:hAnsi="宋体" w:cs="宋体"/>
          <w:sz w:val="44"/>
          <w:szCs w:val="44"/>
          <w:highlight w:val="none"/>
        </w:rPr>
      </w:pPr>
    </w:p>
    <w:p>
      <w:pPr>
        <w:spacing w:before="120" w:beforeLines="50" w:line="360" w:lineRule="auto"/>
        <w:jc w:val="center"/>
        <w:rPr>
          <w:rFonts w:ascii="宋体" w:hAnsi="宋体" w:cs="宋体"/>
          <w:b/>
          <w:bCs/>
          <w:sz w:val="52"/>
          <w:szCs w:val="52"/>
          <w:highlight w:val="none"/>
        </w:rPr>
      </w:pPr>
      <w:r>
        <w:rPr>
          <w:rFonts w:hint="eastAsia" w:ascii="宋体" w:hAnsi="宋体" w:cs="宋体"/>
          <w:b/>
          <w:bCs/>
          <w:sz w:val="52"/>
          <w:szCs w:val="52"/>
          <w:highlight w:val="none"/>
          <w:lang w:eastAsia="zh-CN"/>
        </w:rPr>
        <w:t>丽水市莲都区人民医院全自动血液分析流水线采购项目</w:t>
      </w:r>
      <w:r>
        <w:rPr>
          <w:rFonts w:hint="eastAsia" w:ascii="宋体" w:hAnsi="宋体" w:cs="宋体"/>
          <w:b/>
          <w:bCs/>
          <w:sz w:val="52"/>
          <w:szCs w:val="52"/>
          <w:highlight w:val="none"/>
        </w:rPr>
        <w:t>公开招标文件</w:t>
      </w:r>
    </w:p>
    <w:p>
      <w:pPr>
        <w:snapToGrid w:val="0"/>
        <w:spacing w:before="120" w:beforeLines="50" w:line="360" w:lineRule="auto"/>
        <w:rPr>
          <w:rFonts w:ascii="宋体" w:hAnsi="宋体" w:cs="宋体"/>
          <w:sz w:val="30"/>
          <w:szCs w:val="30"/>
          <w:highlight w:val="none"/>
        </w:rPr>
      </w:pPr>
    </w:p>
    <w:p>
      <w:pPr>
        <w:snapToGrid w:val="0"/>
        <w:spacing w:before="120" w:beforeLines="50" w:line="360" w:lineRule="auto"/>
        <w:rPr>
          <w:rFonts w:ascii="宋体" w:hAnsi="宋体" w:cs="宋体"/>
          <w:sz w:val="30"/>
          <w:szCs w:val="30"/>
          <w:highlight w:val="none"/>
        </w:rPr>
      </w:pPr>
    </w:p>
    <w:p>
      <w:pPr>
        <w:snapToGrid w:val="0"/>
        <w:spacing w:before="120" w:beforeLines="50" w:line="360" w:lineRule="auto"/>
        <w:rPr>
          <w:rFonts w:hint="eastAsia" w:ascii="宋体" w:hAnsi="宋体" w:cs="宋体"/>
          <w:sz w:val="32"/>
          <w:szCs w:val="32"/>
          <w:highlight w:val="none"/>
        </w:rPr>
      </w:pPr>
      <w:r>
        <w:rPr>
          <w:rFonts w:hint="eastAsia" w:ascii="宋体" w:hAnsi="宋体" w:cs="宋体"/>
          <w:sz w:val="32"/>
          <w:szCs w:val="32"/>
          <w:highlight w:val="none"/>
        </w:rPr>
        <w:t xml:space="preserve"> </w:t>
      </w:r>
    </w:p>
    <w:p>
      <w:pPr>
        <w:snapToGrid w:val="0"/>
        <w:spacing w:before="120" w:beforeLines="50" w:line="360" w:lineRule="auto"/>
        <w:rPr>
          <w:rFonts w:hint="eastAsia" w:ascii="宋体" w:hAnsi="宋体" w:cs="宋体"/>
          <w:sz w:val="32"/>
          <w:szCs w:val="32"/>
          <w:highlight w:val="none"/>
        </w:rPr>
      </w:pPr>
    </w:p>
    <w:p>
      <w:pPr>
        <w:snapToGrid w:val="0"/>
        <w:spacing w:before="120" w:beforeLines="50" w:line="360" w:lineRule="auto"/>
        <w:rPr>
          <w:rFonts w:hint="eastAsia" w:ascii="宋体" w:hAnsi="宋体" w:cs="宋体"/>
          <w:sz w:val="32"/>
          <w:szCs w:val="32"/>
          <w:highlight w:val="none"/>
        </w:rPr>
      </w:pPr>
    </w:p>
    <w:p>
      <w:pPr>
        <w:pStyle w:val="25"/>
        <w:snapToGrid w:val="0"/>
        <w:spacing w:beforeLines="0" w:afterLines="0" w:line="360" w:lineRule="auto"/>
        <w:rPr>
          <w:rFonts w:hint="eastAsia" w:hAnsi="宋体" w:eastAsia="宋体"/>
          <w:b/>
          <w:bCs/>
          <w:sz w:val="32"/>
          <w:szCs w:val="32"/>
          <w:highlight w:val="none"/>
          <w:lang w:eastAsia="zh-CN"/>
        </w:rPr>
      </w:pPr>
      <w:r>
        <w:rPr>
          <w:rFonts w:hint="eastAsia" w:hAnsi="宋体"/>
          <w:b/>
          <w:bCs/>
          <w:sz w:val="32"/>
          <w:szCs w:val="32"/>
          <w:highlight w:val="none"/>
        </w:rPr>
        <w:t>项目编号：</w:t>
      </w:r>
      <w:r>
        <w:rPr>
          <w:rFonts w:hint="eastAsia" w:hAnsi="宋体"/>
          <w:b/>
          <w:bCs/>
          <w:sz w:val="32"/>
          <w:szCs w:val="32"/>
          <w:highlight w:val="none"/>
          <w:lang w:eastAsia="zh-CN"/>
        </w:rPr>
        <w:t>CBNB-20245230GLS</w:t>
      </w:r>
    </w:p>
    <w:p>
      <w:pPr>
        <w:pStyle w:val="25"/>
        <w:snapToGrid w:val="0"/>
        <w:spacing w:beforeLines="0" w:afterLines="0" w:line="360" w:lineRule="auto"/>
        <w:ind w:left="1606" w:hanging="1606" w:hangingChars="500"/>
        <w:rPr>
          <w:rFonts w:hAnsi="宋体"/>
          <w:b/>
          <w:bCs/>
          <w:sz w:val="32"/>
          <w:szCs w:val="32"/>
          <w:highlight w:val="none"/>
        </w:rPr>
      </w:pPr>
      <w:r>
        <w:rPr>
          <w:rFonts w:hint="eastAsia" w:hAnsi="宋体"/>
          <w:b/>
          <w:bCs/>
          <w:sz w:val="32"/>
          <w:szCs w:val="32"/>
          <w:highlight w:val="none"/>
        </w:rPr>
        <w:t>项目名称：</w:t>
      </w:r>
      <w:r>
        <w:rPr>
          <w:rFonts w:hint="eastAsia" w:hAnsi="宋体"/>
          <w:b/>
          <w:bCs/>
          <w:sz w:val="32"/>
          <w:szCs w:val="32"/>
          <w:highlight w:val="none"/>
          <w:lang w:eastAsia="zh-CN"/>
        </w:rPr>
        <w:t>丽水市莲都区人民医院全自动血液分析流水线采购项目</w:t>
      </w:r>
    </w:p>
    <w:p>
      <w:pPr>
        <w:pStyle w:val="25"/>
        <w:snapToGrid w:val="0"/>
        <w:spacing w:beforeLines="0" w:afterLines="0" w:line="360" w:lineRule="auto"/>
        <w:rPr>
          <w:rFonts w:hint="eastAsia" w:hAnsi="宋体" w:eastAsia="宋体"/>
          <w:b/>
          <w:bCs/>
          <w:sz w:val="32"/>
          <w:szCs w:val="32"/>
          <w:highlight w:val="none"/>
          <w:lang w:eastAsia="zh-CN"/>
        </w:rPr>
      </w:pPr>
      <w:r>
        <w:rPr>
          <w:rFonts w:hint="eastAsia" w:hAnsi="宋体"/>
          <w:b/>
          <w:bCs/>
          <w:sz w:val="32"/>
          <w:szCs w:val="32"/>
          <w:highlight w:val="none"/>
        </w:rPr>
        <w:t>采购单位：</w:t>
      </w:r>
      <w:r>
        <w:rPr>
          <w:rFonts w:hint="eastAsia" w:hAnsi="宋体"/>
          <w:b/>
          <w:bCs/>
          <w:sz w:val="32"/>
          <w:szCs w:val="32"/>
          <w:highlight w:val="none"/>
          <w:lang w:eastAsia="zh-CN"/>
        </w:rPr>
        <w:t>丽水市莲都区人民医院</w:t>
      </w:r>
    </w:p>
    <w:p>
      <w:pPr>
        <w:pStyle w:val="25"/>
        <w:snapToGrid w:val="0"/>
        <w:spacing w:beforeLines="0" w:afterLines="0" w:line="360" w:lineRule="auto"/>
        <w:rPr>
          <w:rFonts w:hAnsi="宋体"/>
          <w:b/>
          <w:bCs/>
          <w:sz w:val="32"/>
          <w:szCs w:val="32"/>
          <w:highlight w:val="none"/>
        </w:rPr>
      </w:pPr>
      <w:r>
        <w:rPr>
          <w:rFonts w:hint="eastAsia" w:hAnsi="宋体"/>
          <w:b/>
          <w:bCs/>
          <w:sz w:val="32"/>
          <w:szCs w:val="32"/>
          <w:highlight w:val="none"/>
        </w:rPr>
        <w:t>代理机构：宁波中基国际招标有限公司</w:t>
      </w:r>
    </w:p>
    <w:p>
      <w:pPr>
        <w:snapToGrid w:val="0"/>
        <w:spacing w:before="120" w:beforeLines="50" w:line="360" w:lineRule="auto"/>
        <w:jc w:val="center"/>
        <w:rPr>
          <w:rFonts w:ascii="宋体" w:hAnsi="宋体" w:cs="宋体"/>
          <w:b/>
          <w:bCs/>
          <w:w w:val="95"/>
          <w:sz w:val="30"/>
          <w:szCs w:val="30"/>
          <w:highlight w:val="none"/>
        </w:rPr>
      </w:pPr>
    </w:p>
    <w:p>
      <w:pPr>
        <w:snapToGrid w:val="0"/>
        <w:spacing w:before="120" w:beforeLines="50" w:line="360" w:lineRule="auto"/>
        <w:jc w:val="center"/>
        <w:rPr>
          <w:rFonts w:ascii="宋体" w:hAnsi="宋体" w:cs="宋体"/>
          <w:b/>
          <w:bCs/>
          <w:w w:val="95"/>
          <w:sz w:val="30"/>
          <w:szCs w:val="30"/>
          <w:highlight w:val="none"/>
        </w:rPr>
      </w:pPr>
    </w:p>
    <w:p>
      <w:pPr>
        <w:snapToGrid w:val="0"/>
        <w:spacing w:before="120" w:beforeLines="50" w:line="360" w:lineRule="auto"/>
        <w:jc w:val="both"/>
        <w:rPr>
          <w:rFonts w:ascii="宋体" w:hAnsi="宋体" w:cs="宋体"/>
          <w:b/>
          <w:bCs/>
          <w:w w:val="95"/>
          <w:sz w:val="30"/>
          <w:szCs w:val="30"/>
          <w:highlight w:val="none"/>
        </w:rPr>
      </w:pPr>
    </w:p>
    <w:p>
      <w:pPr>
        <w:snapToGrid w:val="0"/>
        <w:spacing w:before="120" w:beforeLines="50" w:line="360" w:lineRule="auto"/>
        <w:jc w:val="center"/>
        <w:rPr>
          <w:rFonts w:ascii="宋体" w:hAnsi="宋体" w:cs="宋体"/>
          <w:sz w:val="32"/>
          <w:szCs w:val="32"/>
          <w:highlight w:val="none"/>
        </w:rPr>
      </w:pPr>
      <w:r>
        <w:rPr>
          <w:rFonts w:hint="eastAsia" w:ascii="宋体" w:hAnsi="宋体" w:cs="宋体"/>
          <w:b/>
          <w:bCs/>
          <w:w w:val="95"/>
          <w:sz w:val="32"/>
          <w:szCs w:val="32"/>
          <w:highlight w:val="none"/>
        </w:rPr>
        <w:t>202</w:t>
      </w:r>
      <w:r>
        <w:rPr>
          <w:rFonts w:hint="eastAsia" w:ascii="宋体" w:hAnsi="宋体" w:cs="宋体"/>
          <w:b/>
          <w:bCs/>
          <w:w w:val="95"/>
          <w:sz w:val="32"/>
          <w:szCs w:val="32"/>
          <w:highlight w:val="none"/>
          <w:lang w:val="en-US" w:eastAsia="zh-CN"/>
        </w:rPr>
        <w:t>4</w:t>
      </w:r>
      <w:r>
        <w:rPr>
          <w:rFonts w:hint="eastAsia" w:ascii="宋体" w:hAnsi="宋体" w:cs="宋体"/>
          <w:b/>
          <w:bCs/>
          <w:w w:val="95"/>
          <w:sz w:val="32"/>
          <w:szCs w:val="32"/>
          <w:highlight w:val="none"/>
        </w:rPr>
        <w:t xml:space="preserve"> 年</w:t>
      </w:r>
      <w:r>
        <w:rPr>
          <w:rFonts w:hint="eastAsia" w:ascii="宋体" w:hAnsi="宋体" w:cs="宋体"/>
          <w:b/>
          <w:bCs/>
          <w:w w:val="95"/>
          <w:sz w:val="32"/>
          <w:szCs w:val="32"/>
          <w:highlight w:val="none"/>
          <w:lang w:val="en-US" w:eastAsia="zh-CN"/>
        </w:rPr>
        <w:t>9</w:t>
      </w:r>
      <w:r>
        <w:rPr>
          <w:rFonts w:hint="eastAsia" w:ascii="宋体" w:hAnsi="宋体" w:cs="宋体"/>
          <w:b/>
          <w:bCs/>
          <w:w w:val="95"/>
          <w:sz w:val="32"/>
          <w:szCs w:val="32"/>
          <w:highlight w:val="none"/>
        </w:rPr>
        <w:t>月</w:t>
      </w:r>
    </w:p>
    <w:p>
      <w:pPr>
        <w:spacing w:line="360" w:lineRule="auto"/>
        <w:jc w:val="center"/>
        <w:rPr>
          <w:rFonts w:ascii="宋体" w:hAnsi="宋体" w:cs="宋体"/>
          <w:b/>
          <w:bCs/>
          <w:sz w:val="44"/>
          <w:szCs w:val="44"/>
          <w:highlight w:val="none"/>
        </w:rPr>
      </w:pPr>
      <w:r>
        <w:rPr>
          <w:rFonts w:hint="eastAsia" w:ascii="宋体" w:hAnsi="宋体" w:cs="宋体"/>
          <w:highlight w:val="none"/>
        </w:rPr>
        <w:br w:type="page"/>
      </w:r>
    </w:p>
    <w:p>
      <w:pPr>
        <w:spacing w:line="480" w:lineRule="auto"/>
        <w:jc w:val="center"/>
        <w:rPr>
          <w:rFonts w:ascii="宋体" w:hAnsi="宋体" w:cs="宋体"/>
          <w:b/>
          <w:bCs/>
          <w:sz w:val="36"/>
          <w:szCs w:val="36"/>
          <w:highlight w:val="none"/>
        </w:rPr>
      </w:pPr>
    </w:p>
    <w:p>
      <w:pPr>
        <w:spacing w:line="480" w:lineRule="auto"/>
        <w:jc w:val="center"/>
        <w:rPr>
          <w:rFonts w:ascii="宋体" w:hAnsi="宋体" w:cs="宋体"/>
          <w:b/>
          <w:bCs/>
          <w:sz w:val="36"/>
          <w:szCs w:val="36"/>
          <w:highlight w:val="none"/>
        </w:rPr>
      </w:pPr>
      <w:r>
        <w:rPr>
          <w:rFonts w:hint="eastAsia" w:ascii="宋体" w:hAnsi="宋体" w:cs="宋体"/>
          <w:b/>
          <w:bCs/>
          <w:sz w:val="36"/>
          <w:szCs w:val="36"/>
          <w:highlight w:val="none"/>
        </w:rPr>
        <w:t>目    录</w:t>
      </w:r>
    </w:p>
    <w:p>
      <w:pPr>
        <w:pStyle w:val="33"/>
        <w:tabs>
          <w:tab w:val="right" w:leader="dot" w:pos="8297"/>
        </w:tabs>
        <w:spacing w:line="480" w:lineRule="auto"/>
        <w:rPr>
          <w:rFonts w:ascii="宋体" w:hAnsi="宋体" w:cs="宋体"/>
          <w:b/>
          <w:bCs/>
          <w:sz w:val="30"/>
          <w:szCs w:val="30"/>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 TOC \o "1-3" \h \z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"_Toc115344236" </w:instrText>
      </w:r>
      <w:r>
        <w:rPr>
          <w:highlight w:val="none"/>
        </w:rPr>
        <w:fldChar w:fldCharType="separate"/>
      </w:r>
      <w:r>
        <w:rPr>
          <w:rStyle w:val="56"/>
          <w:rFonts w:hint="eastAsia" w:ascii="宋体" w:hAnsi="宋体" w:cs="宋体"/>
          <w:b/>
          <w:bCs/>
          <w:color w:val="auto"/>
          <w:sz w:val="30"/>
          <w:szCs w:val="30"/>
          <w:highlight w:val="none"/>
        </w:rPr>
        <w:t xml:space="preserve">第一章 </w:t>
      </w:r>
      <w:r>
        <w:rPr>
          <w:rStyle w:val="56"/>
          <w:rFonts w:hint="eastAsia" w:ascii="宋体" w:hAnsi="宋体" w:cs="宋体"/>
          <w:b/>
          <w:bCs/>
          <w:color w:val="auto"/>
          <w:sz w:val="30"/>
          <w:szCs w:val="30"/>
          <w:highlight w:val="none"/>
          <w:lang w:val="en-US" w:eastAsia="zh-CN"/>
        </w:rPr>
        <w:t xml:space="preserve"> </w:t>
      </w:r>
      <w:r>
        <w:rPr>
          <w:rStyle w:val="56"/>
          <w:rFonts w:hint="eastAsia" w:ascii="宋体" w:hAnsi="宋体" w:cs="宋体"/>
          <w:b/>
          <w:bCs/>
          <w:color w:val="auto"/>
          <w:sz w:val="30"/>
          <w:szCs w:val="30"/>
          <w:highlight w:val="none"/>
        </w:rPr>
        <w:t>公开招标采购公告</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_Toc115344236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3</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33"/>
        <w:tabs>
          <w:tab w:val="right" w:leader="dot" w:pos="8297"/>
        </w:tabs>
        <w:spacing w:line="480" w:lineRule="auto"/>
        <w:rPr>
          <w:rFonts w:ascii="宋体" w:hAnsi="宋体" w:cs="宋体"/>
          <w:b/>
          <w:bCs/>
          <w:sz w:val="30"/>
          <w:szCs w:val="30"/>
          <w:highlight w:val="none"/>
        </w:rPr>
      </w:pPr>
      <w:r>
        <w:rPr>
          <w:highlight w:val="none"/>
        </w:rPr>
        <w:fldChar w:fldCharType="begin"/>
      </w:r>
      <w:r>
        <w:rPr>
          <w:highlight w:val="none"/>
        </w:rPr>
        <w:instrText xml:space="preserve"> HYPERLINK \l "_Toc115344238" </w:instrText>
      </w:r>
      <w:r>
        <w:rPr>
          <w:highlight w:val="none"/>
        </w:rPr>
        <w:fldChar w:fldCharType="separate"/>
      </w:r>
      <w:r>
        <w:rPr>
          <w:rStyle w:val="56"/>
          <w:rFonts w:hint="eastAsia" w:ascii="宋体" w:hAnsi="宋体" w:cs="宋体"/>
          <w:b/>
          <w:bCs/>
          <w:color w:val="auto"/>
          <w:sz w:val="30"/>
          <w:szCs w:val="30"/>
          <w:highlight w:val="none"/>
        </w:rPr>
        <w:t>第二章  投标人须知</w:t>
      </w:r>
      <w:r>
        <w:rPr>
          <w:rFonts w:hint="eastAsia" w:ascii="宋体" w:hAnsi="宋体" w:cs="宋体"/>
          <w:b/>
          <w:bCs/>
          <w:sz w:val="30"/>
          <w:szCs w:val="30"/>
          <w:highlight w:val="none"/>
        </w:rPr>
        <w:tab/>
      </w:r>
      <w:r>
        <w:rPr>
          <w:rFonts w:hint="eastAsia" w:ascii="宋体" w:hAnsi="宋体" w:cs="宋体"/>
          <w:b/>
          <w:bCs/>
          <w:sz w:val="30"/>
          <w:szCs w:val="30"/>
          <w:highlight w:val="none"/>
        </w:rPr>
        <w:fldChar w:fldCharType="begin"/>
      </w:r>
      <w:r>
        <w:rPr>
          <w:rFonts w:hint="eastAsia" w:ascii="宋体" w:hAnsi="宋体" w:cs="宋体"/>
          <w:b/>
          <w:bCs/>
          <w:sz w:val="30"/>
          <w:szCs w:val="30"/>
          <w:highlight w:val="none"/>
        </w:rPr>
        <w:instrText xml:space="preserve"> PAGEREF _Toc115344238 \h </w:instrText>
      </w:r>
      <w:r>
        <w:rPr>
          <w:rFonts w:hint="eastAsia" w:ascii="宋体" w:hAnsi="宋体" w:cs="宋体"/>
          <w:b/>
          <w:bCs/>
          <w:sz w:val="30"/>
          <w:szCs w:val="30"/>
          <w:highlight w:val="none"/>
        </w:rPr>
        <w:fldChar w:fldCharType="separate"/>
      </w:r>
      <w:r>
        <w:rPr>
          <w:rFonts w:hint="eastAsia" w:ascii="宋体" w:hAnsi="宋体" w:cs="宋体"/>
          <w:b/>
          <w:bCs/>
          <w:sz w:val="30"/>
          <w:szCs w:val="30"/>
          <w:highlight w:val="none"/>
        </w:rPr>
        <w:t>7</w:t>
      </w:r>
      <w:r>
        <w:rPr>
          <w:rFonts w:hint="eastAsia" w:ascii="宋体" w:hAnsi="宋体" w:cs="宋体"/>
          <w:b/>
          <w:bCs/>
          <w:sz w:val="30"/>
          <w:szCs w:val="30"/>
          <w:highlight w:val="none"/>
        </w:rPr>
        <w:fldChar w:fldCharType="end"/>
      </w:r>
      <w:r>
        <w:rPr>
          <w:rFonts w:hint="eastAsia" w:ascii="宋体" w:hAnsi="宋体" w:cs="宋体"/>
          <w:b/>
          <w:bCs/>
          <w:sz w:val="30"/>
          <w:szCs w:val="30"/>
          <w:highlight w:val="none"/>
        </w:rPr>
        <w:fldChar w:fldCharType="end"/>
      </w:r>
    </w:p>
    <w:p>
      <w:pPr>
        <w:pStyle w:val="33"/>
        <w:tabs>
          <w:tab w:val="right" w:leader="dot" w:pos="8297"/>
        </w:tabs>
        <w:spacing w:line="480" w:lineRule="auto"/>
        <w:rPr>
          <w:rFonts w:hint="eastAsia" w:ascii="宋体" w:hAnsi="宋体" w:eastAsia="宋体" w:cs="宋体"/>
          <w:b/>
          <w:bCs/>
          <w:sz w:val="30"/>
          <w:szCs w:val="30"/>
          <w:highlight w:val="none"/>
          <w:lang w:eastAsia="zh-CN"/>
        </w:rPr>
      </w:pPr>
      <w:r>
        <w:rPr>
          <w:highlight w:val="none"/>
        </w:rPr>
        <w:fldChar w:fldCharType="begin"/>
      </w:r>
      <w:r>
        <w:rPr>
          <w:highlight w:val="none"/>
        </w:rPr>
        <w:instrText xml:space="preserve"> HYPERLINK \l "_Toc115344240" </w:instrText>
      </w:r>
      <w:r>
        <w:rPr>
          <w:highlight w:val="none"/>
        </w:rPr>
        <w:fldChar w:fldCharType="separate"/>
      </w:r>
      <w:r>
        <w:rPr>
          <w:rStyle w:val="56"/>
          <w:rFonts w:hint="eastAsia" w:ascii="宋体" w:hAnsi="宋体" w:cs="宋体"/>
          <w:b/>
          <w:bCs/>
          <w:color w:val="auto"/>
          <w:sz w:val="30"/>
          <w:szCs w:val="30"/>
          <w:highlight w:val="none"/>
        </w:rPr>
        <w:t>第三章  合同主要条款</w:t>
      </w:r>
      <w:r>
        <w:rPr>
          <w:rFonts w:hint="eastAsia" w:ascii="宋体" w:hAnsi="宋体" w:cs="宋体"/>
          <w:b/>
          <w:bCs/>
          <w:sz w:val="30"/>
          <w:szCs w:val="30"/>
          <w:highlight w:val="none"/>
        </w:rPr>
        <w:tab/>
      </w:r>
      <w:r>
        <w:rPr>
          <w:rFonts w:hint="eastAsia" w:ascii="宋体" w:hAnsi="宋体" w:cs="宋体"/>
          <w:b/>
          <w:bCs/>
          <w:sz w:val="30"/>
          <w:szCs w:val="30"/>
          <w:highlight w:val="none"/>
        </w:rPr>
        <w:t>1</w:t>
      </w:r>
      <w:r>
        <w:rPr>
          <w:rFonts w:hint="eastAsia" w:ascii="宋体" w:hAnsi="宋体" w:cs="宋体"/>
          <w:b/>
          <w:bCs/>
          <w:sz w:val="30"/>
          <w:szCs w:val="30"/>
          <w:highlight w:val="none"/>
        </w:rPr>
        <w:fldChar w:fldCharType="end"/>
      </w:r>
      <w:r>
        <w:rPr>
          <w:rFonts w:hint="eastAsia" w:ascii="宋体" w:hAnsi="宋体" w:cs="宋体"/>
          <w:b/>
          <w:bCs/>
          <w:sz w:val="30"/>
          <w:szCs w:val="30"/>
          <w:highlight w:val="none"/>
          <w:lang w:val="en-US" w:eastAsia="zh-CN"/>
        </w:rPr>
        <w:t>7</w:t>
      </w:r>
    </w:p>
    <w:p>
      <w:pPr>
        <w:pStyle w:val="33"/>
        <w:tabs>
          <w:tab w:val="right" w:leader="dot" w:pos="8297"/>
        </w:tabs>
        <w:spacing w:line="480" w:lineRule="auto"/>
        <w:rPr>
          <w:rFonts w:hint="eastAsia" w:ascii="宋体" w:hAnsi="宋体" w:eastAsia="宋体" w:cs="宋体"/>
          <w:b/>
          <w:bCs/>
          <w:sz w:val="30"/>
          <w:szCs w:val="30"/>
          <w:highlight w:val="none"/>
          <w:lang w:eastAsia="zh-CN"/>
        </w:rPr>
      </w:pPr>
      <w:r>
        <w:rPr>
          <w:highlight w:val="none"/>
        </w:rPr>
        <w:fldChar w:fldCharType="begin"/>
      </w:r>
      <w:r>
        <w:rPr>
          <w:highlight w:val="none"/>
        </w:rPr>
        <w:instrText xml:space="preserve"> HYPERLINK \l "_Toc115344280" </w:instrText>
      </w:r>
      <w:r>
        <w:rPr>
          <w:highlight w:val="none"/>
        </w:rPr>
        <w:fldChar w:fldCharType="separate"/>
      </w:r>
      <w:r>
        <w:rPr>
          <w:rStyle w:val="56"/>
          <w:rFonts w:hint="eastAsia" w:ascii="宋体" w:hAnsi="宋体" w:cs="宋体"/>
          <w:b/>
          <w:bCs/>
          <w:color w:val="auto"/>
          <w:sz w:val="30"/>
          <w:szCs w:val="30"/>
          <w:highlight w:val="none"/>
        </w:rPr>
        <w:t>第四章  招标需求</w:t>
      </w:r>
      <w:r>
        <w:rPr>
          <w:rFonts w:hint="eastAsia" w:ascii="宋体" w:hAnsi="宋体" w:cs="宋体"/>
          <w:b/>
          <w:bCs/>
          <w:sz w:val="30"/>
          <w:szCs w:val="30"/>
          <w:highlight w:val="none"/>
        </w:rPr>
        <w:tab/>
      </w:r>
      <w:r>
        <w:rPr>
          <w:rFonts w:hint="eastAsia" w:ascii="宋体" w:hAnsi="宋体" w:cs="宋体"/>
          <w:b/>
          <w:bCs/>
          <w:sz w:val="30"/>
          <w:szCs w:val="30"/>
          <w:highlight w:val="none"/>
        </w:rPr>
        <w:t>2</w:t>
      </w:r>
      <w:r>
        <w:rPr>
          <w:rFonts w:hint="eastAsia" w:ascii="宋体" w:hAnsi="宋体" w:cs="宋体"/>
          <w:b/>
          <w:bCs/>
          <w:sz w:val="30"/>
          <w:szCs w:val="30"/>
          <w:highlight w:val="none"/>
        </w:rPr>
        <w:fldChar w:fldCharType="end"/>
      </w:r>
      <w:r>
        <w:rPr>
          <w:rFonts w:hint="eastAsia" w:ascii="宋体" w:hAnsi="宋体" w:cs="宋体"/>
          <w:b/>
          <w:bCs/>
          <w:sz w:val="30"/>
          <w:szCs w:val="30"/>
          <w:highlight w:val="none"/>
          <w:lang w:val="en-US" w:eastAsia="zh-CN"/>
        </w:rPr>
        <w:t>1</w:t>
      </w:r>
    </w:p>
    <w:p>
      <w:pPr>
        <w:pStyle w:val="33"/>
        <w:tabs>
          <w:tab w:val="right" w:leader="dot" w:pos="8297"/>
        </w:tabs>
        <w:spacing w:line="480" w:lineRule="auto"/>
        <w:rPr>
          <w:rFonts w:hint="eastAsia" w:ascii="宋体" w:hAnsi="宋体" w:eastAsia="宋体" w:cs="宋体"/>
          <w:b/>
          <w:bCs/>
          <w:sz w:val="30"/>
          <w:szCs w:val="30"/>
          <w:highlight w:val="none"/>
          <w:lang w:eastAsia="zh-CN"/>
        </w:rPr>
      </w:pPr>
      <w:r>
        <w:rPr>
          <w:highlight w:val="none"/>
        </w:rPr>
        <w:fldChar w:fldCharType="begin"/>
      </w:r>
      <w:r>
        <w:rPr>
          <w:highlight w:val="none"/>
        </w:rPr>
        <w:instrText xml:space="preserve"> HYPERLINK \l "_Toc115344281" </w:instrText>
      </w:r>
      <w:r>
        <w:rPr>
          <w:highlight w:val="none"/>
        </w:rPr>
        <w:fldChar w:fldCharType="separate"/>
      </w:r>
      <w:r>
        <w:rPr>
          <w:rStyle w:val="56"/>
          <w:rFonts w:hint="eastAsia" w:ascii="宋体" w:hAnsi="宋体" w:cs="宋体"/>
          <w:b/>
          <w:bCs/>
          <w:color w:val="auto"/>
          <w:sz w:val="30"/>
          <w:szCs w:val="30"/>
          <w:highlight w:val="none"/>
        </w:rPr>
        <w:t>第五章  评标办法及评分标准</w:t>
      </w:r>
      <w:r>
        <w:rPr>
          <w:rFonts w:hint="eastAsia" w:ascii="宋体" w:hAnsi="宋体" w:cs="宋体"/>
          <w:b/>
          <w:bCs/>
          <w:sz w:val="30"/>
          <w:szCs w:val="30"/>
          <w:highlight w:val="none"/>
        </w:rPr>
        <w:tab/>
      </w:r>
      <w:r>
        <w:rPr>
          <w:rFonts w:hint="eastAsia" w:ascii="宋体" w:hAnsi="宋体" w:cs="宋体"/>
          <w:b/>
          <w:bCs/>
          <w:sz w:val="30"/>
          <w:szCs w:val="30"/>
          <w:highlight w:val="none"/>
          <w:lang w:val="en-US" w:eastAsia="zh-CN"/>
        </w:rPr>
        <w:t>2</w:t>
      </w:r>
      <w:r>
        <w:rPr>
          <w:rFonts w:hint="eastAsia" w:ascii="宋体" w:hAnsi="宋体" w:cs="宋体"/>
          <w:b/>
          <w:bCs/>
          <w:sz w:val="30"/>
          <w:szCs w:val="30"/>
          <w:highlight w:val="none"/>
        </w:rPr>
        <w:fldChar w:fldCharType="end"/>
      </w:r>
      <w:r>
        <w:rPr>
          <w:rFonts w:hint="eastAsia" w:ascii="宋体" w:hAnsi="宋体" w:cs="宋体"/>
          <w:b/>
          <w:bCs/>
          <w:sz w:val="30"/>
          <w:szCs w:val="30"/>
          <w:highlight w:val="none"/>
          <w:lang w:val="en-US" w:eastAsia="zh-CN"/>
        </w:rPr>
        <w:t>7</w:t>
      </w:r>
    </w:p>
    <w:p>
      <w:pPr>
        <w:pStyle w:val="33"/>
        <w:tabs>
          <w:tab w:val="right" w:leader="dot" w:pos="8297"/>
        </w:tabs>
        <w:spacing w:line="480" w:lineRule="auto"/>
        <w:rPr>
          <w:rFonts w:hint="eastAsia" w:ascii="宋体" w:hAnsi="宋体" w:eastAsia="宋体" w:cs="宋体"/>
          <w:b/>
          <w:bCs/>
          <w:sz w:val="30"/>
          <w:szCs w:val="30"/>
          <w:highlight w:val="none"/>
          <w:lang w:val="en-US" w:eastAsia="zh-CN"/>
        </w:rPr>
      </w:pPr>
      <w:r>
        <w:rPr>
          <w:highlight w:val="none"/>
        </w:rPr>
        <w:fldChar w:fldCharType="begin"/>
      </w:r>
      <w:r>
        <w:rPr>
          <w:highlight w:val="none"/>
        </w:rPr>
        <w:instrText xml:space="preserve"> HYPERLINK \l "_Toc115344282" </w:instrText>
      </w:r>
      <w:r>
        <w:rPr>
          <w:highlight w:val="none"/>
        </w:rPr>
        <w:fldChar w:fldCharType="separate"/>
      </w:r>
      <w:r>
        <w:rPr>
          <w:rStyle w:val="56"/>
          <w:rFonts w:hint="eastAsia" w:ascii="宋体" w:hAnsi="宋体" w:cs="宋体"/>
          <w:b/>
          <w:bCs/>
          <w:color w:val="auto"/>
          <w:sz w:val="30"/>
          <w:szCs w:val="30"/>
          <w:highlight w:val="none"/>
        </w:rPr>
        <w:t>第六章  投标文件格式</w:t>
      </w:r>
      <w:r>
        <w:rPr>
          <w:rFonts w:hint="eastAsia" w:ascii="宋体" w:hAnsi="宋体" w:cs="宋体"/>
          <w:b/>
          <w:bCs/>
          <w:sz w:val="30"/>
          <w:szCs w:val="30"/>
          <w:highlight w:val="none"/>
        </w:rPr>
        <w:tab/>
      </w:r>
      <w:r>
        <w:rPr>
          <w:rFonts w:hint="eastAsia" w:ascii="宋体" w:hAnsi="宋体" w:cs="宋体"/>
          <w:b/>
          <w:bCs/>
          <w:sz w:val="30"/>
          <w:szCs w:val="30"/>
          <w:highlight w:val="none"/>
          <w:lang w:val="en-US" w:eastAsia="zh-CN"/>
        </w:rPr>
        <w:t>3</w:t>
      </w:r>
      <w:r>
        <w:rPr>
          <w:rFonts w:hint="eastAsia" w:ascii="宋体" w:hAnsi="宋体" w:cs="宋体"/>
          <w:b/>
          <w:bCs/>
          <w:sz w:val="30"/>
          <w:szCs w:val="30"/>
          <w:highlight w:val="none"/>
        </w:rPr>
        <w:fldChar w:fldCharType="end"/>
      </w:r>
      <w:r>
        <w:rPr>
          <w:rFonts w:hint="eastAsia" w:ascii="宋体" w:hAnsi="宋体" w:cs="宋体"/>
          <w:b/>
          <w:bCs/>
          <w:sz w:val="30"/>
          <w:szCs w:val="30"/>
          <w:highlight w:val="none"/>
          <w:lang w:val="en-US" w:eastAsia="zh-CN"/>
        </w:rPr>
        <w:t>7</w:t>
      </w:r>
    </w:p>
    <w:p>
      <w:pPr>
        <w:pStyle w:val="24"/>
        <w:tabs>
          <w:tab w:val="right" w:leader="dot" w:pos="8297"/>
        </w:tabs>
        <w:spacing w:line="480" w:lineRule="auto"/>
        <w:rPr>
          <w:rFonts w:ascii="宋体" w:hAnsi="宋体" w:cs="宋体"/>
          <w:b/>
          <w:bCs/>
          <w:i w:val="0"/>
          <w:iCs w:val="0"/>
          <w:sz w:val="22"/>
          <w:szCs w:val="24"/>
          <w:highlight w:val="none"/>
        </w:rPr>
      </w:pPr>
    </w:p>
    <w:p>
      <w:pPr>
        <w:spacing w:line="480" w:lineRule="auto"/>
        <w:rPr>
          <w:rFonts w:ascii="宋体" w:hAnsi="宋体" w:cs="宋体"/>
          <w:sz w:val="30"/>
          <w:szCs w:val="30"/>
          <w:highlight w:val="none"/>
        </w:rPr>
      </w:pPr>
      <w:r>
        <w:rPr>
          <w:rFonts w:hint="eastAsia" w:ascii="宋体" w:hAnsi="宋体" w:cs="宋体"/>
          <w:b/>
          <w:bCs/>
          <w:sz w:val="22"/>
          <w:szCs w:val="32"/>
          <w:highlight w:val="none"/>
        </w:rPr>
        <w:fldChar w:fldCharType="end"/>
      </w:r>
    </w:p>
    <w:p>
      <w:pPr>
        <w:tabs>
          <w:tab w:val="left" w:pos="855"/>
        </w:tabs>
        <w:spacing w:line="360" w:lineRule="auto"/>
        <w:rPr>
          <w:rFonts w:ascii="宋体" w:hAnsi="宋体" w:cs="宋体"/>
          <w:sz w:val="28"/>
          <w:szCs w:val="28"/>
          <w:highlight w:val="none"/>
        </w:rPr>
      </w:pPr>
    </w:p>
    <w:p>
      <w:pPr>
        <w:spacing w:line="360" w:lineRule="auto"/>
        <w:rPr>
          <w:rFonts w:ascii="宋体" w:hAnsi="宋体" w:cs="宋体"/>
          <w:b/>
          <w:bCs/>
          <w:sz w:val="28"/>
          <w:szCs w:val="28"/>
          <w:highlight w:val="none"/>
        </w:rPr>
      </w:pPr>
      <w:r>
        <w:rPr>
          <w:rFonts w:hint="eastAsia" w:ascii="宋体" w:hAnsi="宋体" w:cs="宋体"/>
          <w:sz w:val="28"/>
          <w:szCs w:val="28"/>
          <w:highlight w:val="none"/>
        </w:rPr>
        <w:t xml:space="preserve"> </w:t>
      </w:r>
    </w:p>
    <w:p>
      <w:pPr>
        <w:pStyle w:val="25"/>
        <w:spacing w:beforeLines="0" w:afterLines="0" w:line="360" w:lineRule="auto"/>
        <w:rPr>
          <w:rFonts w:hAnsi="宋体"/>
          <w:b/>
          <w:bCs/>
          <w:sz w:val="30"/>
          <w:szCs w:val="30"/>
          <w:highlight w:val="none"/>
        </w:rPr>
      </w:pPr>
    </w:p>
    <w:p>
      <w:pPr>
        <w:pStyle w:val="25"/>
        <w:spacing w:beforeLines="0" w:afterLines="0" w:line="360" w:lineRule="auto"/>
        <w:jc w:val="center"/>
        <w:rPr>
          <w:rFonts w:hAnsi="宋体"/>
          <w:b/>
          <w:bCs/>
          <w:sz w:val="30"/>
          <w:szCs w:val="30"/>
          <w:highlight w:val="none"/>
        </w:rPr>
      </w:pPr>
    </w:p>
    <w:p>
      <w:pPr>
        <w:pStyle w:val="25"/>
        <w:spacing w:beforeLines="0" w:afterLines="0" w:line="360" w:lineRule="auto"/>
        <w:jc w:val="center"/>
        <w:rPr>
          <w:rFonts w:hAnsi="宋体"/>
          <w:b/>
          <w:bCs/>
          <w:sz w:val="30"/>
          <w:szCs w:val="30"/>
          <w:highlight w:val="none"/>
        </w:rPr>
      </w:pPr>
    </w:p>
    <w:p>
      <w:pPr>
        <w:pStyle w:val="25"/>
        <w:spacing w:beforeLines="0" w:afterLines="0" w:line="360" w:lineRule="auto"/>
        <w:jc w:val="center"/>
        <w:rPr>
          <w:rFonts w:hAnsi="宋体"/>
          <w:b/>
          <w:bCs/>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25"/>
        <w:spacing w:beforeLines="0" w:afterLines="0" w:line="360" w:lineRule="auto"/>
        <w:jc w:val="center"/>
        <w:rPr>
          <w:rFonts w:hAnsi="宋体"/>
          <w:b/>
          <w:bCs/>
          <w:sz w:val="30"/>
          <w:szCs w:val="30"/>
          <w:highlight w:val="none"/>
        </w:rPr>
      </w:pPr>
    </w:p>
    <w:p>
      <w:pPr>
        <w:pStyle w:val="45"/>
        <w:rPr>
          <w:rFonts w:ascii="宋体" w:hAnsi="宋体" w:cs="宋体"/>
          <w:highlight w:val="none"/>
        </w:rPr>
      </w:pPr>
      <w:r>
        <w:rPr>
          <w:rFonts w:hint="eastAsia" w:ascii="宋体" w:hAnsi="宋体" w:cs="宋体"/>
          <w:highlight w:val="none"/>
        </w:rPr>
        <w:t xml:space="preserve">  </w:t>
      </w:r>
      <w:bookmarkStart w:id="0" w:name="_Toc115344236"/>
      <w:bookmarkStart w:id="1" w:name="_Toc397325809"/>
      <w:bookmarkStart w:id="2" w:name="_Toc11614"/>
      <w:r>
        <w:rPr>
          <w:rFonts w:hint="eastAsia" w:ascii="宋体" w:hAnsi="宋体" w:cs="宋体"/>
          <w:highlight w:val="none"/>
        </w:rPr>
        <w:t>第一章 公开招标采购公告</w:t>
      </w:r>
      <w:bookmarkEnd w:id="0"/>
      <w:bookmarkEnd w:id="1"/>
      <w:bookmarkEnd w:id="2"/>
    </w:p>
    <w:p>
      <w:pPr>
        <w:pStyle w:val="210"/>
        <w:widowControl w:val="0"/>
        <w:snapToGrid/>
        <w:spacing w:afterLines="0" w:line="360" w:lineRule="auto"/>
        <w:ind w:firstLine="0" w:firstLineChars="0"/>
        <w:rPr>
          <w:rFonts w:ascii="宋体" w:hAnsi="宋体" w:cs="宋体"/>
          <w:sz w:val="21"/>
          <w:szCs w:val="21"/>
          <w:highlight w:val="none"/>
        </w:rPr>
      </w:pPr>
      <w:r>
        <w:rPr>
          <w:rFonts w:hint="eastAsia" w:ascii="宋体" w:hAnsi="宋体" w:cs="宋体"/>
          <w:b/>
          <w:bCs/>
          <w:sz w:val="21"/>
          <w:szCs w:val="21"/>
          <w:highlight w:val="none"/>
        </w:rPr>
        <w:t>项目概况：</w:t>
      </w:r>
    </w:p>
    <w:p>
      <w:pPr>
        <w:pStyle w:val="210"/>
        <w:widowControl w:val="0"/>
        <w:snapToGrid/>
        <w:spacing w:afterLines="0" w:line="360" w:lineRule="auto"/>
        <w:ind w:firstLine="420"/>
        <w:rPr>
          <w:rFonts w:ascii="宋体" w:hAnsi="宋体" w:cs="宋体"/>
          <w:sz w:val="21"/>
          <w:szCs w:val="21"/>
          <w:highlight w:val="none"/>
        </w:rPr>
      </w:pPr>
      <w:r>
        <w:rPr>
          <w:rFonts w:hint="eastAsia" w:ascii="宋体" w:hAnsi="宋体" w:cs="宋体"/>
          <w:sz w:val="21"/>
          <w:szCs w:val="21"/>
          <w:highlight w:val="none"/>
          <w:lang w:eastAsia="zh-CN"/>
        </w:rPr>
        <w:t>丽水市莲都区人民医院全自动血液分析流水线采购项目</w:t>
      </w:r>
      <w:r>
        <w:rPr>
          <w:rFonts w:hint="eastAsia" w:ascii="宋体" w:hAnsi="宋体" w:cs="宋体"/>
          <w:sz w:val="21"/>
          <w:szCs w:val="21"/>
          <w:highlight w:val="none"/>
        </w:rPr>
        <w:t>的潜在投标人应在政府采购云平台（</w:t>
      </w:r>
      <w:r>
        <w:rPr>
          <w:highlight w:val="none"/>
        </w:rPr>
        <w:fldChar w:fldCharType="begin"/>
      </w:r>
      <w:r>
        <w:rPr>
          <w:highlight w:val="none"/>
        </w:rPr>
        <w:instrText xml:space="preserve"> HYPERLINK "http://www.zcygov.cn）获取（下载）招标文件，并于2022年" </w:instrText>
      </w:r>
      <w:r>
        <w:rPr>
          <w:highlight w:val="none"/>
        </w:rPr>
        <w:fldChar w:fldCharType="separate"/>
      </w:r>
      <w:r>
        <w:rPr>
          <w:rStyle w:val="56"/>
          <w:rFonts w:hint="eastAsia" w:ascii="宋体" w:hAnsi="宋体" w:cs="宋体"/>
          <w:color w:val="auto"/>
          <w:sz w:val="21"/>
          <w:szCs w:val="21"/>
          <w:highlight w:val="none"/>
        </w:rPr>
        <w:t>www.zcygov.cn）获取（下载）招标文件，并于</w:t>
      </w:r>
      <w:r>
        <w:rPr>
          <w:rStyle w:val="56"/>
          <w:rFonts w:hint="eastAsia" w:ascii="宋体" w:hAnsi="宋体" w:cs="宋体"/>
          <w:color w:val="auto"/>
          <w:sz w:val="21"/>
          <w:szCs w:val="21"/>
          <w:highlight w:val="none"/>
          <w:u w:val="none"/>
        </w:rPr>
        <w:t>202</w:t>
      </w:r>
      <w:r>
        <w:rPr>
          <w:rStyle w:val="56"/>
          <w:rFonts w:hint="eastAsia" w:ascii="宋体" w:hAnsi="宋体" w:cs="宋体"/>
          <w:color w:val="auto"/>
          <w:sz w:val="21"/>
          <w:szCs w:val="21"/>
          <w:highlight w:val="none"/>
          <w:u w:val="none"/>
          <w:lang w:val="en-US" w:eastAsia="zh-CN"/>
        </w:rPr>
        <w:t>4</w:t>
      </w:r>
      <w:r>
        <w:rPr>
          <w:rStyle w:val="56"/>
          <w:rFonts w:hint="eastAsia" w:ascii="宋体" w:hAnsi="宋体" w:cs="宋体"/>
          <w:color w:val="auto"/>
          <w:sz w:val="21"/>
          <w:szCs w:val="21"/>
          <w:highlight w:val="none"/>
          <w:u w:val="none"/>
        </w:rPr>
        <w:t>年</w:t>
      </w:r>
      <w:r>
        <w:rPr>
          <w:rStyle w:val="56"/>
          <w:rFonts w:hint="eastAsia" w:ascii="宋体" w:hAnsi="宋体" w:cs="宋体"/>
          <w:color w:val="auto"/>
          <w:sz w:val="21"/>
          <w:szCs w:val="21"/>
          <w:highlight w:val="none"/>
        </w:rPr>
        <w:fldChar w:fldCharType="end"/>
      </w:r>
      <w:r>
        <w:rPr>
          <w:rStyle w:val="56"/>
          <w:rFonts w:hint="eastAsia" w:ascii="宋体" w:hAnsi="宋体" w:cs="宋体"/>
          <w:color w:val="auto"/>
          <w:sz w:val="21"/>
          <w:szCs w:val="21"/>
          <w:highlight w:val="none"/>
          <w:u w:val="none"/>
          <w:lang w:val="en-US" w:eastAsia="zh-CN"/>
        </w:rPr>
        <w:t>10</w:t>
      </w:r>
      <w:r>
        <w:rPr>
          <w:rFonts w:hint="eastAsia" w:ascii="宋体" w:hAnsi="宋体" w:cs="宋体"/>
          <w:sz w:val="21"/>
          <w:szCs w:val="21"/>
          <w:highlight w:val="none"/>
        </w:rPr>
        <w:t>月</w:t>
      </w:r>
      <w:r>
        <w:rPr>
          <w:rFonts w:hint="eastAsia" w:ascii="宋体" w:hAnsi="宋体" w:cs="宋体"/>
          <w:sz w:val="21"/>
          <w:szCs w:val="21"/>
          <w:highlight w:val="none"/>
          <w:lang w:val="en-US" w:eastAsia="zh-CN"/>
        </w:rPr>
        <w:t>31</w:t>
      </w:r>
      <w:r>
        <w:rPr>
          <w:rFonts w:hint="eastAsia" w:ascii="宋体" w:hAnsi="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0（北京时间）前递交（上传）投标文件。 </w:t>
      </w:r>
    </w:p>
    <w:p>
      <w:pPr>
        <w:pStyle w:val="210"/>
        <w:widowControl w:val="0"/>
        <w:snapToGrid/>
        <w:spacing w:afterLines="0" w:line="360" w:lineRule="auto"/>
        <w:ind w:firstLine="0" w:firstLineChars="0"/>
        <w:rPr>
          <w:rFonts w:ascii="宋体" w:hAnsi="宋体" w:cs="宋体"/>
          <w:sz w:val="21"/>
          <w:szCs w:val="21"/>
          <w:highlight w:val="none"/>
        </w:rPr>
      </w:pPr>
      <w:r>
        <w:rPr>
          <w:rFonts w:hint="eastAsia" w:ascii="宋体" w:hAnsi="宋体" w:cs="宋体"/>
          <w:b/>
          <w:bCs/>
          <w:sz w:val="21"/>
          <w:szCs w:val="21"/>
          <w:highlight w:val="none"/>
        </w:rPr>
        <w:t>一、项目基本情况</w:t>
      </w:r>
      <w:r>
        <w:rPr>
          <w:rFonts w:hint="eastAsia" w:ascii="宋体" w:hAnsi="宋体" w:cs="宋体"/>
          <w:sz w:val="21"/>
          <w:szCs w:val="21"/>
          <w:highlight w:val="none"/>
        </w:rPr>
        <w:t xml:space="preserve">                          </w:t>
      </w:r>
    </w:p>
    <w:p>
      <w:pPr>
        <w:widowControl/>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项目编号：</w:t>
      </w:r>
      <w:r>
        <w:rPr>
          <w:rFonts w:hint="eastAsia" w:ascii="宋体" w:hAnsi="宋体" w:cs="宋体"/>
          <w:kern w:val="0"/>
          <w:highlight w:val="none"/>
          <w:lang w:eastAsia="zh-CN"/>
        </w:rPr>
        <w:t>CBNB-20245230GLS</w:t>
      </w:r>
    </w:p>
    <w:p>
      <w:pPr>
        <w:widowControl/>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项目名称：</w:t>
      </w:r>
      <w:r>
        <w:rPr>
          <w:rFonts w:hint="eastAsia" w:ascii="宋体" w:hAnsi="宋体" w:cs="宋体"/>
          <w:sz w:val="21"/>
          <w:szCs w:val="21"/>
          <w:highlight w:val="none"/>
          <w:lang w:eastAsia="zh-CN"/>
        </w:rPr>
        <w:t>丽水市莲都区人民医院全自动血液分析流水线采购项目</w:t>
      </w:r>
    </w:p>
    <w:p>
      <w:pPr>
        <w:widowControl/>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预算金额（元）：</w:t>
      </w:r>
      <w:r>
        <w:rPr>
          <w:rFonts w:hint="eastAsia" w:ascii="宋体" w:hAnsi="宋体" w:cs="宋体"/>
          <w:kern w:val="0"/>
          <w:highlight w:val="none"/>
          <w:lang w:val="en-US" w:eastAsia="zh-CN"/>
        </w:rPr>
        <w:t>1,200,000.00</w:t>
      </w:r>
    </w:p>
    <w:p>
      <w:pPr>
        <w:widowControl/>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最高限价（元）：</w:t>
      </w:r>
      <w:r>
        <w:rPr>
          <w:rFonts w:hint="eastAsia" w:ascii="宋体" w:hAnsi="宋体" w:cs="宋体"/>
          <w:kern w:val="0"/>
          <w:highlight w:val="none"/>
          <w:lang w:val="en-US" w:eastAsia="zh-CN"/>
        </w:rPr>
        <w:t>1,200,000.00</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采购需求：</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标项一：</w:t>
      </w:r>
    </w:p>
    <w:p>
      <w:pPr>
        <w:widowControl/>
        <w:spacing w:line="360" w:lineRule="auto"/>
        <w:ind w:left="420" w:leftChars="200"/>
        <w:rPr>
          <w:rFonts w:hint="default" w:ascii="宋体" w:hAnsi="宋体" w:eastAsia="宋体" w:cs="宋体"/>
          <w:highlight w:val="none"/>
          <w:lang w:val="en-US" w:eastAsia="zh-CN"/>
        </w:rPr>
      </w:pPr>
      <w:r>
        <w:rPr>
          <w:rFonts w:hint="eastAsia" w:ascii="宋体" w:hAnsi="宋体" w:cs="宋体"/>
          <w:kern w:val="0"/>
          <w:highlight w:val="none"/>
        </w:rPr>
        <w:t>标项名称：</w:t>
      </w:r>
      <w:r>
        <w:rPr>
          <w:rFonts w:hint="eastAsia" w:ascii="宋体" w:hAnsi="宋体" w:cs="宋体"/>
          <w:sz w:val="21"/>
          <w:szCs w:val="21"/>
          <w:highlight w:val="none"/>
          <w:lang w:eastAsia="zh-CN"/>
        </w:rPr>
        <w:t>全自动血液分析流水线</w:t>
      </w:r>
    </w:p>
    <w:p>
      <w:pPr>
        <w:widowControl/>
        <w:spacing w:line="360" w:lineRule="auto"/>
        <w:ind w:left="420" w:leftChars="200"/>
        <w:rPr>
          <w:rFonts w:hint="eastAsia" w:ascii="宋体" w:hAnsi="宋体" w:eastAsia="宋体" w:cs="宋体"/>
          <w:kern w:val="0"/>
          <w:highlight w:val="none"/>
          <w:lang w:eastAsia="zh-CN"/>
        </w:rPr>
      </w:pPr>
      <w:r>
        <w:rPr>
          <w:rFonts w:hint="eastAsia" w:ascii="宋体" w:hAnsi="宋体" w:cs="宋体"/>
          <w:kern w:val="0"/>
          <w:highlight w:val="none"/>
        </w:rPr>
        <w:t>数量：</w:t>
      </w:r>
      <w:r>
        <w:rPr>
          <w:rFonts w:hint="eastAsia" w:ascii="宋体" w:hAnsi="宋体" w:cs="宋体"/>
          <w:kern w:val="0"/>
          <w:highlight w:val="none"/>
          <w:lang w:val="en-US" w:eastAsia="zh-CN"/>
        </w:rPr>
        <w:t>1套</w:t>
      </w:r>
      <w:r>
        <w:rPr>
          <w:rFonts w:hint="eastAsia" w:ascii="宋体" w:hAnsi="宋体" w:cs="宋体"/>
          <w:kern w:val="0"/>
          <w:highlight w:val="none"/>
        </w:rPr>
        <w:t>  </w:t>
      </w:r>
    </w:p>
    <w:p>
      <w:pPr>
        <w:widowControl/>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预算金额（元）：</w:t>
      </w:r>
      <w:r>
        <w:rPr>
          <w:rFonts w:hint="eastAsia" w:ascii="宋体" w:hAnsi="宋体" w:cs="宋体"/>
          <w:kern w:val="0"/>
          <w:highlight w:val="none"/>
          <w:lang w:val="en-US" w:eastAsia="zh-CN"/>
        </w:rPr>
        <w:t>1,200,000.00</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简要规格描述或项目基本概况介绍、用途：</w:t>
      </w:r>
      <w:r>
        <w:rPr>
          <w:rFonts w:hint="eastAsia" w:ascii="宋体" w:hAnsi="宋体" w:cs="宋体"/>
          <w:highlight w:val="none"/>
        </w:rPr>
        <w:t>详见第四章招标需求</w:t>
      </w:r>
      <w:r>
        <w:rPr>
          <w:rFonts w:hint="eastAsia" w:ascii="宋体" w:hAnsi="宋体" w:cs="宋体"/>
          <w:kern w:val="0"/>
          <w:highlight w:val="none"/>
        </w:rPr>
        <w:t>。</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备注：本项目不允许采购进口产品。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合同履约期限：自合同签订生效后开始至双方合同义务完全履行后截止。</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本项目（是）接受联合体投标。</w:t>
      </w:r>
    </w:p>
    <w:p>
      <w:pPr>
        <w:widowControl/>
        <w:spacing w:line="360" w:lineRule="auto"/>
        <w:rPr>
          <w:rFonts w:ascii="宋体" w:hAnsi="宋体" w:cs="宋体"/>
          <w:b/>
          <w:bCs/>
          <w:kern w:val="0"/>
          <w:highlight w:val="none"/>
        </w:rPr>
      </w:pPr>
      <w:r>
        <w:rPr>
          <w:rFonts w:hint="eastAsia" w:ascii="宋体" w:hAnsi="宋体" w:cs="宋体"/>
          <w:b/>
          <w:bCs/>
          <w:kern w:val="0"/>
          <w:highlight w:val="none"/>
        </w:rPr>
        <w:t>二、申请人的资格要求</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2.落实政府采购政策需满足的资格要求：无。</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3.本项目的特定资格要求：</w:t>
      </w:r>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1</w:t>
      </w:r>
      <w:r>
        <w:rPr>
          <w:rFonts w:hint="eastAsia" w:ascii="宋体" w:hAnsi="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ascii="宋体" w:hAnsi="宋体" w:cs="宋体"/>
          <w:b/>
          <w:bCs/>
          <w:kern w:val="0"/>
          <w:highlight w:val="none"/>
        </w:rPr>
      </w:pPr>
      <w:r>
        <w:rPr>
          <w:rFonts w:hint="eastAsia" w:ascii="宋体" w:hAnsi="宋体" w:cs="宋体"/>
          <w:b/>
          <w:bCs/>
          <w:kern w:val="0"/>
          <w:highlight w:val="none"/>
        </w:rPr>
        <w:t>三、获取招标文件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时间：/至202</w:t>
      </w:r>
      <w:r>
        <w:rPr>
          <w:rFonts w:hint="eastAsia" w:ascii="宋体" w:hAnsi="宋体" w:cs="宋体"/>
          <w:kern w:val="0"/>
          <w:highlight w:val="none"/>
          <w:lang w:val="en-US" w:eastAsia="zh-CN"/>
        </w:rPr>
        <w:t>4</w:t>
      </w:r>
      <w:r>
        <w:rPr>
          <w:rFonts w:hint="eastAsia" w:ascii="宋体" w:hAnsi="宋体" w:cs="宋体"/>
          <w:kern w:val="0"/>
          <w:highlight w:val="none"/>
        </w:rPr>
        <w:t>年</w:t>
      </w:r>
      <w:r>
        <w:rPr>
          <w:rFonts w:hint="eastAsia" w:ascii="宋体" w:hAnsi="宋体" w:cs="宋体"/>
          <w:kern w:val="0"/>
          <w:highlight w:val="none"/>
          <w:lang w:val="en-US" w:eastAsia="zh-CN"/>
        </w:rPr>
        <w:t>10</w:t>
      </w:r>
      <w:r>
        <w:rPr>
          <w:rFonts w:hint="eastAsia" w:ascii="宋体" w:hAnsi="宋体" w:cs="宋体"/>
          <w:kern w:val="0"/>
          <w:highlight w:val="none"/>
        </w:rPr>
        <w:t>月</w:t>
      </w:r>
      <w:r>
        <w:rPr>
          <w:rFonts w:hint="eastAsia" w:ascii="宋体" w:hAnsi="宋体" w:cs="宋体"/>
          <w:kern w:val="0"/>
          <w:highlight w:val="none"/>
          <w:lang w:val="en-US" w:eastAsia="zh-CN"/>
        </w:rPr>
        <w:t>31</w:t>
      </w:r>
      <w:r>
        <w:rPr>
          <w:rFonts w:hint="eastAsia" w:ascii="宋体" w:hAnsi="宋体" w:cs="宋体"/>
          <w:kern w:val="0"/>
          <w:highlight w:val="none"/>
        </w:rPr>
        <w:t>日</w:t>
      </w:r>
      <w:r>
        <w:rPr>
          <w:rFonts w:hint="eastAsia" w:ascii="宋体" w:hAnsi="宋体" w:cs="宋体"/>
          <w:kern w:val="0"/>
          <w:highlight w:val="none"/>
          <w:lang w:eastAsia="zh-CN"/>
        </w:rPr>
        <w:t>，</w:t>
      </w:r>
      <w:r>
        <w:rPr>
          <w:rFonts w:hint="eastAsia" w:ascii="宋体" w:hAnsi="宋体" w:cs="宋体"/>
          <w:kern w:val="0"/>
          <w:highlight w:val="none"/>
        </w:rPr>
        <w:t>每天上午00:00至12:00</w:t>
      </w:r>
      <w:r>
        <w:rPr>
          <w:rFonts w:hint="eastAsia" w:ascii="宋体" w:hAnsi="宋体" w:cs="宋体"/>
          <w:kern w:val="0"/>
          <w:highlight w:val="none"/>
          <w:lang w:eastAsia="zh-CN"/>
        </w:rPr>
        <w:t>，</w:t>
      </w:r>
      <w:r>
        <w:rPr>
          <w:rFonts w:hint="eastAsia" w:ascii="宋体" w:hAnsi="宋体" w:cs="宋体"/>
          <w:kern w:val="0"/>
          <w:highlight w:val="none"/>
        </w:rPr>
        <w:t>下午12:00至23:59（北京时间，线上获取法定节假日均可，线下获取文件法定节假日除外）</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地点（网址）：政府采购云平台（www.zcygov.cn）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售价（元）：0 </w:t>
      </w:r>
    </w:p>
    <w:p>
      <w:pPr>
        <w:widowControl/>
        <w:spacing w:line="360" w:lineRule="auto"/>
        <w:rPr>
          <w:rFonts w:ascii="宋体" w:hAnsi="宋体" w:cs="宋体"/>
          <w:b/>
          <w:bCs/>
          <w:kern w:val="0"/>
          <w:highlight w:val="none"/>
        </w:rPr>
      </w:pPr>
      <w:r>
        <w:rPr>
          <w:rFonts w:hint="eastAsia" w:ascii="宋体" w:hAnsi="宋体" w:cs="宋体"/>
          <w:b/>
          <w:bCs/>
          <w:kern w:val="0"/>
          <w:highlight w:val="none"/>
        </w:rPr>
        <w:t>四、提交投标文件截止时间、开标时间和地点</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提交投标文件截止时间：202</w:t>
      </w:r>
      <w:r>
        <w:rPr>
          <w:rFonts w:hint="eastAsia" w:ascii="宋体" w:hAnsi="宋体" w:cs="宋体"/>
          <w:kern w:val="0"/>
          <w:highlight w:val="none"/>
          <w:lang w:val="en-US" w:eastAsia="zh-CN"/>
        </w:rPr>
        <w:t>4</w:t>
      </w:r>
      <w:r>
        <w:rPr>
          <w:rFonts w:hint="eastAsia" w:ascii="宋体" w:hAnsi="宋体" w:cs="宋体"/>
          <w:kern w:val="0"/>
          <w:highlight w:val="none"/>
        </w:rPr>
        <w:t>年</w:t>
      </w:r>
      <w:r>
        <w:rPr>
          <w:rFonts w:hint="eastAsia" w:ascii="宋体" w:hAnsi="宋体" w:cs="宋体"/>
          <w:kern w:val="0"/>
          <w:highlight w:val="none"/>
          <w:lang w:val="en-US" w:eastAsia="zh-CN"/>
        </w:rPr>
        <w:t>10</w:t>
      </w:r>
      <w:r>
        <w:rPr>
          <w:rFonts w:hint="eastAsia" w:ascii="宋体" w:hAnsi="宋体" w:cs="宋体"/>
          <w:kern w:val="0"/>
          <w:highlight w:val="none"/>
        </w:rPr>
        <w:t>月</w:t>
      </w:r>
      <w:r>
        <w:rPr>
          <w:rFonts w:hint="eastAsia" w:ascii="宋体" w:hAnsi="宋体" w:cs="宋体"/>
          <w:kern w:val="0"/>
          <w:highlight w:val="none"/>
          <w:lang w:val="en-US" w:eastAsia="zh-CN"/>
        </w:rPr>
        <w:t>31</w:t>
      </w:r>
      <w:r>
        <w:rPr>
          <w:rFonts w:hint="eastAsia" w:ascii="宋体" w:hAnsi="宋体" w:cs="宋体"/>
          <w:kern w:val="0"/>
          <w:highlight w:val="none"/>
        </w:rPr>
        <w:t>日</w:t>
      </w:r>
      <w:r>
        <w:rPr>
          <w:rFonts w:hint="eastAsia" w:ascii="宋体" w:hAnsi="宋体" w:cs="宋体"/>
          <w:kern w:val="0"/>
          <w:highlight w:val="none"/>
          <w:lang w:val="en-US" w:eastAsia="zh-CN"/>
        </w:rPr>
        <w:t>14</w:t>
      </w:r>
      <w:r>
        <w:rPr>
          <w:rFonts w:hint="eastAsia" w:ascii="宋体" w:hAnsi="宋体" w:cs="宋体"/>
          <w:kern w:val="0"/>
          <w:highlight w:val="none"/>
        </w:rPr>
        <w:t>:</w:t>
      </w:r>
      <w:r>
        <w:rPr>
          <w:rFonts w:hint="eastAsia" w:ascii="宋体" w:hAnsi="宋体" w:cs="宋体"/>
          <w:kern w:val="0"/>
          <w:highlight w:val="none"/>
          <w:lang w:val="en-US" w:eastAsia="zh-CN"/>
        </w:rPr>
        <w:t>3</w:t>
      </w:r>
      <w:r>
        <w:rPr>
          <w:rFonts w:hint="eastAsia" w:ascii="宋体" w:hAnsi="宋体" w:cs="宋体"/>
          <w:kern w:val="0"/>
          <w:highlight w:val="none"/>
        </w:rPr>
        <w:t>0（北京时间）</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投标地点（网址）：政府采购云平台（www.zcygov.cn）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开标时间：202</w:t>
      </w:r>
      <w:r>
        <w:rPr>
          <w:rFonts w:hint="eastAsia" w:ascii="宋体" w:hAnsi="宋体" w:cs="宋体"/>
          <w:kern w:val="0"/>
          <w:highlight w:val="none"/>
          <w:lang w:val="en-US" w:eastAsia="zh-CN"/>
        </w:rPr>
        <w:t>4</w:t>
      </w:r>
      <w:r>
        <w:rPr>
          <w:rFonts w:hint="eastAsia" w:ascii="宋体" w:hAnsi="宋体" w:cs="宋体"/>
          <w:kern w:val="0"/>
          <w:highlight w:val="none"/>
        </w:rPr>
        <w:t>年</w:t>
      </w:r>
      <w:r>
        <w:rPr>
          <w:rFonts w:hint="eastAsia" w:ascii="宋体" w:hAnsi="宋体" w:cs="宋体"/>
          <w:kern w:val="0"/>
          <w:highlight w:val="none"/>
          <w:lang w:val="en-US" w:eastAsia="zh-CN"/>
        </w:rPr>
        <w:t>10</w:t>
      </w:r>
      <w:r>
        <w:rPr>
          <w:rFonts w:hint="eastAsia" w:ascii="宋体" w:hAnsi="宋体" w:cs="宋体"/>
          <w:kern w:val="0"/>
          <w:highlight w:val="none"/>
        </w:rPr>
        <w:t>月</w:t>
      </w:r>
      <w:r>
        <w:rPr>
          <w:rFonts w:hint="eastAsia" w:ascii="宋体" w:hAnsi="宋体" w:cs="宋体"/>
          <w:kern w:val="0"/>
          <w:highlight w:val="none"/>
          <w:lang w:val="en-US" w:eastAsia="zh-CN"/>
        </w:rPr>
        <w:t>31</w:t>
      </w:r>
      <w:r>
        <w:rPr>
          <w:rFonts w:hint="eastAsia" w:ascii="宋体" w:hAnsi="宋体" w:cs="宋体"/>
          <w:kern w:val="0"/>
          <w:highlight w:val="none"/>
        </w:rPr>
        <w:t>日</w:t>
      </w:r>
      <w:r>
        <w:rPr>
          <w:rFonts w:hint="eastAsia" w:ascii="宋体" w:hAnsi="宋体" w:cs="宋体"/>
          <w:kern w:val="0"/>
          <w:highlight w:val="none"/>
          <w:lang w:val="en-US" w:eastAsia="zh-CN"/>
        </w:rPr>
        <w:t>14</w:t>
      </w:r>
      <w:r>
        <w:rPr>
          <w:rFonts w:hint="eastAsia" w:ascii="宋体" w:hAnsi="宋体" w:cs="宋体"/>
          <w:kern w:val="0"/>
          <w:highlight w:val="none"/>
        </w:rPr>
        <w:t>:</w:t>
      </w:r>
      <w:r>
        <w:rPr>
          <w:rFonts w:hint="eastAsia" w:ascii="宋体" w:hAnsi="宋体" w:cs="宋体"/>
          <w:kern w:val="0"/>
          <w:highlight w:val="none"/>
          <w:lang w:val="en-US" w:eastAsia="zh-CN"/>
        </w:rPr>
        <w:t>3</w:t>
      </w:r>
      <w:r>
        <w:rPr>
          <w:rFonts w:hint="eastAsia" w:ascii="宋体" w:hAnsi="宋体" w:cs="宋体"/>
          <w:kern w:val="0"/>
          <w:highlight w:val="none"/>
        </w:rPr>
        <w:t>0 </w:t>
      </w:r>
    </w:p>
    <w:p>
      <w:pPr>
        <w:widowControl/>
        <w:spacing w:line="360" w:lineRule="auto"/>
        <w:rPr>
          <w:rFonts w:ascii="宋体" w:hAnsi="宋体" w:cs="宋体"/>
          <w:kern w:val="0"/>
          <w:highlight w:val="none"/>
        </w:rPr>
      </w:pPr>
      <w:r>
        <w:rPr>
          <w:rFonts w:hint="eastAsia" w:ascii="宋体" w:hAnsi="宋体" w:cs="宋体"/>
          <w:kern w:val="0"/>
          <w:highlight w:val="none"/>
        </w:rPr>
        <w:t>开标地点（网址）：政府采购云平台（www.zcygov.cn）和莲都区招投标中心（浙江省丽水市莲都区莲都区人民路649丽人木业大楼4楼405开标室 ）。</w:t>
      </w:r>
    </w:p>
    <w:p>
      <w:pPr>
        <w:widowControl/>
        <w:spacing w:line="360" w:lineRule="auto"/>
        <w:rPr>
          <w:rFonts w:ascii="宋体" w:hAnsi="宋体" w:cs="宋体"/>
          <w:b/>
          <w:bCs/>
          <w:kern w:val="0"/>
          <w:highlight w:val="none"/>
        </w:rPr>
      </w:pPr>
      <w:r>
        <w:rPr>
          <w:rFonts w:hint="eastAsia" w:ascii="宋体" w:hAnsi="宋体" w:cs="宋体"/>
          <w:b/>
          <w:bCs/>
          <w:kern w:val="0"/>
          <w:highlight w:val="none"/>
        </w:rPr>
        <w:t>五、公告期限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pPr>
        <w:widowControl/>
        <w:spacing w:line="360" w:lineRule="auto"/>
        <w:rPr>
          <w:rFonts w:ascii="宋体" w:hAnsi="宋体" w:cs="宋体"/>
          <w:b/>
          <w:bCs/>
          <w:kern w:val="0"/>
          <w:highlight w:val="none"/>
        </w:rPr>
      </w:pPr>
      <w:r>
        <w:rPr>
          <w:rFonts w:hint="eastAsia" w:ascii="宋体" w:hAnsi="宋体" w:cs="宋体"/>
          <w:b/>
          <w:bCs/>
          <w:kern w:val="0"/>
          <w:highlight w:val="none"/>
        </w:rPr>
        <w:t>六、其他补充事宜</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4.其他事项：</w:t>
      </w:r>
    </w:p>
    <w:p>
      <w:pPr>
        <w:widowControl/>
        <w:spacing w:line="360" w:lineRule="auto"/>
        <w:ind w:firstLine="420" w:firstLineChars="200"/>
        <w:rPr>
          <w:rFonts w:ascii="宋体" w:hAnsi="宋体" w:cs="宋体"/>
          <w:highlight w:val="none"/>
        </w:rPr>
      </w:pPr>
      <w:r>
        <w:rPr>
          <w:rFonts w:hint="eastAsia" w:ascii="宋体" w:hAnsi="宋体" w:cs="宋体"/>
          <w:kern w:val="0"/>
          <w:highlight w:val="none"/>
        </w:rPr>
        <w:t>4.1</w:t>
      </w:r>
      <w:r>
        <w:rPr>
          <w:rFonts w:hint="eastAsia" w:ascii="宋体" w:hAnsi="宋体" w:cs="宋体"/>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ascii="宋体" w:hAnsi="宋体" w:cs="宋体"/>
          <w:highlight w:val="none"/>
        </w:rPr>
      </w:pPr>
      <w:r>
        <w:rPr>
          <w:rFonts w:hint="eastAsia" w:ascii="宋体" w:hAnsi="宋体" w:cs="宋体"/>
          <w:highlight w:val="none"/>
        </w:rPr>
        <w:t>4.2落实的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ind w:firstLine="420" w:firstLineChars="200"/>
        <w:rPr>
          <w:rFonts w:ascii="宋体" w:hAnsi="宋体" w:cs="宋体"/>
          <w:b/>
          <w:bCs/>
          <w:kern w:val="0"/>
          <w:highlight w:val="none"/>
        </w:rPr>
      </w:pPr>
      <w:r>
        <w:rPr>
          <w:rFonts w:hint="eastAsia" w:ascii="宋体" w:hAnsi="宋体" w:cs="宋体"/>
          <w:highlight w:val="none"/>
        </w:rPr>
        <w:t>4.3本招标公告中二、申请人的资格要求：第1条中的“重大税收违法案件当事人名单”即为“重大税收违法失信主体”。</w:t>
      </w:r>
    </w:p>
    <w:p>
      <w:pPr>
        <w:widowControl/>
        <w:spacing w:line="360" w:lineRule="auto"/>
        <w:rPr>
          <w:rFonts w:ascii="宋体" w:hAnsi="宋体" w:cs="宋体"/>
          <w:b/>
          <w:bCs/>
          <w:kern w:val="0"/>
          <w:highlight w:val="none"/>
        </w:rPr>
      </w:pPr>
      <w:r>
        <w:rPr>
          <w:rFonts w:hint="eastAsia" w:ascii="宋体" w:hAnsi="宋体" w:cs="宋体"/>
          <w:b/>
          <w:bCs/>
          <w:kern w:val="0"/>
          <w:highlight w:val="none"/>
        </w:rPr>
        <w:t>七、对本次采购提出询问、质疑、投诉，请按以下方式联系</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1.采购人信息 </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名称：丽水市丽水市莲都区人民医院</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地址：丽水市莲都区碧湖镇大众街16号  </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 xml:space="preserve">传真：/  </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 xml:space="preserve">联系人：陈垚磊 </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联系方式：0578-2056226</w:t>
      </w:r>
    </w:p>
    <w:p>
      <w:pPr>
        <w:widowControl/>
        <w:spacing w:line="360" w:lineRule="auto"/>
        <w:ind w:left="420" w:leftChars="200"/>
        <w:rPr>
          <w:rFonts w:hint="eastAsia" w:ascii="宋体" w:hAnsi="宋体" w:cs="宋体"/>
          <w:kern w:val="0"/>
          <w:highlight w:val="none"/>
        </w:rPr>
      </w:pPr>
      <w:r>
        <w:rPr>
          <w:rFonts w:hint="eastAsia" w:ascii="宋体" w:hAnsi="宋体" w:cs="宋体"/>
          <w:kern w:val="0"/>
          <w:highlight w:val="none"/>
        </w:rPr>
        <w:t>质疑联系人：高洪波    </w:t>
      </w:r>
    </w:p>
    <w:p>
      <w:pPr>
        <w:widowControl/>
        <w:spacing w:line="360" w:lineRule="auto"/>
        <w:ind w:left="420" w:leftChars="200"/>
        <w:rPr>
          <w:rFonts w:hint="eastAsia" w:ascii="宋体" w:hAnsi="宋体" w:eastAsia="宋体" w:cs="宋体"/>
          <w:kern w:val="0"/>
          <w:highlight w:val="none"/>
          <w:lang w:eastAsia="zh-CN"/>
        </w:rPr>
      </w:pPr>
      <w:r>
        <w:rPr>
          <w:rFonts w:hint="eastAsia" w:ascii="宋体" w:hAnsi="宋体" w:cs="宋体"/>
          <w:kern w:val="0"/>
          <w:highlight w:val="none"/>
        </w:rPr>
        <w:t xml:space="preserve">质疑联系方式：0578-2056226    </w:t>
      </w:r>
    </w:p>
    <w:p>
      <w:pPr>
        <w:widowControl/>
        <w:spacing w:line="360" w:lineRule="auto"/>
        <w:ind w:left="420" w:leftChars="200"/>
        <w:rPr>
          <w:rFonts w:hint="eastAsia" w:ascii="宋体" w:hAnsi="宋体" w:cs="宋体"/>
          <w:kern w:val="0"/>
          <w:highlight w:val="none"/>
        </w:rPr>
      </w:pPr>
    </w:p>
    <w:p>
      <w:pPr>
        <w:widowControl/>
        <w:spacing w:line="360" w:lineRule="auto"/>
        <w:ind w:left="420" w:leftChars="200"/>
        <w:rPr>
          <w:rFonts w:ascii="宋体" w:hAnsi="宋体" w:cs="宋体"/>
          <w:kern w:val="0"/>
          <w:highlight w:val="none"/>
        </w:rPr>
      </w:pPr>
      <w:r>
        <w:rPr>
          <w:rFonts w:hint="eastAsia" w:ascii="宋体" w:hAnsi="宋体" w:cs="宋体"/>
          <w:kern w:val="0"/>
          <w:highlight w:val="none"/>
        </w:rPr>
        <w:t>2.采购代理机构信息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名称：宁波中基国际招标有限公司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地址：宁波市鄞州区天童南路666号中基大厦19楼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传真：0574-87425386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项目联系人（询问）：任翔、殷悦、单琛耘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项目联系方式（询问）：0578-2381667、0574-88090150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质疑联系人：杨未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质疑联系方式：0574-87425382 　　　　　　　     </w:t>
      </w:r>
    </w:p>
    <w:p>
      <w:pPr>
        <w:widowControl/>
        <w:spacing w:line="360" w:lineRule="auto"/>
        <w:rPr>
          <w:rFonts w:hint="eastAsia" w:ascii="宋体" w:hAnsi="宋体" w:cs="宋体"/>
          <w:kern w:val="0"/>
          <w:highlight w:val="none"/>
        </w:rPr>
      </w:pPr>
    </w:p>
    <w:p>
      <w:pPr>
        <w:widowControl/>
        <w:spacing w:line="360" w:lineRule="auto"/>
        <w:ind w:leftChars="200"/>
        <w:rPr>
          <w:rFonts w:hint="eastAsia" w:ascii="宋体" w:hAnsi="宋体" w:cs="宋体"/>
          <w:kern w:val="0"/>
          <w:highlight w:val="none"/>
        </w:rPr>
      </w:pPr>
      <w:r>
        <w:rPr>
          <w:rFonts w:hint="eastAsia" w:ascii="宋体" w:hAnsi="宋体" w:cs="宋体"/>
          <w:kern w:val="0"/>
          <w:highlight w:val="none"/>
        </w:rPr>
        <w:t xml:space="preserve">3.同级政府采购监督管理部门            </w:t>
      </w:r>
    </w:p>
    <w:p>
      <w:pPr>
        <w:widowControl/>
        <w:spacing w:line="360" w:lineRule="auto"/>
        <w:ind w:leftChars="200"/>
        <w:rPr>
          <w:rFonts w:hint="eastAsia" w:ascii="宋体" w:hAnsi="宋体" w:cs="宋体"/>
          <w:kern w:val="0"/>
          <w:highlight w:val="none"/>
        </w:rPr>
      </w:pPr>
      <w:r>
        <w:rPr>
          <w:rFonts w:hint="eastAsia" w:ascii="宋体" w:hAnsi="宋体" w:cs="宋体"/>
          <w:kern w:val="0"/>
          <w:highlight w:val="none"/>
        </w:rPr>
        <w:t xml:space="preserve">名    称：丽水市莲都区财政局政府采购监管处             </w:t>
      </w:r>
    </w:p>
    <w:p>
      <w:pPr>
        <w:widowControl/>
        <w:spacing w:line="360" w:lineRule="auto"/>
        <w:ind w:leftChars="200"/>
        <w:rPr>
          <w:rFonts w:hint="eastAsia" w:ascii="宋体" w:hAnsi="宋体" w:cs="宋体"/>
          <w:kern w:val="0"/>
          <w:highlight w:val="none"/>
        </w:rPr>
      </w:pPr>
      <w:r>
        <w:rPr>
          <w:rFonts w:hint="eastAsia" w:ascii="宋体" w:hAnsi="宋体" w:cs="宋体"/>
          <w:kern w:val="0"/>
          <w:highlight w:val="none"/>
        </w:rPr>
        <w:t xml:space="preserve">地    址：丽水市解放街71号            </w:t>
      </w:r>
    </w:p>
    <w:p>
      <w:pPr>
        <w:widowControl/>
        <w:spacing w:line="360" w:lineRule="auto"/>
        <w:ind w:leftChars="200"/>
        <w:rPr>
          <w:rFonts w:hint="eastAsia" w:ascii="宋体" w:hAnsi="宋体" w:cs="宋体"/>
          <w:kern w:val="0"/>
          <w:highlight w:val="none"/>
        </w:rPr>
      </w:pPr>
      <w:r>
        <w:rPr>
          <w:rFonts w:hint="eastAsia" w:ascii="宋体" w:hAnsi="宋体" w:cs="宋体"/>
          <w:kern w:val="0"/>
          <w:highlight w:val="none"/>
        </w:rPr>
        <w:t xml:space="preserve">传    真：0578-2131236             </w:t>
      </w:r>
    </w:p>
    <w:p>
      <w:pPr>
        <w:widowControl/>
        <w:spacing w:line="360" w:lineRule="auto"/>
        <w:ind w:leftChars="200"/>
        <w:rPr>
          <w:rFonts w:hint="eastAsia" w:ascii="宋体" w:hAnsi="宋体" w:cs="宋体"/>
          <w:kern w:val="0"/>
          <w:highlight w:val="none"/>
        </w:rPr>
      </w:pPr>
      <w:r>
        <w:rPr>
          <w:rFonts w:hint="eastAsia" w:ascii="宋体" w:hAnsi="宋体" w:cs="宋体"/>
          <w:kern w:val="0"/>
          <w:highlight w:val="none"/>
        </w:rPr>
        <w:t xml:space="preserve">联系人 ：张 鹏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监督投诉电话：0578-2131236    </w:t>
      </w:r>
    </w:p>
    <w:p>
      <w:pPr>
        <w:widowControl/>
        <w:spacing w:line="360" w:lineRule="auto"/>
        <w:ind w:firstLine="420" w:firstLineChars="200"/>
        <w:rPr>
          <w:rFonts w:ascii="宋体" w:hAnsi="宋体" w:cs="宋体"/>
          <w:kern w:val="0"/>
          <w:highlight w:val="none"/>
        </w:rPr>
      </w:pPr>
      <w:r>
        <w:rPr>
          <w:rFonts w:hint="eastAsia" w:ascii="宋体" w:hAnsi="宋体" w:cs="宋体"/>
          <w:kern w:val="0"/>
          <w:highlight w:val="none"/>
        </w:rPr>
        <w:t>     </w:t>
      </w:r>
    </w:p>
    <w:p>
      <w:pPr>
        <w:widowControl/>
        <w:spacing w:line="360" w:lineRule="auto"/>
        <w:ind w:firstLine="422" w:firstLineChars="200"/>
        <w:rPr>
          <w:rFonts w:ascii="宋体" w:hAnsi="宋体" w:cs="宋体"/>
          <w:b/>
          <w:bCs/>
          <w:highlight w:val="none"/>
        </w:rPr>
      </w:pPr>
      <w:r>
        <w:rPr>
          <w:rFonts w:hint="eastAsia" w:ascii="宋体" w:hAnsi="宋体" w:cs="宋体"/>
          <w:b/>
          <w:bCs/>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ascii="宋体" w:cs="宋体"/>
          <w:color w:val="auto"/>
          <w:highlight w:val="none"/>
        </w:rPr>
        <w:sectPr>
          <w:pgSz w:w="11906" w:h="16838"/>
          <w:pgMar w:top="1474" w:right="1797" w:bottom="1247" w:left="1797" w:header="851" w:footer="851" w:gutter="0"/>
          <w:cols w:space="720" w:num="1"/>
          <w:docGrid w:type="lines" w:linePitch="312" w:charSpace="0"/>
        </w:sectPr>
      </w:pPr>
    </w:p>
    <w:p>
      <w:pPr>
        <w:pStyle w:val="3"/>
        <w:rPr>
          <w:rFonts w:ascii="宋体" w:cs="宋体"/>
          <w:color w:val="auto"/>
          <w:highlight w:val="none"/>
        </w:rPr>
      </w:pPr>
      <w:bookmarkStart w:id="3" w:name="_Toc115344240"/>
      <w:bookmarkStart w:id="4" w:name="_Toc28324"/>
      <w:bookmarkStart w:id="5" w:name="_Toc115344238"/>
      <w:r>
        <w:rPr>
          <w:rFonts w:hint="eastAsia" w:ascii="宋体" w:cs="宋体"/>
          <w:color w:val="auto"/>
          <w:highlight w:val="none"/>
        </w:rPr>
        <w:t>第二章  投标人须知</w:t>
      </w:r>
      <w:bookmarkEnd w:id="3"/>
    </w:p>
    <w:p>
      <w:pPr>
        <w:snapToGrid w:val="0"/>
        <w:spacing w:before="156" w:beforeLines="50" w:after="156" w:afterLines="50" w:line="360" w:lineRule="auto"/>
        <w:ind w:left="238"/>
        <w:jc w:val="center"/>
        <w:outlineLvl w:val="1"/>
        <w:rPr>
          <w:rFonts w:ascii="宋体" w:hAnsi="宋体" w:cs="宋体"/>
          <w:sz w:val="22"/>
          <w:szCs w:val="22"/>
          <w:highlight w:val="none"/>
        </w:rPr>
      </w:pPr>
      <w:bookmarkStart w:id="6" w:name="_Toc105619112"/>
      <w:bookmarkStart w:id="7" w:name="_Toc417922226"/>
      <w:bookmarkStart w:id="8" w:name="_Toc1465"/>
      <w:bookmarkStart w:id="9" w:name="_Toc47388318"/>
      <w:bookmarkStart w:id="10" w:name="_Toc4833"/>
      <w:bookmarkStart w:id="11" w:name="_Toc115344241"/>
      <w:r>
        <w:rPr>
          <w:rFonts w:hint="eastAsia" w:ascii="宋体" w:hAnsi="宋体" w:cs="宋体"/>
          <w:sz w:val="22"/>
          <w:szCs w:val="22"/>
          <w:highlight w:val="none"/>
        </w:rPr>
        <w:t>前附表</w:t>
      </w:r>
      <w:bookmarkEnd w:id="6"/>
      <w:bookmarkEnd w:id="7"/>
      <w:bookmarkEnd w:id="8"/>
      <w:bookmarkEnd w:id="9"/>
      <w:bookmarkEnd w:id="10"/>
      <w:bookmarkEnd w:id="11"/>
    </w:p>
    <w:tbl>
      <w:tblPr>
        <w:tblStyle w:val="48"/>
        <w:tblW w:w="92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8371" w:type="dxa"/>
            <w:tcBorders>
              <w:top w:val="single" w:color="auto" w:sz="4" w:space="0"/>
              <w:left w:val="single" w:color="auto" w:sz="4" w:space="0"/>
              <w:bottom w:val="single" w:color="auto" w:sz="4" w:space="0"/>
            </w:tcBorders>
            <w:vAlign w:val="center"/>
          </w:tcPr>
          <w:p>
            <w:pPr>
              <w:spacing w:line="360" w:lineRule="auto"/>
              <w:rPr>
                <w:rFonts w:hint="default" w:ascii="宋体" w:hAnsi="宋体" w:eastAsia="宋体" w:cs="宋体"/>
                <w:highlight w:val="none"/>
                <w:lang w:val="en-US"/>
              </w:rPr>
            </w:pPr>
            <w:r>
              <w:rPr>
                <w:rFonts w:hint="eastAsia" w:ascii="宋体" w:hAnsi="宋体" w:eastAsia="宋体" w:cs="宋体"/>
                <w:highlight w:val="none"/>
              </w:rPr>
              <w:t>项目名称：</w:t>
            </w:r>
            <w:r>
              <w:rPr>
                <w:rFonts w:hint="eastAsia" w:ascii="宋体" w:hAnsi="宋体" w:cs="宋体"/>
                <w:highlight w:val="none"/>
                <w:lang w:eastAsia="zh-CN"/>
              </w:rPr>
              <w:t>丽水市莲都区人民医院全自动血液分析流水线采购项目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highlight w:val="none"/>
              </w:rPr>
            </w:pPr>
            <w:r>
              <w:rPr>
                <w:rFonts w:hint="eastAsia" w:ascii="宋体" w:hAnsi="宋体" w:eastAsia="宋体" w:cs="宋体"/>
                <w:b/>
                <w:bCs/>
                <w:highlight w:val="none"/>
              </w:rPr>
              <w:t>投标报价及费用：</w:t>
            </w:r>
          </w:p>
          <w:p>
            <w:pPr>
              <w:numPr>
                <w:ilvl w:val="0"/>
                <w:numId w:val="0"/>
              </w:numPr>
              <w:spacing w:line="360" w:lineRule="auto"/>
              <w:rPr>
                <w:rFonts w:hint="eastAsia" w:ascii="宋体" w:hAnsi="宋体" w:eastAsia="宋体" w:cs="宋体"/>
                <w:b/>
                <w:bCs/>
                <w:highlight w:val="none"/>
              </w:rPr>
            </w:pPr>
            <w:r>
              <w:rPr>
                <w:rFonts w:hint="eastAsia" w:ascii="宋体" w:hAnsi="宋体" w:eastAsia="宋体" w:cs="宋体"/>
                <w:b/>
                <w:bCs/>
                <w:highlight w:val="none"/>
              </w:rPr>
              <w:t>1、投标报价是履行合同的最终价格，应包括</w:t>
            </w:r>
            <w:r>
              <w:rPr>
                <w:rFonts w:hint="eastAsia" w:ascii="宋体" w:hAnsi="宋体" w:eastAsia="宋体" w:cs="宋体"/>
                <w:b/>
                <w:bCs/>
              </w:rPr>
              <w:t>设备费、设备安装费（含完成安装调试验收合格所需的所有零部件费用）、场运输费、技监部门检验合格、终验收、劳务耗材费用、中标服务费、人工费、企业管理费、合理利润、风险费用、税金、合同履行期内服务费用等</w:t>
            </w:r>
            <w:r>
              <w:rPr>
                <w:rFonts w:hint="eastAsia" w:ascii="宋体" w:hAnsi="宋体" w:eastAsia="宋体" w:cs="宋体"/>
                <w:b/>
                <w:bCs/>
                <w:highlight w:val="none"/>
              </w:rPr>
              <w:t>一切与本次采购相关的费用。</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本项目预算金额/最高限价：详见第一章公开招标采购公告。投标报价超过预算金额或最高限价的作无效标处理。</w:t>
            </w:r>
          </w:p>
          <w:p>
            <w:pPr>
              <w:spacing w:line="360" w:lineRule="auto"/>
              <w:rPr>
                <w:rFonts w:hint="eastAsia" w:ascii="宋体" w:hAnsi="宋体" w:eastAsia="宋体" w:cs="宋体"/>
                <w:b/>
                <w:bCs/>
                <w:highlight w:val="none"/>
              </w:rPr>
            </w:pPr>
            <w:r>
              <w:rPr>
                <w:rFonts w:hint="eastAsia" w:ascii="宋体" w:hAnsi="宋体" w:eastAsia="宋体" w:cs="宋体"/>
                <w:b/>
                <w:bCs/>
                <w:highlight w:val="none"/>
              </w:rPr>
              <w:t>2、不论投标结果如何，投标人均应自行承担所有与投标有关的全部费用；</w:t>
            </w:r>
          </w:p>
          <w:p>
            <w:pPr>
              <w:spacing w:line="360" w:lineRule="auto"/>
              <w:rPr>
                <w:rFonts w:hint="eastAsia" w:ascii="宋体" w:hAnsi="宋体" w:eastAsia="宋体" w:cs="宋体"/>
                <w:b/>
                <w:bCs/>
                <w:highlight w:val="none"/>
              </w:rPr>
            </w:pPr>
            <w:r>
              <w:rPr>
                <w:rFonts w:hint="eastAsia" w:ascii="宋体" w:hAnsi="宋体" w:cs="宋体"/>
                <w:b/>
                <w:bCs/>
                <w:highlight w:val="none"/>
                <w:lang w:val="en-US" w:eastAsia="zh-CN"/>
              </w:rPr>
              <w:t>3</w:t>
            </w:r>
            <w:r>
              <w:rPr>
                <w:rFonts w:hint="eastAsia" w:ascii="宋体" w:hAnsi="宋体" w:eastAsia="宋体" w:cs="宋体"/>
                <w:b/>
                <w:bCs/>
                <w:highlight w:val="none"/>
              </w:rPr>
              <w:t>、中标服务费的收取标准：</w:t>
            </w:r>
          </w:p>
          <w:p>
            <w:pPr>
              <w:pStyle w:val="20"/>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参照下表中的货物收费标准，采用差额定率累进法按照中标通知书确定的中标总金额，向中标人收取招标服务费。</w:t>
            </w:r>
          </w:p>
          <w:p>
            <w:pPr>
              <w:spacing w:line="360" w:lineRule="auto"/>
              <w:rPr>
                <w:rFonts w:hint="eastAsia" w:ascii="宋体" w:hAnsi="宋体" w:eastAsia="宋体" w:cs="宋体"/>
                <w:highlight w:val="none"/>
              </w:rPr>
            </w:pPr>
            <w:r>
              <w:rPr>
                <w:rFonts w:hint="eastAsia" w:ascii="宋体" w:hAnsi="宋体" w:eastAsia="宋体" w:cs="宋体"/>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pPr>
              <w:spacing w:line="360" w:lineRule="auto"/>
              <w:rPr>
                <w:rFonts w:hint="eastAsia" w:ascii="宋体" w:hAnsi="宋体" w:eastAsia="宋体" w:cs="宋体"/>
                <w:highlight w:val="none"/>
              </w:rPr>
            </w:pPr>
            <w:r>
              <w:rPr>
                <w:rFonts w:hint="eastAsia" w:ascii="宋体" w:hAnsi="宋体" w:eastAsia="宋体" w:cs="宋体"/>
                <w:highlight w:val="none"/>
              </w:rPr>
              <w:t>（2）中标人接到本公司通知后5个工作日内向本招标公司支付中标服务费。</w:t>
            </w:r>
          </w:p>
          <w:p>
            <w:pPr>
              <w:spacing w:line="360" w:lineRule="auto"/>
              <w:rPr>
                <w:rFonts w:hint="eastAsia" w:ascii="宋体" w:hAnsi="宋体" w:eastAsia="宋体" w:cs="宋体"/>
                <w:highlight w:val="none"/>
              </w:rPr>
            </w:pPr>
            <w:r>
              <w:rPr>
                <w:rFonts w:hint="eastAsia" w:ascii="宋体" w:hAnsi="宋体" w:eastAsia="宋体" w:cs="宋体"/>
                <w:highlight w:val="none"/>
              </w:rPr>
              <w:t>（3）中标服务费只收现金、银行票汇款、电汇款。</w:t>
            </w:r>
          </w:p>
          <w:p>
            <w:pPr>
              <w:spacing w:line="360" w:lineRule="auto"/>
              <w:rPr>
                <w:rFonts w:hint="eastAsia" w:ascii="宋体" w:hAnsi="宋体" w:eastAsia="宋体" w:cs="宋体"/>
                <w:highlight w:val="none"/>
              </w:rPr>
            </w:pPr>
            <w:r>
              <w:rPr>
                <w:rFonts w:hint="eastAsia" w:ascii="宋体" w:hAnsi="宋体" w:eastAsia="宋体" w:cs="宋体"/>
                <w:highlight w:val="none"/>
              </w:rPr>
              <w:t>（4）中标服务费均汇入以下账户：</w:t>
            </w:r>
          </w:p>
          <w:p>
            <w:pPr>
              <w:spacing w:line="360" w:lineRule="auto"/>
              <w:rPr>
                <w:rFonts w:hint="eastAsia" w:ascii="宋体" w:hAnsi="宋体" w:eastAsia="宋体" w:cs="宋体"/>
                <w:highlight w:val="none"/>
              </w:rPr>
            </w:pPr>
            <w:r>
              <w:rPr>
                <w:rFonts w:hint="eastAsia" w:ascii="宋体" w:hAnsi="宋体" w:eastAsia="宋体" w:cs="宋体"/>
                <w:highlight w:val="none"/>
              </w:rPr>
              <w:t>开户银行：宁波银行丽水分行</w:t>
            </w:r>
          </w:p>
          <w:p>
            <w:pPr>
              <w:spacing w:line="360" w:lineRule="auto"/>
              <w:rPr>
                <w:rFonts w:hint="eastAsia" w:ascii="宋体" w:hAnsi="宋体" w:eastAsia="宋体" w:cs="宋体"/>
                <w:highlight w:val="none"/>
              </w:rPr>
            </w:pPr>
            <w:r>
              <w:rPr>
                <w:rFonts w:hint="eastAsia" w:ascii="宋体" w:hAnsi="宋体" w:eastAsia="宋体" w:cs="宋体"/>
                <w:highlight w:val="none"/>
              </w:rPr>
              <w:t>帐号：90010122000220378</w:t>
            </w:r>
          </w:p>
          <w:p>
            <w:pPr>
              <w:spacing w:line="360" w:lineRule="auto"/>
              <w:rPr>
                <w:rFonts w:hint="eastAsia" w:ascii="宋体" w:hAnsi="宋体" w:eastAsia="宋体" w:cs="宋体"/>
                <w:highlight w:val="none"/>
              </w:rPr>
            </w:pPr>
            <w:r>
              <w:rPr>
                <w:rFonts w:hint="eastAsia" w:ascii="宋体" w:hAnsi="宋体" w:eastAsia="宋体" w:cs="宋体"/>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highlight w:val="none"/>
                <w:lang w:eastAsia="zh-CN"/>
              </w:rPr>
            </w:pPr>
            <w:r>
              <w:rPr>
                <w:rFonts w:hint="eastAsia" w:ascii="宋体" w:hAnsi="宋体" w:eastAsia="宋体" w:cs="宋体"/>
                <w:highlight w:val="none"/>
              </w:rPr>
              <w:t>投标保证金：无</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5</w:t>
            </w:r>
          </w:p>
        </w:tc>
        <w:tc>
          <w:tcPr>
            <w:tcW w:w="8371"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投标文件组成：本项目实行网上投标，供应商应准备以下投标文件：</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（1）供应商于“政采云”上提供电子投标文件。</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（2）以电子邮件提供的备份电子投标文件数量1份。（自行决定，非必须要求）</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6</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投标截止时间及地点：详见第一章</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7</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开标时间及地点：详见第一章</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8</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评标办法及评分标准：详见第五章</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9</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评标结果公示：评标结束后，评标结果公示于浙江省政府采购网，宁波中基国际招标有限公司网站</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10</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签订合同时间：中标通知书发出后30日内</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11</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lang w:eastAsia="zh-CN"/>
              </w:rPr>
            </w:pPr>
            <w:r>
              <w:rPr>
                <w:rFonts w:hint="eastAsia" w:ascii="宋体" w:hAnsi="宋体" w:eastAsia="宋体" w:cs="宋体"/>
                <w:highlight w:val="none"/>
              </w:rPr>
              <w:t>履约保证金金额：不适用</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★12</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13</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cs="宋体"/>
                <w:highlight w:val="none"/>
                <w:lang w:val="en-US" w:eastAsia="zh-CN"/>
              </w:rPr>
              <w:t>14</w:t>
            </w:r>
          </w:p>
        </w:tc>
        <w:tc>
          <w:tcPr>
            <w:tcW w:w="8371"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highlight w:val="none"/>
              </w:rPr>
            </w:pPr>
            <w:r>
              <w:rPr>
                <w:rFonts w:hint="eastAsia" w:ascii="宋体" w:hAnsi="宋体" w:cs="宋体"/>
                <w:b/>
                <w:bCs/>
                <w:color w:val="auto"/>
                <w:highlight w:val="none"/>
              </w:rPr>
              <w:t>不同投标人的投标文件出自同一终端设备或在相同Internet主机分配地址（相同IP地址）网上报名投标的作无效标处理。</w:t>
            </w:r>
          </w:p>
        </w:tc>
      </w:tr>
    </w:tbl>
    <w:p>
      <w:pPr>
        <w:pStyle w:val="25"/>
        <w:snapToGrid w:val="0"/>
        <w:spacing w:beforeLines="0" w:afterLines="0" w:line="360" w:lineRule="auto"/>
        <w:rPr>
          <w:rFonts w:hAnsi="宋体"/>
          <w:b/>
          <w:bCs/>
          <w:sz w:val="21"/>
          <w:szCs w:val="21"/>
          <w:highlight w:val="none"/>
        </w:rPr>
      </w:pPr>
      <w:r>
        <w:rPr>
          <w:rFonts w:hint="eastAsia" w:hAnsi="宋体"/>
          <w:highlight w:val="none"/>
        </w:rPr>
        <w:br w:type="page"/>
      </w:r>
      <w:r>
        <w:rPr>
          <w:rFonts w:hint="eastAsia" w:hAnsi="宋体"/>
          <w:b/>
          <w:bCs/>
          <w:sz w:val="21"/>
          <w:szCs w:val="21"/>
          <w:highlight w:val="none"/>
        </w:rPr>
        <w:t>一   总  则</w:t>
      </w:r>
    </w:p>
    <w:p>
      <w:pPr>
        <w:snapToGrid w:val="0"/>
        <w:spacing w:line="360" w:lineRule="auto"/>
        <w:ind w:firstLine="413" w:firstLineChars="196"/>
        <w:jc w:val="left"/>
        <w:outlineLvl w:val="1"/>
        <w:rPr>
          <w:rFonts w:ascii="宋体" w:hAnsi="宋体" w:cs="宋体"/>
          <w:b/>
          <w:bCs/>
          <w:highlight w:val="none"/>
        </w:rPr>
      </w:pPr>
      <w:bookmarkStart w:id="12" w:name="_Toc1812"/>
      <w:bookmarkStart w:id="13" w:name="_Toc115344243"/>
      <w:bookmarkStart w:id="14" w:name="_Toc417922227"/>
      <w:bookmarkStart w:id="15" w:name="_Toc609"/>
      <w:bookmarkStart w:id="16" w:name="_Toc47388319"/>
      <w:bookmarkStart w:id="17" w:name="_Toc105619113"/>
      <w:r>
        <w:rPr>
          <w:rFonts w:hint="eastAsia" w:ascii="宋体" w:hAnsi="宋体" w:cs="宋体"/>
          <w:b/>
          <w:bCs/>
          <w:highlight w:val="none"/>
        </w:rPr>
        <w:t>（一） 适用范围</w:t>
      </w:r>
      <w:bookmarkEnd w:id="12"/>
      <w:bookmarkEnd w:id="13"/>
      <w:bookmarkEnd w:id="14"/>
      <w:bookmarkEnd w:id="15"/>
      <w:bookmarkEnd w:id="16"/>
      <w:bookmarkEnd w:id="17"/>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本招标文件适用于</w:t>
      </w:r>
      <w:r>
        <w:rPr>
          <w:rFonts w:hint="eastAsia" w:ascii="宋体" w:hAnsi="宋体" w:cs="宋体"/>
          <w:highlight w:val="none"/>
          <w:lang w:eastAsia="zh-CN"/>
        </w:rPr>
        <w:t>丽水市莲都区人民医院全自动血液分析流水线采购项目</w:t>
      </w:r>
      <w:r>
        <w:rPr>
          <w:rFonts w:hint="eastAsia" w:ascii="宋体" w:hAnsi="宋体" w:cs="宋体"/>
          <w:highlight w:val="none"/>
        </w:rPr>
        <w:t>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cs="宋体"/>
          <w:b/>
          <w:bCs/>
          <w:highlight w:val="none"/>
        </w:rPr>
      </w:pPr>
      <w:bookmarkStart w:id="18" w:name="_Toc417922228"/>
      <w:bookmarkStart w:id="19" w:name="_Toc24971"/>
      <w:bookmarkStart w:id="20" w:name="_Toc115344244"/>
      <w:bookmarkStart w:id="21" w:name="_Toc47388320"/>
      <w:bookmarkStart w:id="22" w:name="_Toc105619114"/>
      <w:bookmarkStart w:id="23" w:name="_Toc20785"/>
      <w:r>
        <w:rPr>
          <w:rFonts w:hint="eastAsia" w:ascii="宋体" w:hAnsi="宋体" w:cs="宋体"/>
          <w:b/>
          <w:bCs/>
          <w:highlight w:val="none"/>
        </w:rPr>
        <w:t>（二）定义</w:t>
      </w:r>
      <w:bookmarkEnd w:id="18"/>
      <w:bookmarkEnd w:id="19"/>
      <w:bookmarkEnd w:id="20"/>
      <w:bookmarkEnd w:id="21"/>
      <w:bookmarkEnd w:id="22"/>
      <w:bookmarkEnd w:id="23"/>
    </w:p>
    <w:p>
      <w:pPr>
        <w:snapToGrid w:val="0"/>
        <w:spacing w:before="156" w:beforeLines="50" w:line="360" w:lineRule="auto"/>
        <w:ind w:firstLine="411" w:firstLineChars="196"/>
        <w:jc w:val="left"/>
        <w:outlineLvl w:val="1"/>
        <w:rPr>
          <w:rFonts w:ascii="宋体" w:hAnsi="宋体" w:cs="宋体"/>
          <w:highlight w:val="none"/>
        </w:rPr>
      </w:pPr>
      <w:bookmarkStart w:id="24" w:name="_Toc31362"/>
      <w:bookmarkStart w:id="25" w:name="_Toc105619115"/>
      <w:bookmarkStart w:id="26" w:name="_Toc115344245"/>
      <w:bookmarkStart w:id="27" w:name="_Toc47388321"/>
      <w:bookmarkStart w:id="28" w:name="_Toc20896"/>
      <w:bookmarkStart w:id="29" w:name="_Toc417922229"/>
      <w:r>
        <w:rPr>
          <w:rFonts w:hint="eastAsia" w:ascii="宋体" w:hAnsi="宋体" w:cs="宋体"/>
          <w:highlight w:val="none"/>
        </w:rPr>
        <w:t>1. 招标采购单位系指组织本次招标的代理机构和采购单位。</w:t>
      </w:r>
      <w:bookmarkEnd w:id="24"/>
      <w:bookmarkEnd w:id="25"/>
      <w:bookmarkEnd w:id="26"/>
      <w:bookmarkEnd w:id="27"/>
      <w:bookmarkEnd w:id="28"/>
    </w:p>
    <w:p>
      <w:pPr>
        <w:snapToGrid w:val="0"/>
        <w:spacing w:before="156" w:beforeLines="50" w:line="360" w:lineRule="auto"/>
        <w:ind w:firstLine="411" w:firstLineChars="196"/>
        <w:jc w:val="left"/>
        <w:outlineLvl w:val="1"/>
        <w:rPr>
          <w:rFonts w:ascii="宋体" w:hAnsi="宋体" w:cs="宋体"/>
          <w:highlight w:val="none"/>
        </w:rPr>
      </w:pPr>
      <w:bookmarkStart w:id="30" w:name="_Toc3566"/>
      <w:bookmarkStart w:id="31" w:name="_Toc115344246"/>
      <w:bookmarkStart w:id="32" w:name="_Toc30830"/>
      <w:bookmarkStart w:id="33" w:name="_Toc105619116"/>
      <w:bookmarkStart w:id="34" w:name="_Toc47388322"/>
      <w:r>
        <w:rPr>
          <w:rFonts w:hint="eastAsia" w:ascii="宋体" w:hAnsi="宋体" w:cs="宋体"/>
          <w:highlight w:val="none"/>
        </w:rPr>
        <w:t>2.“投标人”系指向招标方提交投标文件的单位。</w:t>
      </w:r>
      <w:bookmarkEnd w:id="30"/>
      <w:bookmarkEnd w:id="31"/>
      <w:bookmarkEnd w:id="32"/>
      <w:bookmarkEnd w:id="33"/>
      <w:bookmarkEnd w:id="34"/>
    </w:p>
    <w:p>
      <w:pPr>
        <w:snapToGrid w:val="0"/>
        <w:spacing w:before="156" w:beforeLines="50" w:line="360" w:lineRule="auto"/>
        <w:ind w:firstLine="411" w:firstLineChars="196"/>
        <w:jc w:val="left"/>
        <w:outlineLvl w:val="1"/>
        <w:rPr>
          <w:rFonts w:ascii="宋体" w:hAnsi="宋体" w:cs="宋体"/>
          <w:highlight w:val="none"/>
        </w:rPr>
      </w:pPr>
      <w:bookmarkStart w:id="35" w:name="_Toc29602"/>
      <w:bookmarkStart w:id="36" w:name="_Toc32350"/>
      <w:bookmarkStart w:id="37" w:name="_Toc47388323"/>
      <w:bookmarkStart w:id="38" w:name="_Toc105619117"/>
      <w:bookmarkStart w:id="39" w:name="_Toc115344247"/>
      <w:r>
        <w:rPr>
          <w:rFonts w:hint="eastAsia" w:ascii="宋体" w:hAnsi="宋体" w:cs="宋体"/>
          <w:highlight w:val="none"/>
        </w:rPr>
        <w:t>3.“服务”系指招标文件规定投标人须承担的服务。</w:t>
      </w:r>
      <w:bookmarkEnd w:id="35"/>
      <w:bookmarkEnd w:id="36"/>
      <w:bookmarkEnd w:id="37"/>
      <w:bookmarkEnd w:id="38"/>
      <w:bookmarkEnd w:id="39"/>
    </w:p>
    <w:p>
      <w:pPr>
        <w:snapToGrid w:val="0"/>
        <w:spacing w:before="156" w:beforeLines="50" w:line="360" w:lineRule="auto"/>
        <w:ind w:firstLine="411" w:firstLineChars="196"/>
        <w:jc w:val="left"/>
        <w:outlineLvl w:val="1"/>
        <w:rPr>
          <w:rFonts w:ascii="宋体" w:hAnsi="宋体" w:cs="宋体"/>
          <w:highlight w:val="none"/>
        </w:rPr>
      </w:pPr>
      <w:bookmarkStart w:id="40" w:name="_Toc29129"/>
      <w:bookmarkStart w:id="41" w:name="_Toc105619118"/>
      <w:bookmarkStart w:id="42" w:name="_Toc25972"/>
      <w:bookmarkStart w:id="43" w:name="_Toc115344248"/>
      <w:bookmarkStart w:id="44" w:name="_Toc47388324"/>
      <w:r>
        <w:rPr>
          <w:rFonts w:hint="eastAsia" w:ascii="宋体" w:hAnsi="宋体" w:cs="宋体"/>
          <w:highlight w:val="none"/>
        </w:rPr>
        <w:t>4.“项目”系指投标人按招标文件规定向采购人提供的</w:t>
      </w:r>
      <w:r>
        <w:rPr>
          <w:rFonts w:hint="eastAsia" w:ascii="宋体" w:hAnsi="宋体" w:cs="宋体"/>
          <w:highlight w:val="none"/>
          <w:lang w:val="en-US" w:eastAsia="zh-CN"/>
        </w:rPr>
        <w:t>货物和</w:t>
      </w:r>
      <w:r>
        <w:rPr>
          <w:rFonts w:hint="eastAsia" w:ascii="宋体" w:hAnsi="宋体" w:cs="宋体"/>
          <w:highlight w:val="none"/>
        </w:rPr>
        <w:t>服务。</w:t>
      </w:r>
      <w:bookmarkEnd w:id="40"/>
      <w:bookmarkEnd w:id="41"/>
      <w:bookmarkEnd w:id="42"/>
      <w:bookmarkEnd w:id="43"/>
      <w:bookmarkEnd w:id="44"/>
    </w:p>
    <w:p>
      <w:pPr>
        <w:snapToGrid w:val="0"/>
        <w:spacing w:before="156" w:beforeLines="50" w:line="360" w:lineRule="auto"/>
        <w:ind w:firstLine="411" w:firstLineChars="196"/>
        <w:jc w:val="left"/>
        <w:outlineLvl w:val="1"/>
        <w:rPr>
          <w:rFonts w:ascii="宋体" w:hAnsi="宋体" w:cs="宋体"/>
          <w:highlight w:val="none"/>
        </w:rPr>
      </w:pPr>
      <w:bookmarkStart w:id="45" w:name="_Toc19893"/>
      <w:bookmarkStart w:id="46" w:name="_Toc31744"/>
      <w:bookmarkStart w:id="47" w:name="_Toc115344249"/>
      <w:bookmarkStart w:id="48" w:name="_Toc105619119"/>
      <w:bookmarkStart w:id="49" w:name="_Toc47388325"/>
      <w:r>
        <w:rPr>
          <w:rFonts w:hint="eastAsia" w:ascii="宋体" w:hAnsi="宋体" w:cs="宋体"/>
          <w:highlight w:val="none"/>
        </w:rPr>
        <w:t>5.“书面形式”包括信函、传真、电报等。</w:t>
      </w:r>
      <w:bookmarkEnd w:id="45"/>
      <w:bookmarkEnd w:id="46"/>
      <w:bookmarkEnd w:id="47"/>
      <w:bookmarkEnd w:id="48"/>
      <w:bookmarkEnd w:id="49"/>
    </w:p>
    <w:p>
      <w:pPr>
        <w:snapToGrid w:val="0"/>
        <w:spacing w:before="156" w:beforeLines="50" w:line="360" w:lineRule="auto"/>
        <w:ind w:firstLine="411" w:firstLineChars="196"/>
        <w:jc w:val="left"/>
        <w:outlineLvl w:val="1"/>
        <w:rPr>
          <w:rFonts w:ascii="宋体" w:hAnsi="宋体" w:cs="宋体"/>
          <w:highlight w:val="none"/>
        </w:rPr>
      </w:pPr>
      <w:bookmarkStart w:id="50" w:name="_Toc22539"/>
      <w:bookmarkStart w:id="51" w:name="_Toc47388326"/>
      <w:bookmarkStart w:id="52" w:name="_Toc115344250"/>
      <w:bookmarkStart w:id="53" w:name="_Toc105619120"/>
      <w:bookmarkStart w:id="54" w:name="_Toc25560"/>
      <w:r>
        <w:rPr>
          <w:rFonts w:hint="eastAsia" w:ascii="宋体" w:hAnsi="宋体" w:cs="宋体"/>
          <w:highlight w:val="none"/>
        </w:rPr>
        <w:t>6. “★”系指实质性要求条款。</w:t>
      </w:r>
      <w:bookmarkEnd w:id="50"/>
      <w:bookmarkEnd w:id="51"/>
      <w:bookmarkEnd w:id="52"/>
      <w:bookmarkEnd w:id="53"/>
      <w:bookmarkEnd w:id="54"/>
    </w:p>
    <w:p>
      <w:pPr>
        <w:snapToGrid w:val="0"/>
        <w:spacing w:before="156" w:beforeLines="50" w:line="360" w:lineRule="auto"/>
        <w:ind w:firstLine="413" w:firstLineChars="196"/>
        <w:jc w:val="left"/>
        <w:outlineLvl w:val="1"/>
        <w:rPr>
          <w:rFonts w:ascii="宋体" w:hAnsi="宋体" w:cs="宋体"/>
          <w:b/>
          <w:bCs/>
          <w:highlight w:val="none"/>
        </w:rPr>
      </w:pPr>
      <w:bookmarkStart w:id="55" w:name="_Toc32364"/>
      <w:bookmarkStart w:id="56" w:name="_Toc31175"/>
      <w:bookmarkStart w:id="57" w:name="_Toc105619121"/>
      <w:bookmarkStart w:id="58" w:name="_Toc115344251"/>
      <w:bookmarkStart w:id="59" w:name="_Toc47388327"/>
      <w:r>
        <w:rPr>
          <w:rFonts w:hint="eastAsia" w:ascii="宋体" w:hAnsi="宋体" w:cs="宋体"/>
          <w:b/>
          <w:bCs/>
          <w:highlight w:val="none"/>
        </w:rPr>
        <w:t>（三）招标方式</w:t>
      </w:r>
      <w:bookmarkEnd w:id="29"/>
      <w:bookmarkEnd w:id="55"/>
      <w:bookmarkEnd w:id="56"/>
      <w:bookmarkEnd w:id="57"/>
      <w:bookmarkEnd w:id="58"/>
      <w:bookmarkEnd w:id="59"/>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本次招标采用公开招标方式进行。</w:t>
      </w:r>
    </w:p>
    <w:p>
      <w:pPr>
        <w:snapToGrid w:val="0"/>
        <w:spacing w:before="156" w:beforeLines="50" w:line="360" w:lineRule="auto"/>
        <w:ind w:firstLine="413" w:firstLineChars="196"/>
        <w:jc w:val="left"/>
        <w:outlineLvl w:val="1"/>
        <w:rPr>
          <w:rFonts w:ascii="宋体" w:hAnsi="宋体" w:cs="宋体"/>
          <w:b/>
          <w:bCs/>
          <w:highlight w:val="none"/>
        </w:rPr>
      </w:pPr>
      <w:bookmarkStart w:id="60" w:name="_Toc115344252"/>
      <w:bookmarkStart w:id="61" w:name="_Toc31404"/>
      <w:bookmarkStart w:id="62" w:name="_Toc47388328"/>
      <w:bookmarkStart w:id="63" w:name="_Toc16683"/>
      <w:bookmarkStart w:id="64" w:name="_Toc417922230"/>
      <w:bookmarkStart w:id="65" w:name="_Toc105619122"/>
      <w:r>
        <w:rPr>
          <w:rFonts w:hint="eastAsia" w:ascii="宋体" w:hAnsi="宋体" w:cs="宋体"/>
          <w:b/>
          <w:bCs/>
          <w:highlight w:val="none"/>
        </w:rPr>
        <w:t>（四）投标委托</w:t>
      </w:r>
      <w:bookmarkEnd w:id="60"/>
      <w:bookmarkEnd w:id="61"/>
      <w:bookmarkEnd w:id="62"/>
      <w:bookmarkEnd w:id="63"/>
      <w:bookmarkEnd w:id="64"/>
      <w:bookmarkEnd w:id="65"/>
    </w:p>
    <w:p>
      <w:pPr>
        <w:pStyle w:val="20"/>
        <w:snapToGrid w:val="0"/>
        <w:spacing w:line="360" w:lineRule="auto"/>
        <w:ind w:firstLine="404" w:firstLineChars="200"/>
        <w:jc w:val="left"/>
        <w:rPr>
          <w:rFonts w:hAnsi="宋体"/>
          <w:sz w:val="21"/>
          <w:szCs w:val="21"/>
          <w:highlight w:val="none"/>
        </w:rPr>
      </w:pPr>
      <w:r>
        <w:rPr>
          <w:rFonts w:hint="eastAsia" w:hAnsi="宋体"/>
          <w:sz w:val="21"/>
          <w:szCs w:val="21"/>
          <w:highlight w:val="none"/>
        </w:rPr>
        <w:t>投标人代表须携带有效身份证件。如投标人代表不是法定代表人，须有法定代表人出具的授权委托书（正本用原件，副本可用复印件，格式见第</w:t>
      </w:r>
      <w:r>
        <w:rPr>
          <w:rFonts w:hint="eastAsia" w:hAnsi="宋体"/>
          <w:sz w:val="21"/>
          <w:szCs w:val="21"/>
          <w:highlight w:val="none"/>
          <w:lang w:val="en-US" w:eastAsia="zh-CN"/>
        </w:rPr>
        <w:t>六</w:t>
      </w:r>
      <w:r>
        <w:rPr>
          <w:rFonts w:hint="eastAsia" w:hAnsi="宋体"/>
          <w:sz w:val="21"/>
          <w:szCs w:val="21"/>
          <w:highlight w:val="none"/>
        </w:rPr>
        <w:t>章）。</w:t>
      </w:r>
    </w:p>
    <w:p>
      <w:pPr>
        <w:snapToGrid w:val="0"/>
        <w:spacing w:before="156" w:beforeLines="50" w:line="360" w:lineRule="auto"/>
        <w:ind w:firstLine="413" w:firstLineChars="196"/>
        <w:jc w:val="left"/>
        <w:outlineLvl w:val="1"/>
        <w:rPr>
          <w:rFonts w:ascii="宋体" w:hAnsi="宋体" w:cs="宋体"/>
          <w:b/>
          <w:bCs/>
          <w:highlight w:val="none"/>
        </w:rPr>
      </w:pPr>
      <w:bookmarkStart w:id="66" w:name="_Toc115344253"/>
      <w:bookmarkStart w:id="67" w:name="_Toc105619123"/>
      <w:bookmarkStart w:id="68" w:name="_Toc47388329"/>
      <w:bookmarkStart w:id="69" w:name="_Toc15019"/>
      <w:bookmarkStart w:id="70" w:name="_Toc14630"/>
      <w:bookmarkStart w:id="71" w:name="_Toc417922231"/>
      <w:r>
        <w:rPr>
          <w:rFonts w:hint="eastAsia" w:ascii="宋体" w:hAnsi="宋体" w:cs="宋体"/>
          <w:b/>
          <w:bCs/>
          <w:highlight w:val="none"/>
        </w:rPr>
        <w:t>（五）投标费用</w:t>
      </w:r>
      <w:bookmarkEnd w:id="66"/>
      <w:bookmarkEnd w:id="67"/>
      <w:bookmarkEnd w:id="68"/>
      <w:bookmarkEnd w:id="69"/>
      <w:bookmarkEnd w:id="70"/>
      <w:bookmarkEnd w:id="71"/>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cs="宋体"/>
          <w:b/>
          <w:bCs/>
          <w:highlight w:val="none"/>
        </w:rPr>
      </w:pPr>
      <w:r>
        <w:rPr>
          <w:rFonts w:hint="eastAsia" w:ascii="宋体" w:hAnsi="宋体" w:cs="宋体"/>
          <w:b/>
          <w:bCs/>
          <w:highlight w:val="none"/>
        </w:rPr>
        <w:t>（六）联合体投标</w:t>
      </w:r>
    </w:p>
    <w:p>
      <w:pPr>
        <w:spacing w:line="360" w:lineRule="auto"/>
        <w:ind w:firstLine="420" w:firstLineChars="200"/>
        <w:rPr>
          <w:rFonts w:ascii="宋体" w:hAnsi="宋体" w:cs="宋体"/>
          <w:highlight w:val="none"/>
        </w:rPr>
      </w:pPr>
      <w:r>
        <w:rPr>
          <w:rFonts w:hint="eastAsia" w:ascii="宋体" w:hAnsi="宋体" w:cs="宋体"/>
          <w:highlight w:val="none"/>
        </w:rPr>
        <w:t>1.本项目接受联合体投标（联合体投标的须在投标文件中提供联合体协议书，明确各联合投标单位的责任和义务）。</w:t>
      </w:r>
    </w:p>
    <w:p>
      <w:pPr>
        <w:spacing w:line="360" w:lineRule="auto"/>
        <w:ind w:firstLine="420" w:firstLineChars="200"/>
        <w:rPr>
          <w:rFonts w:ascii="宋体" w:hAnsi="宋体" w:cs="宋体"/>
          <w:highlight w:val="none"/>
        </w:rPr>
      </w:pPr>
      <w:r>
        <w:rPr>
          <w:rFonts w:hint="eastAsia" w:ascii="宋体" w:hAnsi="宋体" w:cs="宋体"/>
          <w:highlight w:val="none"/>
        </w:rPr>
        <w:t>2.招标公告规定接受联合体投标的，除应符合招标公告规定的合格供应商的资格要求外，还应遵守以下规定：</w:t>
      </w:r>
    </w:p>
    <w:p>
      <w:pPr>
        <w:spacing w:line="360" w:lineRule="auto"/>
        <w:ind w:firstLine="420" w:firstLineChars="200"/>
        <w:rPr>
          <w:rFonts w:ascii="宋体" w:hAnsi="宋体" w:cs="宋体"/>
          <w:highlight w:val="none"/>
        </w:rPr>
      </w:pPr>
      <w:r>
        <w:rPr>
          <w:rFonts w:hint="eastAsia" w:ascii="宋体" w:hAnsi="宋体" w:cs="宋体"/>
          <w:highlight w:val="none"/>
        </w:rPr>
        <w:t>（1）联合体各方应按招标文件提供的格式签订联合体协议书，明确联合体牵头人和各方工作内容和义务。</w:t>
      </w:r>
    </w:p>
    <w:p>
      <w:pPr>
        <w:spacing w:line="360" w:lineRule="auto"/>
        <w:ind w:firstLine="420" w:firstLineChars="200"/>
        <w:rPr>
          <w:rFonts w:ascii="宋体" w:hAnsi="宋体" w:cs="宋体"/>
          <w:highlight w:val="none"/>
        </w:rPr>
      </w:pPr>
      <w:r>
        <w:rPr>
          <w:rFonts w:hint="eastAsia" w:ascii="宋体" w:hAnsi="宋体" w:cs="宋体"/>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ascii="宋体" w:hAnsi="宋体" w:cs="宋体"/>
          <w:highlight w:val="none"/>
        </w:rPr>
      </w:pPr>
      <w:r>
        <w:rPr>
          <w:rFonts w:hint="eastAsia" w:ascii="宋体" w:hAnsi="宋体" w:cs="宋体"/>
          <w:highlight w:val="none"/>
        </w:rPr>
        <w:t>（3）联合体各方不得再单独参加或者与其他供应商另外组成联合体参加同一合同项下的投标。</w:t>
      </w:r>
    </w:p>
    <w:p>
      <w:pPr>
        <w:spacing w:line="360" w:lineRule="auto"/>
        <w:ind w:firstLine="420" w:firstLineChars="200"/>
        <w:rPr>
          <w:rFonts w:ascii="宋体" w:hAnsi="宋体" w:cs="宋体"/>
          <w:highlight w:val="none"/>
        </w:rPr>
      </w:pPr>
      <w:r>
        <w:rPr>
          <w:rFonts w:hint="eastAsia" w:ascii="宋体" w:hAnsi="宋体" w:cs="宋体"/>
          <w:highlight w:val="none"/>
        </w:rPr>
        <w:t>（4）联合体各方应当共同与招标人签订采购合同，就采购合同约定的事项对招标人承担连带责任。</w:t>
      </w:r>
    </w:p>
    <w:p>
      <w:pPr>
        <w:snapToGrid w:val="0"/>
        <w:spacing w:before="156" w:beforeLines="50" w:line="360" w:lineRule="auto"/>
        <w:ind w:firstLine="413" w:firstLineChars="196"/>
        <w:jc w:val="left"/>
        <w:rPr>
          <w:rFonts w:ascii="宋体" w:hAnsi="宋体" w:cs="宋体"/>
          <w:b/>
          <w:bCs/>
          <w:kern w:val="0"/>
          <w:highlight w:val="none"/>
        </w:rPr>
      </w:pPr>
      <w:r>
        <w:rPr>
          <w:rFonts w:hint="eastAsia" w:ascii="宋体" w:hAnsi="宋体" w:cs="宋体"/>
          <w:b/>
          <w:bCs/>
          <w:highlight w:val="none"/>
        </w:rPr>
        <w:t>（七）</w:t>
      </w:r>
      <w:r>
        <w:rPr>
          <w:rFonts w:hint="eastAsia" w:ascii="宋体" w:hAnsi="宋体" w:cs="宋体"/>
          <w:b/>
          <w:bCs/>
          <w:kern w:val="0"/>
          <w:highlight w:val="none"/>
        </w:rPr>
        <w:t>转包与分包</w:t>
      </w:r>
    </w:p>
    <w:p>
      <w:pPr>
        <w:snapToGrid w:val="0"/>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本项目不允许转包，经采购人同意，允许分包。</w:t>
      </w:r>
    </w:p>
    <w:p>
      <w:pPr>
        <w:spacing w:line="360" w:lineRule="auto"/>
        <w:jc w:val="left"/>
        <w:rPr>
          <w:rFonts w:ascii="宋体" w:hAnsi="宋体" w:cs="宋体"/>
          <w:b/>
          <w:bCs/>
          <w:highlight w:val="none"/>
        </w:rPr>
      </w:pPr>
      <w:bookmarkStart w:id="72" w:name="_Toc417922232"/>
      <w:r>
        <w:rPr>
          <w:rFonts w:hint="eastAsia" w:ascii="宋体" w:hAnsi="宋体" w:cs="宋体"/>
          <w:b/>
          <w:bCs/>
          <w:highlight w:val="none"/>
        </w:rPr>
        <w:t xml:space="preserve">   （八）特别说明：</w:t>
      </w:r>
    </w:p>
    <w:p>
      <w:pPr>
        <w:widowControl/>
        <w:spacing w:line="360" w:lineRule="auto"/>
        <w:ind w:firstLine="422" w:firstLineChars="200"/>
        <w:jc w:val="left"/>
        <w:rPr>
          <w:rFonts w:ascii="宋体" w:hAnsi="宋体" w:cs="宋体"/>
          <w:highlight w:val="none"/>
        </w:rPr>
      </w:pPr>
      <w:r>
        <w:rPr>
          <w:rFonts w:hint="eastAsia" w:ascii="宋体" w:hAnsi="宋体" w:cs="宋体"/>
          <w:b/>
          <w:bCs/>
          <w:highlight w:val="none"/>
        </w:rPr>
        <w:t xml:space="preserve"> </w:t>
      </w:r>
      <w:r>
        <w:rPr>
          <w:rFonts w:hint="eastAsia" w:ascii="宋体" w:hAnsi="宋体" w:cs="宋体"/>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highlight w:val="none"/>
        </w:rPr>
      </w:pPr>
      <w:r>
        <w:rPr>
          <w:rFonts w:hint="eastAsia" w:ascii="宋体" w:hAnsi="宋体" w:cs="宋体"/>
          <w:kern w:val="0"/>
          <w:highlight w:val="none"/>
        </w:rPr>
        <w:t>非单一产品采购项目，多家投标人提供的核心产品品牌相同的，按前款处理。</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★2.投标人应仔细阅读招标文件的所有内容，按照招标文件的要求提交投标文件，并对所提供的全部资料的真实性承担法律责任。</w:t>
      </w:r>
    </w:p>
    <w:p>
      <w:pPr>
        <w:pStyle w:val="25"/>
        <w:spacing w:beforeLines="0" w:afterLines="0" w:line="360" w:lineRule="auto"/>
        <w:ind w:firstLine="420" w:firstLineChars="200"/>
        <w:rPr>
          <w:rFonts w:hAnsi="宋体"/>
          <w:b/>
          <w:bCs/>
          <w:sz w:val="21"/>
          <w:szCs w:val="21"/>
          <w:highlight w:val="none"/>
        </w:rPr>
      </w:pPr>
      <w:r>
        <w:rPr>
          <w:rFonts w:hint="eastAsia" w:hAnsi="宋体"/>
          <w:sz w:val="21"/>
          <w:szCs w:val="21"/>
          <w:highlight w:val="none"/>
        </w:rPr>
        <w:t>★3.投标人在投标活动中提供任何虚假材料，其投标无效，并报监管部门查处；</w:t>
      </w:r>
      <w:r>
        <w:rPr>
          <w:rFonts w:hint="eastAsia" w:hAnsi="宋体"/>
          <w:b/>
          <w:bCs/>
          <w:sz w:val="21"/>
          <w:szCs w:val="21"/>
          <w:highlight w:val="none"/>
        </w:rPr>
        <w:t xml:space="preserve"> </w:t>
      </w:r>
    </w:p>
    <w:p>
      <w:pPr>
        <w:widowControl/>
        <w:spacing w:line="360" w:lineRule="auto"/>
        <w:ind w:firstLine="422" w:firstLineChars="200"/>
        <w:jc w:val="left"/>
        <w:rPr>
          <w:rFonts w:ascii="宋体" w:hAnsi="宋体" w:cs="宋体"/>
          <w:highlight w:val="none"/>
        </w:rPr>
      </w:pPr>
      <w:r>
        <w:rPr>
          <w:rFonts w:hint="eastAsia" w:ascii="宋体" w:hAnsi="宋体" w:cs="宋体"/>
          <w:b/>
          <w:bCs/>
          <w:highlight w:val="none"/>
        </w:rPr>
        <w:t>（九）、关于分公司投标</w:t>
      </w:r>
    </w:p>
    <w:p>
      <w:pPr>
        <w:pStyle w:val="25"/>
        <w:spacing w:beforeLines="0" w:afterLines="0" w:line="360" w:lineRule="auto"/>
        <w:ind w:firstLine="420" w:firstLineChars="200"/>
        <w:rPr>
          <w:rFonts w:hAnsi="宋体"/>
          <w:sz w:val="21"/>
          <w:szCs w:val="21"/>
          <w:highlight w:val="none"/>
        </w:rPr>
      </w:pPr>
      <w:r>
        <w:rPr>
          <w:rFonts w:hint="eastAsia" w:hAnsi="宋体"/>
          <w:sz w:val="21"/>
          <w:szCs w:val="21"/>
          <w:highlight w:val="none"/>
        </w:rPr>
        <w:t>除银行、保险、石油石化、电力、通信等行业外，法人的分支机构不能参加投标。</w:t>
      </w:r>
    </w:p>
    <w:p>
      <w:pPr>
        <w:widowControl/>
        <w:spacing w:line="360" w:lineRule="auto"/>
        <w:ind w:firstLine="422" w:firstLineChars="200"/>
        <w:jc w:val="left"/>
        <w:rPr>
          <w:rFonts w:ascii="宋体" w:hAnsi="宋体" w:cs="宋体"/>
          <w:b/>
          <w:bCs/>
          <w:highlight w:val="none"/>
        </w:rPr>
      </w:pPr>
      <w:r>
        <w:rPr>
          <w:rFonts w:hint="eastAsia" w:ascii="宋体" w:hAnsi="宋体" w:cs="宋体"/>
          <w:b/>
          <w:bCs/>
          <w:highlight w:val="none"/>
        </w:rPr>
        <w:t>（十）、关于知识产权</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2.投标报价应包含所有应向所有权人支付的专利权、商标权或其它知识产权的一切相关费用。</w:t>
      </w:r>
    </w:p>
    <w:p>
      <w:pPr>
        <w:pStyle w:val="25"/>
        <w:spacing w:beforeLines="0" w:afterLines="0" w:line="360" w:lineRule="auto"/>
        <w:ind w:firstLine="420" w:firstLineChars="200"/>
        <w:rPr>
          <w:rFonts w:hAnsi="宋体"/>
          <w:sz w:val="21"/>
          <w:szCs w:val="21"/>
          <w:highlight w:val="none"/>
        </w:rPr>
      </w:pPr>
      <w:r>
        <w:rPr>
          <w:rFonts w:hint="eastAsia" w:hAnsi="宋体"/>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5"/>
        <w:widowControl/>
        <w:spacing w:beforeLines="0" w:afterLines="0" w:line="360" w:lineRule="auto"/>
        <w:ind w:firstLine="422" w:firstLineChars="200"/>
        <w:jc w:val="left"/>
        <w:rPr>
          <w:rFonts w:hAnsi="宋体"/>
          <w:b/>
          <w:bCs/>
          <w:sz w:val="21"/>
          <w:szCs w:val="21"/>
          <w:highlight w:val="none"/>
        </w:rPr>
      </w:pPr>
      <w:r>
        <w:rPr>
          <w:rFonts w:hint="eastAsia" w:hAnsi="宋体"/>
          <w:b/>
          <w:bCs/>
          <w:sz w:val="21"/>
          <w:szCs w:val="21"/>
          <w:highlight w:val="none"/>
        </w:rPr>
        <w:t>（十一）、质疑和投诉</w:t>
      </w:r>
    </w:p>
    <w:p>
      <w:pPr>
        <w:pStyle w:val="25"/>
        <w:spacing w:before="156" w:after="156" w:line="360" w:lineRule="auto"/>
        <w:ind w:firstLine="420" w:firstLineChars="200"/>
        <w:rPr>
          <w:rFonts w:hAnsi="宋体"/>
          <w:sz w:val="21"/>
          <w:szCs w:val="21"/>
          <w:highlight w:val="none"/>
        </w:rPr>
      </w:pPr>
      <w:r>
        <w:rPr>
          <w:rFonts w:hint="eastAsia" w:hAnsi="宋体"/>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5"/>
        <w:spacing w:before="156" w:after="156" w:line="360" w:lineRule="auto"/>
        <w:ind w:firstLine="420" w:firstLineChars="200"/>
        <w:rPr>
          <w:rFonts w:hAnsi="宋体"/>
          <w:sz w:val="21"/>
          <w:szCs w:val="21"/>
          <w:highlight w:val="none"/>
        </w:rPr>
      </w:pPr>
      <w:r>
        <w:rPr>
          <w:rFonts w:hint="eastAsia" w:hAnsi="宋体"/>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5"/>
        <w:spacing w:before="156" w:after="156" w:line="360" w:lineRule="auto"/>
        <w:ind w:firstLine="420" w:firstLineChars="200"/>
        <w:rPr>
          <w:rFonts w:hAnsi="宋体"/>
          <w:sz w:val="21"/>
          <w:szCs w:val="21"/>
          <w:highlight w:val="none"/>
        </w:rPr>
      </w:pPr>
      <w:r>
        <w:rPr>
          <w:rFonts w:hint="eastAsia" w:hAnsi="宋体"/>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5"/>
        <w:spacing w:before="156" w:after="156" w:line="360" w:lineRule="auto"/>
        <w:ind w:firstLine="420" w:firstLineChars="200"/>
        <w:rPr>
          <w:rFonts w:hAnsi="宋体"/>
          <w:sz w:val="21"/>
          <w:szCs w:val="21"/>
          <w:highlight w:val="none"/>
        </w:rPr>
      </w:pPr>
      <w:r>
        <w:rPr>
          <w:rFonts w:hint="eastAsia" w:hAnsi="宋体"/>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5"/>
        <w:spacing w:beforeLines="0" w:afterLines="0" w:line="360" w:lineRule="auto"/>
        <w:ind w:firstLine="420" w:firstLineChars="200"/>
        <w:rPr>
          <w:rFonts w:hAnsi="宋体"/>
          <w:sz w:val="21"/>
          <w:szCs w:val="21"/>
          <w:highlight w:val="none"/>
        </w:rPr>
      </w:pPr>
      <w:r>
        <w:rPr>
          <w:rFonts w:hint="eastAsia" w:hAnsi="宋体"/>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72"/>
      <w:bookmarkStart w:id="73" w:name="_Toc417922237"/>
    </w:p>
    <w:p>
      <w:pPr>
        <w:pStyle w:val="25"/>
        <w:snapToGrid w:val="0"/>
        <w:spacing w:beforeLines="0" w:afterLines="0" w:line="360" w:lineRule="auto"/>
        <w:ind w:firstLine="413" w:firstLineChars="196"/>
        <w:jc w:val="left"/>
        <w:outlineLvl w:val="0"/>
        <w:rPr>
          <w:rFonts w:hAnsi="宋体"/>
          <w:b/>
          <w:bCs/>
          <w:sz w:val="21"/>
          <w:szCs w:val="21"/>
          <w:highlight w:val="none"/>
        </w:rPr>
      </w:pPr>
      <w:bookmarkStart w:id="74" w:name="_Toc24180"/>
      <w:bookmarkStart w:id="75" w:name="_Toc47388330"/>
      <w:bookmarkStart w:id="76" w:name="_Toc7892"/>
      <w:bookmarkStart w:id="77" w:name="_Toc115344254"/>
      <w:bookmarkStart w:id="78" w:name="_Toc105619124"/>
      <w:r>
        <w:rPr>
          <w:rFonts w:hint="eastAsia" w:hAnsi="宋体"/>
          <w:b/>
          <w:bCs/>
          <w:sz w:val="21"/>
          <w:szCs w:val="21"/>
          <w:highlight w:val="none"/>
        </w:rPr>
        <w:t>二  招标文件</w:t>
      </w:r>
      <w:bookmarkEnd w:id="73"/>
      <w:bookmarkEnd w:id="74"/>
      <w:bookmarkEnd w:id="75"/>
      <w:bookmarkEnd w:id="76"/>
      <w:bookmarkEnd w:id="77"/>
      <w:bookmarkEnd w:id="78"/>
    </w:p>
    <w:p>
      <w:pPr>
        <w:snapToGrid w:val="0"/>
        <w:spacing w:line="360" w:lineRule="auto"/>
        <w:ind w:firstLine="413" w:firstLineChars="196"/>
        <w:jc w:val="left"/>
        <w:rPr>
          <w:rFonts w:ascii="宋体" w:hAnsi="宋体" w:cs="宋体"/>
          <w:b/>
          <w:bCs/>
          <w:highlight w:val="none"/>
        </w:rPr>
      </w:pPr>
      <w:r>
        <w:rPr>
          <w:rFonts w:hint="eastAsia" w:ascii="宋体" w:hAnsi="宋体" w:cs="宋体"/>
          <w:b/>
          <w:bCs/>
          <w:highlight w:val="none"/>
        </w:rPr>
        <w:t>（一）招标文件的构成。本招标文件由以下部份组成：</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1.招标公告</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2.投标人须知</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3.合同主要条款</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4.招标需求</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5.评标办法及标准</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6.投标文件格式</w:t>
      </w:r>
    </w:p>
    <w:p>
      <w:pPr>
        <w:snapToGrid w:val="0"/>
        <w:spacing w:before="156" w:beforeLines="50"/>
        <w:ind w:firstLine="411" w:firstLineChars="196"/>
        <w:jc w:val="left"/>
        <w:rPr>
          <w:rFonts w:ascii="宋体" w:hAnsi="宋体" w:cs="宋体"/>
          <w:highlight w:val="none"/>
        </w:rPr>
      </w:pPr>
      <w:r>
        <w:rPr>
          <w:rFonts w:hint="eastAsia" w:ascii="宋体" w:hAnsi="宋体" w:cs="宋体"/>
          <w:highlight w:val="none"/>
        </w:rPr>
        <w:t>7.本项目招标文件的澄清、答复、修改、补充的内容</w:t>
      </w:r>
    </w:p>
    <w:p>
      <w:pPr>
        <w:snapToGrid w:val="0"/>
        <w:spacing w:before="156" w:beforeLines="50" w:line="360" w:lineRule="auto"/>
        <w:ind w:firstLine="413" w:firstLineChars="196"/>
        <w:jc w:val="left"/>
        <w:rPr>
          <w:rFonts w:ascii="宋体" w:hAnsi="宋体" w:cs="宋体"/>
          <w:b/>
          <w:bCs/>
          <w:highlight w:val="none"/>
        </w:rPr>
      </w:pPr>
      <w:r>
        <w:rPr>
          <w:rFonts w:hint="eastAsia" w:ascii="宋体" w:hAnsi="宋体" w:cs="宋体"/>
          <w:b/>
          <w:bCs/>
          <w:highlight w:val="none"/>
        </w:rPr>
        <w:t>（二）投标人的风险</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2.无论因何种原因导致本次采购活动终止致投标人损失的，相关责任人均不承担任何责任。</w:t>
      </w:r>
    </w:p>
    <w:p>
      <w:pPr>
        <w:pStyle w:val="13"/>
        <w:widowControl w:val="0"/>
        <w:tabs>
          <w:tab w:val="clear" w:pos="454"/>
        </w:tabs>
        <w:snapToGrid w:val="0"/>
        <w:spacing w:before="156" w:beforeLines="50" w:afterLines="0" w:line="360" w:lineRule="auto"/>
        <w:ind w:left="0" w:firstLine="413" w:firstLineChars="196"/>
        <w:rPr>
          <w:rFonts w:ascii="宋体" w:hAnsi="宋体" w:cs="宋体"/>
          <w:b/>
          <w:bCs/>
          <w:sz w:val="21"/>
          <w:szCs w:val="21"/>
          <w:highlight w:val="none"/>
        </w:rPr>
      </w:pPr>
      <w:r>
        <w:rPr>
          <w:rFonts w:hint="eastAsia" w:ascii="宋体" w:hAnsi="宋体" w:cs="宋体"/>
          <w:b/>
          <w:bCs/>
          <w:sz w:val="21"/>
          <w:szCs w:val="21"/>
          <w:highlight w:val="none"/>
        </w:rPr>
        <w:t xml:space="preserve">（三）招标文件的澄清与修改 </w:t>
      </w:r>
    </w:p>
    <w:p>
      <w:pPr>
        <w:pStyle w:val="39"/>
        <w:widowControl/>
        <w:snapToGrid/>
        <w:spacing w:line="360" w:lineRule="auto"/>
        <w:ind w:firstLine="420"/>
        <w:rPr>
          <w:rFonts w:ascii="宋体" w:eastAsia="宋体" w:cs="宋体"/>
          <w:color w:val="auto"/>
          <w:sz w:val="21"/>
          <w:szCs w:val="21"/>
          <w:highlight w:val="none"/>
        </w:rPr>
      </w:pPr>
      <w:bookmarkStart w:id="79" w:name="_Toc417922238"/>
      <w:r>
        <w:rPr>
          <w:rFonts w:hint="eastAsia" w:asci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color w:val="auto"/>
          <w:sz w:val="21"/>
          <w:szCs w:val="21"/>
          <w:highlight w:val="none"/>
        </w:rPr>
      </w:pPr>
      <w:r>
        <w:rPr>
          <w:rFonts w:hint="eastAsia" w:ascii="宋体" w:eastAsia="宋体" w:cs="宋体"/>
          <w:color w:val="auto"/>
          <w:sz w:val="21"/>
          <w:szCs w:val="21"/>
          <w:highlight w:val="none"/>
        </w:rPr>
        <w:t>3.如更正公告有重新发布电子招标文件的，投标人应下载最新发布的电子招标文件制作投标文件。</w:t>
      </w:r>
    </w:p>
    <w:p>
      <w:pPr>
        <w:pStyle w:val="25"/>
        <w:spacing w:beforeLines="0" w:afterLines="0" w:line="360" w:lineRule="auto"/>
        <w:ind w:firstLine="420" w:firstLineChars="200"/>
        <w:rPr>
          <w:rFonts w:hAnsi="宋体"/>
          <w:sz w:val="21"/>
          <w:szCs w:val="21"/>
          <w:highlight w:val="none"/>
        </w:rPr>
      </w:pPr>
      <w:r>
        <w:rPr>
          <w:rFonts w:hint="eastAsia" w:hAnsi="宋体"/>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5"/>
        <w:snapToGrid w:val="0"/>
        <w:spacing w:beforeLines="0" w:afterLines="0" w:line="360" w:lineRule="auto"/>
        <w:ind w:firstLine="413" w:firstLineChars="196"/>
        <w:jc w:val="left"/>
        <w:outlineLvl w:val="1"/>
        <w:rPr>
          <w:rFonts w:hAnsi="宋体"/>
          <w:b/>
          <w:bCs/>
          <w:sz w:val="21"/>
          <w:szCs w:val="21"/>
          <w:highlight w:val="none"/>
        </w:rPr>
      </w:pPr>
      <w:bookmarkStart w:id="80" w:name="_Toc7430"/>
      <w:bookmarkStart w:id="81" w:name="_Toc115344255"/>
      <w:bookmarkStart w:id="82" w:name="_Toc105619125"/>
      <w:bookmarkStart w:id="83" w:name="_Toc47388331"/>
      <w:bookmarkStart w:id="84" w:name="_Toc327"/>
      <w:r>
        <w:rPr>
          <w:rFonts w:hint="eastAsia" w:hAnsi="宋体"/>
          <w:b/>
          <w:bCs/>
          <w:sz w:val="21"/>
          <w:szCs w:val="21"/>
          <w:highlight w:val="none"/>
        </w:rPr>
        <w:t>三、投标文件的编制</w:t>
      </w:r>
      <w:bookmarkEnd w:id="79"/>
      <w:bookmarkEnd w:id="80"/>
      <w:bookmarkEnd w:id="81"/>
      <w:bookmarkEnd w:id="82"/>
      <w:bookmarkEnd w:id="83"/>
      <w:bookmarkEnd w:id="84"/>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（一）投标文件的组成</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ab/>
      </w:r>
      <w:r>
        <w:rPr>
          <w:rFonts w:hint="eastAsia" w:ascii="宋体" w:hAnsi="宋体" w:cs="宋体"/>
          <w:highlight w:val="none"/>
        </w:rPr>
        <w:t>投标文件至少包含以下部分：</w:t>
      </w:r>
    </w:p>
    <w:p>
      <w:pPr>
        <w:snapToGrid w:val="0"/>
        <w:spacing w:line="360" w:lineRule="auto"/>
        <w:jc w:val="left"/>
        <w:rPr>
          <w:rFonts w:ascii="宋体" w:hAnsi="宋体" w:cs="宋体"/>
          <w:b/>
          <w:bCs/>
          <w:highlight w:val="none"/>
        </w:rPr>
      </w:pPr>
      <w:bookmarkStart w:id="85" w:name="_Toc105619126"/>
      <w:bookmarkStart w:id="86" w:name="_Toc47388342"/>
      <w:bookmarkStart w:id="87" w:name="_Toc21913"/>
      <w:bookmarkStart w:id="88" w:name="_Toc417922239"/>
      <w:r>
        <w:rPr>
          <w:rFonts w:hint="eastAsia" w:ascii="宋体" w:hAnsi="宋体" w:cs="宋体"/>
          <w:b/>
          <w:bCs/>
          <w:highlight w:val="none"/>
        </w:rPr>
        <w:t>1.报价文件：</w:t>
      </w:r>
    </w:p>
    <w:p>
      <w:pPr>
        <w:numPr>
          <w:ilvl w:val="0"/>
          <w:numId w:val="8"/>
        </w:numPr>
        <w:tabs>
          <w:tab w:val="left" w:pos="518"/>
          <w:tab w:val="left" w:pos="840"/>
          <w:tab w:val="clear" w:pos="420"/>
        </w:tabs>
        <w:spacing w:line="360" w:lineRule="auto"/>
        <w:ind w:left="845" w:leftChars="0"/>
        <w:rPr>
          <w:rFonts w:ascii="宋体" w:hAnsi="宋体" w:cs="宋体"/>
          <w:color w:val="auto"/>
          <w:highlight w:val="none"/>
        </w:rPr>
      </w:pPr>
      <w:r>
        <w:rPr>
          <w:rFonts w:hint="eastAsia" w:ascii="宋体" w:hAnsi="宋体" w:cs="宋体"/>
          <w:color w:val="auto"/>
          <w:highlight w:val="none"/>
        </w:rPr>
        <w:t xml:space="preserve">投标函（格式详见第六章投标文件格式）； </w:t>
      </w:r>
    </w:p>
    <w:p>
      <w:pPr>
        <w:numPr>
          <w:ilvl w:val="0"/>
          <w:numId w:val="8"/>
        </w:numPr>
        <w:tabs>
          <w:tab w:val="left" w:pos="518"/>
          <w:tab w:val="left" w:pos="840"/>
          <w:tab w:val="clear" w:pos="420"/>
        </w:tabs>
        <w:spacing w:line="360" w:lineRule="auto"/>
        <w:ind w:left="845" w:leftChars="0"/>
        <w:rPr>
          <w:rFonts w:ascii="宋体" w:hAnsi="宋体" w:cs="宋体"/>
          <w:color w:val="auto"/>
          <w:highlight w:val="none"/>
        </w:rPr>
      </w:pPr>
      <w:r>
        <w:rPr>
          <w:rFonts w:hint="eastAsia" w:ascii="宋体" w:hAnsi="宋体" w:cs="宋体"/>
          <w:color w:val="auto"/>
          <w:highlight w:val="none"/>
        </w:rPr>
        <w:t>开标一览表（格式详见第六章投标文件格式）；</w:t>
      </w:r>
    </w:p>
    <w:p>
      <w:pPr>
        <w:numPr>
          <w:ilvl w:val="0"/>
          <w:numId w:val="8"/>
        </w:numPr>
        <w:tabs>
          <w:tab w:val="left" w:pos="518"/>
          <w:tab w:val="left" w:pos="840"/>
          <w:tab w:val="clear" w:pos="420"/>
        </w:tabs>
        <w:spacing w:line="360" w:lineRule="auto"/>
        <w:ind w:left="845" w:leftChars="0"/>
        <w:rPr>
          <w:rFonts w:hint="eastAsia" w:ascii="宋体" w:hAnsi="宋体" w:cs="宋体"/>
          <w:highlight w:val="none"/>
        </w:rPr>
      </w:pPr>
      <w:r>
        <w:rPr>
          <w:rFonts w:hint="eastAsia" w:ascii="宋体" w:hAnsi="宋体" w:cs="宋体"/>
          <w:color w:val="auto"/>
          <w:highlight w:val="none"/>
        </w:rPr>
        <w:t>投标报价明细表（格式详见第六章投标文件格式）；</w:t>
      </w:r>
    </w:p>
    <w:p>
      <w:pPr>
        <w:numPr>
          <w:ilvl w:val="0"/>
          <w:numId w:val="8"/>
        </w:numPr>
        <w:tabs>
          <w:tab w:val="left" w:pos="518"/>
          <w:tab w:val="left" w:pos="840"/>
          <w:tab w:val="clear" w:pos="420"/>
        </w:tabs>
        <w:spacing w:line="360" w:lineRule="auto"/>
        <w:ind w:left="845" w:leftChars="0"/>
        <w:rPr>
          <w:rFonts w:ascii="宋体" w:hAnsi="宋体" w:cs="宋体"/>
          <w:color w:val="auto"/>
          <w:highlight w:val="none"/>
        </w:rPr>
      </w:pPr>
      <w:r>
        <w:rPr>
          <w:rFonts w:hint="eastAsia" w:ascii="宋体" w:hAnsi="宋体" w:cs="宋体"/>
          <w:color w:val="auto"/>
          <w:highlight w:val="none"/>
        </w:rPr>
        <w:t>中小企业声明函（格式详见第六章投标文件格式，如是请提供）；</w:t>
      </w:r>
    </w:p>
    <w:p>
      <w:pPr>
        <w:numPr>
          <w:ilvl w:val="0"/>
          <w:numId w:val="8"/>
        </w:numPr>
        <w:tabs>
          <w:tab w:val="left" w:pos="518"/>
          <w:tab w:val="left" w:pos="840"/>
          <w:tab w:val="clear" w:pos="420"/>
        </w:tabs>
        <w:spacing w:line="360" w:lineRule="auto"/>
        <w:ind w:left="845" w:leftChars="0"/>
        <w:rPr>
          <w:rFonts w:ascii="宋体" w:hAnsi="宋体" w:cs="宋体"/>
          <w:color w:val="auto"/>
          <w:highlight w:val="none"/>
        </w:rPr>
      </w:pPr>
      <w:r>
        <w:rPr>
          <w:rFonts w:hint="eastAsia" w:ascii="宋体" w:hAnsi="宋体" w:cs="宋体"/>
          <w:highlight w:val="none"/>
        </w:rPr>
        <w:t>供应商为监狱企业的证明文件：省级以上监狱管理局、戒毒管理局（含新疆生产建设兵团）出具</w:t>
      </w:r>
      <w:r>
        <w:rPr>
          <w:rFonts w:hint="eastAsia" w:ascii="宋体" w:hAnsi="宋体" w:cs="宋体"/>
          <w:highlight w:val="none"/>
          <w:lang w:eastAsia="zh-CN"/>
        </w:rPr>
        <w:t>（</w:t>
      </w:r>
      <w:r>
        <w:rPr>
          <w:rFonts w:hint="eastAsia" w:ascii="宋体" w:hAnsi="宋体" w:cs="宋体"/>
          <w:highlight w:val="none"/>
        </w:rPr>
        <w:t>如</w:t>
      </w:r>
      <w:r>
        <w:rPr>
          <w:rFonts w:hint="eastAsia" w:ascii="宋体" w:hAnsi="宋体" w:cs="宋体"/>
          <w:highlight w:val="none"/>
          <w:lang w:val="en-US" w:eastAsia="zh-CN"/>
        </w:rPr>
        <w:t>是</w:t>
      </w:r>
      <w:r>
        <w:rPr>
          <w:rFonts w:hint="eastAsia" w:ascii="宋体" w:hAnsi="宋体" w:cs="宋体"/>
          <w:highlight w:val="none"/>
        </w:rPr>
        <w:t>请提供</w:t>
      </w:r>
      <w:r>
        <w:rPr>
          <w:rFonts w:hint="eastAsia" w:ascii="宋体" w:hAnsi="宋体" w:cs="宋体"/>
          <w:highlight w:val="none"/>
          <w:lang w:eastAsia="zh-CN"/>
        </w:rPr>
        <w:t>）；</w:t>
      </w:r>
    </w:p>
    <w:p>
      <w:pPr>
        <w:numPr>
          <w:ilvl w:val="0"/>
          <w:numId w:val="8"/>
        </w:numPr>
        <w:tabs>
          <w:tab w:val="left" w:pos="518"/>
          <w:tab w:val="left" w:pos="840"/>
          <w:tab w:val="clear" w:pos="420"/>
        </w:tabs>
        <w:spacing w:line="360" w:lineRule="auto"/>
        <w:ind w:left="845" w:leftChars="0"/>
        <w:rPr>
          <w:rFonts w:ascii="宋体" w:hAnsi="宋体" w:cs="宋体"/>
          <w:color w:val="auto"/>
          <w:highlight w:val="none"/>
        </w:rPr>
      </w:pPr>
      <w:r>
        <w:rPr>
          <w:rFonts w:hint="eastAsia" w:ascii="宋体" w:hAnsi="宋体" w:cs="宋体"/>
          <w:color w:val="auto"/>
          <w:highlight w:val="none"/>
        </w:rPr>
        <w:t>残疾人福利性单位声明函（格式详见第六章投标文件格式，如是请提供）；</w:t>
      </w:r>
    </w:p>
    <w:p>
      <w:pPr>
        <w:numPr>
          <w:ilvl w:val="0"/>
          <w:numId w:val="8"/>
        </w:numPr>
        <w:tabs>
          <w:tab w:val="left" w:pos="518"/>
          <w:tab w:val="left" w:pos="840"/>
          <w:tab w:val="clear" w:pos="420"/>
        </w:tabs>
        <w:spacing w:line="360" w:lineRule="auto"/>
        <w:ind w:left="845" w:leftChars="0"/>
        <w:rPr>
          <w:rFonts w:ascii="宋体" w:hAnsi="宋体" w:cs="宋体"/>
          <w:color w:val="auto"/>
          <w:highlight w:val="none"/>
        </w:rPr>
      </w:pPr>
      <w:r>
        <w:rPr>
          <w:rFonts w:hint="eastAsia" w:ascii="宋体" w:hAnsi="宋体" w:cs="宋体"/>
          <w:color w:val="auto"/>
          <w:highlight w:val="none"/>
        </w:rPr>
        <w:t>投标人针对报价需要说明的其他文件和说明。</w:t>
      </w:r>
    </w:p>
    <w:p>
      <w:pPr>
        <w:tabs>
          <w:tab w:val="left" w:pos="518"/>
        </w:tabs>
        <w:spacing w:line="360" w:lineRule="auto"/>
        <w:rPr>
          <w:rFonts w:ascii="宋体" w:hAnsi="宋体" w:cs="宋体"/>
          <w:b/>
          <w:bCs/>
          <w:highlight w:val="none"/>
        </w:rPr>
      </w:pPr>
      <w:r>
        <w:rPr>
          <w:rFonts w:hint="eastAsia" w:ascii="宋体" w:hAnsi="宋体" w:cs="宋体"/>
          <w:b/>
          <w:bCs/>
          <w:highlight w:val="none"/>
        </w:rPr>
        <w:t>2.资格证明文件：</w:t>
      </w:r>
    </w:p>
    <w:p>
      <w:pPr>
        <w:numPr>
          <w:ilvl w:val="0"/>
          <w:numId w:val="9"/>
        </w:numPr>
        <w:tabs>
          <w:tab w:val="left" w:pos="518"/>
          <w:tab w:val="left" w:pos="840"/>
        </w:tabs>
        <w:spacing w:line="360" w:lineRule="auto"/>
        <w:rPr>
          <w:rFonts w:ascii="宋体" w:hAnsi="宋体" w:cs="宋体"/>
          <w:color w:val="auto"/>
          <w:highlight w:val="none"/>
        </w:rPr>
      </w:pPr>
      <w:bookmarkStart w:id="89" w:name="_Toc27222"/>
      <w:bookmarkStart w:id="90" w:name="_Toc47388334"/>
      <w:r>
        <w:rPr>
          <w:rFonts w:hint="eastAsia" w:ascii="宋体" w:hAnsi="宋体" w:cs="宋体"/>
          <w:color w:val="auto"/>
          <w:highlight w:val="none"/>
        </w:rPr>
        <w:t>投标人的营业执照副本复印件（格式详见第六章投标文件格式）联合体投标的，联合体双方须分别提供</w:t>
      </w:r>
      <w:bookmarkEnd w:id="89"/>
      <w:bookmarkEnd w:id="90"/>
      <w:r>
        <w:rPr>
          <w:rFonts w:hint="eastAsia" w:ascii="宋体" w:hAnsi="宋体" w:cs="宋体"/>
          <w:color w:val="auto"/>
          <w:highlight w:val="none"/>
        </w:rPr>
        <w:t>；</w:t>
      </w:r>
    </w:p>
    <w:p>
      <w:pPr>
        <w:numPr>
          <w:ilvl w:val="0"/>
          <w:numId w:val="9"/>
        </w:numPr>
        <w:tabs>
          <w:tab w:val="left" w:pos="518"/>
          <w:tab w:val="left" w:pos="840"/>
        </w:tabs>
        <w:spacing w:line="360" w:lineRule="auto"/>
        <w:ind w:left="0" w:firstLine="420" w:firstLineChars="200"/>
        <w:rPr>
          <w:rFonts w:ascii="宋体" w:hAnsi="宋体" w:cs="宋体"/>
          <w:color w:val="auto"/>
          <w:highlight w:val="none"/>
        </w:rPr>
      </w:pPr>
      <w:bookmarkStart w:id="91" w:name="_Toc47388340"/>
      <w:bookmarkStart w:id="92" w:name="_Toc1635"/>
      <w:r>
        <w:rPr>
          <w:rFonts w:hint="eastAsia" w:ascii="宋体" w:hAnsi="宋体" w:cs="宋体"/>
          <w:color w:val="auto"/>
          <w:highlight w:val="none"/>
        </w:rPr>
        <w:t>投标人资格声明函（格式详见第六章投标文件格式）</w:t>
      </w:r>
      <w:bookmarkEnd w:id="91"/>
      <w:bookmarkEnd w:id="92"/>
      <w:r>
        <w:rPr>
          <w:rFonts w:hint="eastAsia" w:ascii="宋体" w:hAnsi="宋体" w:cs="宋体"/>
          <w:color w:val="auto"/>
          <w:highlight w:val="none"/>
        </w:rPr>
        <w:t>联合体投标的，联合体双方须分别提供；</w:t>
      </w:r>
    </w:p>
    <w:p>
      <w:pPr>
        <w:numPr>
          <w:ilvl w:val="0"/>
          <w:numId w:val="10"/>
        </w:numPr>
        <w:tabs>
          <w:tab w:val="left" w:pos="420"/>
          <w:tab w:val="clear" w:pos="840"/>
        </w:tabs>
        <w:spacing w:line="360" w:lineRule="auto"/>
        <w:rPr>
          <w:rFonts w:ascii="宋体" w:hAnsi="宋体" w:cs="宋体"/>
          <w:color w:val="auto"/>
          <w:highlight w:val="none"/>
        </w:rPr>
      </w:pPr>
      <w:bookmarkStart w:id="93" w:name="_Toc47388341"/>
      <w:bookmarkStart w:id="94" w:name="_Toc21309"/>
      <w:r>
        <w:rPr>
          <w:rFonts w:hint="eastAsia" w:ascii="宋体" w:hAnsi="宋体" w:cs="宋体"/>
          <w:color w:val="auto"/>
          <w:highlight w:val="none"/>
        </w:rPr>
        <w:t>投标人的特定条件的证明文件：</w:t>
      </w:r>
      <w:bookmarkEnd w:id="93"/>
      <w:bookmarkEnd w:id="94"/>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投标人为医疗器械生产企业的：第三类医疗器械生产企业提供《医疗器械生产许可证》复印件。 </w:t>
      </w:r>
    </w:p>
    <w:p>
      <w:pPr>
        <w:spacing w:line="360" w:lineRule="auto"/>
        <w:ind w:firstLine="420" w:firstLineChars="200"/>
        <w:rPr>
          <w:highlight w:val="none"/>
        </w:rPr>
      </w:pPr>
      <w:r>
        <w:rPr>
          <w:rFonts w:hint="eastAsia" w:ascii="宋体" w:hAnsi="宋体" w:cs="宋体"/>
          <w:kern w:val="0"/>
          <w:highlight w:val="none"/>
        </w:rPr>
        <w:t>投标人为医疗器械经营企业的：第三类医疗器械经营企业提供《医疗器械经营许可证》复印件。</w:t>
      </w:r>
    </w:p>
    <w:p>
      <w:pPr>
        <w:pStyle w:val="331"/>
        <w:widowControl/>
        <w:numPr>
          <w:ilvl w:val="0"/>
          <w:numId w:val="11"/>
        </w:numPr>
        <w:tabs>
          <w:tab w:val="left" w:pos="420"/>
          <w:tab w:val="clear" w:pos="0"/>
        </w:tabs>
        <w:spacing w:line="360" w:lineRule="auto"/>
        <w:ind w:firstLine="420"/>
        <w:rPr>
          <w:rFonts w:ascii="宋体" w:hAnsi="宋体" w:cs="宋体"/>
          <w:color w:val="auto"/>
          <w:highlight w:val="none"/>
        </w:rPr>
      </w:pPr>
      <w:r>
        <w:rPr>
          <w:rFonts w:hint="eastAsia" w:ascii="宋体" w:hAnsi="宋体" w:cs="宋体"/>
          <w:color w:val="auto"/>
          <w:highlight w:val="none"/>
        </w:rPr>
        <w:t>联合体投标协议书（格式详见第六章投标文件格式，联合体投标的须提供）。</w:t>
      </w:r>
    </w:p>
    <w:p>
      <w:pPr>
        <w:tabs>
          <w:tab w:val="left" w:pos="518"/>
        </w:tabs>
        <w:spacing w:line="360" w:lineRule="auto"/>
        <w:rPr>
          <w:rFonts w:ascii="宋体" w:hAnsi="宋体" w:cs="宋体"/>
          <w:b/>
          <w:bCs/>
          <w:highlight w:val="none"/>
        </w:rPr>
      </w:pPr>
      <w:r>
        <w:rPr>
          <w:rFonts w:hint="eastAsia" w:ascii="宋体" w:hAnsi="宋体" w:cs="宋体"/>
          <w:b/>
          <w:bCs/>
          <w:highlight w:val="none"/>
        </w:rPr>
        <w:t>3.商务技术文件：</w:t>
      </w:r>
    </w:p>
    <w:p>
      <w:pPr>
        <w:numPr>
          <w:ilvl w:val="0"/>
          <w:numId w:val="0"/>
        </w:numPr>
        <w:tabs>
          <w:tab w:val="left" w:pos="420"/>
        </w:tabs>
        <w:spacing w:line="360" w:lineRule="auto"/>
        <w:ind w:left="845" w:leftChars="0" w:hanging="425" w:firstLineChars="0"/>
        <w:rPr>
          <w:rFonts w:hint="eastAsia" w:ascii="宋体" w:hAnsi="宋体" w:cs="宋体"/>
          <w:color w:val="auto"/>
          <w:highlight w:val="none"/>
        </w:rPr>
      </w:pPr>
      <w:bookmarkStart w:id="95" w:name="_Toc115344264"/>
      <w:bookmarkStart w:id="96" w:name="_Toc9167"/>
      <w:r>
        <w:rPr>
          <w:rFonts w:hint="default" w:ascii="宋体" w:hAnsi="宋体" w:eastAsia="宋体" w:cs="宋体"/>
          <w:color w:val="auto"/>
          <w:kern w:val="2"/>
          <w:sz w:val="21"/>
          <w:szCs w:val="21"/>
          <w:lang w:val="en-US" w:eastAsia="zh-CN" w:bidi="ar-SA"/>
        </w:rPr>
        <w:t>(1)</w:t>
      </w:r>
      <w:r>
        <w:rPr>
          <w:rFonts w:hint="eastAsia" w:ascii="宋体" w:hAnsi="宋体" w:cs="宋体"/>
          <w:color w:val="auto"/>
          <w:highlight w:val="none"/>
        </w:rPr>
        <w:t>投标人自查表②符合性自查表（格式详见第六章投标文件格式）；</w:t>
      </w:r>
    </w:p>
    <w:p>
      <w:pPr>
        <w:numPr>
          <w:ilvl w:val="0"/>
          <w:numId w:val="0"/>
        </w:numPr>
        <w:tabs>
          <w:tab w:val="left" w:pos="420"/>
        </w:tabs>
        <w:spacing w:line="360" w:lineRule="auto"/>
        <w:ind w:left="845" w:leftChars="0" w:hanging="425" w:firstLineChars="0"/>
        <w:rPr>
          <w:rFonts w:hint="eastAsia" w:ascii="宋体" w:hAnsi="宋体" w:cs="宋体"/>
          <w:color w:val="auto"/>
          <w:highlight w:val="none"/>
        </w:rPr>
      </w:pPr>
      <w:r>
        <w:rPr>
          <w:rFonts w:hint="default" w:ascii="宋体" w:hAnsi="宋体" w:eastAsia="宋体" w:cs="宋体"/>
          <w:color w:val="auto"/>
          <w:kern w:val="2"/>
          <w:sz w:val="21"/>
          <w:szCs w:val="21"/>
          <w:lang w:val="en-US" w:eastAsia="zh-CN" w:bidi="ar-SA"/>
        </w:rPr>
        <w:t>(2)</w:t>
      </w:r>
      <w:r>
        <w:rPr>
          <w:rFonts w:hint="eastAsia" w:ascii="宋体" w:hAnsi="宋体" w:cs="宋体"/>
          <w:color w:val="auto"/>
          <w:highlight w:val="none"/>
        </w:rPr>
        <w:t>法定代表人身份证明、法定代表人授权委托书（或联合投标授权委托书）（格式    详见第六章投标文件格式）；</w:t>
      </w:r>
    </w:p>
    <w:p>
      <w:pPr>
        <w:numPr>
          <w:ilvl w:val="0"/>
          <w:numId w:val="0"/>
        </w:numPr>
        <w:tabs>
          <w:tab w:val="left" w:pos="420"/>
        </w:tabs>
        <w:spacing w:line="360" w:lineRule="auto"/>
        <w:ind w:left="845" w:leftChars="0" w:hanging="425" w:firstLineChars="0"/>
        <w:rPr>
          <w:rFonts w:hint="eastAsia" w:ascii="宋体" w:hAnsi="宋体" w:cs="宋体"/>
          <w:color w:val="auto"/>
          <w:highlight w:val="none"/>
        </w:rPr>
      </w:pPr>
      <w:r>
        <w:rPr>
          <w:rFonts w:hint="default" w:ascii="宋体" w:hAnsi="宋体" w:eastAsia="宋体" w:cs="宋体"/>
          <w:color w:val="auto"/>
          <w:kern w:val="2"/>
          <w:sz w:val="21"/>
          <w:szCs w:val="21"/>
          <w:lang w:val="en-US" w:eastAsia="zh-CN" w:bidi="ar-SA"/>
        </w:rPr>
        <w:t>(3)</w:t>
      </w:r>
      <w:r>
        <w:rPr>
          <w:rFonts w:hint="eastAsia" w:ascii="宋体" w:hAnsi="宋体" w:cs="宋体"/>
          <w:color w:val="auto"/>
          <w:highlight w:val="none"/>
        </w:rPr>
        <w:t>商务条款响应（偏离）表（格式详见第六章投标文件格式）；</w:t>
      </w:r>
    </w:p>
    <w:p>
      <w:pPr>
        <w:numPr>
          <w:ilvl w:val="0"/>
          <w:numId w:val="0"/>
        </w:numPr>
        <w:tabs>
          <w:tab w:val="left" w:pos="420"/>
        </w:tabs>
        <w:spacing w:line="360" w:lineRule="auto"/>
        <w:ind w:left="845" w:leftChars="0" w:hanging="425" w:firstLineChars="0"/>
        <w:rPr>
          <w:rFonts w:hint="eastAsia" w:ascii="宋体" w:hAnsi="宋体" w:cs="宋体"/>
          <w:color w:val="auto"/>
          <w:highlight w:val="none"/>
        </w:rPr>
      </w:pPr>
      <w:r>
        <w:rPr>
          <w:rFonts w:hint="default" w:ascii="宋体" w:hAnsi="宋体" w:eastAsia="宋体" w:cs="宋体"/>
          <w:color w:val="auto"/>
          <w:kern w:val="2"/>
          <w:sz w:val="21"/>
          <w:szCs w:val="21"/>
          <w:lang w:val="en-US" w:eastAsia="zh-CN" w:bidi="ar-SA"/>
        </w:rPr>
        <w:t>(4)</w:t>
      </w:r>
      <w:r>
        <w:rPr>
          <w:rFonts w:hint="eastAsia" w:ascii="宋体" w:hAnsi="宋体" w:cs="宋体"/>
          <w:color w:val="auto"/>
          <w:highlight w:val="none"/>
        </w:rPr>
        <w:t>技术条款响应（偏离）表（格式详见第六章投标文件格式）；</w:t>
      </w:r>
    </w:p>
    <w:p>
      <w:pPr>
        <w:numPr>
          <w:ilvl w:val="0"/>
          <w:numId w:val="0"/>
        </w:numPr>
        <w:tabs>
          <w:tab w:val="left" w:pos="420"/>
        </w:tabs>
        <w:spacing w:line="360" w:lineRule="auto"/>
        <w:ind w:left="845" w:leftChars="0" w:hanging="425" w:firstLineChars="0"/>
        <w:rPr>
          <w:rFonts w:hint="eastAsia" w:ascii="宋体" w:hAnsi="宋体" w:cs="宋体"/>
          <w:color w:val="auto"/>
          <w:highlight w:val="none"/>
        </w:rPr>
      </w:pPr>
      <w:r>
        <w:rPr>
          <w:rFonts w:hint="default" w:ascii="宋体" w:hAnsi="宋体" w:eastAsia="宋体" w:cs="宋体"/>
          <w:color w:val="auto"/>
          <w:kern w:val="2"/>
          <w:sz w:val="21"/>
          <w:szCs w:val="21"/>
          <w:lang w:val="en-US" w:eastAsia="zh-CN" w:bidi="ar-SA"/>
        </w:rPr>
        <w:t>(5)</w:t>
      </w:r>
      <w:r>
        <w:rPr>
          <w:rFonts w:hint="eastAsia" w:ascii="宋体" w:hAnsi="宋体" w:cs="宋体"/>
          <w:color w:val="auto"/>
          <w:highlight w:val="none"/>
        </w:rPr>
        <w:t>技术需求中要求提供的证明资料（加盖公章）；</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业绩一览表（格式详见第六章投标文件格式）、投标产品的销售业绩的合同复印件（加盖公章）（根据评分标准提供）；</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供货方案</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安装与验收方案</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试剂质量保证措施</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过渡期间保证方案</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物流方案</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售后服务</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维修成本方案</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应急处置能力</w:t>
      </w:r>
      <w:r>
        <w:rPr>
          <w:rFonts w:hint="eastAsia" w:ascii="宋体" w:hAnsi="宋体" w:cs="宋体"/>
          <w:color w:val="auto"/>
          <w:highlight w:val="none"/>
          <w:lang w:eastAsia="zh-CN"/>
        </w:rPr>
        <w:t>；</w:t>
      </w:r>
    </w:p>
    <w:p>
      <w:pPr>
        <w:numPr>
          <w:ilvl w:val="0"/>
          <w:numId w:val="12"/>
        </w:numPr>
        <w:tabs>
          <w:tab w:val="left" w:pos="420"/>
          <w:tab w:val="clear" w:pos="840"/>
        </w:tabs>
        <w:spacing w:line="360" w:lineRule="auto"/>
        <w:ind w:left="845" w:leftChars="0" w:hanging="425" w:firstLineChars="0"/>
        <w:rPr>
          <w:rFonts w:hint="eastAsia" w:ascii="宋体" w:hAnsi="宋体" w:cs="宋体"/>
          <w:color w:val="auto"/>
          <w:highlight w:val="none"/>
        </w:rPr>
      </w:pPr>
      <w:r>
        <w:rPr>
          <w:rFonts w:hint="eastAsia" w:ascii="宋体" w:hAnsi="宋体" w:cs="宋体"/>
          <w:color w:val="auto"/>
          <w:highlight w:val="none"/>
        </w:rPr>
        <w:t>其他采购需求或评分标准所需资料。</w:t>
      </w:r>
    </w:p>
    <w:p>
      <w:pPr>
        <w:snapToGrid w:val="0"/>
        <w:spacing w:line="360" w:lineRule="auto"/>
        <w:ind w:firstLine="411" w:firstLineChars="196"/>
        <w:jc w:val="left"/>
        <w:outlineLvl w:val="0"/>
        <w:rPr>
          <w:rFonts w:ascii="宋体" w:hAnsi="宋体" w:cs="宋体"/>
          <w:highlight w:val="none"/>
        </w:rPr>
      </w:pPr>
      <w:r>
        <w:rPr>
          <w:rFonts w:hint="eastAsia" w:ascii="宋体" w:hAnsi="宋体" w:cs="宋体"/>
          <w:highlight w:val="none"/>
        </w:rPr>
        <w:t>（二）投标文件的语言及计量</w:t>
      </w:r>
      <w:bookmarkEnd w:id="85"/>
      <w:bookmarkEnd w:id="86"/>
      <w:bookmarkEnd w:id="87"/>
      <w:bookmarkEnd w:id="88"/>
      <w:bookmarkEnd w:id="95"/>
      <w:bookmarkEnd w:id="96"/>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97" w:name="_Toc105619127"/>
      <w:bookmarkStart w:id="98" w:name="_Toc7716"/>
      <w:bookmarkStart w:id="99" w:name="_Toc417922240"/>
      <w:bookmarkStart w:id="100" w:name="_Toc28665"/>
      <w:bookmarkStart w:id="101" w:name="_Toc47388343"/>
      <w:bookmarkStart w:id="102" w:name="_Toc115344265"/>
      <w:r>
        <w:rPr>
          <w:rFonts w:hint="eastAsia" w:ascii="宋体" w:hAnsi="宋体" w:cs="宋体"/>
          <w:b/>
          <w:bCs/>
          <w:highlight w:val="none"/>
        </w:rPr>
        <w:t>（三）投标报价</w:t>
      </w:r>
      <w:bookmarkEnd w:id="97"/>
      <w:bookmarkEnd w:id="98"/>
      <w:bookmarkEnd w:id="99"/>
      <w:bookmarkEnd w:id="100"/>
      <w:bookmarkEnd w:id="101"/>
      <w:bookmarkEnd w:id="102"/>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103" w:name="_Toc16517"/>
      <w:bookmarkStart w:id="104" w:name="_Toc26606"/>
      <w:bookmarkStart w:id="105" w:name="_Toc115344266"/>
      <w:bookmarkStart w:id="106" w:name="_Toc105619128"/>
      <w:bookmarkStart w:id="107" w:name="_Toc417922241"/>
      <w:bookmarkStart w:id="108" w:name="_Toc47388344"/>
      <w:r>
        <w:rPr>
          <w:rFonts w:hint="eastAsia" w:ascii="宋体" w:hAnsi="宋体" w:cs="宋体"/>
          <w:b/>
          <w:bCs/>
          <w:highlight w:val="none"/>
        </w:rPr>
        <w:t>1.投标报价应按招标文件中相关附表格式填写。</w:t>
      </w:r>
      <w:bookmarkEnd w:id="103"/>
      <w:bookmarkEnd w:id="104"/>
      <w:bookmarkEnd w:id="105"/>
      <w:bookmarkEnd w:id="106"/>
      <w:bookmarkEnd w:id="107"/>
      <w:bookmarkEnd w:id="108"/>
    </w:p>
    <w:p>
      <w:pPr>
        <w:overflowPunct w:val="0"/>
        <w:spacing w:line="360" w:lineRule="auto"/>
        <w:ind w:left="63" w:leftChars="30" w:firstLine="103" w:firstLineChars="49"/>
        <w:rPr>
          <w:rFonts w:ascii="宋体" w:hAnsi="宋体" w:cs="宋体"/>
          <w:b/>
          <w:bCs/>
          <w:highlight w:val="none"/>
        </w:rPr>
      </w:pPr>
      <w:r>
        <w:rPr>
          <w:rFonts w:hint="eastAsia" w:ascii="宋体" w:hAnsi="宋体" w:cs="宋体"/>
          <w:b/>
          <w:bCs/>
          <w:highlight w:val="none"/>
        </w:rPr>
        <w:tab/>
      </w:r>
      <w:bookmarkStart w:id="109" w:name="_Toc417922242"/>
      <w:r>
        <w:rPr>
          <w:rFonts w:hint="eastAsia" w:ascii="宋体" w:hAnsi="宋体" w:cs="宋体"/>
          <w:highlight w:val="none"/>
        </w:rPr>
        <w:t>★</w:t>
      </w:r>
      <w:r>
        <w:rPr>
          <w:rFonts w:hint="eastAsia" w:ascii="宋体" w:hAnsi="宋体" w:cs="宋体"/>
          <w:b/>
          <w:bCs/>
          <w:highlight w:val="none"/>
        </w:rPr>
        <w:t>2.</w:t>
      </w:r>
      <w:bookmarkEnd w:id="109"/>
      <w:r>
        <w:rPr>
          <w:rFonts w:hint="eastAsia" w:ascii="宋体" w:hAnsi="宋体" w:cs="宋体"/>
          <w:b/>
          <w:bCs/>
          <w:highlight w:val="none"/>
        </w:rPr>
        <w:t xml:space="preserve"> 投标报价是详见第二章前附表2。</w:t>
      </w:r>
    </w:p>
    <w:p>
      <w:pPr>
        <w:snapToGrid w:val="0"/>
        <w:spacing w:before="156" w:beforeLines="50" w:line="360" w:lineRule="auto"/>
        <w:ind w:firstLine="413" w:firstLineChars="196"/>
        <w:jc w:val="left"/>
        <w:outlineLvl w:val="0"/>
        <w:rPr>
          <w:rFonts w:ascii="宋体" w:hAnsi="宋体" w:cs="宋体"/>
          <w:b/>
          <w:bCs/>
          <w:highlight w:val="none"/>
        </w:rPr>
      </w:pPr>
      <w:r>
        <w:rPr>
          <w:rFonts w:hint="eastAsia" w:ascii="宋体" w:hAnsi="宋体" w:cs="宋体"/>
          <w:b/>
          <w:bCs/>
          <w:highlight w:val="none"/>
        </w:rPr>
        <w:tab/>
      </w:r>
      <w:bookmarkStart w:id="110" w:name="_Toc26755"/>
      <w:bookmarkStart w:id="111" w:name="_Toc115344267"/>
      <w:bookmarkStart w:id="112" w:name="_Toc105619129"/>
      <w:bookmarkStart w:id="113" w:name="_Toc417922243"/>
      <w:bookmarkStart w:id="114" w:name="_Toc11512"/>
      <w:bookmarkStart w:id="115" w:name="_Toc47388345"/>
      <w:r>
        <w:rPr>
          <w:rFonts w:hint="eastAsia" w:ascii="宋体" w:hAnsi="宋体" w:cs="宋体"/>
          <w:highlight w:val="none"/>
        </w:rPr>
        <w:t>★</w:t>
      </w:r>
      <w:r>
        <w:rPr>
          <w:rFonts w:hint="eastAsia" w:ascii="宋体" w:hAnsi="宋体" w:cs="宋体"/>
          <w:b/>
          <w:bCs/>
          <w:highlight w:val="none"/>
        </w:rPr>
        <w:t>3.投标文针对同一内容只允许有一个报价，有选择的或有条件的报价将不予接受。</w:t>
      </w:r>
      <w:bookmarkEnd w:id="110"/>
      <w:bookmarkEnd w:id="111"/>
      <w:bookmarkEnd w:id="112"/>
      <w:bookmarkEnd w:id="113"/>
      <w:bookmarkEnd w:id="114"/>
      <w:bookmarkEnd w:id="115"/>
    </w:p>
    <w:p>
      <w:pPr>
        <w:snapToGrid w:val="0"/>
        <w:spacing w:before="156" w:beforeLines="50" w:line="360" w:lineRule="auto"/>
        <w:ind w:firstLine="413" w:firstLineChars="196"/>
        <w:jc w:val="left"/>
        <w:outlineLvl w:val="0"/>
        <w:rPr>
          <w:rFonts w:ascii="宋体" w:hAnsi="宋体" w:cs="宋体"/>
          <w:b/>
          <w:bCs/>
          <w:highlight w:val="none"/>
        </w:rPr>
      </w:pPr>
      <w:bookmarkStart w:id="116" w:name="_Toc47388346"/>
      <w:bookmarkStart w:id="117" w:name="_Toc13397"/>
      <w:bookmarkStart w:id="118" w:name="_Toc417922244"/>
      <w:bookmarkStart w:id="119" w:name="_Toc5580"/>
      <w:bookmarkStart w:id="120" w:name="_Toc105619130"/>
      <w:bookmarkStart w:id="121" w:name="_Toc115344268"/>
      <w:r>
        <w:rPr>
          <w:rFonts w:hint="eastAsia" w:ascii="宋体" w:hAnsi="宋体" w:cs="宋体"/>
          <w:b/>
          <w:bCs/>
          <w:highlight w:val="none"/>
        </w:rPr>
        <w:t>（四）投标文件的有效期</w:t>
      </w:r>
      <w:bookmarkEnd w:id="116"/>
      <w:bookmarkEnd w:id="117"/>
      <w:bookmarkEnd w:id="118"/>
      <w:bookmarkEnd w:id="119"/>
      <w:bookmarkEnd w:id="120"/>
      <w:bookmarkEnd w:id="121"/>
    </w:p>
    <w:p>
      <w:pPr>
        <w:pStyle w:val="13"/>
        <w:widowControl w:val="0"/>
        <w:tabs>
          <w:tab w:val="clear" w:pos="454"/>
        </w:tabs>
        <w:snapToGrid w:val="0"/>
        <w:spacing w:afterLines="0" w:line="360" w:lineRule="auto"/>
        <w:ind w:left="0" w:firstLine="420" w:firstLineChars="200"/>
        <w:rPr>
          <w:rFonts w:ascii="宋体" w:hAnsi="宋体" w:cs="宋体"/>
          <w:b/>
          <w:bCs/>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rPr>
        <w:t>1.自投标截止日起</w:t>
      </w:r>
      <w:r>
        <w:rPr>
          <w:rFonts w:hint="eastAsia" w:ascii="宋体" w:hAnsi="宋体" w:cs="宋体"/>
          <w:b/>
          <w:bCs/>
          <w:sz w:val="21"/>
          <w:szCs w:val="21"/>
          <w:highlight w:val="none"/>
          <w:u w:val="single"/>
        </w:rPr>
        <w:t xml:space="preserve">90 </w:t>
      </w:r>
      <w:r>
        <w:rPr>
          <w:rFonts w:hint="eastAsia" w:ascii="宋体" w:hAnsi="宋体" w:cs="宋体"/>
          <w:b/>
          <w:bCs/>
          <w:sz w:val="21"/>
          <w:szCs w:val="21"/>
          <w:highlight w:val="none"/>
        </w:rPr>
        <w:t>天投标文件应保持有效。有效期不足的投标文件将被拒绝。</w:t>
      </w:r>
    </w:p>
    <w:p>
      <w:pPr>
        <w:pStyle w:val="13"/>
        <w:widowControl w:val="0"/>
        <w:tabs>
          <w:tab w:val="clear" w:pos="454"/>
        </w:tabs>
        <w:snapToGrid w:val="0"/>
        <w:spacing w:afterLines="0" w:line="360" w:lineRule="auto"/>
        <w:ind w:left="0" w:firstLine="420" w:firstLineChars="200"/>
        <w:rPr>
          <w:rFonts w:ascii="宋体" w:hAnsi="宋体" w:cs="宋体"/>
          <w:sz w:val="21"/>
          <w:szCs w:val="21"/>
          <w:highlight w:val="none"/>
        </w:rPr>
      </w:pPr>
      <w:r>
        <w:rPr>
          <w:rFonts w:hint="eastAsia" w:ascii="宋体" w:hAnsi="宋体" w:cs="宋体"/>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bCs/>
          <w:highlight w:val="none"/>
        </w:rPr>
      </w:pPr>
      <w:bookmarkStart w:id="122" w:name="_Toc47388347"/>
      <w:bookmarkStart w:id="123" w:name="_Toc5617"/>
      <w:bookmarkStart w:id="124" w:name="_Toc115344269"/>
      <w:bookmarkStart w:id="125" w:name="_Toc4957"/>
      <w:bookmarkStart w:id="126" w:name="_Toc105619131"/>
      <w:bookmarkStart w:id="127" w:name="_Toc417922245"/>
      <w:r>
        <w:rPr>
          <w:rFonts w:hint="eastAsia" w:ascii="宋体" w:hAnsi="宋体" w:cs="宋体"/>
          <w:highlight w:val="none"/>
        </w:rPr>
        <w:t>3.投标人可拒绝接受延期要求而不会导致投标保证金被没收。同意延长有效期的投标人需要相应延长投标保证金的有效期，但不能修改投标文件。</w:t>
      </w:r>
      <w:bookmarkEnd w:id="122"/>
      <w:bookmarkEnd w:id="123"/>
      <w:bookmarkEnd w:id="124"/>
      <w:bookmarkEnd w:id="125"/>
      <w:bookmarkEnd w:id="126"/>
      <w:bookmarkEnd w:id="127"/>
      <w:r>
        <w:rPr>
          <w:rFonts w:hint="eastAsia" w:ascii="宋体" w:hAnsi="宋体" w:cs="宋体"/>
          <w:b/>
          <w:bCs/>
          <w:highlight w:val="none"/>
        </w:rPr>
        <w:t xml:space="preserve"> </w:t>
      </w:r>
    </w:p>
    <w:p>
      <w:pPr>
        <w:snapToGrid w:val="0"/>
        <w:spacing w:line="360" w:lineRule="auto"/>
        <w:ind w:firstLine="420" w:firstLineChars="200"/>
        <w:jc w:val="left"/>
        <w:outlineLvl w:val="0"/>
        <w:rPr>
          <w:rFonts w:ascii="宋体" w:hAnsi="宋体" w:cs="宋体"/>
          <w:b/>
          <w:bCs/>
          <w:highlight w:val="none"/>
        </w:rPr>
      </w:pPr>
      <w:bookmarkStart w:id="128" w:name="_Toc105619132"/>
      <w:bookmarkStart w:id="129" w:name="_Toc115344270"/>
      <w:bookmarkStart w:id="130" w:name="_Toc47388348"/>
      <w:bookmarkStart w:id="131" w:name="_Toc22030"/>
      <w:bookmarkStart w:id="132" w:name="_Toc417922246"/>
      <w:bookmarkStart w:id="133" w:name="_Toc27965"/>
      <w:r>
        <w:rPr>
          <w:rFonts w:hint="eastAsia" w:ascii="宋体" w:hAnsi="宋体" w:cs="宋体"/>
          <w:highlight w:val="none"/>
        </w:rPr>
        <w:t>4.中标人的投标文件自开标之日起至合同履行完毕止均应保持有效。</w:t>
      </w:r>
      <w:bookmarkEnd w:id="128"/>
      <w:bookmarkEnd w:id="129"/>
      <w:bookmarkEnd w:id="130"/>
      <w:bookmarkEnd w:id="131"/>
      <w:bookmarkEnd w:id="132"/>
      <w:bookmarkEnd w:id="133"/>
    </w:p>
    <w:p>
      <w:pPr>
        <w:snapToGrid w:val="0"/>
        <w:spacing w:before="156" w:beforeLines="50" w:line="360" w:lineRule="auto"/>
        <w:ind w:firstLine="413" w:firstLineChars="196"/>
        <w:jc w:val="left"/>
        <w:outlineLvl w:val="0"/>
        <w:rPr>
          <w:rFonts w:ascii="宋体" w:hAnsi="宋体" w:cs="宋体"/>
          <w:b/>
          <w:bCs/>
          <w:highlight w:val="none"/>
        </w:rPr>
      </w:pPr>
      <w:bookmarkStart w:id="134" w:name="_Toc447886351"/>
      <w:bookmarkStart w:id="135" w:name="_Toc17092"/>
      <w:bookmarkStart w:id="136" w:name="_Toc447886489"/>
      <w:bookmarkStart w:id="137" w:name="_Toc47388363"/>
      <w:bookmarkStart w:id="138" w:name="_Toc105619133"/>
      <w:bookmarkStart w:id="139" w:name="_Toc8457"/>
      <w:bookmarkStart w:id="140" w:name="_Toc115344271"/>
      <w:r>
        <w:rPr>
          <w:rFonts w:hint="eastAsia" w:ascii="宋体" w:hAnsi="宋体" w:cs="宋体"/>
          <w:b/>
          <w:bCs/>
          <w:highlight w:val="none"/>
        </w:rPr>
        <w:t>（五）投标文件的签署和份数</w:t>
      </w:r>
      <w:bookmarkEnd w:id="134"/>
      <w:bookmarkEnd w:id="135"/>
      <w:bookmarkEnd w:id="136"/>
      <w:bookmarkEnd w:id="137"/>
      <w:bookmarkEnd w:id="138"/>
      <w:bookmarkEnd w:id="139"/>
      <w:bookmarkEnd w:id="140"/>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w:t>
      </w:r>
      <w:r>
        <w:rPr>
          <w:rFonts w:hint="eastAsia" w:ascii="宋体" w:hAnsi="宋体" w:cs="宋体"/>
          <w:b/>
          <w:bCs/>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hAnsi="宋体" w:cs="宋体"/>
          <w:b/>
          <w:bCs/>
          <w:highlight w:val="none"/>
        </w:rPr>
      </w:pPr>
      <w:r>
        <w:rPr>
          <w:rFonts w:hint="eastAsia" w:ascii="宋体" w:hAnsi="宋体" w:cs="宋体"/>
          <w:b/>
          <w:bCs/>
          <w:highlight w:val="none"/>
        </w:rPr>
        <w:t>（六）投标文件的上传递交、修改和撤回</w:t>
      </w:r>
    </w:p>
    <w:p>
      <w:pPr>
        <w:snapToGrid w:val="0"/>
        <w:spacing w:before="156" w:beforeLines="50" w:line="360" w:lineRule="auto"/>
        <w:ind w:firstLine="411" w:firstLineChars="196"/>
        <w:jc w:val="left"/>
        <w:outlineLvl w:val="2"/>
        <w:rPr>
          <w:rFonts w:ascii="宋体" w:hAnsi="宋体" w:cs="宋体"/>
          <w:highlight w:val="none"/>
        </w:rPr>
      </w:pPr>
      <w:bookmarkStart w:id="141" w:name="_Toc11204"/>
      <w:bookmarkStart w:id="142" w:name="_Toc115344272"/>
      <w:bookmarkStart w:id="143" w:name="_Toc26991"/>
      <w:bookmarkStart w:id="144" w:name="_Toc105619134"/>
      <w:bookmarkStart w:id="145" w:name="_Toc47388364"/>
      <w:bookmarkStart w:id="146" w:name="_Toc447886352"/>
      <w:bookmarkStart w:id="147" w:name="_Toc447886490"/>
      <w:r>
        <w:rPr>
          <w:rFonts w:hint="eastAsia" w:ascii="宋体" w:hAnsi="宋体" w:cs="宋体"/>
          <w:highlight w:val="none"/>
        </w:rPr>
        <w:t>1.投标文件的上传递交：</w:t>
      </w:r>
      <w:bookmarkEnd w:id="141"/>
      <w:bookmarkEnd w:id="142"/>
      <w:bookmarkEnd w:id="143"/>
      <w:bookmarkEnd w:id="144"/>
      <w:bookmarkEnd w:id="145"/>
    </w:p>
    <w:p>
      <w:pPr>
        <w:snapToGrid w:val="0"/>
        <w:spacing w:before="156" w:beforeLines="50" w:line="360" w:lineRule="auto"/>
        <w:ind w:firstLine="411" w:firstLineChars="196"/>
        <w:jc w:val="left"/>
        <w:outlineLvl w:val="2"/>
        <w:rPr>
          <w:rFonts w:ascii="宋体" w:hAnsi="宋体" w:cs="宋体"/>
          <w:highlight w:val="none"/>
        </w:rPr>
      </w:pPr>
      <w:bookmarkStart w:id="148" w:name="_Toc47388365"/>
      <w:bookmarkStart w:id="149" w:name="_Toc115344273"/>
      <w:bookmarkStart w:id="150" w:name="_Toc105619135"/>
      <w:bookmarkStart w:id="151" w:name="_Toc18986"/>
      <w:bookmarkStart w:id="152" w:name="_Toc4923"/>
      <w:r>
        <w:rPr>
          <w:rFonts w:hint="eastAsia" w:ascii="宋体" w:hAnsi="宋体" w:cs="宋体"/>
          <w:highlight w:val="none"/>
        </w:rPr>
        <w:t>（1）电子加密投标文件的上传递交：</w:t>
      </w:r>
      <w:bookmarkEnd w:id="148"/>
      <w:bookmarkEnd w:id="149"/>
      <w:bookmarkEnd w:id="150"/>
      <w:bookmarkEnd w:id="151"/>
      <w:bookmarkEnd w:id="152"/>
    </w:p>
    <w:p>
      <w:pPr>
        <w:snapToGrid w:val="0"/>
        <w:spacing w:before="156" w:beforeLines="50" w:line="360" w:lineRule="auto"/>
        <w:ind w:firstLine="411" w:firstLineChars="196"/>
        <w:jc w:val="left"/>
        <w:outlineLvl w:val="2"/>
        <w:rPr>
          <w:rFonts w:ascii="宋体" w:hAnsi="宋体" w:cs="宋体"/>
          <w:highlight w:val="none"/>
        </w:rPr>
      </w:pPr>
      <w:bookmarkStart w:id="153" w:name="_Toc20446"/>
      <w:bookmarkStart w:id="154" w:name="_Toc115344274"/>
      <w:bookmarkStart w:id="155" w:name="_Toc28964"/>
      <w:bookmarkStart w:id="156" w:name="_Toc47388366"/>
      <w:bookmarkStart w:id="157" w:name="_Toc105619136"/>
      <w:r>
        <w:rPr>
          <w:rFonts w:hint="eastAsia" w:ascii="宋体" w:hAnsi="宋体" w:cs="宋体"/>
          <w:highlight w:val="none"/>
        </w:rPr>
        <w:t>★a.投标人应在投标截止时间前将电子加密投标文件成功上传递交至政府采购云平台，否则投标无效；</w:t>
      </w:r>
      <w:bookmarkEnd w:id="153"/>
      <w:bookmarkEnd w:id="154"/>
      <w:bookmarkEnd w:id="155"/>
      <w:bookmarkEnd w:id="156"/>
      <w:bookmarkEnd w:id="157"/>
    </w:p>
    <w:p>
      <w:pPr>
        <w:snapToGrid w:val="0"/>
        <w:spacing w:before="156" w:beforeLines="50" w:line="360" w:lineRule="auto"/>
        <w:ind w:firstLine="411" w:firstLineChars="196"/>
        <w:jc w:val="left"/>
        <w:outlineLvl w:val="2"/>
        <w:rPr>
          <w:rFonts w:ascii="宋体" w:hAnsi="宋体" w:cs="宋体"/>
          <w:highlight w:val="none"/>
        </w:rPr>
      </w:pPr>
      <w:bookmarkStart w:id="158" w:name="_Toc115344275"/>
      <w:bookmarkStart w:id="159" w:name="_Toc29076"/>
      <w:bookmarkStart w:id="160" w:name="_Toc31716"/>
      <w:bookmarkStart w:id="161" w:name="_Toc105619137"/>
      <w:bookmarkStart w:id="162" w:name="_Toc47388367"/>
      <w:r>
        <w:rPr>
          <w:rFonts w:hint="eastAsia" w:ascii="宋体" w:hAnsi="宋体" w:cs="宋体"/>
          <w:highlight w:val="none"/>
        </w:rPr>
        <w:t>b.电子加密投标文件成功上传递交后，投标人可自行打印投标文件接收回执。</w:t>
      </w:r>
      <w:bookmarkEnd w:id="158"/>
      <w:bookmarkEnd w:id="159"/>
      <w:bookmarkEnd w:id="160"/>
      <w:bookmarkEnd w:id="161"/>
      <w:bookmarkEnd w:id="162"/>
    </w:p>
    <w:p>
      <w:pPr>
        <w:snapToGrid w:val="0"/>
        <w:spacing w:before="156" w:beforeLines="50" w:line="360" w:lineRule="auto"/>
        <w:ind w:firstLine="411" w:firstLineChars="196"/>
        <w:jc w:val="left"/>
        <w:outlineLvl w:val="2"/>
        <w:rPr>
          <w:rFonts w:ascii="宋体" w:hAnsi="宋体" w:cs="宋体"/>
          <w:highlight w:val="none"/>
        </w:rPr>
      </w:pPr>
      <w:bookmarkStart w:id="163" w:name="_Toc115344276"/>
      <w:bookmarkStart w:id="164" w:name="_Toc13445"/>
      <w:bookmarkStart w:id="165" w:name="_Toc47388368"/>
      <w:bookmarkStart w:id="166" w:name="_Toc105619138"/>
      <w:bookmarkStart w:id="167" w:name="_Toc2573"/>
      <w:r>
        <w:rPr>
          <w:rFonts w:hint="eastAsia" w:ascii="宋体" w:hAnsi="宋体" w:cs="宋体"/>
          <w:highlight w:val="none"/>
        </w:rPr>
        <w:t>（2）备份投标文件的密封包装、递交：</w:t>
      </w:r>
      <w:bookmarkEnd w:id="163"/>
      <w:bookmarkEnd w:id="164"/>
      <w:bookmarkEnd w:id="165"/>
      <w:bookmarkEnd w:id="166"/>
      <w:bookmarkEnd w:id="167"/>
    </w:p>
    <w:p>
      <w:pPr>
        <w:snapToGrid w:val="0"/>
        <w:spacing w:before="156" w:beforeLines="50" w:line="360" w:lineRule="auto"/>
        <w:ind w:firstLine="411" w:firstLineChars="196"/>
        <w:jc w:val="left"/>
        <w:outlineLvl w:val="2"/>
        <w:rPr>
          <w:rFonts w:ascii="宋体" w:hAnsi="宋体" w:cs="宋体"/>
          <w:highlight w:val="none"/>
        </w:rPr>
      </w:pPr>
      <w:bookmarkStart w:id="168" w:name="_Toc9896"/>
      <w:bookmarkStart w:id="169" w:name="_Toc115344277"/>
      <w:bookmarkStart w:id="170" w:name="_Toc47388369"/>
      <w:bookmarkStart w:id="171" w:name="_Toc105619139"/>
      <w:bookmarkStart w:id="172" w:name="_Toc3075"/>
      <w:r>
        <w:rPr>
          <w:rFonts w:hint="eastAsia" w:ascii="宋体" w:hAnsi="宋体" w:cs="宋体"/>
          <w:highlight w:val="none"/>
        </w:rPr>
        <w:t>a.投标人在政府采购云平台完成电子加密投标文件的上传递交后，还可以通过电子邮件在投标截止时间前递交备份投标文件；</w:t>
      </w:r>
      <w:bookmarkEnd w:id="168"/>
      <w:bookmarkEnd w:id="169"/>
      <w:bookmarkEnd w:id="170"/>
      <w:bookmarkEnd w:id="171"/>
      <w:bookmarkEnd w:id="172"/>
    </w:p>
    <w:p>
      <w:pPr>
        <w:snapToGrid w:val="0"/>
        <w:spacing w:before="156" w:beforeLines="50" w:line="360" w:lineRule="auto"/>
        <w:ind w:firstLine="411" w:firstLineChars="196"/>
        <w:jc w:val="left"/>
        <w:outlineLvl w:val="2"/>
        <w:rPr>
          <w:rFonts w:ascii="宋体" w:hAnsi="宋体" w:cs="宋体"/>
          <w:highlight w:val="none"/>
        </w:rPr>
      </w:pPr>
      <w:bookmarkStart w:id="173" w:name="_Toc115344278"/>
      <w:bookmarkStart w:id="174" w:name="_Toc47388370"/>
      <w:bookmarkStart w:id="175" w:name="_Toc17866"/>
      <w:bookmarkStart w:id="176" w:name="_Toc6588"/>
      <w:bookmarkStart w:id="177" w:name="_Toc105619140"/>
      <w:r>
        <w:rPr>
          <w:rFonts w:hint="eastAsia" w:ascii="宋体" w:hAnsi="宋体" w:cs="宋体"/>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73"/>
      <w:bookmarkEnd w:id="174"/>
      <w:bookmarkEnd w:id="175"/>
      <w:bookmarkEnd w:id="176"/>
      <w:bookmarkEnd w:id="177"/>
    </w:p>
    <w:p>
      <w:pPr>
        <w:snapToGrid w:val="0"/>
        <w:spacing w:before="156" w:beforeLines="50" w:line="360" w:lineRule="auto"/>
        <w:ind w:firstLine="411" w:firstLineChars="196"/>
        <w:jc w:val="left"/>
        <w:outlineLvl w:val="2"/>
        <w:rPr>
          <w:rFonts w:ascii="宋体" w:hAnsi="宋体" w:cs="宋体"/>
          <w:highlight w:val="none"/>
        </w:rPr>
      </w:pPr>
      <w:bookmarkStart w:id="178" w:name="_Toc10991"/>
      <w:bookmarkStart w:id="179" w:name="_Toc21618"/>
      <w:bookmarkStart w:id="180" w:name="_Toc47388371"/>
      <w:bookmarkStart w:id="181" w:name="_Toc105619141"/>
      <w:bookmarkStart w:id="182" w:name="_Toc115344279"/>
      <w:r>
        <w:rPr>
          <w:rFonts w:hint="eastAsia" w:ascii="宋体" w:hAnsi="宋体" w:cs="宋体"/>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78"/>
      <w:bookmarkEnd w:id="179"/>
      <w:bookmarkEnd w:id="180"/>
      <w:bookmarkEnd w:id="181"/>
      <w:bookmarkEnd w:id="182"/>
    </w:p>
    <w:bookmarkEnd w:id="146"/>
    <w:bookmarkEnd w:id="147"/>
    <w:p>
      <w:pPr>
        <w:snapToGrid w:val="0"/>
        <w:spacing w:line="360" w:lineRule="auto"/>
        <w:jc w:val="left"/>
        <w:rPr>
          <w:rFonts w:ascii="宋体" w:hAnsi="宋体" w:cs="宋体"/>
          <w:b/>
          <w:bCs/>
          <w:highlight w:val="none"/>
        </w:rPr>
      </w:pPr>
      <w:r>
        <w:rPr>
          <w:rFonts w:hint="eastAsia" w:ascii="宋体" w:hAnsi="宋体" w:cs="宋体"/>
          <w:b/>
          <w:bCs/>
          <w:highlight w:val="none"/>
        </w:rPr>
        <w:t>四、特别说明</w:t>
      </w:r>
    </w:p>
    <w:p>
      <w:pPr>
        <w:pStyle w:val="20"/>
        <w:snapToGrid w:val="0"/>
        <w:spacing w:line="360" w:lineRule="auto"/>
        <w:ind w:firstLine="404" w:firstLineChars="200"/>
        <w:rPr>
          <w:rFonts w:hAnsi="宋体"/>
          <w:color w:val="auto"/>
          <w:sz w:val="21"/>
          <w:szCs w:val="21"/>
          <w:highlight w:val="none"/>
        </w:rPr>
      </w:pPr>
      <w:r>
        <w:rPr>
          <w:rFonts w:hint="eastAsia" w:hAnsi="宋体"/>
          <w:color w:val="auto"/>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2.本项目</w:t>
      </w:r>
      <w:r>
        <w:rPr>
          <w:rFonts w:hint="eastAsia" w:ascii="宋体" w:hAnsi="宋体" w:cs="宋体"/>
          <w:color w:val="auto"/>
          <w:highlight w:val="none"/>
          <w:u w:val="single"/>
        </w:rPr>
        <w:t xml:space="preserve"> 非 </w:t>
      </w:r>
      <w:r>
        <w:rPr>
          <w:rFonts w:hint="eastAsia" w:ascii="宋体" w:hAnsi="宋体" w:cs="宋体"/>
          <w:color w:val="auto"/>
          <w:highlight w:val="none"/>
        </w:rPr>
        <w:t>专门面向中小企业采购。</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3.本项目对应的中小企业划分标准所属行业:</w:t>
      </w:r>
      <w:r>
        <w:rPr>
          <w:rFonts w:hint="eastAsia" w:ascii="宋体" w:hAnsi="宋体" w:cs="宋体"/>
          <w:color w:val="auto"/>
          <w:highlight w:val="none"/>
          <w:u w:val="single"/>
        </w:rPr>
        <w:t xml:space="preserve"> 工业。</w:t>
      </w:r>
      <w:r>
        <w:rPr>
          <w:rFonts w:hint="eastAsia" w:ascii="宋体" w:hAnsi="宋体" w:cs="宋体"/>
          <w:color w:val="auto"/>
          <w:highlight w:val="none"/>
        </w:rPr>
        <w:t xml:space="preserve"> </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国务院批准的中小企业划分标准：具体见工信部联企业[2011]300号。</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（2）在工程采购项目中，工程由小微企业承建，即工程施工单位为小微企业；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以联合体形式参加政府采购活动，联合体各方均为小微企业的，联合体视同小微企业。</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8.小微企业应按照招标文件格式要求提供《中小企业声明函》。</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11.按规定享受扶持政策获得政府采购合同的，小微企业不得将合同分包给大中型企业，中型企业不得将合同分包给大型企业。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pStyle w:val="3"/>
        <w:rPr>
          <w:rFonts w:ascii="宋体" w:cs="宋体"/>
          <w:color w:val="auto"/>
          <w:sz w:val="21"/>
          <w:szCs w:val="21"/>
          <w:highlight w:val="none"/>
        </w:rPr>
      </w:pPr>
    </w:p>
    <w:p>
      <w:pPr>
        <w:pStyle w:val="3"/>
        <w:rPr>
          <w:rFonts w:ascii="宋体" w:cs="宋体"/>
          <w:color w:val="auto"/>
          <w:highlight w:val="none"/>
        </w:rPr>
      </w:pPr>
    </w:p>
    <w:p>
      <w:pPr>
        <w:pStyle w:val="3"/>
        <w:rPr>
          <w:rFonts w:ascii="宋体" w:cs="宋体"/>
          <w:color w:val="auto"/>
          <w:highlight w:val="none"/>
        </w:rPr>
      </w:pPr>
    </w:p>
    <w:p>
      <w:pPr>
        <w:pStyle w:val="3"/>
        <w:rPr>
          <w:rFonts w:ascii="宋体" w:cs="宋体"/>
          <w:color w:val="auto"/>
          <w:highlight w:val="none"/>
        </w:rPr>
      </w:pPr>
    </w:p>
    <w:p>
      <w:pPr>
        <w:pStyle w:val="3"/>
        <w:rPr>
          <w:rFonts w:ascii="宋体" w:cs="宋体"/>
          <w:color w:val="auto"/>
          <w:highlight w:val="none"/>
        </w:rPr>
      </w:pPr>
    </w:p>
    <w:p>
      <w:pPr>
        <w:pStyle w:val="3"/>
        <w:rPr>
          <w:rFonts w:ascii="宋体" w:cs="宋体"/>
          <w:color w:val="auto"/>
          <w:highlight w:val="none"/>
        </w:rPr>
      </w:pPr>
    </w:p>
    <w:p>
      <w:pPr>
        <w:pStyle w:val="3"/>
        <w:rPr>
          <w:rFonts w:ascii="宋体" w:cs="宋体"/>
          <w:color w:val="auto"/>
          <w:highlight w:val="none"/>
        </w:rPr>
      </w:pPr>
    </w:p>
    <w:p>
      <w:pPr>
        <w:pStyle w:val="3"/>
        <w:rPr>
          <w:rFonts w:ascii="宋体" w:cs="宋体"/>
          <w:color w:val="auto"/>
          <w:highlight w:val="none"/>
        </w:rPr>
      </w:pPr>
    </w:p>
    <w:p>
      <w:pPr>
        <w:pStyle w:val="3"/>
        <w:rPr>
          <w:rFonts w:ascii="宋体" w:cs="宋体"/>
          <w:color w:val="auto"/>
          <w:highlight w:val="none"/>
        </w:rPr>
      </w:pPr>
    </w:p>
    <w:p>
      <w:pPr>
        <w:pStyle w:val="3"/>
        <w:jc w:val="both"/>
        <w:rPr>
          <w:rFonts w:ascii="宋体" w:cs="宋体"/>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bookmarkStart w:id="183" w:name="_Toc115344281"/>
      <w:bookmarkStart w:id="184" w:name="_Toc104473137"/>
      <w:bookmarkStart w:id="185" w:name="_Toc15274"/>
    </w:p>
    <w:p>
      <w:pPr>
        <w:pStyle w:val="3"/>
        <w:jc w:val="center"/>
        <w:rPr>
          <w:rFonts w:ascii="宋体" w:cs="宋体"/>
          <w:color w:val="auto"/>
          <w:highlight w:val="none"/>
        </w:rPr>
      </w:pPr>
      <w:r>
        <w:rPr>
          <w:rFonts w:hint="eastAsia" w:ascii="宋体" w:cs="宋体"/>
          <w:color w:val="auto"/>
          <w:highlight w:val="none"/>
        </w:rPr>
        <w:t>第三章  合同主要条款</w:t>
      </w:r>
      <w:bookmarkEnd w:id="183"/>
      <w:bookmarkEnd w:id="184"/>
      <w:bookmarkEnd w:id="185"/>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甲方：（买方）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乙方：（卖方）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 xml:space="preserve">   </w:t>
      </w:r>
      <w:r>
        <w:rPr>
          <w:rFonts w:hint="eastAsia" w:hAnsi="宋体"/>
          <w:sz w:val="21"/>
          <w:szCs w:val="21"/>
          <w:highlight w:val="none"/>
        </w:rPr>
        <w:t>甲、乙双方根据</w:t>
      </w:r>
      <w:r>
        <w:rPr>
          <w:rFonts w:hint="eastAsia" w:hAnsi="宋体"/>
          <w:sz w:val="21"/>
          <w:szCs w:val="21"/>
          <w:highlight w:val="none"/>
          <w:u w:val="single"/>
        </w:rPr>
        <w:t xml:space="preserve">                </w:t>
      </w:r>
      <w:r>
        <w:rPr>
          <w:rFonts w:hint="eastAsia" w:hAnsi="宋体"/>
          <w:sz w:val="21"/>
          <w:szCs w:val="21"/>
          <w:highlight w:val="none"/>
        </w:rPr>
        <w:t>项目</w:t>
      </w:r>
      <w:r>
        <w:rPr>
          <w:rFonts w:hint="eastAsia" w:hAnsi="宋体"/>
          <w:sz w:val="21"/>
          <w:szCs w:val="21"/>
          <w:highlight w:val="none"/>
          <w:u w:val="single"/>
        </w:rPr>
        <w:t>（招标编号：       ）的</w:t>
      </w:r>
      <w:r>
        <w:rPr>
          <w:rFonts w:hint="eastAsia" w:hAnsi="宋体"/>
          <w:sz w:val="21"/>
          <w:szCs w:val="21"/>
          <w:highlight w:val="none"/>
        </w:rPr>
        <w:t>招标结果，签署本合同。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一、货物内容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1.1 货物名称：</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1.2 型号规格：</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1.3 技术参数：</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1.4 数量（单位）：</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二、合同金额</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2.1 本合同金额为（大写）：___________元（￥_______________元）人民币。</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三、技术资料</w:t>
      </w:r>
    </w:p>
    <w:p>
      <w:pPr>
        <w:keepNext w:val="0"/>
        <w:keepLines w:val="0"/>
        <w:pageBreakBefore w:val="0"/>
        <w:widowControl w:val="0"/>
        <w:kinsoku/>
        <w:wordWrap/>
        <w:overflowPunct/>
        <w:topLinePunct w:val="0"/>
        <w:autoSpaceDE/>
        <w:autoSpaceDN/>
        <w:bidi w:val="0"/>
        <w:adjustRightInd/>
        <w:spacing w:line="356" w:lineRule="auto"/>
        <w:ind w:left="420" w:hanging="420" w:hangingChars="200"/>
        <w:textAlignment w:val="auto"/>
        <w:rPr>
          <w:rFonts w:ascii="宋体" w:hAnsi="宋体" w:cs="宋体"/>
          <w:highlight w:val="none"/>
        </w:rPr>
      </w:pPr>
      <w:r>
        <w:rPr>
          <w:rFonts w:hint="eastAsia" w:ascii="宋体" w:hAnsi="宋体" w:cs="宋体"/>
          <w:highlight w:val="none"/>
        </w:rPr>
        <w:t>3.1乙方应按要求在规定的时间组织施工，向甲方提供使用货物的有关技术资料，做好各项质量检查及记录，通过竣工验收，移交竣工图纸。</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60" w:hanging="361" w:hangingChars="171"/>
        <w:textAlignment w:val="auto"/>
        <w:rPr>
          <w:rFonts w:hAnsi="宋体"/>
          <w:b/>
          <w:sz w:val="21"/>
          <w:szCs w:val="21"/>
          <w:highlight w:val="none"/>
        </w:rPr>
      </w:pPr>
      <w:r>
        <w:rPr>
          <w:rFonts w:hint="eastAsia" w:hAnsi="宋体"/>
          <w:b/>
          <w:sz w:val="21"/>
          <w:szCs w:val="21"/>
          <w:highlight w:val="none"/>
        </w:rPr>
        <w:t>四、安全生产</w:t>
      </w:r>
    </w:p>
    <w:p>
      <w:pPr>
        <w:keepNext w:val="0"/>
        <w:keepLines w:val="0"/>
        <w:pageBreakBefore w:val="0"/>
        <w:widowControl w:val="0"/>
        <w:kinsoku/>
        <w:wordWrap/>
        <w:overflowPunct/>
        <w:topLinePunct w:val="0"/>
        <w:autoSpaceDE/>
        <w:autoSpaceDN/>
        <w:bidi w:val="0"/>
        <w:adjustRightInd/>
        <w:spacing w:line="356" w:lineRule="auto"/>
        <w:ind w:left="315" w:hanging="315" w:hangingChars="150"/>
        <w:textAlignment w:val="auto"/>
        <w:rPr>
          <w:rFonts w:ascii="宋体" w:hAnsi="宋体" w:cs="宋体"/>
          <w:highlight w:val="none"/>
        </w:rPr>
      </w:pPr>
      <w:r>
        <w:rPr>
          <w:rFonts w:hint="eastAsia" w:ascii="宋体" w:hAnsi="宋体" w:cs="宋体"/>
          <w:highlight w:val="none"/>
        </w:rPr>
        <w:t>4.1 乙方必须落实施工中的安全生产、文明施工和消防、治安等事宜，若发生以上责任事件，一切责任和后果由乙方负责。</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60" w:hanging="361" w:hangingChars="171"/>
        <w:textAlignment w:val="auto"/>
        <w:rPr>
          <w:rFonts w:hAnsi="宋体"/>
          <w:b/>
          <w:sz w:val="21"/>
          <w:szCs w:val="21"/>
          <w:highlight w:val="none"/>
        </w:rPr>
      </w:pPr>
      <w:r>
        <w:rPr>
          <w:rFonts w:hint="eastAsia" w:hAnsi="宋体"/>
          <w:b/>
          <w:sz w:val="21"/>
          <w:szCs w:val="21"/>
          <w:highlight w:val="none"/>
        </w:rPr>
        <w:t>五、知识产权及产权担保</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bCs/>
          <w:sz w:val="21"/>
          <w:szCs w:val="21"/>
          <w:highlight w:val="none"/>
        </w:rPr>
      </w:pPr>
      <w:r>
        <w:rPr>
          <w:rFonts w:hint="eastAsia" w:hAnsi="宋体"/>
          <w:sz w:val="21"/>
          <w:szCs w:val="21"/>
          <w:highlight w:val="none"/>
        </w:rPr>
        <w:t>5.1 乙方应保证所提供的货物或其任何一部分均不会侵犯任何第三方的知识产权</w:t>
      </w:r>
      <w:r>
        <w:rPr>
          <w:rFonts w:hint="eastAsia" w:hAnsi="宋体"/>
          <w:bCs/>
          <w:sz w:val="21"/>
          <w:szCs w:val="21"/>
          <w:highlight w:val="none"/>
        </w:rPr>
        <w:t>。</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7" w:hanging="357" w:hangingChars="170"/>
        <w:textAlignment w:val="auto"/>
        <w:rPr>
          <w:rFonts w:hAnsi="宋体"/>
          <w:sz w:val="21"/>
          <w:szCs w:val="21"/>
          <w:highlight w:val="none"/>
          <w:u w:val="single"/>
        </w:rPr>
      </w:pPr>
      <w:r>
        <w:rPr>
          <w:rFonts w:hint="eastAsia" w:hAnsi="宋体"/>
          <w:sz w:val="21"/>
          <w:szCs w:val="21"/>
          <w:highlight w:val="none"/>
        </w:rPr>
        <w:t>5.2乙方保证所交付的货物的所有权完全属于乙方且无任何抵押、查封等产权瑕疵。</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8" w:hanging="358" w:hangingChars="170"/>
        <w:textAlignment w:val="auto"/>
        <w:rPr>
          <w:rFonts w:hAnsi="宋体"/>
          <w:b/>
          <w:sz w:val="21"/>
          <w:szCs w:val="21"/>
          <w:highlight w:val="none"/>
        </w:rPr>
      </w:pPr>
      <w:r>
        <w:rPr>
          <w:rFonts w:hint="eastAsia" w:hAnsi="宋体"/>
          <w:b/>
          <w:sz w:val="21"/>
          <w:szCs w:val="21"/>
          <w:highlight w:val="none"/>
        </w:rPr>
        <w:t>六、履约保证金（如有）</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7" w:hanging="357" w:hangingChars="170"/>
        <w:textAlignment w:val="auto"/>
        <w:rPr>
          <w:rFonts w:hAnsi="宋体"/>
          <w:sz w:val="21"/>
          <w:szCs w:val="21"/>
          <w:highlight w:val="none"/>
        </w:rPr>
      </w:pPr>
      <w:r>
        <w:rPr>
          <w:rFonts w:hint="eastAsia" w:hAnsi="宋体"/>
          <w:sz w:val="21"/>
          <w:szCs w:val="21"/>
          <w:highlight w:val="none"/>
        </w:rPr>
        <w:t>6.1 乙方交纳人民币</w:t>
      </w:r>
      <w:r>
        <w:rPr>
          <w:rFonts w:hint="eastAsia" w:hAnsi="宋体"/>
          <w:b/>
          <w:sz w:val="21"/>
          <w:szCs w:val="21"/>
          <w:highlight w:val="none"/>
          <w:u w:val="single"/>
        </w:rPr>
        <w:t xml:space="preserve">    </w:t>
      </w:r>
      <w:r>
        <w:rPr>
          <w:rFonts w:hint="eastAsia" w:hAnsi="宋体"/>
          <w:sz w:val="21"/>
          <w:szCs w:val="21"/>
          <w:highlight w:val="none"/>
        </w:rPr>
        <w:t>元作为本合同的履约保证金。</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7" w:hanging="357" w:hangingChars="170"/>
        <w:textAlignment w:val="auto"/>
        <w:rPr>
          <w:rFonts w:hAnsi="宋体"/>
          <w:sz w:val="21"/>
          <w:szCs w:val="21"/>
          <w:highlight w:val="none"/>
        </w:rPr>
      </w:pPr>
      <w:r>
        <w:rPr>
          <w:rFonts w:hint="eastAsia" w:hAnsi="宋体"/>
          <w:sz w:val="21"/>
          <w:szCs w:val="21"/>
          <w:highlight w:val="none"/>
        </w:rPr>
        <w:t>6.2履约保证金形式：支票、汇票、本票或者银行保函等非现金形式提交</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6.3在签订合同之后3个工作日内提交履约保证金。履约保证金在乙方完成合同履约后7个工作日无息退还（但如乙方未能履行合同规定的任何义务，甲方有权从履约保证金中得到补偿）。</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七、转包或分包</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56" w:lineRule="auto"/>
        <w:textAlignment w:val="auto"/>
        <w:rPr>
          <w:rFonts w:ascii="宋体" w:hAnsi="宋体" w:cs="宋体"/>
          <w:highlight w:val="none"/>
        </w:rPr>
      </w:pPr>
      <w:r>
        <w:rPr>
          <w:rFonts w:hint="eastAsia" w:ascii="宋体" w:hAnsi="宋体" w:cs="宋体"/>
          <w:highlight w:val="none"/>
        </w:rPr>
        <w:t>7.1本合同范围的货物，应由供方直接供应，不得转让他人供应；</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56" w:lineRule="auto"/>
        <w:textAlignment w:val="auto"/>
        <w:rPr>
          <w:rFonts w:ascii="宋体" w:hAnsi="宋体" w:cs="宋体"/>
          <w:highlight w:val="none"/>
        </w:rPr>
      </w:pPr>
      <w:r>
        <w:rPr>
          <w:rFonts w:hint="eastAsia" w:ascii="宋体" w:hAnsi="宋体" w:cs="宋体"/>
          <w:highlight w:val="none"/>
        </w:rPr>
        <w:t>7.2 除非得到需方的书面同意，供方不得部分分包给他人供应。</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56" w:lineRule="auto"/>
        <w:textAlignment w:val="auto"/>
        <w:rPr>
          <w:rFonts w:ascii="宋体" w:hAnsi="宋体" w:cs="宋体"/>
          <w:highlight w:val="none"/>
        </w:rPr>
      </w:pPr>
      <w:r>
        <w:rPr>
          <w:rFonts w:hint="eastAsia" w:ascii="宋体" w:hAnsi="宋体" w:cs="宋体"/>
          <w:highlight w:val="none"/>
        </w:rPr>
        <w:t>7.3如有转让和未经需方同意的分包行为，需方有权给予终止合同。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b/>
          <w:sz w:val="21"/>
          <w:szCs w:val="21"/>
          <w:highlight w:val="none"/>
        </w:rPr>
        <w:t>八、质保期</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8.1 质保期</w:t>
      </w:r>
      <w:r>
        <w:rPr>
          <w:rFonts w:hint="eastAsia" w:hAnsi="宋体"/>
          <w:sz w:val="21"/>
          <w:szCs w:val="21"/>
          <w:highlight w:val="none"/>
          <w:u w:val="single"/>
        </w:rPr>
        <w:t xml:space="preserve">      </w:t>
      </w:r>
      <w:r>
        <w:rPr>
          <w:rFonts w:hint="eastAsia" w:hAnsi="宋体"/>
          <w:sz w:val="21"/>
          <w:szCs w:val="21"/>
          <w:highlight w:val="none"/>
        </w:rPr>
        <w:t>年。（自交货验收合格之日起计）</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九、交货期、交货方式及交货地点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Cs/>
          <w:sz w:val="21"/>
          <w:szCs w:val="21"/>
          <w:highlight w:val="none"/>
        </w:rPr>
      </w:pPr>
      <w:r>
        <w:rPr>
          <w:rFonts w:hint="eastAsia" w:hAnsi="宋体"/>
          <w:bCs/>
          <w:sz w:val="21"/>
          <w:szCs w:val="21"/>
          <w:highlight w:val="none"/>
        </w:rPr>
        <w:t>9.1 交货期：</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Cs/>
          <w:sz w:val="21"/>
          <w:szCs w:val="21"/>
          <w:highlight w:val="none"/>
        </w:rPr>
      </w:pPr>
      <w:r>
        <w:rPr>
          <w:rFonts w:hint="eastAsia" w:hAnsi="宋体"/>
          <w:bCs/>
          <w:sz w:val="21"/>
          <w:szCs w:val="21"/>
          <w:highlight w:val="none"/>
        </w:rPr>
        <w:t>9.2 交货方式：</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Cs/>
          <w:sz w:val="21"/>
          <w:szCs w:val="21"/>
          <w:highlight w:val="none"/>
        </w:rPr>
        <w:t>9.3 交货地点：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ascii="宋体" w:hAnsi="宋体" w:cs="宋体"/>
          <w:sz w:val="21"/>
          <w:szCs w:val="21"/>
          <w:highlight w:val="none"/>
        </w:rPr>
      </w:pPr>
      <w:r>
        <w:rPr>
          <w:rFonts w:hint="eastAsia" w:hAnsi="宋体"/>
          <w:b/>
          <w:bCs/>
          <w:sz w:val="21"/>
          <w:szCs w:val="21"/>
          <w:highlight w:val="none"/>
        </w:rPr>
        <w:t>十、货款支付</w:t>
      </w:r>
      <w:r>
        <w:rPr>
          <w:rFonts w:hint="eastAsia" w:hAnsi="宋体"/>
          <w:b/>
          <w:bCs/>
          <w:sz w:val="21"/>
          <w:szCs w:val="21"/>
          <w:highlight w:val="none"/>
          <w:lang w:eastAsia="zh-CN"/>
        </w:rPr>
        <w:t>：</w:t>
      </w:r>
      <w:r>
        <w:rPr>
          <w:rFonts w:hint="eastAsia" w:ascii="宋体" w:hAnsi="宋体" w:cs="宋体"/>
          <w:sz w:val="21"/>
          <w:szCs w:val="21"/>
          <w:highlight w:val="none"/>
        </w:rPr>
        <w:t xml:space="preserve"> 合同生效并具备实施条件后7个工作日内支付合同金额的40%作为预付款，（供应商为《政府采购促进中小企业发展管理办法》（财库﹝2020﹞46号）第四条认定的大型企业无预付款，不适用该条款）</w:t>
      </w:r>
      <w:r>
        <w:rPr>
          <w:rFonts w:hint="eastAsia" w:ascii="宋体" w:hAnsi="宋体" w:cs="宋体"/>
          <w:sz w:val="21"/>
          <w:szCs w:val="21"/>
          <w:highlight w:val="none"/>
          <w:lang w:eastAsia="zh-CN"/>
        </w:rPr>
        <w:t>；</w:t>
      </w:r>
      <w:r>
        <w:rPr>
          <w:rFonts w:hint="eastAsia" w:ascii="宋体" w:hAnsi="宋体" w:cs="宋体"/>
          <w:sz w:val="21"/>
          <w:szCs w:val="21"/>
          <w:highlight w:val="none"/>
        </w:rPr>
        <w:t>项目验收合格并收到中标人正式发票之日起7个工作日内付清合同款。</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56" w:lineRule="auto"/>
        <w:textAlignment w:val="auto"/>
        <w:rPr>
          <w:rFonts w:ascii="宋体" w:hAnsi="宋体" w:cs="宋体"/>
          <w:b/>
          <w:highlight w:val="none"/>
        </w:rPr>
      </w:pPr>
      <w:r>
        <w:rPr>
          <w:rFonts w:hint="eastAsia" w:ascii="宋体" w:hAnsi="宋体" w:cs="宋体"/>
          <w:b/>
          <w:highlight w:val="none"/>
        </w:rPr>
        <w:t>十一、税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356" w:lineRule="auto"/>
        <w:textAlignment w:val="auto"/>
        <w:rPr>
          <w:rFonts w:ascii="宋体" w:hAnsi="宋体" w:cs="宋体"/>
          <w:highlight w:val="none"/>
        </w:rPr>
      </w:pPr>
      <w:r>
        <w:rPr>
          <w:rFonts w:hint="eastAsia" w:ascii="宋体" w:hAnsi="宋体" w:cs="宋体"/>
          <w:highlight w:val="none"/>
        </w:rPr>
        <w:t>11.1本合同执行中相关的一切税费均由供方负担。</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60" w:hanging="361" w:hangingChars="171"/>
        <w:textAlignment w:val="auto"/>
        <w:rPr>
          <w:rFonts w:hAnsi="宋体"/>
          <w:sz w:val="21"/>
          <w:szCs w:val="21"/>
          <w:highlight w:val="none"/>
        </w:rPr>
      </w:pPr>
      <w:r>
        <w:rPr>
          <w:rFonts w:hint="eastAsia" w:hAnsi="宋体"/>
          <w:b/>
          <w:sz w:val="21"/>
          <w:szCs w:val="21"/>
          <w:highlight w:val="none"/>
        </w:rPr>
        <w:t>十二、质量保证及售后服务</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12.1 乙方应按招标文件规定的货物性能、技术要求、质量标准向甲方提供未经使用的全新产品。</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12.2 乙方提供的货物在质量保证期内因货物本身的质量问题发生故障，乙方应负责免费更换。对达不到技术要求者，根据实际情况，经双方协商，可按以下办法处理：</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firstLine="420"/>
        <w:textAlignment w:val="auto"/>
        <w:rPr>
          <w:rFonts w:hAnsi="宋体"/>
          <w:sz w:val="21"/>
          <w:szCs w:val="21"/>
          <w:highlight w:val="none"/>
        </w:rPr>
      </w:pPr>
      <w:r>
        <w:rPr>
          <w:rFonts w:hint="eastAsia" w:hAnsi="宋体"/>
          <w:sz w:val="21"/>
          <w:szCs w:val="21"/>
          <w:highlight w:val="none"/>
        </w:rPr>
        <w:t>⑴更换：由乙方承担所发生的全部费用。</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firstLine="420"/>
        <w:textAlignment w:val="auto"/>
        <w:rPr>
          <w:rFonts w:hAnsi="宋体"/>
          <w:sz w:val="21"/>
          <w:szCs w:val="21"/>
          <w:highlight w:val="none"/>
        </w:rPr>
      </w:pPr>
      <w:r>
        <w:rPr>
          <w:rFonts w:hint="eastAsia" w:hAnsi="宋体"/>
          <w:sz w:val="21"/>
          <w:szCs w:val="21"/>
          <w:highlight w:val="none"/>
        </w:rPr>
        <w:t>⑵贬值处理：由甲乙双方合议定价。</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leftChars="200"/>
        <w:textAlignment w:val="auto"/>
        <w:rPr>
          <w:rFonts w:hAnsi="宋体"/>
          <w:sz w:val="21"/>
          <w:szCs w:val="21"/>
          <w:highlight w:val="none"/>
        </w:rPr>
      </w:pPr>
      <w:r>
        <w:rPr>
          <w:rFonts w:hint="eastAsia" w:hAnsi="宋体"/>
          <w:sz w:val="21"/>
          <w:szCs w:val="21"/>
          <w:highlight w:val="none"/>
        </w:rPr>
        <w:t>⑶退货处理：乙方应退还甲方支付的合同款，同时应承担该货物的直接费用（运输、保险、检验、货款利息及银行手续费等）。</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12.3 如在使用过程中发生质量问题，乙方在接到甲方通知后在</w:t>
      </w:r>
      <w:r>
        <w:rPr>
          <w:rFonts w:hint="eastAsia" w:hAnsi="宋体"/>
          <w:sz w:val="21"/>
          <w:szCs w:val="21"/>
          <w:highlight w:val="none"/>
          <w:u w:val="single"/>
        </w:rPr>
        <w:t xml:space="preserve"> 24 </w:t>
      </w:r>
      <w:r>
        <w:rPr>
          <w:rFonts w:hint="eastAsia" w:hAnsi="宋体"/>
          <w:sz w:val="21"/>
          <w:szCs w:val="21"/>
          <w:highlight w:val="none"/>
        </w:rPr>
        <w:t>小时内到达甲方现场。</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12.4 在质保期内，乙方应对货物出现的质量及安全问题负责处理解决并承担一切费用。</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12.5上述的货物免费保修期为</w:t>
      </w:r>
      <w:r>
        <w:rPr>
          <w:rFonts w:hint="eastAsia" w:hAnsi="宋体"/>
          <w:sz w:val="21"/>
          <w:szCs w:val="21"/>
          <w:highlight w:val="none"/>
          <w:u w:val="single"/>
        </w:rPr>
        <w:t xml:space="preserve">     </w:t>
      </w:r>
      <w:r>
        <w:rPr>
          <w:rFonts w:hint="eastAsia" w:hAnsi="宋体"/>
          <w:sz w:val="21"/>
          <w:szCs w:val="21"/>
          <w:highlight w:val="none"/>
        </w:rPr>
        <w:t>年，因人为因素出现的故障不在免费保修范围内。超过保修期的机器设备，终生维修，维修时只收部件成本费。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十三、调试和验收</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13.2 乙方交货前应对产品作出全面检查和对验收文件进行整理，并列出清单，作为甲方收货验收和使用的技术条件依据，检验的结果应随货物交甲方。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u w:val="single"/>
        </w:rPr>
      </w:pPr>
      <w:r>
        <w:rPr>
          <w:rFonts w:hint="eastAsia" w:hAnsi="宋体"/>
          <w:sz w:val="21"/>
          <w:szCs w:val="21"/>
          <w:highlight w:val="none"/>
        </w:rPr>
        <w:t>13.3 甲方对乙方提供的货物在使用前进行调试时，乙方需负责安装并培训甲方的使用操作人员，并协助甲方一起调试，直到符合技术要求，甲方才做最终验收。</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13.4 对技术复杂的货物，甲方应请国家认可的专业检测机构参与初步验收及最终验收，并由其出具质量检测报告。</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13.5 验收时乙方必须在现场，验收完毕后作出验收结果报告；验收费用由乙方负责。</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十四、货物包装、发运及运输</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14.1 乙方应在货物发运前对其进行满足运输距离、防潮、防震、防锈和防破损装卸等要求包装，以保证货物安全运达甲方指定地点。</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14.2 使用说明书、质量检验证明书、随配附件和工具以及清单一并附于货物内。</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14.3 乙方在货物发运手续办理完毕后24小时内或货到甲方48小时前通知甲方，以准备接货。</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14.4 货物在交付甲方前发生的风险均由乙方负责。</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right="26" w:hanging="420" w:hangingChars="200"/>
        <w:textAlignment w:val="auto"/>
        <w:rPr>
          <w:rFonts w:hAnsi="宋体"/>
          <w:sz w:val="21"/>
          <w:szCs w:val="21"/>
          <w:highlight w:val="none"/>
        </w:rPr>
      </w:pPr>
      <w:r>
        <w:rPr>
          <w:rFonts w:hint="eastAsia" w:hAnsi="宋体"/>
          <w:sz w:val="21"/>
          <w:szCs w:val="21"/>
          <w:highlight w:val="none"/>
        </w:rPr>
        <w:t>14.5 货物在规定的交付期限内由乙方送达甲方指定的地点视为交付，乙方同时需通知甲方货物已送达。</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十五、违约责任</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15.1 甲方无正当理由拒收货物的，甲方向乙方偿付拒收货款总值的百分之五违约金。</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15.2 甲方无故逾期验收和办理货款支付手续的,甲方应按逾期付款总额每日万分之五向乙方支付违约金。</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359" w:hanging="359" w:hangingChars="171"/>
        <w:textAlignment w:val="auto"/>
        <w:rPr>
          <w:rFonts w:hAnsi="宋体"/>
          <w:sz w:val="21"/>
          <w:szCs w:val="21"/>
          <w:highlight w:val="none"/>
        </w:rPr>
      </w:pPr>
      <w:r>
        <w:rPr>
          <w:rFonts w:hint="eastAsia" w:hAnsi="宋体"/>
          <w:sz w:val="21"/>
          <w:szCs w:val="21"/>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十六、不可抗力事件处理</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16.1 在合同有效期内，任何一方因不可抗力事件导致不能履行合同，则合同履行期可延长，其延长期与不可抗力影响期相同。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16.2 不可抗力事件发生后，应立即通知对方，并寄送有关权威机构出具的证明。</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16.3 不可抗力事件延续120天以上，双方应通过友好协商，确定是否继续履行合同。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十七、争议解决</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17.1 双方在执行合同中所发生的一切争议，应通过协商解决。如协商不成，可向丽水仲裁委员会提出仲裁。</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b/>
          <w:sz w:val="21"/>
          <w:szCs w:val="21"/>
          <w:highlight w:val="none"/>
        </w:rPr>
      </w:pPr>
      <w:r>
        <w:rPr>
          <w:rFonts w:hint="eastAsia" w:hAnsi="宋体"/>
          <w:b/>
          <w:sz w:val="21"/>
          <w:szCs w:val="21"/>
          <w:highlight w:val="none"/>
        </w:rPr>
        <w:t>十八、合同生效及其它</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18.1 合同经双方法定代表人或授权委托代理人签字并加盖单位公章后生效。</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18.2合同执行中涉及采购资金和采购内容修改或补充的，须经甲方审批，并签书面补充协议并报相关部门备案，方可作为主合同不可分割的一部分。</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18.3 招标书和乙方的应标文件、及应标承诺等作为本次合同不可分割的一部分，乙方必须严格遵守执行。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18.4本合同未尽事宜，遵照《中华人民共和国民法典》有关条文执行。</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18.5 本合同正本一式两份，具有同等法律效力，甲乙双方各执一份；副本</w:t>
      </w:r>
      <w:r>
        <w:rPr>
          <w:rFonts w:hint="eastAsia" w:hAnsi="宋体"/>
          <w:b/>
          <w:sz w:val="21"/>
          <w:szCs w:val="21"/>
          <w:highlight w:val="none"/>
        </w:rPr>
        <w:t xml:space="preserve"> </w:t>
      </w:r>
      <w:r>
        <w:rPr>
          <w:rFonts w:hint="eastAsia" w:hAnsi="宋体"/>
          <w:b/>
          <w:sz w:val="21"/>
          <w:szCs w:val="21"/>
          <w:highlight w:val="none"/>
          <w:u w:val="single"/>
        </w:rPr>
        <w:t xml:space="preserve">    </w:t>
      </w:r>
      <w:r>
        <w:rPr>
          <w:rFonts w:hint="eastAsia" w:hAnsi="宋体"/>
          <w:sz w:val="21"/>
          <w:szCs w:val="21"/>
          <w:highlight w:val="none"/>
        </w:rPr>
        <w:t>份，(用途)。</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ind w:left="420" w:hanging="420" w:hangingChars="200"/>
        <w:textAlignment w:val="auto"/>
        <w:rPr>
          <w:rFonts w:hAnsi="宋体"/>
          <w:sz w:val="21"/>
          <w:szCs w:val="21"/>
          <w:highlight w:val="none"/>
        </w:rPr>
      </w:pPr>
      <w:r>
        <w:rPr>
          <w:rFonts w:hint="eastAsia" w:hAnsi="宋体"/>
          <w:sz w:val="21"/>
          <w:szCs w:val="21"/>
          <w:highlight w:val="none"/>
        </w:rPr>
        <w:t xml:space="preserve">  甲方：                                   乙方： </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 xml:space="preserve">  地址：                                   地址： </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sz w:val="21"/>
          <w:szCs w:val="21"/>
          <w:highlight w:val="none"/>
        </w:rPr>
      </w:pPr>
      <w:r>
        <w:rPr>
          <w:rFonts w:hint="eastAsia" w:hAnsi="宋体"/>
          <w:sz w:val="21"/>
          <w:szCs w:val="21"/>
          <w:highlight w:val="none"/>
        </w:rPr>
        <w:t xml:space="preserve">  法定代表人：                             法定代表人：</w:t>
      </w:r>
    </w:p>
    <w:p>
      <w:pPr>
        <w:pStyle w:val="25"/>
        <w:keepNext w:val="0"/>
        <w:keepLines w:val="0"/>
        <w:pageBreakBefore w:val="0"/>
        <w:widowControl w:val="0"/>
        <w:kinsoku/>
        <w:wordWrap/>
        <w:overflowPunct/>
        <w:topLinePunct w:val="0"/>
        <w:autoSpaceDE/>
        <w:autoSpaceDN/>
        <w:bidi w:val="0"/>
        <w:adjustRightInd/>
        <w:snapToGrid w:val="0"/>
        <w:spacing w:before="156" w:after="156" w:line="356" w:lineRule="auto"/>
        <w:textAlignment w:val="auto"/>
        <w:rPr>
          <w:rFonts w:hAnsi="宋体"/>
          <w:highlight w:val="none"/>
        </w:rPr>
      </w:pPr>
      <w:r>
        <w:rPr>
          <w:rFonts w:hint="eastAsia" w:hAnsi="宋体"/>
          <w:sz w:val="21"/>
          <w:szCs w:val="21"/>
          <w:highlight w:val="none"/>
        </w:rPr>
        <w:t xml:space="preserve">  签订地点：                               签订日期：      年  月  日</w:t>
      </w:r>
    </w:p>
    <w:p>
      <w:pPr>
        <w:pStyle w:val="3"/>
        <w:jc w:val="center"/>
        <w:rPr>
          <w:rFonts w:hint="eastAsia" w:ascii="宋体" w:cs="宋体"/>
          <w:color w:val="auto"/>
          <w:highlight w:val="none"/>
        </w:rPr>
      </w:pPr>
    </w:p>
    <w:p>
      <w:pPr>
        <w:pStyle w:val="3"/>
        <w:jc w:val="center"/>
        <w:rPr>
          <w:rFonts w:hint="eastAsia" w:ascii="宋体" w:cs="宋体"/>
          <w:color w:val="auto"/>
          <w:highlight w:val="none"/>
        </w:rPr>
      </w:pPr>
    </w:p>
    <w:p>
      <w:pPr>
        <w:pStyle w:val="3"/>
        <w:jc w:val="center"/>
        <w:rPr>
          <w:rFonts w:hint="eastAsia" w:ascii="宋体" w:cs="宋体"/>
          <w:color w:val="auto"/>
          <w:highlight w:val="none"/>
        </w:rPr>
      </w:pPr>
    </w:p>
    <w:p>
      <w:pPr>
        <w:pStyle w:val="3"/>
        <w:jc w:val="center"/>
        <w:rPr>
          <w:rFonts w:hint="eastAsia" w:ascii="宋体" w:cs="宋体"/>
          <w:color w:val="auto"/>
          <w:highlight w:val="none"/>
        </w:rPr>
      </w:pPr>
    </w:p>
    <w:p>
      <w:pPr>
        <w:pStyle w:val="3"/>
        <w:jc w:val="center"/>
        <w:rPr>
          <w:rFonts w:ascii="宋体" w:cs="宋体"/>
          <w:color w:val="auto"/>
          <w:highlight w:val="none"/>
        </w:rPr>
      </w:pPr>
      <w:r>
        <w:rPr>
          <w:rFonts w:hint="eastAsia" w:ascii="宋体" w:cs="宋体"/>
          <w:color w:val="auto"/>
          <w:highlight w:val="none"/>
        </w:rPr>
        <w:t>第四章  招标需求</w:t>
      </w:r>
      <w:bookmarkEnd w:id="4"/>
      <w:bookmarkEnd w:id="5"/>
    </w:p>
    <w:p>
      <w:pPr>
        <w:pStyle w:val="2"/>
        <w:spacing w:line="360" w:lineRule="auto"/>
        <w:ind w:firstLine="0"/>
        <w:rPr>
          <w:rFonts w:hint="eastAsia" w:ascii="宋体" w:hAnsi="宋体" w:cs="宋体"/>
          <w:b/>
          <w:highlight w:val="none"/>
        </w:rPr>
      </w:pPr>
      <w:bookmarkStart w:id="186" w:name="_Toc1077"/>
      <w:r>
        <w:rPr>
          <w:rFonts w:hint="eastAsia" w:ascii="宋体" w:hAnsi="宋体" w:cs="宋体"/>
          <w:b/>
          <w:highlight w:val="none"/>
        </w:rPr>
        <w:t>一、技术需求</w:t>
      </w:r>
    </w:p>
    <w:tbl>
      <w:tblPr>
        <w:tblStyle w:val="48"/>
        <w:tblW w:w="86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6407"/>
        <w:gridCol w:w="1147"/>
      </w:tblGrid>
      <w:tr>
        <w:tblPrEx>
          <w:tblLayout w:type="fixed"/>
          <w:tblCellMar>
            <w:top w:w="0" w:type="dxa"/>
            <w:left w:w="108" w:type="dxa"/>
            <w:bottom w:w="0" w:type="dxa"/>
            <w:right w:w="108" w:type="dxa"/>
          </w:tblCellMar>
        </w:tblPrEx>
        <w:trPr>
          <w:trHeight w:val="90" w:hRule="atLeast"/>
        </w:trPr>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val="0"/>
                <w:color w:val="auto"/>
                <w:sz w:val="21"/>
                <w:szCs w:val="21"/>
                <w:highlight w:val="none"/>
                <w:lang w:val="en-US" w:eastAsia="zh-CN"/>
              </w:rPr>
            </w:pPr>
            <w:bookmarkStart w:id="187" w:name="_Toc115344239"/>
            <w:r>
              <w:rPr>
                <w:rFonts w:hint="eastAsia" w:ascii="宋体" w:hAnsi="宋体" w:eastAsia="宋体" w:cs="宋体"/>
                <w:b/>
                <w:bCs w:val="0"/>
                <w:color w:val="auto"/>
                <w:sz w:val="21"/>
                <w:szCs w:val="21"/>
                <w:highlight w:val="none"/>
                <w:lang w:val="en-US" w:eastAsia="zh-CN"/>
              </w:rPr>
              <w:t>序号</w:t>
            </w:r>
          </w:p>
        </w:tc>
        <w:tc>
          <w:tcPr>
            <w:tcW w:w="640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参数要求</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响应情况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w:t>
            </w:r>
          </w:p>
        </w:tc>
        <w:tc>
          <w:tcPr>
            <w:tcW w:w="6407" w:type="dxa"/>
            <w:noWrap w:val="0"/>
            <w:vAlign w:val="center"/>
          </w:tcPr>
          <w:p>
            <w:pPr>
              <w:spacing w:line="36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lang w:eastAsia="zh-CN"/>
              </w:rPr>
              <w:t>全自动血液分析流水线基本功能及要求</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0"/>
                <w:sz w:val="21"/>
                <w:szCs w:val="21"/>
                <w:lang w:val="en-US" w:eastAsia="zh-CN"/>
              </w:rPr>
              <w:t>1.1</w:t>
            </w:r>
          </w:p>
        </w:tc>
        <w:tc>
          <w:tcPr>
            <w:tcW w:w="6407" w:type="dxa"/>
            <w:noWrap w:val="0"/>
            <w:vAlign w:val="center"/>
          </w:tcPr>
          <w:p>
            <w:pPr>
              <w:spacing w:line="360" w:lineRule="auto"/>
              <w:jc w:val="left"/>
              <w:rPr>
                <w:rFonts w:hint="eastAsia" w:ascii="宋体" w:hAnsi="宋体" w:eastAsia="宋体" w:cs="宋体"/>
                <w:b/>
                <w:bCs/>
                <w:color w:val="auto"/>
                <w:kern w:val="2"/>
                <w:sz w:val="21"/>
                <w:szCs w:val="21"/>
                <w:highlight w:val="none"/>
                <w:lang w:val="en-GB" w:eastAsia="zh-CN" w:bidi="ar-SA"/>
              </w:rPr>
            </w:pPr>
            <w:r>
              <w:rPr>
                <w:rFonts w:hint="eastAsia" w:ascii="宋体" w:hAnsi="宋体" w:eastAsia="宋体" w:cs="宋体"/>
                <w:color w:val="auto"/>
                <w:sz w:val="21"/>
                <w:szCs w:val="21"/>
              </w:rPr>
              <w:t>全自动血液分析流水线由全自动五分类血液细胞分析仪、推片染色机、通过轨道连接</w:t>
            </w:r>
            <w:r>
              <w:rPr>
                <w:rFonts w:hint="eastAsia" w:ascii="宋体" w:hAnsi="宋体" w:eastAsia="宋体" w:cs="宋体"/>
                <w:color w:val="auto"/>
                <w:sz w:val="21"/>
                <w:szCs w:val="21"/>
                <w:highlight w:val="none"/>
              </w:rPr>
              <w:t>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具有血常规五分类、网织红细胞、CRP检测、SAA检测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并配备</w:t>
            </w:r>
            <w:r>
              <w:rPr>
                <w:rFonts w:hint="eastAsia" w:ascii="宋体" w:hAnsi="宋体" w:eastAsia="宋体" w:cs="宋体"/>
                <w:color w:val="auto"/>
                <w:sz w:val="21"/>
                <w:szCs w:val="21"/>
                <w:lang w:val="en-US" w:eastAsia="zh-CN"/>
              </w:rPr>
              <w:t>一台急诊血液细胞分析仪。</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val="0"/>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1.2</w:t>
            </w:r>
          </w:p>
        </w:tc>
        <w:tc>
          <w:tcPr>
            <w:tcW w:w="6407" w:type="dxa"/>
            <w:noWrap w:val="0"/>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检测速度</w:t>
            </w:r>
            <w:r>
              <w:rPr>
                <w:rFonts w:hint="eastAsia" w:ascii="宋体" w:hAnsi="宋体" w:eastAsia="宋体" w:cs="宋体"/>
                <w:color w:val="auto"/>
                <w:sz w:val="21"/>
                <w:szCs w:val="21"/>
                <w:lang w:eastAsia="zh-CN"/>
              </w:rPr>
              <w:t>：</w:t>
            </w:r>
          </w:p>
          <w:p>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CBC＋DIFF</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≥30</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个样本/小时</w:t>
            </w:r>
            <w:r>
              <w:rPr>
                <w:rFonts w:hint="eastAsia" w:ascii="宋体" w:hAnsi="宋体" w:eastAsia="宋体" w:cs="宋体"/>
                <w:color w:val="auto"/>
                <w:sz w:val="21"/>
                <w:szCs w:val="21"/>
                <w:lang w:eastAsia="zh-CN"/>
              </w:rPr>
              <w:t>；</w:t>
            </w:r>
          </w:p>
          <w:p>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CRP</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0个样本/小时</w:t>
            </w:r>
            <w:r>
              <w:rPr>
                <w:rFonts w:hint="eastAsia" w:ascii="宋体" w:hAnsi="宋体" w:eastAsia="宋体" w:cs="宋体"/>
                <w:color w:val="auto"/>
                <w:sz w:val="21"/>
                <w:szCs w:val="21"/>
                <w:lang w:eastAsia="zh-CN"/>
              </w:rPr>
              <w:t>；</w:t>
            </w:r>
          </w:p>
          <w:p>
            <w:pPr>
              <w:spacing w:line="360" w:lineRule="auto"/>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sz w:val="21"/>
                <w:szCs w:val="21"/>
              </w:rPr>
              <w:t>SAA</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0个样本/小时</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1.3</w:t>
            </w:r>
          </w:p>
        </w:tc>
        <w:tc>
          <w:tcPr>
            <w:tcW w:w="6407" w:type="dxa"/>
            <w:noWrap w:val="0"/>
            <w:vAlign w:val="center"/>
          </w:tcPr>
          <w:p>
            <w:pPr>
              <w:spacing w:line="360" w:lineRule="auto"/>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lang w:eastAsia="zh-CN"/>
              </w:rPr>
              <w:t>可</w:t>
            </w:r>
            <w:r>
              <w:rPr>
                <w:rFonts w:hint="eastAsia" w:ascii="宋体" w:hAnsi="宋体" w:eastAsia="宋体" w:cs="宋体"/>
                <w:color w:val="auto"/>
                <w:sz w:val="21"/>
                <w:szCs w:val="21"/>
              </w:rPr>
              <w:t>随时插入急诊标本</w:t>
            </w:r>
            <w:r>
              <w:rPr>
                <w:rFonts w:hint="eastAsia" w:ascii="宋体" w:hAnsi="宋体" w:eastAsia="宋体" w:cs="宋体"/>
                <w:color w:val="auto"/>
                <w:sz w:val="21"/>
                <w:szCs w:val="21"/>
                <w:lang w:eastAsia="zh-CN"/>
              </w:rPr>
              <w:t>，具有末梢全血检测功能，若线上无法满足末梢全血检测功能，可线下提供</w:t>
            </w:r>
            <w:r>
              <w:rPr>
                <w:rFonts w:hint="eastAsia" w:ascii="宋体" w:hAnsi="宋体" w:eastAsia="宋体" w:cs="宋体"/>
                <w:b w:val="0"/>
                <w:bCs w:val="0"/>
                <w:color w:val="auto"/>
                <w:sz w:val="21"/>
                <w:szCs w:val="21"/>
              </w:rPr>
              <w:t>血液细胞分析仪</w:t>
            </w:r>
            <w:r>
              <w:rPr>
                <w:rFonts w:hint="eastAsia" w:ascii="宋体" w:hAnsi="宋体" w:eastAsia="宋体" w:cs="宋体"/>
                <w:color w:val="auto"/>
                <w:sz w:val="21"/>
                <w:szCs w:val="21"/>
                <w:lang w:eastAsia="zh-CN"/>
              </w:rPr>
              <w:t>单机满足。</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1.4</w:t>
            </w:r>
          </w:p>
        </w:tc>
        <w:tc>
          <w:tcPr>
            <w:tcW w:w="6407" w:type="dxa"/>
            <w:noWrap w:val="0"/>
            <w:vAlign w:val="center"/>
          </w:tcPr>
          <w:p>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免费提供</w:t>
            </w:r>
            <w:r>
              <w:rPr>
                <w:rFonts w:hint="eastAsia" w:ascii="宋体" w:hAnsi="宋体" w:eastAsia="宋体" w:cs="宋体"/>
                <w:color w:val="auto"/>
                <w:sz w:val="21"/>
                <w:szCs w:val="21"/>
                <w:highlight w:val="none"/>
                <w:lang w:val="en-US" w:eastAsia="zh-CN"/>
              </w:rPr>
              <w:t>满足科室要求</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lang w:eastAsia="zh-CN"/>
              </w:rPr>
              <w:t>种水平</w:t>
            </w:r>
            <w:r>
              <w:rPr>
                <w:rFonts w:hint="eastAsia" w:ascii="宋体" w:hAnsi="宋体" w:eastAsia="宋体" w:cs="宋体"/>
                <w:color w:val="auto"/>
                <w:sz w:val="21"/>
                <w:szCs w:val="21"/>
                <w:highlight w:val="none"/>
              </w:rPr>
              <w:t>质控品</w:t>
            </w:r>
            <w:r>
              <w:rPr>
                <w:rFonts w:hint="eastAsia" w:ascii="宋体" w:hAnsi="宋体" w:eastAsia="宋体" w:cs="宋体"/>
                <w:color w:val="auto"/>
                <w:sz w:val="21"/>
                <w:szCs w:val="21"/>
                <w:highlight w:val="none"/>
                <w:lang w:val="en-US" w:eastAsia="zh-CN"/>
              </w:rPr>
              <w:t>,满足日常室内质控工作开展的需要。</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1.5</w:t>
            </w:r>
          </w:p>
        </w:tc>
        <w:tc>
          <w:tcPr>
            <w:tcW w:w="6407" w:type="dxa"/>
            <w:noWrap w:val="0"/>
            <w:vAlign w:val="center"/>
          </w:tcPr>
          <w:p>
            <w:pPr>
              <w:widowControl/>
              <w:tabs>
                <w:tab w:val="left" w:pos="720"/>
              </w:tabs>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质量控制：支持自动室内、室间质控程序，可存储所有质控结果，绘制质控图，可随时查阅、打印统计图。</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1.6</w:t>
            </w:r>
          </w:p>
        </w:tc>
        <w:tc>
          <w:tcPr>
            <w:tcW w:w="6407" w:type="dxa"/>
            <w:noWrap w:val="0"/>
            <w:vAlign w:val="center"/>
          </w:tcPr>
          <w:p>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双向通讯：具有双向通讯功能</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rPr>
              <w:t>1.7</w:t>
            </w:r>
          </w:p>
        </w:tc>
        <w:tc>
          <w:tcPr>
            <w:tcW w:w="6407" w:type="dxa"/>
            <w:noWrap w:val="0"/>
            <w:vAlign w:val="center"/>
          </w:tcPr>
          <w:p>
            <w:pPr>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全自动血球分析流水线可设定自动审核规则，自动审核规则需经过多中心单位验证。</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default" w:ascii="宋体" w:hAnsi="宋体" w:eastAsia="宋体" w:cs="宋体"/>
                <w:color w:val="auto"/>
                <w:kern w:val="2"/>
                <w:sz w:val="21"/>
                <w:szCs w:val="21"/>
                <w:highlight w:val="none"/>
                <w:lang w:val="en-US" w:eastAsia="zh-CN" w:bidi="ar-SA"/>
              </w:rPr>
            </w:pPr>
            <w:bookmarkStart w:id="188" w:name="OLE_LINK1"/>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rPr>
              <w:t>1.</w:t>
            </w:r>
            <w:bookmarkEnd w:id="188"/>
            <w:r>
              <w:rPr>
                <w:rFonts w:hint="eastAsia" w:ascii="宋体" w:hAnsi="宋体" w:cs="宋体"/>
                <w:color w:val="auto"/>
                <w:kern w:val="0"/>
                <w:sz w:val="21"/>
                <w:szCs w:val="21"/>
                <w:lang w:val="en-US" w:eastAsia="zh-CN"/>
              </w:rPr>
              <w:t>8</w:t>
            </w:r>
          </w:p>
        </w:tc>
        <w:tc>
          <w:tcPr>
            <w:tcW w:w="6407" w:type="dxa"/>
            <w:noWrap w:val="0"/>
            <w:vAlign w:val="center"/>
          </w:tcPr>
          <w:p>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血常规项目投标品牌试剂2023年度国家临检中心室间质评平均使用率＞2%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文件中</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提供相关</w:t>
            </w:r>
            <w:r>
              <w:rPr>
                <w:rFonts w:hint="eastAsia" w:ascii="宋体" w:hAnsi="宋体" w:eastAsia="宋体" w:cs="宋体"/>
                <w:color w:val="auto"/>
                <w:sz w:val="21"/>
                <w:szCs w:val="21"/>
                <w:lang w:val="en-US" w:eastAsia="zh-CN"/>
              </w:rPr>
              <w:t>证明材料并加盖公章，注明页码</w:t>
            </w:r>
            <w:r>
              <w:rPr>
                <w:rFonts w:hint="eastAsia" w:ascii="宋体" w:hAnsi="宋体" w:eastAsia="宋体" w:cs="宋体"/>
                <w:color w:val="auto"/>
                <w:sz w:val="21"/>
                <w:szCs w:val="21"/>
              </w:rPr>
              <w:t>，未提供或无法证明视为负偏离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58" w:type="dxa"/>
            <w:noWrap w:val="0"/>
            <w:vAlign w:val="center"/>
          </w:tcPr>
          <w:p>
            <w:pPr>
              <w:widowControl/>
              <w:tabs>
                <w:tab w:val="left" w:pos="720"/>
              </w:tabs>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w:t>
            </w:r>
          </w:p>
        </w:tc>
        <w:tc>
          <w:tcPr>
            <w:tcW w:w="6407" w:type="dxa"/>
            <w:noWrap w:val="0"/>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rPr>
              <w:t>各功能模块基本功能及要求</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lang w:val="en-US" w:eastAsia="zh-CN"/>
              </w:rPr>
              <w:t>2.1</w:t>
            </w:r>
          </w:p>
        </w:tc>
        <w:tc>
          <w:tcPr>
            <w:tcW w:w="6407" w:type="dxa"/>
            <w:noWrap w:val="0"/>
            <w:vAlign w:val="center"/>
          </w:tcPr>
          <w:p>
            <w:pPr>
              <w:spacing w:line="360" w:lineRule="auto"/>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rPr>
              <w:t>五分类血液细胞分析仪</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w:t>
            </w:r>
          </w:p>
        </w:tc>
        <w:tc>
          <w:tcPr>
            <w:tcW w:w="6407" w:type="dxa"/>
            <w:noWrap w:val="0"/>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检测原理：鞘流阻抗法、半导体激光流式细胞技术或VCSn原理</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2.1.2</w:t>
            </w:r>
          </w:p>
        </w:tc>
        <w:tc>
          <w:tcPr>
            <w:tcW w:w="6407" w:type="dxa"/>
            <w:noWrap w:val="0"/>
            <w:vAlign w:val="center"/>
          </w:tcPr>
          <w:p>
            <w:pPr>
              <w:spacing w:line="360" w:lineRule="auto"/>
              <w:jc w:val="left"/>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z w:val="21"/>
                <w:szCs w:val="21"/>
              </w:rPr>
              <w:t>报告参数：血液分析报告参数≥37个，三维散点图≥3个；体液分析报告参数≥7个；CRP报告参数≥2个。</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2.1.3</w:t>
            </w:r>
          </w:p>
        </w:tc>
        <w:tc>
          <w:tcPr>
            <w:tcW w:w="6407" w:type="dxa"/>
            <w:noWrap w:val="0"/>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单机检测速度：CBC＋DIFF≥1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0个样本/小时；CRP ≥100样本/小时；CBC＋DIFF＋CRP ≥100样本/小时。</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bookmarkStart w:id="189" w:name="OLE_LINK2"/>
            <w:r>
              <w:rPr>
                <w:rFonts w:hint="eastAsia" w:ascii="宋体" w:hAnsi="宋体" w:eastAsia="宋体" w:cs="宋体"/>
                <w:b/>
                <w:bCs/>
                <w:color w:val="auto"/>
                <w:sz w:val="21"/>
                <w:szCs w:val="21"/>
                <w:lang w:eastAsia="zh-CN"/>
              </w:rPr>
              <w:t>▲</w:t>
            </w:r>
            <w:bookmarkEnd w:id="189"/>
            <w:r>
              <w:rPr>
                <w:rFonts w:hint="eastAsia" w:ascii="宋体" w:hAnsi="宋体" w:eastAsia="宋体" w:cs="宋体"/>
                <w:color w:val="auto"/>
                <w:kern w:val="0"/>
                <w:sz w:val="21"/>
                <w:szCs w:val="21"/>
                <w:lang w:val="en-US" w:eastAsia="zh-CN"/>
              </w:rPr>
              <w:t>2.1.4</w:t>
            </w:r>
          </w:p>
        </w:tc>
        <w:tc>
          <w:tcPr>
            <w:tcW w:w="6407" w:type="dxa"/>
            <w:noWrap w:val="0"/>
            <w:vAlign w:val="center"/>
          </w:tcPr>
          <w:p>
            <w:pPr>
              <w:numPr>
                <w:ilvl w:val="0"/>
                <w:numId w:val="0"/>
              </w:numPr>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进样方式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静脉血和末梢全血均可自动批量进样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闭盖进样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末梢全血检测CDR+CRP用血量≤</w:t>
            </w:r>
            <w:r>
              <w:rPr>
                <w:rFonts w:hint="eastAsia" w:ascii="宋体" w:hAnsi="宋体" w:cs="宋体"/>
                <w:color w:val="auto"/>
                <w:sz w:val="21"/>
                <w:szCs w:val="21"/>
                <w:lang w:val="en-US" w:eastAsia="zh-CN"/>
              </w:rPr>
              <w:t>40</w:t>
            </w:r>
            <w:r>
              <w:rPr>
                <w:rFonts w:hint="eastAsia" w:ascii="宋体" w:hAnsi="宋体" w:eastAsia="宋体" w:cs="宋体"/>
                <w:color w:val="auto"/>
                <w:sz w:val="21"/>
                <w:szCs w:val="21"/>
              </w:rPr>
              <w:t>μl，预稀释模式CDR+CRP用血量≤20μl。</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rPr>
              <w:t>2.1.5</w:t>
            </w:r>
          </w:p>
        </w:tc>
        <w:tc>
          <w:tcPr>
            <w:tcW w:w="6407" w:type="dxa"/>
            <w:noWrap w:val="0"/>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末梢血自动批量检测模式支持以下功能：</w:t>
            </w:r>
          </w:p>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lang w:eastAsia="zh-CN"/>
              </w:rPr>
              <w:t>自动扫码进样、自动混匀、异常标本自动回退复检；自动混匀功能可适配主流末梢血采血管。</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2.1.6</w:t>
            </w:r>
          </w:p>
        </w:tc>
        <w:tc>
          <w:tcPr>
            <w:tcW w:w="6407" w:type="dxa"/>
            <w:noWrap w:val="0"/>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rPr>
              <w:t>使用荧光染料和半导体激光检测WBC五分类，并具有有核红细胞检测功能，能自动进行对白细胞计数的校正。</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2.1.7</w:t>
            </w:r>
          </w:p>
        </w:tc>
        <w:tc>
          <w:tcPr>
            <w:tcW w:w="6407" w:type="dxa"/>
            <w:noWrap w:val="0"/>
            <w:vAlign w:val="center"/>
          </w:tcPr>
          <w:p>
            <w:pPr>
              <w:spacing w:line="360" w:lineRule="auto"/>
              <w:jc w:val="left"/>
              <w:rPr>
                <w:rFonts w:hint="eastAsia" w:ascii="宋体" w:hAnsi="宋体" w:eastAsia="宋体" w:cs="宋体"/>
                <w:color w:val="auto"/>
                <w:spacing w:val="0"/>
                <w:kern w:val="0"/>
                <w:sz w:val="21"/>
                <w:szCs w:val="21"/>
                <w:highlight w:val="none"/>
                <w:lang w:val="en-GB" w:eastAsia="zh-CN" w:bidi="ar-SA"/>
              </w:rPr>
            </w:pPr>
            <w:r>
              <w:rPr>
                <w:rFonts w:hint="eastAsia" w:ascii="宋体" w:hAnsi="宋体" w:eastAsia="宋体" w:cs="宋体"/>
                <w:color w:val="auto"/>
                <w:sz w:val="21"/>
                <w:szCs w:val="21"/>
              </w:rPr>
              <w:t>具有全自动网织红细胞检测功能，可对网织红进行分型，提供网织红成熟度指数，网织红细胞检测无需机外染色处理</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2.1.8</w:t>
            </w:r>
          </w:p>
        </w:tc>
        <w:tc>
          <w:tcPr>
            <w:tcW w:w="6407" w:type="dxa"/>
            <w:noWrap w:val="0"/>
            <w:vAlign w:val="center"/>
          </w:tcPr>
          <w:p>
            <w:pPr>
              <w:spacing w:line="360" w:lineRule="auto"/>
              <w:jc w:val="left"/>
              <w:rPr>
                <w:rFonts w:hint="eastAsia" w:ascii="宋体" w:hAnsi="宋体" w:eastAsia="宋体" w:cs="宋体"/>
                <w:b w:val="0"/>
                <w:bCs/>
                <w:color w:val="auto"/>
                <w:kern w:val="2"/>
                <w:sz w:val="21"/>
                <w:szCs w:val="21"/>
                <w:highlight w:val="none"/>
                <w:lang w:val="en-GB" w:eastAsia="zh-CN" w:bidi="ar-SA"/>
              </w:rPr>
            </w:pPr>
            <w:r>
              <w:rPr>
                <w:rFonts w:hint="eastAsia" w:ascii="宋体" w:hAnsi="宋体" w:eastAsia="宋体" w:cs="宋体"/>
                <w:color w:val="auto"/>
                <w:sz w:val="21"/>
                <w:szCs w:val="21"/>
              </w:rPr>
              <w:t>血小板检测采用鞘流阻抗法和荧光染色法，可解决细胞碎片、巨大血小板对血小板计数的干扰及血小板低值时重复性差的问题</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2.1.9</w:t>
            </w:r>
          </w:p>
        </w:tc>
        <w:tc>
          <w:tcPr>
            <w:tcW w:w="6407" w:type="dxa"/>
            <w:noWrap w:val="0"/>
            <w:vAlign w:val="center"/>
          </w:tcPr>
          <w:p>
            <w:pPr>
              <w:spacing w:line="360" w:lineRule="auto"/>
              <w:jc w:val="left"/>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 w:val="21"/>
                <w:szCs w:val="21"/>
              </w:rPr>
              <w:t>具有低值血小板检测功能，如遇血小板低值时通过自动增加计数颗粒数量来保证血小板检测精度</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058" w:type="dxa"/>
            <w:noWrap w:val="0"/>
            <w:vAlign w:val="center"/>
          </w:tcPr>
          <w:p>
            <w:pPr>
              <w:widowControl/>
              <w:tabs>
                <w:tab w:val="left" w:pos="720"/>
              </w:tabs>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2.1.10</w:t>
            </w:r>
          </w:p>
        </w:tc>
        <w:tc>
          <w:tcPr>
            <w:tcW w:w="6407" w:type="dxa"/>
            <w:noWrap w:val="0"/>
            <w:vAlign w:val="center"/>
          </w:tcPr>
          <w:p>
            <w:pPr>
              <w:spacing w:line="360" w:lineRule="auto"/>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rPr>
              <w:t>具有对EDTA依赖性血小板聚集标本的“自解聚”功能，如遇血小板聚集时可自动加测光学血小板，光学血小板对聚集血小板的解聚率≥80%（</w:t>
            </w:r>
            <w:r>
              <w:rPr>
                <w:rFonts w:hint="eastAsia" w:ascii="宋体" w:hAnsi="宋体" w:eastAsia="宋体" w:cs="宋体"/>
                <w:color w:val="auto"/>
                <w:sz w:val="21"/>
                <w:szCs w:val="21"/>
                <w:highlight w:val="none"/>
                <w:lang w:val="en-US" w:eastAsia="zh-CN"/>
              </w:rPr>
              <w:t>投标文件中提供相关证明并加盖公章，注明页码，</w:t>
            </w:r>
            <w:r>
              <w:rPr>
                <w:rFonts w:hint="eastAsia" w:ascii="宋体" w:hAnsi="宋体" w:eastAsia="宋体" w:cs="宋体"/>
                <w:color w:val="auto"/>
                <w:sz w:val="21"/>
                <w:szCs w:val="21"/>
              </w:rPr>
              <w:t>未提供或无法证明视为负偏离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2.1.11</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样本位容量：自动进样器容量≥100份标本</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2.1.12</w:t>
            </w:r>
          </w:p>
        </w:tc>
        <w:tc>
          <w:tcPr>
            <w:tcW w:w="6407" w:type="dxa"/>
            <w:noWrap w:val="0"/>
            <w:vAlign w:val="center"/>
          </w:tcPr>
          <w:p>
            <w:pPr>
              <w:spacing w:line="360" w:lineRule="auto"/>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CRP和SAA</w:t>
            </w:r>
            <w:r>
              <w:rPr>
                <w:rFonts w:hint="eastAsia" w:ascii="宋体" w:hAnsi="宋体" w:eastAsia="宋体" w:cs="宋体"/>
                <w:color w:val="auto"/>
                <w:kern w:val="0"/>
                <w:sz w:val="21"/>
                <w:szCs w:val="21"/>
                <w:lang w:eastAsia="zh-CN"/>
              </w:rPr>
              <w:t>检测原理：免疫散射比浊法或免疫层析法；</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2.1.13</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CRP和SAA</w:t>
            </w:r>
            <w:r>
              <w:rPr>
                <w:rFonts w:hint="eastAsia" w:ascii="宋体" w:hAnsi="宋体" w:eastAsia="宋体" w:cs="宋体"/>
                <w:color w:val="auto"/>
                <w:sz w:val="21"/>
                <w:szCs w:val="21"/>
              </w:rPr>
              <w:t>单机检测速度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CRP </w:t>
            </w:r>
            <w:r>
              <w:rPr>
                <w:rFonts w:hint="eastAsia" w:ascii="宋体" w:hAnsi="宋体" w:eastAsia="宋体" w:cs="宋体"/>
                <w:color w:val="auto"/>
                <w:sz w:val="21"/>
                <w:szCs w:val="21"/>
                <w:lang w:val="en-US" w:eastAsia="zh-CN"/>
              </w:rPr>
              <w:t xml:space="preserve">+SAA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0样本/小时</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2.1.14</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CRP和SAA进样方式：具备轨道自动进样功能，可一次装载≥50个样本。</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2.1.15</w:t>
            </w:r>
          </w:p>
        </w:tc>
        <w:tc>
          <w:tcPr>
            <w:tcW w:w="6407" w:type="dxa"/>
            <w:noWrap w:val="0"/>
            <w:vAlign w:val="center"/>
          </w:tcPr>
          <w:p>
            <w:pPr>
              <w:widowControl/>
              <w:tabs>
                <w:tab w:val="left" w:pos="720"/>
              </w:tabs>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CRP和SAA具备全自动进样、自动摇匀、自动穿刺采样、自动检测功能；</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2.1.16</w:t>
            </w:r>
          </w:p>
        </w:tc>
        <w:tc>
          <w:tcPr>
            <w:tcW w:w="6407" w:type="dxa"/>
            <w:noWrap w:val="0"/>
            <w:vAlign w:val="center"/>
          </w:tcPr>
          <w:p>
            <w:pPr>
              <w:widowControl/>
              <w:tabs>
                <w:tab w:val="left" w:pos="720"/>
              </w:tabs>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CRP和SAA试剂针具有液面探测、竖直防撞功能；</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2.1.17</w:t>
            </w:r>
          </w:p>
        </w:tc>
        <w:tc>
          <w:tcPr>
            <w:tcW w:w="6407" w:type="dxa"/>
            <w:noWrap w:val="0"/>
            <w:vAlign w:val="center"/>
          </w:tcPr>
          <w:p>
            <w:pPr>
              <w:widowControl/>
              <w:tabs>
                <w:tab w:val="left" w:pos="720"/>
              </w:tabs>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1"/>
                <w:szCs w:val="21"/>
                <w:lang w:val="en-US" w:eastAsia="zh-CN"/>
              </w:rPr>
              <w:t>CRP和SAA</w:t>
            </w:r>
            <w:r>
              <w:rPr>
                <w:rFonts w:hint="eastAsia" w:ascii="宋体" w:hAnsi="宋体" w:eastAsia="宋体" w:cs="宋体"/>
                <w:color w:val="auto"/>
                <w:sz w:val="21"/>
                <w:szCs w:val="21"/>
                <w:lang w:eastAsia="zh-CN"/>
              </w:rPr>
              <w:t>试剂制冷仓可以控制在2-8℃，支持24小时不间断制冷。</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2.1.18</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rPr>
              <w:t>具有高值SAA自动稀释重测功能，如遇样本SAA结果超出线性范围，无需人工干预，可自动回退稀释重测。</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rPr>
              <w:t>2.2</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color w:val="auto"/>
                <w:sz w:val="21"/>
                <w:szCs w:val="21"/>
              </w:rPr>
              <w:t>推片染色机</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2.2.1</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推片染片机可单独进样、独立工作、具备自动/手动控制功能</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2.2.2</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工作速度：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张</w:t>
            </w:r>
            <w:r>
              <w:rPr>
                <w:rFonts w:hint="eastAsia" w:ascii="宋体" w:hAnsi="宋体" w:eastAsia="宋体" w:cs="宋体"/>
                <w:color w:val="auto"/>
                <w:sz w:val="21"/>
                <w:szCs w:val="21"/>
              </w:rPr>
              <w:t>玻片/小时</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lang w:eastAsia="zh-CN"/>
              </w:rPr>
              <w:t>▲</w:t>
            </w:r>
            <w:r>
              <w:rPr>
                <w:rFonts w:hint="eastAsia" w:ascii="宋体" w:hAnsi="宋体" w:eastAsia="宋体" w:cs="宋体"/>
                <w:color w:val="auto"/>
                <w:kern w:val="0"/>
                <w:sz w:val="21"/>
                <w:szCs w:val="21"/>
                <w:lang w:val="en-US" w:eastAsia="zh-CN"/>
              </w:rPr>
              <w:t>2.2.3</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用血量：全自动进样≤200μl，微量血进样≤25μl</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投标文件中提供相关证明并加盖公章，注明页码，</w:t>
            </w:r>
            <w:r>
              <w:rPr>
                <w:rFonts w:hint="eastAsia" w:ascii="宋体" w:hAnsi="宋体" w:eastAsia="宋体" w:cs="宋体"/>
                <w:color w:val="auto"/>
                <w:sz w:val="21"/>
                <w:szCs w:val="21"/>
              </w:rPr>
              <w:t>未提供或无法证明视为负偏离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2.2.4</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染色盒清洗维护：全自动维护程序，无需从机内取出手工清洗</w:t>
            </w:r>
            <w:r>
              <w:rPr>
                <w:rFonts w:hint="eastAsia" w:ascii="宋体" w:hAnsi="宋体" w:eastAsia="宋体" w:cs="宋体"/>
                <w:color w:val="auto"/>
                <w:sz w:val="21"/>
                <w:szCs w:val="21"/>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2.2.5</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rPr>
              <w:t>推片刀：无需更换，终身免维护</w:t>
            </w:r>
            <w:r>
              <w:rPr>
                <w:rFonts w:hint="eastAsia" w:ascii="宋体" w:hAnsi="宋体" w:eastAsia="宋体" w:cs="宋体"/>
                <w:color w:val="auto"/>
                <w:sz w:val="21"/>
                <w:szCs w:val="21"/>
                <w:highlight w:val="none"/>
                <w:lang w:eastAsia="zh-CN"/>
              </w:rPr>
              <w:t>。</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2.2.6</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玻片识别：可直接在玻片上打印数字、条码</w:t>
            </w:r>
            <w:r>
              <w:rPr>
                <w:rFonts w:hint="eastAsia" w:ascii="宋体" w:hAnsi="宋体" w:eastAsia="宋体" w:cs="宋体"/>
                <w:color w:val="auto"/>
                <w:sz w:val="21"/>
                <w:szCs w:val="21"/>
                <w:lang w:eastAsia="zh-CN"/>
              </w:rPr>
              <w:t>；</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widowControl/>
              <w:tabs>
                <w:tab w:val="left" w:pos="720"/>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lang w:val="en-US" w:eastAsia="zh-CN"/>
              </w:rPr>
              <w:t>2.2.7</w:t>
            </w:r>
          </w:p>
        </w:tc>
        <w:tc>
          <w:tcPr>
            <w:tcW w:w="6407" w:type="dxa"/>
            <w:noWrap w:val="0"/>
            <w:vAlign w:val="center"/>
          </w:tcPr>
          <w:p>
            <w:pPr>
              <w:spacing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rPr>
              <w:t>耗材（玻片、染色剂等）完全开放，可由用户自由选择，染色时间可调</w:t>
            </w:r>
            <w:r>
              <w:rPr>
                <w:rFonts w:hint="eastAsia" w:ascii="宋体" w:hAnsi="宋体" w:eastAsia="宋体" w:cs="宋体"/>
                <w:color w:val="auto"/>
                <w:sz w:val="21"/>
                <w:szCs w:val="21"/>
                <w:lang w:eastAsia="zh-CN"/>
              </w:rPr>
              <w:t>。</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2.6</w:t>
            </w:r>
          </w:p>
        </w:tc>
        <w:tc>
          <w:tcPr>
            <w:tcW w:w="6407" w:type="dxa"/>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急诊全自动血液分析仪</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lang w:eastAsia="zh-CN"/>
              </w:rPr>
              <w:t>▲</w:t>
            </w:r>
            <w:r>
              <w:rPr>
                <w:rFonts w:hint="eastAsia" w:ascii="宋体" w:hAnsi="宋体" w:eastAsia="宋体" w:cs="宋体"/>
                <w:i w:val="0"/>
                <w:iCs w:val="0"/>
                <w:color w:val="000000"/>
                <w:kern w:val="0"/>
                <w:sz w:val="21"/>
                <w:szCs w:val="21"/>
                <w:u w:val="none"/>
                <w:lang w:val="en-US" w:eastAsia="zh-CN" w:bidi="ar"/>
              </w:rPr>
              <w:t>2.6.1</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具备血液细胞计数、白细胞分类、网织红细胞、血红蛋白浓度测量、C-反应蛋白、血沉及血清淀粉样蛋白A测量。</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2.6.2</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检测方法及原理：血液分析采用半导体激光法、鞘流电阻抗法、荧光染色法和流式细胞技术原理。</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2.6.3</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血常规报告参数≥32个（不含直方图、散点图），散点图≥2个。</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2.6.4</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检测速度：CBC＋DIFF≥ 80个样本/小时；</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2.6.5</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进样方式及用血量：静脉血可实现自动批量进样或手动进样；末梢全血检测CD+CRP用血量≤</w:t>
            </w:r>
            <w:r>
              <w:rPr>
                <w:rFonts w:hint="eastAsia" w:ascii="宋体" w:hAnsi="宋体" w:cs="宋体"/>
                <w:i w:val="0"/>
                <w:iCs w:val="0"/>
                <w:color w:val="000000"/>
                <w:kern w:val="0"/>
                <w:sz w:val="21"/>
                <w:szCs w:val="21"/>
                <w:highlight w:val="none"/>
                <w:u w:val="none"/>
                <w:lang w:val="en-US" w:eastAsia="zh-CN" w:bidi="ar"/>
              </w:rPr>
              <w:t>40</w:t>
            </w:r>
            <w:r>
              <w:rPr>
                <w:rFonts w:hint="eastAsia" w:ascii="宋体" w:hAnsi="宋体" w:eastAsia="宋体" w:cs="宋体"/>
                <w:i w:val="0"/>
                <w:iCs w:val="0"/>
                <w:color w:val="000000"/>
                <w:kern w:val="0"/>
                <w:sz w:val="21"/>
                <w:szCs w:val="21"/>
                <w:highlight w:val="none"/>
                <w:u w:val="none"/>
                <w:lang w:val="en-US" w:eastAsia="zh-CN" w:bidi="ar"/>
              </w:rPr>
              <w:t xml:space="preserve">μl。 </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2.6.6</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具有低值白细胞检测功能，如遇白细胞低值时可通过增加计数颗粒数量来保证检测结果的准确性。 </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2.6.7</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b w:val="0"/>
                <w:bCs/>
                <w:color w:val="auto"/>
                <w:kern w:val="0"/>
                <w:sz w:val="21"/>
                <w:szCs w:val="21"/>
                <w:highlight w:val="none"/>
                <w:lang w:val="en-US" w:eastAsia="zh-CN" w:bidi="ar-SA"/>
              </w:rPr>
            </w:pPr>
            <w:r>
              <w:rPr>
                <w:rStyle w:val="516"/>
                <w:rFonts w:hint="eastAsia" w:ascii="宋体" w:hAnsi="宋体" w:eastAsia="宋体" w:cs="宋体"/>
                <w:b w:val="0"/>
                <w:bCs w:val="0"/>
                <w:sz w:val="21"/>
                <w:szCs w:val="21"/>
                <w:lang w:val="en-US" w:eastAsia="zh-CN" w:bidi="ar"/>
              </w:rPr>
              <w:t>血液分析线性范围（静脉血）：白细胞：（0-500）</w:t>
            </w:r>
            <w:r>
              <w:rPr>
                <w:rStyle w:val="435"/>
                <w:rFonts w:hint="eastAsia" w:ascii="宋体" w:hAnsi="宋体" w:eastAsia="宋体" w:cs="宋体"/>
                <w:b w:val="0"/>
                <w:bCs w:val="0"/>
                <w:sz w:val="21"/>
                <w:szCs w:val="21"/>
                <w:lang w:val="en-US" w:eastAsia="zh-CN" w:bidi="ar"/>
              </w:rPr>
              <w:t>´</w:t>
            </w:r>
            <w:r>
              <w:rPr>
                <w:rStyle w:val="516"/>
                <w:rFonts w:hint="eastAsia" w:ascii="宋体" w:hAnsi="宋体" w:eastAsia="宋体" w:cs="宋体"/>
                <w:b w:val="0"/>
                <w:bCs w:val="0"/>
                <w:sz w:val="21"/>
                <w:szCs w:val="21"/>
                <w:lang w:val="en-US" w:eastAsia="zh-CN" w:bidi="ar"/>
              </w:rPr>
              <w:t xml:space="preserve"> 10</w:t>
            </w:r>
            <w:r>
              <w:rPr>
                <w:rStyle w:val="372"/>
                <w:rFonts w:hint="eastAsia" w:ascii="宋体" w:hAnsi="宋体" w:eastAsia="宋体" w:cs="宋体"/>
                <w:b w:val="0"/>
                <w:bCs w:val="0"/>
                <w:sz w:val="21"/>
                <w:szCs w:val="21"/>
                <w:lang w:val="en-US" w:eastAsia="zh-CN" w:bidi="ar"/>
              </w:rPr>
              <w:t>9</w:t>
            </w:r>
            <w:r>
              <w:rPr>
                <w:rStyle w:val="516"/>
                <w:rFonts w:hint="eastAsia" w:ascii="宋体" w:hAnsi="宋体" w:eastAsia="宋体" w:cs="宋体"/>
                <w:b w:val="0"/>
                <w:bCs w:val="0"/>
                <w:sz w:val="21"/>
                <w:szCs w:val="21"/>
                <w:lang w:val="en-US" w:eastAsia="zh-CN" w:bidi="ar"/>
              </w:rPr>
              <w:t>/L，红细胞：（0-8.6）</w:t>
            </w:r>
            <w:r>
              <w:rPr>
                <w:rStyle w:val="435"/>
                <w:rFonts w:hint="eastAsia" w:ascii="宋体" w:hAnsi="宋体" w:eastAsia="宋体" w:cs="宋体"/>
                <w:b w:val="0"/>
                <w:bCs w:val="0"/>
                <w:sz w:val="21"/>
                <w:szCs w:val="21"/>
                <w:lang w:val="en-US" w:eastAsia="zh-CN" w:bidi="ar"/>
              </w:rPr>
              <w:t>´</w:t>
            </w:r>
            <w:r>
              <w:rPr>
                <w:rStyle w:val="516"/>
                <w:rFonts w:hint="eastAsia" w:ascii="宋体" w:hAnsi="宋体" w:eastAsia="宋体" w:cs="宋体"/>
                <w:b w:val="0"/>
                <w:bCs w:val="0"/>
                <w:sz w:val="21"/>
                <w:szCs w:val="21"/>
                <w:lang w:val="en-US" w:eastAsia="zh-CN" w:bidi="ar"/>
              </w:rPr>
              <w:t xml:space="preserve"> 10</w:t>
            </w:r>
            <w:r>
              <w:rPr>
                <w:rStyle w:val="372"/>
                <w:rFonts w:hint="eastAsia" w:ascii="宋体" w:hAnsi="宋体" w:eastAsia="宋体" w:cs="宋体"/>
                <w:b w:val="0"/>
                <w:bCs w:val="0"/>
                <w:sz w:val="21"/>
                <w:szCs w:val="21"/>
                <w:lang w:val="en-US" w:eastAsia="zh-CN" w:bidi="ar"/>
              </w:rPr>
              <w:t>12</w:t>
            </w:r>
            <w:r>
              <w:rPr>
                <w:rStyle w:val="516"/>
                <w:rFonts w:hint="eastAsia" w:ascii="宋体" w:hAnsi="宋体" w:eastAsia="宋体" w:cs="宋体"/>
                <w:b w:val="0"/>
                <w:bCs w:val="0"/>
                <w:sz w:val="21"/>
                <w:szCs w:val="21"/>
                <w:lang w:val="en-US" w:eastAsia="zh-CN" w:bidi="ar"/>
              </w:rPr>
              <w:t>/L，血小板：（0-5000）</w:t>
            </w:r>
            <w:r>
              <w:rPr>
                <w:rStyle w:val="435"/>
                <w:rFonts w:hint="eastAsia" w:ascii="宋体" w:hAnsi="宋体" w:eastAsia="宋体" w:cs="宋体"/>
                <w:b w:val="0"/>
                <w:bCs w:val="0"/>
                <w:sz w:val="21"/>
                <w:szCs w:val="21"/>
                <w:lang w:val="en-US" w:eastAsia="zh-CN" w:bidi="ar"/>
              </w:rPr>
              <w:t>´</w:t>
            </w:r>
            <w:r>
              <w:rPr>
                <w:rStyle w:val="516"/>
                <w:rFonts w:hint="eastAsia" w:ascii="宋体" w:hAnsi="宋体" w:eastAsia="宋体" w:cs="宋体"/>
                <w:b w:val="0"/>
                <w:bCs w:val="0"/>
                <w:sz w:val="21"/>
                <w:szCs w:val="21"/>
                <w:lang w:val="en-US" w:eastAsia="zh-CN" w:bidi="ar"/>
              </w:rPr>
              <w:t xml:space="preserve"> 10</w:t>
            </w:r>
            <w:r>
              <w:rPr>
                <w:rStyle w:val="372"/>
                <w:rFonts w:hint="eastAsia" w:ascii="宋体" w:hAnsi="宋体" w:eastAsia="宋体" w:cs="宋体"/>
                <w:b w:val="0"/>
                <w:bCs w:val="0"/>
                <w:sz w:val="21"/>
                <w:szCs w:val="21"/>
                <w:lang w:val="en-US" w:eastAsia="zh-CN" w:bidi="ar"/>
              </w:rPr>
              <w:t>9</w:t>
            </w:r>
            <w:r>
              <w:rPr>
                <w:rStyle w:val="516"/>
                <w:rFonts w:hint="eastAsia" w:ascii="宋体" w:hAnsi="宋体" w:eastAsia="宋体" w:cs="宋体"/>
                <w:b w:val="0"/>
                <w:bCs w:val="0"/>
                <w:sz w:val="21"/>
                <w:szCs w:val="21"/>
                <w:lang w:val="en-US" w:eastAsia="zh-CN" w:bidi="ar"/>
              </w:rPr>
              <w:t>/L，血红蛋白：（0-260）g/L。</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aps/>
                <w:color w:val="auto"/>
                <w:sz w:val="21"/>
                <w:szCs w:val="21"/>
              </w:rPr>
            </w:pPr>
            <w:r>
              <w:rPr>
                <w:rFonts w:hint="eastAsia" w:ascii="宋体" w:hAnsi="宋体" w:eastAsia="宋体" w:cs="宋体"/>
                <w:i w:val="0"/>
                <w:iCs w:val="0"/>
                <w:color w:val="000000"/>
                <w:kern w:val="0"/>
                <w:sz w:val="21"/>
                <w:szCs w:val="21"/>
                <w:u w:val="none"/>
                <w:lang w:val="en-US" w:eastAsia="zh-CN" w:bidi="ar"/>
              </w:rPr>
              <w:t>2.6.8</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color w:val="auto"/>
                <w:sz w:val="21"/>
                <w:szCs w:val="21"/>
              </w:rPr>
            </w:pPr>
            <w:r>
              <w:rPr>
                <w:rStyle w:val="385"/>
                <w:rFonts w:hint="eastAsia" w:ascii="宋体" w:hAnsi="宋体" w:eastAsia="宋体" w:cs="宋体"/>
                <w:sz w:val="21"/>
                <w:szCs w:val="21"/>
                <w:lang w:val="en-US" w:eastAsia="zh-CN" w:bidi="ar"/>
              </w:rPr>
              <w:t>1</w:t>
            </w:r>
            <w:r>
              <w:rPr>
                <w:rStyle w:val="516"/>
                <w:rFonts w:hint="eastAsia" w:ascii="宋体" w:hAnsi="宋体" w:eastAsia="宋体" w:cs="宋体"/>
                <w:sz w:val="21"/>
                <w:szCs w:val="21"/>
                <w:lang w:val="en-US" w:eastAsia="zh-CN" w:bidi="ar"/>
              </w:rPr>
              <w:t>提供有溯源性的有证血液校准物，并有配套有证的2个水平血液和体液质控物。同一管血液质控品可以覆盖全部报告项目进行质控，满足各等级评审及ISO15189对质控的要求。</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cap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i w:val="0"/>
                <w:iCs w:val="0"/>
                <w:color w:val="000000"/>
                <w:kern w:val="0"/>
                <w:sz w:val="21"/>
                <w:szCs w:val="21"/>
                <w:u w:val="none"/>
                <w:lang w:val="en-US" w:eastAsia="zh-CN" w:bidi="ar"/>
              </w:rPr>
              <w:t>2.6.9</w:t>
            </w:r>
          </w:p>
        </w:tc>
        <w:tc>
          <w:tcPr>
            <w:tcW w:w="6407"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全血CRP检测时可校正红细胞、白细胞、血小板体积的干扰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投标文件中提供相关证明并加盖公章，注明页码，</w:t>
            </w:r>
            <w:r>
              <w:rPr>
                <w:rFonts w:hint="eastAsia" w:ascii="宋体" w:hAnsi="宋体" w:eastAsia="宋体" w:cs="宋体"/>
                <w:color w:val="auto"/>
                <w:sz w:val="21"/>
                <w:szCs w:val="21"/>
              </w:rPr>
              <w:t>未提供或无法证明视为负偏离</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w:t>
            </w:r>
          </w:p>
        </w:tc>
        <w:tc>
          <w:tcPr>
            <w:tcW w:w="6407" w:type="dxa"/>
            <w:noWrap w:val="0"/>
            <w:vAlign w:val="center"/>
          </w:tcPr>
          <w:p>
            <w:pPr>
              <w:keepNext w:val="0"/>
              <w:keepLines w:val="0"/>
              <w:widowControl/>
              <w:suppressLineNumbers w:val="0"/>
              <w:spacing w:line="360" w:lineRule="auto"/>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配置要求</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3.1</w:t>
            </w:r>
          </w:p>
        </w:tc>
        <w:tc>
          <w:tcPr>
            <w:tcW w:w="6407" w:type="dxa"/>
            <w:noWrap w:val="0"/>
            <w:vAlign w:val="center"/>
          </w:tcPr>
          <w:p>
            <w:pPr>
              <w:widowControl/>
              <w:tabs>
                <w:tab w:val="left" w:pos="720"/>
              </w:tabs>
              <w:spacing w:line="360" w:lineRule="auto"/>
              <w:jc w:val="left"/>
              <w:rPr>
                <w:rFonts w:hint="eastAsia" w:ascii="宋体" w:hAnsi="宋体" w:cs="宋体" w:eastAsiaTheme="minorEastAsia"/>
                <w:b/>
                <w:bCs/>
                <w:i w:val="0"/>
                <w:iCs w:val="0"/>
                <w:color w:val="000000"/>
                <w:kern w:val="0"/>
                <w:sz w:val="21"/>
                <w:szCs w:val="21"/>
                <w:u w:val="none"/>
                <w:lang w:val="en-US" w:eastAsia="zh-CN" w:bidi="ar"/>
              </w:rPr>
            </w:pPr>
            <w:r>
              <w:rPr>
                <w:rFonts w:hint="eastAsia" w:cs="宋体" w:asciiTheme="minorEastAsia" w:hAnsiTheme="minorEastAsia" w:eastAsiaTheme="minorEastAsia"/>
                <w:kern w:val="0"/>
                <w:lang w:val="zh-CN"/>
              </w:rPr>
              <w:t>全自动血液分析流水线</w:t>
            </w:r>
            <w:r>
              <w:rPr>
                <w:rFonts w:hint="eastAsia" w:cs="宋体" w:asciiTheme="minorEastAsia" w:hAnsiTheme="minorEastAsia" w:eastAsiaTheme="minorEastAsia"/>
                <w:kern w:val="0"/>
              </w:rPr>
              <w:t>1套</w:t>
            </w:r>
            <w:r>
              <w:rPr>
                <w:rFonts w:hint="eastAsia" w:cs="宋体" w:asciiTheme="minorEastAsia" w:hAnsiTheme="minorEastAsia" w:eastAsiaTheme="minorEastAsia"/>
                <w:kern w:val="0"/>
                <w:lang w:eastAsia="zh-CN"/>
              </w:rPr>
              <w:t>；</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3.2</w:t>
            </w:r>
          </w:p>
        </w:tc>
        <w:tc>
          <w:tcPr>
            <w:tcW w:w="6407" w:type="dxa"/>
            <w:noWrap w:val="0"/>
            <w:vAlign w:val="center"/>
          </w:tcPr>
          <w:p>
            <w:pPr>
              <w:widowControl/>
              <w:tabs>
                <w:tab w:val="left" w:pos="720"/>
              </w:tabs>
              <w:spacing w:line="360" w:lineRule="auto"/>
              <w:jc w:val="left"/>
              <w:rPr>
                <w:rFonts w:hint="eastAsia" w:ascii="宋体" w:hAnsi="宋体" w:cs="宋体" w:eastAsiaTheme="minorEastAsia"/>
                <w:b/>
                <w:bCs/>
                <w:i w:val="0"/>
                <w:iCs w:val="0"/>
                <w:color w:val="000000"/>
                <w:kern w:val="0"/>
                <w:sz w:val="21"/>
                <w:szCs w:val="21"/>
                <w:u w:val="none"/>
                <w:lang w:val="en-US" w:eastAsia="zh-CN" w:bidi="ar"/>
              </w:rPr>
            </w:pPr>
            <w:r>
              <w:rPr>
                <w:rFonts w:hint="eastAsia" w:cs="宋体" w:asciiTheme="minorEastAsia" w:hAnsiTheme="minorEastAsia" w:eastAsiaTheme="minorEastAsia"/>
                <w:kern w:val="0"/>
                <w:lang w:val="zh-CN"/>
              </w:rPr>
              <w:t>五分类血液细胞分析仪</w:t>
            </w:r>
            <w:r>
              <w:rPr>
                <w:rFonts w:hint="eastAsia" w:cs="宋体" w:asciiTheme="minorEastAsia" w:hAnsiTheme="minorEastAsia" w:eastAsiaTheme="minorEastAsia"/>
                <w:kern w:val="0"/>
                <w:lang w:val="en-US" w:eastAsia="zh-CN"/>
              </w:rPr>
              <w:t>3</w:t>
            </w:r>
            <w:r>
              <w:rPr>
                <w:rFonts w:hint="eastAsia" w:cs="宋体" w:asciiTheme="minorEastAsia" w:hAnsiTheme="minorEastAsia" w:eastAsiaTheme="minorEastAsia"/>
                <w:kern w:val="0"/>
              </w:rPr>
              <w:t>台</w:t>
            </w:r>
            <w:r>
              <w:rPr>
                <w:rFonts w:hint="eastAsia" w:cs="宋体" w:asciiTheme="minorEastAsia" w:hAnsiTheme="minorEastAsia" w:eastAsiaTheme="minorEastAsia"/>
                <w:kern w:val="0"/>
                <w:lang w:eastAsia="zh-CN"/>
              </w:rPr>
              <w:t>；</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3.3</w:t>
            </w:r>
          </w:p>
        </w:tc>
        <w:tc>
          <w:tcPr>
            <w:tcW w:w="6407" w:type="dxa"/>
            <w:noWrap w:val="0"/>
            <w:vAlign w:val="center"/>
          </w:tcPr>
          <w:p>
            <w:pPr>
              <w:widowControl/>
              <w:tabs>
                <w:tab w:val="left" w:pos="720"/>
              </w:tabs>
              <w:spacing w:line="360" w:lineRule="auto"/>
              <w:jc w:val="left"/>
              <w:rPr>
                <w:rFonts w:hint="eastAsia" w:ascii="宋体" w:hAnsi="宋体" w:eastAsia="宋体" w:cs="宋体"/>
                <w:b/>
                <w:bCs/>
                <w:i w:val="0"/>
                <w:iCs w:val="0"/>
                <w:color w:val="000000"/>
                <w:kern w:val="0"/>
                <w:sz w:val="21"/>
                <w:szCs w:val="21"/>
                <w:u w:val="none"/>
                <w:lang w:val="en-US" w:eastAsia="zh-CN" w:bidi="ar"/>
              </w:rPr>
            </w:pPr>
            <w:r>
              <w:rPr>
                <w:rFonts w:hint="eastAsia" w:cs="宋体" w:asciiTheme="minorEastAsia" w:hAnsiTheme="minorEastAsia" w:eastAsiaTheme="minorEastAsia"/>
                <w:kern w:val="0"/>
              </w:rPr>
              <w:t>推片染色机</w:t>
            </w:r>
            <w:r>
              <w:rPr>
                <w:rFonts w:hint="eastAsia" w:cs="宋体" w:asciiTheme="minorEastAsia" w:hAnsiTheme="minorEastAsia" w:eastAsiaTheme="minorEastAsia"/>
                <w:kern w:val="0"/>
                <w:lang w:val="en-US" w:eastAsia="zh-CN"/>
              </w:rPr>
              <w:t>1</w:t>
            </w:r>
            <w:r>
              <w:rPr>
                <w:rFonts w:hint="eastAsia" w:cs="宋体" w:asciiTheme="minorEastAsia" w:hAnsiTheme="minorEastAsia" w:eastAsiaTheme="minorEastAsia"/>
                <w:kern w:val="0"/>
              </w:rPr>
              <w:t>台</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58"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3.4</w:t>
            </w:r>
          </w:p>
        </w:tc>
        <w:tc>
          <w:tcPr>
            <w:tcW w:w="6407" w:type="dxa"/>
            <w:noWrap w:val="0"/>
            <w:vAlign w:val="center"/>
          </w:tcPr>
          <w:p>
            <w:pPr>
              <w:widowControl/>
              <w:tabs>
                <w:tab w:val="left" w:pos="720"/>
              </w:tabs>
              <w:spacing w:line="360" w:lineRule="auto"/>
              <w:jc w:val="left"/>
              <w:rPr>
                <w:rFonts w:hint="eastAsia" w:ascii="宋体" w:hAnsi="宋体" w:eastAsia="宋体" w:cs="宋体"/>
                <w:b/>
                <w:bCs/>
                <w:i w:val="0"/>
                <w:iCs w:val="0"/>
                <w:color w:val="000000"/>
                <w:kern w:val="0"/>
                <w:sz w:val="21"/>
                <w:szCs w:val="21"/>
                <w:u w:val="none"/>
                <w:lang w:val="en-US" w:eastAsia="zh-CN" w:bidi="ar"/>
              </w:rPr>
            </w:pPr>
            <w:r>
              <w:rPr>
                <w:rFonts w:hint="eastAsia" w:cs="宋体" w:asciiTheme="minorEastAsia" w:hAnsiTheme="minorEastAsia" w:eastAsiaTheme="minorEastAsia"/>
                <w:kern w:val="0"/>
                <w:lang w:val="zh-CN"/>
              </w:rPr>
              <w:t>急诊全自动血液分析仪</w:t>
            </w:r>
            <w:r>
              <w:rPr>
                <w:rFonts w:hint="eastAsia" w:cs="宋体" w:asciiTheme="minorEastAsia" w:hAnsiTheme="minorEastAsia" w:eastAsiaTheme="minorEastAsia"/>
                <w:kern w:val="0"/>
                <w:lang w:val="en-US" w:eastAsia="zh-CN"/>
              </w:rPr>
              <w:t>1</w:t>
            </w:r>
            <w:r>
              <w:rPr>
                <w:rFonts w:hint="eastAsia" w:cs="宋体" w:asciiTheme="minorEastAsia" w:hAnsiTheme="minorEastAsia" w:eastAsiaTheme="minorEastAsia"/>
                <w:kern w:val="0"/>
              </w:rPr>
              <w:t>台</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宋体" w:hAnsi="宋体" w:eastAsia="宋体" w:cs="宋体"/>
                <w:b/>
                <w:bCs/>
                <w:color w:val="auto"/>
                <w:sz w:val="21"/>
                <w:szCs w:val="21"/>
                <w:highlight w:val="none"/>
                <w:lang w:val="en-US" w:eastAsia="zh-CN"/>
              </w:rPr>
            </w:pPr>
          </w:p>
        </w:tc>
      </w:tr>
    </w:tbl>
    <w:p>
      <w:pPr>
        <w:rPr>
          <w:rFonts w:hint="eastAsia" w:ascii="宋体" w:cs="宋体"/>
          <w:color w:val="auto"/>
          <w:sz w:val="21"/>
          <w:szCs w:val="21"/>
          <w:highlight w:val="none"/>
          <w:lang w:val="en-US" w:eastAsia="zh-CN"/>
        </w:rPr>
      </w:pPr>
    </w:p>
    <w:p>
      <w:pPr>
        <w:spacing w:line="360" w:lineRule="auto"/>
        <w:rPr>
          <w:rFonts w:ascii="宋体" w:cs="宋体"/>
          <w:b/>
          <w:bCs/>
          <w:color w:val="auto"/>
          <w:highlight w:val="none"/>
        </w:rPr>
      </w:pPr>
      <w:r>
        <w:rPr>
          <w:rFonts w:hint="eastAsia" w:ascii="宋体" w:cs="宋体"/>
          <w:b/>
          <w:bCs/>
          <w:color w:val="auto"/>
          <w:sz w:val="21"/>
          <w:szCs w:val="21"/>
          <w:highlight w:val="none"/>
          <w:lang w:val="en-US" w:eastAsia="zh-CN"/>
        </w:rPr>
        <w:t>二</w:t>
      </w:r>
      <w:r>
        <w:rPr>
          <w:rFonts w:hint="eastAsia" w:ascii="宋体" w:cs="宋体"/>
          <w:b/>
          <w:bCs/>
          <w:color w:val="auto"/>
          <w:sz w:val="21"/>
          <w:szCs w:val="21"/>
          <w:highlight w:val="none"/>
        </w:rPr>
        <w:t>、商务</w:t>
      </w:r>
      <w:r>
        <w:rPr>
          <w:rFonts w:hint="eastAsia" w:ascii="宋体" w:cs="宋体"/>
          <w:b/>
          <w:bCs/>
          <w:color w:val="auto"/>
          <w:sz w:val="21"/>
          <w:szCs w:val="21"/>
          <w:highlight w:val="none"/>
          <w:lang w:val="en-US" w:eastAsia="zh-CN"/>
        </w:rPr>
        <w:t>要求</w:t>
      </w:r>
      <w:bookmarkEnd w:id="186"/>
      <w:bookmarkEnd w:id="187"/>
    </w:p>
    <w:tbl>
      <w:tblPr>
        <w:tblStyle w:val="48"/>
        <w:tblW w:w="8522" w:type="dxa"/>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143" w:type="dxa"/>
            <w:tcBorders>
              <w:tl2br w:val="nil"/>
              <w:tr2bl w:val="nil"/>
            </w:tcBorders>
            <w:vAlign w:val="center"/>
          </w:tcPr>
          <w:p>
            <w:pPr>
              <w:pStyle w:val="18"/>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7143" w:type="dxa"/>
            <w:tcBorders>
              <w:tl2br w:val="nil"/>
              <w:tr2bl w:val="nil"/>
            </w:tcBorders>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合同生效并具备实施条件后7个工作日内支付合同金额的40%作为预付款，（供应商为《政府采购促进中小企业发展管理办法》（财库﹝2020﹞46号）第四条认定的大型企业无预付款，不适用该条款）；</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项目验收合格并收到中标人正式发票之日起7个工作日内付清合同款。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7143" w:type="dxa"/>
            <w:tcBorders>
              <w:tl2br w:val="nil"/>
              <w:tr2bl w:val="nil"/>
            </w:tcBorders>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7143"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详细的设备配置清单（包括附件及选配件），清单包括：硬件、软件、附件及选配件的规格型号、接口。提供分项价格并提供价格的折扣率，同时提供耗品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各类必要证件（书），包括但不限于医疗器械注册证和消毒产品卫生安全评价报告。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提供纸质和电子版操作手册（包括纸质版两套和电子版一套）、维修手册（包括维修技术资料及线路图）、软件、维修零配件、维修密码等。</w:t>
            </w:r>
            <w:r>
              <w:rPr>
                <w:rFonts w:hint="eastAsia" w:ascii="宋体" w:hAnsi="宋体" w:eastAsia="宋体" w:cs="宋体"/>
                <w:color w:val="auto"/>
                <w:sz w:val="21"/>
                <w:szCs w:val="21"/>
                <w:highlight w:val="none"/>
              </w:rPr>
              <w:t>开放维修权限。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免费开放所有接口</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承担LIS接口费用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含配套电脑、打印机、UPS</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投标设备使用寿命≥10年</w:t>
            </w:r>
            <w:r>
              <w:rPr>
                <w:rFonts w:hint="eastAsia" w:ascii="宋体" w:hAnsi="宋体" w:eastAsia="宋体" w:cs="宋体"/>
                <w:color w:val="auto"/>
                <w:kern w:val="0"/>
                <w:sz w:val="21"/>
                <w:szCs w:val="21"/>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及时提供投标设备新功能信息和临床应用的资料。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2.11</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投标文件中提供</w:t>
            </w:r>
            <w:r>
              <w:rPr>
                <w:rFonts w:hint="eastAsia" w:ascii="宋体" w:hAnsi="宋体" w:eastAsia="宋体" w:cs="宋体"/>
                <w:color w:val="auto"/>
                <w:kern w:val="0"/>
                <w:sz w:val="21"/>
                <w:szCs w:val="21"/>
                <w:highlight w:val="none"/>
              </w:rPr>
              <w:t>血细胞分析仪流水线试剂价格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参照浙江省医疗收费标准目录，血常规试剂价格不得高于收费的27%，CRP试剂价格不得高于收费的45%，SAA试剂价格不得高于收费的40%</w:t>
            </w:r>
            <w:r>
              <w:rPr>
                <w:rFonts w:hint="eastAsia" w:ascii="宋体" w:hAnsi="宋体" w:cs="宋体"/>
                <w:color w:val="auto"/>
                <w:kern w:val="0"/>
                <w:sz w:val="21"/>
                <w:szCs w:val="21"/>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2.12</w:t>
            </w:r>
          </w:p>
        </w:tc>
        <w:tc>
          <w:tcPr>
            <w:tcW w:w="7143" w:type="dxa"/>
            <w:tcBorders>
              <w:tl2br w:val="nil"/>
              <w:tr2bl w:val="nil"/>
            </w:tcBorders>
            <w:vAlign w:val="center"/>
          </w:tcPr>
          <w:p>
            <w:pPr>
              <w:spacing w:line="360" w:lineRule="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投标人需在投标文件中提供</w:t>
            </w:r>
            <w:r>
              <w:rPr>
                <w:rFonts w:hint="eastAsia" w:ascii="宋体" w:hAnsi="宋体" w:eastAsia="宋体" w:cs="宋体"/>
                <w:color w:val="auto"/>
                <w:kern w:val="0"/>
                <w:sz w:val="21"/>
                <w:szCs w:val="21"/>
                <w:highlight w:val="none"/>
              </w:rPr>
              <w:t>血细胞分析仪流水线</w:t>
            </w:r>
            <w:r>
              <w:rPr>
                <w:rFonts w:hint="eastAsia" w:ascii="宋体" w:hAnsi="宋体" w:eastAsia="宋体" w:cs="宋体"/>
                <w:color w:val="auto"/>
                <w:kern w:val="0"/>
                <w:sz w:val="21"/>
                <w:szCs w:val="21"/>
                <w:highlight w:val="none"/>
                <w:lang w:val="en-US" w:eastAsia="zh-CN"/>
              </w:rPr>
              <w:t>配套</w:t>
            </w:r>
            <w:r>
              <w:rPr>
                <w:rFonts w:hint="eastAsia" w:ascii="宋体" w:hAnsi="宋体" w:cs="宋体"/>
                <w:color w:val="auto"/>
                <w:kern w:val="0"/>
                <w:sz w:val="21"/>
                <w:szCs w:val="21"/>
                <w:highlight w:val="none"/>
                <w:lang w:val="en-US" w:eastAsia="zh-CN"/>
              </w:rPr>
              <w:t>试剂的质量保证措施、物流方案等（根据评分标准提供）。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tc>
        <w:tc>
          <w:tcPr>
            <w:tcW w:w="7143" w:type="dxa"/>
            <w:tcBorders>
              <w:tl2br w:val="nil"/>
              <w:tr2bl w:val="nil"/>
            </w:tcBorders>
            <w:vAlign w:val="center"/>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设备验收合格后整机及附属设备免费保修</w:t>
            </w:r>
            <w:r>
              <w:rPr>
                <w:rFonts w:hint="eastAsia" w:ascii="宋体" w:hAnsi="宋体" w:eastAsia="宋体" w:cs="宋体"/>
                <w:b/>
                <w:bCs/>
                <w:color w:val="auto"/>
                <w:kern w:val="0"/>
                <w:sz w:val="21"/>
                <w:szCs w:val="21"/>
                <w:highlight w:val="none"/>
                <w:lang w:val="en-US" w:eastAsia="zh-CN"/>
              </w:rPr>
              <w:t>期限：</w:t>
            </w:r>
            <w:r>
              <w:rPr>
                <w:rFonts w:hint="eastAsia" w:ascii="宋体" w:hAnsi="宋体" w:eastAsia="宋体" w:cs="宋体"/>
                <w:b/>
                <w:bCs/>
                <w:color w:val="auto"/>
                <w:kern w:val="0"/>
                <w:sz w:val="21"/>
                <w:szCs w:val="21"/>
                <w:highlight w:val="none"/>
                <w:u w:val="none"/>
              </w:rPr>
              <w:t>≥</w:t>
            </w:r>
            <w:r>
              <w:rPr>
                <w:rFonts w:hint="eastAsia" w:ascii="宋体" w:hAnsi="宋体" w:cs="宋体"/>
                <w:b/>
                <w:bCs/>
                <w:color w:val="auto"/>
                <w:kern w:val="0"/>
                <w:sz w:val="21"/>
                <w:szCs w:val="21"/>
                <w:highlight w:val="none"/>
                <w:u w:val="none"/>
                <w:lang w:val="en-US" w:eastAsia="zh-CN"/>
              </w:rPr>
              <w:t>5</w:t>
            </w:r>
            <w:r>
              <w:rPr>
                <w:rFonts w:hint="eastAsia" w:ascii="宋体" w:hAnsi="宋体" w:eastAsia="宋体" w:cs="宋体"/>
                <w:b/>
                <w:bCs/>
                <w:color w:val="auto"/>
                <w:kern w:val="0"/>
                <w:sz w:val="21"/>
                <w:szCs w:val="21"/>
                <w:highlight w:val="none"/>
                <w:u w:val="none"/>
              </w:rPr>
              <w:t>年</w:t>
            </w:r>
            <w:r>
              <w:rPr>
                <w:rFonts w:hint="eastAsia" w:ascii="宋体" w:hAnsi="宋体" w:eastAsia="宋体" w:cs="宋体"/>
                <w:b/>
                <w:bCs/>
                <w:color w:val="auto"/>
                <w:kern w:val="0"/>
                <w:sz w:val="21"/>
                <w:szCs w:val="21"/>
                <w:highlight w:val="none"/>
              </w:rPr>
              <w:t>。设备停产后仍保证零配件供应8年及以上（保修起始时间以验收合格之日为准）。</w:t>
            </w:r>
            <w:r>
              <w:rPr>
                <w:rFonts w:hint="eastAsia" w:ascii="宋体" w:hAnsi="宋体" w:eastAsia="宋体" w:cs="宋体"/>
                <w:color w:val="auto"/>
                <w:kern w:val="0"/>
                <w:sz w:val="21"/>
                <w:szCs w:val="21"/>
                <w:highlight w:val="none"/>
              </w:rPr>
              <w:t>投标人需提供保修期后每年整机保修费用，</w:t>
            </w:r>
            <w:r>
              <w:rPr>
                <w:rFonts w:hint="eastAsia" w:ascii="宋体" w:hAnsi="宋体" w:eastAsia="宋体" w:cs="宋体"/>
                <w:color w:val="auto"/>
                <w:sz w:val="21"/>
                <w:szCs w:val="21"/>
                <w:highlight w:val="none"/>
              </w:rPr>
              <w:t>单独报价，</w:t>
            </w:r>
            <w:r>
              <w:rPr>
                <w:rFonts w:hint="eastAsia" w:ascii="宋体" w:hAnsi="宋体" w:eastAsia="宋体" w:cs="宋体"/>
                <w:color w:val="auto"/>
                <w:kern w:val="0"/>
                <w:sz w:val="21"/>
                <w:szCs w:val="21"/>
                <w:highlight w:val="none"/>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7143" w:type="dxa"/>
            <w:tcBorders>
              <w:tl2br w:val="nil"/>
              <w:tr2bl w:val="nil"/>
            </w:tcBorders>
            <w:vAlign w:val="center"/>
          </w:tcPr>
          <w:p>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color w:val="auto"/>
                <w:sz w:val="21"/>
                <w:szCs w:val="21"/>
                <w:highlight w:val="none"/>
              </w:rPr>
              <w:t>保修范围内设备的故障维修响应时间≤2小时，到达现场时间＜24小时（包括节假日），8个工作小时未修复须提供备品备件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7143" w:type="dxa"/>
            <w:tcBorders>
              <w:tl2br w:val="nil"/>
              <w:tr2bl w:val="nil"/>
            </w:tcBorders>
            <w:vAlign w:val="center"/>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保修期内每年开机率不低于95%（一年按365天计），即停机天数不超过18个自然日/年，如开机率达不到要求，每停机超过1个自然日保修期相应延长10个自然日。单次停机时间不得超过一周，否则投标人需做出相应补偿并承担责任。</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7143"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按规范进行每年至少2次的维保、检测服务并提供详细的维保及检测报告（提供有关测试证明）等。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lang w:val="en-US" w:eastAsia="zh-CN"/>
              </w:rPr>
              <w:t>质保期内免费提供校准品、质控品、性能验证以及一年</w:t>
            </w:r>
            <w:r>
              <w:rPr>
                <w:rFonts w:hint="eastAsia" w:ascii="宋体" w:hAnsi="宋体" w:eastAsia="宋体" w:cs="宋体"/>
                <w:lang w:val="en-US" w:eastAsia="zh-CN"/>
              </w:rPr>
              <w:t>2</w:t>
            </w:r>
            <w:r>
              <w:rPr>
                <w:rFonts w:hint="eastAsia"/>
                <w:lang w:val="en-US" w:eastAsia="zh-CN"/>
              </w:rPr>
              <w:t>次校准报告。</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7</w:t>
            </w:r>
          </w:p>
        </w:tc>
        <w:tc>
          <w:tcPr>
            <w:tcW w:w="7143"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在保质期内出现问题，所产生的维修费用（包括零部件费用、运返费用等费用)均由投标人承担；</w:t>
            </w:r>
            <w:r>
              <w:rPr>
                <w:rFonts w:hint="eastAsia" w:ascii="宋体" w:hAnsi="宋体" w:cs="宋体"/>
                <w:color w:val="auto"/>
                <w:highlight w:val="none"/>
              </w:rPr>
              <w:t>保修期后，</w:t>
            </w:r>
            <w:r>
              <w:rPr>
                <w:rFonts w:hint="eastAsia" w:ascii="宋体" w:hAnsi="宋体" w:cs="宋体"/>
                <w:color w:val="auto"/>
                <w:kern w:val="0"/>
                <w:highlight w:val="none"/>
              </w:rPr>
              <w:t>中标人应提供终身维修，</w:t>
            </w:r>
            <w:r>
              <w:rPr>
                <w:rFonts w:hint="eastAsia" w:ascii="宋体" w:hAnsi="宋体" w:cs="宋体"/>
                <w:color w:val="auto"/>
                <w:highlight w:val="none"/>
              </w:rPr>
              <w:t>对设备进行维修免收差旅费、人工费等，仅收损坏更换的零备件费。</w:t>
            </w:r>
            <w:r>
              <w:rPr>
                <w:rFonts w:hint="eastAsia" w:ascii="宋体" w:hAnsi="宋体" w:cs="宋体"/>
                <w:color w:val="auto"/>
                <w:kern w:val="0"/>
                <w:highlight w:val="none"/>
              </w:rPr>
              <w:t>中标人</w:t>
            </w:r>
            <w:r>
              <w:rPr>
                <w:rFonts w:hint="eastAsia" w:ascii="宋体" w:hAnsi="宋体" w:cs="宋体"/>
                <w:color w:val="auto"/>
                <w:highlight w:val="none"/>
              </w:rPr>
              <w:t>必须做到先维修后付款。投标文件中提供原厂或原厂授权维修服务机构的书面承诺文件。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8</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提供保修期后消耗品和常用零配件的供应价格与折扣，折扣按优惠程度供应（供应价格和折扣，在投标文件中明确）。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9</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操作培训及考核和工程师的维护、维修培训（列出具体的培训方案。如提供院外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10</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2</w:t>
            </w:r>
          </w:p>
        </w:tc>
        <w:tc>
          <w:tcPr>
            <w:tcW w:w="7143" w:type="dxa"/>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如属计量器具、放射类设备，则卖方提供经买方认可的且具有资质的检测机构出具的计量、放射防护检测合格报告，检测费用包含在合同总价中。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p>
        </w:tc>
        <w:tc>
          <w:tcPr>
            <w:tcW w:w="7143" w:type="dxa"/>
            <w:tcBorders>
              <w:tl2br w:val="nil"/>
              <w:tr2bl w:val="nil"/>
            </w:tcBorders>
            <w:vAlign w:val="center"/>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安装地点：</w:t>
            </w:r>
            <w:r>
              <w:rPr>
                <w:rFonts w:hint="eastAsia" w:ascii="宋体" w:hAnsi="宋体" w:eastAsia="宋体" w:cs="宋体"/>
                <w:b w:val="0"/>
                <w:bCs w:val="0"/>
                <w:i w:val="0"/>
                <w:iCs w:val="0"/>
                <w:color w:val="auto"/>
                <w:sz w:val="21"/>
                <w:szCs w:val="21"/>
                <w:highlight w:val="none"/>
                <w:lang w:val="en-US" w:eastAsia="zh-CN"/>
              </w:rPr>
              <w:t>招标人</w:t>
            </w:r>
            <w:r>
              <w:rPr>
                <w:rFonts w:hint="eastAsia" w:ascii="宋体" w:hAnsi="宋体" w:eastAsia="宋体" w:cs="宋体"/>
                <w:color w:val="auto"/>
                <w:kern w:val="0"/>
                <w:sz w:val="21"/>
                <w:szCs w:val="21"/>
                <w:highlight w:val="none"/>
              </w:rPr>
              <w:t>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安装要求：到货后</w:t>
            </w:r>
            <w:r>
              <w:rPr>
                <w:rFonts w:hint="eastAsia" w:ascii="宋体" w:hAnsi="宋体" w:eastAsia="宋体" w:cs="宋体"/>
                <w:color w:val="auto"/>
                <w:sz w:val="21"/>
                <w:szCs w:val="21"/>
                <w:highlight w:val="none"/>
              </w:rPr>
              <w:t>接到采购人通知</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7143" w:type="dxa"/>
            <w:tcBorders>
              <w:tl2br w:val="nil"/>
              <w:tr2bl w:val="nil"/>
            </w:tcBorders>
            <w:vAlign w:val="center"/>
          </w:tcPr>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7143" w:type="dxa"/>
            <w:tcBorders>
              <w:tl2br w:val="nil"/>
              <w:tr2bl w:val="nil"/>
            </w:tcBorders>
            <w:vAlign w:val="center"/>
          </w:tcPr>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验收：符合</w:t>
            </w:r>
            <w:r>
              <w:rPr>
                <w:rFonts w:hint="eastAsia" w:ascii="宋体" w:hAnsi="宋体" w:eastAsia="宋体" w:cs="宋体"/>
                <w:b w:val="0"/>
                <w:bCs w:val="0"/>
                <w:i w:val="0"/>
                <w:iCs w:val="0"/>
                <w:color w:val="auto"/>
                <w:sz w:val="21"/>
                <w:szCs w:val="21"/>
                <w:highlight w:val="none"/>
                <w:lang w:val="en-US" w:eastAsia="zh-CN"/>
              </w:rPr>
              <w:t>招标人</w:t>
            </w:r>
            <w:r>
              <w:rPr>
                <w:rFonts w:hint="eastAsia" w:ascii="宋体" w:hAnsi="宋体" w:eastAsia="宋体" w:cs="宋体"/>
                <w:color w:val="auto"/>
                <w:kern w:val="0"/>
                <w:sz w:val="21"/>
                <w:szCs w:val="21"/>
                <w:highlight w:val="none"/>
              </w:rPr>
              <w:t>的验收规范。</w:t>
            </w:r>
          </w:p>
          <w:p>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w:t>
            </w:r>
          </w:p>
        </w:tc>
        <w:tc>
          <w:tcPr>
            <w:tcW w:w="7143" w:type="dxa"/>
            <w:tcBorders>
              <w:tl2br w:val="nil"/>
              <w:tr2bl w:val="nil"/>
            </w:tcBorders>
            <w:vAlign w:val="center"/>
          </w:tcPr>
          <w:p>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交货期：合同签订之日起</w:t>
            </w:r>
            <w:r>
              <w:rPr>
                <w:rFonts w:hint="eastAsia" w:ascii="宋体" w:hAnsi="宋体" w:cs="宋体"/>
                <w:b/>
                <w:bCs/>
                <w:color w:val="auto"/>
                <w:kern w:val="0"/>
                <w:sz w:val="21"/>
                <w:szCs w:val="21"/>
                <w:highlight w:val="none"/>
                <w:u w:val="single"/>
                <w:lang w:val="en-US" w:eastAsia="zh-CN"/>
              </w:rPr>
              <w:t>30</w:t>
            </w:r>
            <w:r>
              <w:rPr>
                <w:rFonts w:hint="eastAsia" w:ascii="宋体" w:hAnsi="宋体" w:eastAsia="宋体" w:cs="宋体"/>
                <w:b/>
                <w:bCs/>
                <w:color w:val="auto"/>
                <w:kern w:val="0"/>
                <w:sz w:val="21"/>
                <w:szCs w:val="21"/>
                <w:highlight w:val="none"/>
                <w:u w:val="single"/>
              </w:rPr>
              <w:t>天</w:t>
            </w:r>
            <w:r>
              <w:rPr>
                <w:rFonts w:hint="eastAsia" w:ascii="宋体" w:hAnsi="宋体" w:eastAsia="宋体" w:cs="宋体"/>
                <w:b/>
                <w:bCs/>
                <w:color w:val="auto"/>
                <w:kern w:val="0"/>
                <w:sz w:val="21"/>
                <w:szCs w:val="21"/>
                <w:highlight w:val="none"/>
              </w:rPr>
              <w:t>内。</w:t>
            </w:r>
          </w:p>
        </w:tc>
      </w:tr>
    </w:tbl>
    <w:p>
      <w:pPr>
        <w:pStyle w:val="3"/>
        <w:rPr>
          <w:rFonts w:hint="eastAsia" w:ascii="宋体" w:cs="宋体"/>
          <w:color w:val="auto"/>
          <w:highlight w:val="none"/>
        </w:rPr>
      </w:pPr>
      <w:bookmarkStart w:id="190" w:name="_Toc115344280"/>
      <w:bookmarkStart w:id="191" w:name="_Toc28996"/>
    </w:p>
    <w:p>
      <w:pPr>
        <w:pStyle w:val="3"/>
        <w:rPr>
          <w:rFonts w:hint="eastAsia" w:ascii="宋体" w:cs="宋体"/>
          <w:color w:val="auto"/>
          <w:highlight w:val="none"/>
        </w:rPr>
      </w:pPr>
    </w:p>
    <w:p>
      <w:pPr>
        <w:pStyle w:val="3"/>
        <w:rPr>
          <w:rFonts w:hint="eastAsia" w:ascii="宋体" w:cs="宋体"/>
          <w:color w:val="auto"/>
          <w:highlight w:val="none"/>
        </w:rPr>
      </w:pPr>
    </w:p>
    <w:p>
      <w:pPr>
        <w:pStyle w:val="3"/>
        <w:rPr>
          <w:rFonts w:hint="eastAsia" w:ascii="宋体" w:cs="宋体"/>
          <w:color w:val="auto"/>
          <w:highlight w:val="none"/>
        </w:rPr>
      </w:pPr>
    </w:p>
    <w:p>
      <w:pPr>
        <w:pStyle w:val="3"/>
        <w:rPr>
          <w:rFonts w:hint="eastAsia" w:ascii="宋体" w:cs="宋体"/>
          <w:color w:val="auto"/>
          <w:highlight w:val="none"/>
        </w:rPr>
      </w:pPr>
    </w:p>
    <w:p>
      <w:pPr>
        <w:pStyle w:val="3"/>
        <w:rPr>
          <w:rFonts w:hint="eastAsia" w:ascii="宋体" w:cs="宋体"/>
          <w:color w:val="auto"/>
          <w:highlight w:val="none"/>
        </w:rPr>
      </w:pPr>
    </w:p>
    <w:p>
      <w:pPr>
        <w:pStyle w:val="3"/>
        <w:rPr>
          <w:rFonts w:hint="eastAsia" w:ascii="宋体" w:cs="宋体"/>
          <w:color w:val="auto"/>
          <w:highlight w:val="none"/>
        </w:rPr>
      </w:pPr>
    </w:p>
    <w:p>
      <w:pPr>
        <w:rPr>
          <w:rFonts w:hint="eastAsia" w:ascii="宋体" w:cs="宋体"/>
          <w:color w:val="auto"/>
          <w:highlight w:val="none"/>
        </w:rPr>
      </w:pPr>
    </w:p>
    <w:p>
      <w:pPr>
        <w:pStyle w:val="18"/>
        <w:rPr>
          <w:rFonts w:hint="eastAsia" w:ascii="宋体" w:cs="宋体"/>
          <w:color w:val="auto"/>
          <w:highlight w:val="none"/>
        </w:rPr>
      </w:pPr>
    </w:p>
    <w:p>
      <w:pPr>
        <w:pStyle w:val="3"/>
        <w:rPr>
          <w:rFonts w:ascii="宋体" w:cs="宋体"/>
          <w:color w:val="auto"/>
          <w:highlight w:val="none"/>
        </w:rPr>
      </w:pPr>
      <w:r>
        <w:rPr>
          <w:rFonts w:hint="eastAsia" w:ascii="宋体" w:cs="宋体"/>
          <w:color w:val="auto"/>
          <w:highlight w:val="none"/>
        </w:rPr>
        <w:t>第五章  评标办法及评分标准</w:t>
      </w:r>
      <w:bookmarkEnd w:id="190"/>
      <w:bookmarkEnd w:id="191"/>
    </w:p>
    <w:p>
      <w:pPr>
        <w:spacing w:line="360" w:lineRule="auto"/>
        <w:ind w:firstLine="422" w:firstLineChars="200"/>
        <w:rPr>
          <w:rFonts w:ascii="宋体" w:hAnsi="宋体" w:cs="宋体"/>
          <w:b/>
          <w:bCs/>
          <w:highlight w:val="none"/>
        </w:rPr>
      </w:pPr>
      <w:r>
        <w:rPr>
          <w:rFonts w:hint="eastAsia" w:ascii="宋体" w:hAnsi="宋体" w:cs="宋体"/>
          <w:b/>
          <w:bCs/>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highlight w:val="none"/>
        </w:rPr>
      </w:pPr>
      <w:r>
        <w:rPr>
          <w:rFonts w:hint="eastAsia" w:ascii="宋体" w:hAnsi="宋体" w:cs="宋体"/>
          <w:b/>
          <w:bCs/>
          <w:highlight w:val="none"/>
        </w:rPr>
        <w:t>一、开标程序：</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1、电子招投标开标程序：</w:t>
      </w:r>
    </w:p>
    <w:p>
      <w:pPr>
        <w:numPr>
          <w:ilvl w:val="0"/>
          <w:numId w:val="13"/>
        </w:numPr>
        <w:tabs>
          <w:tab w:val="left" w:pos="518"/>
        </w:tabs>
        <w:spacing w:line="360" w:lineRule="auto"/>
        <w:ind w:firstLine="420" w:firstLineChars="200"/>
        <w:rPr>
          <w:rFonts w:ascii="宋体" w:hAnsi="宋体" w:cs="宋体"/>
          <w:highlight w:val="none"/>
        </w:rPr>
      </w:pPr>
      <w:r>
        <w:rPr>
          <w:rFonts w:hint="eastAsia" w:ascii="宋体" w:hAnsi="宋体" w:cs="宋体"/>
          <w:highlight w:val="none"/>
        </w:rPr>
        <w:t>投标截止时间后，供应商登录政府采购云平台，用“项目采购-开标评标”功能对电子投标文件进行在线解密，在线解密电子投标文件时间为开标时间后30分钟内。</w:t>
      </w:r>
    </w:p>
    <w:p>
      <w:pPr>
        <w:numPr>
          <w:ilvl w:val="0"/>
          <w:numId w:val="13"/>
        </w:numPr>
        <w:tabs>
          <w:tab w:val="left" w:pos="518"/>
        </w:tabs>
        <w:spacing w:line="360" w:lineRule="auto"/>
        <w:ind w:firstLine="420" w:firstLineChars="200"/>
        <w:rPr>
          <w:rFonts w:ascii="宋体" w:hAnsi="宋体" w:cs="宋体"/>
          <w:highlight w:val="none"/>
        </w:rPr>
      </w:pPr>
      <w:r>
        <w:rPr>
          <w:rFonts w:hint="eastAsia" w:ascii="宋体" w:hAnsi="宋体" w:cs="宋体"/>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（3）在政府采购云平台宣告评审无效供应商名单及理由；</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（4）在政府采购云平台公布评审结果。</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（5）开标会议结束。</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本项目原则上采用政采云电子招投标开标程序，但有以下情形之一的，按以下情况处理：</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（1）若有供应商在规定时间内无法解密或解密失败，代理机构将开启该供应商递交的以U盘存储的电子备份投标文件，上传至政采云平台项目采购模块，以完成开标，电子投标文件自动失效。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 xml:space="preserve">3.1电子交易平台发生故障而无法登录访问的； </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3.2电子交易平台应用或数据库出现错误，不能进行正常操作的；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3.3电子交易平台发现严重安全漏洞，有潜在泄密危险的；</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 xml:space="preserve">3.4病毒发作导致不能进行正常操作的； </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3.5其他无法保证电子交易的公平、公正和安全的情况。</w:t>
      </w:r>
    </w:p>
    <w:p>
      <w:pPr>
        <w:tabs>
          <w:tab w:val="left" w:pos="518"/>
        </w:tabs>
        <w:spacing w:line="360" w:lineRule="auto"/>
        <w:ind w:firstLine="420" w:firstLineChars="200"/>
        <w:rPr>
          <w:rFonts w:ascii="宋体" w:hAnsi="宋体" w:cs="宋体"/>
          <w:highlight w:val="none"/>
        </w:rPr>
      </w:pPr>
      <w:r>
        <w:rPr>
          <w:rFonts w:hint="eastAsia" w:ascii="宋体" w:hAnsi="宋体" w:cs="宋体"/>
          <w:highlight w:val="none"/>
        </w:rPr>
        <w:t>（3）未开启的备份投标文件现场予以退还（电子邮件方式除外）。</w:t>
      </w:r>
    </w:p>
    <w:p>
      <w:pPr>
        <w:spacing w:line="360" w:lineRule="auto"/>
        <w:rPr>
          <w:rFonts w:ascii="宋体" w:hAnsi="宋体" w:cs="宋体"/>
          <w:b/>
          <w:bCs/>
          <w:highlight w:val="none"/>
        </w:rPr>
      </w:pPr>
      <w:r>
        <w:rPr>
          <w:rFonts w:hint="eastAsia" w:ascii="宋体" w:hAnsi="宋体" w:cs="宋体"/>
          <w:b/>
          <w:bCs/>
          <w:highlight w:val="none"/>
        </w:rPr>
        <w:t>二、评标委员会</w:t>
      </w:r>
    </w:p>
    <w:p>
      <w:pPr>
        <w:spacing w:line="360" w:lineRule="auto"/>
        <w:ind w:firstLine="420" w:firstLineChars="200"/>
        <w:rPr>
          <w:rFonts w:ascii="宋体" w:hAnsi="宋体" w:cs="宋体"/>
          <w:bCs/>
          <w:highlight w:val="none"/>
        </w:rPr>
      </w:pPr>
      <w:r>
        <w:rPr>
          <w:rFonts w:hint="eastAsia" w:ascii="宋体" w:hAnsi="宋体" w:cs="宋体"/>
          <w:highlight w:val="none"/>
        </w:rPr>
        <w:t>（一）本次招标依法组建评标委员会。</w:t>
      </w:r>
    </w:p>
    <w:p>
      <w:pPr>
        <w:pStyle w:val="28"/>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8"/>
        <w:spacing w:line="360" w:lineRule="auto"/>
        <w:ind w:firstLine="420" w:firstLineChars="200"/>
        <w:rPr>
          <w:rFonts w:ascii="宋体" w:cs="宋体"/>
          <w:b w:val="0"/>
          <w:color w:val="auto"/>
          <w:sz w:val="21"/>
          <w:szCs w:val="21"/>
          <w:highlight w:val="none"/>
        </w:rPr>
      </w:pPr>
      <w:r>
        <w:rPr>
          <w:rFonts w:hint="eastAsia" w:ascii="宋体" w:cs="宋体"/>
          <w:b w:val="0"/>
          <w:color w:val="auto"/>
          <w:sz w:val="21"/>
          <w:szCs w:val="21"/>
          <w:highlight w:val="none"/>
        </w:rPr>
        <w:t>（三）评审专家有下列情形之一的，受到邀请应主动提出回避，采购当事人也可以要求该评审专家回避：</w:t>
      </w:r>
    </w:p>
    <w:p>
      <w:pPr>
        <w:pStyle w:val="28"/>
        <w:spacing w:line="360" w:lineRule="auto"/>
        <w:ind w:firstLine="420" w:firstLineChars="200"/>
        <w:rPr>
          <w:rFonts w:asciiTheme="minorEastAsia" w:hAnsiTheme="minorEastAsia" w:eastAsiaTheme="minorEastAsia"/>
          <w:b w:val="0"/>
          <w:color w:val="auto"/>
          <w:sz w:val="21"/>
          <w:szCs w:val="21"/>
          <w:highlight w:val="none"/>
        </w:rPr>
      </w:pPr>
      <w:r>
        <w:rPr>
          <w:rFonts w:hint="eastAsia" w:asciiTheme="minorEastAsia" w:hAnsiTheme="minorEastAsia" w:eastAsiaTheme="minorEastAsia"/>
          <w:b w:val="0"/>
          <w:color w:val="auto"/>
          <w:sz w:val="21"/>
          <w:szCs w:val="21"/>
          <w:highlight w:val="none"/>
        </w:rPr>
        <w:t xml:space="preserve">1、参加采购活动前三年内，与投标人存在劳动关系，或者担任过投标人的董事、监事，或者是投标人的控股股东或实际控制人； </w:t>
      </w:r>
    </w:p>
    <w:p>
      <w:pPr>
        <w:pStyle w:val="28"/>
        <w:spacing w:line="360" w:lineRule="auto"/>
        <w:ind w:firstLine="420" w:firstLineChars="200"/>
        <w:rPr>
          <w:rFonts w:asciiTheme="minorEastAsia" w:hAnsiTheme="minorEastAsia" w:eastAsiaTheme="minorEastAsia"/>
          <w:b w:val="0"/>
          <w:color w:val="auto"/>
          <w:sz w:val="21"/>
          <w:szCs w:val="21"/>
          <w:highlight w:val="none"/>
        </w:rPr>
      </w:pPr>
      <w:r>
        <w:rPr>
          <w:rFonts w:hint="eastAsia" w:asciiTheme="minorEastAsia" w:hAnsiTheme="minorEastAsia" w:eastAsiaTheme="minorEastAsia"/>
          <w:b w:val="0"/>
          <w:color w:val="auto"/>
          <w:sz w:val="21"/>
          <w:szCs w:val="21"/>
          <w:highlight w:val="none"/>
        </w:rPr>
        <w:t xml:space="preserve">2、与投标人的法定代表人或者负责人有夫妻、直系血亲、三代以内旁系血亲或者近姻亲关系； </w:t>
      </w:r>
    </w:p>
    <w:p>
      <w:pPr>
        <w:pStyle w:val="28"/>
        <w:spacing w:line="360" w:lineRule="auto"/>
        <w:ind w:firstLine="420" w:firstLineChars="200"/>
        <w:rPr>
          <w:rFonts w:asciiTheme="minorEastAsia" w:hAnsiTheme="minorEastAsia" w:eastAsiaTheme="minorEastAsia"/>
          <w:b w:val="0"/>
          <w:color w:val="auto"/>
          <w:sz w:val="21"/>
          <w:szCs w:val="21"/>
          <w:highlight w:val="none"/>
        </w:rPr>
      </w:pPr>
      <w:r>
        <w:rPr>
          <w:rFonts w:hint="eastAsia" w:asciiTheme="minorEastAsia" w:hAnsiTheme="minorEastAsia" w:eastAsiaTheme="minorEastAsia"/>
          <w:b w:val="0"/>
          <w:color w:val="auto"/>
          <w:sz w:val="21"/>
          <w:szCs w:val="21"/>
          <w:highlight w:val="none"/>
        </w:rPr>
        <w:t>3、与供应商有其他可能影响政府采购活动公平、公正进行的关系。</w:t>
      </w:r>
    </w:p>
    <w:p>
      <w:pPr>
        <w:pStyle w:val="28"/>
        <w:spacing w:line="360" w:lineRule="auto"/>
        <w:ind w:firstLine="420" w:firstLineChars="200"/>
        <w:rPr>
          <w:rFonts w:asciiTheme="minorEastAsia" w:hAnsiTheme="minorEastAsia" w:eastAsiaTheme="minorEastAsia"/>
          <w:b w:val="0"/>
          <w:color w:val="auto"/>
          <w:sz w:val="21"/>
          <w:szCs w:val="21"/>
          <w:highlight w:val="none"/>
        </w:rPr>
      </w:pPr>
      <w:r>
        <w:rPr>
          <w:rFonts w:hint="eastAsia" w:asciiTheme="minorEastAsia" w:hAnsiTheme="minorEastAsia" w:eastAsiaTheme="minorEastAsia"/>
          <w:b w:val="0"/>
          <w:color w:val="auto"/>
          <w:sz w:val="21"/>
          <w:szCs w:val="21"/>
          <w:highlight w:val="none"/>
        </w:rPr>
        <w:t>4、曾经参加过该招标项目的进口产品论证服务工作；</w:t>
      </w:r>
    </w:p>
    <w:p>
      <w:pPr>
        <w:pStyle w:val="28"/>
        <w:spacing w:line="360" w:lineRule="auto"/>
        <w:ind w:firstLine="417" w:firstLineChars="199"/>
        <w:rPr>
          <w:rFonts w:asciiTheme="minorEastAsia" w:hAnsiTheme="minorEastAsia" w:eastAsiaTheme="minorEastAsia"/>
          <w:b w:val="0"/>
          <w:color w:val="auto"/>
          <w:sz w:val="21"/>
          <w:szCs w:val="21"/>
          <w:highlight w:val="none"/>
        </w:rPr>
      </w:pPr>
      <w:r>
        <w:rPr>
          <w:rFonts w:hint="eastAsia" w:asciiTheme="minorEastAsia" w:hAnsiTheme="minorEastAsia" w:eastAsiaTheme="minorEastAsia"/>
          <w:b w:val="0"/>
          <w:color w:val="auto"/>
          <w:sz w:val="21"/>
          <w:szCs w:val="21"/>
          <w:highlight w:val="none"/>
        </w:rPr>
        <w:t>5、法律、法规、规章规定应当回避以及其他可能影响公正评审的。</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highlight w:val="none"/>
        </w:rPr>
      </w:pPr>
      <w:r>
        <w:rPr>
          <w:rFonts w:hint="eastAsia" w:ascii="宋体" w:hAnsi="宋体" w:cs="宋体"/>
          <w:b/>
          <w:bCs/>
          <w:highlight w:val="none"/>
        </w:rPr>
        <w:t>三、评标方法</w:t>
      </w:r>
    </w:p>
    <w:p>
      <w:pPr>
        <w:spacing w:line="360" w:lineRule="auto"/>
        <w:rPr>
          <w:rFonts w:ascii="宋体" w:hAnsi="宋体" w:cs="宋体"/>
          <w:highlight w:val="none"/>
        </w:rPr>
      </w:pPr>
      <w:r>
        <w:rPr>
          <w:rFonts w:hint="eastAsia" w:ascii="宋体" w:hAnsi="宋体" w:cs="宋体"/>
          <w:highlight w:val="none"/>
        </w:rPr>
        <w:t>（一）本次采购项目的评标方法为：综合评分法。</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采用综合评分法的，评标结果按评审后得分由高到低顺序</w:t>
      </w:r>
      <w:r>
        <w:rPr>
          <w:rFonts w:hint="eastAsia" w:ascii="宋体" w:cs="宋体"/>
          <w:b w:val="0"/>
          <w:bCs w:val="0"/>
          <w:color w:val="auto"/>
          <w:sz w:val="21"/>
          <w:szCs w:val="21"/>
          <w:highlight w:val="none"/>
        </w:rPr>
        <w:t>推荐2名</w:t>
      </w:r>
      <w:r>
        <w:rPr>
          <w:rFonts w:hint="eastAsia" w:ascii="宋体" w:cs="宋体"/>
          <w:b w:val="0"/>
          <w:color w:val="auto"/>
          <w:sz w:val="21"/>
          <w:szCs w:val="21"/>
          <w:highlight w:val="none"/>
        </w:rPr>
        <w:t>中标</w:t>
      </w:r>
      <w:r>
        <w:rPr>
          <w:rFonts w:hint="eastAsia" w:ascii="宋体" w:cs="宋体"/>
          <w:b w:val="0"/>
          <w:bCs w:val="0"/>
          <w:color w:val="auto"/>
          <w:sz w:val="21"/>
          <w:szCs w:val="21"/>
          <w:highlight w:val="none"/>
        </w:rPr>
        <w:t>候选人</w:t>
      </w:r>
      <w:r>
        <w:rPr>
          <w:rFonts w:hint="eastAsia" w:ascii="宋体" w:cs="宋体"/>
          <w:b w:val="0"/>
          <w:color w:val="auto"/>
          <w:sz w:val="21"/>
          <w:szCs w:val="21"/>
          <w:highlight w:val="none"/>
        </w:rPr>
        <w:t>。得分相同的，按投标报价由低到高顺序排列。得分且投标报价相同的并列，则抽签决定。</w:t>
      </w:r>
    </w:p>
    <w:p>
      <w:pPr>
        <w:spacing w:line="360" w:lineRule="auto"/>
        <w:rPr>
          <w:rFonts w:ascii="宋体" w:hAnsi="宋体" w:cs="宋体"/>
          <w:highlight w:val="none"/>
        </w:rPr>
      </w:pPr>
      <w:r>
        <w:rPr>
          <w:rFonts w:hint="eastAsia" w:ascii="宋体" w:hAnsi="宋体" w:cs="宋体"/>
          <w:highlight w:val="none"/>
        </w:rPr>
        <w:t>（二）投标文件的澄清</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highlight w:val="none"/>
        </w:rPr>
      </w:pPr>
      <w:r>
        <w:rPr>
          <w:rFonts w:hint="eastAsia" w:ascii="宋体" w:hAnsi="宋体" w:cs="宋体"/>
          <w:highlight w:val="none"/>
        </w:rPr>
        <w:t>（三）投标文件错误修正原则</w:t>
      </w:r>
    </w:p>
    <w:p>
      <w:pPr>
        <w:spacing w:line="360" w:lineRule="auto"/>
        <w:rPr>
          <w:rFonts w:ascii="宋体" w:hAnsi="宋体" w:cs="宋体"/>
          <w:highlight w:val="none"/>
        </w:rPr>
      </w:pPr>
      <w:r>
        <w:rPr>
          <w:rFonts w:hint="eastAsia" w:ascii="宋体" w:hAnsi="宋体" w:cs="宋体"/>
          <w:highlight w:val="none"/>
        </w:rPr>
        <w:t>投标文件如果出现计算或表达上的错误，修正错误的原则如下：</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1、投标文件中开标一览表（报价表）内容与投标文件中相应内容不一致的，以开标一览表（报价表）为准；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2、政采云平台填报的开标一览表中的价格与上传的报价文件中开标一览表的报价不一致的，以上传的报价文件为准；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3、大写金额和小写金额不一致的，以大写金额为准；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4、单价金额小数点或者百分比有明显错位的，以开标一览表的总价为准，并修改单价；</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5、总价金额与按单价汇总金额不一致的，以单价金额计算结果为准。</w:t>
      </w:r>
    </w:p>
    <w:p>
      <w:pPr>
        <w:pStyle w:val="28"/>
        <w:spacing w:line="360" w:lineRule="auto"/>
        <w:ind w:firstLine="417" w:firstLineChars="199"/>
        <w:rPr>
          <w:rFonts w:ascii="宋体" w:cs="宋体"/>
          <w:b w:val="0"/>
          <w:color w:val="auto"/>
          <w:sz w:val="21"/>
          <w:szCs w:val="21"/>
          <w:highlight w:val="none"/>
        </w:rPr>
      </w:pPr>
      <w:r>
        <w:rPr>
          <w:rFonts w:hint="eastAsia" w:ascii="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ascii="宋体" w:hAnsi="宋体" w:cs="宋体"/>
          <w:b/>
          <w:bCs/>
          <w:highlight w:val="none"/>
        </w:rPr>
      </w:pPr>
      <w:r>
        <w:rPr>
          <w:rFonts w:hint="eastAsia" w:ascii="宋体" w:hAnsi="宋体" w:cs="宋体"/>
          <w:b/>
          <w:bCs/>
          <w:highlight w:val="none"/>
        </w:rPr>
        <w:t>四、评标程序</w:t>
      </w:r>
    </w:p>
    <w:p>
      <w:pPr>
        <w:spacing w:line="360" w:lineRule="auto"/>
        <w:ind w:firstLine="422" w:firstLineChars="200"/>
        <w:rPr>
          <w:rFonts w:ascii="宋体" w:hAnsi="宋体" w:cs="宋体"/>
          <w:b/>
          <w:highlight w:val="none"/>
        </w:rPr>
      </w:pPr>
      <w:r>
        <w:rPr>
          <w:rFonts w:hint="eastAsia" w:ascii="宋体" w:hAnsi="宋体" w:cs="宋体"/>
          <w:b/>
          <w:highlight w:val="none"/>
        </w:rPr>
        <w:t>（一）资格条件审查</w:t>
      </w:r>
    </w:p>
    <w:p>
      <w:pPr>
        <w:spacing w:line="360" w:lineRule="auto"/>
        <w:ind w:firstLine="522" w:firstLineChars="249"/>
        <w:rPr>
          <w:rFonts w:ascii="宋体" w:hAnsi="宋体" w:cs="宋体"/>
          <w:highlight w:val="none"/>
        </w:rPr>
      </w:pPr>
      <w:r>
        <w:rPr>
          <w:rFonts w:hint="eastAsia" w:ascii="宋体" w:hAnsi="宋体" w:cs="宋体"/>
          <w:highlight w:val="none"/>
        </w:rPr>
        <w:t>由采购人或采购代理机构对供应商的资格进行审查。</w:t>
      </w:r>
    </w:p>
    <w:tbl>
      <w:tblPr>
        <w:tblStyle w:val="48"/>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highlight w:val="none"/>
              </w:rPr>
            </w:pPr>
            <w:r>
              <w:rPr>
                <w:rFonts w:hint="eastAsia" w:ascii="宋体" w:hAnsi="宋体" w:cs="宋体"/>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highlight w:val="none"/>
              </w:rPr>
            </w:pPr>
            <w:r>
              <w:rPr>
                <w:rFonts w:hint="eastAsia" w:ascii="宋体" w:hAnsi="宋体" w:cs="宋体"/>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4"/>
              </w:numPr>
              <w:spacing w:line="360" w:lineRule="auto"/>
              <w:jc w:val="left"/>
              <w:rPr>
                <w:rFonts w:ascii="宋体" w:hAnsi="宋体" w:cs="宋体"/>
                <w:highlight w:val="none"/>
              </w:rPr>
            </w:pPr>
            <w:r>
              <w:rPr>
                <w:rFonts w:hint="eastAsia" w:ascii="宋体" w:hAnsi="宋体" w:cs="宋体"/>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4"/>
              </w:numPr>
              <w:spacing w:line="360" w:lineRule="auto"/>
              <w:jc w:val="left"/>
              <w:rPr>
                <w:rFonts w:ascii="宋体" w:hAnsi="宋体" w:cs="宋体"/>
                <w:highlight w:val="none"/>
              </w:rPr>
            </w:pPr>
            <w:r>
              <w:rPr>
                <w:rFonts w:hint="eastAsia" w:ascii="宋体" w:hAnsi="宋体" w:cs="宋体"/>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lang w:eastAsia="zh-CN"/>
              </w:rPr>
            </w:pPr>
            <w:r>
              <w:rPr>
                <w:rFonts w:hint="eastAsia" w:ascii="宋体" w:hAnsi="宋体" w:cs="宋体"/>
                <w:highlight w:val="none"/>
              </w:rPr>
              <w:t>（三）落实政府采购政策需满足的资格要求：无</w:t>
            </w:r>
            <w:r>
              <w:rPr>
                <w:rFonts w:hint="eastAsia" w:ascii="宋体" w:hAnsi="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（四）</w:t>
            </w:r>
            <w:r>
              <w:rPr>
                <w:rFonts w:hint="eastAsia" w:ascii="宋体" w:hAnsi="宋体" w:cs="宋体"/>
                <w:color w:val="auto"/>
                <w:highlight w:val="none"/>
              </w:rPr>
              <w:t>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highlight w:val="none"/>
              </w:rPr>
            </w:pPr>
            <w:r>
              <w:rPr>
                <w:rFonts w:hint="eastAsia" w:ascii="宋体" w:hAnsi="宋体" w:cs="宋体"/>
                <w:highlight w:val="none"/>
              </w:rPr>
              <w:t>（五）本项目接受联合体投标。</w:t>
            </w:r>
          </w:p>
        </w:tc>
      </w:tr>
    </w:tbl>
    <w:p>
      <w:pPr>
        <w:spacing w:line="360" w:lineRule="auto"/>
        <w:ind w:firstLine="422" w:firstLineChars="200"/>
        <w:rPr>
          <w:rFonts w:ascii="宋体" w:hAnsi="宋体" w:cs="宋体"/>
          <w:b/>
          <w:highlight w:val="none"/>
        </w:rPr>
      </w:pPr>
      <w:r>
        <w:rPr>
          <w:rFonts w:hint="eastAsia" w:ascii="宋体" w:hAnsi="宋体" w:cs="宋体"/>
          <w:b/>
          <w:highlight w:val="none"/>
        </w:rPr>
        <w:t>（二）符合性审查</w:t>
      </w:r>
    </w:p>
    <w:p>
      <w:pPr>
        <w:spacing w:line="360" w:lineRule="auto"/>
        <w:ind w:firstLine="420" w:firstLineChars="200"/>
        <w:rPr>
          <w:rFonts w:ascii="宋体" w:hAnsi="宋体" w:cs="宋体"/>
          <w:highlight w:val="none"/>
        </w:rPr>
      </w:pPr>
      <w:r>
        <w:rPr>
          <w:rFonts w:hint="eastAsia" w:ascii="宋体" w:hAnsi="宋体" w:cs="宋体"/>
          <w:highlight w:val="none"/>
        </w:rPr>
        <w:t>评标委员会应当对符合资格的供应商的投标文件进行符合性审查，以确定其是否满足采购文件的实质性要求。</w:t>
      </w:r>
    </w:p>
    <w:tbl>
      <w:tblPr>
        <w:tblStyle w:val="48"/>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highlight w:val="none"/>
              </w:rPr>
            </w:pPr>
            <w:r>
              <w:rPr>
                <w:rFonts w:hint="eastAsia" w:asciiTheme="minorEastAsia" w:hAnsiTheme="minorEastAsia" w:eastAsiaTheme="minorEastAsia"/>
                <w:b/>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
                <w:highlight w:val="none"/>
              </w:rPr>
            </w:pPr>
            <w:r>
              <w:rPr>
                <w:rFonts w:hint="eastAsia" w:asciiTheme="minorEastAsia" w:hAnsiTheme="minorEastAsia" w:eastAsiaTheme="minorEastAsia"/>
                <w:b/>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符合性审查</w:t>
            </w:r>
          </w:p>
          <w:p>
            <w:pPr>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三</w:t>
            </w:r>
            <w:r>
              <w:rPr>
                <w:rFonts w:hint="eastAsia" w:asciiTheme="minorEastAsia" w:hAnsiTheme="minorEastAsia" w:eastAsiaTheme="minorEastAsia"/>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四</w:t>
            </w:r>
            <w:r>
              <w:rPr>
                <w:rFonts w:hint="eastAsia" w:asciiTheme="minorEastAsia" w:hAnsiTheme="minorEastAsia" w:eastAsiaTheme="minorEastAsia"/>
                <w:highlight w:val="none"/>
              </w:rPr>
              <w:t>）投标文件的实质性内容使用中文表述且意思表述明确，前后无矛盾且使用计量单位符合采购文件要求的；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五</w:t>
            </w:r>
            <w:r>
              <w:rPr>
                <w:rFonts w:hint="eastAsia" w:asciiTheme="minorEastAsia" w:hAnsiTheme="minorEastAsia" w:eastAsiaTheme="minorEastAsia"/>
                <w:highlight w:val="none"/>
              </w:rPr>
              <w:t>）带“★”的条款满足采购文件要求、已实质性响应采购文件要求且投标文件无采购人不能接受的附加条件的；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六</w:t>
            </w:r>
            <w:r>
              <w:rPr>
                <w:rFonts w:hint="eastAsia" w:asciiTheme="minorEastAsia" w:hAnsiTheme="minorEastAsia" w:eastAsiaTheme="minorEastAsia"/>
                <w:highlight w:val="none"/>
              </w:rPr>
              <w:t>）</w:t>
            </w:r>
            <w:r>
              <w:rPr>
                <w:rFonts w:hint="eastAsia" w:ascii="宋体" w:hAnsi="宋体" w:eastAsia="宋体" w:cs="宋体"/>
                <w:b w:val="0"/>
                <w:bCs/>
                <w:color w:val="auto"/>
                <w:szCs w:val="21"/>
                <w:highlight w:val="none"/>
              </w:rPr>
              <w:t>采购需求（技术）响应情况分值扣至0分（或以下）时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八</w:t>
            </w:r>
            <w:r>
              <w:rPr>
                <w:rFonts w:hint="eastAsia" w:asciiTheme="minorEastAsia" w:hAnsiTheme="minorEastAsia" w:eastAsiaTheme="minorEastAsia"/>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九</w:t>
            </w:r>
            <w:r>
              <w:rPr>
                <w:rFonts w:hint="eastAsia" w:asciiTheme="minorEastAsia" w:hAnsiTheme="minorEastAsia" w:eastAsiaTheme="minorEastAsia"/>
                <w:highlight w:val="none"/>
              </w:rPr>
              <w:t>）不存在投标文件的有效期不满足采购文件要求情形；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符合性审查</w:t>
            </w:r>
          </w:p>
          <w:p>
            <w:pPr>
              <w:spacing w:line="360" w:lineRule="auto"/>
              <w:ind w:firstLine="210" w:firstLineChars="100"/>
              <w:jc w:val="center"/>
              <w:rPr>
                <w:rFonts w:asciiTheme="minorEastAsia" w:hAnsiTheme="minorEastAsia" w:eastAsiaTheme="minorEastAsia"/>
                <w:highlight w:val="none"/>
              </w:rPr>
            </w:pPr>
            <w:r>
              <w:rPr>
                <w:rFonts w:hint="eastAsia" w:asciiTheme="minorEastAsia" w:hAnsiTheme="minorEastAsia" w:eastAsiaTheme="minorEastAsia"/>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二</w:t>
            </w:r>
            <w:r>
              <w:rPr>
                <w:rFonts w:hint="eastAsia" w:asciiTheme="minorEastAsia" w:hAnsiTheme="minorEastAsia" w:eastAsiaTheme="minorEastAsia"/>
                <w:highlight w:val="none"/>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三</w:t>
            </w:r>
            <w:r>
              <w:rPr>
                <w:rFonts w:hint="eastAsia" w:asciiTheme="minorEastAsia" w:hAnsiTheme="minorEastAsia" w:eastAsiaTheme="minorEastAsia"/>
                <w:highlight w:val="none"/>
              </w:rPr>
              <w:t>）不存在报价超出最高限价，或者超出采购预算金额，采购人不能支付的情形。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四</w:t>
            </w:r>
            <w:r>
              <w:rPr>
                <w:rFonts w:hint="eastAsia" w:asciiTheme="minorEastAsia" w:hAnsiTheme="minorEastAsia" w:eastAsiaTheme="minorEastAsia"/>
                <w:highlight w:val="none"/>
              </w:rPr>
              <w:t>）不存在投标报价具有选择性的情形；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五</w:t>
            </w:r>
            <w:r>
              <w:rPr>
                <w:rFonts w:hint="eastAsia" w:asciiTheme="minorEastAsia" w:hAnsiTheme="minorEastAsia" w:eastAsiaTheme="minorEastAsia"/>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六</w:t>
            </w:r>
            <w:r>
              <w:rPr>
                <w:rFonts w:hint="eastAsia" w:asciiTheme="minorEastAsia" w:hAnsiTheme="minorEastAsia" w:eastAsiaTheme="minorEastAsia"/>
                <w:highlight w:val="none"/>
              </w:rPr>
              <w:t>）不存在评标委员会认为供应商的报价明显低于其他通过符合性审查供应商的报价，有可能影响产品质量或者不能诚信履约的且不能在评标现场合理时间内提供相关证明材料说明其报价的合理性的情形；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八</w:t>
            </w:r>
            <w:r>
              <w:rPr>
                <w:rFonts w:hint="eastAsia" w:asciiTheme="minorEastAsia" w:hAnsiTheme="minorEastAsia" w:eastAsiaTheme="minorEastAsia"/>
                <w:highlight w:val="none"/>
              </w:rPr>
              <w:t>）不存在法律、法规和采购文件规定的其他无效情形；</w:t>
            </w:r>
          </w:p>
        </w:tc>
      </w:tr>
    </w:tbl>
    <w:p>
      <w:pPr>
        <w:spacing w:line="360" w:lineRule="auto"/>
        <w:ind w:firstLine="422" w:firstLineChars="200"/>
        <w:rPr>
          <w:rFonts w:ascii="宋体" w:hAnsi="宋体" w:cs="宋体"/>
          <w:b/>
          <w:highlight w:val="none"/>
        </w:rPr>
      </w:pPr>
      <w:r>
        <w:rPr>
          <w:rFonts w:hint="eastAsia" w:ascii="宋体" w:hAnsi="宋体" w:cs="宋体"/>
          <w:b/>
          <w:highlight w:val="none"/>
        </w:rPr>
        <w:t>（三）投标无效的情形</w:t>
      </w:r>
    </w:p>
    <w:p>
      <w:pPr>
        <w:spacing w:line="360" w:lineRule="auto"/>
        <w:ind w:firstLine="420" w:firstLineChars="200"/>
        <w:rPr>
          <w:rFonts w:ascii="宋体" w:hAnsi="宋体" w:cs="宋体"/>
          <w:highlight w:val="none"/>
        </w:rPr>
      </w:pPr>
      <w:r>
        <w:rPr>
          <w:rFonts w:hint="eastAsia" w:ascii="宋体" w:hAnsi="宋体" w:cs="宋体"/>
          <w:highlight w:val="none"/>
        </w:rPr>
        <w:t>没有响应采购文件实质性要求的投标将被视为无效投标。供应商不得通过修正或撤消不合要求的偏离或保留从而使其投标成为实质上响应的投标。</w:t>
      </w:r>
    </w:p>
    <w:p>
      <w:pPr>
        <w:widowControl/>
        <w:numPr>
          <w:ilvl w:val="0"/>
          <w:numId w:val="15"/>
        </w:numPr>
        <w:spacing w:line="360" w:lineRule="auto"/>
        <w:jc w:val="left"/>
        <w:rPr>
          <w:rFonts w:ascii="宋体" w:hAnsi="宋体" w:cs="宋体"/>
          <w:b/>
          <w:bCs/>
          <w:highlight w:val="none"/>
        </w:rPr>
      </w:pPr>
      <w:r>
        <w:rPr>
          <w:rFonts w:hint="eastAsia" w:ascii="宋体" w:hAnsi="宋体" w:cs="宋体"/>
          <w:b/>
          <w:bCs/>
          <w:highlight w:val="none"/>
        </w:rPr>
        <w:t>在资格审查时，如发现下列情形之一的，将被视为无效投标文件：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资格证明文件不全的或者不符合采购文件标明的资格要求的或者未按采购文件规定要求签署、盖章；；</w:t>
      </w:r>
    </w:p>
    <w:p>
      <w:pPr>
        <w:spacing w:line="360" w:lineRule="auto"/>
        <w:rPr>
          <w:rFonts w:ascii="宋体" w:hAnsi="宋体" w:cs="宋体"/>
          <w:b/>
          <w:bCs/>
          <w:highlight w:val="none"/>
        </w:rPr>
      </w:pPr>
      <w:r>
        <w:rPr>
          <w:rFonts w:hint="eastAsia" w:ascii="宋体" w:hAnsi="宋体" w:cs="宋体"/>
          <w:b/>
          <w:bCs/>
          <w:highlight w:val="none"/>
        </w:rPr>
        <w:t>B、在符合性审查（商务技术文件）时，如发现下列情形之一的，将被视为无效投标文件：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1、未按照采购文件规定要求签署或盖章；</w:t>
      </w:r>
    </w:p>
    <w:p>
      <w:pPr>
        <w:spacing w:line="360" w:lineRule="auto"/>
        <w:ind w:firstLine="420" w:firstLineChars="200"/>
        <w:rPr>
          <w:rFonts w:ascii="宋体" w:hAnsi="宋体" w:cs="宋体"/>
          <w:highlight w:val="none"/>
        </w:rPr>
      </w:pPr>
      <w:r>
        <w:rPr>
          <w:rFonts w:hint="eastAsia" w:ascii="宋体" w:hAnsi="宋体" w:cs="宋体"/>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、投标文件标明的响应或偏离与事实不符或虚假投标的；</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、带“★”的条款不能满足采购文件要求、未实质性响应采购文件要求或者投标文件有采购人不能接受的附加条件的；</w:t>
      </w:r>
    </w:p>
    <w:p>
      <w:pPr>
        <w:spacing w:line="360" w:lineRule="auto"/>
        <w:ind w:firstLine="420" w:firstLineChars="200"/>
        <w:rPr>
          <w:rFonts w:hint="eastAsia" w:ascii="宋体" w:hAnsi="宋体" w:cs="宋体"/>
          <w:highlight w:val="none"/>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采购需求（技术）响应情况分值扣至0分（或以下）时。</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、投标技术方案不明确，存在一个或一个以上备选（替代）投标方案的；</w:t>
      </w:r>
    </w:p>
    <w:p>
      <w:pPr>
        <w:spacing w:line="360" w:lineRule="auto"/>
        <w:ind w:firstLine="42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、法律、法规和采购文件规定的其他无效情形；</w:t>
      </w:r>
    </w:p>
    <w:p>
      <w:pPr>
        <w:spacing w:line="360" w:lineRule="auto"/>
        <w:ind w:firstLine="420"/>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、投标文件的有效期不满足采购文件要求；</w:t>
      </w:r>
    </w:p>
    <w:p>
      <w:pPr>
        <w:spacing w:line="360" w:lineRule="auto"/>
        <w:rPr>
          <w:rFonts w:ascii="宋体" w:hAnsi="宋体" w:cs="宋体"/>
          <w:b/>
          <w:bCs/>
          <w:kern w:val="0"/>
          <w:highlight w:val="none"/>
        </w:rPr>
      </w:pPr>
      <w:r>
        <w:rPr>
          <w:rFonts w:hint="eastAsia" w:ascii="宋体" w:hAnsi="宋体" w:cs="宋体"/>
          <w:b/>
          <w:bCs/>
          <w:highlight w:val="none"/>
        </w:rPr>
        <w:t>C、在符合性审查（报价文件）时，如发现下列情形之一的，将被视为无效投标文件：</w:t>
      </w:r>
    </w:p>
    <w:p>
      <w:pPr>
        <w:spacing w:line="360" w:lineRule="auto"/>
        <w:ind w:firstLine="420" w:firstLineChars="200"/>
        <w:rPr>
          <w:rFonts w:ascii="宋体" w:hAnsi="宋体" w:cs="宋体"/>
          <w:highlight w:val="none"/>
        </w:rPr>
      </w:pPr>
      <w:r>
        <w:rPr>
          <w:rFonts w:hint="eastAsia" w:ascii="宋体" w:hAnsi="宋体" w:cs="宋体"/>
          <w:highlight w:val="none"/>
        </w:rPr>
        <w:t>1、未按照采购文件规定要求签署或盖章；</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、未采用人民币报价或者未按照采购文件标明的币种报价的；</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、报价超出最高限价，或者超出采购预算金额，采购人不能支付的；</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、投标报价具有选择性的；</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、投标报价中出现重大缺项、漏项；</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、投标文件（报价文件）内容与投标文件（商务技术文件）内容有重大差异的；</w:t>
      </w:r>
    </w:p>
    <w:p>
      <w:pPr>
        <w:spacing w:line="360" w:lineRule="auto"/>
        <w:ind w:firstLine="420" w:firstLineChars="200"/>
        <w:rPr>
          <w:rFonts w:ascii="宋体"/>
          <w:highlight w:val="none"/>
        </w:rPr>
      </w:pPr>
      <w:r>
        <w:rPr>
          <w:rFonts w:hint="eastAsia" w:ascii="宋体" w:hAnsi="宋体" w:cs="宋体"/>
          <w:highlight w:val="none"/>
          <w:lang w:val="en-US" w:eastAsia="zh-CN"/>
        </w:rPr>
        <w:t>8</w:t>
      </w:r>
      <w:r>
        <w:rPr>
          <w:rFonts w:hint="eastAsia" w:ascii="宋体" w:hAnsi="宋体" w:cs="宋体"/>
          <w:highlight w:val="none"/>
        </w:rPr>
        <w:t>、法律、法规和采购文件规定的其他无效情形；</w:t>
      </w:r>
    </w:p>
    <w:p>
      <w:pPr>
        <w:spacing w:line="360" w:lineRule="auto"/>
        <w:rPr>
          <w:rFonts w:hint="eastAsia" w:ascii="宋体" w:hAnsi="宋体"/>
          <w:b/>
          <w:highlight w:val="none"/>
        </w:rPr>
      </w:pPr>
      <w:r>
        <w:rPr>
          <w:rFonts w:hint="eastAsia" w:ascii="宋体" w:hAnsi="宋体"/>
          <w:b/>
          <w:highlight w:val="none"/>
        </w:rPr>
        <w:t>（四）评分标准</w:t>
      </w:r>
    </w:p>
    <w:tbl>
      <w:tblPr>
        <w:tblStyle w:val="48"/>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57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50"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573" w:type="dxa"/>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50"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573" w:type="dxa"/>
          </w:tcPr>
          <w:p>
            <w:pPr>
              <w:spacing w:before="120" w:beforeLines="50" w:after="120" w:afterLines="5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573"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39</w:t>
            </w:r>
            <w:r>
              <w:rPr>
                <w:rFonts w:hint="eastAsia" w:ascii="宋体" w:hAnsi="宋体" w:eastAsia="宋体" w:cs="宋体"/>
                <w:b/>
                <w:bCs/>
                <w:color w:val="auto"/>
                <w:sz w:val="21"/>
                <w:szCs w:val="21"/>
                <w:highlight w:val="none"/>
              </w:rPr>
              <w:t>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1.本项目招标文件第</w:t>
            </w:r>
            <w:r>
              <w:rPr>
                <w:rFonts w:hint="eastAsia" w:ascii="宋体" w:hAnsi="宋体" w:cs="宋体"/>
                <w:color w:val="auto"/>
                <w:highlight w:val="none"/>
                <w:lang w:val="en-US" w:eastAsia="zh-CN"/>
              </w:rPr>
              <w:t>四</w:t>
            </w:r>
            <w:r>
              <w:rPr>
                <w:rFonts w:hint="eastAsia" w:ascii="宋体" w:hAnsi="宋体" w:cs="宋体"/>
                <w:color w:val="auto"/>
                <w:highlight w:val="none"/>
              </w:rPr>
              <w:t>章“招标需求”中“</w:t>
            </w:r>
            <w:r>
              <w:rPr>
                <w:rFonts w:hint="eastAsia" w:ascii="宋体" w:hAnsi="宋体" w:cs="宋体"/>
                <w:color w:val="auto"/>
                <w:highlight w:val="none"/>
                <w:lang w:val="en-US" w:eastAsia="zh-CN"/>
              </w:rPr>
              <w:t>一</w:t>
            </w:r>
            <w:r>
              <w:rPr>
                <w:rFonts w:hint="eastAsia" w:ascii="宋体" w:hAnsi="宋体" w:cs="宋体"/>
                <w:color w:val="auto"/>
                <w:highlight w:val="none"/>
              </w:rPr>
              <w:t>、技术需求”中所有技术条款共有</w:t>
            </w:r>
            <w:r>
              <w:rPr>
                <w:rFonts w:hint="eastAsia" w:ascii="宋体" w:hAnsi="宋体" w:cs="宋体"/>
                <w:color w:val="auto"/>
                <w:highlight w:val="none"/>
                <w:lang w:val="en-US" w:eastAsia="zh-CN"/>
              </w:rPr>
              <w:t>46</w:t>
            </w:r>
            <w:r>
              <w:rPr>
                <w:rFonts w:hint="eastAsia" w:ascii="宋体" w:hAnsi="宋体" w:cs="宋体"/>
                <w:color w:val="auto"/>
                <w:highlight w:val="none"/>
              </w:rPr>
              <w:t>项技术条款：标注“★”号的技术条款</w:t>
            </w:r>
            <w:r>
              <w:rPr>
                <w:rFonts w:hint="eastAsia" w:ascii="宋体" w:hAnsi="宋体" w:cs="宋体"/>
                <w:color w:val="auto"/>
                <w:highlight w:val="none"/>
                <w:lang w:val="en-US" w:eastAsia="zh-CN"/>
              </w:rPr>
              <w:t>为实质性</w:t>
            </w:r>
            <w:r>
              <w:rPr>
                <w:rFonts w:hint="eastAsia" w:ascii="宋体" w:hAnsi="宋体" w:cs="宋体"/>
                <w:color w:val="auto"/>
                <w:highlight w:val="none"/>
              </w:rPr>
              <w:t>技术条款共</w:t>
            </w:r>
            <w:r>
              <w:rPr>
                <w:rFonts w:hint="eastAsia" w:ascii="宋体" w:hAnsi="宋体" w:cs="宋体"/>
                <w:color w:val="auto"/>
                <w:highlight w:val="none"/>
                <w:lang w:val="en-US" w:eastAsia="zh-CN"/>
              </w:rPr>
              <w:t>2</w:t>
            </w:r>
            <w:r>
              <w:rPr>
                <w:rFonts w:hint="eastAsia" w:ascii="宋体" w:hAnsi="宋体" w:cs="宋体"/>
                <w:color w:val="auto"/>
                <w:highlight w:val="none"/>
              </w:rPr>
              <w:t>项，标注“▲”号的技术条款为重要技术条款共</w:t>
            </w:r>
            <w:r>
              <w:rPr>
                <w:rFonts w:hint="eastAsia" w:ascii="宋体" w:hAnsi="宋体" w:cs="宋体"/>
                <w:color w:val="auto"/>
                <w:highlight w:val="none"/>
                <w:lang w:val="en-US" w:eastAsia="zh-CN"/>
              </w:rPr>
              <w:t>9</w:t>
            </w:r>
            <w:r>
              <w:rPr>
                <w:rFonts w:hint="eastAsia" w:ascii="宋体" w:hAnsi="宋体" w:cs="宋体"/>
                <w:color w:val="auto"/>
                <w:highlight w:val="none"/>
              </w:rPr>
              <w:t>项，其他技术条款为普通技术条款共</w:t>
            </w:r>
            <w:r>
              <w:rPr>
                <w:rFonts w:hint="eastAsia" w:ascii="宋体" w:hAnsi="宋体" w:cs="宋体"/>
                <w:color w:val="auto"/>
                <w:highlight w:val="none"/>
                <w:lang w:val="en-US" w:eastAsia="zh-CN"/>
              </w:rPr>
              <w:t>35</w:t>
            </w:r>
            <w:r>
              <w:rPr>
                <w:rFonts w:hint="eastAsia" w:ascii="宋体" w:hAnsi="宋体" w:cs="宋体"/>
                <w:color w:val="auto"/>
                <w:highlight w:val="none"/>
              </w:rPr>
              <w:t>项。完全满足招标文件第</w:t>
            </w:r>
            <w:r>
              <w:rPr>
                <w:rFonts w:hint="eastAsia" w:ascii="宋体" w:hAnsi="宋体" w:cs="宋体"/>
                <w:color w:val="auto"/>
                <w:highlight w:val="none"/>
                <w:lang w:val="en-US" w:eastAsia="zh-CN"/>
              </w:rPr>
              <w:t>四</w:t>
            </w:r>
            <w:r>
              <w:rPr>
                <w:rFonts w:hint="eastAsia" w:ascii="宋体" w:hAnsi="宋体" w:cs="宋体"/>
                <w:color w:val="auto"/>
                <w:highlight w:val="none"/>
              </w:rPr>
              <w:t>章“招标需求”中“</w:t>
            </w:r>
            <w:r>
              <w:rPr>
                <w:rFonts w:hint="eastAsia" w:ascii="宋体" w:hAnsi="宋体" w:cs="宋体"/>
                <w:color w:val="auto"/>
                <w:highlight w:val="none"/>
                <w:lang w:val="en-US" w:eastAsia="zh-CN"/>
              </w:rPr>
              <w:t>一</w:t>
            </w:r>
            <w:r>
              <w:rPr>
                <w:rFonts w:hint="eastAsia" w:ascii="宋体" w:hAnsi="宋体" w:cs="宋体"/>
                <w:color w:val="auto"/>
                <w:highlight w:val="none"/>
              </w:rPr>
              <w:t>、技术需求”中所有技术条款的得</w:t>
            </w:r>
            <w:r>
              <w:rPr>
                <w:rFonts w:hint="eastAsia" w:ascii="宋体" w:hAnsi="宋体" w:cs="宋体"/>
                <w:color w:val="auto"/>
                <w:highlight w:val="none"/>
                <w:lang w:val="en-US" w:eastAsia="zh-CN"/>
              </w:rPr>
              <w:t>39</w:t>
            </w:r>
            <w:r>
              <w:rPr>
                <w:rFonts w:hint="eastAsia" w:ascii="宋体" w:hAnsi="宋体" w:cs="宋体"/>
                <w:color w:val="auto"/>
                <w:highlight w:val="none"/>
              </w:rPr>
              <w:t>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2. 一条及以上“★”实质性技术条款负偏离的，作无效标处理；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3.标注“▲”号的技术条款的负偏离按以下进行：</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3.1标注“▲”号的技术条款无负偏离得满分</w:t>
            </w:r>
            <w:r>
              <w:rPr>
                <w:rFonts w:hint="eastAsia" w:ascii="宋体" w:hAnsi="宋体" w:cs="宋体"/>
                <w:color w:val="auto"/>
                <w:highlight w:val="none"/>
                <w:lang w:val="en-US" w:eastAsia="zh-CN"/>
              </w:rPr>
              <w:t>18</w:t>
            </w:r>
            <w:r>
              <w:rPr>
                <w:rFonts w:hint="eastAsia" w:ascii="宋体" w:hAnsi="宋体" w:cs="宋体"/>
                <w:color w:val="auto"/>
                <w:highlight w:val="none"/>
              </w:rPr>
              <w:t>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3.2每负偏离1条“▲”号的技术条款，扣2分。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4.非标注“▲”号</w:t>
            </w:r>
            <w:r>
              <w:rPr>
                <w:rFonts w:hint="eastAsia" w:ascii="宋体" w:hAnsi="宋体" w:cs="宋体"/>
                <w:color w:val="auto"/>
                <w:highlight w:val="none"/>
                <w:lang w:val="en-US" w:eastAsia="zh-CN"/>
              </w:rPr>
              <w:t>和非</w:t>
            </w:r>
            <w:r>
              <w:rPr>
                <w:rFonts w:hint="eastAsia" w:ascii="宋体" w:hAnsi="宋体" w:cs="宋体"/>
                <w:color w:val="auto"/>
                <w:highlight w:val="none"/>
              </w:rPr>
              <w:t>标注“★”号的技术条款为普通技术条款。</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普通技术条款的负偏离按以下进行：</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4.1无负偏离得满分</w:t>
            </w:r>
            <w:r>
              <w:rPr>
                <w:rFonts w:hint="eastAsia" w:ascii="宋体" w:hAnsi="宋体" w:cs="宋体"/>
                <w:color w:val="auto"/>
                <w:highlight w:val="none"/>
                <w:lang w:val="en-US" w:eastAsia="zh-CN"/>
              </w:rPr>
              <w:t>21</w:t>
            </w:r>
            <w:r>
              <w:rPr>
                <w:rFonts w:hint="eastAsia" w:ascii="宋体" w:hAnsi="宋体" w:cs="宋体"/>
                <w:color w:val="auto"/>
                <w:highlight w:val="none"/>
              </w:rPr>
              <w:t>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4.2普通技术条款负偏离≤</w:t>
            </w:r>
            <w:r>
              <w:rPr>
                <w:rFonts w:hint="eastAsia" w:ascii="宋体" w:hAnsi="宋体" w:cs="宋体"/>
                <w:color w:val="auto"/>
                <w:highlight w:val="none"/>
                <w:lang w:val="en-US" w:eastAsia="zh-CN"/>
              </w:rPr>
              <w:t>10</w:t>
            </w:r>
            <w:r>
              <w:rPr>
                <w:rFonts w:hint="eastAsia" w:ascii="宋体" w:hAnsi="宋体" w:cs="宋体"/>
                <w:color w:val="auto"/>
                <w:highlight w:val="none"/>
              </w:rPr>
              <w:t>条的按以下原则评审：普通技术条款每负偏离1条，扣1分。</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4.3普通技术条款负偏离＞</w:t>
            </w:r>
            <w:r>
              <w:rPr>
                <w:rFonts w:hint="eastAsia" w:ascii="宋体" w:hAnsi="宋体" w:cs="宋体"/>
                <w:color w:val="auto"/>
                <w:highlight w:val="none"/>
                <w:lang w:val="en-US" w:eastAsia="zh-CN"/>
              </w:rPr>
              <w:t>10</w:t>
            </w:r>
            <w:r>
              <w:rPr>
                <w:rFonts w:hint="eastAsia" w:ascii="宋体" w:hAnsi="宋体" w:cs="宋体"/>
                <w:color w:val="auto"/>
                <w:highlight w:val="none"/>
              </w:rPr>
              <w:t>条的按以下原则评审：</w:t>
            </w:r>
          </w:p>
          <w:p>
            <w:pPr>
              <w:spacing w:line="360" w:lineRule="auto"/>
              <w:jc w:val="left"/>
              <w:rPr>
                <w:rFonts w:hint="default" w:ascii="宋体" w:hAnsi="宋体" w:eastAsia="宋体" w:cs="宋体"/>
                <w:b/>
                <w:bCs/>
                <w:color w:val="auto"/>
                <w:sz w:val="21"/>
                <w:szCs w:val="21"/>
                <w:highlight w:val="none"/>
                <w:lang w:val="en-US" w:eastAsia="zh-CN"/>
              </w:rPr>
            </w:pPr>
            <w:r>
              <w:rPr>
                <w:rFonts w:hint="eastAsia" w:ascii="宋体" w:hAnsi="宋体" w:cs="宋体"/>
                <w:color w:val="auto"/>
                <w:highlight w:val="none"/>
              </w:rPr>
              <w:t>投标人得分=</w:t>
            </w:r>
            <w:r>
              <w:rPr>
                <w:rFonts w:hint="eastAsia" w:ascii="宋体" w:hAnsi="宋体" w:cs="宋体"/>
                <w:color w:val="auto"/>
                <w:highlight w:val="none"/>
                <w:lang w:val="en-US" w:eastAsia="zh-CN"/>
              </w:rPr>
              <w:t>11</w:t>
            </w:r>
            <w:r>
              <w:rPr>
                <w:rFonts w:hint="eastAsia" w:ascii="宋体" w:hAnsi="宋体" w:cs="宋体"/>
                <w:color w:val="auto"/>
                <w:highlight w:val="none"/>
              </w:rPr>
              <w:t>-（负偏离条数-</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0.44</w:t>
            </w:r>
          </w:p>
        </w:tc>
        <w:tc>
          <w:tcPr>
            <w:tcW w:w="1185" w:type="dxa"/>
            <w:vAlign w:val="center"/>
          </w:tcPr>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39</w:t>
            </w:r>
            <w:r>
              <w:rPr>
                <w:rFonts w:hint="eastAsia" w:ascii="宋体" w:hAnsi="宋体" w:eastAsia="宋体" w:cs="宋体"/>
                <w:bCs/>
                <w:color w:val="auto"/>
                <w:sz w:val="21"/>
                <w:szCs w:val="21"/>
                <w:highlight w:val="none"/>
              </w:rPr>
              <w:t>分</w:t>
            </w:r>
          </w:p>
          <w:p>
            <w:pPr>
              <w:spacing w:before="120" w:beforeLines="50" w:after="120" w:afterLines="50" w:line="360" w:lineRule="auto"/>
              <w:jc w:val="center"/>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573" w:type="dxa"/>
            <w:vAlign w:val="center"/>
          </w:tcPr>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w:t>
            </w:r>
            <w:r>
              <w:rPr>
                <w:rFonts w:hint="eastAsia" w:ascii="宋体" w:hAnsi="宋体" w:cs="宋体"/>
                <w:sz w:val="21"/>
                <w:szCs w:val="21"/>
                <w:lang w:val="en-US" w:eastAsia="zh-CN"/>
              </w:rPr>
              <w:t>同类</w:t>
            </w:r>
            <w:r>
              <w:rPr>
                <w:rFonts w:hint="eastAsia" w:ascii="宋体" w:hAnsi="宋体" w:eastAsia="宋体" w:cs="宋体"/>
                <w:sz w:val="21"/>
                <w:szCs w:val="21"/>
              </w:rPr>
              <w:t>流水线</w:t>
            </w:r>
            <w:r>
              <w:rPr>
                <w:rFonts w:hint="eastAsia" w:ascii="宋体" w:hAnsi="宋体" w:eastAsia="宋体" w:cs="宋体"/>
                <w:b w:val="0"/>
                <w:bCs w:val="0"/>
                <w:color w:val="auto"/>
                <w:sz w:val="21"/>
                <w:szCs w:val="21"/>
                <w:highlight w:val="none"/>
              </w:rPr>
              <w:t>，合同签订时间自2021年1月1日以来的，与最终用户签订的销</w:t>
            </w:r>
            <w:bookmarkStart w:id="211" w:name="_GoBack"/>
            <w:bookmarkEnd w:id="211"/>
            <w:r>
              <w:rPr>
                <w:rFonts w:hint="eastAsia" w:ascii="宋体" w:hAnsi="宋体" w:eastAsia="宋体" w:cs="宋体"/>
                <w:b w:val="0"/>
                <w:bCs w:val="0"/>
                <w:color w:val="auto"/>
                <w:sz w:val="21"/>
                <w:szCs w:val="21"/>
                <w:highlight w:val="none"/>
              </w:rPr>
              <w:t>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供货方案（3分）：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根据投标人提供的供货方案，对供货期限、交货方式、供货保障流程、供货流程要点以及供货实施步骤进行评议：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方案内容基本符合本项目的供货要求，但是实行上略有欠缺的得1分；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提供的安装与验收方案，对安装方案、安装人员配置、调试要求、开箱测试方式以及产品验收方案进行评议：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安装与验收方案符合项目实际要求，但存在一定缺项的得1分；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b/>
                <w:bCs/>
                <w:highlight w:val="none"/>
              </w:rPr>
              <w:t>试剂质量保证措施：</w:t>
            </w:r>
            <w:r>
              <w:rPr>
                <w:rFonts w:hint="eastAsia" w:ascii="宋体" w:hAnsi="宋体" w:cs="宋体"/>
                <w:highlight w:val="none"/>
              </w:rPr>
              <w:t>根据投标人针对本项目制定的质量保证措施</w:t>
            </w:r>
            <w:r>
              <w:rPr>
                <w:rFonts w:hint="eastAsia" w:ascii="宋体" w:hAnsi="宋体" w:cs="宋体"/>
                <w:highlight w:val="none"/>
                <w:lang w:eastAsia="zh-CN"/>
              </w:rPr>
              <w:t>，</w:t>
            </w:r>
            <w:r>
              <w:rPr>
                <w:rFonts w:hint="eastAsia" w:ascii="宋体" w:hAnsi="宋体" w:cs="宋体"/>
                <w:highlight w:val="none"/>
                <w:lang w:val="en-US" w:eastAsia="zh-CN"/>
              </w:rPr>
              <w:t>对</w:t>
            </w:r>
            <w:r>
              <w:rPr>
                <w:rFonts w:hint="eastAsia" w:ascii="宋体" w:hAnsi="宋体" w:cs="宋体"/>
                <w:highlight w:val="none"/>
              </w:rPr>
              <w:t>试剂的来源渠道</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cs="宋体"/>
                <w:highlight w:val="none"/>
              </w:rPr>
              <w:t>试剂</w:t>
            </w:r>
            <w:r>
              <w:rPr>
                <w:rFonts w:hint="eastAsia" w:ascii="宋体" w:hAnsi="宋体" w:cs="宋体"/>
                <w:highlight w:val="none"/>
                <w:lang w:val="en-US" w:eastAsia="zh-CN"/>
              </w:rPr>
              <w:t>保存方式</w:t>
            </w:r>
            <w:r>
              <w:rPr>
                <w:rFonts w:hint="eastAsia" w:ascii="宋体" w:hAnsi="宋体" w:eastAsia="宋体" w:cs="宋体"/>
                <w:b w:val="0"/>
                <w:bCs w:val="0"/>
                <w:i w:val="0"/>
                <w:iCs w:val="0"/>
                <w:color w:val="auto"/>
                <w:kern w:val="0"/>
                <w:sz w:val="21"/>
                <w:szCs w:val="21"/>
                <w:highlight w:val="none"/>
                <w:lang w:val="en-US" w:eastAsia="zh-CN"/>
              </w:rPr>
              <w:t>、运输流程、试剂的保证措施以及试剂管理体系进行评议：</w:t>
            </w:r>
          </w:p>
          <w:p>
            <w:pPr>
              <w:spacing w:line="360" w:lineRule="auto"/>
              <w:rPr>
                <w:rFonts w:hint="eastAsia" w:ascii="宋体" w:hAnsi="宋体" w:cs="宋体"/>
                <w:highlight w:val="none"/>
              </w:rPr>
            </w:pPr>
            <w:r>
              <w:rPr>
                <w:rFonts w:hint="eastAsia" w:ascii="宋体" w:hAnsi="宋体" w:cs="宋体"/>
                <w:highlight w:val="none"/>
                <w:lang w:val="en-US" w:eastAsia="zh-CN"/>
              </w:rPr>
              <w:t>试剂的保存、运输方式以及</w:t>
            </w:r>
            <w:r>
              <w:rPr>
                <w:rFonts w:hint="eastAsia" w:ascii="宋体" w:hAnsi="宋体" w:cs="宋体"/>
                <w:highlight w:val="none"/>
              </w:rPr>
              <w:t>质量保证措施合理科学</w:t>
            </w:r>
            <w:r>
              <w:rPr>
                <w:rFonts w:hint="eastAsia" w:ascii="宋体" w:hAnsi="宋体" w:cs="宋体"/>
                <w:highlight w:val="none"/>
                <w:lang w:eastAsia="zh-CN"/>
              </w:rPr>
              <w:t>，</w:t>
            </w:r>
            <w:r>
              <w:rPr>
                <w:rFonts w:hint="eastAsia" w:ascii="宋体" w:hAnsi="宋体" w:cs="宋体"/>
                <w:highlight w:val="none"/>
                <w:lang w:val="en-US" w:eastAsia="zh-CN"/>
              </w:rPr>
              <w:t>管理体系完整全面的</w:t>
            </w:r>
            <w:r>
              <w:rPr>
                <w:rFonts w:hint="eastAsia" w:ascii="宋体" w:hAnsi="宋体" w:cs="宋体"/>
                <w:highlight w:val="none"/>
              </w:rPr>
              <w:t>得3分；</w:t>
            </w:r>
          </w:p>
          <w:p>
            <w:pPr>
              <w:spacing w:line="360" w:lineRule="auto"/>
              <w:rPr>
                <w:rFonts w:hint="eastAsia" w:ascii="宋体" w:hAnsi="宋体" w:cs="宋体"/>
                <w:highlight w:val="none"/>
              </w:rPr>
            </w:pPr>
            <w:r>
              <w:rPr>
                <w:rFonts w:hint="eastAsia" w:ascii="宋体" w:hAnsi="宋体" w:cs="宋体"/>
                <w:highlight w:val="none"/>
                <w:lang w:val="en-US" w:eastAsia="zh-CN"/>
              </w:rPr>
              <w:t>试剂的保存、运输、</w:t>
            </w:r>
            <w:r>
              <w:rPr>
                <w:rFonts w:hint="eastAsia" w:ascii="宋体" w:hAnsi="宋体" w:cs="宋体"/>
                <w:highlight w:val="none"/>
              </w:rPr>
              <w:t>质量保证措施</w:t>
            </w:r>
            <w:r>
              <w:rPr>
                <w:rFonts w:hint="eastAsia" w:ascii="宋体" w:hAnsi="宋体" w:cs="宋体"/>
                <w:highlight w:val="none"/>
                <w:lang w:val="en-US" w:eastAsia="zh-CN"/>
              </w:rPr>
              <w:t>内容基本</w:t>
            </w:r>
            <w:r>
              <w:rPr>
                <w:rFonts w:hint="eastAsia" w:ascii="宋体" w:hAnsi="宋体" w:cs="宋体"/>
                <w:highlight w:val="none"/>
              </w:rPr>
              <w:t>合理科学</w:t>
            </w:r>
            <w:r>
              <w:rPr>
                <w:rFonts w:hint="eastAsia" w:ascii="宋体" w:hAnsi="宋体" w:cs="宋体"/>
                <w:highlight w:val="none"/>
                <w:lang w:eastAsia="zh-CN"/>
              </w:rPr>
              <w:t>，</w:t>
            </w:r>
            <w:r>
              <w:rPr>
                <w:rFonts w:hint="eastAsia" w:ascii="宋体" w:hAnsi="宋体" w:cs="宋体"/>
                <w:highlight w:val="none"/>
                <w:lang w:val="en-US" w:eastAsia="zh-CN"/>
              </w:rPr>
              <w:t>管理体系较全面的</w:t>
            </w:r>
            <w:r>
              <w:rPr>
                <w:rFonts w:hint="eastAsia" w:ascii="宋体" w:hAnsi="宋体" w:cs="宋体"/>
                <w:highlight w:val="none"/>
              </w:rPr>
              <w:t>得2分；</w:t>
            </w:r>
          </w:p>
          <w:p>
            <w:pPr>
              <w:spacing w:line="360" w:lineRule="auto"/>
              <w:rPr>
                <w:rFonts w:hint="eastAsia" w:ascii="宋体" w:hAnsi="宋体" w:cs="宋体"/>
                <w:highlight w:val="none"/>
              </w:rPr>
            </w:pPr>
            <w:r>
              <w:rPr>
                <w:rFonts w:hint="eastAsia" w:ascii="宋体" w:hAnsi="宋体" w:cs="宋体"/>
                <w:highlight w:val="none"/>
                <w:lang w:val="en-US" w:eastAsia="zh-CN"/>
              </w:rPr>
              <w:t>保存、运输方式及</w:t>
            </w:r>
            <w:r>
              <w:rPr>
                <w:rFonts w:hint="eastAsia" w:ascii="宋体" w:hAnsi="宋体" w:cs="宋体"/>
                <w:highlight w:val="none"/>
              </w:rPr>
              <w:t>保证措施存在明显缺陷得1分；</w:t>
            </w:r>
          </w:p>
          <w:p>
            <w:pPr>
              <w:spacing w:line="360" w:lineRule="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cs="宋体"/>
                <w:highlight w:val="none"/>
                <w:lang w:val="en-US" w:eastAsia="zh-CN"/>
              </w:rPr>
              <w:t>未提供</w:t>
            </w:r>
            <w:r>
              <w:rPr>
                <w:rFonts w:hint="eastAsia" w:ascii="宋体" w:hAnsi="宋体" w:cs="宋体"/>
                <w:highlight w:val="none"/>
              </w:rPr>
              <w:t>相关</w:t>
            </w:r>
            <w:r>
              <w:rPr>
                <w:rFonts w:hint="eastAsia" w:ascii="宋体" w:hAnsi="宋体" w:cs="宋体"/>
                <w:highlight w:val="none"/>
                <w:lang w:val="en-US" w:eastAsia="zh-CN"/>
              </w:rPr>
              <w:t>内容</w:t>
            </w:r>
            <w:r>
              <w:rPr>
                <w:rFonts w:hint="eastAsia" w:ascii="宋体" w:hAnsi="宋体" w:cs="宋体"/>
                <w:highlight w:val="none"/>
              </w:rPr>
              <w:t>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573"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过渡期间保证方案</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根据投标人</w:t>
            </w:r>
            <w:r>
              <w:rPr>
                <w:rFonts w:hint="eastAsia" w:ascii="宋体" w:hAnsi="宋体" w:eastAsia="宋体" w:cs="宋体"/>
                <w:sz w:val="21"/>
                <w:szCs w:val="21"/>
                <w:highlight w:val="none"/>
              </w:rPr>
              <w:t>提供新老设备更换期间保证科室临床检验工作正常运行的方案</w:t>
            </w:r>
            <w:r>
              <w:rPr>
                <w:rFonts w:hint="eastAsia" w:ascii="宋体" w:hAnsi="宋体" w:eastAsia="宋体" w:cs="宋体"/>
                <w:sz w:val="21"/>
                <w:szCs w:val="21"/>
                <w:highlight w:val="none"/>
                <w:lang w:val="en-US" w:eastAsia="zh-CN"/>
              </w:rPr>
              <w:t>进行评议：</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方案考虑充分措施有效得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方案合理措施一般得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方案考虑不够充分得1分；</w:t>
            </w:r>
          </w:p>
          <w:p>
            <w:pPr>
              <w:spacing w:line="36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未提供</w:t>
            </w:r>
            <w:r>
              <w:rPr>
                <w:rFonts w:hint="eastAsia" w:ascii="宋体" w:hAnsi="宋体" w:eastAsia="宋体" w:cs="宋体"/>
                <w:sz w:val="21"/>
                <w:szCs w:val="21"/>
                <w:highlight w:val="none"/>
              </w:rPr>
              <w:t>相关</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spacing w:before="120" w:beforeLines="50" w:after="120" w:after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573" w:type="dxa"/>
            <w:vAlign w:val="center"/>
          </w:tcPr>
          <w:p>
            <w:pPr>
              <w:spacing w:line="360" w:lineRule="auto"/>
              <w:jc w:val="left"/>
              <w:rPr>
                <w:rFonts w:hint="eastAsia" w:ascii="宋体" w:hAnsi="宋体" w:cs="宋体"/>
                <w:highlight w:val="none"/>
                <w:lang w:val="en-US" w:eastAsia="zh-CN"/>
              </w:rPr>
            </w:pPr>
            <w:r>
              <w:rPr>
                <w:rFonts w:hint="eastAsia" w:ascii="宋体" w:hAnsi="宋体" w:cs="宋体"/>
                <w:b/>
                <w:bCs/>
                <w:highlight w:val="none"/>
              </w:rPr>
              <w:t>物流方案</w:t>
            </w:r>
            <w:r>
              <w:rPr>
                <w:rFonts w:hint="eastAsia" w:ascii="宋体" w:hAnsi="宋体" w:cs="宋体"/>
                <w:b/>
                <w:bCs/>
                <w:highlight w:val="none"/>
                <w:lang w:eastAsia="zh-CN"/>
              </w:rPr>
              <w:t>（</w:t>
            </w:r>
            <w:r>
              <w:rPr>
                <w:rFonts w:hint="eastAsia" w:ascii="宋体" w:hAnsi="宋体" w:cs="宋体"/>
                <w:b/>
                <w:bCs/>
                <w:highlight w:val="none"/>
                <w:lang w:val="en-US" w:eastAsia="zh-CN"/>
              </w:rPr>
              <w:t>3分</w:t>
            </w:r>
            <w:r>
              <w:rPr>
                <w:rFonts w:hint="eastAsia" w:ascii="宋体" w:hAnsi="宋体" w:cs="宋体"/>
                <w:b/>
                <w:bCs/>
                <w:highlight w:val="none"/>
                <w:lang w:eastAsia="zh-CN"/>
              </w:rPr>
              <w:t>）：</w:t>
            </w:r>
            <w:r>
              <w:rPr>
                <w:rFonts w:hint="eastAsia" w:ascii="宋体" w:hAnsi="宋体" w:cs="宋体"/>
                <w:highlight w:val="none"/>
              </w:rPr>
              <w:t>根据投标人提供物流方案，根据冷链及物流方案的有效性，快捷性、可靠性</w:t>
            </w:r>
            <w:r>
              <w:rPr>
                <w:rFonts w:hint="eastAsia" w:ascii="宋体" w:hAnsi="宋体" w:cs="宋体"/>
                <w:highlight w:val="none"/>
                <w:lang w:val="en-US" w:eastAsia="zh-CN"/>
              </w:rPr>
              <w:t>以及</w:t>
            </w:r>
            <w:r>
              <w:rPr>
                <w:rFonts w:hint="eastAsia" w:ascii="宋体" w:hAnsi="宋体" w:cs="宋体"/>
                <w:highlight w:val="none"/>
              </w:rPr>
              <w:t>投标人自有或租赁的冷链车和检验试剂到货时间情况并</w:t>
            </w:r>
            <w:r>
              <w:rPr>
                <w:rFonts w:hint="eastAsia" w:ascii="宋体" w:hAnsi="宋体" w:cs="宋体"/>
                <w:bCs/>
                <w:highlight w:val="none"/>
              </w:rPr>
              <w:t>结合采购需求</w:t>
            </w:r>
            <w:r>
              <w:rPr>
                <w:rFonts w:hint="eastAsia" w:ascii="宋体" w:hAnsi="宋体" w:cs="宋体"/>
                <w:highlight w:val="none"/>
                <w:lang w:val="en-US" w:eastAsia="zh-CN"/>
              </w:rPr>
              <w:t>进行评议：</w:t>
            </w:r>
          </w:p>
          <w:p>
            <w:pPr>
              <w:spacing w:line="360" w:lineRule="auto"/>
              <w:jc w:val="left"/>
              <w:rPr>
                <w:rFonts w:hint="eastAsia" w:ascii="宋体" w:hAnsi="宋体" w:eastAsia="宋体" w:cs="宋体"/>
                <w:highlight w:val="none"/>
                <w:lang w:eastAsia="zh-CN"/>
              </w:rPr>
            </w:pPr>
            <w:r>
              <w:rPr>
                <w:rFonts w:hint="eastAsia" w:ascii="宋体" w:hAnsi="宋体" w:cs="宋体"/>
                <w:highlight w:val="none"/>
              </w:rPr>
              <w:t>方案考虑充分措施有效</w:t>
            </w:r>
            <w:r>
              <w:rPr>
                <w:rFonts w:hint="eastAsia" w:ascii="宋体" w:hAnsi="宋体" w:cs="宋体"/>
                <w:highlight w:val="none"/>
                <w:lang w:eastAsia="zh-CN"/>
              </w:rPr>
              <w:t>，</w:t>
            </w:r>
            <w:r>
              <w:rPr>
                <w:rFonts w:hint="eastAsia" w:ascii="宋体" w:hAnsi="宋体" w:cs="宋体"/>
                <w:highlight w:val="none"/>
              </w:rPr>
              <w:t>冷链车及承诺检验试剂到货时间完全满足采购人需求的得3分；</w:t>
            </w:r>
          </w:p>
          <w:p>
            <w:pPr>
              <w:spacing w:line="360" w:lineRule="auto"/>
              <w:jc w:val="left"/>
              <w:rPr>
                <w:rFonts w:hint="eastAsia" w:ascii="宋体" w:hAnsi="宋体" w:cs="宋体"/>
                <w:highlight w:val="none"/>
              </w:rPr>
            </w:pPr>
            <w:r>
              <w:rPr>
                <w:rFonts w:hint="eastAsia" w:ascii="宋体" w:hAnsi="宋体" w:cs="宋体"/>
                <w:highlight w:val="none"/>
              </w:rPr>
              <w:t>方案合理措施一般</w:t>
            </w:r>
            <w:r>
              <w:rPr>
                <w:rFonts w:hint="eastAsia" w:ascii="宋体" w:hAnsi="宋体" w:cs="宋体"/>
                <w:highlight w:val="none"/>
                <w:lang w:eastAsia="zh-CN"/>
              </w:rPr>
              <w:t>，</w:t>
            </w:r>
            <w:r>
              <w:rPr>
                <w:rFonts w:hint="eastAsia" w:ascii="宋体" w:hAnsi="宋体" w:cs="宋体"/>
                <w:highlight w:val="none"/>
              </w:rPr>
              <w:t>冷链车及承诺检验试剂到货时间欠满足采购人需求的得2分；</w:t>
            </w:r>
          </w:p>
          <w:p>
            <w:pPr>
              <w:spacing w:line="360" w:lineRule="auto"/>
              <w:jc w:val="left"/>
              <w:rPr>
                <w:rFonts w:hint="eastAsia" w:ascii="宋体" w:hAnsi="宋体" w:cs="宋体"/>
                <w:highlight w:val="none"/>
              </w:rPr>
            </w:pPr>
            <w:r>
              <w:rPr>
                <w:rFonts w:hint="eastAsia" w:ascii="宋体" w:hAnsi="宋体" w:cs="宋体"/>
                <w:highlight w:val="none"/>
              </w:rPr>
              <w:t>方案考虑不够充分</w:t>
            </w:r>
            <w:r>
              <w:rPr>
                <w:rFonts w:hint="eastAsia" w:ascii="宋体" w:hAnsi="宋体" w:cs="宋体"/>
                <w:highlight w:val="none"/>
                <w:lang w:eastAsia="zh-CN"/>
              </w:rPr>
              <w:t>，</w:t>
            </w:r>
            <w:r>
              <w:rPr>
                <w:rFonts w:hint="eastAsia" w:ascii="宋体" w:hAnsi="宋体" w:cs="宋体"/>
                <w:highlight w:val="none"/>
              </w:rPr>
              <w:t>冷链车及承诺检验试剂到货时间不满足采购人需求的得1分；</w:t>
            </w:r>
          </w:p>
          <w:p>
            <w:pPr>
              <w:spacing w:line="360" w:lineRule="auto"/>
              <w:jc w:val="left"/>
              <w:rPr>
                <w:rFonts w:hint="eastAsia" w:ascii="宋体" w:hAnsi="宋体" w:cs="宋体"/>
                <w:highlight w:val="none"/>
              </w:rPr>
            </w:pPr>
            <w:r>
              <w:rPr>
                <w:rFonts w:hint="eastAsia" w:ascii="宋体" w:hAnsi="宋体" w:cs="宋体"/>
                <w:highlight w:val="none"/>
                <w:lang w:val="en-US" w:eastAsia="zh-CN"/>
              </w:rPr>
              <w:t>未提供</w:t>
            </w:r>
            <w:r>
              <w:rPr>
                <w:rFonts w:hint="eastAsia" w:ascii="宋体" w:hAnsi="宋体" w:cs="宋体"/>
                <w:highlight w:val="none"/>
              </w:rPr>
              <w:t>相关</w:t>
            </w:r>
            <w:r>
              <w:rPr>
                <w:rFonts w:hint="eastAsia" w:ascii="宋体" w:hAnsi="宋体" w:cs="宋体"/>
                <w:highlight w:val="none"/>
                <w:lang w:val="en-US" w:eastAsia="zh-CN"/>
              </w:rPr>
              <w:t>内容</w:t>
            </w:r>
            <w:r>
              <w:rPr>
                <w:rFonts w:hint="eastAsia" w:ascii="宋体" w:hAnsi="宋体" w:cs="宋体"/>
                <w:highlight w:val="none"/>
              </w:rPr>
              <w:t>不得分。</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cs="宋体"/>
                <w:b/>
                <w:bCs/>
                <w:highlight w:val="none"/>
                <w:lang w:val="en-US" w:eastAsia="zh-CN"/>
              </w:rPr>
              <w:t>注：投标文件中</w:t>
            </w:r>
            <w:r>
              <w:rPr>
                <w:rFonts w:hint="eastAsia" w:ascii="宋体" w:hAnsi="宋体" w:cs="宋体"/>
                <w:b/>
                <w:bCs/>
                <w:highlight w:val="none"/>
              </w:rPr>
              <w:t>提供冷链车照片</w:t>
            </w:r>
            <w:r>
              <w:rPr>
                <w:rFonts w:hint="eastAsia" w:ascii="宋体" w:hAnsi="宋体" w:cs="宋体"/>
                <w:b/>
                <w:bCs/>
                <w:highlight w:val="none"/>
                <w:lang w:eastAsia="zh-CN"/>
              </w:rPr>
              <w:t>、</w:t>
            </w:r>
            <w:r>
              <w:rPr>
                <w:rFonts w:hint="eastAsia" w:ascii="宋体" w:hAnsi="宋体" w:cs="宋体"/>
                <w:b/>
                <w:bCs/>
                <w:highlight w:val="none"/>
              </w:rPr>
              <w:t>相关资质证书</w:t>
            </w:r>
            <w:r>
              <w:rPr>
                <w:rFonts w:hint="eastAsia" w:ascii="宋体" w:hAnsi="宋体" w:cs="宋体"/>
                <w:b/>
                <w:bCs/>
                <w:highlight w:val="none"/>
                <w:lang w:eastAsia="zh-CN"/>
              </w:rPr>
              <w:t>、</w:t>
            </w:r>
            <w:r>
              <w:rPr>
                <w:rFonts w:hint="eastAsia" w:ascii="宋体" w:hAnsi="宋体" w:cs="宋体"/>
                <w:b/>
                <w:bCs/>
                <w:highlight w:val="none"/>
              </w:rPr>
              <w:t>道路运输资质证书，</w:t>
            </w:r>
            <w:r>
              <w:rPr>
                <w:rFonts w:hint="eastAsia" w:ascii="宋体" w:hAnsi="宋体" w:cs="宋体"/>
                <w:b/>
                <w:bCs/>
                <w:highlight w:val="none"/>
                <w:lang w:val="en-US" w:eastAsia="zh-CN"/>
              </w:rPr>
              <w:t>及</w:t>
            </w:r>
            <w:r>
              <w:rPr>
                <w:rFonts w:hint="eastAsia" w:ascii="宋体" w:hAnsi="宋体" w:cs="宋体"/>
                <w:b/>
                <w:bCs/>
                <w:highlight w:val="none"/>
              </w:rPr>
              <w:t>委托合同</w:t>
            </w:r>
            <w:r>
              <w:rPr>
                <w:rFonts w:hint="eastAsia" w:ascii="宋体" w:hAnsi="宋体" w:cs="宋体"/>
                <w:b/>
                <w:bCs/>
                <w:highlight w:val="none"/>
                <w:lang w:val="en-US" w:eastAsia="zh-CN"/>
              </w:rPr>
              <w:t>等相关证明文件并加盖公章，否则不得分。</w:t>
            </w:r>
          </w:p>
        </w:tc>
        <w:tc>
          <w:tcPr>
            <w:tcW w:w="1185" w:type="dxa"/>
            <w:vAlign w:val="center"/>
          </w:tcPr>
          <w:p>
            <w:pPr>
              <w:spacing w:before="120" w:beforeLines="50" w:after="120" w:afterLines="50" w:line="360" w:lineRule="auto"/>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cs="宋体"/>
                <w:color w:val="auto"/>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573" w:type="dxa"/>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售后服务（3分）：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kern w:val="0"/>
                <w:sz w:val="21"/>
                <w:szCs w:val="21"/>
                <w:highlight w:val="none"/>
                <w:lang w:val="en-US" w:eastAsia="zh-CN"/>
              </w:rPr>
              <w:t>结合自身实际提供服务承诺，对</w:t>
            </w:r>
            <w:r>
              <w:rPr>
                <w:rFonts w:hint="eastAsia" w:ascii="宋体" w:hAnsi="宋体" w:eastAsia="宋体" w:cs="宋体"/>
                <w:b w:val="0"/>
                <w:bCs w:val="0"/>
                <w:i w:val="0"/>
                <w:iCs w:val="0"/>
                <w:color w:val="auto"/>
                <w:kern w:val="0"/>
                <w:sz w:val="21"/>
                <w:szCs w:val="21"/>
                <w:highlight w:val="none"/>
              </w:rPr>
              <w:t>质保期内定期服务方案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lang w:val="en-US" w:eastAsia="zh-CN"/>
              </w:rPr>
              <w:t>售后服务机构的设置、售后人员、响应时间、技术支持、服务体系以及退换货品承诺进行评议：</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各项服务承诺能与医院实际相结合，能提供承诺及保障措施，能保证货物正常使用的得3分；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各项服务承诺与医院实际基本相结合，但承诺及保障只能基本符合货物实际使用情况，基本满足医院使用要求的得2分；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各项服务承诺与医院实际欠符合，承诺及保障欠符合货物实际使用情况，欠满足医院使用要求的得1分；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培训方案（3分）：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提供的培训方案，对培训时间安排、培训内容、培训人员、培训次数以及培训场地安排进行评议：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人员培训方案不够符合采购需求，培训内容缺少针对性内容的得1分；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573" w:type="dxa"/>
            <w:vAlign w:val="center"/>
          </w:tcPr>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维修成本方案（3分）：</w:t>
            </w:r>
            <w:r>
              <w:rPr>
                <w:rFonts w:hint="eastAsia" w:ascii="宋体" w:hAnsi="宋体" w:eastAsia="宋体" w:cs="宋体"/>
                <w:b w:val="0"/>
                <w:bCs w:val="0"/>
                <w:i w:val="0"/>
                <w:iCs w:val="0"/>
                <w:color w:val="auto"/>
                <w:sz w:val="21"/>
                <w:szCs w:val="21"/>
                <w:highlight w:val="none"/>
                <w:lang w:val="en-US" w:eastAsia="zh-CN"/>
              </w:rPr>
              <w:t>根据提供的维修成本方案，对保修价格、设备配件价格、维修服务费、维修人员配备、维修完成时间及维修质量的保障进行评议：</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提供的保修价格、设备配件价格及维修服务费较合理，维修人员配备较全面且维修完成时间及时的得3分；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保修价格、设备配件价格及维修服务费基本合理，维修人员配备基本足够，维修完成时间基本不影响设备使用的得2分；</w:t>
            </w:r>
          </w:p>
          <w:p>
            <w:pPr>
              <w:keepNext w:val="0"/>
              <w:keepLines w:val="0"/>
              <w:numPr>
                <w:ilvl w:val="0"/>
                <w:numId w:val="0"/>
              </w:numPr>
              <w:suppressLineNumbers w:val="0"/>
              <w:adjustRightInd/>
              <w:spacing w:before="0" w:beforeAutospacing="0" w:after="0" w:afterAutospacing="0" w:line="360" w:lineRule="auto"/>
              <w:ind w:left="0" w:right="0"/>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750"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573" w:type="dxa"/>
            <w:vAlign w:val="center"/>
          </w:tcPr>
          <w:p>
            <w:pPr>
              <w:spacing w:line="360" w:lineRule="auto"/>
              <w:rPr>
                <w:rFonts w:hint="eastAsia" w:ascii="宋体" w:hAnsi="宋体" w:eastAsia="宋体" w:cs="宋体"/>
                <w:bCs/>
                <w:sz w:val="21"/>
                <w:szCs w:val="21"/>
                <w:highlight w:val="none"/>
                <w:lang w:eastAsia="zh-CN"/>
              </w:rPr>
            </w:pPr>
            <w:r>
              <w:rPr>
                <w:rFonts w:hint="eastAsia" w:ascii="宋体" w:hAnsi="宋体" w:eastAsia="宋体" w:cs="宋体"/>
                <w:b/>
                <w:bCs/>
                <w:sz w:val="21"/>
                <w:szCs w:val="21"/>
                <w:highlight w:val="none"/>
              </w:rPr>
              <w:t>应急处置能力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3分</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val="0"/>
                <w:bCs w:val="0"/>
                <w:sz w:val="21"/>
                <w:szCs w:val="21"/>
                <w:highlight w:val="none"/>
                <w:lang w:val="en-US" w:eastAsia="zh-CN"/>
              </w:rPr>
              <w:t>根据投标人提供的</w:t>
            </w:r>
            <w:r>
              <w:rPr>
                <w:rFonts w:hint="eastAsia" w:ascii="宋体" w:hAnsi="宋体" w:eastAsia="宋体" w:cs="宋体"/>
                <w:bCs/>
                <w:sz w:val="21"/>
                <w:szCs w:val="21"/>
                <w:highlight w:val="none"/>
              </w:rPr>
              <w:t>应急方案</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如遇运输不及时、人员短缺、试剂质量不达标等情况</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进行评议</w:t>
            </w:r>
            <w:r>
              <w:rPr>
                <w:rFonts w:hint="eastAsia" w:ascii="宋体" w:hAnsi="宋体" w:eastAsia="宋体" w:cs="宋体"/>
                <w:bCs/>
                <w:sz w:val="21"/>
                <w:szCs w:val="21"/>
                <w:highlight w:val="none"/>
                <w:lang w:eastAsia="zh-CN"/>
              </w:rPr>
              <w:t>：</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实施方案完善、规范且具有可操作性</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满足项目实际情况的</w:t>
            </w:r>
            <w:r>
              <w:rPr>
                <w:rFonts w:hint="eastAsia" w:ascii="宋体" w:hAnsi="宋体" w:eastAsia="宋体" w:cs="宋体"/>
                <w:bCs/>
                <w:sz w:val="21"/>
                <w:szCs w:val="21"/>
                <w:highlight w:val="none"/>
              </w:rPr>
              <w:t>得3分；</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组织实施方案基本完善且具有一定的可操作性得2分；</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组织实施方案基本完善，可操作性不强得1分；</w:t>
            </w:r>
          </w:p>
          <w:p>
            <w:pPr>
              <w:spacing w:line="360" w:lineRule="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before="120" w:beforeLines="50" w:after="120" w:after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573" w:type="dxa"/>
          </w:tcPr>
          <w:p>
            <w:pPr>
              <w:spacing w:line="360" w:lineRule="auto"/>
              <w:ind w:right="-21" w:rightChars="-10"/>
              <w:rPr>
                <w:rFonts w:hint="eastAsia" w:ascii="宋体" w:hAnsi="宋体" w:eastAsia="宋体" w:cs="宋体"/>
                <w:b/>
                <w:bCs/>
                <w:color w:val="auto"/>
                <w:sz w:val="21"/>
                <w:szCs w:val="21"/>
                <w:highlight w:val="none"/>
              </w:rPr>
            </w:pPr>
            <w:bookmarkStart w:id="192" w:name="OLE_LINK3"/>
            <w:r>
              <w:rPr>
                <w:rFonts w:hint="eastAsia" w:ascii="宋体" w:hAnsi="宋体" w:eastAsia="宋体" w:cs="宋体"/>
                <w:b/>
                <w:bCs/>
                <w:color w:val="auto"/>
                <w:sz w:val="21"/>
                <w:szCs w:val="21"/>
                <w:highlight w:val="none"/>
              </w:rPr>
              <w:t>政府采购政策（</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p>
            <w:pPr>
              <w:snapToGrid w:val="0"/>
              <w:spacing w:line="360" w:lineRule="auto"/>
              <w:ind w:firstLine="350" w:firstLineChars="1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snapToGrid w:val="0"/>
              <w:spacing w:line="360" w:lineRule="auto"/>
              <w:ind w:firstLine="350" w:firstLineChars="1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bookmarkEnd w:id="192"/>
          </w:p>
        </w:tc>
        <w:tc>
          <w:tcPr>
            <w:tcW w:w="1185" w:type="dxa"/>
            <w:vAlign w:val="center"/>
          </w:tcPr>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50" w:type="dxa"/>
            <w:vMerge w:val="restart"/>
            <w:vAlign w:val="center"/>
          </w:tcPr>
          <w:p>
            <w:pPr>
              <w:spacing w:before="120" w:beforeLines="50" w:after="120" w:after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573" w:type="dxa"/>
          </w:tcPr>
          <w:p>
            <w:pPr>
              <w:spacing w:before="120" w:beforeLines="50" w:after="120" w:afterLines="5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tc>
        <w:tc>
          <w:tcPr>
            <w:tcW w:w="1185" w:type="dxa"/>
            <w:vAlign w:val="center"/>
          </w:tcPr>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50" w:type="dxa"/>
            <w:vMerge w:val="continue"/>
            <w:vAlign w:val="center"/>
          </w:tcPr>
          <w:p>
            <w:pPr>
              <w:spacing w:before="120" w:beforeLines="50" w:after="120" w:afterLines="50" w:line="360" w:lineRule="auto"/>
              <w:jc w:val="center"/>
              <w:rPr>
                <w:rFonts w:hint="eastAsia" w:ascii="宋体" w:hAnsi="宋体" w:eastAsia="宋体" w:cs="宋体"/>
                <w:b/>
                <w:color w:val="auto"/>
                <w:sz w:val="21"/>
                <w:szCs w:val="21"/>
                <w:highlight w:val="none"/>
              </w:rPr>
            </w:pPr>
          </w:p>
        </w:tc>
        <w:tc>
          <w:tcPr>
            <w:tcW w:w="6573" w:type="dxa"/>
            <w:vAlign w:val="center"/>
          </w:tcPr>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评标基准价指的是满足招标文件要求且最低的参与评审的价格。</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参与评审的价格=投标报价-小微企业价格扣除优惠值（如有）。</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参与评审的价格为评标基准价的其价格得分得满分</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其他投标人价格得分按照下列公式计算：</w:t>
            </w:r>
          </w:p>
          <w:p>
            <w:pPr>
              <w:tabs>
                <w:tab w:val="left" w:pos="0"/>
              </w:tabs>
              <w:spacing w:line="360" w:lineRule="auto"/>
              <w:rPr>
                <w:rFonts w:hint="eastAsia" w:ascii="宋体" w:hAnsi="宋体" w:eastAsia="宋体" w:cs="宋体"/>
                <w:sz w:val="21"/>
                <w:szCs w:val="21"/>
              </w:rPr>
            </w:pPr>
            <w:r>
              <w:rPr>
                <w:rFonts w:hint="eastAsia" w:ascii="宋体" w:hAnsi="宋体" w:eastAsia="宋体" w:cs="宋体"/>
                <w:sz w:val="21"/>
                <w:szCs w:val="21"/>
              </w:rPr>
              <w:t>价格得分=（评标基准价/各投标人参与评审的价格）×</w:t>
            </w:r>
            <w:r>
              <w:rPr>
                <w:rFonts w:hint="eastAsia" w:ascii="宋体" w:hAnsi="宋体" w:eastAsia="宋体" w:cs="宋体"/>
                <w:sz w:val="21"/>
                <w:szCs w:val="21"/>
                <w:lang w:val="en-US" w:eastAsia="zh-CN"/>
              </w:rPr>
              <w:t>30</w:t>
            </w:r>
            <w:r>
              <w:rPr>
                <w:rFonts w:hint="eastAsia" w:ascii="宋体" w:hAnsi="宋体" w:eastAsia="宋体" w:cs="宋体"/>
                <w:sz w:val="21"/>
                <w:szCs w:val="21"/>
              </w:rPr>
              <w:t>％×100。</w:t>
            </w:r>
          </w:p>
          <w:p>
            <w:pPr>
              <w:tabs>
                <w:tab w:val="left" w:pos="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注：1、投标报价超过对应最高限价的作无效标处理。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bCs/>
                <w:sz w:val="21"/>
                <w:szCs w:val="21"/>
              </w:rPr>
              <w:t>2、价格得分小数点后保留2位小数，第3位小数四舍五入。</w:t>
            </w:r>
          </w:p>
        </w:tc>
        <w:tc>
          <w:tcPr>
            <w:tcW w:w="1185" w:type="dxa"/>
            <w:vAlign w:val="center"/>
          </w:tcPr>
          <w:p>
            <w:pPr>
              <w:spacing w:before="120" w:beforeLines="50" w:after="120" w:afterLines="5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p>
          <w:p>
            <w:pPr>
              <w:spacing w:before="120" w:beforeLines="50" w:after="120" w:afterLines="50" w:line="360" w:lineRule="auto"/>
              <w:jc w:val="center"/>
              <w:rPr>
                <w:rFonts w:hint="eastAsia" w:ascii="宋体" w:hAnsi="宋体" w:eastAsia="宋体" w:cs="宋体"/>
                <w:b/>
                <w:bCs/>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750" w:type="dxa"/>
            <w:vMerge w:val="continue"/>
            <w:vAlign w:val="center"/>
          </w:tcPr>
          <w:p>
            <w:pPr>
              <w:spacing w:before="120" w:beforeLines="50" w:after="120" w:afterLines="50" w:line="360" w:lineRule="auto"/>
              <w:jc w:val="center"/>
              <w:rPr>
                <w:rFonts w:hint="eastAsia" w:ascii="宋体" w:hAnsi="宋体" w:eastAsia="宋体" w:cs="宋体"/>
                <w:b/>
                <w:color w:val="auto"/>
                <w:sz w:val="21"/>
                <w:szCs w:val="21"/>
                <w:highlight w:val="none"/>
              </w:rPr>
            </w:pPr>
          </w:p>
        </w:tc>
        <w:tc>
          <w:tcPr>
            <w:tcW w:w="6573" w:type="dxa"/>
          </w:tcPr>
          <w:p>
            <w:pPr>
              <w:spacing w:before="120" w:beforeLines="50" w:after="120" w:after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Align w:val="center"/>
          </w:tcPr>
          <w:p>
            <w:pPr>
              <w:spacing w:before="120" w:beforeLines="50" w:after="120" w:afterLines="50" w:line="360" w:lineRule="auto"/>
              <w:jc w:val="center"/>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none"/>
                <w:lang w:val="en-US" w:eastAsia="zh-CN"/>
              </w:rPr>
              <w:t>/</w:t>
            </w:r>
          </w:p>
        </w:tc>
      </w:tr>
    </w:tbl>
    <w:p>
      <w:pPr>
        <w:pStyle w:val="2"/>
        <w:ind w:left="0" w:leftChars="0" w:firstLine="0" w:firstLineChars="0"/>
      </w:pPr>
    </w:p>
    <w:p>
      <w:pPr>
        <w:pStyle w:val="25"/>
        <w:spacing w:before="120" w:after="120" w:line="360" w:lineRule="auto"/>
        <w:rPr>
          <w:rFonts w:hAnsi="宋体"/>
          <w:b/>
          <w:sz w:val="21"/>
          <w:szCs w:val="21"/>
          <w:highlight w:val="none"/>
        </w:rPr>
      </w:pPr>
      <w:bookmarkStart w:id="193" w:name="_Toc9029"/>
      <w:bookmarkStart w:id="194" w:name="_Toc26240"/>
      <w:bookmarkStart w:id="195" w:name="_Toc317116871"/>
      <w:r>
        <w:rPr>
          <w:rFonts w:hint="eastAsia" w:hAnsi="宋体"/>
          <w:b/>
          <w:sz w:val="21"/>
          <w:szCs w:val="21"/>
          <w:highlight w:val="none"/>
        </w:rPr>
        <w:t>六、定标</w:t>
      </w:r>
      <w:bookmarkEnd w:id="193"/>
    </w:p>
    <w:p>
      <w:pPr>
        <w:pStyle w:val="25"/>
        <w:spacing w:before="120" w:after="120" w:line="360" w:lineRule="auto"/>
        <w:ind w:firstLine="413" w:firstLineChars="196"/>
        <w:rPr>
          <w:rFonts w:hAnsi="宋体"/>
          <w:b/>
          <w:bCs/>
          <w:sz w:val="21"/>
          <w:szCs w:val="21"/>
          <w:highlight w:val="none"/>
        </w:rPr>
      </w:pPr>
      <w:r>
        <w:rPr>
          <w:rFonts w:hint="eastAsia" w:hAnsi="宋体"/>
          <w:b/>
          <w:bCs/>
          <w:sz w:val="21"/>
          <w:szCs w:val="21"/>
          <w:highlight w:val="none"/>
        </w:rPr>
        <w:t>（一）确定中标供应商。本项目由采购人（或采购人事先授权评标委员会）确定中标供应商。</w:t>
      </w:r>
    </w:p>
    <w:p>
      <w:pPr>
        <w:spacing w:line="360" w:lineRule="auto"/>
        <w:ind w:firstLine="420" w:firstLineChars="200"/>
        <w:rPr>
          <w:rFonts w:ascii="宋体" w:hAnsi="宋体" w:cs="宋体"/>
          <w:highlight w:val="none"/>
        </w:rPr>
      </w:pPr>
      <w:r>
        <w:rPr>
          <w:rFonts w:hint="eastAsia" w:ascii="宋体" w:hAnsi="宋体" w:cs="宋体"/>
          <w:highlight w:val="none"/>
        </w:rPr>
        <w:t>1.采购代理机构在评标结束后将评标报告交采购人确认。</w:t>
      </w:r>
    </w:p>
    <w:p>
      <w:pPr>
        <w:spacing w:line="360" w:lineRule="auto"/>
        <w:ind w:firstLine="420" w:firstLineChars="200"/>
        <w:rPr>
          <w:rFonts w:hint="eastAsia" w:ascii="宋体" w:hAnsi="宋体" w:cs="宋体"/>
          <w:highlight w:val="none"/>
        </w:rPr>
      </w:pPr>
      <w:r>
        <w:rPr>
          <w:rFonts w:hint="eastAsia" w:ascii="宋体" w:hAnsi="宋体" w:cs="宋体"/>
          <w:highlight w:val="none"/>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ascii="宋体" w:hAnsi="宋体" w:cs="宋体"/>
          <w:highlight w:val="none"/>
        </w:rPr>
      </w:pPr>
      <w:r>
        <w:rPr>
          <w:rFonts w:hint="eastAsia" w:ascii="宋体" w:hAnsi="宋体" w:cs="宋体"/>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ascii="宋体" w:hAnsi="宋体" w:cs="宋体"/>
          <w:highlight w:val="none"/>
          <w:lang w:bidi="ar"/>
        </w:rPr>
      </w:pPr>
      <w:r>
        <w:rPr>
          <w:rFonts w:hint="eastAsia" w:ascii="宋体" w:hAnsi="宋体" w:cs="宋体"/>
          <w:highlight w:val="none"/>
        </w:rPr>
        <w:t>4.</w:t>
      </w:r>
      <w:r>
        <w:rPr>
          <w:rFonts w:hint="eastAsia" w:ascii="宋体" w:hAnsi="宋体" w:cs="宋体"/>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ascii="宋体" w:hAnsi="宋体" w:cs="宋体"/>
          <w:b/>
          <w:bCs/>
          <w:highlight w:val="none"/>
          <w:lang w:bidi="ar"/>
        </w:rPr>
      </w:pPr>
      <w:r>
        <w:rPr>
          <w:rFonts w:hint="eastAsia" w:ascii="宋体" w:hAnsi="宋体" w:cs="宋体"/>
          <w:b/>
          <w:bCs/>
          <w:highlight w:val="none"/>
          <w:lang w:bidi="ar"/>
        </w:rPr>
        <w:t>七、评标过程的监控与保密</w:t>
      </w:r>
    </w:p>
    <w:p>
      <w:pPr>
        <w:spacing w:line="360" w:lineRule="auto"/>
        <w:ind w:firstLine="420" w:firstLineChars="200"/>
        <w:rPr>
          <w:rFonts w:ascii="宋体" w:hAnsi="宋体" w:cs="宋体"/>
          <w:highlight w:val="none"/>
          <w:lang w:bidi="ar"/>
        </w:rPr>
      </w:pPr>
      <w:r>
        <w:rPr>
          <w:rFonts w:hint="eastAsia" w:ascii="宋体" w:hAnsi="宋体" w:cs="宋体"/>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s="宋体"/>
          <w:highlight w:val="none"/>
          <w:lang w:bidi="ar"/>
        </w:rPr>
      </w:pPr>
      <w:r>
        <w:rPr>
          <w:rFonts w:hint="eastAsia" w:ascii="宋体" w:hAnsi="宋体" w:cs="宋体"/>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ascii="宋体" w:hAnsi="宋体" w:cs="宋体"/>
          <w:b/>
          <w:bCs/>
          <w:highlight w:val="none"/>
        </w:rPr>
      </w:pPr>
      <w:bookmarkStart w:id="196" w:name="_Toc17747"/>
      <w:r>
        <w:rPr>
          <w:rFonts w:hint="eastAsia" w:ascii="宋体" w:hAnsi="宋体" w:cs="宋体"/>
          <w:b/>
          <w:highlight w:val="none"/>
        </w:rPr>
        <w:t>八、合同授予</w:t>
      </w:r>
      <w:bookmarkEnd w:id="196"/>
    </w:p>
    <w:p>
      <w:pPr>
        <w:spacing w:line="360" w:lineRule="auto"/>
        <w:ind w:firstLine="420" w:firstLineChars="200"/>
        <w:rPr>
          <w:rFonts w:ascii="宋体" w:hAnsi="宋体" w:cs="宋体"/>
          <w:highlight w:val="none"/>
        </w:rPr>
      </w:pPr>
      <w:r>
        <w:rPr>
          <w:rFonts w:hint="eastAsia" w:ascii="宋体" w:hAnsi="宋体" w:cs="宋体"/>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ascii="宋体" w:hAnsi="宋体" w:cs="宋体"/>
          <w:highlight w:val="none"/>
        </w:rPr>
      </w:pPr>
      <w:r>
        <w:rPr>
          <w:rFonts w:hint="eastAsia" w:ascii="宋体" w:hAnsi="宋体" w:cs="宋体"/>
          <w:highlight w:val="none"/>
        </w:rPr>
        <w:t>采购人不得向中标人提出任何不合理的要求作为签订合同的条件。</w:t>
      </w:r>
    </w:p>
    <w:p>
      <w:pPr>
        <w:pStyle w:val="25"/>
        <w:spacing w:before="120" w:after="120" w:line="360" w:lineRule="auto"/>
        <w:ind w:firstLine="411" w:firstLineChars="196"/>
        <w:rPr>
          <w:rFonts w:hAnsi="宋体"/>
          <w:bCs/>
          <w:sz w:val="21"/>
          <w:szCs w:val="21"/>
          <w:highlight w:val="none"/>
        </w:rPr>
      </w:pPr>
      <w:r>
        <w:rPr>
          <w:rFonts w:hint="eastAsia" w:hAnsi="宋体"/>
          <w:bCs/>
          <w:sz w:val="21"/>
          <w:szCs w:val="21"/>
          <w:highlight w:val="none"/>
        </w:rPr>
        <w:t>2</w:t>
      </w:r>
      <w:r>
        <w:rPr>
          <w:rFonts w:hint="eastAsia" w:hAnsi="宋体"/>
          <w:sz w:val="21"/>
          <w:szCs w:val="21"/>
          <w:highlight w:val="none"/>
        </w:rPr>
        <w:t>.</w:t>
      </w:r>
      <w:r>
        <w:rPr>
          <w:rFonts w:hint="eastAsia" w:hAnsi="宋体"/>
          <w:bCs/>
          <w:sz w:val="21"/>
          <w:szCs w:val="21"/>
          <w:highlight w:val="none"/>
        </w:rPr>
        <w:t>采购人在签订合同时，在合同金额变更范围内，如需审批的办理相关审批手续。有权变更采购项目的数量和服务内容，但不能对单价或其他条款和条件作任何改变。</w:t>
      </w:r>
    </w:p>
    <w:p>
      <w:pPr>
        <w:pStyle w:val="25"/>
        <w:spacing w:before="120" w:after="120" w:line="360" w:lineRule="auto"/>
        <w:ind w:firstLine="411" w:firstLineChars="196"/>
        <w:rPr>
          <w:rFonts w:hAnsi="宋体"/>
          <w:bCs/>
          <w:sz w:val="21"/>
          <w:szCs w:val="21"/>
          <w:highlight w:val="none"/>
        </w:rPr>
      </w:pPr>
      <w:r>
        <w:rPr>
          <w:rFonts w:hint="eastAsia" w:hAnsi="宋体"/>
          <w:bCs/>
          <w:sz w:val="21"/>
          <w:szCs w:val="21"/>
          <w:highlight w:val="none"/>
        </w:rPr>
        <w:t>3</w:t>
      </w:r>
      <w:r>
        <w:rPr>
          <w:rFonts w:hint="eastAsia" w:hAnsi="宋体"/>
          <w:sz w:val="21"/>
          <w:szCs w:val="21"/>
          <w:highlight w:val="none"/>
        </w:rPr>
        <w:t>.</w:t>
      </w:r>
      <w:r>
        <w:rPr>
          <w:rFonts w:hint="eastAsia" w:hAnsi="宋体"/>
          <w:bCs/>
          <w:sz w:val="21"/>
          <w:szCs w:val="21"/>
          <w:highlight w:val="none"/>
        </w:rPr>
        <w:t>采购文件、中标供应商的投标文件及评标过程中有关的澄清文件均应作为合同签订的附件。</w:t>
      </w:r>
    </w:p>
    <w:p>
      <w:pPr>
        <w:pStyle w:val="25"/>
        <w:spacing w:before="120" w:after="120" w:line="360" w:lineRule="auto"/>
        <w:ind w:firstLine="411" w:firstLineChars="196"/>
        <w:rPr>
          <w:rFonts w:hAnsi="宋体"/>
          <w:bCs/>
          <w:sz w:val="21"/>
          <w:szCs w:val="21"/>
          <w:highlight w:val="none"/>
        </w:rPr>
      </w:pPr>
      <w:r>
        <w:rPr>
          <w:rFonts w:hint="eastAsia" w:hAnsi="宋体"/>
          <w:bCs/>
          <w:sz w:val="21"/>
          <w:szCs w:val="21"/>
          <w:highlight w:val="none"/>
        </w:rPr>
        <w:t>4.中标或者成交供应商拒绝与采购人签订合同的，采购人应重新招标。</w:t>
      </w:r>
    </w:p>
    <w:p>
      <w:pPr>
        <w:spacing w:line="360" w:lineRule="auto"/>
        <w:ind w:firstLine="413" w:firstLineChars="196"/>
        <w:rPr>
          <w:rFonts w:ascii="宋体" w:hAnsi="宋体" w:cs="宋体"/>
          <w:b/>
          <w:highlight w:val="none"/>
        </w:rPr>
      </w:pPr>
      <w:r>
        <w:rPr>
          <w:rFonts w:hint="eastAsia" w:ascii="宋体" w:hAnsi="宋体" w:cs="宋体"/>
          <w:b/>
          <w:highlight w:val="none"/>
        </w:rPr>
        <w:t>九、履约验收</w:t>
      </w:r>
    </w:p>
    <w:p>
      <w:pPr>
        <w:pStyle w:val="25"/>
        <w:spacing w:before="120" w:after="120" w:line="360" w:lineRule="auto"/>
        <w:ind w:firstLine="411" w:firstLineChars="196"/>
        <w:rPr>
          <w:rFonts w:hAnsi="宋体"/>
          <w:sz w:val="21"/>
          <w:szCs w:val="21"/>
          <w:highlight w:val="none"/>
        </w:rPr>
      </w:pPr>
      <w:r>
        <w:rPr>
          <w:rFonts w:hint="eastAsia" w:hAnsi="宋体"/>
          <w:bCs/>
          <w:sz w:val="21"/>
          <w:szCs w:val="21"/>
          <w:highlight w:val="none"/>
        </w:rPr>
        <w:t>采购人负责对中标供应商的履约行为进行验收。政府向社会公众提供的公共服务项目，验收时应当邀请服务对象参与并出具意见，验收结果应当向社会公告。</w:t>
      </w:r>
    </w:p>
    <w:p>
      <w:pPr>
        <w:pStyle w:val="3"/>
        <w:rPr>
          <w:rFonts w:ascii="宋体" w:cs="宋体"/>
          <w:b w:val="0"/>
          <w:bCs w:val="0"/>
          <w:color w:val="auto"/>
          <w:highlight w:val="none"/>
        </w:rPr>
      </w:pPr>
    </w:p>
    <w:bookmarkEnd w:id="194"/>
    <w:bookmarkEnd w:id="195"/>
    <w:p>
      <w:pPr>
        <w:pStyle w:val="18"/>
        <w:jc w:val="center"/>
        <w:rPr>
          <w:rFonts w:ascii="宋体" w:hAnsi="宋体" w:cs="宋体"/>
          <w:b/>
          <w:bCs/>
          <w:highlight w:val="none"/>
        </w:rPr>
        <w:sectPr>
          <w:pgSz w:w="11906" w:h="16838"/>
          <w:pgMar w:top="1474" w:right="1797" w:bottom="1247" w:left="1797" w:header="851" w:footer="851" w:gutter="0"/>
          <w:cols w:space="720" w:num="1"/>
          <w:titlePg/>
          <w:docGrid w:linePitch="312" w:charSpace="0"/>
        </w:sectPr>
      </w:pPr>
      <w:bookmarkStart w:id="197" w:name="_Toc317116872"/>
      <w:bookmarkStart w:id="198" w:name="_Toc13023"/>
      <w:bookmarkStart w:id="199" w:name="_Toc115344282"/>
      <w:bookmarkStart w:id="200" w:name="_Toc47388386"/>
    </w:p>
    <w:p>
      <w:pPr>
        <w:pStyle w:val="18"/>
        <w:jc w:val="center"/>
        <w:rPr>
          <w:rFonts w:ascii="宋体" w:hAnsi="宋体" w:cs="宋体"/>
          <w:b/>
          <w:bCs/>
          <w:highlight w:val="none"/>
        </w:rPr>
      </w:pPr>
      <w:r>
        <w:rPr>
          <w:rFonts w:hint="eastAsia" w:ascii="宋体" w:hAnsi="宋体" w:cs="宋体"/>
          <w:b/>
          <w:bCs/>
          <w:highlight w:val="none"/>
        </w:rPr>
        <w:t xml:space="preserve">第六章  </w:t>
      </w:r>
      <w:bookmarkStart w:id="201" w:name="_Hlk111475955"/>
      <w:r>
        <w:rPr>
          <w:rFonts w:hint="eastAsia" w:ascii="宋体" w:hAnsi="宋体" w:cs="宋体"/>
          <w:b/>
          <w:bCs/>
          <w:highlight w:val="none"/>
        </w:rPr>
        <w:t>投标文件格式</w:t>
      </w:r>
      <w:bookmarkEnd w:id="197"/>
      <w:bookmarkEnd w:id="198"/>
      <w:bookmarkEnd w:id="199"/>
      <w:bookmarkEnd w:id="200"/>
      <w:bookmarkEnd w:id="201"/>
    </w:p>
    <w:p>
      <w:pPr>
        <w:snapToGrid w:val="0"/>
        <w:spacing w:before="120" w:beforeLines="50" w:after="50" w:line="360" w:lineRule="auto"/>
        <w:rPr>
          <w:rFonts w:ascii="宋体" w:hAnsi="宋体" w:cs="宋体"/>
          <w:b/>
          <w:bCs/>
          <w:highlight w:val="none"/>
        </w:rPr>
      </w:pPr>
      <w:bookmarkStart w:id="202" w:name="_Hlk111475968"/>
      <w:r>
        <w:rPr>
          <w:rFonts w:hint="eastAsia" w:ascii="宋体" w:hAnsi="宋体" w:cs="宋体"/>
          <w:b/>
          <w:bCs/>
          <w:highlight w:val="none"/>
        </w:rPr>
        <w:t>1.封面格式：</w:t>
      </w:r>
    </w:p>
    <w:p>
      <w:pPr>
        <w:snapToGrid w:val="0"/>
        <w:spacing w:before="120" w:beforeLines="50" w:after="50" w:line="360" w:lineRule="auto"/>
        <w:ind w:firstLine="207" w:firstLineChars="98"/>
        <w:rPr>
          <w:rFonts w:ascii="宋体" w:hAnsi="宋体" w:cs="宋体"/>
          <w:b/>
          <w:bCs/>
          <w:highlight w:val="none"/>
        </w:rPr>
      </w:pPr>
    </w:p>
    <w:p>
      <w:pPr>
        <w:snapToGrid w:val="0"/>
        <w:spacing w:before="120" w:beforeLines="50" w:after="50" w:line="360" w:lineRule="auto"/>
        <w:jc w:val="center"/>
        <w:rPr>
          <w:rFonts w:ascii="宋体" w:hAnsi="宋体" w:cs="宋体"/>
          <w:highlight w:val="none"/>
        </w:rPr>
      </w:pPr>
      <w:r>
        <w:rPr>
          <w:rFonts w:hint="eastAsia" w:ascii="宋体" w:hAnsi="宋体" w:cs="宋体"/>
          <w:b/>
          <w:bCs/>
          <w:highlight w:val="none"/>
        </w:rPr>
        <w:t xml:space="preserve">                                            正本/或副本</w:t>
      </w:r>
    </w:p>
    <w:p>
      <w:pPr>
        <w:snapToGrid w:val="0"/>
        <w:spacing w:before="120" w:beforeLines="50" w:after="50" w:line="360" w:lineRule="auto"/>
        <w:jc w:val="center"/>
        <w:rPr>
          <w:rFonts w:ascii="宋体" w:hAnsi="宋体" w:cs="宋体"/>
          <w:highlight w:val="none"/>
        </w:rPr>
      </w:pPr>
      <w:r>
        <w:rPr>
          <w:rFonts w:hint="eastAsia" w:ascii="宋体" w:hAnsi="宋体" w:cs="宋体"/>
          <w:highlight w:val="none"/>
        </w:rPr>
        <w:t>投 标 文 件（商务技术文件/报价文件）</w:t>
      </w:r>
    </w:p>
    <w:p>
      <w:pPr>
        <w:snapToGrid w:val="0"/>
        <w:spacing w:before="120" w:beforeLines="50" w:after="50" w:line="360" w:lineRule="auto"/>
        <w:ind w:firstLine="6054" w:firstLineChars="2883"/>
        <w:rPr>
          <w:rFonts w:ascii="宋体" w:hAnsi="宋体" w:cs="宋体"/>
          <w:highlight w:val="none"/>
        </w:rPr>
      </w:pPr>
    </w:p>
    <w:p>
      <w:pPr>
        <w:snapToGrid w:val="0"/>
        <w:spacing w:before="120" w:beforeLines="50" w:after="50" w:line="360" w:lineRule="auto"/>
        <w:ind w:firstLine="945" w:firstLineChars="450"/>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CBNB-20245230GLS</w:t>
      </w:r>
    </w:p>
    <w:p>
      <w:pPr>
        <w:snapToGrid w:val="0"/>
        <w:spacing w:before="120" w:beforeLines="50" w:after="50" w:line="360" w:lineRule="auto"/>
        <w:ind w:firstLine="945" w:firstLineChars="450"/>
        <w:rPr>
          <w:rFonts w:hint="eastAsia" w:ascii="宋体" w:hAnsi="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丽水市莲都区人民医院全自动血液分析流水线采购项目</w:t>
      </w:r>
    </w:p>
    <w:p>
      <w:pPr>
        <w:snapToGrid w:val="0"/>
        <w:spacing w:before="120" w:beforeLines="50" w:after="50" w:line="360" w:lineRule="auto"/>
        <w:ind w:firstLine="945" w:firstLineChars="450"/>
        <w:rPr>
          <w:rFonts w:ascii="宋体" w:hAnsi="宋体" w:cs="宋体"/>
          <w:highlight w:val="none"/>
        </w:rPr>
      </w:pPr>
      <w:r>
        <w:rPr>
          <w:rFonts w:hint="eastAsia" w:ascii="宋体" w:hAnsi="宋体" w:cs="宋体"/>
          <w:highlight w:val="none"/>
        </w:rPr>
        <w:t>投标人名称（加盖公章）：</w:t>
      </w:r>
    </w:p>
    <w:p>
      <w:pPr>
        <w:snapToGrid w:val="0"/>
        <w:spacing w:before="120" w:beforeLines="50" w:after="50" w:line="360" w:lineRule="auto"/>
        <w:ind w:firstLine="945" w:firstLineChars="450"/>
        <w:rPr>
          <w:rFonts w:ascii="宋体" w:hAnsi="宋体" w:cs="宋体"/>
          <w:highlight w:val="none"/>
        </w:rPr>
      </w:pPr>
      <w:r>
        <w:rPr>
          <w:rFonts w:hint="eastAsia" w:ascii="宋体" w:hAnsi="宋体" w:cs="宋体"/>
          <w:highlight w:val="none"/>
        </w:rPr>
        <w:t>投标人地址：</w:t>
      </w:r>
    </w:p>
    <w:p>
      <w:pPr>
        <w:snapToGrid w:val="0"/>
        <w:spacing w:before="50" w:after="50" w:line="360" w:lineRule="auto"/>
        <w:outlineLvl w:val="1"/>
        <w:rPr>
          <w:rFonts w:ascii="宋体" w:hAnsi="宋体" w:cs="宋体"/>
          <w:highlight w:val="none"/>
        </w:rPr>
      </w:pPr>
      <w:r>
        <w:rPr>
          <w:rFonts w:hint="eastAsia" w:ascii="宋体" w:hAnsi="宋体" w:cs="宋体"/>
          <w:highlight w:val="none"/>
        </w:rPr>
        <w:t xml:space="preserve">                                                 </w:t>
      </w:r>
      <w:bookmarkStart w:id="203" w:name="_Toc47388387"/>
      <w:bookmarkStart w:id="204" w:name="_Toc115344283"/>
      <w:bookmarkStart w:id="205" w:name="_Toc447886361"/>
      <w:bookmarkStart w:id="206" w:name="_Toc447886499"/>
      <w:bookmarkStart w:id="207" w:name="_Toc23227"/>
      <w:r>
        <w:rPr>
          <w:rFonts w:hint="eastAsia" w:ascii="宋体" w:hAnsi="宋体" w:cs="宋体"/>
          <w:highlight w:val="none"/>
        </w:rPr>
        <w:t>年  月  日</w:t>
      </w:r>
      <w:bookmarkEnd w:id="203"/>
      <w:bookmarkEnd w:id="204"/>
      <w:bookmarkEnd w:id="205"/>
      <w:bookmarkEnd w:id="206"/>
      <w:bookmarkEnd w:id="207"/>
    </w:p>
    <w:p>
      <w:pPr>
        <w:snapToGrid w:val="0"/>
        <w:spacing w:before="120" w:beforeLines="50" w:after="50"/>
        <w:rPr>
          <w:rFonts w:ascii="宋体" w:hAnsi="宋体" w:cs="宋体"/>
          <w:highlight w:val="none"/>
        </w:rPr>
      </w:pPr>
    </w:p>
    <w:p>
      <w:pPr>
        <w:snapToGrid w:val="0"/>
        <w:spacing w:before="120" w:beforeLines="50" w:after="50"/>
        <w:jc w:val="center"/>
        <w:rPr>
          <w:rFonts w:ascii="宋体" w:hAnsi="宋体" w:cs="宋体"/>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b/>
          <w:highlight w:val="none"/>
        </w:rPr>
        <w:t>注：联合体投标的，可只由联合体牵头人盖章。</w:t>
      </w:r>
    </w:p>
    <w:bookmarkEnd w:id="202"/>
    <w:p>
      <w:pPr>
        <w:snapToGrid w:val="0"/>
        <w:spacing w:before="120" w:beforeLines="50" w:after="50"/>
        <w:rPr>
          <w:rFonts w:ascii="宋体" w:hAnsi="宋体" w:cs="宋体"/>
          <w:b/>
          <w:bCs/>
          <w:color w:val="auto"/>
          <w:highlight w:val="none"/>
        </w:rPr>
      </w:pPr>
      <w:r>
        <w:rPr>
          <w:rFonts w:hint="eastAsia" w:ascii="宋体" w:hAnsi="宋体" w:cs="宋体"/>
          <w:b/>
          <w:bCs/>
          <w:color w:val="auto"/>
          <w:highlight w:val="none"/>
        </w:rPr>
        <w:t>一、报价文件</w:t>
      </w:r>
    </w:p>
    <w:p>
      <w:pPr>
        <w:snapToGrid w:val="0"/>
        <w:spacing w:before="120" w:beforeLines="50" w:after="50"/>
        <w:rPr>
          <w:rFonts w:ascii="宋体" w:hAnsi="宋体" w:cs="宋体"/>
          <w:color w:val="auto"/>
          <w:highlight w:val="none"/>
        </w:rPr>
      </w:pPr>
      <w:r>
        <w:rPr>
          <w:rFonts w:hint="eastAsia" w:ascii="宋体" w:hAnsi="宋体" w:cs="宋体"/>
          <w:color w:val="auto"/>
          <w:highlight w:val="none"/>
        </w:rPr>
        <w:t>（1）投标函</w:t>
      </w:r>
    </w:p>
    <w:p>
      <w:pPr>
        <w:pStyle w:val="20"/>
        <w:widowControl/>
        <w:spacing w:line="360" w:lineRule="auto"/>
        <w:ind w:firstLine="0"/>
        <w:jc w:val="center"/>
        <w:rPr>
          <w:rFonts w:hAnsi="宋体"/>
          <w:b/>
          <w:bCs/>
          <w:color w:val="auto"/>
          <w:sz w:val="24"/>
          <w:szCs w:val="24"/>
          <w:highlight w:val="none"/>
        </w:rPr>
      </w:pPr>
      <w:r>
        <w:rPr>
          <w:rFonts w:hint="eastAsia" w:hAnsi="宋体"/>
          <w:b/>
          <w:bCs/>
          <w:color w:val="auto"/>
          <w:sz w:val="24"/>
          <w:szCs w:val="24"/>
          <w:highlight w:val="none"/>
        </w:rPr>
        <w:t>投标函</w:t>
      </w:r>
    </w:p>
    <w:p>
      <w:pPr>
        <w:pStyle w:val="20"/>
        <w:widowControl/>
        <w:spacing w:line="360" w:lineRule="auto"/>
        <w:ind w:firstLine="0"/>
        <w:jc w:val="center"/>
        <w:rPr>
          <w:rFonts w:hAnsi="宋体"/>
          <w:b/>
          <w:bCs/>
          <w:color w:val="auto"/>
          <w:sz w:val="24"/>
          <w:szCs w:val="24"/>
          <w:highlight w:val="none"/>
        </w:rPr>
      </w:pPr>
    </w:p>
    <w:p>
      <w:pPr>
        <w:pStyle w:val="20"/>
        <w:widowControl/>
        <w:spacing w:line="360" w:lineRule="auto"/>
        <w:ind w:firstLine="0"/>
        <w:jc w:val="left"/>
        <w:rPr>
          <w:rFonts w:hAnsi="宋体"/>
          <w:color w:val="auto"/>
          <w:sz w:val="21"/>
          <w:szCs w:val="21"/>
          <w:highlight w:val="none"/>
        </w:rPr>
      </w:pPr>
      <w:r>
        <w:rPr>
          <w:rFonts w:hint="eastAsia" w:hAnsi="宋体"/>
          <w:color w:val="auto"/>
          <w:sz w:val="21"/>
          <w:szCs w:val="21"/>
          <w:highlight w:val="none"/>
          <w:u w:val="single"/>
        </w:rPr>
        <w:t>致（采购代理机构）</w:t>
      </w:r>
      <w:r>
        <w:rPr>
          <w:rFonts w:hint="eastAsia" w:hAnsi="宋体"/>
          <w:color w:val="auto"/>
          <w:sz w:val="21"/>
          <w:szCs w:val="21"/>
          <w:highlight w:val="none"/>
        </w:rPr>
        <w:t>：</w:t>
      </w:r>
    </w:p>
    <w:p>
      <w:pPr>
        <w:pStyle w:val="20"/>
        <w:widowControl/>
        <w:spacing w:line="360" w:lineRule="auto"/>
        <w:jc w:val="left"/>
        <w:rPr>
          <w:rFonts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u w:val="single"/>
        </w:rPr>
        <w:t>（投标人全称）</w:t>
      </w:r>
      <w:r>
        <w:rPr>
          <w:rFonts w:hint="eastAsia" w:hAnsi="宋体"/>
          <w:color w:val="auto"/>
          <w:sz w:val="21"/>
          <w:szCs w:val="21"/>
          <w:highlight w:val="none"/>
        </w:rPr>
        <w:t>授权</w:t>
      </w:r>
      <w:r>
        <w:rPr>
          <w:rFonts w:hint="eastAsia" w:hAnsi="宋体"/>
          <w:color w:val="auto"/>
          <w:sz w:val="21"/>
          <w:szCs w:val="21"/>
          <w:highlight w:val="none"/>
          <w:u w:val="single"/>
        </w:rPr>
        <w:t xml:space="preserve">（授权代表姓名、职务） </w:t>
      </w:r>
      <w:r>
        <w:rPr>
          <w:rFonts w:hint="eastAsia" w:hAnsi="宋体"/>
          <w:color w:val="auto"/>
          <w:sz w:val="21"/>
          <w:szCs w:val="21"/>
          <w:highlight w:val="none"/>
        </w:rPr>
        <w:t>为本公司（单位）合法代理人，参加贵方组织的</w:t>
      </w:r>
      <w:r>
        <w:rPr>
          <w:rFonts w:hint="eastAsia" w:hAnsi="宋体"/>
          <w:color w:val="auto"/>
          <w:sz w:val="21"/>
          <w:szCs w:val="21"/>
          <w:highlight w:val="none"/>
          <w:u w:val="single"/>
        </w:rPr>
        <w:t xml:space="preserve">（项目编号、项目名称） </w:t>
      </w:r>
      <w:r>
        <w:rPr>
          <w:rFonts w:hint="eastAsia" w:hAnsi="宋体"/>
          <w:color w:val="auto"/>
          <w:sz w:val="21"/>
          <w:szCs w:val="21"/>
          <w:highlight w:val="none"/>
        </w:rPr>
        <w:t>招投标活动，代表本公司（单位）处理招投标活动中的一切事宜，为对</w:t>
      </w:r>
      <w:r>
        <w:rPr>
          <w:rFonts w:hint="eastAsia" w:hAnsi="宋体"/>
          <w:color w:val="auto"/>
          <w:sz w:val="21"/>
          <w:szCs w:val="21"/>
          <w:highlight w:val="none"/>
          <w:u w:val="single"/>
        </w:rPr>
        <w:t>（货物名称）</w:t>
      </w:r>
      <w:r>
        <w:rPr>
          <w:rFonts w:hint="eastAsia" w:hAnsi="宋体"/>
          <w:color w:val="auto"/>
          <w:sz w:val="21"/>
          <w:szCs w:val="21"/>
          <w:highlight w:val="none"/>
        </w:rPr>
        <w:t>进行投标，在此：</w:t>
      </w:r>
    </w:p>
    <w:p>
      <w:pPr>
        <w:pStyle w:val="20"/>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1、提供招标文件中“投标须知”规定的全部投标文件：报价文件、资格证明文件及商务技术文件；</w:t>
      </w:r>
    </w:p>
    <w:p>
      <w:pPr>
        <w:pStyle w:val="20"/>
        <w:widowControl/>
        <w:numPr>
          <w:ilvl w:val="0"/>
          <w:numId w:val="16"/>
        </w:numPr>
        <w:spacing w:line="360" w:lineRule="auto"/>
        <w:ind w:firstLine="0"/>
        <w:jc w:val="left"/>
        <w:rPr>
          <w:rFonts w:hAnsi="宋体"/>
          <w:color w:val="auto"/>
          <w:sz w:val="21"/>
          <w:szCs w:val="21"/>
          <w:highlight w:val="none"/>
        </w:rPr>
      </w:pPr>
      <w:r>
        <w:rPr>
          <w:rFonts w:hint="eastAsia" w:hAnsi="宋体"/>
          <w:color w:val="auto"/>
          <w:sz w:val="21"/>
          <w:szCs w:val="21"/>
          <w:highlight w:val="none"/>
        </w:rPr>
        <w:t>据此函，签字代表宣布并承诺如下：</w:t>
      </w:r>
    </w:p>
    <w:p>
      <w:pPr>
        <w:pStyle w:val="20"/>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pPr>
        <w:pStyle w:val="20"/>
        <w:widowControl/>
        <w:numPr>
          <w:ilvl w:val="0"/>
          <w:numId w:val="17"/>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本投标自开标之日起</w:t>
      </w:r>
      <w:r>
        <w:rPr>
          <w:rFonts w:hint="eastAsia" w:hAnsi="宋体"/>
          <w:color w:val="auto"/>
          <w:sz w:val="21"/>
          <w:szCs w:val="21"/>
          <w:highlight w:val="none"/>
          <w:u w:val="single"/>
        </w:rPr>
        <w:t>90</w:t>
      </w:r>
      <w:r>
        <w:rPr>
          <w:rFonts w:hint="eastAsia" w:hAnsi="宋体"/>
          <w:color w:val="auto"/>
          <w:sz w:val="21"/>
          <w:szCs w:val="21"/>
          <w:highlight w:val="none"/>
        </w:rPr>
        <w:t>天内有效。</w:t>
      </w:r>
    </w:p>
    <w:p>
      <w:pPr>
        <w:pStyle w:val="20"/>
        <w:widowControl/>
        <w:numPr>
          <w:ilvl w:val="0"/>
          <w:numId w:val="17"/>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20"/>
        <w:widowControl/>
        <w:numPr>
          <w:ilvl w:val="0"/>
          <w:numId w:val="17"/>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保证在中标后忠实地执行与采购人所签署的合同，并承担合同规定的责任义务。保证在中标后按照招标文件的规定支付招标服务费。</w:t>
      </w:r>
    </w:p>
    <w:p>
      <w:pPr>
        <w:pStyle w:val="20"/>
        <w:widowControl/>
        <w:numPr>
          <w:ilvl w:val="0"/>
          <w:numId w:val="17"/>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承诺应贵方要求提供任何与该项目投标有关的数据、情况和技术资料。</w:t>
      </w:r>
    </w:p>
    <w:p>
      <w:pPr>
        <w:pStyle w:val="20"/>
        <w:widowControl/>
        <w:numPr>
          <w:ilvl w:val="0"/>
          <w:numId w:val="17"/>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我们承诺，与为采购人采购本次招标的货物进行设计、编制规范和其他文件所委托的咨询公司或其附属机构无任何直接或间接的关联。</w:t>
      </w:r>
    </w:p>
    <w:p>
      <w:pPr>
        <w:pStyle w:val="20"/>
        <w:widowControl/>
        <w:numPr>
          <w:ilvl w:val="0"/>
          <w:numId w:val="17"/>
        </w:numPr>
        <w:spacing w:line="360" w:lineRule="auto"/>
        <w:ind w:firstLine="404" w:firstLineChars="200"/>
        <w:jc w:val="left"/>
        <w:rPr>
          <w:rFonts w:hAnsi="宋体"/>
          <w:color w:val="auto"/>
          <w:sz w:val="21"/>
          <w:szCs w:val="21"/>
          <w:highlight w:val="none"/>
        </w:rPr>
      </w:pPr>
      <w:r>
        <w:rPr>
          <w:rFonts w:hint="eastAsia" w:hAnsi="宋体"/>
          <w:color w:val="auto"/>
          <w:sz w:val="21"/>
          <w:szCs w:val="21"/>
          <w:highlight w:val="none"/>
        </w:rPr>
        <w:t>投标人已详细审查并理解全部招标文件，已完全明确招标文件中的全部内容。如有违反，愿意接受监管机构相应的处理。</w:t>
      </w:r>
    </w:p>
    <w:p>
      <w:pPr>
        <w:pStyle w:val="20"/>
        <w:widowControl/>
        <w:spacing w:line="360" w:lineRule="auto"/>
        <w:ind w:firstLine="0"/>
        <w:jc w:val="left"/>
        <w:rPr>
          <w:rFonts w:hAnsi="宋体"/>
          <w:color w:val="auto"/>
          <w:sz w:val="21"/>
          <w:szCs w:val="21"/>
          <w:highlight w:val="none"/>
        </w:rPr>
      </w:pPr>
      <w:r>
        <w:rPr>
          <w:rFonts w:hint="eastAsia" w:hAnsi="宋体"/>
          <w:color w:val="auto"/>
          <w:sz w:val="21"/>
          <w:szCs w:val="21"/>
          <w:highlight w:val="none"/>
        </w:rPr>
        <w:t>4、与本投标有关的一切往来通讯请寄：</w:t>
      </w:r>
    </w:p>
    <w:p>
      <w:pPr>
        <w:pStyle w:val="20"/>
        <w:widowControl/>
        <w:spacing w:line="360" w:lineRule="auto"/>
        <w:jc w:val="left"/>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p>
    <w:p>
      <w:pPr>
        <w:pStyle w:val="20"/>
        <w:widowControl/>
        <w:spacing w:line="360" w:lineRule="auto"/>
        <w:jc w:val="left"/>
        <w:rPr>
          <w:rFonts w:hAnsi="宋体"/>
          <w:color w:val="auto"/>
          <w:sz w:val="21"/>
          <w:szCs w:val="21"/>
          <w:highlight w:val="none"/>
          <w:u w:val="single"/>
        </w:rPr>
      </w:pPr>
      <w:r>
        <w:rPr>
          <w:rFonts w:hint="eastAsia" w:hAnsi="宋体"/>
          <w:color w:val="auto"/>
          <w:sz w:val="21"/>
          <w:szCs w:val="21"/>
          <w:highlight w:val="none"/>
        </w:rPr>
        <w:t>邮编：</w:t>
      </w:r>
      <w:r>
        <w:rPr>
          <w:rFonts w:hint="eastAsia" w:hAnsi="宋体"/>
          <w:color w:val="auto"/>
          <w:sz w:val="21"/>
          <w:szCs w:val="21"/>
          <w:highlight w:val="none"/>
          <w:u w:val="single"/>
        </w:rPr>
        <w:t xml:space="preserve">            </w:t>
      </w: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传真：</w:t>
      </w:r>
      <w:r>
        <w:rPr>
          <w:rFonts w:hint="eastAsia" w:hAnsi="宋体"/>
          <w:color w:val="auto"/>
          <w:sz w:val="21"/>
          <w:szCs w:val="21"/>
          <w:highlight w:val="none"/>
          <w:u w:val="single"/>
        </w:rPr>
        <w:t xml:space="preserve">             </w:t>
      </w:r>
    </w:p>
    <w:p>
      <w:pPr>
        <w:pStyle w:val="20"/>
        <w:widowControl/>
        <w:spacing w:line="360" w:lineRule="auto"/>
        <w:jc w:val="left"/>
        <w:rPr>
          <w:rFonts w:hAnsi="宋体"/>
          <w:color w:val="auto"/>
          <w:sz w:val="21"/>
          <w:szCs w:val="21"/>
          <w:highlight w:val="none"/>
        </w:rPr>
      </w:pPr>
    </w:p>
    <w:p>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snapToGrid w:val="0"/>
        <w:spacing w:before="50" w:after="50"/>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（2）开标一览表</w:t>
      </w:r>
    </w:p>
    <w:p>
      <w:pPr>
        <w:snapToGrid w:val="0"/>
        <w:spacing w:before="50" w:after="50" w:line="360" w:lineRule="auto"/>
        <w:jc w:val="center"/>
        <w:rPr>
          <w:rFonts w:ascii="宋体" w:hAnsi="宋体" w:cs="宋体"/>
          <w:b/>
          <w:bCs/>
          <w:color w:val="auto"/>
          <w:highlight w:val="none"/>
        </w:rPr>
      </w:pPr>
      <w:r>
        <w:rPr>
          <w:rFonts w:hint="eastAsia" w:ascii="宋体" w:hAnsi="宋体" w:cs="宋体"/>
          <w:b/>
          <w:bCs/>
          <w:color w:val="auto"/>
          <w:highlight w:val="none"/>
        </w:rPr>
        <w:t>开标一览表</w:t>
      </w:r>
    </w:p>
    <w:p>
      <w:pPr>
        <w:snapToGrid w:val="0"/>
        <w:spacing w:before="50" w:after="50" w:line="360" w:lineRule="auto"/>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p>
    <w:tbl>
      <w:tblPr>
        <w:tblStyle w:val="48"/>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1275" w:type="dxa"/>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标项号</w:t>
            </w:r>
          </w:p>
        </w:tc>
        <w:tc>
          <w:tcPr>
            <w:tcW w:w="270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采购标的名称</w:t>
            </w:r>
          </w:p>
        </w:tc>
        <w:tc>
          <w:tcPr>
            <w:tcW w:w="4551"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275" w:type="dxa"/>
            <w:vAlign w:val="center"/>
          </w:tcPr>
          <w:p>
            <w:pPr>
              <w:spacing w:line="400" w:lineRule="exact"/>
              <w:jc w:val="center"/>
              <w:rPr>
                <w:rFonts w:ascii="宋体" w:hAnsi="宋体" w:cs="宋体"/>
                <w:color w:val="auto"/>
                <w:highlight w:val="none"/>
              </w:rPr>
            </w:pPr>
          </w:p>
        </w:tc>
        <w:tc>
          <w:tcPr>
            <w:tcW w:w="2702" w:type="dxa"/>
            <w:vAlign w:val="center"/>
          </w:tcPr>
          <w:p>
            <w:pPr>
              <w:spacing w:line="400" w:lineRule="exact"/>
              <w:jc w:val="center"/>
              <w:rPr>
                <w:rFonts w:ascii="宋体" w:hAnsi="宋体" w:cs="宋体"/>
                <w:color w:val="auto"/>
                <w:highlight w:val="none"/>
              </w:rPr>
            </w:pPr>
          </w:p>
        </w:tc>
        <w:tc>
          <w:tcPr>
            <w:tcW w:w="4551"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3977" w:type="dxa"/>
            <w:gridSpan w:val="2"/>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投标总价</w:t>
            </w:r>
          </w:p>
        </w:tc>
        <w:tc>
          <w:tcPr>
            <w:tcW w:w="4551"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大写：</w:t>
            </w:r>
          </w:p>
          <w:p>
            <w:pPr>
              <w:pStyle w:val="18"/>
              <w:jc w:val="center"/>
              <w:rPr>
                <w:rFonts w:ascii="宋体" w:hAnsi="宋体" w:cs="宋体"/>
                <w:color w:val="auto"/>
                <w:highlight w:val="none"/>
              </w:rPr>
            </w:pPr>
            <w:r>
              <w:rPr>
                <w:rFonts w:hint="eastAsia" w:ascii="宋体" w:hAnsi="宋体" w:cs="宋体"/>
                <w:color w:val="auto"/>
                <w:sz w:val="21"/>
                <w:szCs w:val="21"/>
                <w:highlight w:val="none"/>
              </w:rPr>
              <w:t>小写：</w:t>
            </w:r>
          </w:p>
        </w:tc>
      </w:tr>
    </w:tbl>
    <w:p>
      <w:pPr>
        <w:snapToGrid w:val="0"/>
        <w:spacing w:before="50" w:after="50" w:line="360" w:lineRule="auto"/>
        <w:rPr>
          <w:rFonts w:ascii="宋体" w:hAnsi="宋体" w:cs="宋体"/>
          <w:color w:val="auto"/>
          <w:highlight w:val="none"/>
        </w:rPr>
      </w:pPr>
    </w:p>
    <w:p>
      <w:pPr>
        <w:snapToGrid w:val="0"/>
        <w:spacing w:before="50" w:after="50" w:line="360" w:lineRule="auto"/>
        <w:rPr>
          <w:rFonts w:ascii="宋体" w:hAnsi="宋体" w:cs="宋体"/>
          <w:color w:val="auto"/>
          <w:highlight w:val="none"/>
        </w:rPr>
      </w:pPr>
      <w:r>
        <w:rPr>
          <w:rFonts w:hint="eastAsia" w:ascii="宋体" w:hAnsi="宋体" w:cs="宋体"/>
          <w:color w:val="auto"/>
          <w:highlight w:val="none"/>
        </w:rPr>
        <w:t xml:space="preserve">                    </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ascii="宋体" w:hAnsi="宋体" w:cs="宋体"/>
          <w:color w:val="auto"/>
          <w:highlight w:val="none"/>
        </w:rPr>
      </w:pPr>
    </w:p>
    <w:p>
      <w:pPr>
        <w:snapToGrid w:val="0"/>
        <w:spacing w:line="360" w:lineRule="auto"/>
        <w:ind w:left="-21" w:leftChars="-72" w:right="-817" w:rightChars="-389" w:hanging="130" w:hangingChars="62"/>
        <w:rPr>
          <w:rFonts w:ascii="宋体" w:hAnsi="宋体" w:cs="宋体"/>
          <w:color w:val="auto"/>
          <w:highlight w:val="none"/>
        </w:rPr>
      </w:pPr>
    </w:p>
    <w:p>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pStyle w:val="25"/>
        <w:tabs>
          <w:tab w:val="left" w:pos="2472"/>
        </w:tabs>
        <w:snapToGrid w:val="0"/>
        <w:spacing w:beforeLines="0" w:afterLines="0" w:line="360" w:lineRule="auto"/>
        <w:jc w:val="left"/>
        <w:rPr>
          <w:rFonts w:hAnsi="宋体"/>
          <w:color w:val="auto"/>
          <w:highlight w:val="none"/>
        </w:rPr>
      </w:pPr>
      <w:r>
        <w:rPr>
          <w:rFonts w:hint="eastAsia" w:hAnsi="宋体"/>
          <w:color w:val="auto"/>
          <w:sz w:val="21"/>
          <w:szCs w:val="21"/>
          <w:highlight w:val="none"/>
        </w:rPr>
        <w:t>日期:_____年___月___日</w:t>
      </w:r>
    </w:p>
    <w:p>
      <w:pPr>
        <w:pStyle w:val="18"/>
        <w:rPr>
          <w:rFonts w:ascii="宋体" w:hAnsi="宋体" w:cs="宋体"/>
          <w:color w:val="auto"/>
          <w:highlight w:val="none"/>
        </w:rPr>
      </w:pPr>
    </w:p>
    <w:p>
      <w:pPr>
        <w:snapToGrid w:val="0"/>
        <w:spacing w:before="120" w:beforeLines="50" w:after="50"/>
        <w:rPr>
          <w:rFonts w:ascii="宋体" w:hAnsi="宋体" w:cs="宋体"/>
          <w:color w:val="auto"/>
          <w:highlight w:val="none"/>
        </w:rPr>
      </w:pPr>
      <w:r>
        <w:rPr>
          <w:rFonts w:hint="eastAsia" w:ascii="宋体" w:hAnsi="宋体" w:cs="宋体"/>
          <w:b/>
          <w:color w:val="auto"/>
          <w:highlight w:val="none"/>
        </w:rPr>
        <w:t>注：联合体投标的，可只由联合体牵头人盖章。</w:t>
      </w:r>
    </w:p>
    <w:p>
      <w:pPr>
        <w:pStyle w:val="25"/>
        <w:snapToGrid w:val="0"/>
        <w:spacing w:beforeLines="0" w:afterLines="0" w:line="240" w:lineRule="auto"/>
        <w:rPr>
          <w:rFonts w:hint="eastAsia" w:hAnsi="宋体"/>
          <w:color w:val="auto"/>
          <w:sz w:val="21"/>
          <w:szCs w:val="21"/>
          <w:highlight w:val="none"/>
        </w:rPr>
      </w:pPr>
      <w:r>
        <w:rPr>
          <w:rFonts w:hint="eastAsia" w:hAnsi="宋体"/>
          <w:color w:val="auto"/>
          <w:sz w:val="21"/>
          <w:szCs w:val="21"/>
          <w:highlight w:val="none"/>
        </w:rPr>
        <w:br w:type="page"/>
      </w:r>
      <w:r>
        <w:rPr>
          <w:rFonts w:hint="eastAsia" w:hAnsi="宋体"/>
          <w:color w:val="auto"/>
          <w:sz w:val="21"/>
          <w:szCs w:val="21"/>
          <w:highlight w:val="none"/>
        </w:rPr>
        <w:t xml:space="preserve">（3）投标报价明细表       </w:t>
      </w:r>
    </w:p>
    <w:p>
      <w:pPr>
        <w:pStyle w:val="25"/>
        <w:snapToGrid w:val="0"/>
        <w:spacing w:beforeLines="0" w:afterLines="0" w:line="240" w:lineRule="auto"/>
        <w:rPr>
          <w:rFonts w:hint="eastAsia" w:hAnsi="宋体"/>
          <w:color w:val="auto"/>
          <w:sz w:val="21"/>
          <w:szCs w:val="21"/>
          <w:highlight w:val="none"/>
        </w:rPr>
      </w:pPr>
    </w:p>
    <w:p>
      <w:pPr>
        <w:pStyle w:val="25"/>
        <w:snapToGrid w:val="0"/>
        <w:spacing w:beforeLines="0" w:afterLines="0" w:line="240" w:lineRule="auto"/>
        <w:jc w:val="center"/>
        <w:rPr>
          <w:rFonts w:hAnsi="宋体"/>
          <w:color w:val="auto"/>
          <w:sz w:val="21"/>
          <w:szCs w:val="21"/>
          <w:highlight w:val="none"/>
        </w:rPr>
      </w:pPr>
      <w:r>
        <w:rPr>
          <w:rFonts w:hint="eastAsia" w:hAnsi="宋体"/>
          <w:b/>
          <w:bCs/>
          <w:color w:val="auto"/>
          <w:sz w:val="21"/>
          <w:szCs w:val="21"/>
          <w:highlight w:val="none"/>
        </w:rPr>
        <w:t>设备报价明细表</w:t>
      </w:r>
    </w:p>
    <w:p>
      <w:pPr>
        <w:pStyle w:val="25"/>
        <w:snapToGrid w:val="0"/>
        <w:spacing w:beforeLines="0" w:afterLines="0"/>
        <w:jc w:val="left"/>
        <w:rPr>
          <w:rFonts w:hint="eastAsia" w:hAnsi="宋体"/>
          <w:color w:val="auto"/>
          <w:sz w:val="21"/>
          <w:szCs w:val="21"/>
          <w:highlight w:val="none"/>
        </w:rPr>
      </w:pPr>
    </w:p>
    <w:p>
      <w:pPr>
        <w:pStyle w:val="25"/>
        <w:snapToGrid w:val="0"/>
        <w:spacing w:beforeLines="0" w:afterLines="0"/>
        <w:jc w:val="left"/>
        <w:rPr>
          <w:rFonts w:hAnsi="宋体"/>
          <w:color w:val="auto"/>
          <w:sz w:val="21"/>
          <w:szCs w:val="21"/>
          <w:highlight w:val="none"/>
        </w:rPr>
      </w:pPr>
      <w:r>
        <w:rPr>
          <w:rFonts w:hint="eastAsia" w:hAnsi="宋体"/>
          <w:color w:val="auto"/>
          <w:sz w:val="21"/>
          <w:szCs w:val="21"/>
          <w:highlight w:val="none"/>
        </w:rPr>
        <w:t>项目编号：</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项目名称：</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金额单位：人民币（元）</w:t>
      </w:r>
    </w:p>
    <w:tbl>
      <w:tblPr>
        <w:tblStyle w:val="48"/>
        <w:tblW w:w="8676" w:type="dxa"/>
        <w:tblInd w:w="-146"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61"/>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5" w:hRule="atLeast"/>
        </w:trPr>
        <w:tc>
          <w:tcPr>
            <w:tcW w:w="661"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设备名称</w:t>
            </w:r>
          </w:p>
        </w:tc>
        <w:tc>
          <w:tcPr>
            <w:tcW w:w="1023" w:type="dxa"/>
            <w:tcBorders>
              <w:tl2br w:val="nil"/>
              <w:tr2bl w:val="nil"/>
            </w:tcBorders>
            <w:vAlign w:val="center"/>
          </w:tcPr>
          <w:p>
            <w:pPr>
              <w:pStyle w:val="252"/>
              <w:snapToGrid w:val="0"/>
              <w:spacing w:before="50" w:after="50"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atLeast"/>
        </w:trPr>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1" w:hRule="atLeast"/>
        </w:trPr>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5" w:hRule="atLeast"/>
        </w:trPr>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b/>
                <w:bCs/>
                <w:color w:val="auto"/>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5" w:hRule="atLeast"/>
        </w:trPr>
        <w:tc>
          <w:tcPr>
            <w:tcW w:w="661"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ascii="宋体" w:hAnsi="宋体" w:cs="宋体"/>
                <w:b/>
                <w:bCs/>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312" w:type="dxa"/>
            <w:gridSpan w:val="6"/>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r>
              <w:rPr>
                <w:rFonts w:hint="eastAsia" w:ascii="宋体" w:hAnsi="宋体" w:cs="宋体"/>
                <w:color w:val="auto"/>
                <w:spacing w:val="20"/>
                <w:highlight w:val="none"/>
              </w:rPr>
              <w:t>设备报价合计</w:t>
            </w:r>
            <w:r>
              <w:rPr>
                <w:rFonts w:hint="eastAsia" w:ascii="宋体" w:hAnsi="宋体" w:cs="宋体"/>
                <w:color w:val="auto"/>
                <w:highlight w:val="none"/>
              </w:rPr>
              <w:t>（元）</w:t>
            </w:r>
          </w:p>
        </w:tc>
        <w:tc>
          <w:tcPr>
            <w:tcW w:w="1364" w:type="dxa"/>
            <w:tcBorders>
              <w:tl2br w:val="nil"/>
              <w:tr2bl w:val="nil"/>
            </w:tcBorders>
          </w:tcPr>
          <w:p>
            <w:pPr>
              <w:tabs>
                <w:tab w:val="left" w:pos="1418"/>
              </w:tabs>
              <w:snapToGrid w:val="0"/>
              <w:spacing w:before="50" w:after="50" w:line="400" w:lineRule="exact"/>
              <w:jc w:val="center"/>
              <w:rPr>
                <w:rFonts w:ascii="宋体" w:hAnsi="宋体" w:cs="宋体"/>
                <w:color w:val="auto"/>
                <w:spacing w:val="20"/>
                <w:highlight w:val="none"/>
              </w:rPr>
            </w:pPr>
          </w:p>
        </w:tc>
      </w:tr>
    </w:tbl>
    <w:p>
      <w:pPr>
        <w:snapToGrid w:val="0"/>
        <w:spacing w:line="360" w:lineRule="auto"/>
        <w:ind w:firstLine="420" w:firstLineChars="200"/>
        <w:jc w:val="left"/>
        <w:rPr>
          <w:rFonts w:ascii="宋体" w:hAnsi="宋体" w:cs="宋体"/>
          <w:color w:val="auto"/>
          <w:highlight w:val="none"/>
        </w:rPr>
      </w:pPr>
    </w:p>
    <w:p>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分别报出每台设备的金额。</w:t>
      </w:r>
    </w:p>
    <w:p>
      <w:pPr>
        <w:tabs>
          <w:tab w:val="left" w:pos="1418"/>
        </w:tabs>
        <w:snapToGrid w:val="0"/>
        <w:spacing w:before="50" w:after="50"/>
        <w:ind w:left="1418" w:hanging="567"/>
        <w:jc w:val="center"/>
        <w:rPr>
          <w:rFonts w:ascii="宋体" w:hAnsi="宋体" w:cs="宋体"/>
          <w:color w:val="auto"/>
          <w:spacing w:val="20"/>
          <w:highlight w:val="none"/>
          <w:u w:val="single"/>
        </w:rPr>
      </w:pPr>
    </w:p>
    <w:p>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50"/>
        <w:rPr>
          <w:rFonts w:ascii="宋体" w:hAnsi="宋体" w:cs="宋体"/>
          <w:color w:val="auto"/>
          <w:spacing w:val="20"/>
          <w:highlight w:val="none"/>
          <w:u w:val="single"/>
        </w:rPr>
      </w:pPr>
      <w:r>
        <w:rPr>
          <w:rFonts w:hint="eastAsia" w:ascii="宋体" w:hAnsi="宋体" w:cs="宋体"/>
          <w:color w:val="auto"/>
          <w:highlight w:val="none"/>
        </w:rPr>
        <w:t>日期:_____年___月___日</w:t>
      </w:r>
    </w:p>
    <w:p>
      <w:pPr>
        <w:pStyle w:val="25"/>
        <w:snapToGrid w:val="0"/>
        <w:spacing w:beforeLines="0" w:afterLines="0" w:line="240" w:lineRule="auto"/>
        <w:rPr>
          <w:rFonts w:hAnsi="宋体"/>
          <w:color w:val="auto"/>
          <w:sz w:val="21"/>
          <w:szCs w:val="21"/>
          <w:highlight w:val="none"/>
        </w:rPr>
      </w:pPr>
    </w:p>
    <w:p>
      <w:pPr>
        <w:pStyle w:val="20"/>
        <w:spacing w:line="520" w:lineRule="exact"/>
        <w:ind w:firstLine="0"/>
        <w:jc w:val="left"/>
        <w:rPr>
          <w:rFonts w:hAnsi="宋体"/>
          <w:b/>
          <w:color w:val="auto"/>
          <w:sz w:val="21"/>
          <w:szCs w:val="21"/>
          <w:highlight w:val="none"/>
        </w:rPr>
      </w:pPr>
      <w:r>
        <w:rPr>
          <w:rFonts w:hint="eastAsia" w:hAnsi="宋体"/>
          <w:b/>
          <w:color w:val="auto"/>
          <w:sz w:val="21"/>
          <w:szCs w:val="21"/>
          <w:highlight w:val="none"/>
        </w:rPr>
        <w:t>注：联合体投标的，可只由联合体牵头人盖章。</w:t>
      </w:r>
    </w:p>
    <w:p>
      <w:pPr>
        <w:rPr>
          <w:rFonts w:ascii="宋体" w:hAnsi="宋体" w:cs="宋体"/>
          <w:b/>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p>
    <w:p>
      <w:pPr>
        <w:spacing w:line="360" w:lineRule="auto"/>
        <w:jc w:val="left"/>
        <w:outlineLvl w:val="0"/>
        <w:rPr>
          <w:rFonts w:ascii="宋体" w:hAnsi="宋体" w:cs="宋体"/>
          <w:color w:val="auto"/>
          <w:highlight w:val="none"/>
        </w:rPr>
      </w:pPr>
      <w:r>
        <w:rPr>
          <w:rFonts w:hint="eastAsia" w:ascii="宋体" w:hAnsi="宋体" w:cs="宋体"/>
          <w:color w:val="auto"/>
          <w:highlight w:val="none"/>
        </w:rPr>
        <w:t>（4）中小企业声明函</w:t>
      </w:r>
    </w:p>
    <w:p>
      <w:pPr>
        <w:pStyle w:val="20"/>
        <w:spacing w:line="520" w:lineRule="exact"/>
        <w:ind w:firstLine="0"/>
        <w:rPr>
          <w:rFonts w:hAnsi="宋体"/>
          <w:b/>
          <w:bCs/>
          <w:color w:val="auto"/>
          <w:sz w:val="24"/>
          <w:szCs w:val="24"/>
          <w:highlight w:val="none"/>
        </w:rPr>
      </w:pPr>
    </w:p>
    <w:p>
      <w:pPr>
        <w:snapToGrid w:val="0"/>
        <w:spacing w:after="120" w:afterLines="50" w:line="360" w:lineRule="auto"/>
        <w:jc w:val="center"/>
        <w:rPr>
          <w:rFonts w:ascii="宋体" w:hAnsi="宋体" w:cs="宋体"/>
          <w:b/>
          <w:bCs/>
          <w:color w:val="auto"/>
          <w:highlight w:val="none"/>
        </w:rPr>
      </w:pPr>
      <w:r>
        <w:rPr>
          <w:rFonts w:hint="eastAsia" w:ascii="宋体" w:hAnsi="宋体" w:cs="宋体"/>
          <w:b/>
          <w:bCs/>
          <w:color w:val="auto"/>
          <w:highlight w:val="none"/>
        </w:rPr>
        <w:t>中小企业声明函</w:t>
      </w:r>
    </w:p>
    <w:p>
      <w:pPr>
        <w:spacing w:line="360" w:lineRule="auto"/>
        <w:rPr>
          <w:rFonts w:ascii="宋体" w:hAnsi="宋体" w:cs="宋体"/>
          <w:b/>
          <w:bCs/>
          <w:color w:val="auto"/>
          <w:spacing w:val="6"/>
          <w:highlight w:val="none"/>
        </w:rPr>
      </w:pP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本公司（联合体）郑重声明，根据《政府采购促进中小企业发展管理办法》（财库﹝2020﹞46 号）的规定，本公司（联合体）参加</w:t>
      </w:r>
      <w:r>
        <w:rPr>
          <w:rFonts w:hint="eastAsia" w:ascii="宋体" w:hAnsi="宋体" w:cs="宋体"/>
          <w:color w:val="auto"/>
          <w:spacing w:val="6"/>
          <w:highlight w:val="none"/>
          <w:u w:val="single"/>
        </w:rPr>
        <w:t>（单位名称）</w:t>
      </w:r>
      <w:r>
        <w:rPr>
          <w:rFonts w:hint="eastAsia" w:ascii="宋体" w:hAnsi="宋体" w:cs="宋体"/>
          <w:color w:val="auto"/>
          <w:spacing w:val="6"/>
          <w:highlight w:val="none"/>
        </w:rPr>
        <w:t>的</w:t>
      </w:r>
      <w:r>
        <w:rPr>
          <w:rFonts w:hint="eastAsia" w:ascii="宋体" w:hAnsi="宋体" w:cs="宋体"/>
          <w:color w:val="auto"/>
          <w:spacing w:val="6"/>
          <w:highlight w:val="none"/>
          <w:u w:val="single"/>
        </w:rPr>
        <w:t>（项目名称）</w:t>
      </w:r>
      <w:r>
        <w:rPr>
          <w:rFonts w:hint="eastAsia" w:ascii="宋体" w:hAnsi="宋体" w:cs="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1. </w:t>
      </w:r>
      <w:r>
        <w:rPr>
          <w:rFonts w:hint="eastAsia" w:ascii="宋体" w:hAnsi="宋体" w:cs="宋体"/>
          <w:color w:val="auto"/>
          <w:spacing w:val="6"/>
          <w:highlight w:val="none"/>
          <w:u w:val="single"/>
        </w:rPr>
        <w:t xml:space="preserve">（全自动血液分析流水线）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w:t>
      </w:r>
      <w:r>
        <w:rPr>
          <w:rFonts w:hint="eastAsia" w:ascii="宋体" w:hAnsi="宋体" w:cs="宋体"/>
          <w:color w:val="auto"/>
          <w:highlight w:val="none"/>
          <w:vertAlign w:val="superscript"/>
        </w:rPr>
        <w:t>1</w:t>
      </w:r>
      <w:r>
        <w:rPr>
          <w:rFonts w:hint="eastAsia" w:ascii="宋体" w:hAnsi="宋体" w:cs="宋体"/>
          <w:color w:val="auto"/>
          <w:spacing w:val="6"/>
          <w:highlight w:val="none"/>
        </w:rPr>
        <w:t>，资产总额为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2.</w:t>
      </w:r>
      <w:r>
        <w:rPr>
          <w:rFonts w:hint="eastAsia" w:ascii="宋体" w:hAnsi="宋体" w:cs="宋体"/>
          <w:color w:val="auto"/>
          <w:spacing w:val="6"/>
          <w:highlight w:val="none"/>
          <w:u w:val="single"/>
        </w:rPr>
        <w:t xml:space="preserve"> （标的名称） </w:t>
      </w:r>
      <w:r>
        <w:rPr>
          <w:rFonts w:hint="eastAsia" w:ascii="宋体" w:hAnsi="宋体" w:cs="宋体"/>
          <w:color w:val="auto"/>
          <w:spacing w:val="6"/>
          <w:highlight w:val="none"/>
        </w:rPr>
        <w:t>，属于</w:t>
      </w:r>
      <w:r>
        <w:rPr>
          <w:rFonts w:hint="eastAsia" w:ascii="宋体" w:hAnsi="宋体" w:cs="宋体"/>
          <w:color w:val="auto"/>
          <w:spacing w:val="6"/>
          <w:highlight w:val="none"/>
          <w:u w:val="single"/>
        </w:rPr>
        <w:t>工业</w:t>
      </w:r>
      <w:r>
        <w:rPr>
          <w:rFonts w:hint="eastAsia" w:ascii="宋体" w:hAnsi="宋体" w:cs="宋体"/>
          <w:color w:val="auto"/>
          <w:spacing w:val="6"/>
          <w:highlight w:val="none"/>
        </w:rPr>
        <w:t>行业；制造商为</w:t>
      </w:r>
      <w:r>
        <w:rPr>
          <w:rFonts w:hint="eastAsia" w:ascii="宋体" w:hAnsi="宋体" w:cs="宋体"/>
          <w:color w:val="auto"/>
          <w:spacing w:val="6"/>
          <w:highlight w:val="none"/>
          <w:u w:val="single"/>
        </w:rPr>
        <w:t>（企业名称）</w:t>
      </w:r>
      <w:r>
        <w:rPr>
          <w:rFonts w:hint="eastAsia" w:ascii="宋体" w:hAnsi="宋体" w:cs="宋体"/>
          <w:color w:val="auto"/>
          <w:spacing w:val="6"/>
          <w:highlight w:val="none"/>
        </w:rPr>
        <w:t>，从业人员</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人，营业收入为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万元，资产总额为</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万元，属于</w:t>
      </w:r>
      <w:r>
        <w:rPr>
          <w:rFonts w:hint="eastAsia" w:ascii="宋体" w:hAnsi="宋体" w:cs="宋体"/>
          <w:color w:val="auto"/>
          <w:spacing w:val="6"/>
          <w:highlight w:val="none"/>
          <w:u w:val="single"/>
        </w:rPr>
        <w:t>（中型企业、小型企业、微型企业）</w:t>
      </w: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本企业对上述声明内容的真实性负责。如有虚假，将依法承担相应责任。</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w:t>
      </w:r>
    </w:p>
    <w:p>
      <w:pPr>
        <w:spacing w:line="360" w:lineRule="auto"/>
        <w:ind w:firstLine="3330" w:firstLineChars="1500"/>
        <w:rPr>
          <w:rFonts w:hint="eastAsia" w:ascii="宋体" w:hAnsi="宋体" w:cs="宋体"/>
          <w:color w:val="auto"/>
          <w:spacing w:val="6"/>
          <w:highlight w:val="none"/>
        </w:rPr>
      </w:pPr>
    </w:p>
    <w:p>
      <w:pPr>
        <w:spacing w:line="360" w:lineRule="auto"/>
        <w:ind w:firstLine="3330" w:firstLineChars="1500"/>
        <w:rPr>
          <w:rFonts w:ascii="宋体" w:hAnsi="宋体" w:cs="宋体"/>
          <w:color w:val="auto"/>
          <w:spacing w:val="6"/>
          <w:highlight w:val="none"/>
        </w:rPr>
      </w:pPr>
      <w:r>
        <w:rPr>
          <w:rFonts w:hint="eastAsia" w:ascii="宋体" w:hAnsi="宋体" w:cs="宋体"/>
          <w:color w:val="auto"/>
          <w:spacing w:val="6"/>
          <w:highlight w:val="none"/>
        </w:rPr>
        <w:t>企业名称（盖章）：</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 xml:space="preserve">                         日期：</w:t>
      </w:r>
    </w:p>
    <w:p>
      <w:pPr>
        <w:widowControl/>
        <w:tabs>
          <w:tab w:val="left" w:pos="606"/>
        </w:tabs>
        <w:spacing w:line="360" w:lineRule="auto"/>
        <w:jc w:val="left"/>
        <w:rPr>
          <w:rFonts w:hint="eastAsia" w:ascii="宋体" w:hAnsi="宋体" w:cs="宋体"/>
          <w:color w:val="auto"/>
          <w:spacing w:val="-6"/>
          <w:kern w:val="0"/>
          <w:highlight w:val="none"/>
        </w:rPr>
      </w:pPr>
    </w:p>
    <w:p>
      <w:pPr>
        <w:widowControl/>
        <w:tabs>
          <w:tab w:val="left" w:pos="606"/>
        </w:tabs>
        <w:spacing w:line="360" w:lineRule="auto"/>
        <w:jc w:val="left"/>
        <w:rPr>
          <w:rFonts w:hint="eastAsia" w:ascii="宋体" w:hAnsi="宋体" w:cs="宋体"/>
          <w:color w:val="auto"/>
          <w:spacing w:val="-6"/>
          <w:kern w:val="0"/>
          <w:highlight w:val="none"/>
        </w:rPr>
      </w:pP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spacing w:val="-6"/>
          <w:kern w:val="0"/>
          <w:highlight w:val="none"/>
        </w:rPr>
        <w:t>1</w:t>
      </w:r>
      <w:r>
        <w:rPr>
          <w:rFonts w:hint="eastAsia" w:ascii="宋体" w:hAnsi="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ascii="宋体" w:hAnsi="宋体" w:cs="宋体"/>
          <w:color w:val="auto"/>
          <w:kern w:val="0"/>
          <w:highlight w:val="none"/>
        </w:rPr>
      </w:pPr>
      <w:r>
        <w:rPr>
          <w:rFonts w:hint="eastAsia" w:ascii="宋体" w:hAnsi="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ascii="宋体" w:hAnsi="宋体" w:cs="宋体"/>
          <w:b/>
          <w:bCs/>
          <w:color w:val="auto"/>
          <w:kern w:val="0"/>
          <w:highlight w:val="none"/>
        </w:rPr>
      </w:pPr>
    </w:p>
    <w:p>
      <w:pPr>
        <w:snapToGrid w:val="0"/>
        <w:spacing w:line="360" w:lineRule="auto"/>
        <w:jc w:val="left"/>
        <w:rPr>
          <w:rFonts w:ascii="宋体" w:hAnsi="宋体" w:cs="宋体"/>
          <w:color w:val="auto"/>
          <w:highlight w:val="none"/>
        </w:rPr>
      </w:pPr>
      <w:r>
        <w:rPr>
          <w:rFonts w:hint="eastAsia" w:ascii="宋体" w:hAnsi="宋体" w:cs="宋体"/>
          <w:b/>
          <w:bCs/>
          <w:color w:val="auto"/>
          <w:kern w:val="0"/>
          <w:highlight w:val="none"/>
        </w:rPr>
        <w:t>注：适用小微企业政策的请提供，未提供的不享受小微企业政策</w:t>
      </w:r>
      <w:r>
        <w:rPr>
          <w:rFonts w:hint="eastAsia" w:ascii="宋体" w:hAnsi="宋体" w:cs="宋体"/>
          <w:b/>
          <w:bCs/>
          <w:color w:val="auto"/>
          <w:highlight w:val="none"/>
        </w:rPr>
        <w:t>。</w:t>
      </w:r>
    </w:p>
    <w:p>
      <w:pPr>
        <w:adjustRightInd w:val="0"/>
        <w:snapToGrid w:val="0"/>
        <w:spacing w:line="360" w:lineRule="auto"/>
        <w:jc w:val="left"/>
        <w:rPr>
          <w:rFonts w:ascii="宋体" w:hAnsi="宋体" w:cs="宋体"/>
          <w:color w:val="auto"/>
          <w:highlight w:val="none"/>
        </w:rPr>
      </w:pPr>
    </w:p>
    <w:p>
      <w:pPr>
        <w:pStyle w:val="20"/>
        <w:spacing w:line="520" w:lineRule="exact"/>
        <w:ind w:firstLine="0"/>
        <w:jc w:val="left"/>
        <w:rPr>
          <w:rFonts w:hAnsi="宋体"/>
          <w:color w:val="auto"/>
          <w:sz w:val="21"/>
          <w:szCs w:val="21"/>
          <w:highlight w:val="none"/>
        </w:rPr>
        <w:sectPr>
          <w:pgSz w:w="11906" w:h="16838"/>
          <w:pgMar w:top="1474" w:right="1797" w:bottom="1247" w:left="1797" w:header="851" w:footer="851" w:gutter="0"/>
          <w:cols w:space="720" w:num="1"/>
          <w:titlePg/>
          <w:docGrid w:linePitch="312" w:charSpace="0"/>
        </w:sectPr>
      </w:pPr>
    </w:p>
    <w:p>
      <w:pPr>
        <w:numPr>
          <w:ilvl w:val="0"/>
          <w:numId w:val="0"/>
        </w:numPr>
        <w:spacing w:line="360" w:lineRule="auto"/>
        <w:jc w:val="left"/>
        <w:outlineLvl w:val="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cs="宋体"/>
          <w:color w:val="auto"/>
          <w:highlight w:val="none"/>
        </w:rPr>
        <w:t>供应商为监狱企业的证明文件：省级以上监狱管理局、戒毒管理局（含新疆生产建设兵团）出具（如是请提供）；</w:t>
      </w:r>
    </w:p>
    <w:p>
      <w:pPr>
        <w:pStyle w:val="3"/>
        <w:rPr>
          <w:rFonts w:hint="eastAsia"/>
          <w:highlight w:val="none"/>
        </w:rPr>
      </w:pPr>
    </w:p>
    <w:p>
      <w:pPr>
        <w:numPr>
          <w:ilvl w:val="0"/>
          <w:numId w:val="0"/>
        </w:numPr>
        <w:spacing w:line="360" w:lineRule="auto"/>
        <w:jc w:val="left"/>
        <w:outlineLvl w:val="0"/>
        <w:rPr>
          <w:rFonts w:hAnsi="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rPr>
        <w:t>残疾人福利性单位声明函</w:t>
      </w:r>
    </w:p>
    <w:p>
      <w:pPr>
        <w:jc w:val="center"/>
        <w:rPr>
          <w:rFonts w:ascii="宋体" w:hAnsi="宋体" w:cs="宋体"/>
          <w:b/>
          <w:color w:val="auto"/>
          <w:kern w:val="0"/>
          <w:highlight w:val="none"/>
        </w:rPr>
      </w:pPr>
    </w:p>
    <w:p>
      <w:pPr>
        <w:spacing w:line="588" w:lineRule="exact"/>
        <w:jc w:val="center"/>
        <w:rPr>
          <w:rFonts w:hint="eastAsia" w:ascii="宋体" w:hAnsi="宋体" w:cs="宋体"/>
          <w:b/>
          <w:bCs/>
          <w:color w:val="auto"/>
          <w:spacing w:val="6"/>
          <w:highlight w:val="none"/>
        </w:rPr>
      </w:pPr>
      <w:bookmarkStart w:id="208" w:name="OLE_LINK13"/>
      <w:bookmarkStart w:id="209" w:name="OLE_LINK14"/>
    </w:p>
    <w:p>
      <w:pPr>
        <w:spacing w:line="588" w:lineRule="exact"/>
        <w:jc w:val="center"/>
        <w:rPr>
          <w:rFonts w:ascii="宋体" w:hAnsi="宋体" w:cs="宋体"/>
          <w:b/>
          <w:bCs/>
          <w:color w:val="auto"/>
          <w:spacing w:val="6"/>
          <w:highlight w:val="none"/>
        </w:rPr>
      </w:pPr>
      <w:r>
        <w:rPr>
          <w:rFonts w:hint="eastAsia" w:ascii="宋体" w:hAnsi="宋体" w:cs="宋体"/>
          <w:b/>
          <w:bCs/>
          <w:color w:val="auto"/>
          <w:spacing w:val="6"/>
          <w:highlight w:val="none"/>
        </w:rPr>
        <w:t>残疾人福利性单位声明函</w:t>
      </w:r>
    </w:p>
    <w:bookmarkEnd w:id="208"/>
    <w:bookmarkEnd w:id="209"/>
    <w:p>
      <w:pPr>
        <w:spacing w:line="588" w:lineRule="exact"/>
        <w:rPr>
          <w:rFonts w:ascii="宋体" w:hAnsi="宋体" w:cs="宋体"/>
          <w:b/>
          <w:bCs/>
          <w:color w:val="auto"/>
          <w:spacing w:val="6"/>
          <w:highlight w:val="none"/>
        </w:rPr>
      </w:pP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588" w:lineRule="exact"/>
        <w:ind w:firstLine="444" w:firstLineChars="200"/>
        <w:rPr>
          <w:rFonts w:ascii="宋体" w:hAnsi="宋体" w:cs="宋体"/>
          <w:color w:val="auto"/>
          <w:spacing w:val="6"/>
          <w:highlight w:val="none"/>
        </w:rPr>
      </w:pPr>
    </w:p>
    <w:p>
      <w:pPr>
        <w:spacing w:line="588" w:lineRule="exact"/>
        <w:ind w:firstLine="444" w:firstLineChars="200"/>
        <w:rPr>
          <w:rFonts w:ascii="宋体" w:hAnsi="宋体" w:cs="宋体"/>
          <w:color w:val="auto"/>
          <w:spacing w:val="6"/>
          <w:highlight w:val="none"/>
        </w:rPr>
      </w:pP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单位名称（盖章）：</w:t>
      </w:r>
    </w:p>
    <w:p>
      <w:pPr>
        <w:tabs>
          <w:tab w:val="left" w:pos="4860"/>
        </w:tabs>
        <w:spacing w:line="588" w:lineRule="exact"/>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 xml:space="preserve">      日  期：</w:t>
      </w:r>
    </w:p>
    <w:p>
      <w:pPr>
        <w:spacing w:line="360" w:lineRule="auto"/>
        <w:rPr>
          <w:rFonts w:ascii="宋体" w:hAnsi="宋体" w:cs="宋体"/>
          <w:b/>
          <w:bCs/>
          <w:color w:val="auto"/>
          <w:highlight w:val="none"/>
        </w:rPr>
      </w:pPr>
    </w:p>
    <w:p>
      <w:pPr>
        <w:spacing w:line="360" w:lineRule="auto"/>
        <w:rPr>
          <w:rFonts w:ascii="宋体" w:hAnsi="宋体" w:cs="宋体"/>
          <w:b/>
          <w:bCs/>
          <w:color w:val="auto"/>
          <w:highlight w:val="none"/>
        </w:rPr>
      </w:pPr>
    </w:p>
    <w:p>
      <w:pPr>
        <w:rPr>
          <w:rFonts w:ascii="宋体" w:hAnsi="宋体" w:cs="宋体"/>
          <w:b/>
          <w:color w:val="auto"/>
          <w:highlight w:val="none"/>
        </w:rPr>
      </w:pPr>
    </w:p>
    <w:p>
      <w:pPr>
        <w:pStyle w:val="47"/>
        <w:ind w:firstLine="422"/>
        <w:rPr>
          <w:rFonts w:ascii="宋体" w:hAnsi="宋体" w:cs="宋体"/>
          <w:b/>
          <w:color w:val="auto"/>
          <w:highlight w:val="none"/>
        </w:rPr>
      </w:pPr>
    </w:p>
    <w:p>
      <w:pPr>
        <w:rPr>
          <w:rFonts w:hint="eastAsia" w:ascii="宋体" w:hAnsi="宋体" w:cs="宋体"/>
          <w:color w:val="auto"/>
          <w:highlight w:val="none"/>
        </w:rPr>
      </w:pPr>
    </w:p>
    <w:p>
      <w:pPr>
        <w:rPr>
          <w:rFonts w:ascii="宋体" w:hAnsi="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）投标人针对报价需要说明的其他文件和说明。</w:t>
      </w:r>
    </w:p>
    <w:p>
      <w:pPr>
        <w:spacing w:line="360" w:lineRule="auto"/>
        <w:rPr>
          <w:rFonts w:ascii="宋体" w:hAnsi="宋体" w:cs="宋体"/>
          <w:b/>
          <w:bCs/>
          <w:color w:val="auto"/>
          <w:highlight w:val="none"/>
        </w:rPr>
      </w:pPr>
      <w:r>
        <w:rPr>
          <w:rFonts w:hint="eastAsia" w:ascii="宋体" w:hAnsi="宋体" w:cs="宋体"/>
          <w:b/>
          <w:bCs/>
          <w:color w:val="auto"/>
          <w:highlight w:val="none"/>
        </w:rPr>
        <w:t>二、资格证明文件</w:t>
      </w:r>
    </w:p>
    <w:p>
      <w:pPr>
        <w:outlineLvl w:val="2"/>
        <w:rPr>
          <w:rFonts w:ascii="宋体" w:hAnsi="宋体" w:cs="宋体"/>
          <w:b/>
          <w:bCs/>
          <w:color w:val="auto"/>
          <w:highlight w:val="none"/>
        </w:rPr>
      </w:pPr>
      <w:bookmarkStart w:id="210" w:name="_Toc275865606"/>
      <w:r>
        <w:rPr>
          <w:rFonts w:hint="eastAsia" w:ascii="宋体" w:hAnsi="宋体" w:cs="宋体"/>
          <w:b/>
          <w:bCs/>
          <w:color w:val="auto"/>
          <w:highlight w:val="none"/>
        </w:rPr>
        <w:t>（1）投标人的营业执照副本复印件</w:t>
      </w:r>
    </w:p>
    <w:p>
      <w:pPr>
        <w:outlineLvl w:val="2"/>
        <w:rPr>
          <w:rFonts w:ascii="宋体" w:hAnsi="宋体" w:cs="宋体"/>
          <w:b/>
          <w:bCs/>
          <w:color w:val="auto"/>
          <w:highlight w:val="none"/>
        </w:rPr>
      </w:pPr>
    </w:p>
    <w:p>
      <w:pPr>
        <w:outlineLvl w:val="2"/>
        <w:rPr>
          <w:rFonts w:ascii="宋体" w:hAnsi="宋体" w:cs="宋体"/>
          <w:b/>
          <w:bCs/>
          <w:color w:val="auto"/>
          <w:highlight w:val="none"/>
        </w:rPr>
      </w:pPr>
    </w:p>
    <w:p>
      <w:pPr>
        <w:outlineLvl w:val="2"/>
        <w:rPr>
          <w:rFonts w:ascii="宋体" w:hAnsi="宋体" w:cs="宋体"/>
          <w:b/>
          <w:bCs/>
          <w:color w:val="auto"/>
          <w:highlight w:val="none"/>
        </w:rPr>
      </w:pPr>
      <w:r>
        <w:rPr>
          <w:rFonts w:hint="eastAsia" w:ascii="宋体" w:hAnsi="宋体" w:cs="宋体"/>
          <w:b/>
          <w:bCs/>
          <w:color w:val="auto"/>
          <w:highlight w:val="none"/>
        </w:rPr>
        <w:t>（2）投标人资格声明函</w:t>
      </w:r>
    </w:p>
    <w:p>
      <w:pPr>
        <w:jc w:val="center"/>
        <w:outlineLvl w:val="2"/>
        <w:rPr>
          <w:rFonts w:ascii="宋体" w:hAnsi="宋体" w:cs="宋体"/>
          <w:b/>
          <w:bCs/>
          <w:color w:val="auto"/>
          <w:highlight w:val="none"/>
        </w:rPr>
      </w:pPr>
      <w:r>
        <w:rPr>
          <w:rFonts w:hint="eastAsia" w:ascii="宋体" w:hAnsi="宋体" w:cs="宋体"/>
          <w:b/>
          <w:bCs/>
          <w:color w:val="auto"/>
          <w:highlight w:val="none"/>
        </w:rPr>
        <w:t>投标人资格声明函</w:t>
      </w:r>
      <w:bookmarkEnd w:id="210"/>
    </w:p>
    <w:p>
      <w:pPr>
        <w:rPr>
          <w:rFonts w:ascii="宋体" w:hAnsi="宋体" w:cs="宋体"/>
          <w:b/>
          <w:bCs/>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宁波中基国际招标有限公司：</w:t>
      </w:r>
    </w:p>
    <w:p>
      <w:pPr>
        <w:numPr>
          <w:ilvl w:val="0"/>
          <w:numId w:val="18"/>
        </w:num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我方具备《中华人民共和国政府采购法》第二十二条规定资格条件：</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bCs/>
          <w:color w:val="auto"/>
          <w:highlight w:val="none"/>
        </w:rPr>
      </w:pPr>
      <w:r>
        <w:rPr>
          <w:rFonts w:hint="eastAsia" w:ascii="宋体" w:hAnsi="宋体" w:cs="宋体"/>
          <w:color w:val="auto"/>
          <w:highlight w:val="none"/>
        </w:rPr>
        <w:t>我方对上述声明的真实性负责。本次招标采购活动中，如有违法、违规、弄虚作假行为，所造成的损失、不良后果及法律责任，一律由我我方承担</w:t>
      </w:r>
    </w:p>
    <w:p>
      <w:pPr>
        <w:spacing w:line="360" w:lineRule="auto"/>
        <w:rPr>
          <w:rFonts w:ascii="宋体" w:hAnsi="宋体" w:cs="宋体"/>
          <w:b/>
          <w:bCs/>
          <w:color w:val="auto"/>
          <w:highlight w:val="none"/>
        </w:rPr>
      </w:pPr>
    </w:p>
    <w:p>
      <w:pPr>
        <w:spacing w:line="360" w:lineRule="auto"/>
        <w:ind w:firstLine="420"/>
        <w:rPr>
          <w:rFonts w:ascii="宋体" w:hAnsi="宋体" w:cs="宋体"/>
          <w:b/>
          <w:bCs/>
          <w:color w:val="auto"/>
          <w:highlight w:val="none"/>
        </w:rPr>
      </w:pPr>
      <w:r>
        <w:rPr>
          <w:rFonts w:hint="eastAsia" w:ascii="宋体" w:hAnsi="宋体" w:cs="宋体"/>
          <w:b/>
          <w:bCs/>
          <w:color w:val="auto"/>
          <w:highlight w:val="none"/>
        </w:rPr>
        <w:t>特此声明！</w:t>
      </w:r>
    </w:p>
    <w:p>
      <w:pPr>
        <w:adjustRightInd w:val="0"/>
        <w:snapToGrid w:val="0"/>
        <w:spacing w:line="360" w:lineRule="auto"/>
        <w:ind w:left="425"/>
        <w:rPr>
          <w:rFonts w:ascii="宋体" w:hAnsi="宋体" w:cs="宋体"/>
          <w:color w:val="auto"/>
          <w:spacing w:val="4"/>
          <w:highlight w:val="none"/>
        </w:rPr>
      </w:pPr>
    </w:p>
    <w:p>
      <w:pPr>
        <w:spacing w:line="360" w:lineRule="auto"/>
        <w:ind w:firstLine="3675" w:firstLineChars="1750"/>
        <w:rPr>
          <w:rFonts w:ascii="宋体" w:hAnsi="宋体" w:cs="宋体"/>
          <w:color w:val="auto"/>
          <w:highlight w:val="none"/>
        </w:rPr>
      </w:pPr>
      <w:r>
        <w:rPr>
          <w:rFonts w:hint="eastAsia" w:ascii="宋体" w:hAnsi="宋体" w:cs="宋体"/>
          <w:color w:val="auto"/>
          <w:highlight w:val="none"/>
        </w:rPr>
        <w:t>投标人（盖章）：</w:t>
      </w:r>
    </w:p>
    <w:p>
      <w:pPr>
        <w:spacing w:line="360" w:lineRule="auto"/>
        <w:rPr>
          <w:rFonts w:ascii="宋体" w:hAnsi="宋体" w:cs="宋体"/>
          <w:color w:val="auto"/>
          <w:highlight w:val="none"/>
        </w:rPr>
      </w:pPr>
      <w:r>
        <w:rPr>
          <w:rFonts w:hint="eastAsia" w:ascii="宋体" w:hAnsi="宋体" w:cs="宋体"/>
          <w:color w:val="auto"/>
          <w:highlight w:val="none"/>
        </w:rPr>
        <w:t xml:space="preserve">                                    日    期：</w:t>
      </w:r>
    </w:p>
    <w:p>
      <w:pPr>
        <w:spacing w:line="360" w:lineRule="auto"/>
        <w:rPr>
          <w:rFonts w:ascii="宋体" w:hAnsi="宋体" w:cs="宋体"/>
          <w:color w:val="auto"/>
          <w:highlight w:val="none"/>
        </w:rPr>
      </w:pPr>
    </w:p>
    <w:p>
      <w:pPr>
        <w:pStyle w:val="18"/>
        <w:rPr>
          <w:rFonts w:ascii="宋体" w:hAnsi="宋体" w:cs="宋体"/>
          <w:color w:val="auto"/>
          <w:sz w:val="21"/>
          <w:szCs w:val="21"/>
          <w:highlight w:val="none"/>
        </w:rPr>
      </w:pPr>
      <w:r>
        <w:rPr>
          <w:rFonts w:hint="eastAsia" w:ascii="宋体" w:hAnsi="宋体" w:cs="宋体"/>
          <w:color w:val="auto"/>
          <w:sz w:val="21"/>
          <w:szCs w:val="21"/>
          <w:highlight w:val="none"/>
        </w:rPr>
        <w:t>注：联合体投标的，可只由联合体牵头人盖章。</w:t>
      </w:r>
    </w:p>
    <w:p>
      <w:pPr>
        <w:pStyle w:val="18"/>
        <w:rPr>
          <w:rFonts w:hint="eastAsia"/>
        </w:rPr>
      </w:pPr>
    </w:p>
    <w:p>
      <w:pPr>
        <w:spacing w:line="360" w:lineRule="auto"/>
        <w:rPr>
          <w:rFonts w:hint="eastAsia" w:ascii="宋体" w:hAnsi="宋体" w:cs="宋体"/>
          <w:color w:val="auto"/>
          <w:kern w:val="0"/>
          <w:highlight w:val="none"/>
        </w:rPr>
      </w:pPr>
      <w:r>
        <w:rPr>
          <w:rFonts w:hint="eastAsia" w:ascii="宋体" w:hAnsi="宋体" w:cs="宋体"/>
          <w:b/>
          <w:bCs/>
          <w:color w:val="auto"/>
          <w:highlight w:val="none"/>
        </w:rPr>
        <w:t>（3）投标人的特定条件的证明文件：</w:t>
      </w:r>
      <w:r>
        <w:rPr>
          <w:rFonts w:hint="eastAsia" w:ascii="宋体" w:hAnsi="宋体" w:cs="宋体"/>
          <w:color w:val="auto"/>
          <w:kern w:val="0"/>
          <w:highlight w:val="none"/>
        </w:rPr>
        <w:t xml:space="preserve">第二类、第三类医疗器械生产企业提供《医疗器械生产许可证》复印件、第一类医疗器械生产企业提供第一类医疗器械生产备案凭证复印件。 </w:t>
      </w:r>
    </w:p>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rPr>
          <w:rFonts w:ascii="宋体" w:hAnsi="宋体" w:cs="宋体"/>
          <w:b/>
          <w:bCs/>
          <w:color w:val="auto"/>
          <w:kern w:val="0"/>
          <w:highlight w:val="none"/>
        </w:rPr>
      </w:pPr>
      <w:r>
        <w:rPr>
          <w:rFonts w:hint="eastAsia" w:ascii="宋体" w:hAnsi="宋体" w:cs="宋体"/>
          <w:b/>
          <w:bCs/>
          <w:color w:val="auto"/>
          <w:highlight w:val="none"/>
        </w:rPr>
        <w:t>（4）</w:t>
      </w:r>
      <w:r>
        <w:rPr>
          <w:rFonts w:hint="eastAsia" w:ascii="宋体" w:hAnsi="宋体" w:cs="宋体"/>
          <w:b/>
          <w:bCs/>
          <w:color w:val="auto"/>
          <w:kern w:val="0"/>
          <w:highlight w:val="none"/>
        </w:rPr>
        <w:t>联合投标协议书</w:t>
      </w:r>
    </w:p>
    <w:p>
      <w:pPr>
        <w:widowControl/>
        <w:adjustRightInd w:val="0"/>
        <w:spacing w:line="360" w:lineRule="auto"/>
        <w:jc w:val="left"/>
        <w:rPr>
          <w:rFonts w:ascii="宋体" w:hAnsi="宋体" w:cs="宋体"/>
          <w:color w:val="auto"/>
          <w:spacing w:val="4"/>
          <w:highlight w:val="none"/>
        </w:rPr>
      </w:pPr>
    </w:p>
    <w:p>
      <w:pPr>
        <w:jc w:val="center"/>
        <w:rPr>
          <w:rFonts w:ascii="宋体" w:hAnsi="宋体" w:cs="宋体"/>
          <w:b/>
          <w:color w:val="auto"/>
          <w:kern w:val="0"/>
          <w:highlight w:val="none"/>
        </w:rPr>
      </w:pPr>
      <w:r>
        <w:rPr>
          <w:rFonts w:hint="eastAsia" w:ascii="宋体" w:hAnsi="宋体" w:cs="宋体"/>
          <w:b/>
          <w:color w:val="auto"/>
          <w:kern w:val="0"/>
          <w:highlight w:val="none"/>
        </w:rPr>
        <w:t>联合投标协议书</w:t>
      </w:r>
    </w:p>
    <w:p>
      <w:pPr>
        <w:jc w:val="center"/>
        <w:rPr>
          <w:rFonts w:ascii="宋体" w:hAnsi="宋体" w:cs="宋体"/>
          <w:b/>
          <w:color w:val="auto"/>
          <w:kern w:val="0"/>
          <w:highlight w:val="none"/>
        </w:rPr>
      </w:pPr>
      <w:r>
        <w:rPr>
          <w:rFonts w:hint="eastAsia" w:ascii="宋体" w:hAnsi="宋体" w:cs="宋体"/>
          <w:color w:val="auto"/>
          <w:highlight w:val="none"/>
        </w:rPr>
        <w:t>（联合体投标须提供）</w:t>
      </w:r>
    </w:p>
    <w:p>
      <w:pPr>
        <w:pStyle w:val="20"/>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甲方：</w:t>
      </w:r>
    </w:p>
    <w:p>
      <w:pPr>
        <w:pStyle w:val="20"/>
        <w:overflowPunct w:val="0"/>
        <w:spacing w:before="31" w:beforeLines="10" w:line="500" w:lineRule="exact"/>
        <w:ind w:left="842" w:hanging="422"/>
        <w:rPr>
          <w:rFonts w:hAnsi="宋体"/>
          <w:b/>
          <w:color w:val="auto"/>
          <w:sz w:val="21"/>
          <w:szCs w:val="21"/>
          <w:highlight w:val="none"/>
        </w:rPr>
      </w:pPr>
      <w:r>
        <w:rPr>
          <w:rFonts w:hint="eastAsia" w:hAnsi="宋体"/>
          <w:b/>
          <w:color w:val="auto"/>
          <w:sz w:val="21"/>
          <w:szCs w:val="21"/>
          <w:highlight w:val="none"/>
        </w:rPr>
        <w:t>乙方：</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各方经协商，就响应</w:t>
      </w:r>
      <w:r>
        <w:rPr>
          <w:rFonts w:hint="eastAsia" w:hAnsi="宋体"/>
          <w:color w:val="auto"/>
          <w:sz w:val="21"/>
          <w:szCs w:val="21"/>
          <w:highlight w:val="none"/>
          <w:u w:val="single"/>
        </w:rPr>
        <w:t xml:space="preserve">       </w:t>
      </w:r>
      <w:r>
        <w:rPr>
          <w:rFonts w:hint="eastAsia" w:hAnsi="宋体"/>
          <w:color w:val="auto"/>
          <w:sz w:val="21"/>
          <w:szCs w:val="21"/>
          <w:highlight w:val="none"/>
        </w:rPr>
        <w:t>（招标方）组织实施的</w:t>
      </w:r>
      <w:r>
        <w:rPr>
          <w:rFonts w:hint="eastAsia" w:hAnsi="宋体"/>
          <w:color w:val="auto"/>
          <w:sz w:val="21"/>
          <w:szCs w:val="21"/>
          <w:highlight w:val="none"/>
          <w:u w:val="single"/>
        </w:rPr>
        <w:t xml:space="preserve">    </w:t>
      </w:r>
      <w:r>
        <w:rPr>
          <w:rFonts w:hint="eastAsia" w:hAnsi="宋体"/>
          <w:color w:val="auto"/>
          <w:sz w:val="21"/>
          <w:szCs w:val="21"/>
          <w:highlight w:val="none"/>
        </w:rPr>
        <w:t>项目（采购编号：</w:t>
      </w:r>
      <w:r>
        <w:rPr>
          <w:rFonts w:hint="eastAsia" w:hAnsi="宋体"/>
          <w:color w:val="auto"/>
          <w:sz w:val="21"/>
          <w:szCs w:val="21"/>
          <w:highlight w:val="none"/>
          <w:u w:val="single"/>
        </w:rPr>
        <w:t xml:space="preserve">                </w:t>
      </w:r>
      <w:r>
        <w:rPr>
          <w:rFonts w:hint="eastAsia" w:hAnsi="宋体"/>
          <w:color w:val="auto"/>
          <w:sz w:val="21"/>
          <w:szCs w:val="21"/>
          <w:highlight w:val="none"/>
        </w:rPr>
        <w:t>招标活动联合进行投标之事宜，达成如下协议：</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一、各方一致决定，以</w:t>
      </w:r>
      <w:r>
        <w:rPr>
          <w:rFonts w:hint="eastAsia" w:hAnsi="宋体"/>
          <w:color w:val="auto"/>
          <w:sz w:val="21"/>
          <w:szCs w:val="21"/>
          <w:highlight w:val="none"/>
          <w:u w:val="single"/>
        </w:rPr>
        <w:t xml:space="preserve">                        </w:t>
      </w:r>
      <w:r>
        <w:rPr>
          <w:rFonts w:hint="eastAsia" w:hAnsi="宋体"/>
          <w:color w:val="auto"/>
          <w:sz w:val="21"/>
          <w:szCs w:val="21"/>
          <w:highlight w:val="none"/>
        </w:rPr>
        <w:t>为联合体牵头人，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为联合体成员，共同进行投标，并按照招标文件的规定分别提交资格文件。</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三、联合投标其余各方保证对联合体牵头人为响应本次招标而提供的产品和服务提供全部质量保证及售后服务支持。</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四、本次联合投标中，甲方承担的工作和义务为：</w:t>
      </w:r>
      <w:r>
        <w:rPr>
          <w:rFonts w:hint="eastAsia" w:hAnsi="宋体"/>
          <w:color w:val="auto"/>
          <w:sz w:val="21"/>
          <w:szCs w:val="21"/>
          <w:highlight w:val="none"/>
          <w:u w:val="single"/>
        </w:rPr>
        <w:t xml:space="preserve">                          </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甲方承担本项目的工作和义务占合同总金额的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乙方承担的工作和义务为：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 xml:space="preserve">                    乙方承担本项目的工作和义务占合同总金额的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五、有关本次联合投标的其他事宜：</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六、本协议提交采购人后，联合投标各方不得以任何形式对上述实质内容进行修改或撤销。</w:t>
      </w:r>
    </w:p>
    <w:p>
      <w:pPr>
        <w:pStyle w:val="20"/>
        <w:spacing w:line="500" w:lineRule="exact"/>
        <w:ind w:left="313" w:leftChars="-51" w:hanging="420"/>
        <w:rPr>
          <w:rFonts w:hAnsi="宋体"/>
          <w:color w:val="auto"/>
          <w:sz w:val="21"/>
          <w:szCs w:val="21"/>
          <w:highlight w:val="none"/>
        </w:rPr>
      </w:pPr>
      <w:r>
        <w:rPr>
          <w:rFonts w:hint="eastAsia" w:hAnsi="宋体"/>
          <w:color w:val="auto"/>
          <w:sz w:val="21"/>
          <w:szCs w:val="21"/>
          <w:highlight w:val="none"/>
        </w:rPr>
        <w:t>七、本协议一式二份，签约各方各持一份。</w:t>
      </w:r>
    </w:p>
    <w:p>
      <w:pPr>
        <w:pStyle w:val="20"/>
        <w:spacing w:line="500" w:lineRule="exact"/>
        <w:ind w:left="840" w:hanging="420"/>
        <w:rPr>
          <w:rFonts w:hAnsi="宋体"/>
          <w:color w:val="auto"/>
          <w:sz w:val="21"/>
          <w:szCs w:val="21"/>
          <w:highlight w:val="none"/>
        </w:rPr>
      </w:pPr>
    </w:p>
    <w:p>
      <w:pPr>
        <w:pStyle w:val="20"/>
        <w:spacing w:line="360" w:lineRule="auto"/>
        <w:ind w:left="840" w:hanging="420"/>
        <w:rPr>
          <w:rFonts w:hAnsi="宋体"/>
          <w:color w:val="auto"/>
          <w:sz w:val="21"/>
          <w:szCs w:val="21"/>
          <w:highlight w:val="none"/>
        </w:rPr>
      </w:pPr>
      <w:r>
        <w:rPr>
          <w:rFonts w:hint="eastAsia" w:hAnsi="宋体"/>
          <w:color w:val="auto"/>
          <w:sz w:val="21"/>
          <w:szCs w:val="21"/>
          <w:highlight w:val="none"/>
        </w:rPr>
        <w:t xml:space="preserve">甲方单位（盖章）：                             乙方单位（盖章）：           </w:t>
      </w:r>
    </w:p>
    <w:p>
      <w:pPr>
        <w:pStyle w:val="20"/>
        <w:spacing w:line="360" w:lineRule="auto"/>
        <w:ind w:left="840" w:hanging="420"/>
        <w:rPr>
          <w:rFonts w:hAnsi="宋体"/>
          <w:color w:val="auto"/>
          <w:sz w:val="21"/>
          <w:szCs w:val="21"/>
          <w:highlight w:val="none"/>
        </w:rPr>
      </w:pPr>
    </w:p>
    <w:p>
      <w:pPr>
        <w:pStyle w:val="20"/>
        <w:spacing w:line="360" w:lineRule="auto"/>
        <w:ind w:left="840" w:hanging="420"/>
        <w:rPr>
          <w:rFonts w:hAnsi="宋体"/>
          <w:color w:val="auto"/>
          <w:sz w:val="21"/>
          <w:szCs w:val="21"/>
          <w:highlight w:val="none"/>
        </w:rPr>
      </w:pPr>
      <w:r>
        <w:rPr>
          <w:rFonts w:hint="eastAsia" w:hAnsi="宋体"/>
          <w:color w:val="auto"/>
          <w:sz w:val="21"/>
          <w:szCs w:val="21"/>
          <w:highlight w:val="none"/>
        </w:rPr>
        <w:t>法定代表人或其委托代理人（签字或盖章）：      法定代表人或其委托代理人（签字或盖章）：</w:t>
      </w:r>
    </w:p>
    <w:p>
      <w:pPr>
        <w:snapToGrid w:val="0"/>
        <w:spacing w:line="360" w:lineRule="auto"/>
        <w:rPr>
          <w:rFonts w:ascii="宋体" w:hAnsi="宋体" w:cs="宋体"/>
          <w:color w:val="auto"/>
          <w:highlight w:val="none"/>
        </w:rPr>
      </w:pPr>
    </w:p>
    <w:p>
      <w:pPr>
        <w:snapToGrid w:val="0"/>
        <w:spacing w:line="360" w:lineRule="auto"/>
        <w:ind w:firstLine="420" w:firstLineChars="200"/>
        <w:rPr>
          <w:rFonts w:ascii="宋体" w:hAnsi="宋体" w:cs="宋体"/>
          <w:color w:val="auto"/>
          <w:spacing w:val="4"/>
          <w:highlight w:val="none"/>
        </w:rPr>
      </w:pPr>
      <w:r>
        <w:rPr>
          <w:rFonts w:hint="eastAsia" w:ascii="宋体" w:hAnsi="宋体" w:cs="宋体"/>
          <w:color w:val="auto"/>
          <w:highlight w:val="none"/>
        </w:rPr>
        <w:t>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                       日期：202</w:t>
      </w:r>
      <w:r>
        <w:rPr>
          <w:rFonts w:hint="eastAsia" w:ascii="宋体" w:hAnsi="宋体" w:cs="宋体"/>
          <w:color w:val="auto"/>
          <w:highlight w:val="none"/>
          <w:lang w:val="en-US" w:eastAsia="zh-CN"/>
        </w:rPr>
        <w:t>4</w:t>
      </w:r>
      <w:r>
        <w:rPr>
          <w:rFonts w:hint="eastAsia" w:ascii="宋体" w:hAnsi="宋体" w:cs="宋体"/>
          <w:color w:val="auto"/>
          <w:highlight w:val="none"/>
        </w:rPr>
        <w:t>年  月   日</w:t>
      </w:r>
      <w:r>
        <w:rPr>
          <w:rFonts w:hint="eastAsia" w:ascii="宋体" w:hAnsi="宋体" w:cs="宋体"/>
          <w:color w:val="auto"/>
          <w:spacing w:val="4"/>
          <w:highlight w:val="none"/>
        </w:rPr>
        <w:br w:type="page"/>
      </w:r>
    </w:p>
    <w:p>
      <w:pPr>
        <w:rPr>
          <w:rFonts w:ascii="宋体" w:hAnsi="宋体" w:cs="宋体"/>
          <w:b/>
          <w:bCs/>
          <w:color w:val="auto"/>
          <w:highlight w:val="none"/>
        </w:rPr>
      </w:pPr>
      <w:r>
        <w:rPr>
          <w:rFonts w:hint="eastAsia" w:ascii="宋体" w:hAnsi="宋体" w:cs="宋体"/>
          <w:b/>
          <w:bCs/>
          <w:color w:val="auto"/>
          <w:spacing w:val="4"/>
          <w:highlight w:val="none"/>
        </w:rPr>
        <w:t>三、</w:t>
      </w:r>
      <w:r>
        <w:rPr>
          <w:rFonts w:hint="eastAsia" w:ascii="宋体" w:hAnsi="宋体" w:cs="宋体"/>
          <w:b/>
          <w:bCs/>
          <w:color w:val="auto"/>
          <w:highlight w:val="none"/>
        </w:rPr>
        <w:t>商务技术文件</w:t>
      </w:r>
    </w:p>
    <w:p>
      <w:pPr>
        <w:snapToGrid w:val="0"/>
        <w:spacing w:before="156" w:beforeLines="50" w:after="50"/>
        <w:jc w:val="left"/>
        <w:rPr>
          <w:rFonts w:ascii="宋体" w:hAnsi="宋体" w:cs="宋体"/>
          <w:color w:val="auto"/>
          <w:highlight w:val="none"/>
        </w:rPr>
      </w:pPr>
      <w:r>
        <w:rPr>
          <w:rFonts w:hint="eastAsia" w:ascii="宋体" w:hAnsi="宋体" w:cs="宋体"/>
          <w:color w:val="auto"/>
          <w:highlight w:val="none"/>
        </w:rPr>
        <w:t>（1）符合性自查表</w:t>
      </w:r>
    </w:p>
    <w:p>
      <w:pPr>
        <w:snapToGrid w:val="0"/>
        <w:spacing w:before="156" w:beforeLines="50" w:after="50"/>
        <w:jc w:val="center"/>
        <w:rPr>
          <w:rFonts w:ascii="宋体" w:hAnsi="宋体" w:cs="宋体"/>
          <w:b/>
          <w:color w:val="auto"/>
          <w:kern w:val="0"/>
          <w:highlight w:val="none"/>
        </w:rPr>
      </w:pPr>
      <w:r>
        <w:rPr>
          <w:rFonts w:hint="eastAsia" w:ascii="宋体" w:hAnsi="宋体" w:cs="宋体"/>
          <w:b/>
          <w:color w:val="auto"/>
          <w:highlight w:val="none"/>
        </w:rPr>
        <w:t>符合性自查表</w:t>
      </w:r>
    </w:p>
    <w:tbl>
      <w:tblPr>
        <w:tblStyle w:val="48"/>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0"/>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szCs w:val="24"/>
                <w:highlight w:val="none"/>
              </w:rPr>
            </w:pPr>
            <w:r>
              <w:rPr>
                <w:rFonts w:hint="eastAsia" w:ascii="宋体" w:hAnsi="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0"/>
                <w:highlight w:val="none"/>
              </w:rPr>
            </w:pPr>
            <w:r>
              <w:rPr>
                <w:rFonts w:hint="eastAsia" w:ascii="宋体" w:hAnsi="宋体" w:cs="宋体"/>
                <w:color w:val="auto"/>
                <w:highlight w:val="none"/>
              </w:rPr>
              <w:t xml:space="preserve">□通过 </w:t>
            </w:r>
          </w:p>
          <w:p>
            <w:pPr>
              <w:rPr>
                <w:rFonts w:ascii="宋体" w:hAnsi="宋体" w:cs="宋体"/>
                <w:color w:val="auto"/>
                <w:szCs w:val="24"/>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4"/>
                <w:highlight w:val="none"/>
              </w:rPr>
            </w:pPr>
            <w:r>
              <w:rPr>
                <w:rFonts w:hint="eastAsia" w:ascii="宋体" w:hAnsi="宋体" w:cs="宋体"/>
                <w:color w:val="auto"/>
                <w:highlight w:val="none"/>
              </w:rPr>
              <w:t>第（ ）页</w:t>
            </w:r>
          </w:p>
        </w:tc>
      </w:tr>
    </w:tbl>
    <w:p>
      <w:pPr>
        <w:snapToGrid w:val="0"/>
        <w:spacing w:before="156" w:beforeLines="50" w:after="50"/>
        <w:rPr>
          <w:rFonts w:ascii="宋体" w:hAnsi="宋体" w:cs="宋体"/>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br w:type="page"/>
      </w:r>
    </w:p>
    <w:p>
      <w:pPr>
        <w:widowControl/>
        <w:adjustRightInd w:val="0"/>
        <w:spacing w:line="360" w:lineRule="auto"/>
        <w:jc w:val="left"/>
        <w:rPr>
          <w:rFonts w:ascii="宋体" w:hAnsi="宋体" w:cs="宋体"/>
          <w:color w:val="auto"/>
          <w:spacing w:val="4"/>
          <w:highlight w:val="none"/>
        </w:rPr>
      </w:pPr>
      <w:r>
        <w:rPr>
          <w:rFonts w:hint="eastAsia" w:ascii="宋体" w:hAnsi="宋体" w:cs="宋体"/>
          <w:color w:val="auto"/>
          <w:spacing w:val="4"/>
          <w:highlight w:val="none"/>
        </w:rPr>
        <w:t>（2）法定代表人身份证明</w:t>
      </w:r>
    </w:p>
    <w:p>
      <w:pPr>
        <w:snapToGrid w:val="0"/>
        <w:spacing w:before="156" w:beforeLines="50" w:after="50"/>
        <w:rPr>
          <w:rFonts w:ascii="宋体" w:hAnsi="宋体" w:cs="宋体"/>
          <w:color w:val="auto"/>
          <w:highlight w:val="none"/>
        </w:rPr>
      </w:pPr>
    </w:p>
    <w:p>
      <w:pPr>
        <w:widowControl/>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法定代表人身份证明</w:t>
      </w:r>
    </w:p>
    <w:p>
      <w:pPr>
        <w:widowControl/>
        <w:adjustRightInd w:val="0"/>
        <w:spacing w:line="360" w:lineRule="auto"/>
        <w:jc w:val="left"/>
        <w:rPr>
          <w:rFonts w:ascii="宋体" w:hAnsi="宋体" w:cs="宋体"/>
          <w:b/>
          <w:bCs/>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    别：</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年    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u w:val="singl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p>
    <w:p>
      <w:pPr>
        <w:widowControl/>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（投标人名称）      </w:t>
      </w:r>
      <w:r>
        <w:rPr>
          <w:rFonts w:hint="eastAsia" w:ascii="宋体" w:hAnsi="宋体" w:cs="宋体"/>
          <w:color w:val="auto"/>
          <w:highlight w:val="none"/>
        </w:rPr>
        <w:t>的法定代表人，为</w:t>
      </w:r>
      <w:r>
        <w:rPr>
          <w:rFonts w:hint="eastAsia" w:ascii="宋体" w:hAnsi="宋体" w:cs="宋体"/>
          <w:color w:val="auto"/>
          <w:highlight w:val="none"/>
          <w:u w:val="single"/>
        </w:rPr>
        <w:t xml:space="preserve">     （招标编号、项目名称）   </w:t>
      </w:r>
      <w:r>
        <w:rPr>
          <w:rFonts w:hint="eastAsia" w:ascii="宋体" w:hAnsi="宋体" w:cs="宋体"/>
          <w:color w:val="auto"/>
          <w:highlight w:val="none"/>
        </w:rPr>
        <w:t>项目，签署上述项目的投标文件，进行合同谈判、签署合同和处理与之有关的一切事宜。</w:t>
      </w:r>
    </w:p>
    <w:p>
      <w:pPr>
        <w:widowControl/>
        <w:spacing w:line="360" w:lineRule="auto"/>
        <w:rPr>
          <w:rFonts w:ascii="宋体" w:hAnsi="宋体" w:cs="宋体"/>
          <w:color w:val="auto"/>
          <w:highlight w:val="none"/>
        </w:rPr>
      </w:pPr>
      <w:r>
        <w:rPr>
          <w:rFonts w:hint="eastAsia" w:ascii="宋体" w:hAnsi="宋体" w:cs="宋体"/>
          <w:color w:val="auto"/>
          <w:highlight w:val="none"/>
        </w:rPr>
        <w:t xml:space="preserve">    特此证明。</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r>
        <w:rPr>
          <w:rFonts w:hint="eastAsia" w:ascii="宋体" w:hAnsi="宋体" w:cs="宋体"/>
          <w:color w:val="auto"/>
          <w:highlight w:val="none"/>
        </w:rPr>
        <w:t>后附法定代表人身份证正反面复印件，加盖公章。</w:t>
      </w: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widowControl/>
        <w:spacing w:line="360" w:lineRule="auto"/>
        <w:rPr>
          <w:rFonts w:ascii="宋体" w:hAnsi="宋体" w:cs="宋体"/>
          <w:color w:val="auto"/>
          <w:highlight w:val="none"/>
        </w:rPr>
      </w:pPr>
    </w:p>
    <w:p>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156" w:beforeLines="50" w:after="50"/>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line="360" w:lineRule="auto"/>
        <w:jc w:val="center"/>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附：法定代表人身份证正反面复印件。</w:t>
      </w:r>
    </w:p>
    <w:p>
      <w:pPr>
        <w:snapToGrid w:val="0"/>
        <w:spacing w:before="50" w:after="156" w:afterLines="50"/>
        <w:jc w:val="left"/>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snapToGrid w:val="0"/>
        <w:spacing w:line="360" w:lineRule="auto"/>
        <w:jc w:val="left"/>
        <w:rPr>
          <w:rFonts w:ascii="宋体" w:hAnsi="宋体" w:cs="宋体"/>
          <w:color w:val="auto"/>
          <w:highlight w:val="none"/>
        </w:rPr>
      </w:pPr>
      <w:r>
        <w:rPr>
          <w:rFonts w:hint="eastAsia" w:ascii="宋体" w:hAnsi="宋体" w:cs="宋体"/>
          <w:color w:val="auto"/>
          <w:highlight w:val="none"/>
        </w:rPr>
        <w:br w:type="page"/>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法定代表人授权委托书</w:t>
      </w:r>
    </w:p>
    <w:p>
      <w:pPr>
        <w:snapToGrid w:val="0"/>
        <w:spacing w:line="360" w:lineRule="auto"/>
        <w:jc w:val="center"/>
        <w:rPr>
          <w:rFonts w:ascii="宋体" w:hAnsi="宋体" w:cs="宋体"/>
          <w:b/>
          <w:bCs/>
          <w:color w:val="auto"/>
          <w:highlight w:val="none"/>
        </w:rPr>
      </w:pPr>
      <w:r>
        <w:rPr>
          <w:rFonts w:hint="eastAsia" w:ascii="宋体" w:hAnsi="宋体" w:cs="宋体"/>
          <w:b/>
          <w:bCs/>
          <w:color w:val="auto"/>
          <w:highlight w:val="none"/>
        </w:rPr>
        <w:t>（非联合体投标人适用）</w:t>
      </w:r>
    </w:p>
    <w:p>
      <w:pPr>
        <w:snapToGrid w:val="0"/>
        <w:spacing w:line="360" w:lineRule="auto"/>
        <w:rPr>
          <w:rFonts w:ascii="宋体" w:hAnsi="宋体" w:cs="宋体"/>
          <w:color w:val="auto"/>
          <w:highlight w:val="none"/>
        </w:rPr>
      </w:pPr>
    </w:p>
    <w:p>
      <w:pPr>
        <w:snapToGrid w:val="0"/>
        <w:spacing w:line="360" w:lineRule="auto"/>
        <w:rPr>
          <w:rFonts w:ascii="宋体" w:hAnsi="宋体" w:cs="宋体"/>
          <w:b/>
          <w:bCs/>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（采购人名称）</w:t>
      </w:r>
      <w:r>
        <w:rPr>
          <w:rFonts w:hint="eastAsia" w:ascii="宋体" w:hAnsi="宋体" w:cs="宋体"/>
          <w:b/>
          <w:bCs/>
          <w:color w:val="auto"/>
          <w:highlight w:val="none"/>
        </w:rPr>
        <w:t xml:space="preserve"> </w:t>
      </w:r>
      <w:r>
        <w:rPr>
          <w:rFonts w:hint="eastAsia" w:ascii="宋体" w:hAnsi="宋体" w:cs="宋体"/>
          <w:color w:val="auto"/>
          <w:highlight w:val="none"/>
        </w:rPr>
        <w:t>：</w:t>
      </w:r>
    </w:p>
    <w:p>
      <w:pPr>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（投标人名称）的法定代表人，现授权委托本单位在职职工 </w:t>
      </w:r>
      <w:r>
        <w:rPr>
          <w:rFonts w:hint="eastAsia" w:ascii="宋体" w:hAnsi="宋体" w:cs="宋体"/>
          <w:color w:val="auto"/>
          <w:highlight w:val="none"/>
          <w:u w:val="single"/>
        </w:rPr>
        <w:t xml:space="preserve">              </w:t>
      </w:r>
      <w:r>
        <w:rPr>
          <w:rFonts w:hint="eastAsia" w:ascii="宋体" w:hAnsi="宋体" w:cs="宋体"/>
          <w:color w:val="auto"/>
          <w:highlight w:val="none"/>
        </w:rPr>
        <w:t>（姓名）以我方的名义参加</w:t>
      </w:r>
      <w:r>
        <w:rPr>
          <w:rFonts w:hint="eastAsia" w:ascii="宋体" w:hAnsi="宋体" w:cs="宋体"/>
          <w:color w:val="auto"/>
          <w:highlight w:val="none"/>
          <w:u w:val="single"/>
        </w:rPr>
        <w:t xml:space="preserve">            </w:t>
      </w:r>
      <w:r>
        <w:rPr>
          <w:rFonts w:hint="eastAsia" w:ascii="宋体" w:hAnsi="宋体" w:cs="宋体"/>
          <w:color w:val="auto"/>
          <w:highlight w:val="none"/>
        </w:rPr>
        <w:t>项目的投标活动，并代表我方全权办理针对上述项目的投标、开标、评标、签约等具体事务和签署相关文件。</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    我方对被授权人的签名事项负全部责任。</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u w:val="single"/>
        </w:rPr>
        <w:t>在撤销授权的书面通知以前，本授权书一直有效。</w:t>
      </w:r>
      <w:r>
        <w:rPr>
          <w:rFonts w:hint="eastAsia" w:ascii="宋体" w:hAnsi="宋体" w:cs="宋体"/>
          <w:color w:val="auto"/>
          <w:highlight w:val="none"/>
        </w:rPr>
        <w:t>被授权人在授权书有效期内签署的所有文件不因授权的撤销而失效。</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被授权人无转委托权，特此委托。</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u w:val="single"/>
        </w:rPr>
      </w:pPr>
      <w:r>
        <w:rPr>
          <w:rFonts w:hint="eastAsia" w:ascii="宋体" w:hAnsi="宋体" w:cs="宋体"/>
          <w:color w:val="auto"/>
          <w:highlight w:val="none"/>
        </w:rPr>
        <w:t>被授权人签名或盖章：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法定代表人签名或盖章：</w:t>
      </w:r>
      <w:r>
        <w:rPr>
          <w:rFonts w:hint="eastAsia" w:ascii="宋体" w:hAnsi="宋体" w:cs="宋体"/>
          <w:color w:val="auto"/>
          <w:highlight w:val="none"/>
          <w:u w:val="single"/>
        </w:rPr>
        <w:t xml:space="preserve">          </w:t>
      </w:r>
    </w:p>
    <w:p>
      <w:pPr>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被授权人身份证号码：</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法定代表人身份证号码：</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pStyle w:val="25"/>
        <w:tabs>
          <w:tab w:val="left" w:pos="2472"/>
        </w:tabs>
        <w:snapToGrid w:val="0"/>
        <w:spacing w:beforeLines="0" w:afterLines="0" w:line="360" w:lineRule="auto"/>
        <w:ind w:firstLine="474"/>
        <w:jc w:val="left"/>
        <w:rPr>
          <w:rFonts w:hAnsi="宋体"/>
          <w:color w:val="auto"/>
          <w:sz w:val="21"/>
          <w:szCs w:val="21"/>
          <w:highlight w:val="none"/>
        </w:rPr>
      </w:pPr>
      <w:r>
        <w:rPr>
          <w:rFonts w:hint="eastAsia" w:hAnsi="宋体"/>
          <w:color w:val="auto"/>
          <w:sz w:val="21"/>
          <w:szCs w:val="21"/>
          <w:highlight w:val="none"/>
        </w:rPr>
        <w:t>投标人名称(公章):___________________</w:t>
      </w:r>
    </w:p>
    <w:p>
      <w:pPr>
        <w:snapToGrid w:val="0"/>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napToGrid w:val="0"/>
        <w:spacing w:line="360" w:lineRule="auto"/>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pStyle w:val="18"/>
        <w:rPr>
          <w:rFonts w:ascii="宋体" w:hAnsi="宋体" w:cs="宋体"/>
          <w:color w:val="auto"/>
          <w:highlight w:val="none"/>
        </w:rPr>
      </w:pPr>
      <w:r>
        <w:rPr>
          <w:rFonts w:hint="eastAsia" w:ascii="宋体" w:hAnsi="宋体" w:cs="宋体"/>
          <w:color w:val="auto"/>
          <w:highlight w:val="none"/>
        </w:rPr>
        <w:br w:type="page"/>
      </w:r>
    </w:p>
    <w:p>
      <w:pPr>
        <w:pStyle w:val="25"/>
        <w:spacing w:before="156" w:after="156" w:line="240" w:lineRule="auto"/>
        <w:jc w:val="center"/>
        <w:rPr>
          <w:rFonts w:hAnsi="宋体"/>
          <w:b/>
          <w:color w:val="auto"/>
          <w:sz w:val="22"/>
          <w:szCs w:val="22"/>
          <w:highlight w:val="none"/>
        </w:rPr>
      </w:pPr>
      <w:r>
        <w:rPr>
          <w:rFonts w:hint="eastAsia" w:hAnsi="宋体"/>
          <w:b/>
          <w:color w:val="auto"/>
          <w:sz w:val="22"/>
          <w:szCs w:val="22"/>
          <w:highlight w:val="none"/>
        </w:rPr>
        <w:t>联合投标授权委托书</w:t>
      </w:r>
    </w:p>
    <w:p>
      <w:pPr>
        <w:pStyle w:val="20"/>
        <w:spacing w:line="240" w:lineRule="auto"/>
        <w:ind w:left="840" w:leftChars="400" w:firstLine="2222" w:firstLineChars="1100"/>
        <w:rPr>
          <w:rFonts w:hAnsi="宋体"/>
          <w:color w:val="auto"/>
          <w:sz w:val="21"/>
          <w:szCs w:val="21"/>
          <w:highlight w:val="none"/>
        </w:rPr>
      </w:pPr>
      <w:r>
        <w:rPr>
          <w:rFonts w:hint="eastAsia" w:hAnsi="宋体"/>
          <w:color w:val="auto"/>
          <w:sz w:val="21"/>
          <w:szCs w:val="21"/>
          <w:highlight w:val="none"/>
        </w:rPr>
        <w:t>（联合体投标须提供）</w:t>
      </w:r>
    </w:p>
    <w:p>
      <w:pPr>
        <w:pStyle w:val="20"/>
        <w:spacing w:line="480" w:lineRule="auto"/>
        <w:ind w:left="-107" w:leftChars="-51" w:firstLine="404" w:firstLineChars="200"/>
        <w:rPr>
          <w:rFonts w:hAnsi="宋体"/>
          <w:color w:val="auto"/>
          <w:sz w:val="21"/>
          <w:szCs w:val="21"/>
          <w:highlight w:val="none"/>
        </w:rPr>
      </w:pP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本授权委托书声明：根据</w:t>
      </w:r>
      <w:r>
        <w:rPr>
          <w:rFonts w:hint="eastAsia" w:hAnsi="宋体"/>
          <w:color w:val="auto"/>
          <w:sz w:val="21"/>
          <w:szCs w:val="21"/>
          <w:highlight w:val="none"/>
          <w:u w:val="single"/>
        </w:rPr>
        <w:t xml:space="preserve">             </w:t>
      </w:r>
      <w:r>
        <w:rPr>
          <w:rFonts w:hint="eastAsia" w:hAnsi="宋体"/>
          <w:color w:val="auto"/>
          <w:sz w:val="21"/>
          <w:szCs w:val="21"/>
          <w:highlight w:val="none"/>
        </w:rPr>
        <w:t>与</w:t>
      </w:r>
      <w:r>
        <w:rPr>
          <w:rFonts w:hint="eastAsia" w:hAnsi="宋体"/>
          <w:color w:val="auto"/>
          <w:sz w:val="21"/>
          <w:szCs w:val="21"/>
          <w:highlight w:val="none"/>
          <w:u w:val="single"/>
        </w:rPr>
        <w:t xml:space="preserve">             </w:t>
      </w:r>
      <w:r>
        <w:rPr>
          <w:rFonts w:hint="eastAsia" w:hAnsi="宋体"/>
          <w:color w:val="auto"/>
          <w:sz w:val="21"/>
          <w:szCs w:val="21"/>
          <w:highlight w:val="none"/>
        </w:rPr>
        <w:t>签订的《联合投标协议书》的内容，联合体牵头人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的法定代表人</w:t>
      </w:r>
      <w:r>
        <w:rPr>
          <w:rFonts w:hint="eastAsia" w:hAnsi="宋体"/>
          <w:color w:val="auto"/>
          <w:sz w:val="21"/>
          <w:szCs w:val="21"/>
          <w:highlight w:val="none"/>
          <w:u w:val="single"/>
        </w:rPr>
        <w:t xml:space="preserve">            </w:t>
      </w:r>
      <w:r>
        <w:rPr>
          <w:rFonts w:hint="eastAsia" w:hAnsi="宋体"/>
          <w:color w:val="auto"/>
          <w:sz w:val="21"/>
          <w:szCs w:val="21"/>
          <w:highlight w:val="none"/>
        </w:rPr>
        <w:t>现授权</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特此委托。 </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投标人（盖章）：</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法定代表人（签字或盖章）： </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 xml:space="preserve">年  月  日 </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 xml:space="preserve"> </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委托代理人（签字或盖章）；</w:t>
      </w:r>
    </w:p>
    <w:p>
      <w:pPr>
        <w:pStyle w:val="20"/>
        <w:spacing w:line="480" w:lineRule="auto"/>
        <w:ind w:left="-107" w:leftChars="-51" w:firstLine="404" w:firstLineChars="200"/>
        <w:rPr>
          <w:rFonts w:hAnsi="宋体"/>
          <w:color w:val="auto"/>
          <w:sz w:val="21"/>
          <w:szCs w:val="21"/>
          <w:highlight w:val="none"/>
        </w:rPr>
      </w:pPr>
      <w:r>
        <w:rPr>
          <w:rFonts w:hint="eastAsia" w:hAnsi="宋体"/>
          <w:color w:val="auto"/>
          <w:sz w:val="21"/>
          <w:szCs w:val="21"/>
          <w:highlight w:val="none"/>
        </w:rPr>
        <w:t>日期：202</w:t>
      </w:r>
      <w:r>
        <w:rPr>
          <w:rFonts w:hint="eastAsia" w:hAnsi="宋体"/>
          <w:color w:val="auto"/>
          <w:sz w:val="21"/>
          <w:szCs w:val="21"/>
          <w:highlight w:val="none"/>
          <w:lang w:val="en-US" w:eastAsia="zh-CN"/>
        </w:rPr>
        <w:t>4</w:t>
      </w:r>
      <w:r>
        <w:rPr>
          <w:rFonts w:hint="eastAsia" w:hAnsi="宋体"/>
          <w:color w:val="auto"/>
          <w:sz w:val="21"/>
          <w:szCs w:val="21"/>
          <w:highlight w:val="none"/>
        </w:rPr>
        <w:t>年  月  日</w:t>
      </w:r>
    </w:p>
    <w:p>
      <w:pPr>
        <w:pStyle w:val="20"/>
        <w:spacing w:line="480" w:lineRule="auto"/>
        <w:ind w:left="840" w:hanging="420"/>
        <w:rPr>
          <w:rFonts w:hAnsi="宋体"/>
          <w:color w:val="auto"/>
          <w:sz w:val="21"/>
          <w:szCs w:val="21"/>
          <w:highlight w:val="none"/>
        </w:rPr>
      </w:pPr>
    </w:p>
    <w:p>
      <w:pPr>
        <w:pStyle w:val="20"/>
        <w:spacing w:line="480" w:lineRule="auto"/>
        <w:ind w:firstLine="0"/>
        <w:rPr>
          <w:rFonts w:hAnsi="宋体"/>
          <w:b/>
          <w:bCs/>
          <w:color w:val="auto"/>
          <w:sz w:val="21"/>
          <w:szCs w:val="21"/>
          <w:highlight w:val="none"/>
        </w:rPr>
      </w:pPr>
      <w:r>
        <w:rPr>
          <w:rFonts w:hint="eastAsia" w:hAnsi="宋体"/>
          <w:b/>
          <w:bCs/>
          <w:color w:val="auto"/>
          <w:sz w:val="21"/>
          <w:szCs w:val="21"/>
          <w:highlight w:val="none"/>
        </w:rPr>
        <w:t>注：联合体投标的，此委托书由联合体牵头人的法定代表人签署，并加盖联合体牵头人单位章。</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after="156" w:afterLines="50"/>
        <w:jc w:val="left"/>
        <w:rPr>
          <w:rFonts w:ascii="宋体" w:hAnsi="宋体" w:cs="宋体"/>
          <w:b/>
          <w:bCs/>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b/>
          <w:bCs/>
          <w:color w:val="auto"/>
          <w:highlight w:val="none"/>
        </w:rPr>
        <w:br w:type="page"/>
      </w:r>
      <w:r>
        <w:rPr>
          <w:rFonts w:hint="eastAsia" w:ascii="宋体" w:hAnsi="宋体" w:cs="宋体"/>
          <w:color w:val="auto"/>
          <w:highlight w:val="none"/>
        </w:rPr>
        <w:t>（3）商务条款响应（偏离）表</w:t>
      </w:r>
    </w:p>
    <w:p>
      <w:pPr>
        <w:snapToGrid w:val="0"/>
        <w:spacing w:before="50" w:line="360" w:lineRule="auto"/>
        <w:jc w:val="left"/>
        <w:rPr>
          <w:rFonts w:ascii="宋体" w:hAnsi="宋体" w:cs="宋体"/>
          <w:color w:val="auto"/>
          <w:highlight w:val="none"/>
        </w:rPr>
      </w:pPr>
    </w:p>
    <w:p>
      <w:pPr>
        <w:snapToGrid w:val="0"/>
        <w:spacing w:before="50" w:line="360" w:lineRule="auto"/>
        <w:jc w:val="center"/>
        <w:rPr>
          <w:rFonts w:ascii="宋体" w:hAnsi="宋体" w:cs="宋体"/>
          <w:b/>
          <w:bCs/>
          <w:color w:val="auto"/>
          <w:highlight w:val="none"/>
        </w:rPr>
      </w:pPr>
      <w:r>
        <w:rPr>
          <w:rFonts w:hint="eastAsia" w:ascii="宋体" w:hAnsi="宋体" w:cs="宋体"/>
          <w:b/>
          <w:bCs/>
          <w:color w:val="auto"/>
          <w:highlight w:val="none"/>
        </w:rPr>
        <w:t>商务条款响应（偏离）表</w:t>
      </w:r>
    </w:p>
    <w:p>
      <w:pPr>
        <w:snapToGrid w:val="0"/>
        <w:spacing w:before="50" w:line="360" w:lineRule="auto"/>
        <w:jc w:val="center"/>
        <w:rPr>
          <w:rFonts w:ascii="宋体" w:hAnsi="宋体" w:cs="宋体"/>
          <w:color w:val="auto"/>
          <w:highlight w:val="none"/>
        </w:rPr>
      </w:pP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82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6"/>
        <w:gridCol w:w="2627"/>
        <w:gridCol w:w="1226"/>
        <w:gridCol w:w="29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名称</w:t>
            </w: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是否响应</w:t>
            </w:r>
          </w:p>
        </w:tc>
        <w:tc>
          <w:tcPr>
            <w:tcW w:w="2939" w:type="dxa"/>
            <w:tcBorders>
              <w:top w:val="single" w:color="auto" w:sz="4" w:space="0"/>
              <w:left w:val="single" w:color="auto" w:sz="4" w:space="0"/>
              <w:bottom w:val="single" w:color="auto" w:sz="4" w:space="0"/>
            </w:tcBorders>
          </w:tcPr>
          <w:p>
            <w:pPr>
              <w:snapToGrid w:val="0"/>
              <w:spacing w:before="156" w:beforeLines="50" w:line="400" w:lineRule="exact"/>
              <w:jc w:val="center"/>
              <w:rPr>
                <w:rFonts w:ascii="宋体" w:hAnsi="宋体" w:cs="宋体"/>
                <w:color w:val="auto"/>
                <w:highlight w:val="none"/>
              </w:rPr>
            </w:pPr>
            <w:r>
              <w:rPr>
                <w:rFonts w:hint="eastAsia" w:ascii="宋体" w:hAnsi="宋体" w:cs="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7" w:hRule="atLeast"/>
        </w:trPr>
        <w:tc>
          <w:tcPr>
            <w:tcW w:w="1506" w:type="dxa"/>
            <w:tcBorders>
              <w:top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627"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1226"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ascii="宋体" w:hAnsi="宋体" w:cs="宋体"/>
                <w:color w:val="auto"/>
                <w:highlight w:val="none"/>
              </w:rPr>
            </w:pPr>
          </w:p>
        </w:tc>
        <w:tc>
          <w:tcPr>
            <w:tcW w:w="2939" w:type="dxa"/>
            <w:tcBorders>
              <w:top w:val="single" w:color="auto" w:sz="4" w:space="0"/>
              <w:left w:val="single" w:color="auto" w:sz="4" w:space="0"/>
              <w:bottom w:val="single" w:color="auto" w:sz="4" w:space="0"/>
            </w:tcBorders>
          </w:tcPr>
          <w:p>
            <w:pPr>
              <w:snapToGrid w:val="0"/>
              <w:spacing w:before="156" w:beforeLines="50" w:line="400" w:lineRule="exact"/>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注:投标人须按第</w:t>
      </w:r>
      <w:r>
        <w:rPr>
          <w:rFonts w:hint="eastAsia" w:ascii="宋体" w:hAnsi="宋体" w:cs="宋体"/>
          <w:color w:val="auto"/>
          <w:highlight w:val="none"/>
          <w:lang w:val="en-US" w:eastAsia="zh-CN"/>
        </w:rPr>
        <w:t>四</w:t>
      </w:r>
      <w:r>
        <w:rPr>
          <w:rFonts w:hint="eastAsia" w:ascii="宋体" w:hAnsi="宋体" w:cs="宋体"/>
          <w:color w:val="auto"/>
          <w:highlight w:val="none"/>
        </w:rPr>
        <w:t>章 招标需求</w:t>
      </w:r>
      <w:r>
        <w:rPr>
          <w:rFonts w:hint="eastAsia" w:ascii="宋体" w:hAnsi="宋体" w:cs="宋体"/>
          <w:b/>
          <w:bCs/>
          <w:color w:val="auto"/>
          <w:highlight w:val="none"/>
          <w:lang w:val="en-US" w:eastAsia="zh-CN"/>
        </w:rPr>
        <w:t>二</w:t>
      </w:r>
      <w:r>
        <w:rPr>
          <w:rFonts w:hint="eastAsia" w:ascii="宋体" w:hAnsi="宋体" w:cs="宋体"/>
          <w:b/>
          <w:bCs/>
          <w:color w:val="auto"/>
          <w:highlight w:val="none"/>
        </w:rPr>
        <w:t>、商务要求中</w:t>
      </w:r>
      <w:r>
        <w:rPr>
          <w:rFonts w:hint="eastAsia" w:ascii="宋体" w:hAnsi="宋体" w:cs="宋体"/>
          <w:color w:val="auto"/>
          <w:highlight w:val="none"/>
        </w:rPr>
        <w:t>逐条填写，在说明栏如实填写“正偏离”、“无偏离”或“负偏离”。</w:t>
      </w: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snapToGrid w:val="0"/>
        <w:spacing w:before="50"/>
        <w:jc w:val="left"/>
        <w:rPr>
          <w:rFonts w:ascii="宋体" w:hAnsi="宋体" w:cs="宋体"/>
          <w:color w:val="auto"/>
          <w:highlight w:val="none"/>
        </w:rPr>
      </w:pPr>
    </w:p>
    <w:p>
      <w:pPr>
        <w:pStyle w:val="25"/>
        <w:tabs>
          <w:tab w:val="left" w:pos="2472"/>
        </w:tabs>
        <w:snapToGrid w:val="0"/>
        <w:spacing w:beforeLines="0" w:afterLines="0" w:line="360" w:lineRule="auto"/>
        <w:jc w:val="left"/>
        <w:rPr>
          <w:rFonts w:hAnsi="宋体"/>
          <w:color w:val="auto"/>
          <w:sz w:val="21"/>
          <w:szCs w:val="21"/>
          <w:highlight w:val="none"/>
        </w:rPr>
      </w:pPr>
      <w:r>
        <w:rPr>
          <w:rFonts w:hint="eastAsia" w:hAnsi="宋体"/>
          <w:color w:val="auto"/>
          <w:sz w:val="21"/>
          <w:szCs w:val="21"/>
          <w:highlight w:val="none"/>
        </w:rPr>
        <w:t xml:space="preserve">投标人名称(公章):___________________                    </w:t>
      </w:r>
    </w:p>
    <w:p>
      <w:pPr>
        <w:snapToGrid w:val="0"/>
        <w:spacing w:before="50" w:after="156" w:afterLines="50"/>
        <w:jc w:val="left"/>
        <w:rPr>
          <w:rFonts w:ascii="宋体" w:hAnsi="宋体" w:cs="宋体"/>
          <w:color w:val="auto"/>
          <w:highlight w:val="none"/>
        </w:rPr>
      </w:pPr>
      <w:r>
        <w:rPr>
          <w:rFonts w:hint="eastAsia" w:ascii="宋体" w:hAnsi="宋体" w:cs="宋体"/>
          <w:color w:val="auto"/>
          <w:highlight w:val="none"/>
        </w:rPr>
        <w:t>日期:_____年___月___日</w:t>
      </w:r>
    </w:p>
    <w:p>
      <w:pPr>
        <w:snapToGrid w:val="0"/>
        <w:spacing w:before="50" w:after="156" w:afterLines="50"/>
        <w:jc w:val="left"/>
        <w:rPr>
          <w:rFonts w:ascii="宋体" w:hAnsi="宋体" w:cs="宋体"/>
          <w:color w:val="auto"/>
          <w:highlight w:val="none"/>
        </w:rPr>
      </w:pPr>
    </w:p>
    <w:p>
      <w:pPr>
        <w:snapToGrid w:val="0"/>
        <w:spacing w:before="50" w:after="156" w:afterLines="50"/>
        <w:jc w:val="left"/>
        <w:rPr>
          <w:rFonts w:ascii="宋体" w:hAnsi="宋体" w:cs="宋体"/>
          <w:color w:val="auto"/>
          <w:highlight w:val="none"/>
        </w:rPr>
      </w:pPr>
      <w:r>
        <w:rPr>
          <w:rFonts w:hint="eastAsia" w:ascii="宋体" w:hAnsi="宋体" w:cs="宋体"/>
          <w:b/>
          <w:bCs/>
          <w:color w:val="auto"/>
          <w:highlight w:val="none"/>
        </w:rPr>
        <w:t>注：联合体投标的，可只由联合体牵头人盖章。</w:t>
      </w:r>
    </w:p>
    <w:p>
      <w:pPr>
        <w:snapToGrid w:val="0"/>
        <w:spacing w:before="50" w:after="156" w:afterLines="50"/>
        <w:jc w:val="left"/>
        <w:rPr>
          <w:rFonts w:ascii="宋体" w:hAnsi="宋体" w:cs="宋体"/>
          <w:color w:val="auto"/>
          <w:highlight w:val="none"/>
        </w:rPr>
      </w:pPr>
    </w:p>
    <w:p>
      <w:pPr>
        <w:snapToGrid w:val="0"/>
        <w:spacing w:before="50" w:line="360" w:lineRule="auto"/>
        <w:jc w:val="left"/>
        <w:rPr>
          <w:rFonts w:ascii="宋体" w:hAnsi="宋体" w:cs="宋体"/>
          <w:color w:val="auto"/>
          <w:highlight w:val="none"/>
        </w:rPr>
      </w:pPr>
      <w:r>
        <w:rPr>
          <w:rFonts w:hint="eastAsia" w:ascii="宋体" w:hAnsi="宋体" w:cs="宋体"/>
          <w:color w:val="auto"/>
          <w:highlight w:val="none"/>
        </w:rPr>
        <w:t>（4）技术条款响应（偏离）表</w:t>
      </w:r>
    </w:p>
    <w:p>
      <w:pPr>
        <w:spacing w:line="400" w:lineRule="exact"/>
        <w:jc w:val="center"/>
        <w:rPr>
          <w:rFonts w:ascii="宋体" w:hAnsi="宋体" w:cs="宋体"/>
          <w:b/>
          <w:bCs/>
          <w:color w:val="auto"/>
          <w:highlight w:val="none"/>
        </w:rPr>
      </w:pPr>
      <w:r>
        <w:rPr>
          <w:rFonts w:hint="eastAsia" w:ascii="宋体" w:hAnsi="宋体" w:cs="宋体"/>
          <w:b/>
          <w:bCs/>
          <w:color w:val="auto"/>
          <w:highlight w:val="none"/>
        </w:rPr>
        <w:t>技术条款响应（偏离）表</w:t>
      </w:r>
    </w:p>
    <w:p>
      <w:pPr>
        <w:snapToGrid w:val="0"/>
        <w:spacing w:before="50" w:line="360" w:lineRule="auto"/>
        <w:jc w:val="left"/>
        <w:rPr>
          <w:rFonts w:ascii="宋体" w:hAns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标项号：</w:t>
      </w:r>
      <w:r>
        <w:rPr>
          <w:rFonts w:hint="eastAsia" w:ascii="宋体" w:hAnsi="宋体" w:cs="宋体"/>
          <w:color w:val="auto"/>
          <w:highlight w:val="none"/>
          <w:u w:val="single"/>
        </w:rPr>
        <w:t xml:space="preserve">                </w:t>
      </w:r>
    </w:p>
    <w:tbl>
      <w:tblPr>
        <w:tblStyle w:val="48"/>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序号</w:t>
            </w:r>
          </w:p>
        </w:tc>
        <w:tc>
          <w:tcPr>
            <w:tcW w:w="3360"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招标文件</w:t>
            </w:r>
          </w:p>
          <w:p>
            <w:pPr>
              <w:spacing w:line="400" w:lineRule="exact"/>
              <w:jc w:val="center"/>
              <w:rPr>
                <w:rFonts w:ascii="宋体" w:hAnsi="宋体" w:cs="宋体"/>
                <w:color w:val="auto"/>
                <w:highlight w:val="none"/>
              </w:rPr>
            </w:pPr>
            <w:r>
              <w:rPr>
                <w:rFonts w:hint="eastAsia" w:ascii="宋体" w:hAnsi="宋体" w:cs="宋体"/>
                <w:color w:val="auto"/>
                <w:highlight w:val="none"/>
              </w:rPr>
              <w:t>技术规格、要求</w:t>
            </w:r>
          </w:p>
        </w:tc>
        <w:tc>
          <w:tcPr>
            <w:tcW w:w="290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投标文件</w:t>
            </w:r>
          </w:p>
          <w:p>
            <w:pPr>
              <w:spacing w:line="400" w:lineRule="exact"/>
              <w:jc w:val="center"/>
              <w:rPr>
                <w:rFonts w:ascii="宋体" w:hAnsi="宋体" w:cs="宋体"/>
                <w:color w:val="auto"/>
                <w:highlight w:val="none"/>
              </w:rPr>
            </w:pPr>
            <w:r>
              <w:rPr>
                <w:rFonts w:hint="eastAsia" w:ascii="宋体" w:hAnsi="宋体" w:cs="宋体"/>
                <w:color w:val="auto"/>
                <w:highlight w:val="none"/>
              </w:rPr>
              <w:t>对应规格</w:t>
            </w:r>
          </w:p>
        </w:tc>
        <w:tc>
          <w:tcPr>
            <w:tcW w:w="1578"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ascii="宋体" w:hAnsi="宋体" w:cs="宋体"/>
                <w:color w:val="auto"/>
                <w:highlight w:val="none"/>
              </w:rPr>
            </w:pPr>
          </w:p>
        </w:tc>
        <w:tc>
          <w:tcPr>
            <w:tcW w:w="3360" w:type="dxa"/>
            <w:vAlign w:val="center"/>
          </w:tcPr>
          <w:p>
            <w:pPr>
              <w:spacing w:line="400" w:lineRule="exact"/>
              <w:jc w:val="center"/>
              <w:rPr>
                <w:rFonts w:ascii="宋体" w:hAnsi="宋体" w:cs="宋体"/>
                <w:color w:val="auto"/>
                <w:highlight w:val="none"/>
              </w:rPr>
            </w:pPr>
          </w:p>
        </w:tc>
        <w:tc>
          <w:tcPr>
            <w:tcW w:w="2908" w:type="dxa"/>
            <w:vAlign w:val="center"/>
          </w:tcPr>
          <w:p>
            <w:pPr>
              <w:spacing w:line="400" w:lineRule="exact"/>
              <w:jc w:val="center"/>
              <w:rPr>
                <w:rFonts w:ascii="宋体" w:hAnsi="宋体" w:cs="宋体"/>
                <w:color w:val="auto"/>
                <w:highlight w:val="none"/>
              </w:rPr>
            </w:pPr>
          </w:p>
        </w:tc>
        <w:tc>
          <w:tcPr>
            <w:tcW w:w="1578" w:type="dxa"/>
            <w:vAlign w:val="center"/>
          </w:tcPr>
          <w:p>
            <w:pPr>
              <w:spacing w:line="400" w:lineRule="exact"/>
              <w:jc w:val="center"/>
              <w:rPr>
                <w:rFonts w:ascii="宋体" w:hAnsi="宋体" w:cs="宋体"/>
                <w:color w:val="auto"/>
                <w:highlight w:val="none"/>
              </w:rPr>
            </w:pPr>
          </w:p>
        </w:tc>
      </w:tr>
    </w:tbl>
    <w:p>
      <w:pPr>
        <w:snapToGrid w:val="0"/>
        <w:spacing w:before="50"/>
        <w:rPr>
          <w:rFonts w:ascii="宋体" w:hAnsi="宋体" w:cs="宋体"/>
          <w:color w:val="auto"/>
          <w:kern w:val="0"/>
          <w:highlight w:val="none"/>
        </w:rPr>
      </w:pPr>
      <w:r>
        <w:rPr>
          <w:rFonts w:hint="eastAsia" w:ascii="宋体" w:hAnsi="宋体" w:cs="宋体"/>
          <w:color w:val="auto"/>
          <w:highlight w:val="none"/>
        </w:rPr>
        <w:t>注：注:投标人须按第</w:t>
      </w:r>
      <w:r>
        <w:rPr>
          <w:rFonts w:hint="eastAsia" w:ascii="宋体" w:hAnsi="宋体" w:cs="宋体"/>
          <w:color w:val="auto"/>
          <w:highlight w:val="none"/>
          <w:lang w:val="en-US" w:eastAsia="zh-CN"/>
        </w:rPr>
        <w:t>四</w:t>
      </w:r>
      <w:r>
        <w:rPr>
          <w:rFonts w:hint="eastAsia" w:ascii="宋体" w:hAnsi="宋体" w:cs="宋体"/>
          <w:color w:val="auto"/>
          <w:highlight w:val="none"/>
        </w:rPr>
        <w:t>章 招标需求</w:t>
      </w:r>
      <w:r>
        <w:rPr>
          <w:rFonts w:hint="eastAsia" w:ascii="宋体" w:hAnsi="宋体" w:cs="宋体"/>
          <w:b/>
          <w:bCs/>
          <w:color w:val="auto"/>
          <w:highlight w:val="none"/>
          <w:lang w:val="en-US" w:eastAsia="zh-CN"/>
        </w:rPr>
        <w:t>一</w:t>
      </w:r>
      <w:r>
        <w:rPr>
          <w:rFonts w:hint="eastAsia" w:ascii="宋体" w:hAnsi="宋体" w:cs="宋体"/>
          <w:b/>
          <w:bCs/>
          <w:color w:val="auto"/>
          <w:highlight w:val="none"/>
        </w:rPr>
        <w:t>、技术需求</w:t>
      </w:r>
      <w:r>
        <w:rPr>
          <w:rFonts w:hint="eastAsia" w:ascii="宋体" w:hAnsi="宋体" w:cs="宋体"/>
          <w:color w:val="auto"/>
          <w:highlight w:val="none"/>
        </w:rPr>
        <w:t>逐条填写，在说明栏如实填写“正偏离”、“无偏离”或“负偏离”。</w:t>
      </w:r>
    </w:p>
    <w:p>
      <w:pPr>
        <w:spacing w:line="400" w:lineRule="exact"/>
        <w:rPr>
          <w:rFonts w:ascii="宋体" w:hAnsi="宋体" w:cs="宋体"/>
          <w:color w:val="auto"/>
          <w:highlight w:val="none"/>
        </w:rPr>
      </w:pPr>
      <w:r>
        <w:rPr>
          <w:rFonts w:hint="eastAsia" w:ascii="宋体" w:hAnsi="宋体" w:cs="宋体"/>
          <w:color w:val="auto"/>
          <w:highlight w:val="none"/>
        </w:rPr>
        <w:t>投标人（盖章）：</w:t>
      </w:r>
    </w:p>
    <w:p>
      <w:pPr>
        <w:pStyle w:val="20"/>
        <w:spacing w:line="360" w:lineRule="exact"/>
        <w:ind w:firstLine="0"/>
        <w:jc w:val="left"/>
        <w:rPr>
          <w:rFonts w:hAnsi="宋体"/>
          <w:color w:val="auto"/>
          <w:spacing w:val="6"/>
          <w:sz w:val="21"/>
          <w:szCs w:val="21"/>
          <w:highlight w:val="none"/>
        </w:rPr>
      </w:pPr>
      <w:r>
        <w:rPr>
          <w:rFonts w:hint="eastAsia" w:hAnsi="宋体"/>
          <w:color w:val="auto"/>
          <w:sz w:val="21"/>
          <w:szCs w:val="21"/>
          <w:highlight w:val="none"/>
        </w:rPr>
        <w:t>日  期：</w:t>
      </w:r>
    </w:p>
    <w:p>
      <w:pPr>
        <w:snapToGrid w:val="0"/>
        <w:spacing w:before="50" w:after="156" w:afterLines="50"/>
        <w:jc w:val="left"/>
        <w:rPr>
          <w:rFonts w:ascii="宋体" w:hAnsi="宋体" w:cs="宋体"/>
          <w:color w:val="auto"/>
          <w:highlight w:val="none"/>
        </w:rPr>
      </w:pPr>
    </w:p>
    <w:p>
      <w:pPr>
        <w:spacing w:line="360" w:lineRule="auto"/>
        <w:rPr>
          <w:rFonts w:ascii="宋体" w:hAnsi="宋体" w:cs="宋体"/>
          <w:b/>
          <w:bCs/>
          <w:color w:val="auto"/>
          <w:highlight w:val="none"/>
        </w:rPr>
      </w:pPr>
      <w:r>
        <w:rPr>
          <w:rFonts w:hint="eastAsia" w:ascii="宋体" w:hAnsi="宋体" w:cs="宋体"/>
          <w:b/>
          <w:bCs/>
          <w:color w:val="auto"/>
          <w:highlight w:val="none"/>
        </w:rPr>
        <w:t>注：联合体投标的，可只由联合体牵头人盖章。</w:t>
      </w:r>
    </w:p>
    <w:p>
      <w:pPr>
        <w:pStyle w:val="515"/>
        <w:rPr>
          <w:rFonts w:cs="宋体"/>
          <w:b/>
          <w:bCs/>
          <w:color w:val="auto"/>
          <w:highlight w:val="none"/>
        </w:rPr>
      </w:pPr>
    </w:p>
    <w:p>
      <w:pPr>
        <w:pStyle w:val="515"/>
        <w:rPr>
          <w:rFonts w:cs="宋体"/>
          <w:b/>
          <w:bCs/>
          <w:color w:val="auto"/>
          <w:highlight w:val="none"/>
        </w:rPr>
      </w:pPr>
    </w:p>
    <w:p>
      <w:pPr>
        <w:pStyle w:val="515"/>
        <w:rPr>
          <w:rFonts w:cs="宋体"/>
          <w:b/>
          <w:bCs/>
          <w:color w:val="auto"/>
          <w:highlight w:val="none"/>
        </w:rPr>
      </w:pPr>
    </w:p>
    <w:p>
      <w:pPr>
        <w:pStyle w:val="515"/>
        <w:ind w:firstLine="0"/>
        <w:rPr>
          <w:rFonts w:cs="宋体"/>
          <w:b/>
          <w:bCs/>
          <w:color w:val="auto"/>
          <w:highlight w:val="none"/>
        </w:rPr>
      </w:pPr>
    </w:p>
    <w:p>
      <w:pPr>
        <w:numPr>
          <w:ilvl w:val="0"/>
          <w:numId w:val="19"/>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技术需求中要求提供的证明资料（加盖公章）；</w:t>
      </w:r>
    </w:p>
    <w:p>
      <w:pPr>
        <w:numPr>
          <w:ilvl w:val="0"/>
          <w:numId w:val="19"/>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业绩一览表</w:t>
      </w:r>
    </w:p>
    <w:p>
      <w:pPr>
        <w:snapToGrid w:val="0"/>
        <w:spacing w:after="156" w:afterLines="50" w:line="360" w:lineRule="auto"/>
        <w:jc w:val="center"/>
        <w:rPr>
          <w:rFonts w:hint="eastAsia" w:ascii="宋体" w:hAnsi="宋体" w:cs="宋体"/>
          <w:b/>
          <w:bCs/>
          <w:color w:val="auto"/>
          <w:highlight w:val="none"/>
        </w:rPr>
      </w:pPr>
    </w:p>
    <w:p>
      <w:pPr>
        <w:snapToGrid w:val="0"/>
        <w:spacing w:after="156" w:afterLines="50" w:line="360" w:lineRule="auto"/>
        <w:jc w:val="center"/>
        <w:rPr>
          <w:rFonts w:hint="eastAsia" w:ascii="宋体" w:hAnsi="宋体" w:cs="宋体"/>
          <w:b/>
          <w:bCs/>
          <w:color w:val="auto"/>
          <w:highlight w:val="none"/>
        </w:rPr>
      </w:pPr>
      <w:r>
        <w:rPr>
          <w:rFonts w:hint="eastAsia" w:ascii="宋体" w:hAnsi="宋体" w:cs="宋体"/>
          <w:b/>
          <w:bCs/>
          <w:color w:val="auto"/>
          <w:highlight w:val="none"/>
        </w:rPr>
        <w:t>业绩一览表</w:t>
      </w:r>
    </w:p>
    <w:p>
      <w:pPr>
        <w:pStyle w:val="36"/>
        <w:snapToGrid w:val="0"/>
        <w:spacing w:line="360" w:lineRule="auto"/>
        <w:ind w:left="420" w:hanging="420"/>
        <w:rPr>
          <w:rFonts w:hint="eastAsia"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8"/>
        <w:tblW w:w="98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2291"/>
        <w:gridCol w:w="896"/>
        <w:gridCol w:w="690"/>
        <w:gridCol w:w="1065"/>
        <w:gridCol w:w="1380"/>
        <w:gridCol w:w="1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8" w:hRule="atLeast"/>
          <w:jc w:val="center"/>
        </w:trPr>
        <w:tc>
          <w:tcPr>
            <w:tcW w:w="176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采购人名称</w:t>
            </w:r>
          </w:p>
        </w:tc>
        <w:tc>
          <w:tcPr>
            <w:tcW w:w="229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设备或项目名称</w:t>
            </w:r>
          </w:p>
        </w:tc>
        <w:tc>
          <w:tcPr>
            <w:tcW w:w="8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数量（套）</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单价</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合同</w:t>
            </w:r>
          </w:p>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金额</w:t>
            </w:r>
          </w:p>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（万元）</w:t>
            </w: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附件页码</w:t>
            </w:r>
          </w:p>
        </w:tc>
        <w:tc>
          <w:tcPr>
            <w:tcW w:w="17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采购人联系人及</w:t>
            </w:r>
          </w:p>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5" w:hRule="atLeast"/>
          <w:jc w:val="center"/>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auto"/>
                <w:highlight w:val="none"/>
              </w:rPr>
            </w:pPr>
          </w:p>
        </w:tc>
        <w:tc>
          <w:tcPr>
            <w:tcW w:w="22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auto"/>
                <w:highlight w:val="none"/>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auto"/>
                <w:highlight w:val="none"/>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auto"/>
                <w:highlight w:val="none"/>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auto"/>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合同</w:t>
            </w: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76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229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3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75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76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229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3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75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76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229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3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75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76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2291"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69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3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c>
          <w:tcPr>
            <w:tcW w:w="175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宋体" w:hAnsi="宋体" w:cs="宋体"/>
                <w:color w:val="auto"/>
                <w:highlight w:val="none"/>
              </w:rPr>
            </w:pPr>
          </w:p>
        </w:tc>
      </w:tr>
    </w:tbl>
    <w:p>
      <w:pPr>
        <w:pStyle w:val="14"/>
        <w:snapToGrid w:val="0"/>
        <w:rPr>
          <w:rFonts w:hint="eastAsia" w:ascii="宋体" w:hAnsi="宋体" w:eastAsia="宋体" w:cs="宋体"/>
          <w:color w:val="auto"/>
          <w:sz w:val="21"/>
          <w:szCs w:val="21"/>
          <w:highlight w:val="none"/>
        </w:rPr>
      </w:pPr>
    </w:p>
    <w:p>
      <w:pPr>
        <w:pStyle w:val="25"/>
        <w:tabs>
          <w:tab w:val="left" w:pos="2472"/>
        </w:tabs>
        <w:snapToGrid w:val="0"/>
        <w:spacing w:beforeLines="0" w:afterLines="0" w:line="360" w:lineRule="auto"/>
        <w:jc w:val="left"/>
        <w:rPr>
          <w:rFonts w:hint="eastAsia" w:hAnsi="宋体"/>
          <w:color w:val="auto"/>
          <w:sz w:val="21"/>
          <w:highlight w:val="none"/>
        </w:rPr>
      </w:pPr>
      <w:r>
        <w:rPr>
          <w:rFonts w:hint="eastAsia" w:hAnsi="宋体"/>
          <w:color w:val="auto"/>
          <w:sz w:val="21"/>
          <w:highlight w:val="none"/>
        </w:rPr>
        <w:t xml:space="preserve">投标人名称(公章):___________________           </w:t>
      </w:r>
    </w:p>
    <w:p>
      <w:pPr>
        <w:spacing w:line="360" w:lineRule="auto"/>
        <w:rPr>
          <w:rFonts w:hint="eastAsia" w:ascii="宋体" w:hAnsi="宋体" w:cs="宋体"/>
          <w:color w:val="auto"/>
          <w:highlight w:val="none"/>
        </w:rPr>
      </w:pPr>
      <w:r>
        <w:rPr>
          <w:rFonts w:hint="eastAsia" w:ascii="宋体" w:hAnsi="宋体" w:cs="宋体"/>
          <w:color w:val="auto"/>
          <w:highlight w:val="none"/>
        </w:rPr>
        <w:t>日期:_____年___月___日</w:t>
      </w:r>
    </w:p>
    <w:p>
      <w:pPr>
        <w:spacing w:line="360" w:lineRule="auto"/>
        <w:rPr>
          <w:rFonts w:hint="eastAsia" w:ascii="宋体" w:hAnsi="宋体" w:cs="宋体"/>
          <w:color w:val="auto"/>
          <w:highlight w:val="none"/>
        </w:rPr>
      </w:pPr>
    </w:p>
    <w:p>
      <w:pPr>
        <w:pStyle w:val="2"/>
        <w:spacing w:line="360" w:lineRule="auto"/>
        <w:ind w:left="0" w:leftChars="0" w:firstLine="0" w:firstLineChars="0"/>
        <w:rPr>
          <w:rFonts w:hint="eastAsia" w:ascii="宋体" w:hAnsi="宋体" w:eastAsia="宋体" w:cs="宋体"/>
        </w:rPr>
      </w:pPr>
    </w:p>
    <w:p>
      <w:pPr>
        <w:pStyle w:val="2"/>
        <w:spacing w:line="360" w:lineRule="auto"/>
        <w:rPr>
          <w:rFonts w:hint="eastAsia" w:ascii="宋体" w:hAnsi="宋体" w:eastAsia="宋体" w:cs="宋体"/>
        </w:rPr>
      </w:pPr>
    </w:p>
    <w:p>
      <w:pPr>
        <w:pStyle w:val="2"/>
        <w:spacing w:line="360" w:lineRule="auto"/>
        <w:ind w:left="0" w:leftChars="0" w:firstLine="0" w:firstLineChars="0"/>
        <w:rPr>
          <w:rFonts w:hint="eastAsia" w:ascii="宋体" w:hAnsi="宋体" w:eastAsia="宋体" w:cs="宋体"/>
        </w:rPr>
      </w:pPr>
      <w:r>
        <w:rPr>
          <w:rFonts w:hint="eastAsia" w:ascii="宋体" w:hAnsi="宋体" w:eastAsia="宋体" w:cs="宋体"/>
        </w:rPr>
        <w:t>(7)供货方案；</w:t>
      </w:r>
    </w:p>
    <w:p>
      <w:pPr>
        <w:pStyle w:val="2"/>
        <w:spacing w:line="360" w:lineRule="auto"/>
        <w:ind w:left="0" w:leftChars="0" w:firstLine="0" w:firstLineChars="0"/>
        <w:rPr>
          <w:rFonts w:hint="eastAsia" w:ascii="宋体" w:hAnsi="宋体" w:eastAsia="宋体" w:cs="宋体"/>
        </w:rPr>
      </w:pPr>
      <w:r>
        <w:rPr>
          <w:rFonts w:hint="eastAsia" w:ascii="宋体" w:hAnsi="宋体" w:eastAsia="宋体" w:cs="宋体"/>
        </w:rPr>
        <w:t>(8)安装与验收方案；</w:t>
      </w:r>
    </w:p>
    <w:p>
      <w:pPr>
        <w:pStyle w:val="2"/>
        <w:spacing w:line="360" w:lineRule="auto"/>
        <w:ind w:left="0" w:leftChars="0" w:firstLine="0" w:firstLineChars="0"/>
        <w:rPr>
          <w:rFonts w:hint="eastAsia" w:ascii="宋体" w:hAnsi="宋体" w:eastAsia="宋体" w:cs="宋体"/>
          <w:lang w:eastAsia="zh-CN"/>
        </w:rPr>
      </w:pPr>
      <w:r>
        <w:rPr>
          <w:rFonts w:hint="eastAsia" w:ascii="宋体" w:hAnsi="宋体" w:eastAsia="宋体" w:cs="宋体"/>
        </w:rPr>
        <w:t>(9)试剂质量保证措施</w:t>
      </w:r>
      <w:r>
        <w:rPr>
          <w:rFonts w:hint="eastAsia" w:ascii="宋体" w:hAnsi="宋体" w:eastAsia="宋体" w:cs="宋体"/>
          <w:lang w:eastAsia="zh-CN"/>
        </w:rPr>
        <w:t>；</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过渡期间保证方案；</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物流方案</w:t>
      </w:r>
      <w:r>
        <w:rPr>
          <w:rFonts w:hint="eastAsia" w:ascii="宋体" w:hAnsi="宋体" w:eastAsia="宋体" w:cs="宋体"/>
          <w:lang w:eastAsia="zh-CN"/>
        </w:rPr>
        <w:t>；</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售后服务；</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培训方案；</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维修成本方案；</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应急处置能力；</w:t>
      </w:r>
    </w:p>
    <w:p>
      <w:pPr>
        <w:pStyle w:val="2"/>
        <w:numPr>
          <w:ilvl w:val="0"/>
          <w:numId w:val="20"/>
        </w:numPr>
        <w:spacing w:line="360" w:lineRule="auto"/>
        <w:ind w:left="425" w:leftChars="0" w:hanging="425" w:firstLineChars="0"/>
        <w:rPr>
          <w:rFonts w:hint="eastAsia" w:ascii="宋体" w:hAnsi="宋体" w:eastAsia="宋体" w:cs="宋体"/>
        </w:rPr>
      </w:pPr>
      <w:r>
        <w:rPr>
          <w:rFonts w:hint="eastAsia" w:ascii="宋体" w:hAnsi="宋体" w:eastAsia="宋体" w:cs="宋体"/>
        </w:rPr>
        <w:t>其他采购需求或评分标准所需资料。</w:t>
      </w:r>
    </w:p>
    <w:p>
      <w:pPr>
        <w:rPr>
          <w:rFonts w:hint="eastAsia" w:ascii="宋体" w:hAnsi="宋体" w:cs="宋体"/>
          <w:color w:val="auto"/>
          <w:highlight w:val="none"/>
        </w:rPr>
        <w:sectPr>
          <w:headerReference r:id="rId7" w:type="default"/>
          <w:footerReference r:id="rId8" w:type="default"/>
          <w:pgSz w:w="11906" w:h="16838"/>
          <w:pgMar w:top="1474" w:right="1797" w:bottom="1247" w:left="1797" w:header="851" w:footer="851" w:gutter="0"/>
          <w:cols w:space="720" w:num="1"/>
          <w:docGrid w:type="lines" w:linePitch="312" w:charSpace="0"/>
        </w:sectPr>
      </w:pPr>
    </w:p>
    <w:p>
      <w:pPr>
        <w:tabs>
          <w:tab w:val="left" w:pos="420"/>
        </w:tabs>
        <w:spacing w:line="360" w:lineRule="auto"/>
        <w:rPr>
          <w:rFonts w:ascii="宋体" w:hAnsi="宋体" w:cs="宋体"/>
          <w:highlight w:val="none"/>
        </w:rPr>
      </w:pPr>
    </w:p>
    <w:sectPr>
      <w:headerReference r:id="rId9" w:type="default"/>
      <w:footerReference r:id="rId10"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Thornda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Yu Mincho Light">
    <w:altName w:val="MS Gothic"/>
    <w:panose1 w:val="00000000000000000000"/>
    <w:charset w:val="80"/>
    <w:family w:val="roman"/>
    <w:pitch w:val="default"/>
    <w:sig w:usb0="00000000" w:usb1="00000000" w:usb2="00000012" w:usb3="00000000" w:csb0="000200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1"/>
                            <w:jc w:val="center"/>
                            <w:rPr>
                              <w:rFonts w:cs="Times New Roman"/>
                            </w:rPr>
                          </w:pPr>
                          <w:r>
                            <w:fldChar w:fldCharType="begin"/>
                          </w:r>
                          <w:r>
                            <w:instrText xml:space="preserve"> PAGE   \* MERGEFORMAT </w:instrText>
                          </w:r>
                          <w:r>
                            <w:fldChar w:fldCharType="separate"/>
                          </w:r>
                          <w:r>
                            <w:rPr>
                              <w:lang w:val="zh-CN"/>
                            </w:rPr>
                            <w:t>16</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L&#10;3UTQAAAAAgEAAA8AAAAAAAAAAQAgAAAAIgAAAGRycy9kb3ducmV2LnhtbFBLAQIUABQAAAAIAIdO&#10;4kCQdvyEuQEAAFYDAAAOAAAAAAAAAAEAIAAAAB8BAABkcnMvZTJvRG9jLnhtbFBLBQYAAAAABgAG&#10;AFkBAABKBQAAAAA=&#10;">
              <v:fill on="f" focussize="0,0"/>
              <v:stroke on="f"/>
              <v:imagedata o:title=""/>
              <o:lock v:ext="edit" aspectratio="f"/>
              <v:textbox inset="0mm,0mm,0mm,0mm" style="mso-fit-shape-to-text:t;">
                <w:txbxContent>
                  <w:p>
                    <w:pPr>
                      <w:pStyle w:val="31"/>
                      <w:jc w:val="center"/>
                      <w:rPr>
                        <w:rFonts w:cs="Times New Roman"/>
                      </w:rPr>
                    </w:pPr>
                    <w:r>
                      <w:fldChar w:fldCharType="begin"/>
                    </w:r>
                    <w:r>
                      <w:instrText xml:space="preserve"> PAGE   \* MERGEFORMAT </w:instrText>
                    </w:r>
                    <w:r>
                      <w:fldChar w:fldCharType="separate"/>
                    </w:r>
                    <w:r>
                      <w:rPr>
                        <w:lang w:val="zh-CN"/>
                      </w:rPr>
                      <w:t>16</w:t>
                    </w:r>
                    <w:r>
                      <w:rPr>
                        <w:lang w:val="zh-CN"/>
                      </w:rPr>
                      <w:fldChar w:fldCharType="end"/>
                    </w:r>
                  </w:p>
                </w:txbxContent>
              </v:textbox>
            </v:shape>
          </w:pict>
        </mc:Fallback>
      </mc:AlternateContent>
    </w:r>
  </w:p>
  <w:p>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1"/>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35</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X01C1gAAAAYBAAAPAAAAAAAA&#10;AAEAIAAAACIAAABkcnMvZG93bnJldi54bWxQSwECFAAUAAAACACHTuJAv7Ep0qIBAAAxAwAADgAA&#10;AAAAAAABACAAAAAlAQAAZHJzL2Uyb0RvYy54bWxQSwUGAAAAAAYABgBZAQAAOQ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35</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1"/>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57</w:t>
                          </w:r>
                          <w:r>
                            <w:rPr>
                              <w:rStyle w:val="5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V+&#10;SdAAAAADAQAADwAAAAAAAAABACAAAAAiAAAAZHJzL2Rvd25yZXYueG1sUEsBAhQAFAAAAAgAh07i&#10;QKatsbO4AQAAVwMAAA4AAAAAAAAAAQAgAAAAHwEAAGRycy9lMm9Eb2MueG1sUEsFBgAAAAAGAAYA&#10;WQEAAEkFAAAAAA==&#10;">
              <v:fill on="f" focussize="0,0"/>
              <v:stroke on="f"/>
              <v:imagedata o:title=""/>
              <o:lock v:ext="edit" aspectratio="f"/>
              <v:textbox inset="0mm,0mm,0mm,0mm" style="mso-fit-shape-to-text:t;">
                <w:txbxContent>
                  <w:p>
                    <w:pPr>
                      <w:pStyle w:val="31"/>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57</w:t>
                    </w:r>
                    <w:r>
                      <w:rPr>
                        <w:rStyle w:val="53"/>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1"/>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55</w:t>
                          </w:r>
                          <w:r>
                            <w:rPr>
                              <w:rStyle w:val="5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5X5J&#10;0AAAAAMBAAAPAAAAAAAAAAEAIAAAACIAAABkcnMvZG93bnJldi54bWxQSwECFAAUAAAACACHTuJA&#10;j7Xt3bcBAABXAwAADgAAAAAAAAABACAAAAAfAQAAZHJzL2Uyb0RvYy54bWxQSwUGAAAAAAYABgBZ&#10;AQAASAUAAAAA&#10;">
              <v:fill on="f" focussize="0,0"/>
              <v:stroke on="f"/>
              <v:imagedata o:title=""/>
              <o:lock v:ext="edit" aspectratio="f"/>
              <v:textbox inset="0mm,0mm,0mm,0mm" style="mso-fit-shape-to-text:t;">
                <w:txbxContent>
                  <w:p>
                    <w:pPr>
                      <w:pStyle w:val="31"/>
                      <w:rPr>
                        <w:rStyle w:val="53"/>
                        <w:rFonts w:cs="Times New Roman"/>
                      </w:rPr>
                    </w:pPr>
                    <w:r>
                      <w:rPr>
                        <w:rStyle w:val="53"/>
                      </w:rPr>
                      <w:fldChar w:fldCharType="begin"/>
                    </w:r>
                    <w:r>
                      <w:rPr>
                        <w:rStyle w:val="53"/>
                      </w:rPr>
                      <w:instrText xml:space="preserve">PAGE  </w:instrText>
                    </w:r>
                    <w:r>
                      <w:rPr>
                        <w:rStyle w:val="53"/>
                      </w:rPr>
                      <w:fldChar w:fldCharType="separate"/>
                    </w:r>
                    <w:r>
                      <w:rPr>
                        <w:rStyle w:val="53"/>
                      </w:rPr>
                      <w:t>55</w:t>
                    </w:r>
                    <w:r>
                      <w:rPr>
                        <w:rStyle w:val="5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33D0B"/>
    <w:multiLevelType w:val="singleLevel"/>
    <w:tmpl w:val="9B433D0B"/>
    <w:lvl w:ilvl="0" w:tentative="0">
      <w:start w:val="4"/>
      <w:numFmt w:val="decimal"/>
      <w:lvlText w:val="(%1)"/>
      <w:lvlJc w:val="left"/>
      <w:pPr>
        <w:tabs>
          <w:tab w:val="left" w:pos="0"/>
        </w:tabs>
        <w:ind w:left="5" w:hanging="425"/>
      </w:pPr>
      <w:rPr>
        <w:rFonts w:hint="default" w:ascii="宋体" w:hAnsi="宋体" w:eastAsia="宋体" w:cs="宋体"/>
      </w:rPr>
    </w:lvl>
  </w:abstractNum>
  <w:abstractNum w:abstractNumId="1">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2">
    <w:nsid w:val="C546EE32"/>
    <w:multiLevelType w:val="singleLevel"/>
    <w:tmpl w:val="C546EE32"/>
    <w:lvl w:ilvl="0" w:tentative="0">
      <w:start w:val="10"/>
      <w:numFmt w:val="decimal"/>
      <w:lvlText w:val="(%1)"/>
      <w:lvlJc w:val="left"/>
      <w:pPr>
        <w:tabs>
          <w:tab w:val="left" w:pos="420"/>
        </w:tabs>
        <w:ind w:left="425" w:leftChars="0" w:hanging="425" w:firstLineChars="0"/>
      </w:pPr>
      <w:rPr>
        <w:rFonts w:hint="default"/>
      </w:rPr>
    </w:lvl>
  </w:abstractNum>
  <w:abstractNum w:abstractNumId="3">
    <w:nsid w:val="D06125BE"/>
    <w:multiLevelType w:val="singleLevel"/>
    <w:tmpl w:val="D06125BE"/>
    <w:lvl w:ilvl="0" w:tentative="0">
      <w:start w:val="1"/>
      <w:numFmt w:val="decimal"/>
      <w:lvlText w:val="(%1)"/>
      <w:lvlJc w:val="left"/>
      <w:pPr>
        <w:tabs>
          <w:tab w:val="left" w:pos="420"/>
        </w:tabs>
        <w:ind w:left="845" w:hanging="425"/>
      </w:pPr>
      <w:rPr>
        <w:rFonts w:hint="default" w:ascii="宋体" w:hAnsi="宋体" w:eastAsia="宋体" w:cs="宋体"/>
      </w:rPr>
    </w:lvl>
  </w:abstractNum>
  <w:abstractNum w:abstractNumId="4">
    <w:nsid w:val="DF63E07B"/>
    <w:multiLevelType w:val="singleLevel"/>
    <w:tmpl w:val="DF63E07B"/>
    <w:lvl w:ilvl="0" w:tentative="0">
      <w:start w:val="5"/>
      <w:numFmt w:val="decimal"/>
      <w:lvlText w:val="(%1)"/>
      <w:lvlJc w:val="left"/>
      <w:pPr>
        <w:tabs>
          <w:tab w:val="left" w:pos="840"/>
        </w:tabs>
        <w:ind w:left="845" w:hanging="425"/>
      </w:pPr>
      <w:rPr>
        <w:rFonts w:hint="default"/>
      </w:rPr>
    </w:lvl>
  </w:abstractNum>
  <w:abstractNum w:abstractNumId="5">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6">
    <w:nsid w:val="00000005"/>
    <w:multiLevelType w:val="multilevel"/>
    <w:tmpl w:val="00000005"/>
    <w:lvl w:ilvl="0" w:tentative="0">
      <w:start w:val="1"/>
      <w:numFmt w:val="japaneseCounting"/>
      <w:pStyle w:val="58"/>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7">
    <w:nsid w:val="00000007"/>
    <w:multiLevelType w:val="singleLevel"/>
    <w:tmpl w:val="00000007"/>
    <w:lvl w:ilvl="0" w:tentative="0">
      <w:start w:val="1"/>
      <w:numFmt w:val="chineseCounting"/>
      <w:pStyle w:val="326"/>
      <w:suff w:val="nothing"/>
      <w:lvlText w:val="%1、"/>
      <w:lvlJc w:val="left"/>
    </w:lvl>
  </w:abstractNum>
  <w:abstractNum w:abstractNumId="8">
    <w:nsid w:val="00000015"/>
    <w:multiLevelType w:val="singleLevel"/>
    <w:tmpl w:val="00000015"/>
    <w:lvl w:ilvl="0" w:tentative="0">
      <w:start w:val="2"/>
      <w:numFmt w:val="decimal"/>
      <w:suff w:val="nothing"/>
      <w:lvlText w:val="%1、"/>
      <w:lvlJc w:val="left"/>
    </w:lvl>
  </w:abstractNum>
  <w:abstractNum w:abstractNumId="9">
    <w:nsid w:val="0000001F"/>
    <w:multiLevelType w:val="multilevel"/>
    <w:tmpl w:val="0000001F"/>
    <w:lvl w:ilvl="0" w:tentative="0">
      <w:start w:val="1"/>
      <w:numFmt w:val="decimal"/>
      <w:pStyle w:val="15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485011F"/>
    <w:multiLevelType w:val="singleLevel"/>
    <w:tmpl w:val="0485011F"/>
    <w:lvl w:ilvl="0" w:tentative="0">
      <w:start w:val="1"/>
      <w:numFmt w:val="decimal"/>
      <w:lvlText w:val="(%1)"/>
      <w:lvlJc w:val="left"/>
      <w:pPr>
        <w:ind w:left="851" w:hanging="425"/>
      </w:pPr>
      <w:rPr>
        <w:rFonts w:hint="default"/>
      </w:rPr>
    </w:lvl>
  </w:abstractNum>
  <w:abstractNum w:abstractNumId="11">
    <w:nsid w:val="0E5A4BA2"/>
    <w:multiLevelType w:val="multilevel"/>
    <w:tmpl w:val="0E5A4BA2"/>
    <w:lvl w:ilvl="0" w:tentative="0">
      <w:start w:val="1"/>
      <w:numFmt w:val="chineseCountingThousand"/>
      <w:pStyle w:val="149"/>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56"/>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2">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9D120CC"/>
    <w:multiLevelType w:val="singleLevel"/>
    <w:tmpl w:val="29D120CC"/>
    <w:lvl w:ilvl="0" w:tentative="0">
      <w:start w:val="1"/>
      <w:numFmt w:val="decimal"/>
      <w:suff w:val="nothing"/>
      <w:lvlText w:val="（%1）"/>
      <w:lvlJc w:val="left"/>
    </w:lvl>
  </w:abstractNum>
  <w:abstractNum w:abstractNumId="14">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37"/>
      <w:lvlText w:val=""/>
      <w:lvlJc w:val="left"/>
      <w:pPr>
        <w:tabs>
          <w:tab w:val="left" w:pos="760"/>
        </w:tabs>
        <w:ind w:left="1264" w:hanging="413"/>
      </w:pPr>
      <w:rPr>
        <w:rFonts w:hint="default" w:ascii="Symbol" w:hAnsi="Symbol" w:cs="Symbol"/>
        <w:color w:val="auto"/>
      </w:rPr>
    </w:lvl>
    <w:lvl w:ilvl="2" w:tentative="0">
      <w:start w:val="1"/>
      <w:numFmt w:val="bullet"/>
      <w:pStyle w:val="212"/>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5">
    <w:nsid w:val="3A5A4495"/>
    <w:multiLevelType w:val="multilevel"/>
    <w:tmpl w:val="3A5A4495"/>
    <w:lvl w:ilvl="0" w:tentative="0">
      <w:start w:val="1"/>
      <w:numFmt w:val="chineseCountingThousand"/>
      <w:suff w:val="space"/>
      <w:lvlText w:val="第%1章"/>
      <w:lvlJc w:val="left"/>
      <w:pPr>
        <w:ind w:left="0" w:firstLine="0"/>
      </w:pPr>
      <w:rPr>
        <w:rFonts w:hint="eastAsia"/>
      </w:rPr>
    </w:lvl>
    <w:lvl w:ilvl="1" w:tentative="0">
      <w:start w:val="1"/>
      <w:numFmt w:val="decimal"/>
      <w:pStyle w:val="367"/>
      <w:isLgl/>
      <w:suff w:val="space"/>
      <w:lvlText w:val="%1.%2"/>
      <w:lvlJc w:val="left"/>
      <w:pPr>
        <w:ind w:left="0" w:firstLine="0"/>
      </w:pPr>
      <w:rPr>
        <w:rFonts w:hint="eastAsia" w:eastAsia="宋体" w:asciiTheme="majorEastAsia" w:hAnsiTheme="majorEastAsia"/>
      </w:rPr>
    </w:lvl>
    <w:lvl w:ilvl="2" w:tentative="0">
      <w:start w:val="1"/>
      <w:numFmt w:val="decimal"/>
      <w:isLgl/>
      <w:suff w:val="space"/>
      <w:lvlText w:val="%1.%2.%3"/>
      <w:lvlJc w:val="left"/>
      <w:pPr>
        <w:ind w:left="0" w:firstLine="0"/>
      </w:pPr>
      <w:rPr>
        <w:rFonts w:hint="eastAsia" w:eastAsia="宋体" w:cs="Times New Roman" w:asciiTheme="minorEastAsia" w:hAnsiTheme="minorEastAsia"/>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3" w:tentative="0">
      <w:start w:val="2"/>
      <w:numFmt w:val="decimal"/>
      <w:isLgl/>
      <w:suff w:val="space"/>
      <w:lvlText w:val="%1.%2.%3.%4"/>
      <w:lvlJc w:val="left"/>
      <w:pPr>
        <w:ind w:left="0" w:firstLine="0"/>
      </w:pPr>
      <w:rPr>
        <w:rFonts w:hint="eastAsia"/>
        <w:b/>
        <w:bCs w:val="0"/>
      </w:rPr>
    </w:lvl>
    <w:lvl w:ilvl="4" w:tentative="0">
      <w:start w:val="1"/>
      <w:numFmt w:val="decimal"/>
      <w:isLgl/>
      <w:suff w:val="space"/>
      <w:lvlText w:val="%1.%2.%3.%4.%5"/>
      <w:lvlJc w:val="left"/>
      <w:pPr>
        <w:ind w:left="0" w:firstLine="0"/>
      </w:pPr>
      <w:rPr>
        <w:rFonts w:hint="eastAsia" w:eastAsia="宋体" w:cs="Times New Roman" w:asciiTheme="majorEastAsia" w:hAnsiTheme="majorEastAsia"/>
        <w:b/>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 w:ilvl="5" w:tentative="0">
      <w:start w:val="1"/>
      <w:numFmt w:val="decimal"/>
      <w:isLgl/>
      <w:suff w:val="space"/>
      <w:lvlText w:val="%1.%2.%3.%4.%5.%6"/>
      <w:lvlJc w:val="left"/>
      <w:pPr>
        <w:ind w:left="0" w:firstLine="0"/>
      </w:pPr>
      <w:rPr>
        <w:rFonts w:hint="eastAsia" w:eastAsia="宋体" w:asciiTheme="minorEastAsia" w:hAnsiTheme="minorEastAsia"/>
      </w:rPr>
    </w:lvl>
    <w:lvl w:ilvl="6" w:tentative="0">
      <w:start w:val="1"/>
      <w:numFmt w:val="decimal"/>
      <w:isLgl/>
      <w:suff w:val="nothing"/>
      <w:lvlText w:val="%1.%2.%3.%4.%5.%6.%7"/>
      <w:lvlJc w:val="left"/>
      <w:pPr>
        <w:ind w:left="0" w:firstLine="0"/>
      </w:pPr>
      <w:rPr>
        <w:rFonts w:hint="eastAsia"/>
      </w:rPr>
    </w:lvl>
    <w:lvl w:ilvl="7" w:tentative="0">
      <w:start w:val="1"/>
      <w:numFmt w:val="decimal"/>
      <w:isLgl/>
      <w:suff w:val="nothing"/>
      <w:lvlText w:val="%1.%2.%3.%4.%5.%6.%7.%8"/>
      <w:lvlJc w:val="left"/>
      <w:pPr>
        <w:ind w:left="0" w:firstLine="0"/>
      </w:pPr>
      <w:rPr>
        <w:rFonts w:hint="eastAsia"/>
      </w:rPr>
    </w:lvl>
    <w:lvl w:ilvl="8" w:tentative="0">
      <w:start w:val="1"/>
      <w:numFmt w:val="decimal"/>
      <w:isLgl/>
      <w:suff w:val="nothing"/>
      <w:lvlText w:val="%1.%2.%3.%4.%5.%6.%7.%8.%9"/>
      <w:lvlJc w:val="left"/>
      <w:pPr>
        <w:ind w:left="0" w:firstLine="0"/>
      </w:pPr>
      <w:rPr>
        <w:rFonts w:hint="eastAsia"/>
      </w:rPr>
    </w:lvl>
  </w:abstractNum>
  <w:abstractNum w:abstractNumId="16">
    <w:nsid w:val="3E49C78C"/>
    <w:multiLevelType w:val="singleLevel"/>
    <w:tmpl w:val="3E49C78C"/>
    <w:lvl w:ilvl="0" w:tentative="0">
      <w:start w:val="6"/>
      <w:numFmt w:val="decimal"/>
      <w:lvlText w:val="(%1)"/>
      <w:lvlJc w:val="left"/>
      <w:pPr>
        <w:tabs>
          <w:tab w:val="left" w:pos="840"/>
        </w:tabs>
        <w:ind w:left="845" w:leftChars="0" w:hanging="425" w:firstLineChars="0"/>
      </w:pPr>
      <w:rPr>
        <w:rFonts w:hint="default"/>
      </w:rPr>
    </w:lvl>
  </w:abstractNum>
  <w:abstractNum w:abstractNumId="17">
    <w:nsid w:val="43740B8A"/>
    <w:multiLevelType w:val="multilevel"/>
    <w:tmpl w:val="43740B8A"/>
    <w:lvl w:ilvl="0" w:tentative="0">
      <w:start w:val="1"/>
      <w:numFmt w:val="chineseCountingThousand"/>
      <w:lvlText w:val="第%1章"/>
      <w:lvlJc w:val="left"/>
      <w:pPr>
        <w:ind w:left="420" w:hanging="420"/>
      </w:pPr>
      <w:rPr>
        <w:rFonts w:hint="eastAsia" w:ascii="宋体" w:hAnsi="宋体" w:eastAsia="宋体"/>
        <w:b/>
        <w:i w:val="0"/>
        <w:sz w:val="44"/>
      </w:rPr>
    </w:lvl>
    <w:lvl w:ilvl="1" w:tentative="0">
      <w:start w:val="1"/>
      <w:numFmt w:val="decimal"/>
      <w:pStyle w:val="341"/>
      <w:isLgl/>
      <w:suff w:val="space"/>
      <w:lvlText w:val="%1.%2."/>
      <w:lvlJc w:val="left"/>
      <w:pPr>
        <w:ind w:left="0" w:firstLine="0"/>
      </w:pPr>
      <w:rPr>
        <w:rFonts w:hint="default" w:ascii="宋体" w:hAnsi="宋体" w:eastAsia="宋体"/>
        <w:b/>
        <w:i w:val="0"/>
        <w:sz w:val="28"/>
      </w:rPr>
    </w:lvl>
    <w:lvl w:ilvl="2" w:tentative="0">
      <w:start w:val="1"/>
      <w:numFmt w:val="decimal"/>
      <w:isLgl/>
      <w:suff w:val="space"/>
      <w:lvlText w:val="%1.%2.%3."/>
      <w:lvlJc w:val="left"/>
      <w:pPr>
        <w:ind w:left="0" w:firstLine="0"/>
      </w:pPr>
      <w:rPr>
        <w:rFonts w:hint="default" w:ascii="宋体" w:hAnsi="宋体"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pStyle w:val="347"/>
      <w:isLgl/>
      <w:suff w:val="space"/>
      <w:lvlText w:val="%1.%2.%3.%4.%5."/>
      <w:lvlJc w:val="left"/>
      <w:pPr>
        <w:ind w:left="0" w:firstLine="0"/>
      </w:pPr>
      <w:rPr>
        <w:rFonts w:hint="default" w:ascii="Times New Roman" w:hAnsi="Times New Roman" w:eastAsia="宋体"/>
        <w:b/>
        <w:i w:val="0"/>
        <w:sz w:val="24"/>
      </w:rPr>
    </w:lvl>
    <w:lvl w:ilvl="5" w:tentative="0">
      <w:start w:val="1"/>
      <w:numFmt w:val="decimal"/>
      <w:pStyle w:val="349"/>
      <w:isLgl/>
      <w:suff w:val="space"/>
      <w:lvlText w:val="%1.%2.%3.%4.%5.%6."/>
      <w:lvlJc w:val="left"/>
      <w:pPr>
        <w:ind w:left="0" w:firstLine="0"/>
      </w:pPr>
      <w:rPr>
        <w:rFonts w:hint="default" w:ascii="Times New Roman" w:hAnsi="Times New Roman" w:eastAsia="宋体"/>
        <w:b/>
        <w:i w:val="0"/>
        <w:sz w:val="24"/>
      </w:rPr>
    </w:lvl>
    <w:lvl w:ilvl="6" w:tentative="0">
      <w:start w:val="1"/>
      <w:numFmt w:val="decimal"/>
      <w:pStyle w:val="350"/>
      <w:isLgl/>
      <w:suff w:val="space"/>
      <w:lvlText w:val="%1.%2.%3.%4.%5.%6.%7."/>
      <w:lvlJc w:val="left"/>
      <w:pPr>
        <w:ind w:left="0" w:firstLine="0"/>
      </w:pPr>
      <w:rPr>
        <w:rFonts w:hint="default" w:ascii="Times New Roman" w:hAnsi="Times New Roman" w:eastAsia="宋体"/>
        <w:b/>
        <w:i w:val="0"/>
        <w:sz w:val="24"/>
      </w:rPr>
    </w:lvl>
    <w:lvl w:ilvl="7" w:tentative="0">
      <w:start w:val="1"/>
      <w:numFmt w:val="decimal"/>
      <w:pStyle w:val="351"/>
      <w:isLgl/>
      <w:suff w:val="space"/>
      <w:lvlText w:val="%1.%2.%3.%4.%5.%6.%7.%8."/>
      <w:lvlJc w:val="left"/>
      <w:pPr>
        <w:ind w:left="0" w:firstLine="0"/>
      </w:pPr>
      <w:rPr>
        <w:rFonts w:hint="default" w:ascii="Times New Roman" w:hAnsi="Times New Roman" w:eastAsia="宋体"/>
        <w:b/>
        <w:i w:val="0"/>
        <w:sz w:val="24"/>
      </w:rPr>
    </w:lvl>
    <w:lvl w:ilvl="8" w:tentative="0">
      <w:start w:val="1"/>
      <w:numFmt w:val="decimal"/>
      <w:pStyle w:val="352"/>
      <w:isLgl/>
      <w:suff w:val="space"/>
      <w:lvlText w:val="%1.%2.%3.%4.%5.%6.%7.%8.%9."/>
      <w:lvlJc w:val="left"/>
      <w:pPr>
        <w:ind w:left="0" w:firstLine="0"/>
      </w:pPr>
      <w:rPr>
        <w:rFonts w:hint="default" w:ascii="Times New Roman" w:hAnsi="Times New Roman" w:eastAsia="宋体"/>
        <w:b/>
        <w:i w:val="0"/>
        <w:sz w:val="24"/>
      </w:rPr>
    </w:lvl>
  </w:abstractNum>
  <w:abstractNum w:abstractNumId="18">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67CFDD7"/>
    <w:multiLevelType w:val="singleLevel"/>
    <w:tmpl w:val="567CFDD7"/>
    <w:lvl w:ilvl="0" w:tentative="0">
      <w:start w:val="1"/>
      <w:numFmt w:val="decimal"/>
      <w:suff w:val="nothing"/>
      <w:lvlText w:val="%1、"/>
      <w:lvlJc w:val="left"/>
    </w:lvl>
  </w:abstractNum>
  <w:num w:numId="1">
    <w:abstractNumId w:val="6"/>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7"/>
  </w:num>
  <w:num w:numId="7">
    <w:abstractNumId w:val="15"/>
  </w:num>
  <w:num w:numId="8">
    <w:abstractNumId w:val="3"/>
  </w:num>
  <w:num w:numId="9">
    <w:abstractNumId w:val="10"/>
  </w:num>
  <w:num w:numId="10">
    <w:abstractNumId w:val="1"/>
  </w:num>
  <w:num w:numId="11">
    <w:abstractNumId w:val="0"/>
  </w:num>
  <w:num w:numId="12">
    <w:abstractNumId w:val="16"/>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zY3YjYwYTkzZGE5OTliYzVlZDZiNmI5ZmVkOGRiOGQifQ=="/>
    <w:docVar w:name="CurUserName" w:val="??¡ì??? ???¡ì??? 1???????¡ì?????¡ì????¡ì???H1h1Level 1 Topic HeadingH11H12H111H13H1... Char"/>
    <w:docVar w:name="DeleteMarces" w:val="?¡ì?????????¡ì?¡ì???~????b ?~??????¡§????"/>
    <w:docVar w:name="DocName" w:val="w:rsidR"/>
    <w:docVar w:name="OldInfo" w:val="??????"/>
  </w:docVars>
  <w:rsids>
    <w:rsidRoot w:val="00172A27"/>
    <w:rsid w:val="000049CD"/>
    <w:rsid w:val="00005E47"/>
    <w:rsid w:val="000072C8"/>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44B04"/>
    <w:rsid w:val="00046C72"/>
    <w:rsid w:val="000503C2"/>
    <w:rsid w:val="00053B09"/>
    <w:rsid w:val="00054378"/>
    <w:rsid w:val="0005668C"/>
    <w:rsid w:val="0006051B"/>
    <w:rsid w:val="0006108D"/>
    <w:rsid w:val="00062050"/>
    <w:rsid w:val="000621A1"/>
    <w:rsid w:val="00062805"/>
    <w:rsid w:val="00063BF3"/>
    <w:rsid w:val="00064033"/>
    <w:rsid w:val="00070469"/>
    <w:rsid w:val="0007142A"/>
    <w:rsid w:val="00071A95"/>
    <w:rsid w:val="00072C34"/>
    <w:rsid w:val="000738F4"/>
    <w:rsid w:val="000803DB"/>
    <w:rsid w:val="0008431C"/>
    <w:rsid w:val="00090C82"/>
    <w:rsid w:val="00090EC1"/>
    <w:rsid w:val="00091F00"/>
    <w:rsid w:val="00093C91"/>
    <w:rsid w:val="00093EC1"/>
    <w:rsid w:val="00097AD4"/>
    <w:rsid w:val="00097FF8"/>
    <w:rsid w:val="000A2C88"/>
    <w:rsid w:val="000A555E"/>
    <w:rsid w:val="000A6393"/>
    <w:rsid w:val="000B00A3"/>
    <w:rsid w:val="000B08DA"/>
    <w:rsid w:val="000B1705"/>
    <w:rsid w:val="000B23DC"/>
    <w:rsid w:val="000B26C8"/>
    <w:rsid w:val="000B3673"/>
    <w:rsid w:val="000B3C9B"/>
    <w:rsid w:val="000B4307"/>
    <w:rsid w:val="000B5AE1"/>
    <w:rsid w:val="000B6EA7"/>
    <w:rsid w:val="000C1383"/>
    <w:rsid w:val="000C1EE4"/>
    <w:rsid w:val="000C4B41"/>
    <w:rsid w:val="000C4FDD"/>
    <w:rsid w:val="000C516F"/>
    <w:rsid w:val="000C66CA"/>
    <w:rsid w:val="000C766B"/>
    <w:rsid w:val="000C7FD5"/>
    <w:rsid w:val="000D0500"/>
    <w:rsid w:val="000D0F41"/>
    <w:rsid w:val="000D1351"/>
    <w:rsid w:val="000D21D7"/>
    <w:rsid w:val="000D2B5A"/>
    <w:rsid w:val="000D5400"/>
    <w:rsid w:val="000D701E"/>
    <w:rsid w:val="000D796C"/>
    <w:rsid w:val="000E12B4"/>
    <w:rsid w:val="000E3D93"/>
    <w:rsid w:val="000E677F"/>
    <w:rsid w:val="000E681C"/>
    <w:rsid w:val="000E7418"/>
    <w:rsid w:val="000F2188"/>
    <w:rsid w:val="000F2D65"/>
    <w:rsid w:val="000F3F73"/>
    <w:rsid w:val="000F5421"/>
    <w:rsid w:val="000F5648"/>
    <w:rsid w:val="000F598A"/>
    <w:rsid w:val="000F7912"/>
    <w:rsid w:val="00100F91"/>
    <w:rsid w:val="001010CE"/>
    <w:rsid w:val="00103334"/>
    <w:rsid w:val="001055CA"/>
    <w:rsid w:val="001104E3"/>
    <w:rsid w:val="00112436"/>
    <w:rsid w:val="001136FC"/>
    <w:rsid w:val="001174E0"/>
    <w:rsid w:val="00120E07"/>
    <w:rsid w:val="00121864"/>
    <w:rsid w:val="001224BE"/>
    <w:rsid w:val="00130D10"/>
    <w:rsid w:val="00131C44"/>
    <w:rsid w:val="001341A1"/>
    <w:rsid w:val="00135942"/>
    <w:rsid w:val="001360B5"/>
    <w:rsid w:val="00142C92"/>
    <w:rsid w:val="00144B53"/>
    <w:rsid w:val="00150EAD"/>
    <w:rsid w:val="00154D49"/>
    <w:rsid w:val="00154DD7"/>
    <w:rsid w:val="00155930"/>
    <w:rsid w:val="00155E94"/>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085"/>
    <w:rsid w:val="0018481A"/>
    <w:rsid w:val="00185343"/>
    <w:rsid w:val="0018621B"/>
    <w:rsid w:val="00187EC3"/>
    <w:rsid w:val="0019386F"/>
    <w:rsid w:val="00197508"/>
    <w:rsid w:val="001A0A83"/>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C464C"/>
    <w:rsid w:val="001C4D5A"/>
    <w:rsid w:val="001D135E"/>
    <w:rsid w:val="001D288E"/>
    <w:rsid w:val="001D3324"/>
    <w:rsid w:val="001D53BC"/>
    <w:rsid w:val="001D5E95"/>
    <w:rsid w:val="001D5FB4"/>
    <w:rsid w:val="001E17C4"/>
    <w:rsid w:val="001E50D3"/>
    <w:rsid w:val="001E5FE6"/>
    <w:rsid w:val="001F2B28"/>
    <w:rsid w:val="001F3DBE"/>
    <w:rsid w:val="001F4201"/>
    <w:rsid w:val="001F6CB8"/>
    <w:rsid w:val="0020163F"/>
    <w:rsid w:val="002031F7"/>
    <w:rsid w:val="00203E8A"/>
    <w:rsid w:val="00204FEE"/>
    <w:rsid w:val="002054DF"/>
    <w:rsid w:val="002065DC"/>
    <w:rsid w:val="0020670E"/>
    <w:rsid w:val="00210618"/>
    <w:rsid w:val="00210718"/>
    <w:rsid w:val="00211417"/>
    <w:rsid w:val="0021304A"/>
    <w:rsid w:val="00213DD0"/>
    <w:rsid w:val="00215274"/>
    <w:rsid w:val="00215FB9"/>
    <w:rsid w:val="002200D7"/>
    <w:rsid w:val="0022194B"/>
    <w:rsid w:val="00221B43"/>
    <w:rsid w:val="00222AD3"/>
    <w:rsid w:val="00224FDC"/>
    <w:rsid w:val="002253D6"/>
    <w:rsid w:val="00227059"/>
    <w:rsid w:val="00227649"/>
    <w:rsid w:val="00227C3B"/>
    <w:rsid w:val="002319CF"/>
    <w:rsid w:val="00231FCA"/>
    <w:rsid w:val="002328B4"/>
    <w:rsid w:val="00232C22"/>
    <w:rsid w:val="00233A62"/>
    <w:rsid w:val="00234C40"/>
    <w:rsid w:val="00235605"/>
    <w:rsid w:val="00240115"/>
    <w:rsid w:val="00241BD1"/>
    <w:rsid w:val="002430B3"/>
    <w:rsid w:val="00244384"/>
    <w:rsid w:val="00245CF3"/>
    <w:rsid w:val="002471B3"/>
    <w:rsid w:val="00250CBF"/>
    <w:rsid w:val="00251145"/>
    <w:rsid w:val="00261BDD"/>
    <w:rsid w:val="00262DCF"/>
    <w:rsid w:val="00262F39"/>
    <w:rsid w:val="00265F1F"/>
    <w:rsid w:val="00267A10"/>
    <w:rsid w:val="0027124A"/>
    <w:rsid w:val="00271804"/>
    <w:rsid w:val="00275CC7"/>
    <w:rsid w:val="0027610A"/>
    <w:rsid w:val="00276E33"/>
    <w:rsid w:val="00280DE3"/>
    <w:rsid w:val="00281821"/>
    <w:rsid w:val="0028661E"/>
    <w:rsid w:val="00287653"/>
    <w:rsid w:val="00287F91"/>
    <w:rsid w:val="00290D16"/>
    <w:rsid w:val="0029114C"/>
    <w:rsid w:val="00292882"/>
    <w:rsid w:val="00293FF2"/>
    <w:rsid w:val="002946B0"/>
    <w:rsid w:val="00294A12"/>
    <w:rsid w:val="00295B44"/>
    <w:rsid w:val="00297ED1"/>
    <w:rsid w:val="002A0823"/>
    <w:rsid w:val="002A154C"/>
    <w:rsid w:val="002A3B7C"/>
    <w:rsid w:val="002A3F8E"/>
    <w:rsid w:val="002A56AF"/>
    <w:rsid w:val="002A636E"/>
    <w:rsid w:val="002B0CBD"/>
    <w:rsid w:val="002B2510"/>
    <w:rsid w:val="002B312E"/>
    <w:rsid w:val="002B4090"/>
    <w:rsid w:val="002B40ED"/>
    <w:rsid w:val="002B468D"/>
    <w:rsid w:val="002B54AC"/>
    <w:rsid w:val="002B6ED3"/>
    <w:rsid w:val="002C0D58"/>
    <w:rsid w:val="002C2AA2"/>
    <w:rsid w:val="002C2F3E"/>
    <w:rsid w:val="002C303E"/>
    <w:rsid w:val="002C36B3"/>
    <w:rsid w:val="002C5FEB"/>
    <w:rsid w:val="002C78B6"/>
    <w:rsid w:val="002D0748"/>
    <w:rsid w:val="002D2B7C"/>
    <w:rsid w:val="002D4AA2"/>
    <w:rsid w:val="002D748D"/>
    <w:rsid w:val="002E104E"/>
    <w:rsid w:val="002E2061"/>
    <w:rsid w:val="002E254A"/>
    <w:rsid w:val="002E34E8"/>
    <w:rsid w:val="002E35A6"/>
    <w:rsid w:val="002E38EA"/>
    <w:rsid w:val="002F0249"/>
    <w:rsid w:val="002F0DE5"/>
    <w:rsid w:val="002F18ED"/>
    <w:rsid w:val="002F63AA"/>
    <w:rsid w:val="002F7F5F"/>
    <w:rsid w:val="00302676"/>
    <w:rsid w:val="0030365B"/>
    <w:rsid w:val="00305438"/>
    <w:rsid w:val="0031042E"/>
    <w:rsid w:val="003152A5"/>
    <w:rsid w:val="00317C07"/>
    <w:rsid w:val="0032223A"/>
    <w:rsid w:val="00323149"/>
    <w:rsid w:val="003271C6"/>
    <w:rsid w:val="00327B34"/>
    <w:rsid w:val="0033278E"/>
    <w:rsid w:val="003327E1"/>
    <w:rsid w:val="00333EC5"/>
    <w:rsid w:val="00334227"/>
    <w:rsid w:val="00340AA7"/>
    <w:rsid w:val="003424C4"/>
    <w:rsid w:val="00343ED6"/>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297"/>
    <w:rsid w:val="00373FB2"/>
    <w:rsid w:val="0037516C"/>
    <w:rsid w:val="0037723A"/>
    <w:rsid w:val="00380634"/>
    <w:rsid w:val="00381040"/>
    <w:rsid w:val="003816EE"/>
    <w:rsid w:val="00385A22"/>
    <w:rsid w:val="003870C7"/>
    <w:rsid w:val="00392830"/>
    <w:rsid w:val="00395D8E"/>
    <w:rsid w:val="00396D0C"/>
    <w:rsid w:val="003A1EBA"/>
    <w:rsid w:val="003A2C49"/>
    <w:rsid w:val="003A58B3"/>
    <w:rsid w:val="003A679A"/>
    <w:rsid w:val="003B1086"/>
    <w:rsid w:val="003B12C9"/>
    <w:rsid w:val="003B351D"/>
    <w:rsid w:val="003B50B9"/>
    <w:rsid w:val="003B62B2"/>
    <w:rsid w:val="003B70A7"/>
    <w:rsid w:val="003B7110"/>
    <w:rsid w:val="003B71DD"/>
    <w:rsid w:val="003C1A3A"/>
    <w:rsid w:val="003C2BB3"/>
    <w:rsid w:val="003C2D4A"/>
    <w:rsid w:val="003C3673"/>
    <w:rsid w:val="003D528C"/>
    <w:rsid w:val="003D7B39"/>
    <w:rsid w:val="003E05CB"/>
    <w:rsid w:val="003E12B8"/>
    <w:rsid w:val="003E1A91"/>
    <w:rsid w:val="003E32D8"/>
    <w:rsid w:val="003E40E5"/>
    <w:rsid w:val="003F0520"/>
    <w:rsid w:val="003F1BBE"/>
    <w:rsid w:val="003F1EEC"/>
    <w:rsid w:val="003F22A7"/>
    <w:rsid w:val="003F53C0"/>
    <w:rsid w:val="003F6C47"/>
    <w:rsid w:val="0040027F"/>
    <w:rsid w:val="00401340"/>
    <w:rsid w:val="00402B57"/>
    <w:rsid w:val="00403306"/>
    <w:rsid w:val="004035A2"/>
    <w:rsid w:val="00406297"/>
    <w:rsid w:val="0041279A"/>
    <w:rsid w:val="0041294C"/>
    <w:rsid w:val="004139B9"/>
    <w:rsid w:val="00415F6D"/>
    <w:rsid w:val="0041687A"/>
    <w:rsid w:val="004208B5"/>
    <w:rsid w:val="0042154B"/>
    <w:rsid w:val="0042160A"/>
    <w:rsid w:val="00423EA6"/>
    <w:rsid w:val="00424540"/>
    <w:rsid w:val="00425785"/>
    <w:rsid w:val="004258E1"/>
    <w:rsid w:val="00427D09"/>
    <w:rsid w:val="00435A7F"/>
    <w:rsid w:val="00435BE5"/>
    <w:rsid w:val="00436E97"/>
    <w:rsid w:val="00437095"/>
    <w:rsid w:val="00440ED2"/>
    <w:rsid w:val="0044147E"/>
    <w:rsid w:val="00442895"/>
    <w:rsid w:val="00443CED"/>
    <w:rsid w:val="00444F94"/>
    <w:rsid w:val="00447219"/>
    <w:rsid w:val="004502D9"/>
    <w:rsid w:val="00450C3D"/>
    <w:rsid w:val="004522E9"/>
    <w:rsid w:val="00453B92"/>
    <w:rsid w:val="004551DA"/>
    <w:rsid w:val="00455863"/>
    <w:rsid w:val="00457AE2"/>
    <w:rsid w:val="00460A87"/>
    <w:rsid w:val="00461481"/>
    <w:rsid w:val="00462285"/>
    <w:rsid w:val="00462550"/>
    <w:rsid w:val="004636EC"/>
    <w:rsid w:val="00466AAA"/>
    <w:rsid w:val="00471852"/>
    <w:rsid w:val="0047332F"/>
    <w:rsid w:val="0047442F"/>
    <w:rsid w:val="0047495F"/>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2956"/>
    <w:rsid w:val="004E4B22"/>
    <w:rsid w:val="004E65EA"/>
    <w:rsid w:val="004F2C1F"/>
    <w:rsid w:val="004F35ED"/>
    <w:rsid w:val="004F54EE"/>
    <w:rsid w:val="004F6BCD"/>
    <w:rsid w:val="004F7116"/>
    <w:rsid w:val="0050178D"/>
    <w:rsid w:val="00501F4A"/>
    <w:rsid w:val="00502312"/>
    <w:rsid w:val="0051211E"/>
    <w:rsid w:val="00513884"/>
    <w:rsid w:val="00514E69"/>
    <w:rsid w:val="00514EA8"/>
    <w:rsid w:val="005207FB"/>
    <w:rsid w:val="00521A76"/>
    <w:rsid w:val="00522AFB"/>
    <w:rsid w:val="00524984"/>
    <w:rsid w:val="00524BFE"/>
    <w:rsid w:val="00526FFA"/>
    <w:rsid w:val="00531EAC"/>
    <w:rsid w:val="00532146"/>
    <w:rsid w:val="00532C24"/>
    <w:rsid w:val="00532D32"/>
    <w:rsid w:val="00533DB4"/>
    <w:rsid w:val="005352C8"/>
    <w:rsid w:val="005401BB"/>
    <w:rsid w:val="0054028B"/>
    <w:rsid w:val="0054197C"/>
    <w:rsid w:val="0054570C"/>
    <w:rsid w:val="0054648E"/>
    <w:rsid w:val="00546539"/>
    <w:rsid w:val="005539A0"/>
    <w:rsid w:val="00553F5D"/>
    <w:rsid w:val="00554C69"/>
    <w:rsid w:val="00556C4F"/>
    <w:rsid w:val="005571E2"/>
    <w:rsid w:val="005574FC"/>
    <w:rsid w:val="0056035A"/>
    <w:rsid w:val="00560FE1"/>
    <w:rsid w:val="00561D09"/>
    <w:rsid w:val="00562337"/>
    <w:rsid w:val="005642A5"/>
    <w:rsid w:val="005650BD"/>
    <w:rsid w:val="005674B8"/>
    <w:rsid w:val="00567A61"/>
    <w:rsid w:val="00571F65"/>
    <w:rsid w:val="00576B6F"/>
    <w:rsid w:val="005827D4"/>
    <w:rsid w:val="00582F41"/>
    <w:rsid w:val="00584321"/>
    <w:rsid w:val="005847B5"/>
    <w:rsid w:val="0059160B"/>
    <w:rsid w:val="005939CE"/>
    <w:rsid w:val="00594015"/>
    <w:rsid w:val="005940DD"/>
    <w:rsid w:val="0059504E"/>
    <w:rsid w:val="00596D40"/>
    <w:rsid w:val="005A766E"/>
    <w:rsid w:val="005A7FAB"/>
    <w:rsid w:val="005B106A"/>
    <w:rsid w:val="005B2699"/>
    <w:rsid w:val="005B2916"/>
    <w:rsid w:val="005B3820"/>
    <w:rsid w:val="005B3F11"/>
    <w:rsid w:val="005B52FA"/>
    <w:rsid w:val="005B684A"/>
    <w:rsid w:val="005D1127"/>
    <w:rsid w:val="005D3490"/>
    <w:rsid w:val="005D4230"/>
    <w:rsid w:val="005E239D"/>
    <w:rsid w:val="005E599E"/>
    <w:rsid w:val="005F0DAA"/>
    <w:rsid w:val="005F1B69"/>
    <w:rsid w:val="005F4991"/>
    <w:rsid w:val="00601652"/>
    <w:rsid w:val="00602BC9"/>
    <w:rsid w:val="0060375E"/>
    <w:rsid w:val="00603A96"/>
    <w:rsid w:val="006058A7"/>
    <w:rsid w:val="006060E2"/>
    <w:rsid w:val="0061249A"/>
    <w:rsid w:val="0061390C"/>
    <w:rsid w:val="006143C0"/>
    <w:rsid w:val="00616750"/>
    <w:rsid w:val="00617400"/>
    <w:rsid w:val="00620E3B"/>
    <w:rsid w:val="0062353A"/>
    <w:rsid w:val="00623FD6"/>
    <w:rsid w:val="0062432F"/>
    <w:rsid w:val="00626F6F"/>
    <w:rsid w:val="00634E05"/>
    <w:rsid w:val="006352D5"/>
    <w:rsid w:val="006360BD"/>
    <w:rsid w:val="00643F5A"/>
    <w:rsid w:val="006444EA"/>
    <w:rsid w:val="00646114"/>
    <w:rsid w:val="006465FE"/>
    <w:rsid w:val="00646FDA"/>
    <w:rsid w:val="006541D7"/>
    <w:rsid w:val="00654D43"/>
    <w:rsid w:val="00661315"/>
    <w:rsid w:val="00662AFA"/>
    <w:rsid w:val="00665E1F"/>
    <w:rsid w:val="0066703F"/>
    <w:rsid w:val="0067095C"/>
    <w:rsid w:val="00673B27"/>
    <w:rsid w:val="00675C56"/>
    <w:rsid w:val="00681EDA"/>
    <w:rsid w:val="00684DD4"/>
    <w:rsid w:val="00685D97"/>
    <w:rsid w:val="00690EE0"/>
    <w:rsid w:val="00691BA9"/>
    <w:rsid w:val="00693B4A"/>
    <w:rsid w:val="0069442A"/>
    <w:rsid w:val="006952FD"/>
    <w:rsid w:val="006A0711"/>
    <w:rsid w:val="006A219C"/>
    <w:rsid w:val="006A573B"/>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754"/>
    <w:rsid w:val="006E2839"/>
    <w:rsid w:val="006E6C95"/>
    <w:rsid w:val="006F036C"/>
    <w:rsid w:val="006F2D4E"/>
    <w:rsid w:val="006F4088"/>
    <w:rsid w:val="006F41D9"/>
    <w:rsid w:val="006F52DC"/>
    <w:rsid w:val="006F6CB0"/>
    <w:rsid w:val="0070020C"/>
    <w:rsid w:val="00700396"/>
    <w:rsid w:val="00703367"/>
    <w:rsid w:val="007057EF"/>
    <w:rsid w:val="0071043E"/>
    <w:rsid w:val="00710C1A"/>
    <w:rsid w:val="00712118"/>
    <w:rsid w:val="00712282"/>
    <w:rsid w:val="00715468"/>
    <w:rsid w:val="00716DC3"/>
    <w:rsid w:val="00717ECD"/>
    <w:rsid w:val="007209FB"/>
    <w:rsid w:val="0072124A"/>
    <w:rsid w:val="00721AC0"/>
    <w:rsid w:val="00721B0C"/>
    <w:rsid w:val="00723BD9"/>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596"/>
    <w:rsid w:val="00767265"/>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A2065"/>
    <w:rsid w:val="007A3FC3"/>
    <w:rsid w:val="007A40EF"/>
    <w:rsid w:val="007A5D19"/>
    <w:rsid w:val="007A6268"/>
    <w:rsid w:val="007A641D"/>
    <w:rsid w:val="007A6977"/>
    <w:rsid w:val="007B25EC"/>
    <w:rsid w:val="007B304D"/>
    <w:rsid w:val="007B5289"/>
    <w:rsid w:val="007B533A"/>
    <w:rsid w:val="007B707F"/>
    <w:rsid w:val="007C137C"/>
    <w:rsid w:val="007C4CA4"/>
    <w:rsid w:val="007C5A0B"/>
    <w:rsid w:val="007D0422"/>
    <w:rsid w:val="007D11D5"/>
    <w:rsid w:val="007D249A"/>
    <w:rsid w:val="007D255C"/>
    <w:rsid w:val="007D3B05"/>
    <w:rsid w:val="007D5A45"/>
    <w:rsid w:val="007D6024"/>
    <w:rsid w:val="007D7ED7"/>
    <w:rsid w:val="007D7FC1"/>
    <w:rsid w:val="007E104B"/>
    <w:rsid w:val="007E1EFD"/>
    <w:rsid w:val="007E2E82"/>
    <w:rsid w:val="007E32D0"/>
    <w:rsid w:val="007E4B2B"/>
    <w:rsid w:val="007E4E7A"/>
    <w:rsid w:val="007E58D2"/>
    <w:rsid w:val="007E6978"/>
    <w:rsid w:val="007E6CA3"/>
    <w:rsid w:val="007E7413"/>
    <w:rsid w:val="007F12F3"/>
    <w:rsid w:val="007F5B8E"/>
    <w:rsid w:val="007F6240"/>
    <w:rsid w:val="007F71BE"/>
    <w:rsid w:val="00800897"/>
    <w:rsid w:val="0080141A"/>
    <w:rsid w:val="008019F1"/>
    <w:rsid w:val="0080239E"/>
    <w:rsid w:val="00802B71"/>
    <w:rsid w:val="008033AB"/>
    <w:rsid w:val="00803CEB"/>
    <w:rsid w:val="008041AB"/>
    <w:rsid w:val="00805878"/>
    <w:rsid w:val="00811461"/>
    <w:rsid w:val="00812128"/>
    <w:rsid w:val="00815A72"/>
    <w:rsid w:val="008163CB"/>
    <w:rsid w:val="00816A8B"/>
    <w:rsid w:val="008176F5"/>
    <w:rsid w:val="008244DD"/>
    <w:rsid w:val="00831FEA"/>
    <w:rsid w:val="0083397E"/>
    <w:rsid w:val="00833CCB"/>
    <w:rsid w:val="008350D7"/>
    <w:rsid w:val="00836588"/>
    <w:rsid w:val="00837832"/>
    <w:rsid w:val="0084036C"/>
    <w:rsid w:val="008409A3"/>
    <w:rsid w:val="00840B81"/>
    <w:rsid w:val="00844985"/>
    <w:rsid w:val="00845DB0"/>
    <w:rsid w:val="00846663"/>
    <w:rsid w:val="00850251"/>
    <w:rsid w:val="008507F9"/>
    <w:rsid w:val="008509C0"/>
    <w:rsid w:val="00850CA9"/>
    <w:rsid w:val="0085311B"/>
    <w:rsid w:val="00857C85"/>
    <w:rsid w:val="00861E94"/>
    <w:rsid w:val="00863AE8"/>
    <w:rsid w:val="008643C1"/>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649"/>
    <w:rsid w:val="00893905"/>
    <w:rsid w:val="00895A4F"/>
    <w:rsid w:val="008A12C6"/>
    <w:rsid w:val="008A1755"/>
    <w:rsid w:val="008A30D8"/>
    <w:rsid w:val="008A40B4"/>
    <w:rsid w:val="008A517F"/>
    <w:rsid w:val="008A736A"/>
    <w:rsid w:val="008A7415"/>
    <w:rsid w:val="008B0BC9"/>
    <w:rsid w:val="008B1454"/>
    <w:rsid w:val="008B3568"/>
    <w:rsid w:val="008B46A0"/>
    <w:rsid w:val="008B5055"/>
    <w:rsid w:val="008B5401"/>
    <w:rsid w:val="008C09E6"/>
    <w:rsid w:val="008C1011"/>
    <w:rsid w:val="008C1D52"/>
    <w:rsid w:val="008C1DEC"/>
    <w:rsid w:val="008C1EB6"/>
    <w:rsid w:val="008C272F"/>
    <w:rsid w:val="008C4035"/>
    <w:rsid w:val="008C4165"/>
    <w:rsid w:val="008C73C6"/>
    <w:rsid w:val="008C7C24"/>
    <w:rsid w:val="008D0BFD"/>
    <w:rsid w:val="008D1A96"/>
    <w:rsid w:val="008D2FDA"/>
    <w:rsid w:val="008D39FF"/>
    <w:rsid w:val="008D7D9F"/>
    <w:rsid w:val="008E0F28"/>
    <w:rsid w:val="008E26D5"/>
    <w:rsid w:val="008E31AF"/>
    <w:rsid w:val="008E7B87"/>
    <w:rsid w:val="00900515"/>
    <w:rsid w:val="009012F6"/>
    <w:rsid w:val="00902C2A"/>
    <w:rsid w:val="009042F3"/>
    <w:rsid w:val="00906CEC"/>
    <w:rsid w:val="009072D4"/>
    <w:rsid w:val="009077FD"/>
    <w:rsid w:val="00910DF3"/>
    <w:rsid w:val="00911AA0"/>
    <w:rsid w:val="00911BCA"/>
    <w:rsid w:val="0091394E"/>
    <w:rsid w:val="00920D99"/>
    <w:rsid w:val="009218C0"/>
    <w:rsid w:val="009218E5"/>
    <w:rsid w:val="0092266F"/>
    <w:rsid w:val="009236A2"/>
    <w:rsid w:val="00923721"/>
    <w:rsid w:val="009238CB"/>
    <w:rsid w:val="00924E25"/>
    <w:rsid w:val="00927134"/>
    <w:rsid w:val="00930A6F"/>
    <w:rsid w:val="009314F8"/>
    <w:rsid w:val="00933A1D"/>
    <w:rsid w:val="0093432E"/>
    <w:rsid w:val="009349B4"/>
    <w:rsid w:val="00935477"/>
    <w:rsid w:val="0093552B"/>
    <w:rsid w:val="00937229"/>
    <w:rsid w:val="009402DA"/>
    <w:rsid w:val="009406A0"/>
    <w:rsid w:val="00940E05"/>
    <w:rsid w:val="00940FF4"/>
    <w:rsid w:val="00941307"/>
    <w:rsid w:val="0094210E"/>
    <w:rsid w:val="009462DB"/>
    <w:rsid w:val="00947918"/>
    <w:rsid w:val="00947DED"/>
    <w:rsid w:val="00951148"/>
    <w:rsid w:val="0095225A"/>
    <w:rsid w:val="00953404"/>
    <w:rsid w:val="009554B4"/>
    <w:rsid w:val="00957791"/>
    <w:rsid w:val="0095783B"/>
    <w:rsid w:val="009607AB"/>
    <w:rsid w:val="009641F4"/>
    <w:rsid w:val="00966C37"/>
    <w:rsid w:val="00966EE5"/>
    <w:rsid w:val="009670AC"/>
    <w:rsid w:val="009673F7"/>
    <w:rsid w:val="009674C4"/>
    <w:rsid w:val="00967B6F"/>
    <w:rsid w:val="00967E7F"/>
    <w:rsid w:val="00970C1A"/>
    <w:rsid w:val="00973899"/>
    <w:rsid w:val="00974596"/>
    <w:rsid w:val="00974E25"/>
    <w:rsid w:val="009801C8"/>
    <w:rsid w:val="009838EC"/>
    <w:rsid w:val="00984837"/>
    <w:rsid w:val="0098633E"/>
    <w:rsid w:val="00990014"/>
    <w:rsid w:val="00990D10"/>
    <w:rsid w:val="00992927"/>
    <w:rsid w:val="00996D01"/>
    <w:rsid w:val="009A0B67"/>
    <w:rsid w:val="009A1C10"/>
    <w:rsid w:val="009A2C46"/>
    <w:rsid w:val="009A2EA7"/>
    <w:rsid w:val="009A356C"/>
    <w:rsid w:val="009A3DA5"/>
    <w:rsid w:val="009A7F20"/>
    <w:rsid w:val="009B5659"/>
    <w:rsid w:val="009C1D4C"/>
    <w:rsid w:val="009C35FF"/>
    <w:rsid w:val="009C36A9"/>
    <w:rsid w:val="009C4476"/>
    <w:rsid w:val="009D380B"/>
    <w:rsid w:val="009D66D8"/>
    <w:rsid w:val="009D68B6"/>
    <w:rsid w:val="009D6F7D"/>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0FF"/>
    <w:rsid w:val="00A05943"/>
    <w:rsid w:val="00A062D0"/>
    <w:rsid w:val="00A13FCC"/>
    <w:rsid w:val="00A17C60"/>
    <w:rsid w:val="00A225F3"/>
    <w:rsid w:val="00A22A5E"/>
    <w:rsid w:val="00A22CC6"/>
    <w:rsid w:val="00A246B5"/>
    <w:rsid w:val="00A260F4"/>
    <w:rsid w:val="00A26EB6"/>
    <w:rsid w:val="00A274AC"/>
    <w:rsid w:val="00A27B08"/>
    <w:rsid w:val="00A320C4"/>
    <w:rsid w:val="00A3295D"/>
    <w:rsid w:val="00A32DBF"/>
    <w:rsid w:val="00A34640"/>
    <w:rsid w:val="00A42F3F"/>
    <w:rsid w:val="00A51C1C"/>
    <w:rsid w:val="00A51F4B"/>
    <w:rsid w:val="00A526A3"/>
    <w:rsid w:val="00A5293E"/>
    <w:rsid w:val="00A535B3"/>
    <w:rsid w:val="00A6135B"/>
    <w:rsid w:val="00A6244D"/>
    <w:rsid w:val="00A62CEF"/>
    <w:rsid w:val="00A637B2"/>
    <w:rsid w:val="00A63D08"/>
    <w:rsid w:val="00A64CAB"/>
    <w:rsid w:val="00A67931"/>
    <w:rsid w:val="00A702D7"/>
    <w:rsid w:val="00A70E22"/>
    <w:rsid w:val="00A7192B"/>
    <w:rsid w:val="00A7475B"/>
    <w:rsid w:val="00A74E9A"/>
    <w:rsid w:val="00A75A0D"/>
    <w:rsid w:val="00A76B86"/>
    <w:rsid w:val="00A77C6B"/>
    <w:rsid w:val="00A81520"/>
    <w:rsid w:val="00A82AC0"/>
    <w:rsid w:val="00A84270"/>
    <w:rsid w:val="00A91406"/>
    <w:rsid w:val="00A9149B"/>
    <w:rsid w:val="00A91866"/>
    <w:rsid w:val="00A9234B"/>
    <w:rsid w:val="00A950BE"/>
    <w:rsid w:val="00A969B1"/>
    <w:rsid w:val="00A974F7"/>
    <w:rsid w:val="00AA0013"/>
    <w:rsid w:val="00AA3781"/>
    <w:rsid w:val="00AA40FB"/>
    <w:rsid w:val="00AA5405"/>
    <w:rsid w:val="00AA589B"/>
    <w:rsid w:val="00AA6F57"/>
    <w:rsid w:val="00AA7544"/>
    <w:rsid w:val="00AB1B5E"/>
    <w:rsid w:val="00AB35C0"/>
    <w:rsid w:val="00AB3C6C"/>
    <w:rsid w:val="00AB5573"/>
    <w:rsid w:val="00AB6191"/>
    <w:rsid w:val="00AB6C79"/>
    <w:rsid w:val="00AB783D"/>
    <w:rsid w:val="00AB7E6A"/>
    <w:rsid w:val="00AC0280"/>
    <w:rsid w:val="00AC3A39"/>
    <w:rsid w:val="00AC4D13"/>
    <w:rsid w:val="00AC5649"/>
    <w:rsid w:val="00AC7415"/>
    <w:rsid w:val="00AD07A2"/>
    <w:rsid w:val="00AD08E8"/>
    <w:rsid w:val="00AD2579"/>
    <w:rsid w:val="00AD2C3C"/>
    <w:rsid w:val="00AD30BE"/>
    <w:rsid w:val="00AD65D0"/>
    <w:rsid w:val="00AE0CF6"/>
    <w:rsid w:val="00AE1AC6"/>
    <w:rsid w:val="00AE1C41"/>
    <w:rsid w:val="00AE30B0"/>
    <w:rsid w:val="00AE5213"/>
    <w:rsid w:val="00AE772A"/>
    <w:rsid w:val="00AF160B"/>
    <w:rsid w:val="00AF1648"/>
    <w:rsid w:val="00B00E75"/>
    <w:rsid w:val="00B0324A"/>
    <w:rsid w:val="00B04931"/>
    <w:rsid w:val="00B058BB"/>
    <w:rsid w:val="00B07354"/>
    <w:rsid w:val="00B07D9D"/>
    <w:rsid w:val="00B1140F"/>
    <w:rsid w:val="00B11634"/>
    <w:rsid w:val="00B11AEC"/>
    <w:rsid w:val="00B11C97"/>
    <w:rsid w:val="00B1427E"/>
    <w:rsid w:val="00B16A83"/>
    <w:rsid w:val="00B17F39"/>
    <w:rsid w:val="00B209D6"/>
    <w:rsid w:val="00B21EDE"/>
    <w:rsid w:val="00B2624F"/>
    <w:rsid w:val="00B27FB2"/>
    <w:rsid w:val="00B31213"/>
    <w:rsid w:val="00B31D06"/>
    <w:rsid w:val="00B34682"/>
    <w:rsid w:val="00B37F26"/>
    <w:rsid w:val="00B37F82"/>
    <w:rsid w:val="00B400F7"/>
    <w:rsid w:val="00B41259"/>
    <w:rsid w:val="00B4300D"/>
    <w:rsid w:val="00B44135"/>
    <w:rsid w:val="00B44725"/>
    <w:rsid w:val="00B45231"/>
    <w:rsid w:val="00B5006C"/>
    <w:rsid w:val="00B513FF"/>
    <w:rsid w:val="00B52690"/>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4E29"/>
    <w:rsid w:val="00B87467"/>
    <w:rsid w:val="00B91C53"/>
    <w:rsid w:val="00B93043"/>
    <w:rsid w:val="00B93899"/>
    <w:rsid w:val="00B95AB2"/>
    <w:rsid w:val="00B96FAF"/>
    <w:rsid w:val="00BA184C"/>
    <w:rsid w:val="00BA3574"/>
    <w:rsid w:val="00BA5EF8"/>
    <w:rsid w:val="00BA7450"/>
    <w:rsid w:val="00BA7BBA"/>
    <w:rsid w:val="00BB0E3A"/>
    <w:rsid w:val="00BB292D"/>
    <w:rsid w:val="00BC29E1"/>
    <w:rsid w:val="00BC50CF"/>
    <w:rsid w:val="00BC534B"/>
    <w:rsid w:val="00BC5D5D"/>
    <w:rsid w:val="00BC6AFA"/>
    <w:rsid w:val="00BC6E9F"/>
    <w:rsid w:val="00BD2133"/>
    <w:rsid w:val="00BD2FDE"/>
    <w:rsid w:val="00BD4A72"/>
    <w:rsid w:val="00BD5DAF"/>
    <w:rsid w:val="00BE0B08"/>
    <w:rsid w:val="00BE0C47"/>
    <w:rsid w:val="00BE1DFB"/>
    <w:rsid w:val="00BE1E6E"/>
    <w:rsid w:val="00BE24F6"/>
    <w:rsid w:val="00BE4133"/>
    <w:rsid w:val="00BE5D2E"/>
    <w:rsid w:val="00BE60D3"/>
    <w:rsid w:val="00BF12A1"/>
    <w:rsid w:val="00BF2C17"/>
    <w:rsid w:val="00BF316E"/>
    <w:rsid w:val="00BF6F1B"/>
    <w:rsid w:val="00BF725C"/>
    <w:rsid w:val="00C030DE"/>
    <w:rsid w:val="00C0620E"/>
    <w:rsid w:val="00C11321"/>
    <w:rsid w:val="00C1265D"/>
    <w:rsid w:val="00C133E6"/>
    <w:rsid w:val="00C141F1"/>
    <w:rsid w:val="00C1516C"/>
    <w:rsid w:val="00C236A5"/>
    <w:rsid w:val="00C23798"/>
    <w:rsid w:val="00C27155"/>
    <w:rsid w:val="00C3145A"/>
    <w:rsid w:val="00C31EC3"/>
    <w:rsid w:val="00C33F2B"/>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2BE4"/>
    <w:rsid w:val="00C737BB"/>
    <w:rsid w:val="00C7386D"/>
    <w:rsid w:val="00C7455A"/>
    <w:rsid w:val="00C74E1F"/>
    <w:rsid w:val="00C76B0A"/>
    <w:rsid w:val="00C77AE6"/>
    <w:rsid w:val="00C80A13"/>
    <w:rsid w:val="00C82240"/>
    <w:rsid w:val="00C822A6"/>
    <w:rsid w:val="00C82AFE"/>
    <w:rsid w:val="00C849CB"/>
    <w:rsid w:val="00C854F7"/>
    <w:rsid w:val="00C90CDF"/>
    <w:rsid w:val="00C9593A"/>
    <w:rsid w:val="00C962D5"/>
    <w:rsid w:val="00CA3B06"/>
    <w:rsid w:val="00CA3B70"/>
    <w:rsid w:val="00CA6646"/>
    <w:rsid w:val="00CA7746"/>
    <w:rsid w:val="00CB0C4F"/>
    <w:rsid w:val="00CB228C"/>
    <w:rsid w:val="00CB2BE6"/>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486C"/>
    <w:rsid w:val="00D34F26"/>
    <w:rsid w:val="00D36723"/>
    <w:rsid w:val="00D379FE"/>
    <w:rsid w:val="00D37F77"/>
    <w:rsid w:val="00D42D23"/>
    <w:rsid w:val="00D4317B"/>
    <w:rsid w:val="00D441A9"/>
    <w:rsid w:val="00D44BA1"/>
    <w:rsid w:val="00D46202"/>
    <w:rsid w:val="00D4701D"/>
    <w:rsid w:val="00D47F2A"/>
    <w:rsid w:val="00D51883"/>
    <w:rsid w:val="00D52D1C"/>
    <w:rsid w:val="00D554CA"/>
    <w:rsid w:val="00D55B94"/>
    <w:rsid w:val="00D623DE"/>
    <w:rsid w:val="00D62D26"/>
    <w:rsid w:val="00D63F97"/>
    <w:rsid w:val="00D67896"/>
    <w:rsid w:val="00D67C58"/>
    <w:rsid w:val="00D70435"/>
    <w:rsid w:val="00D7089E"/>
    <w:rsid w:val="00D71A67"/>
    <w:rsid w:val="00D71B90"/>
    <w:rsid w:val="00D720BF"/>
    <w:rsid w:val="00D73E36"/>
    <w:rsid w:val="00D74FE7"/>
    <w:rsid w:val="00D77B98"/>
    <w:rsid w:val="00D83F82"/>
    <w:rsid w:val="00D844F9"/>
    <w:rsid w:val="00D8481B"/>
    <w:rsid w:val="00D84FE6"/>
    <w:rsid w:val="00D85DAD"/>
    <w:rsid w:val="00D86C88"/>
    <w:rsid w:val="00D87014"/>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1AE8"/>
    <w:rsid w:val="00DB3245"/>
    <w:rsid w:val="00DB64E9"/>
    <w:rsid w:val="00DC00A5"/>
    <w:rsid w:val="00DC20CA"/>
    <w:rsid w:val="00DC4179"/>
    <w:rsid w:val="00DC48E6"/>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209"/>
    <w:rsid w:val="00E31E6F"/>
    <w:rsid w:val="00E3360C"/>
    <w:rsid w:val="00E33674"/>
    <w:rsid w:val="00E353D4"/>
    <w:rsid w:val="00E35B47"/>
    <w:rsid w:val="00E434E3"/>
    <w:rsid w:val="00E452A4"/>
    <w:rsid w:val="00E5153E"/>
    <w:rsid w:val="00E524D1"/>
    <w:rsid w:val="00E535CE"/>
    <w:rsid w:val="00E543DC"/>
    <w:rsid w:val="00E61730"/>
    <w:rsid w:val="00E6284A"/>
    <w:rsid w:val="00E654D5"/>
    <w:rsid w:val="00E65995"/>
    <w:rsid w:val="00E664FD"/>
    <w:rsid w:val="00E703AB"/>
    <w:rsid w:val="00E705EC"/>
    <w:rsid w:val="00E70874"/>
    <w:rsid w:val="00E73368"/>
    <w:rsid w:val="00E746B4"/>
    <w:rsid w:val="00E74A3C"/>
    <w:rsid w:val="00E751A6"/>
    <w:rsid w:val="00E777A2"/>
    <w:rsid w:val="00E81B07"/>
    <w:rsid w:val="00E84968"/>
    <w:rsid w:val="00E86DE9"/>
    <w:rsid w:val="00E90C0E"/>
    <w:rsid w:val="00E90C30"/>
    <w:rsid w:val="00E91676"/>
    <w:rsid w:val="00E9555E"/>
    <w:rsid w:val="00E9709A"/>
    <w:rsid w:val="00E97EE7"/>
    <w:rsid w:val="00EA0F97"/>
    <w:rsid w:val="00EA1872"/>
    <w:rsid w:val="00EA27E1"/>
    <w:rsid w:val="00EA391C"/>
    <w:rsid w:val="00EA4EF7"/>
    <w:rsid w:val="00EA7261"/>
    <w:rsid w:val="00EA7FEC"/>
    <w:rsid w:val="00EB175A"/>
    <w:rsid w:val="00EB4E76"/>
    <w:rsid w:val="00EB6BF1"/>
    <w:rsid w:val="00EB76CD"/>
    <w:rsid w:val="00EC0BCA"/>
    <w:rsid w:val="00EC29E3"/>
    <w:rsid w:val="00EC535B"/>
    <w:rsid w:val="00EC739D"/>
    <w:rsid w:val="00ED08E2"/>
    <w:rsid w:val="00ED14E4"/>
    <w:rsid w:val="00ED1597"/>
    <w:rsid w:val="00ED2573"/>
    <w:rsid w:val="00ED2CD2"/>
    <w:rsid w:val="00ED3DF2"/>
    <w:rsid w:val="00ED58B0"/>
    <w:rsid w:val="00ED70A6"/>
    <w:rsid w:val="00EE0D21"/>
    <w:rsid w:val="00EE101B"/>
    <w:rsid w:val="00EE1981"/>
    <w:rsid w:val="00EE1E69"/>
    <w:rsid w:val="00EE1E92"/>
    <w:rsid w:val="00EE3389"/>
    <w:rsid w:val="00EE42B0"/>
    <w:rsid w:val="00EE69F5"/>
    <w:rsid w:val="00EE7F63"/>
    <w:rsid w:val="00EF06B7"/>
    <w:rsid w:val="00EF1125"/>
    <w:rsid w:val="00EF1550"/>
    <w:rsid w:val="00EF199B"/>
    <w:rsid w:val="00EF2476"/>
    <w:rsid w:val="00EF28D8"/>
    <w:rsid w:val="00EF3E87"/>
    <w:rsid w:val="00EF3E92"/>
    <w:rsid w:val="00EF4B80"/>
    <w:rsid w:val="00EF5BA2"/>
    <w:rsid w:val="00F020E9"/>
    <w:rsid w:val="00F03DA5"/>
    <w:rsid w:val="00F04918"/>
    <w:rsid w:val="00F06544"/>
    <w:rsid w:val="00F075F0"/>
    <w:rsid w:val="00F079B6"/>
    <w:rsid w:val="00F113F4"/>
    <w:rsid w:val="00F1191B"/>
    <w:rsid w:val="00F13A10"/>
    <w:rsid w:val="00F21961"/>
    <w:rsid w:val="00F21A4F"/>
    <w:rsid w:val="00F23699"/>
    <w:rsid w:val="00F24F02"/>
    <w:rsid w:val="00F263DB"/>
    <w:rsid w:val="00F3005D"/>
    <w:rsid w:val="00F31D2D"/>
    <w:rsid w:val="00F37359"/>
    <w:rsid w:val="00F40774"/>
    <w:rsid w:val="00F426E3"/>
    <w:rsid w:val="00F4618C"/>
    <w:rsid w:val="00F51FA7"/>
    <w:rsid w:val="00F5260D"/>
    <w:rsid w:val="00F560E9"/>
    <w:rsid w:val="00F56A1C"/>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77F"/>
    <w:rsid w:val="00FC3B3D"/>
    <w:rsid w:val="00FD1A37"/>
    <w:rsid w:val="00FD22B2"/>
    <w:rsid w:val="00FD37FF"/>
    <w:rsid w:val="00FD621C"/>
    <w:rsid w:val="00FE0D61"/>
    <w:rsid w:val="00FE0DCB"/>
    <w:rsid w:val="00FE2153"/>
    <w:rsid w:val="00FE7F73"/>
    <w:rsid w:val="00FF41FB"/>
    <w:rsid w:val="00FF6365"/>
    <w:rsid w:val="010A478A"/>
    <w:rsid w:val="011D4A64"/>
    <w:rsid w:val="01282E62"/>
    <w:rsid w:val="012C687B"/>
    <w:rsid w:val="01456A08"/>
    <w:rsid w:val="01487061"/>
    <w:rsid w:val="01536131"/>
    <w:rsid w:val="01545A05"/>
    <w:rsid w:val="01583748"/>
    <w:rsid w:val="015B25E7"/>
    <w:rsid w:val="0160084E"/>
    <w:rsid w:val="01691204"/>
    <w:rsid w:val="01715CEB"/>
    <w:rsid w:val="017A78B8"/>
    <w:rsid w:val="017B7436"/>
    <w:rsid w:val="01830099"/>
    <w:rsid w:val="018F4837"/>
    <w:rsid w:val="01910A08"/>
    <w:rsid w:val="01916C5A"/>
    <w:rsid w:val="019463CC"/>
    <w:rsid w:val="0199213C"/>
    <w:rsid w:val="01A249C3"/>
    <w:rsid w:val="01A4259A"/>
    <w:rsid w:val="01A7647D"/>
    <w:rsid w:val="01AA7D1B"/>
    <w:rsid w:val="01B77F31"/>
    <w:rsid w:val="01B97F5E"/>
    <w:rsid w:val="01BB5A85"/>
    <w:rsid w:val="01C0753F"/>
    <w:rsid w:val="01C43E99"/>
    <w:rsid w:val="01C73FAA"/>
    <w:rsid w:val="01CC76EC"/>
    <w:rsid w:val="01D34B7C"/>
    <w:rsid w:val="01D46B46"/>
    <w:rsid w:val="01DD3C4D"/>
    <w:rsid w:val="01DF79C5"/>
    <w:rsid w:val="01EB45BC"/>
    <w:rsid w:val="01ED5016"/>
    <w:rsid w:val="020A2568"/>
    <w:rsid w:val="020A57FC"/>
    <w:rsid w:val="020D3B89"/>
    <w:rsid w:val="02142F59"/>
    <w:rsid w:val="021A27AB"/>
    <w:rsid w:val="02255BE4"/>
    <w:rsid w:val="02315D47"/>
    <w:rsid w:val="02477318"/>
    <w:rsid w:val="02502671"/>
    <w:rsid w:val="02534464"/>
    <w:rsid w:val="02571C51"/>
    <w:rsid w:val="02581525"/>
    <w:rsid w:val="02630AF6"/>
    <w:rsid w:val="0263637C"/>
    <w:rsid w:val="027125E7"/>
    <w:rsid w:val="0273635F"/>
    <w:rsid w:val="027A76EE"/>
    <w:rsid w:val="027F62F7"/>
    <w:rsid w:val="02832A46"/>
    <w:rsid w:val="02A62291"/>
    <w:rsid w:val="02A96BF3"/>
    <w:rsid w:val="02B01361"/>
    <w:rsid w:val="02DA6FE9"/>
    <w:rsid w:val="02DC3F04"/>
    <w:rsid w:val="02E01C47"/>
    <w:rsid w:val="02E35293"/>
    <w:rsid w:val="02E62FD5"/>
    <w:rsid w:val="02E64D83"/>
    <w:rsid w:val="02ED6112"/>
    <w:rsid w:val="02F079B0"/>
    <w:rsid w:val="030203DA"/>
    <w:rsid w:val="03063083"/>
    <w:rsid w:val="03157416"/>
    <w:rsid w:val="0317318F"/>
    <w:rsid w:val="03192A63"/>
    <w:rsid w:val="031E276F"/>
    <w:rsid w:val="033F5EAF"/>
    <w:rsid w:val="034E3E75"/>
    <w:rsid w:val="03575C81"/>
    <w:rsid w:val="03600692"/>
    <w:rsid w:val="03687A63"/>
    <w:rsid w:val="03697BFD"/>
    <w:rsid w:val="03836A76"/>
    <w:rsid w:val="03885E3A"/>
    <w:rsid w:val="03991DF6"/>
    <w:rsid w:val="039D18E6"/>
    <w:rsid w:val="03A04F32"/>
    <w:rsid w:val="03AE3AF3"/>
    <w:rsid w:val="03B42718"/>
    <w:rsid w:val="03C36E72"/>
    <w:rsid w:val="03C926DB"/>
    <w:rsid w:val="03D259C4"/>
    <w:rsid w:val="03E868D9"/>
    <w:rsid w:val="03E92D3E"/>
    <w:rsid w:val="03EC461B"/>
    <w:rsid w:val="03EE0393"/>
    <w:rsid w:val="03F14319"/>
    <w:rsid w:val="03F32A2B"/>
    <w:rsid w:val="04155920"/>
    <w:rsid w:val="04161698"/>
    <w:rsid w:val="042042C5"/>
    <w:rsid w:val="042E0790"/>
    <w:rsid w:val="042F22C7"/>
    <w:rsid w:val="04307DED"/>
    <w:rsid w:val="04365896"/>
    <w:rsid w:val="043D4E77"/>
    <w:rsid w:val="044E2BE0"/>
    <w:rsid w:val="045F50B9"/>
    <w:rsid w:val="04602913"/>
    <w:rsid w:val="046800E1"/>
    <w:rsid w:val="04834780"/>
    <w:rsid w:val="049727D9"/>
    <w:rsid w:val="04A3117E"/>
    <w:rsid w:val="04A46CA4"/>
    <w:rsid w:val="04A52203"/>
    <w:rsid w:val="04B74A42"/>
    <w:rsid w:val="04BD2755"/>
    <w:rsid w:val="04C502AB"/>
    <w:rsid w:val="04C56194"/>
    <w:rsid w:val="04C865CE"/>
    <w:rsid w:val="04D035F5"/>
    <w:rsid w:val="04E258FC"/>
    <w:rsid w:val="04E452F2"/>
    <w:rsid w:val="04F07A3F"/>
    <w:rsid w:val="04F25C61"/>
    <w:rsid w:val="04F27A0F"/>
    <w:rsid w:val="04F73E4E"/>
    <w:rsid w:val="05014F82"/>
    <w:rsid w:val="05031C1C"/>
    <w:rsid w:val="050B0AD1"/>
    <w:rsid w:val="050E1A4F"/>
    <w:rsid w:val="05147884"/>
    <w:rsid w:val="051931EE"/>
    <w:rsid w:val="052878D5"/>
    <w:rsid w:val="053B6099"/>
    <w:rsid w:val="05495D59"/>
    <w:rsid w:val="05524952"/>
    <w:rsid w:val="05526700"/>
    <w:rsid w:val="055670E7"/>
    <w:rsid w:val="05595CE0"/>
    <w:rsid w:val="055F39AB"/>
    <w:rsid w:val="056106F1"/>
    <w:rsid w:val="05610E93"/>
    <w:rsid w:val="0563090D"/>
    <w:rsid w:val="0563476A"/>
    <w:rsid w:val="05755481"/>
    <w:rsid w:val="058014BF"/>
    <w:rsid w:val="0591547A"/>
    <w:rsid w:val="059A3C03"/>
    <w:rsid w:val="05A37CCE"/>
    <w:rsid w:val="05A827C4"/>
    <w:rsid w:val="05AD1B88"/>
    <w:rsid w:val="05B178CA"/>
    <w:rsid w:val="05B253F0"/>
    <w:rsid w:val="05C84C14"/>
    <w:rsid w:val="05CC64B2"/>
    <w:rsid w:val="05CD1A66"/>
    <w:rsid w:val="05CD3FD8"/>
    <w:rsid w:val="05D9297D"/>
    <w:rsid w:val="05E57574"/>
    <w:rsid w:val="05EC0902"/>
    <w:rsid w:val="05F45A09"/>
    <w:rsid w:val="05F652DD"/>
    <w:rsid w:val="060519C4"/>
    <w:rsid w:val="060A7D56"/>
    <w:rsid w:val="06141C07"/>
    <w:rsid w:val="0616597F"/>
    <w:rsid w:val="06190FCC"/>
    <w:rsid w:val="062A5DF7"/>
    <w:rsid w:val="06400C4E"/>
    <w:rsid w:val="064216C6"/>
    <w:rsid w:val="064222D0"/>
    <w:rsid w:val="06436049"/>
    <w:rsid w:val="06497B03"/>
    <w:rsid w:val="064C75F3"/>
    <w:rsid w:val="06500E91"/>
    <w:rsid w:val="065564A8"/>
    <w:rsid w:val="06562220"/>
    <w:rsid w:val="065772B0"/>
    <w:rsid w:val="06620BC5"/>
    <w:rsid w:val="067508F8"/>
    <w:rsid w:val="06783F44"/>
    <w:rsid w:val="067D77AC"/>
    <w:rsid w:val="0680104B"/>
    <w:rsid w:val="06917099"/>
    <w:rsid w:val="06982838"/>
    <w:rsid w:val="069845E6"/>
    <w:rsid w:val="06A25465"/>
    <w:rsid w:val="06A64F55"/>
    <w:rsid w:val="06AE3E0A"/>
    <w:rsid w:val="06B37672"/>
    <w:rsid w:val="06BE0813"/>
    <w:rsid w:val="06C453DB"/>
    <w:rsid w:val="06C673A5"/>
    <w:rsid w:val="06D01FD2"/>
    <w:rsid w:val="06DE34BD"/>
    <w:rsid w:val="06E46DD6"/>
    <w:rsid w:val="06F04422"/>
    <w:rsid w:val="06F07F7E"/>
    <w:rsid w:val="06F7755F"/>
    <w:rsid w:val="06FA2477"/>
    <w:rsid w:val="07052878"/>
    <w:rsid w:val="07061550"/>
    <w:rsid w:val="071F0864"/>
    <w:rsid w:val="07287718"/>
    <w:rsid w:val="072916E2"/>
    <w:rsid w:val="072B545A"/>
    <w:rsid w:val="0730481F"/>
    <w:rsid w:val="073C04EF"/>
    <w:rsid w:val="075B159E"/>
    <w:rsid w:val="076117A3"/>
    <w:rsid w:val="077C5CB6"/>
    <w:rsid w:val="07832BA1"/>
    <w:rsid w:val="07866B35"/>
    <w:rsid w:val="0788465B"/>
    <w:rsid w:val="07915597"/>
    <w:rsid w:val="079500F6"/>
    <w:rsid w:val="07A1396F"/>
    <w:rsid w:val="07A21D49"/>
    <w:rsid w:val="07A34FF1"/>
    <w:rsid w:val="07AF1BE8"/>
    <w:rsid w:val="07B76CEE"/>
    <w:rsid w:val="07C00A58"/>
    <w:rsid w:val="07D17DB0"/>
    <w:rsid w:val="07D23B28"/>
    <w:rsid w:val="07D478A0"/>
    <w:rsid w:val="07E04497"/>
    <w:rsid w:val="07E07FF3"/>
    <w:rsid w:val="07E55609"/>
    <w:rsid w:val="07EA2C20"/>
    <w:rsid w:val="07FE491D"/>
    <w:rsid w:val="081B54CF"/>
    <w:rsid w:val="082C0402"/>
    <w:rsid w:val="082E5202"/>
    <w:rsid w:val="083B791F"/>
    <w:rsid w:val="083C7EB4"/>
    <w:rsid w:val="084037EA"/>
    <w:rsid w:val="08420CAE"/>
    <w:rsid w:val="0854278F"/>
    <w:rsid w:val="085B3B1D"/>
    <w:rsid w:val="08611362"/>
    <w:rsid w:val="0865674A"/>
    <w:rsid w:val="08713341"/>
    <w:rsid w:val="08747B08"/>
    <w:rsid w:val="08824CDD"/>
    <w:rsid w:val="08836BD0"/>
    <w:rsid w:val="0885365E"/>
    <w:rsid w:val="08867222"/>
    <w:rsid w:val="08892439"/>
    <w:rsid w:val="08921FE5"/>
    <w:rsid w:val="08931509"/>
    <w:rsid w:val="089C6599"/>
    <w:rsid w:val="089D7C92"/>
    <w:rsid w:val="08A059D4"/>
    <w:rsid w:val="08A91BD9"/>
    <w:rsid w:val="08AF5C17"/>
    <w:rsid w:val="08B5322E"/>
    <w:rsid w:val="08B767EB"/>
    <w:rsid w:val="08BB75F2"/>
    <w:rsid w:val="08CC52FD"/>
    <w:rsid w:val="08D062B9"/>
    <w:rsid w:val="08E41D65"/>
    <w:rsid w:val="08F0070A"/>
    <w:rsid w:val="08F55D20"/>
    <w:rsid w:val="08F875BE"/>
    <w:rsid w:val="091C32AD"/>
    <w:rsid w:val="092108C3"/>
    <w:rsid w:val="09271C46"/>
    <w:rsid w:val="093E020C"/>
    <w:rsid w:val="094921B7"/>
    <w:rsid w:val="095A5B83"/>
    <w:rsid w:val="095F3199"/>
    <w:rsid w:val="096322D5"/>
    <w:rsid w:val="096A04BC"/>
    <w:rsid w:val="096B3218"/>
    <w:rsid w:val="09750C0F"/>
    <w:rsid w:val="097D1872"/>
    <w:rsid w:val="098B21E0"/>
    <w:rsid w:val="09903C9B"/>
    <w:rsid w:val="09975029"/>
    <w:rsid w:val="099C263F"/>
    <w:rsid w:val="09A514F4"/>
    <w:rsid w:val="09B66216"/>
    <w:rsid w:val="09C474A0"/>
    <w:rsid w:val="09C556F2"/>
    <w:rsid w:val="09D122E9"/>
    <w:rsid w:val="09D75426"/>
    <w:rsid w:val="09DC6310"/>
    <w:rsid w:val="09E65669"/>
    <w:rsid w:val="09E66C8B"/>
    <w:rsid w:val="09FC4E8C"/>
    <w:rsid w:val="0A053D41"/>
    <w:rsid w:val="0A0B50CF"/>
    <w:rsid w:val="0A0F2E11"/>
    <w:rsid w:val="0A1341F3"/>
    <w:rsid w:val="0A1B7A08"/>
    <w:rsid w:val="0A1E12A6"/>
    <w:rsid w:val="0A2061C3"/>
    <w:rsid w:val="0A2749FB"/>
    <w:rsid w:val="0A2E773B"/>
    <w:rsid w:val="0A51267A"/>
    <w:rsid w:val="0A586566"/>
    <w:rsid w:val="0A59408D"/>
    <w:rsid w:val="0A634F0B"/>
    <w:rsid w:val="0A641F8C"/>
    <w:rsid w:val="0A685CAA"/>
    <w:rsid w:val="0A6F565E"/>
    <w:rsid w:val="0A7E3AF3"/>
    <w:rsid w:val="0A8F5D00"/>
    <w:rsid w:val="0A96708F"/>
    <w:rsid w:val="0A9D47E0"/>
    <w:rsid w:val="0AB97796"/>
    <w:rsid w:val="0AC830AC"/>
    <w:rsid w:val="0AEE6ECB"/>
    <w:rsid w:val="0AFA13CC"/>
    <w:rsid w:val="0B042881"/>
    <w:rsid w:val="0B044101"/>
    <w:rsid w:val="0B0E30C9"/>
    <w:rsid w:val="0B2226D0"/>
    <w:rsid w:val="0B24469B"/>
    <w:rsid w:val="0B2B5A29"/>
    <w:rsid w:val="0B422D73"/>
    <w:rsid w:val="0B610257"/>
    <w:rsid w:val="0B61769D"/>
    <w:rsid w:val="0B913B41"/>
    <w:rsid w:val="0B920E35"/>
    <w:rsid w:val="0B9A5A90"/>
    <w:rsid w:val="0BA23811"/>
    <w:rsid w:val="0BAD28E2"/>
    <w:rsid w:val="0BBD49C8"/>
    <w:rsid w:val="0BBE064B"/>
    <w:rsid w:val="0BBF2615"/>
    <w:rsid w:val="0BD00A94"/>
    <w:rsid w:val="0BD460C1"/>
    <w:rsid w:val="0BE856C8"/>
    <w:rsid w:val="0C063B21"/>
    <w:rsid w:val="0C0C2939"/>
    <w:rsid w:val="0C0F70F9"/>
    <w:rsid w:val="0C1C1816"/>
    <w:rsid w:val="0C234952"/>
    <w:rsid w:val="0C275F3F"/>
    <w:rsid w:val="0C2801BA"/>
    <w:rsid w:val="0C452B1A"/>
    <w:rsid w:val="0C4D19CF"/>
    <w:rsid w:val="0C566AD6"/>
    <w:rsid w:val="0C621E43"/>
    <w:rsid w:val="0C637445"/>
    <w:rsid w:val="0C7541E0"/>
    <w:rsid w:val="0C7B653C"/>
    <w:rsid w:val="0C8A49D1"/>
    <w:rsid w:val="0C945E53"/>
    <w:rsid w:val="0CA710DF"/>
    <w:rsid w:val="0CAB12CB"/>
    <w:rsid w:val="0CAF4438"/>
    <w:rsid w:val="0CBB2DDD"/>
    <w:rsid w:val="0CBC3D48"/>
    <w:rsid w:val="0CCC0564"/>
    <w:rsid w:val="0CD93263"/>
    <w:rsid w:val="0CDD0FA5"/>
    <w:rsid w:val="0CEB1914"/>
    <w:rsid w:val="0CF70C73"/>
    <w:rsid w:val="0CFF29B0"/>
    <w:rsid w:val="0D044784"/>
    <w:rsid w:val="0D1D3A97"/>
    <w:rsid w:val="0D2A39FA"/>
    <w:rsid w:val="0D3355BC"/>
    <w:rsid w:val="0D442DD2"/>
    <w:rsid w:val="0D4903E8"/>
    <w:rsid w:val="0D501777"/>
    <w:rsid w:val="0D52320D"/>
    <w:rsid w:val="0D6121DC"/>
    <w:rsid w:val="0D645222"/>
    <w:rsid w:val="0D6945E7"/>
    <w:rsid w:val="0D6B4803"/>
    <w:rsid w:val="0D72249E"/>
    <w:rsid w:val="0D7A0D99"/>
    <w:rsid w:val="0D7C07BE"/>
    <w:rsid w:val="0D7F205C"/>
    <w:rsid w:val="0DA93D34"/>
    <w:rsid w:val="0DB43078"/>
    <w:rsid w:val="0DC42165"/>
    <w:rsid w:val="0DCF4D92"/>
    <w:rsid w:val="0DE3413F"/>
    <w:rsid w:val="0DE819AF"/>
    <w:rsid w:val="0DFC36AD"/>
    <w:rsid w:val="0E0013EF"/>
    <w:rsid w:val="0E012A71"/>
    <w:rsid w:val="0E1F1149"/>
    <w:rsid w:val="0E2055ED"/>
    <w:rsid w:val="0E30199A"/>
    <w:rsid w:val="0E39045D"/>
    <w:rsid w:val="0E4A266A"/>
    <w:rsid w:val="0E4B63E2"/>
    <w:rsid w:val="0E516288"/>
    <w:rsid w:val="0E545297"/>
    <w:rsid w:val="0E611762"/>
    <w:rsid w:val="0E7E3A4D"/>
    <w:rsid w:val="0E83792A"/>
    <w:rsid w:val="0E9534FA"/>
    <w:rsid w:val="0EA45FBC"/>
    <w:rsid w:val="0EAE1581"/>
    <w:rsid w:val="0ECC7523"/>
    <w:rsid w:val="0ED14B39"/>
    <w:rsid w:val="0ED463D8"/>
    <w:rsid w:val="0ED924DE"/>
    <w:rsid w:val="0ED939EE"/>
    <w:rsid w:val="0EDE2DB2"/>
    <w:rsid w:val="0EEE7499"/>
    <w:rsid w:val="0EF16F8A"/>
    <w:rsid w:val="0EF80318"/>
    <w:rsid w:val="0EFC50C1"/>
    <w:rsid w:val="0F096081"/>
    <w:rsid w:val="0F1862C4"/>
    <w:rsid w:val="0F1D7D7F"/>
    <w:rsid w:val="0F205179"/>
    <w:rsid w:val="0F3F5F47"/>
    <w:rsid w:val="0F421593"/>
    <w:rsid w:val="0F474DFC"/>
    <w:rsid w:val="0F490B74"/>
    <w:rsid w:val="0F53065C"/>
    <w:rsid w:val="0F56503F"/>
    <w:rsid w:val="0F615EBD"/>
    <w:rsid w:val="0F753717"/>
    <w:rsid w:val="0F786D63"/>
    <w:rsid w:val="0F883BFB"/>
    <w:rsid w:val="0F8E2A2A"/>
    <w:rsid w:val="0F956327"/>
    <w:rsid w:val="0F9A13CF"/>
    <w:rsid w:val="0FA43FFC"/>
    <w:rsid w:val="0FA97A45"/>
    <w:rsid w:val="0FAB7138"/>
    <w:rsid w:val="0FAC2EB1"/>
    <w:rsid w:val="0FAE6C29"/>
    <w:rsid w:val="0FBC7598"/>
    <w:rsid w:val="0FBD0C1A"/>
    <w:rsid w:val="0FBD67DF"/>
    <w:rsid w:val="0FC04E41"/>
    <w:rsid w:val="0FC226D4"/>
    <w:rsid w:val="0FC44457"/>
    <w:rsid w:val="0FCD3553"/>
    <w:rsid w:val="0FEB5AE1"/>
    <w:rsid w:val="0FEE34C9"/>
    <w:rsid w:val="0FF0763E"/>
    <w:rsid w:val="0FF22FB9"/>
    <w:rsid w:val="10066A65"/>
    <w:rsid w:val="10090303"/>
    <w:rsid w:val="1021564D"/>
    <w:rsid w:val="10234FF5"/>
    <w:rsid w:val="10282537"/>
    <w:rsid w:val="10284C2D"/>
    <w:rsid w:val="1034712E"/>
    <w:rsid w:val="103A04BC"/>
    <w:rsid w:val="104344BA"/>
    <w:rsid w:val="104C3650"/>
    <w:rsid w:val="10526896"/>
    <w:rsid w:val="106043C7"/>
    <w:rsid w:val="10606175"/>
    <w:rsid w:val="106A34F3"/>
    <w:rsid w:val="10726B00"/>
    <w:rsid w:val="107A6B0B"/>
    <w:rsid w:val="107F4121"/>
    <w:rsid w:val="1088747A"/>
    <w:rsid w:val="108D2CE2"/>
    <w:rsid w:val="10993435"/>
    <w:rsid w:val="10A4546E"/>
    <w:rsid w:val="10A544F9"/>
    <w:rsid w:val="10A73DA4"/>
    <w:rsid w:val="10AC760C"/>
    <w:rsid w:val="10AD6EE0"/>
    <w:rsid w:val="10B169D0"/>
    <w:rsid w:val="10B262A5"/>
    <w:rsid w:val="10CC55B8"/>
    <w:rsid w:val="10CD00E1"/>
    <w:rsid w:val="10CF32FA"/>
    <w:rsid w:val="10D10E21"/>
    <w:rsid w:val="10D95F27"/>
    <w:rsid w:val="10DD77C5"/>
    <w:rsid w:val="10DE353E"/>
    <w:rsid w:val="10E16B8A"/>
    <w:rsid w:val="10E2302E"/>
    <w:rsid w:val="10FE773C"/>
    <w:rsid w:val="11082369"/>
    <w:rsid w:val="11146D91"/>
    <w:rsid w:val="111D5E14"/>
    <w:rsid w:val="111D7D2A"/>
    <w:rsid w:val="112D6151"/>
    <w:rsid w:val="11382C4E"/>
    <w:rsid w:val="11555572"/>
    <w:rsid w:val="116D138E"/>
    <w:rsid w:val="118063A3"/>
    <w:rsid w:val="11867E5D"/>
    <w:rsid w:val="118C4D48"/>
    <w:rsid w:val="118E0AC0"/>
    <w:rsid w:val="11A46535"/>
    <w:rsid w:val="11AC7198"/>
    <w:rsid w:val="11B57064"/>
    <w:rsid w:val="11B85B3D"/>
    <w:rsid w:val="11C12C43"/>
    <w:rsid w:val="11C24C0D"/>
    <w:rsid w:val="11D24E50"/>
    <w:rsid w:val="11D54941"/>
    <w:rsid w:val="11EB4164"/>
    <w:rsid w:val="120314AE"/>
    <w:rsid w:val="120D5E88"/>
    <w:rsid w:val="121675E9"/>
    <w:rsid w:val="121F3E0E"/>
    <w:rsid w:val="12296A3A"/>
    <w:rsid w:val="122D652B"/>
    <w:rsid w:val="122D73E6"/>
    <w:rsid w:val="12301B77"/>
    <w:rsid w:val="12374163"/>
    <w:rsid w:val="12386C7D"/>
    <w:rsid w:val="123D6042"/>
    <w:rsid w:val="124268B7"/>
    <w:rsid w:val="125C03AD"/>
    <w:rsid w:val="126E6D2B"/>
    <w:rsid w:val="127203E1"/>
    <w:rsid w:val="127C300E"/>
    <w:rsid w:val="12832088"/>
    <w:rsid w:val="128B14A3"/>
    <w:rsid w:val="128F2D41"/>
    <w:rsid w:val="12940D55"/>
    <w:rsid w:val="12A54313"/>
    <w:rsid w:val="12B23899"/>
    <w:rsid w:val="12B24C82"/>
    <w:rsid w:val="12B5207C"/>
    <w:rsid w:val="12BC78AF"/>
    <w:rsid w:val="12C050AE"/>
    <w:rsid w:val="12C10A21"/>
    <w:rsid w:val="12C401AC"/>
    <w:rsid w:val="12E0534B"/>
    <w:rsid w:val="12ED3C46"/>
    <w:rsid w:val="12F62DC0"/>
    <w:rsid w:val="12FB2185"/>
    <w:rsid w:val="13031039"/>
    <w:rsid w:val="13041331"/>
    <w:rsid w:val="130D3C66"/>
    <w:rsid w:val="130E6C95"/>
    <w:rsid w:val="1315735E"/>
    <w:rsid w:val="13255454"/>
    <w:rsid w:val="132B63FE"/>
    <w:rsid w:val="1332191F"/>
    <w:rsid w:val="1347361C"/>
    <w:rsid w:val="1356385F"/>
    <w:rsid w:val="13580BFC"/>
    <w:rsid w:val="1360023A"/>
    <w:rsid w:val="136F4921"/>
    <w:rsid w:val="13750189"/>
    <w:rsid w:val="13765CAF"/>
    <w:rsid w:val="137D703E"/>
    <w:rsid w:val="139154C9"/>
    <w:rsid w:val="139660BD"/>
    <w:rsid w:val="139D148E"/>
    <w:rsid w:val="13A520F1"/>
    <w:rsid w:val="13A740BB"/>
    <w:rsid w:val="13A97E33"/>
    <w:rsid w:val="13B011C1"/>
    <w:rsid w:val="13B80076"/>
    <w:rsid w:val="13B955A2"/>
    <w:rsid w:val="13BF31B2"/>
    <w:rsid w:val="13C7650B"/>
    <w:rsid w:val="13D2309B"/>
    <w:rsid w:val="13DF1AA7"/>
    <w:rsid w:val="13E175CD"/>
    <w:rsid w:val="13E22ACD"/>
    <w:rsid w:val="140908D1"/>
    <w:rsid w:val="140B289C"/>
    <w:rsid w:val="141637B3"/>
    <w:rsid w:val="142E0338"/>
    <w:rsid w:val="142F1893"/>
    <w:rsid w:val="14302302"/>
    <w:rsid w:val="14535FF1"/>
    <w:rsid w:val="145558C5"/>
    <w:rsid w:val="145C6C53"/>
    <w:rsid w:val="14621322"/>
    <w:rsid w:val="147F6DE6"/>
    <w:rsid w:val="14830684"/>
    <w:rsid w:val="14885C9A"/>
    <w:rsid w:val="148E0D91"/>
    <w:rsid w:val="14997EA7"/>
    <w:rsid w:val="149C1746"/>
    <w:rsid w:val="149E726C"/>
    <w:rsid w:val="14A10B0A"/>
    <w:rsid w:val="14B52807"/>
    <w:rsid w:val="14B73491"/>
    <w:rsid w:val="14B922F8"/>
    <w:rsid w:val="14C03686"/>
    <w:rsid w:val="14C111AC"/>
    <w:rsid w:val="14C43187"/>
    <w:rsid w:val="14D902A4"/>
    <w:rsid w:val="14E54E9B"/>
    <w:rsid w:val="14E93623"/>
    <w:rsid w:val="15015A4D"/>
    <w:rsid w:val="15107A3E"/>
    <w:rsid w:val="1517701E"/>
    <w:rsid w:val="152E6E68"/>
    <w:rsid w:val="152F25BA"/>
    <w:rsid w:val="153320AA"/>
    <w:rsid w:val="15347E88"/>
    <w:rsid w:val="1537321C"/>
    <w:rsid w:val="15437E13"/>
    <w:rsid w:val="15475B55"/>
    <w:rsid w:val="154A0419"/>
    <w:rsid w:val="155C2C83"/>
    <w:rsid w:val="156758B0"/>
    <w:rsid w:val="1568787A"/>
    <w:rsid w:val="157D4E69"/>
    <w:rsid w:val="15883A78"/>
    <w:rsid w:val="15915022"/>
    <w:rsid w:val="1598015F"/>
    <w:rsid w:val="15A07014"/>
    <w:rsid w:val="15B64A89"/>
    <w:rsid w:val="15BD7BC5"/>
    <w:rsid w:val="15BF393E"/>
    <w:rsid w:val="15D078F9"/>
    <w:rsid w:val="15D13671"/>
    <w:rsid w:val="15D32F45"/>
    <w:rsid w:val="15EF58A5"/>
    <w:rsid w:val="160077F4"/>
    <w:rsid w:val="16007AB2"/>
    <w:rsid w:val="16070E41"/>
    <w:rsid w:val="16103CC1"/>
    <w:rsid w:val="16161084"/>
    <w:rsid w:val="1618304E"/>
    <w:rsid w:val="1619640D"/>
    <w:rsid w:val="161A0B74"/>
    <w:rsid w:val="162560FE"/>
    <w:rsid w:val="16472A6B"/>
    <w:rsid w:val="164D0F49"/>
    <w:rsid w:val="165C118C"/>
    <w:rsid w:val="1663076D"/>
    <w:rsid w:val="167357F3"/>
    <w:rsid w:val="16747AFF"/>
    <w:rsid w:val="16831D55"/>
    <w:rsid w:val="1686445B"/>
    <w:rsid w:val="168D077F"/>
    <w:rsid w:val="16B03286"/>
    <w:rsid w:val="16B57BD0"/>
    <w:rsid w:val="16C17241"/>
    <w:rsid w:val="16C84A74"/>
    <w:rsid w:val="16CA259A"/>
    <w:rsid w:val="16D2144F"/>
    <w:rsid w:val="16EF2001"/>
    <w:rsid w:val="171001C9"/>
    <w:rsid w:val="17172807"/>
    <w:rsid w:val="171B1048"/>
    <w:rsid w:val="17231CAA"/>
    <w:rsid w:val="17264959"/>
    <w:rsid w:val="17326391"/>
    <w:rsid w:val="173B3BB9"/>
    <w:rsid w:val="173E6AE4"/>
    <w:rsid w:val="174A36DB"/>
    <w:rsid w:val="17793FC0"/>
    <w:rsid w:val="177B3894"/>
    <w:rsid w:val="17892735"/>
    <w:rsid w:val="178C784F"/>
    <w:rsid w:val="17AC6144"/>
    <w:rsid w:val="17C23271"/>
    <w:rsid w:val="17EE6D78"/>
    <w:rsid w:val="17FA5823"/>
    <w:rsid w:val="17FD24FB"/>
    <w:rsid w:val="17FD51E2"/>
    <w:rsid w:val="180102EB"/>
    <w:rsid w:val="18027B12"/>
    <w:rsid w:val="183323C1"/>
    <w:rsid w:val="18357EE7"/>
    <w:rsid w:val="183879D7"/>
    <w:rsid w:val="183B3375"/>
    <w:rsid w:val="183D0B4A"/>
    <w:rsid w:val="183F5F8E"/>
    <w:rsid w:val="18583BD5"/>
    <w:rsid w:val="187529D9"/>
    <w:rsid w:val="18786026"/>
    <w:rsid w:val="18870FBE"/>
    <w:rsid w:val="189B7D05"/>
    <w:rsid w:val="18A1732B"/>
    <w:rsid w:val="18B43502"/>
    <w:rsid w:val="18BC5F12"/>
    <w:rsid w:val="18CC3E8C"/>
    <w:rsid w:val="18E37943"/>
    <w:rsid w:val="18F0644B"/>
    <w:rsid w:val="190D2C12"/>
    <w:rsid w:val="1912263B"/>
    <w:rsid w:val="191C10A7"/>
    <w:rsid w:val="191F1517"/>
    <w:rsid w:val="191F64A1"/>
    <w:rsid w:val="192561AE"/>
    <w:rsid w:val="192B0E79"/>
    <w:rsid w:val="192F2B88"/>
    <w:rsid w:val="19377C8F"/>
    <w:rsid w:val="194B54E8"/>
    <w:rsid w:val="194D74B2"/>
    <w:rsid w:val="194F4FD8"/>
    <w:rsid w:val="19601E2E"/>
    <w:rsid w:val="19654CA9"/>
    <w:rsid w:val="19670574"/>
    <w:rsid w:val="1968609A"/>
    <w:rsid w:val="19707D4F"/>
    <w:rsid w:val="197131A1"/>
    <w:rsid w:val="197267B0"/>
    <w:rsid w:val="198945B7"/>
    <w:rsid w:val="198F26DB"/>
    <w:rsid w:val="199E386A"/>
    <w:rsid w:val="199E65F2"/>
    <w:rsid w:val="19C86B39"/>
    <w:rsid w:val="19CD414F"/>
    <w:rsid w:val="19CE23A1"/>
    <w:rsid w:val="19D64B76"/>
    <w:rsid w:val="19D674A8"/>
    <w:rsid w:val="19D8350C"/>
    <w:rsid w:val="19DC491F"/>
    <w:rsid w:val="19DF45AE"/>
    <w:rsid w:val="19F13AA4"/>
    <w:rsid w:val="19F93196"/>
    <w:rsid w:val="19FD4A34"/>
    <w:rsid w:val="19FD67E3"/>
    <w:rsid w:val="1A0758B3"/>
    <w:rsid w:val="1A0A53A3"/>
    <w:rsid w:val="1A1041D0"/>
    <w:rsid w:val="1A3366A8"/>
    <w:rsid w:val="1A385085"/>
    <w:rsid w:val="1A393593"/>
    <w:rsid w:val="1A497C7A"/>
    <w:rsid w:val="1A4F2DB6"/>
    <w:rsid w:val="1A587EBD"/>
    <w:rsid w:val="1A5E1D51"/>
    <w:rsid w:val="1A606D71"/>
    <w:rsid w:val="1A756F96"/>
    <w:rsid w:val="1A7D3947"/>
    <w:rsid w:val="1A840CB2"/>
    <w:rsid w:val="1A8766C5"/>
    <w:rsid w:val="1A887069"/>
    <w:rsid w:val="1A954C6D"/>
    <w:rsid w:val="1AC35C7E"/>
    <w:rsid w:val="1AD67034"/>
    <w:rsid w:val="1ADF238C"/>
    <w:rsid w:val="1AE23C2A"/>
    <w:rsid w:val="1AE37694"/>
    <w:rsid w:val="1AF51BB0"/>
    <w:rsid w:val="1AF5395E"/>
    <w:rsid w:val="1AF8344E"/>
    <w:rsid w:val="1AF866CC"/>
    <w:rsid w:val="1AF9372F"/>
    <w:rsid w:val="1B087B35"/>
    <w:rsid w:val="1B19589E"/>
    <w:rsid w:val="1B1A1616"/>
    <w:rsid w:val="1B1C538E"/>
    <w:rsid w:val="1B280A4C"/>
    <w:rsid w:val="1B285AE1"/>
    <w:rsid w:val="1B300E3A"/>
    <w:rsid w:val="1B391A9C"/>
    <w:rsid w:val="1B455918"/>
    <w:rsid w:val="1B6573E8"/>
    <w:rsid w:val="1B6603B7"/>
    <w:rsid w:val="1B6D5BEA"/>
    <w:rsid w:val="1B707488"/>
    <w:rsid w:val="1B7817DC"/>
    <w:rsid w:val="1B8B42C2"/>
    <w:rsid w:val="1B9A1D61"/>
    <w:rsid w:val="1B9A3A2C"/>
    <w:rsid w:val="1BB75D4F"/>
    <w:rsid w:val="1BBE4697"/>
    <w:rsid w:val="1BE22134"/>
    <w:rsid w:val="1BEA723A"/>
    <w:rsid w:val="1C062416"/>
    <w:rsid w:val="1C2D7127"/>
    <w:rsid w:val="1C36422E"/>
    <w:rsid w:val="1C4E1577"/>
    <w:rsid w:val="1C6074FD"/>
    <w:rsid w:val="1C7B268B"/>
    <w:rsid w:val="1C7E25A5"/>
    <w:rsid w:val="1C8054A9"/>
    <w:rsid w:val="1C827473"/>
    <w:rsid w:val="1C856F63"/>
    <w:rsid w:val="1C8E5E18"/>
    <w:rsid w:val="1C960037"/>
    <w:rsid w:val="1CBD66FD"/>
    <w:rsid w:val="1CD74F1F"/>
    <w:rsid w:val="1CD75A11"/>
    <w:rsid w:val="1CD777BF"/>
    <w:rsid w:val="1CD87093"/>
    <w:rsid w:val="1CE04199"/>
    <w:rsid w:val="1CE65C54"/>
    <w:rsid w:val="1CEA414D"/>
    <w:rsid w:val="1CF87F42"/>
    <w:rsid w:val="1CFC7225"/>
    <w:rsid w:val="1CFF6D16"/>
    <w:rsid w:val="1D021802"/>
    <w:rsid w:val="1D036806"/>
    <w:rsid w:val="1D293D92"/>
    <w:rsid w:val="1D2B3667"/>
    <w:rsid w:val="1D326D3B"/>
    <w:rsid w:val="1D4166FC"/>
    <w:rsid w:val="1D4E55A7"/>
    <w:rsid w:val="1D540E0F"/>
    <w:rsid w:val="1D6B43AB"/>
    <w:rsid w:val="1D6F4B57"/>
    <w:rsid w:val="1D807E56"/>
    <w:rsid w:val="1D8F1E47"/>
    <w:rsid w:val="1D94745E"/>
    <w:rsid w:val="1DA33B45"/>
    <w:rsid w:val="1DB47B00"/>
    <w:rsid w:val="1DBC69B5"/>
    <w:rsid w:val="1DC615E1"/>
    <w:rsid w:val="1DD957B9"/>
    <w:rsid w:val="1DE859FC"/>
    <w:rsid w:val="1DFB572F"/>
    <w:rsid w:val="1E11752C"/>
    <w:rsid w:val="1E195BB5"/>
    <w:rsid w:val="1E197963"/>
    <w:rsid w:val="1E1D3E3A"/>
    <w:rsid w:val="1E215696"/>
    <w:rsid w:val="1E234C86"/>
    <w:rsid w:val="1E2527AC"/>
    <w:rsid w:val="1E430E84"/>
    <w:rsid w:val="1E4333F9"/>
    <w:rsid w:val="1E4A0464"/>
    <w:rsid w:val="1E5D3CF4"/>
    <w:rsid w:val="1E6908EA"/>
    <w:rsid w:val="1E6E5F01"/>
    <w:rsid w:val="1E761259"/>
    <w:rsid w:val="1E766B63"/>
    <w:rsid w:val="1E796654"/>
    <w:rsid w:val="1E8F7C25"/>
    <w:rsid w:val="1E953BE1"/>
    <w:rsid w:val="1E990AA4"/>
    <w:rsid w:val="1E9A4F48"/>
    <w:rsid w:val="1EA00084"/>
    <w:rsid w:val="1EA35913"/>
    <w:rsid w:val="1EB678A8"/>
    <w:rsid w:val="1EB92C3E"/>
    <w:rsid w:val="1ED146E2"/>
    <w:rsid w:val="1ED958AE"/>
    <w:rsid w:val="1EF04B68"/>
    <w:rsid w:val="1F0D396C"/>
    <w:rsid w:val="1F15637C"/>
    <w:rsid w:val="1F19312F"/>
    <w:rsid w:val="1F1A3993"/>
    <w:rsid w:val="1F2B5718"/>
    <w:rsid w:val="1F2D5FFE"/>
    <w:rsid w:val="1F303A5C"/>
    <w:rsid w:val="1F313B6C"/>
    <w:rsid w:val="1F3709E9"/>
    <w:rsid w:val="1F441ED2"/>
    <w:rsid w:val="1F443106"/>
    <w:rsid w:val="1F533349"/>
    <w:rsid w:val="1F58244E"/>
    <w:rsid w:val="1F5A46D7"/>
    <w:rsid w:val="1F821614"/>
    <w:rsid w:val="1F8F3D24"/>
    <w:rsid w:val="1F903C55"/>
    <w:rsid w:val="1F9C01BD"/>
    <w:rsid w:val="1F9E45C4"/>
    <w:rsid w:val="1FA3607E"/>
    <w:rsid w:val="1FA600F5"/>
    <w:rsid w:val="1FA871F0"/>
    <w:rsid w:val="1FA95965"/>
    <w:rsid w:val="1FB27E84"/>
    <w:rsid w:val="1FBC2C9C"/>
    <w:rsid w:val="1FC6628A"/>
    <w:rsid w:val="1FCA4916"/>
    <w:rsid w:val="1FD72E25"/>
    <w:rsid w:val="1FDC64B6"/>
    <w:rsid w:val="1FE3647B"/>
    <w:rsid w:val="1FE50445"/>
    <w:rsid w:val="1FEF6BCD"/>
    <w:rsid w:val="1FF95C9E"/>
    <w:rsid w:val="200975F7"/>
    <w:rsid w:val="201A79C2"/>
    <w:rsid w:val="20241681"/>
    <w:rsid w:val="20270A5D"/>
    <w:rsid w:val="205C7FDB"/>
    <w:rsid w:val="20621A95"/>
    <w:rsid w:val="206653F6"/>
    <w:rsid w:val="206A35BB"/>
    <w:rsid w:val="20735A50"/>
    <w:rsid w:val="20771468"/>
    <w:rsid w:val="20825C93"/>
    <w:rsid w:val="20875058"/>
    <w:rsid w:val="208F6602"/>
    <w:rsid w:val="20931C4F"/>
    <w:rsid w:val="20971013"/>
    <w:rsid w:val="209F6845"/>
    <w:rsid w:val="20A53730"/>
    <w:rsid w:val="20A83220"/>
    <w:rsid w:val="20BB498C"/>
    <w:rsid w:val="20BC4690"/>
    <w:rsid w:val="20C20786"/>
    <w:rsid w:val="20CF4C51"/>
    <w:rsid w:val="20E22BD6"/>
    <w:rsid w:val="20FF789C"/>
    <w:rsid w:val="21042B4C"/>
    <w:rsid w:val="210D4EFE"/>
    <w:rsid w:val="21132D8F"/>
    <w:rsid w:val="212432DF"/>
    <w:rsid w:val="212E7BC9"/>
    <w:rsid w:val="21350F58"/>
    <w:rsid w:val="213A031C"/>
    <w:rsid w:val="213B5E42"/>
    <w:rsid w:val="21521B0A"/>
    <w:rsid w:val="215A276C"/>
    <w:rsid w:val="215D400B"/>
    <w:rsid w:val="216058A9"/>
    <w:rsid w:val="2181181C"/>
    <w:rsid w:val="21885798"/>
    <w:rsid w:val="21891265"/>
    <w:rsid w:val="21A525BC"/>
    <w:rsid w:val="21AB746C"/>
    <w:rsid w:val="21B04A82"/>
    <w:rsid w:val="21B76AE0"/>
    <w:rsid w:val="21BA76AF"/>
    <w:rsid w:val="21BE0F4D"/>
    <w:rsid w:val="21BF4CC5"/>
    <w:rsid w:val="21C173F0"/>
    <w:rsid w:val="21C66054"/>
    <w:rsid w:val="21CB366A"/>
    <w:rsid w:val="21CD6779"/>
    <w:rsid w:val="21DA1AFF"/>
    <w:rsid w:val="21DC7625"/>
    <w:rsid w:val="21DE60F4"/>
    <w:rsid w:val="21E32217"/>
    <w:rsid w:val="21E93AF0"/>
    <w:rsid w:val="21F11323"/>
    <w:rsid w:val="21FE134A"/>
    <w:rsid w:val="22032E04"/>
    <w:rsid w:val="2208041A"/>
    <w:rsid w:val="220821C8"/>
    <w:rsid w:val="220F17A9"/>
    <w:rsid w:val="2210107D"/>
    <w:rsid w:val="222075E8"/>
    <w:rsid w:val="22280ABD"/>
    <w:rsid w:val="22350AE4"/>
    <w:rsid w:val="22364F87"/>
    <w:rsid w:val="223E053E"/>
    <w:rsid w:val="224156DA"/>
    <w:rsid w:val="22853819"/>
    <w:rsid w:val="228D1C64"/>
    <w:rsid w:val="22910410"/>
    <w:rsid w:val="22AF6AE8"/>
    <w:rsid w:val="22C97BAA"/>
    <w:rsid w:val="22D81D21"/>
    <w:rsid w:val="22E20C6B"/>
    <w:rsid w:val="22E26EBD"/>
    <w:rsid w:val="22E6394F"/>
    <w:rsid w:val="22E83DA8"/>
    <w:rsid w:val="22F12B79"/>
    <w:rsid w:val="22F866E1"/>
    <w:rsid w:val="2305495A"/>
    <w:rsid w:val="23067940"/>
    <w:rsid w:val="23076924"/>
    <w:rsid w:val="230A1F70"/>
    <w:rsid w:val="230A4AA3"/>
    <w:rsid w:val="2329689A"/>
    <w:rsid w:val="23360FB7"/>
    <w:rsid w:val="233B0EFB"/>
    <w:rsid w:val="233E161A"/>
    <w:rsid w:val="2342795C"/>
    <w:rsid w:val="23445482"/>
    <w:rsid w:val="23476D20"/>
    <w:rsid w:val="23532C35"/>
    <w:rsid w:val="23586A43"/>
    <w:rsid w:val="23594841"/>
    <w:rsid w:val="236271B7"/>
    <w:rsid w:val="2366364A"/>
    <w:rsid w:val="23751ADF"/>
    <w:rsid w:val="23A91789"/>
    <w:rsid w:val="23AB3753"/>
    <w:rsid w:val="23AE4FF1"/>
    <w:rsid w:val="23AE6D9F"/>
    <w:rsid w:val="23B87C1E"/>
    <w:rsid w:val="23C1399B"/>
    <w:rsid w:val="23C6058D"/>
    <w:rsid w:val="23CF684B"/>
    <w:rsid w:val="23D507D0"/>
    <w:rsid w:val="23D67228"/>
    <w:rsid w:val="23E6478B"/>
    <w:rsid w:val="23ED1676"/>
    <w:rsid w:val="24082FAE"/>
    <w:rsid w:val="2413138B"/>
    <w:rsid w:val="241430A6"/>
    <w:rsid w:val="242D23BA"/>
    <w:rsid w:val="24386EC6"/>
    <w:rsid w:val="243948BB"/>
    <w:rsid w:val="24415E66"/>
    <w:rsid w:val="24480FA2"/>
    <w:rsid w:val="246307CB"/>
    <w:rsid w:val="2483647E"/>
    <w:rsid w:val="248B6AAB"/>
    <w:rsid w:val="2492046F"/>
    <w:rsid w:val="249D7540"/>
    <w:rsid w:val="249E0BC2"/>
    <w:rsid w:val="24AA3A0B"/>
    <w:rsid w:val="24B77ED6"/>
    <w:rsid w:val="24BB79C6"/>
    <w:rsid w:val="24D82D7A"/>
    <w:rsid w:val="24DD5B8E"/>
    <w:rsid w:val="24E0742D"/>
    <w:rsid w:val="24EA2059"/>
    <w:rsid w:val="24F07402"/>
    <w:rsid w:val="24F86524"/>
    <w:rsid w:val="24FD1D8D"/>
    <w:rsid w:val="25074667"/>
    <w:rsid w:val="250A44A9"/>
    <w:rsid w:val="251A293E"/>
    <w:rsid w:val="251A5E6D"/>
    <w:rsid w:val="25322394"/>
    <w:rsid w:val="25423C43"/>
    <w:rsid w:val="25457290"/>
    <w:rsid w:val="25493139"/>
    <w:rsid w:val="25513E86"/>
    <w:rsid w:val="25537BFE"/>
    <w:rsid w:val="255816B9"/>
    <w:rsid w:val="255B2F57"/>
    <w:rsid w:val="256C23F4"/>
    <w:rsid w:val="25710085"/>
    <w:rsid w:val="2580476C"/>
    <w:rsid w:val="258129BE"/>
    <w:rsid w:val="25853522"/>
    <w:rsid w:val="259A0181"/>
    <w:rsid w:val="259F4BF2"/>
    <w:rsid w:val="25A466AC"/>
    <w:rsid w:val="25B508B9"/>
    <w:rsid w:val="25C1100C"/>
    <w:rsid w:val="25C66622"/>
    <w:rsid w:val="25C96113"/>
    <w:rsid w:val="25D56865"/>
    <w:rsid w:val="25D7082F"/>
    <w:rsid w:val="25DF1492"/>
    <w:rsid w:val="25EA3AAD"/>
    <w:rsid w:val="2601765A"/>
    <w:rsid w:val="26024C0D"/>
    <w:rsid w:val="26031625"/>
    <w:rsid w:val="2604714B"/>
    <w:rsid w:val="26062EC3"/>
    <w:rsid w:val="260C44CD"/>
    <w:rsid w:val="260D4251"/>
    <w:rsid w:val="2610789E"/>
    <w:rsid w:val="261D2592"/>
    <w:rsid w:val="26213859"/>
    <w:rsid w:val="262B2929"/>
    <w:rsid w:val="262E41C8"/>
    <w:rsid w:val="263537A8"/>
    <w:rsid w:val="263833AF"/>
    <w:rsid w:val="263C0693"/>
    <w:rsid w:val="263E265D"/>
    <w:rsid w:val="264A7253"/>
    <w:rsid w:val="265005E2"/>
    <w:rsid w:val="26561E85"/>
    <w:rsid w:val="26683591"/>
    <w:rsid w:val="26751DF6"/>
    <w:rsid w:val="267B5C7C"/>
    <w:rsid w:val="267F67D1"/>
    <w:rsid w:val="26936BE5"/>
    <w:rsid w:val="26955FF5"/>
    <w:rsid w:val="26A36A3A"/>
    <w:rsid w:val="26A83F7A"/>
    <w:rsid w:val="26B13852"/>
    <w:rsid w:val="26D32E9B"/>
    <w:rsid w:val="26DB60FD"/>
    <w:rsid w:val="26E2170A"/>
    <w:rsid w:val="26F23447"/>
    <w:rsid w:val="26F32FB5"/>
    <w:rsid w:val="26F61189"/>
    <w:rsid w:val="27035654"/>
    <w:rsid w:val="271A78A6"/>
    <w:rsid w:val="271B2A42"/>
    <w:rsid w:val="271D02D7"/>
    <w:rsid w:val="272C0707"/>
    <w:rsid w:val="27351CB2"/>
    <w:rsid w:val="27363334"/>
    <w:rsid w:val="27433CA3"/>
    <w:rsid w:val="27561209"/>
    <w:rsid w:val="276460F3"/>
    <w:rsid w:val="276E6F72"/>
    <w:rsid w:val="27716A62"/>
    <w:rsid w:val="277327DA"/>
    <w:rsid w:val="277D5407"/>
    <w:rsid w:val="279339AD"/>
    <w:rsid w:val="279D1605"/>
    <w:rsid w:val="279F537D"/>
    <w:rsid w:val="27A42993"/>
    <w:rsid w:val="27BA3F65"/>
    <w:rsid w:val="27BD3A55"/>
    <w:rsid w:val="27BE3E87"/>
    <w:rsid w:val="27C272BD"/>
    <w:rsid w:val="27D019DA"/>
    <w:rsid w:val="27D25752"/>
    <w:rsid w:val="27D50D9F"/>
    <w:rsid w:val="27D81EB3"/>
    <w:rsid w:val="27DA0163"/>
    <w:rsid w:val="27E06830"/>
    <w:rsid w:val="27EB411E"/>
    <w:rsid w:val="27FC27CF"/>
    <w:rsid w:val="280D12AA"/>
    <w:rsid w:val="280F7F80"/>
    <w:rsid w:val="28180C8B"/>
    <w:rsid w:val="282D0BDB"/>
    <w:rsid w:val="284657F9"/>
    <w:rsid w:val="284D302B"/>
    <w:rsid w:val="284D76B0"/>
    <w:rsid w:val="286D0FD7"/>
    <w:rsid w:val="286E28EE"/>
    <w:rsid w:val="28702875"/>
    <w:rsid w:val="2871260E"/>
    <w:rsid w:val="2874680A"/>
    <w:rsid w:val="287A6F78"/>
    <w:rsid w:val="2890116A"/>
    <w:rsid w:val="28940C5A"/>
    <w:rsid w:val="289E52E0"/>
    <w:rsid w:val="28CF1C92"/>
    <w:rsid w:val="28D728F5"/>
    <w:rsid w:val="28D948BF"/>
    <w:rsid w:val="28E461CE"/>
    <w:rsid w:val="28F96D0F"/>
    <w:rsid w:val="28FC05AD"/>
    <w:rsid w:val="29086F3D"/>
    <w:rsid w:val="290A3D2F"/>
    <w:rsid w:val="2925470E"/>
    <w:rsid w:val="292D69B8"/>
    <w:rsid w:val="29325D7D"/>
    <w:rsid w:val="293E0BC6"/>
    <w:rsid w:val="293E4DEC"/>
    <w:rsid w:val="29451F54"/>
    <w:rsid w:val="294E12B6"/>
    <w:rsid w:val="29534671"/>
    <w:rsid w:val="2976035F"/>
    <w:rsid w:val="297939AC"/>
    <w:rsid w:val="297C0F8C"/>
    <w:rsid w:val="297D16EE"/>
    <w:rsid w:val="2984482A"/>
    <w:rsid w:val="298E38FB"/>
    <w:rsid w:val="29946A38"/>
    <w:rsid w:val="29AA0009"/>
    <w:rsid w:val="29AE18A7"/>
    <w:rsid w:val="29B82726"/>
    <w:rsid w:val="29B86751"/>
    <w:rsid w:val="29C015DB"/>
    <w:rsid w:val="29D15596"/>
    <w:rsid w:val="29DA0CFD"/>
    <w:rsid w:val="29FA0F90"/>
    <w:rsid w:val="29FD290F"/>
    <w:rsid w:val="2A133E00"/>
    <w:rsid w:val="2A1E7CE6"/>
    <w:rsid w:val="2A1F32A0"/>
    <w:rsid w:val="2A1F4553"/>
    <w:rsid w:val="2A331DAD"/>
    <w:rsid w:val="2A41271B"/>
    <w:rsid w:val="2A44045E"/>
    <w:rsid w:val="2A4B359A"/>
    <w:rsid w:val="2A4D10C0"/>
    <w:rsid w:val="2A663F30"/>
    <w:rsid w:val="2A7E46F7"/>
    <w:rsid w:val="2AA35184"/>
    <w:rsid w:val="2ABE3D6C"/>
    <w:rsid w:val="2ACF7D27"/>
    <w:rsid w:val="2AD6555A"/>
    <w:rsid w:val="2AD94E62"/>
    <w:rsid w:val="2AE00186"/>
    <w:rsid w:val="2AE5754B"/>
    <w:rsid w:val="2AEA2DB3"/>
    <w:rsid w:val="2AEB2687"/>
    <w:rsid w:val="2AFA28CA"/>
    <w:rsid w:val="2B0379D1"/>
    <w:rsid w:val="2B091FC7"/>
    <w:rsid w:val="2B28426D"/>
    <w:rsid w:val="2B285689"/>
    <w:rsid w:val="2B326508"/>
    <w:rsid w:val="2B3C1135"/>
    <w:rsid w:val="2B487ADA"/>
    <w:rsid w:val="2B59251B"/>
    <w:rsid w:val="2B65243A"/>
    <w:rsid w:val="2B67049F"/>
    <w:rsid w:val="2B793FF1"/>
    <w:rsid w:val="2B7E174D"/>
    <w:rsid w:val="2B8E7BE2"/>
    <w:rsid w:val="2BAE3DE1"/>
    <w:rsid w:val="2BDD46C6"/>
    <w:rsid w:val="2BE55328"/>
    <w:rsid w:val="2BE9306B"/>
    <w:rsid w:val="2BF65788"/>
    <w:rsid w:val="2C071743"/>
    <w:rsid w:val="2C1A6BED"/>
    <w:rsid w:val="2C1F4CDE"/>
    <w:rsid w:val="2C2A1D92"/>
    <w:rsid w:val="2C324391"/>
    <w:rsid w:val="2C3A5674"/>
    <w:rsid w:val="2C46720E"/>
    <w:rsid w:val="2C55425C"/>
    <w:rsid w:val="2C581F9E"/>
    <w:rsid w:val="2C610E53"/>
    <w:rsid w:val="2C6426F1"/>
    <w:rsid w:val="2C6941AB"/>
    <w:rsid w:val="2C7B4C18"/>
    <w:rsid w:val="2C7F577D"/>
    <w:rsid w:val="2C83526D"/>
    <w:rsid w:val="2C956D4E"/>
    <w:rsid w:val="2C9D688B"/>
    <w:rsid w:val="2CA927FA"/>
    <w:rsid w:val="2CAA4CAB"/>
    <w:rsid w:val="2CB263CC"/>
    <w:rsid w:val="2CB528D4"/>
    <w:rsid w:val="2CBD314C"/>
    <w:rsid w:val="2CCB451E"/>
    <w:rsid w:val="2CD5161C"/>
    <w:rsid w:val="2CD77367"/>
    <w:rsid w:val="2CE12AB9"/>
    <w:rsid w:val="2CE35D0C"/>
    <w:rsid w:val="2CE55431"/>
    <w:rsid w:val="2CE569D2"/>
    <w:rsid w:val="2CFA64DE"/>
    <w:rsid w:val="2CFC5020"/>
    <w:rsid w:val="2CFC71ED"/>
    <w:rsid w:val="2D083AC7"/>
    <w:rsid w:val="2D151C3D"/>
    <w:rsid w:val="2D1E4F96"/>
    <w:rsid w:val="2D300A31"/>
    <w:rsid w:val="2D3A16A4"/>
    <w:rsid w:val="2D4C1B03"/>
    <w:rsid w:val="2D502C75"/>
    <w:rsid w:val="2D5704A8"/>
    <w:rsid w:val="2D5D7FAB"/>
    <w:rsid w:val="2D7C3A6A"/>
    <w:rsid w:val="2D8017AD"/>
    <w:rsid w:val="2D8114F7"/>
    <w:rsid w:val="2D8A262B"/>
    <w:rsid w:val="2D937732"/>
    <w:rsid w:val="2D94061C"/>
    <w:rsid w:val="2D99286E"/>
    <w:rsid w:val="2DA059AB"/>
    <w:rsid w:val="2DA230D0"/>
    <w:rsid w:val="2DA82AB1"/>
    <w:rsid w:val="2DAA4A7C"/>
    <w:rsid w:val="2DB72CF5"/>
    <w:rsid w:val="2DC07DFB"/>
    <w:rsid w:val="2DD41AF8"/>
    <w:rsid w:val="2DD65871"/>
    <w:rsid w:val="2DD85145"/>
    <w:rsid w:val="2DDB3F6C"/>
    <w:rsid w:val="2DDC770B"/>
    <w:rsid w:val="2DDD1290"/>
    <w:rsid w:val="2DDF2977"/>
    <w:rsid w:val="2DF109EF"/>
    <w:rsid w:val="2E026666"/>
    <w:rsid w:val="2E1168A9"/>
    <w:rsid w:val="2E1E4633"/>
    <w:rsid w:val="2E291E44"/>
    <w:rsid w:val="2E331B0E"/>
    <w:rsid w:val="2E333F9A"/>
    <w:rsid w:val="2E3C2ACD"/>
    <w:rsid w:val="2E3D31FA"/>
    <w:rsid w:val="2E440A2C"/>
    <w:rsid w:val="2E50117F"/>
    <w:rsid w:val="2E6115DE"/>
    <w:rsid w:val="2E662DF3"/>
    <w:rsid w:val="2E690493"/>
    <w:rsid w:val="2E6E7857"/>
    <w:rsid w:val="2E91304D"/>
    <w:rsid w:val="2E913546"/>
    <w:rsid w:val="2E9372BE"/>
    <w:rsid w:val="2E9848D4"/>
    <w:rsid w:val="2EA72D69"/>
    <w:rsid w:val="2ECF4C5A"/>
    <w:rsid w:val="2EDF333F"/>
    <w:rsid w:val="2EEB6188"/>
    <w:rsid w:val="2EED2E72"/>
    <w:rsid w:val="2EFC30B5"/>
    <w:rsid w:val="2F01691D"/>
    <w:rsid w:val="2F0D0E1E"/>
    <w:rsid w:val="2F1523C9"/>
    <w:rsid w:val="2F3565C7"/>
    <w:rsid w:val="2F370029"/>
    <w:rsid w:val="2F4A02C4"/>
    <w:rsid w:val="2F4D56BE"/>
    <w:rsid w:val="2F527179"/>
    <w:rsid w:val="2F5F5A27"/>
    <w:rsid w:val="2F601896"/>
    <w:rsid w:val="2F633134"/>
    <w:rsid w:val="2F7013AD"/>
    <w:rsid w:val="2F723377"/>
    <w:rsid w:val="2F7912C8"/>
    <w:rsid w:val="2F82048D"/>
    <w:rsid w:val="2F832EF4"/>
    <w:rsid w:val="2F866E22"/>
    <w:rsid w:val="2F8A246F"/>
    <w:rsid w:val="2F911F50"/>
    <w:rsid w:val="2F9432ED"/>
    <w:rsid w:val="2F9A4B34"/>
    <w:rsid w:val="2F9C6646"/>
    <w:rsid w:val="2FA01C92"/>
    <w:rsid w:val="2FA31D65"/>
    <w:rsid w:val="2FA92298"/>
    <w:rsid w:val="2FB120F1"/>
    <w:rsid w:val="2FB37EDE"/>
    <w:rsid w:val="2FC71915"/>
    <w:rsid w:val="2FCA4F61"/>
    <w:rsid w:val="2FDD11E5"/>
    <w:rsid w:val="2FE36023"/>
    <w:rsid w:val="2FE37DD1"/>
    <w:rsid w:val="300D4E4E"/>
    <w:rsid w:val="30112B90"/>
    <w:rsid w:val="3016284F"/>
    <w:rsid w:val="301D32E3"/>
    <w:rsid w:val="301D6ECC"/>
    <w:rsid w:val="30314FE0"/>
    <w:rsid w:val="3035148A"/>
    <w:rsid w:val="30403942"/>
    <w:rsid w:val="306B04F2"/>
    <w:rsid w:val="306C7DC6"/>
    <w:rsid w:val="307A6CB2"/>
    <w:rsid w:val="3082583C"/>
    <w:rsid w:val="308415B4"/>
    <w:rsid w:val="308C0468"/>
    <w:rsid w:val="3095556F"/>
    <w:rsid w:val="309F697C"/>
    <w:rsid w:val="30B04157"/>
    <w:rsid w:val="30B73737"/>
    <w:rsid w:val="30D23125"/>
    <w:rsid w:val="30DC13F0"/>
    <w:rsid w:val="30DD0CC4"/>
    <w:rsid w:val="30E414CE"/>
    <w:rsid w:val="30EB33E1"/>
    <w:rsid w:val="30EB73BF"/>
    <w:rsid w:val="30EE2ED1"/>
    <w:rsid w:val="3102072B"/>
    <w:rsid w:val="31085D41"/>
    <w:rsid w:val="31147E72"/>
    <w:rsid w:val="31274283"/>
    <w:rsid w:val="3139239E"/>
    <w:rsid w:val="31493966"/>
    <w:rsid w:val="314F1BC2"/>
    <w:rsid w:val="3166233E"/>
    <w:rsid w:val="31662A68"/>
    <w:rsid w:val="316A69FC"/>
    <w:rsid w:val="316C7418"/>
    <w:rsid w:val="317258B0"/>
    <w:rsid w:val="3172765E"/>
    <w:rsid w:val="31773363"/>
    <w:rsid w:val="31774C75"/>
    <w:rsid w:val="317E4255"/>
    <w:rsid w:val="318B0720"/>
    <w:rsid w:val="318F0210"/>
    <w:rsid w:val="31905D36"/>
    <w:rsid w:val="31C51E84"/>
    <w:rsid w:val="31D10829"/>
    <w:rsid w:val="31D420C7"/>
    <w:rsid w:val="31D85FEC"/>
    <w:rsid w:val="31E85B72"/>
    <w:rsid w:val="320209E2"/>
    <w:rsid w:val="320E382B"/>
    <w:rsid w:val="32144BB9"/>
    <w:rsid w:val="321D3148"/>
    <w:rsid w:val="321D3A6E"/>
    <w:rsid w:val="32256370"/>
    <w:rsid w:val="3227704B"/>
    <w:rsid w:val="322946C9"/>
    <w:rsid w:val="323A4620"/>
    <w:rsid w:val="32476D3D"/>
    <w:rsid w:val="32494863"/>
    <w:rsid w:val="324F174E"/>
    <w:rsid w:val="325154C6"/>
    <w:rsid w:val="325167F3"/>
    <w:rsid w:val="32601BAD"/>
    <w:rsid w:val="3261657A"/>
    <w:rsid w:val="32633D3E"/>
    <w:rsid w:val="326E45B6"/>
    <w:rsid w:val="327318E0"/>
    <w:rsid w:val="3273368E"/>
    <w:rsid w:val="32807B59"/>
    <w:rsid w:val="32867865"/>
    <w:rsid w:val="328D70FE"/>
    <w:rsid w:val="328E2276"/>
    <w:rsid w:val="329D070B"/>
    <w:rsid w:val="32A01856"/>
    <w:rsid w:val="32A970B0"/>
    <w:rsid w:val="32AC6BA0"/>
    <w:rsid w:val="32AF737A"/>
    <w:rsid w:val="32BF4B25"/>
    <w:rsid w:val="32D3237F"/>
    <w:rsid w:val="32E4458C"/>
    <w:rsid w:val="32EB1476"/>
    <w:rsid w:val="32F01183"/>
    <w:rsid w:val="32F56799"/>
    <w:rsid w:val="33184235"/>
    <w:rsid w:val="331B4F41"/>
    <w:rsid w:val="331F55C4"/>
    <w:rsid w:val="332B3F69"/>
    <w:rsid w:val="332D7CE1"/>
    <w:rsid w:val="33323549"/>
    <w:rsid w:val="333460D2"/>
    <w:rsid w:val="33386686"/>
    <w:rsid w:val="333A23FE"/>
    <w:rsid w:val="333A7FDD"/>
    <w:rsid w:val="3347563A"/>
    <w:rsid w:val="33490893"/>
    <w:rsid w:val="336166D0"/>
    <w:rsid w:val="33686F6B"/>
    <w:rsid w:val="3369683F"/>
    <w:rsid w:val="336B6A5B"/>
    <w:rsid w:val="336D632F"/>
    <w:rsid w:val="336F51AA"/>
    <w:rsid w:val="33723946"/>
    <w:rsid w:val="33796AAA"/>
    <w:rsid w:val="3380537B"/>
    <w:rsid w:val="338806E6"/>
    <w:rsid w:val="33884F17"/>
    <w:rsid w:val="338D077F"/>
    <w:rsid w:val="33AA7583"/>
    <w:rsid w:val="33AB32FB"/>
    <w:rsid w:val="33AD497E"/>
    <w:rsid w:val="33AE5828"/>
    <w:rsid w:val="33B71CA0"/>
    <w:rsid w:val="33C83183"/>
    <w:rsid w:val="33CA19D4"/>
    <w:rsid w:val="33D97E69"/>
    <w:rsid w:val="33E505BB"/>
    <w:rsid w:val="33F95E15"/>
    <w:rsid w:val="33FC5905"/>
    <w:rsid w:val="340A0022"/>
    <w:rsid w:val="340F3C54"/>
    <w:rsid w:val="340F5AF6"/>
    <w:rsid w:val="34207846"/>
    <w:rsid w:val="34272982"/>
    <w:rsid w:val="342A4220"/>
    <w:rsid w:val="343C6BCD"/>
    <w:rsid w:val="344057F2"/>
    <w:rsid w:val="344E43B3"/>
    <w:rsid w:val="3454129D"/>
    <w:rsid w:val="34594B05"/>
    <w:rsid w:val="345B087E"/>
    <w:rsid w:val="345B6AD0"/>
    <w:rsid w:val="345E211C"/>
    <w:rsid w:val="346314E0"/>
    <w:rsid w:val="34665CC0"/>
    <w:rsid w:val="347F27BE"/>
    <w:rsid w:val="3481258B"/>
    <w:rsid w:val="34853B4C"/>
    <w:rsid w:val="348754DB"/>
    <w:rsid w:val="34A277E4"/>
    <w:rsid w:val="34A42225"/>
    <w:rsid w:val="34A73AC3"/>
    <w:rsid w:val="34A83397"/>
    <w:rsid w:val="34AB66CA"/>
    <w:rsid w:val="34AD27B0"/>
    <w:rsid w:val="34BB131C"/>
    <w:rsid w:val="34BF7A6D"/>
    <w:rsid w:val="34C93A39"/>
    <w:rsid w:val="34E02697"/>
    <w:rsid w:val="34E70363"/>
    <w:rsid w:val="34EA39B0"/>
    <w:rsid w:val="34EC597A"/>
    <w:rsid w:val="34F8431E"/>
    <w:rsid w:val="34F85D6A"/>
    <w:rsid w:val="350E58F0"/>
    <w:rsid w:val="351C1B11"/>
    <w:rsid w:val="351C625F"/>
    <w:rsid w:val="351D5B33"/>
    <w:rsid w:val="352829B1"/>
    <w:rsid w:val="35307B25"/>
    <w:rsid w:val="35366BF5"/>
    <w:rsid w:val="3538296D"/>
    <w:rsid w:val="35494B7A"/>
    <w:rsid w:val="354B08F2"/>
    <w:rsid w:val="355A6D87"/>
    <w:rsid w:val="355A7D5E"/>
    <w:rsid w:val="355C762B"/>
    <w:rsid w:val="355F439E"/>
    <w:rsid w:val="35727A6C"/>
    <w:rsid w:val="35777939"/>
    <w:rsid w:val="357C4F4F"/>
    <w:rsid w:val="357D65D2"/>
    <w:rsid w:val="35947CC9"/>
    <w:rsid w:val="35AF70D3"/>
    <w:rsid w:val="35B77D36"/>
    <w:rsid w:val="35BA15D4"/>
    <w:rsid w:val="35BE7316"/>
    <w:rsid w:val="35CB1A33"/>
    <w:rsid w:val="35D5640E"/>
    <w:rsid w:val="36015455"/>
    <w:rsid w:val="360D5FB1"/>
    <w:rsid w:val="36107446"/>
    <w:rsid w:val="361A7607"/>
    <w:rsid w:val="363D5FAB"/>
    <w:rsid w:val="36401AD9"/>
    <w:rsid w:val="364E3E27"/>
    <w:rsid w:val="364F3BB1"/>
    <w:rsid w:val="3653143D"/>
    <w:rsid w:val="365D08DD"/>
    <w:rsid w:val="36600FDE"/>
    <w:rsid w:val="3668693C"/>
    <w:rsid w:val="366B28CE"/>
    <w:rsid w:val="367774C5"/>
    <w:rsid w:val="36783969"/>
    <w:rsid w:val="36981915"/>
    <w:rsid w:val="36985DB9"/>
    <w:rsid w:val="369B4431"/>
    <w:rsid w:val="36A75FFC"/>
    <w:rsid w:val="36B81FB7"/>
    <w:rsid w:val="36BD75CE"/>
    <w:rsid w:val="36CF7301"/>
    <w:rsid w:val="36D4611F"/>
    <w:rsid w:val="36E92ED5"/>
    <w:rsid w:val="36EB02F2"/>
    <w:rsid w:val="36F34D9D"/>
    <w:rsid w:val="36F449AD"/>
    <w:rsid w:val="37124C01"/>
    <w:rsid w:val="37217B5C"/>
    <w:rsid w:val="37353608"/>
    <w:rsid w:val="37361CB0"/>
    <w:rsid w:val="37392328"/>
    <w:rsid w:val="37403D5B"/>
    <w:rsid w:val="3748158D"/>
    <w:rsid w:val="37500442"/>
    <w:rsid w:val="375A306E"/>
    <w:rsid w:val="376161AB"/>
    <w:rsid w:val="37691503"/>
    <w:rsid w:val="376F0A86"/>
    <w:rsid w:val="37732382"/>
    <w:rsid w:val="378C450F"/>
    <w:rsid w:val="378E2D18"/>
    <w:rsid w:val="379876F3"/>
    <w:rsid w:val="379C71E3"/>
    <w:rsid w:val="37AC3523"/>
    <w:rsid w:val="37C30C14"/>
    <w:rsid w:val="37D20E57"/>
    <w:rsid w:val="37DC1CD5"/>
    <w:rsid w:val="37EA43F2"/>
    <w:rsid w:val="37EB016A"/>
    <w:rsid w:val="37FE1C4C"/>
    <w:rsid w:val="381B3FF8"/>
    <w:rsid w:val="3828316D"/>
    <w:rsid w:val="38334452"/>
    <w:rsid w:val="383438BF"/>
    <w:rsid w:val="383E64EC"/>
    <w:rsid w:val="38417D8A"/>
    <w:rsid w:val="384B0C09"/>
    <w:rsid w:val="384D4981"/>
    <w:rsid w:val="384E2773"/>
    <w:rsid w:val="38521F98"/>
    <w:rsid w:val="385775AE"/>
    <w:rsid w:val="385E26EA"/>
    <w:rsid w:val="386D0B7F"/>
    <w:rsid w:val="386D5023"/>
    <w:rsid w:val="386F66A6"/>
    <w:rsid w:val="38767A34"/>
    <w:rsid w:val="38803573"/>
    <w:rsid w:val="38837F54"/>
    <w:rsid w:val="38997BC6"/>
    <w:rsid w:val="38A231E5"/>
    <w:rsid w:val="38A85A29"/>
    <w:rsid w:val="38AC7189"/>
    <w:rsid w:val="38B50391"/>
    <w:rsid w:val="38BE13DB"/>
    <w:rsid w:val="38BE5E78"/>
    <w:rsid w:val="38C033A5"/>
    <w:rsid w:val="38D66725"/>
    <w:rsid w:val="38D8249D"/>
    <w:rsid w:val="38E2331B"/>
    <w:rsid w:val="38EA0422"/>
    <w:rsid w:val="38F372D7"/>
    <w:rsid w:val="38F60B75"/>
    <w:rsid w:val="390E5784"/>
    <w:rsid w:val="391B4A7F"/>
    <w:rsid w:val="39332945"/>
    <w:rsid w:val="39396CB4"/>
    <w:rsid w:val="39397948"/>
    <w:rsid w:val="393B4953"/>
    <w:rsid w:val="395E1EC2"/>
    <w:rsid w:val="39697599"/>
    <w:rsid w:val="396B3311"/>
    <w:rsid w:val="396B6162"/>
    <w:rsid w:val="397321C6"/>
    <w:rsid w:val="397F6DBC"/>
    <w:rsid w:val="398D772B"/>
    <w:rsid w:val="399A1E48"/>
    <w:rsid w:val="39A44657"/>
    <w:rsid w:val="39A763EE"/>
    <w:rsid w:val="39AC56D7"/>
    <w:rsid w:val="39BF668E"/>
    <w:rsid w:val="39CB2002"/>
    <w:rsid w:val="39CE1E5B"/>
    <w:rsid w:val="39E3559D"/>
    <w:rsid w:val="39E8540B"/>
    <w:rsid w:val="39EA4612"/>
    <w:rsid w:val="39F72FC6"/>
    <w:rsid w:val="39FC665F"/>
    <w:rsid w:val="3A12378C"/>
    <w:rsid w:val="3A145757"/>
    <w:rsid w:val="3A1A0893"/>
    <w:rsid w:val="3A30455A"/>
    <w:rsid w:val="3A345DF9"/>
    <w:rsid w:val="3A35391F"/>
    <w:rsid w:val="3A4A73CA"/>
    <w:rsid w:val="3A52627F"/>
    <w:rsid w:val="3A536C61"/>
    <w:rsid w:val="3A5B6852"/>
    <w:rsid w:val="3A742E04"/>
    <w:rsid w:val="3A744447"/>
    <w:rsid w:val="3A81230B"/>
    <w:rsid w:val="3A830B2E"/>
    <w:rsid w:val="3A8A5A19"/>
    <w:rsid w:val="3A8B0EFD"/>
    <w:rsid w:val="3A916ECC"/>
    <w:rsid w:val="3A9E14C4"/>
    <w:rsid w:val="3AA0348E"/>
    <w:rsid w:val="3AA641C2"/>
    <w:rsid w:val="3AA82343"/>
    <w:rsid w:val="3AA840F1"/>
    <w:rsid w:val="3AB26D1E"/>
    <w:rsid w:val="3AC54E4D"/>
    <w:rsid w:val="3AD65437"/>
    <w:rsid w:val="3AEA4709"/>
    <w:rsid w:val="3AEC222F"/>
    <w:rsid w:val="3AF10759"/>
    <w:rsid w:val="3B055AD4"/>
    <w:rsid w:val="3B0752BB"/>
    <w:rsid w:val="3B0F23C2"/>
    <w:rsid w:val="3B225C51"/>
    <w:rsid w:val="3B2C2F74"/>
    <w:rsid w:val="3B337E5E"/>
    <w:rsid w:val="3B340AE1"/>
    <w:rsid w:val="3B381919"/>
    <w:rsid w:val="3B3B31B7"/>
    <w:rsid w:val="3B540F72"/>
    <w:rsid w:val="3B561D9F"/>
    <w:rsid w:val="3B5B1163"/>
    <w:rsid w:val="3B6444BC"/>
    <w:rsid w:val="3B8237EF"/>
    <w:rsid w:val="3B893F22"/>
    <w:rsid w:val="3B9F00B0"/>
    <w:rsid w:val="3BD86C58"/>
    <w:rsid w:val="3BDB4052"/>
    <w:rsid w:val="3BE64ED1"/>
    <w:rsid w:val="3BF06CDE"/>
    <w:rsid w:val="3BF3370C"/>
    <w:rsid w:val="3C1873F5"/>
    <w:rsid w:val="3C224295"/>
    <w:rsid w:val="3C667DC0"/>
    <w:rsid w:val="3C6E4EC6"/>
    <w:rsid w:val="3C7050E2"/>
    <w:rsid w:val="3C7626F9"/>
    <w:rsid w:val="3C7B7D0F"/>
    <w:rsid w:val="3C7C3A87"/>
    <w:rsid w:val="3C926E07"/>
    <w:rsid w:val="3CA97EC6"/>
    <w:rsid w:val="3CAA05F4"/>
    <w:rsid w:val="3CD411CD"/>
    <w:rsid w:val="3CD54FDA"/>
    <w:rsid w:val="3CD76F0F"/>
    <w:rsid w:val="3CDB69FF"/>
    <w:rsid w:val="3CDE029E"/>
    <w:rsid w:val="3CE138EA"/>
    <w:rsid w:val="3D0C0967"/>
    <w:rsid w:val="3D1E68EC"/>
    <w:rsid w:val="3D272681"/>
    <w:rsid w:val="3D2959BD"/>
    <w:rsid w:val="3D31661F"/>
    <w:rsid w:val="3D393726"/>
    <w:rsid w:val="3D40695F"/>
    <w:rsid w:val="3D4501F5"/>
    <w:rsid w:val="3D5440BC"/>
    <w:rsid w:val="3D6214FA"/>
    <w:rsid w:val="3D6D517E"/>
    <w:rsid w:val="3D6F7148"/>
    <w:rsid w:val="3D7B3D3F"/>
    <w:rsid w:val="3D7B789B"/>
    <w:rsid w:val="3D8250CD"/>
    <w:rsid w:val="3D8F3346"/>
    <w:rsid w:val="3D8F4E37"/>
    <w:rsid w:val="3D9F5C7F"/>
    <w:rsid w:val="3D9F7A2D"/>
    <w:rsid w:val="3DA2751D"/>
    <w:rsid w:val="3DA54918"/>
    <w:rsid w:val="3DB66B25"/>
    <w:rsid w:val="3DD60F75"/>
    <w:rsid w:val="3DDF3BF3"/>
    <w:rsid w:val="3DED69EA"/>
    <w:rsid w:val="3DED76AF"/>
    <w:rsid w:val="3DF862C0"/>
    <w:rsid w:val="3DFD29A6"/>
    <w:rsid w:val="3E03620E"/>
    <w:rsid w:val="3E09759C"/>
    <w:rsid w:val="3E0E4BB3"/>
    <w:rsid w:val="3E10092B"/>
    <w:rsid w:val="3E133F77"/>
    <w:rsid w:val="3E1C1B38"/>
    <w:rsid w:val="3E210442"/>
    <w:rsid w:val="3E3363C7"/>
    <w:rsid w:val="3E3C34CE"/>
    <w:rsid w:val="3E43589F"/>
    <w:rsid w:val="3E444130"/>
    <w:rsid w:val="3E457417"/>
    <w:rsid w:val="3E497999"/>
    <w:rsid w:val="3E52684D"/>
    <w:rsid w:val="3E686071"/>
    <w:rsid w:val="3E824E47"/>
    <w:rsid w:val="3E8D3D29"/>
    <w:rsid w:val="3E952BDE"/>
    <w:rsid w:val="3EB65C36"/>
    <w:rsid w:val="3EBC3B56"/>
    <w:rsid w:val="3EBC63BD"/>
    <w:rsid w:val="3EC916D1"/>
    <w:rsid w:val="3ED71449"/>
    <w:rsid w:val="3EE52689"/>
    <w:rsid w:val="3EE7007F"/>
    <w:rsid w:val="3EE85404"/>
    <w:rsid w:val="3F0062A9"/>
    <w:rsid w:val="3F1104B7"/>
    <w:rsid w:val="3F1375D9"/>
    <w:rsid w:val="3F2521B4"/>
    <w:rsid w:val="3F253F62"/>
    <w:rsid w:val="3F281CA4"/>
    <w:rsid w:val="3F29718A"/>
    <w:rsid w:val="3F2A5A1C"/>
    <w:rsid w:val="3F2F3033"/>
    <w:rsid w:val="3F375A43"/>
    <w:rsid w:val="3F4E1470"/>
    <w:rsid w:val="3F514D57"/>
    <w:rsid w:val="3F666DF4"/>
    <w:rsid w:val="3F7722E4"/>
    <w:rsid w:val="3F7D5B4C"/>
    <w:rsid w:val="3F8A67CD"/>
    <w:rsid w:val="3F964E60"/>
    <w:rsid w:val="3F9B5FD2"/>
    <w:rsid w:val="3FAA26B9"/>
    <w:rsid w:val="3FB84DD6"/>
    <w:rsid w:val="3FC25C55"/>
    <w:rsid w:val="3FCC0881"/>
    <w:rsid w:val="3FD15F2F"/>
    <w:rsid w:val="3FE21D0E"/>
    <w:rsid w:val="3FE945E8"/>
    <w:rsid w:val="3FEB6F5A"/>
    <w:rsid w:val="3FEC4A80"/>
    <w:rsid w:val="400B75FC"/>
    <w:rsid w:val="40130CAF"/>
    <w:rsid w:val="4013200C"/>
    <w:rsid w:val="401A339B"/>
    <w:rsid w:val="401F1410"/>
    <w:rsid w:val="40215527"/>
    <w:rsid w:val="402266F3"/>
    <w:rsid w:val="4027763F"/>
    <w:rsid w:val="402E5098"/>
    <w:rsid w:val="403A1C8F"/>
    <w:rsid w:val="404E74E8"/>
    <w:rsid w:val="40520D87"/>
    <w:rsid w:val="40534AFF"/>
    <w:rsid w:val="406330B9"/>
    <w:rsid w:val="40672358"/>
    <w:rsid w:val="40677A46"/>
    <w:rsid w:val="40761110"/>
    <w:rsid w:val="407E7DCE"/>
    <w:rsid w:val="408D0011"/>
    <w:rsid w:val="40907B01"/>
    <w:rsid w:val="40925627"/>
    <w:rsid w:val="40AC74CD"/>
    <w:rsid w:val="40B25CC9"/>
    <w:rsid w:val="40B732E0"/>
    <w:rsid w:val="40BC08F6"/>
    <w:rsid w:val="40D073B6"/>
    <w:rsid w:val="40D51BC6"/>
    <w:rsid w:val="40DC68A2"/>
    <w:rsid w:val="40E439A9"/>
    <w:rsid w:val="40F260C6"/>
    <w:rsid w:val="40F315A4"/>
    <w:rsid w:val="40F97454"/>
    <w:rsid w:val="40FB4B2A"/>
    <w:rsid w:val="41037F7F"/>
    <w:rsid w:val="410A1661"/>
    <w:rsid w:val="41484BD9"/>
    <w:rsid w:val="414C3A28"/>
    <w:rsid w:val="414F176A"/>
    <w:rsid w:val="414F3518"/>
    <w:rsid w:val="415424C4"/>
    <w:rsid w:val="41566BC5"/>
    <w:rsid w:val="4159693A"/>
    <w:rsid w:val="417F0B3D"/>
    <w:rsid w:val="41807B75"/>
    <w:rsid w:val="41895373"/>
    <w:rsid w:val="41942168"/>
    <w:rsid w:val="41970A1B"/>
    <w:rsid w:val="419D5C78"/>
    <w:rsid w:val="41AC280F"/>
    <w:rsid w:val="41AE46E3"/>
    <w:rsid w:val="41B45A71"/>
    <w:rsid w:val="41BC157F"/>
    <w:rsid w:val="41C932CA"/>
    <w:rsid w:val="41CC723D"/>
    <w:rsid w:val="41D35EF7"/>
    <w:rsid w:val="41D67795"/>
    <w:rsid w:val="41DB2FFE"/>
    <w:rsid w:val="41DD28D2"/>
    <w:rsid w:val="41EC520B"/>
    <w:rsid w:val="41EC6FB9"/>
    <w:rsid w:val="41F8595E"/>
    <w:rsid w:val="420330D8"/>
    <w:rsid w:val="4212359F"/>
    <w:rsid w:val="42140B1B"/>
    <w:rsid w:val="42206C63"/>
    <w:rsid w:val="4226054F"/>
    <w:rsid w:val="422E5823"/>
    <w:rsid w:val="423676B0"/>
    <w:rsid w:val="42380450"/>
    <w:rsid w:val="424566C9"/>
    <w:rsid w:val="42533248"/>
    <w:rsid w:val="42613503"/>
    <w:rsid w:val="42641D82"/>
    <w:rsid w:val="42707BEA"/>
    <w:rsid w:val="42764AD5"/>
    <w:rsid w:val="42786A9F"/>
    <w:rsid w:val="427A2817"/>
    <w:rsid w:val="4283791D"/>
    <w:rsid w:val="428471F1"/>
    <w:rsid w:val="42892A5A"/>
    <w:rsid w:val="42980EEF"/>
    <w:rsid w:val="42A47894"/>
    <w:rsid w:val="42A6360C"/>
    <w:rsid w:val="42C13FA2"/>
    <w:rsid w:val="42CD0B98"/>
    <w:rsid w:val="42CE22CA"/>
    <w:rsid w:val="42D86687"/>
    <w:rsid w:val="42E45EE2"/>
    <w:rsid w:val="42E47C90"/>
    <w:rsid w:val="4309651F"/>
    <w:rsid w:val="43122A4F"/>
    <w:rsid w:val="43282273"/>
    <w:rsid w:val="43290586"/>
    <w:rsid w:val="432B1D63"/>
    <w:rsid w:val="432D1637"/>
    <w:rsid w:val="43362BE2"/>
    <w:rsid w:val="433C5D1E"/>
    <w:rsid w:val="43454BD3"/>
    <w:rsid w:val="434C41B3"/>
    <w:rsid w:val="435E2827"/>
    <w:rsid w:val="435E7A42"/>
    <w:rsid w:val="43686B13"/>
    <w:rsid w:val="437159C8"/>
    <w:rsid w:val="43757F79"/>
    <w:rsid w:val="437A3377"/>
    <w:rsid w:val="437C611B"/>
    <w:rsid w:val="437E00E5"/>
    <w:rsid w:val="43802C29"/>
    <w:rsid w:val="43812496"/>
    <w:rsid w:val="43821902"/>
    <w:rsid w:val="43827BD5"/>
    <w:rsid w:val="438E54D9"/>
    <w:rsid w:val="43B34D58"/>
    <w:rsid w:val="43BF2BD7"/>
    <w:rsid w:val="43CF6B92"/>
    <w:rsid w:val="43E05437"/>
    <w:rsid w:val="43E91A02"/>
    <w:rsid w:val="43EA7528"/>
    <w:rsid w:val="43ED0DC6"/>
    <w:rsid w:val="43F403A7"/>
    <w:rsid w:val="43F54A3E"/>
    <w:rsid w:val="43F8414A"/>
    <w:rsid w:val="44054362"/>
    <w:rsid w:val="440E3217"/>
    <w:rsid w:val="4413082D"/>
    <w:rsid w:val="4416656F"/>
    <w:rsid w:val="441C0732"/>
    <w:rsid w:val="4436276D"/>
    <w:rsid w:val="44427364"/>
    <w:rsid w:val="444A7FC7"/>
    <w:rsid w:val="4450382F"/>
    <w:rsid w:val="44617EC6"/>
    <w:rsid w:val="44632243"/>
    <w:rsid w:val="44650F3F"/>
    <w:rsid w:val="44675C20"/>
    <w:rsid w:val="446F0474"/>
    <w:rsid w:val="44752427"/>
    <w:rsid w:val="44782D86"/>
    <w:rsid w:val="447A7A73"/>
    <w:rsid w:val="44B30262"/>
    <w:rsid w:val="44BD4C3D"/>
    <w:rsid w:val="44C63AF1"/>
    <w:rsid w:val="44C91833"/>
    <w:rsid w:val="44D766C2"/>
    <w:rsid w:val="44ED5522"/>
    <w:rsid w:val="44F0605E"/>
    <w:rsid w:val="44F22B38"/>
    <w:rsid w:val="44FC5765"/>
    <w:rsid w:val="44FC7513"/>
    <w:rsid w:val="44FD08AC"/>
    <w:rsid w:val="45091C30"/>
    <w:rsid w:val="450B3BFA"/>
    <w:rsid w:val="450D7972"/>
    <w:rsid w:val="45154A79"/>
    <w:rsid w:val="451A208F"/>
    <w:rsid w:val="451C5E07"/>
    <w:rsid w:val="451E56DB"/>
    <w:rsid w:val="453749EF"/>
    <w:rsid w:val="45390767"/>
    <w:rsid w:val="45462E84"/>
    <w:rsid w:val="454964D0"/>
    <w:rsid w:val="456926CF"/>
    <w:rsid w:val="456E55CE"/>
    <w:rsid w:val="45723C79"/>
    <w:rsid w:val="4577080F"/>
    <w:rsid w:val="4577128F"/>
    <w:rsid w:val="457B2B2E"/>
    <w:rsid w:val="45806396"/>
    <w:rsid w:val="4590186D"/>
    <w:rsid w:val="459308C3"/>
    <w:rsid w:val="45975B03"/>
    <w:rsid w:val="45A57BAB"/>
    <w:rsid w:val="45BD3146"/>
    <w:rsid w:val="45C81AEB"/>
    <w:rsid w:val="45C95781"/>
    <w:rsid w:val="45D67D64"/>
    <w:rsid w:val="45D767B6"/>
    <w:rsid w:val="45D87F80"/>
    <w:rsid w:val="45DE4E6B"/>
    <w:rsid w:val="45E52314"/>
    <w:rsid w:val="45E76415"/>
    <w:rsid w:val="45E85CE9"/>
    <w:rsid w:val="45EA380F"/>
    <w:rsid w:val="45EA7CB3"/>
    <w:rsid w:val="46004DE1"/>
    <w:rsid w:val="46080139"/>
    <w:rsid w:val="460F14C8"/>
    <w:rsid w:val="46116FEE"/>
    <w:rsid w:val="46236D21"/>
    <w:rsid w:val="46250CEB"/>
    <w:rsid w:val="46256F3D"/>
    <w:rsid w:val="462E7BA0"/>
    <w:rsid w:val="462F66AF"/>
    <w:rsid w:val="46333408"/>
    <w:rsid w:val="464A148D"/>
    <w:rsid w:val="464C4152"/>
    <w:rsid w:val="464C44CA"/>
    <w:rsid w:val="464E0242"/>
    <w:rsid w:val="465308D4"/>
    <w:rsid w:val="46584C1D"/>
    <w:rsid w:val="465A4BC4"/>
    <w:rsid w:val="465B470D"/>
    <w:rsid w:val="466435C2"/>
    <w:rsid w:val="466E2692"/>
    <w:rsid w:val="46737CA9"/>
    <w:rsid w:val="46772127"/>
    <w:rsid w:val="467A106E"/>
    <w:rsid w:val="467D28D5"/>
    <w:rsid w:val="468466CA"/>
    <w:rsid w:val="46916381"/>
    <w:rsid w:val="46935C55"/>
    <w:rsid w:val="46A14816"/>
    <w:rsid w:val="46A2233C"/>
    <w:rsid w:val="46B3312C"/>
    <w:rsid w:val="46B5206F"/>
    <w:rsid w:val="46DF70EC"/>
    <w:rsid w:val="46EA4ADA"/>
    <w:rsid w:val="46F25071"/>
    <w:rsid w:val="46F81F5C"/>
    <w:rsid w:val="46FC37FA"/>
    <w:rsid w:val="46FF778E"/>
    <w:rsid w:val="4707219F"/>
    <w:rsid w:val="470D5A07"/>
    <w:rsid w:val="470E5B90"/>
    <w:rsid w:val="471548BC"/>
    <w:rsid w:val="471825FE"/>
    <w:rsid w:val="471A0124"/>
    <w:rsid w:val="471A1ED2"/>
    <w:rsid w:val="472471F5"/>
    <w:rsid w:val="47266AC9"/>
    <w:rsid w:val="472965B9"/>
    <w:rsid w:val="473D3E13"/>
    <w:rsid w:val="47411B55"/>
    <w:rsid w:val="47414A75"/>
    <w:rsid w:val="474E2445"/>
    <w:rsid w:val="47513B8F"/>
    <w:rsid w:val="47637D1D"/>
    <w:rsid w:val="47646C1E"/>
    <w:rsid w:val="47655843"/>
    <w:rsid w:val="476A1887"/>
    <w:rsid w:val="47890808"/>
    <w:rsid w:val="478F28C0"/>
    <w:rsid w:val="47971775"/>
    <w:rsid w:val="479E6FA7"/>
    <w:rsid w:val="47A508CD"/>
    <w:rsid w:val="47AD71EA"/>
    <w:rsid w:val="47B02834"/>
    <w:rsid w:val="47BE31A6"/>
    <w:rsid w:val="47CC58C3"/>
    <w:rsid w:val="47D31E1A"/>
    <w:rsid w:val="47D81290"/>
    <w:rsid w:val="47D97FDF"/>
    <w:rsid w:val="47F60B91"/>
    <w:rsid w:val="47FB7F56"/>
    <w:rsid w:val="480B0368"/>
    <w:rsid w:val="480E2235"/>
    <w:rsid w:val="48233009"/>
    <w:rsid w:val="48362D3C"/>
    <w:rsid w:val="48384D06"/>
    <w:rsid w:val="483B47F6"/>
    <w:rsid w:val="48457423"/>
    <w:rsid w:val="4847319B"/>
    <w:rsid w:val="48557A9E"/>
    <w:rsid w:val="48735ED6"/>
    <w:rsid w:val="4883440E"/>
    <w:rsid w:val="48867F4E"/>
    <w:rsid w:val="48896395"/>
    <w:rsid w:val="488A0E4E"/>
    <w:rsid w:val="4893018E"/>
    <w:rsid w:val="48A923DA"/>
    <w:rsid w:val="48AD46BE"/>
    <w:rsid w:val="48BD16AF"/>
    <w:rsid w:val="48C20A74"/>
    <w:rsid w:val="48C90054"/>
    <w:rsid w:val="48CE7418"/>
    <w:rsid w:val="48EB7FCA"/>
    <w:rsid w:val="48F52BF7"/>
    <w:rsid w:val="48FC3F85"/>
    <w:rsid w:val="49061CFC"/>
    <w:rsid w:val="490B41C9"/>
    <w:rsid w:val="49382AE4"/>
    <w:rsid w:val="493F12AE"/>
    <w:rsid w:val="494B6CBB"/>
    <w:rsid w:val="49521720"/>
    <w:rsid w:val="496833C9"/>
    <w:rsid w:val="496A379E"/>
    <w:rsid w:val="49703B8A"/>
    <w:rsid w:val="497D499A"/>
    <w:rsid w:val="49891591"/>
    <w:rsid w:val="498B70B7"/>
    <w:rsid w:val="49975A5C"/>
    <w:rsid w:val="49A07007"/>
    <w:rsid w:val="49F41101"/>
    <w:rsid w:val="49F877DC"/>
    <w:rsid w:val="49FE6148"/>
    <w:rsid w:val="4A011472"/>
    <w:rsid w:val="4A1452FF"/>
    <w:rsid w:val="4A196CF5"/>
    <w:rsid w:val="4A205A52"/>
    <w:rsid w:val="4A235542"/>
    <w:rsid w:val="4A253068"/>
    <w:rsid w:val="4A275032"/>
    <w:rsid w:val="4A280DAA"/>
    <w:rsid w:val="4A2C2648"/>
    <w:rsid w:val="4A6873F9"/>
    <w:rsid w:val="4A897A9B"/>
    <w:rsid w:val="4A8C758B"/>
    <w:rsid w:val="4A8E0275"/>
    <w:rsid w:val="4A906FE0"/>
    <w:rsid w:val="4A943F16"/>
    <w:rsid w:val="4A9455FE"/>
    <w:rsid w:val="4AA12F45"/>
    <w:rsid w:val="4AAC3789"/>
    <w:rsid w:val="4AB34B18"/>
    <w:rsid w:val="4AB368C6"/>
    <w:rsid w:val="4AD131F0"/>
    <w:rsid w:val="4AD343D3"/>
    <w:rsid w:val="4ADD7DE7"/>
    <w:rsid w:val="4AE44CD1"/>
    <w:rsid w:val="4AFF3FD7"/>
    <w:rsid w:val="4B076C12"/>
    <w:rsid w:val="4B094738"/>
    <w:rsid w:val="4B105AC6"/>
    <w:rsid w:val="4B1F21AD"/>
    <w:rsid w:val="4B201A81"/>
    <w:rsid w:val="4B26353C"/>
    <w:rsid w:val="4B2C48CA"/>
    <w:rsid w:val="4B3D2633"/>
    <w:rsid w:val="4B4B6AFE"/>
    <w:rsid w:val="4B553E21"/>
    <w:rsid w:val="4B6202EC"/>
    <w:rsid w:val="4B6D2F19"/>
    <w:rsid w:val="4B72416B"/>
    <w:rsid w:val="4B7324F9"/>
    <w:rsid w:val="4B7E5126"/>
    <w:rsid w:val="4B8F7244"/>
    <w:rsid w:val="4B92297F"/>
    <w:rsid w:val="4B9A3344"/>
    <w:rsid w:val="4BA0252A"/>
    <w:rsid w:val="4BA6467C"/>
    <w:rsid w:val="4BAC677A"/>
    <w:rsid w:val="4BB74194"/>
    <w:rsid w:val="4BD4010B"/>
    <w:rsid w:val="4BF03B4A"/>
    <w:rsid w:val="4C0B44E0"/>
    <w:rsid w:val="4C15535E"/>
    <w:rsid w:val="4C1C3367"/>
    <w:rsid w:val="4C211F55"/>
    <w:rsid w:val="4C213D03"/>
    <w:rsid w:val="4C2A1CB9"/>
    <w:rsid w:val="4C2A2BB8"/>
    <w:rsid w:val="4C2D26A8"/>
    <w:rsid w:val="4C3C52B8"/>
    <w:rsid w:val="4C3E2B07"/>
    <w:rsid w:val="4C433C79"/>
    <w:rsid w:val="4C4D2D4A"/>
    <w:rsid w:val="4C681932"/>
    <w:rsid w:val="4C7107E7"/>
    <w:rsid w:val="4C7B78B7"/>
    <w:rsid w:val="4C7E2895"/>
    <w:rsid w:val="4C8229F4"/>
    <w:rsid w:val="4C871DB8"/>
    <w:rsid w:val="4C9269AF"/>
    <w:rsid w:val="4CAB229B"/>
    <w:rsid w:val="4CAE1A3B"/>
    <w:rsid w:val="4CB44B77"/>
    <w:rsid w:val="4CB86415"/>
    <w:rsid w:val="4CD174D7"/>
    <w:rsid w:val="4CDD7C2A"/>
    <w:rsid w:val="4CE30FB8"/>
    <w:rsid w:val="4CE87C0B"/>
    <w:rsid w:val="4CFF4044"/>
    <w:rsid w:val="4D001B6A"/>
    <w:rsid w:val="4D1833EC"/>
    <w:rsid w:val="4D20220D"/>
    <w:rsid w:val="4D292E6F"/>
    <w:rsid w:val="4D2E492A"/>
    <w:rsid w:val="4D3857A8"/>
    <w:rsid w:val="4D3F2693"/>
    <w:rsid w:val="4D5325E2"/>
    <w:rsid w:val="4D5756EE"/>
    <w:rsid w:val="4D5F4AE3"/>
    <w:rsid w:val="4D761E2D"/>
    <w:rsid w:val="4D783DF7"/>
    <w:rsid w:val="4D810EFD"/>
    <w:rsid w:val="4DB27309"/>
    <w:rsid w:val="4DD152D3"/>
    <w:rsid w:val="4DD908F3"/>
    <w:rsid w:val="4DE1199C"/>
    <w:rsid w:val="4DEA36FE"/>
    <w:rsid w:val="4DEB3FAD"/>
    <w:rsid w:val="4DF036EE"/>
    <w:rsid w:val="4DF53699"/>
    <w:rsid w:val="4DF64CC8"/>
    <w:rsid w:val="4DF711BF"/>
    <w:rsid w:val="4DFC67D6"/>
    <w:rsid w:val="4DFE254E"/>
    <w:rsid w:val="4E031912"/>
    <w:rsid w:val="4E0538DC"/>
    <w:rsid w:val="4E056322"/>
    <w:rsid w:val="4E0D453F"/>
    <w:rsid w:val="4E0F558F"/>
    <w:rsid w:val="4E197388"/>
    <w:rsid w:val="4E2142A9"/>
    <w:rsid w:val="4E3E6DEE"/>
    <w:rsid w:val="4E4E2408"/>
    <w:rsid w:val="4E4F2DA9"/>
    <w:rsid w:val="4E507A7F"/>
    <w:rsid w:val="4E683E6B"/>
    <w:rsid w:val="4E6D76D3"/>
    <w:rsid w:val="4E6F0D56"/>
    <w:rsid w:val="4E750648"/>
    <w:rsid w:val="4E86609F"/>
    <w:rsid w:val="4E8F13F8"/>
    <w:rsid w:val="4E922C96"/>
    <w:rsid w:val="4E93713A"/>
    <w:rsid w:val="4E984750"/>
    <w:rsid w:val="4EA01857"/>
    <w:rsid w:val="4EAA4484"/>
    <w:rsid w:val="4EC45545"/>
    <w:rsid w:val="4ECE76B4"/>
    <w:rsid w:val="4ECF5C98"/>
    <w:rsid w:val="4EE449DA"/>
    <w:rsid w:val="4EE47996"/>
    <w:rsid w:val="4EEA0D24"/>
    <w:rsid w:val="4EEC14ED"/>
    <w:rsid w:val="4EF15C0F"/>
    <w:rsid w:val="4EF23735"/>
    <w:rsid w:val="4EFD4D67"/>
    <w:rsid w:val="4F0C0C9A"/>
    <w:rsid w:val="4F11005F"/>
    <w:rsid w:val="4F1B712F"/>
    <w:rsid w:val="4F1F4215"/>
    <w:rsid w:val="4F4F0B87"/>
    <w:rsid w:val="4F606DC8"/>
    <w:rsid w:val="4F697E9B"/>
    <w:rsid w:val="4F701326"/>
    <w:rsid w:val="4F7A5C04"/>
    <w:rsid w:val="4F910CFD"/>
    <w:rsid w:val="4F943D47"/>
    <w:rsid w:val="4F974A08"/>
    <w:rsid w:val="4F974B6F"/>
    <w:rsid w:val="4F975D19"/>
    <w:rsid w:val="4FA26F09"/>
    <w:rsid w:val="4FB10ADA"/>
    <w:rsid w:val="4FB235F0"/>
    <w:rsid w:val="4FB8672C"/>
    <w:rsid w:val="4FC9093A"/>
    <w:rsid w:val="4FD712A8"/>
    <w:rsid w:val="4FF119B2"/>
    <w:rsid w:val="4FF84D7B"/>
    <w:rsid w:val="4FFA0AF3"/>
    <w:rsid w:val="500B0F52"/>
    <w:rsid w:val="500B3467"/>
    <w:rsid w:val="502D711A"/>
    <w:rsid w:val="503009B9"/>
    <w:rsid w:val="50335A76"/>
    <w:rsid w:val="503C110B"/>
    <w:rsid w:val="50406E4E"/>
    <w:rsid w:val="50416722"/>
    <w:rsid w:val="504306EC"/>
    <w:rsid w:val="504A1A7A"/>
    <w:rsid w:val="50506711"/>
    <w:rsid w:val="50616DC4"/>
    <w:rsid w:val="5071095F"/>
    <w:rsid w:val="507B60D8"/>
    <w:rsid w:val="5080549C"/>
    <w:rsid w:val="508807F5"/>
    <w:rsid w:val="50884351"/>
    <w:rsid w:val="50947199"/>
    <w:rsid w:val="50AF18DD"/>
    <w:rsid w:val="50BB0282"/>
    <w:rsid w:val="50BB2978"/>
    <w:rsid w:val="50C01D3C"/>
    <w:rsid w:val="50C51101"/>
    <w:rsid w:val="50CD4459"/>
    <w:rsid w:val="50D77086"/>
    <w:rsid w:val="50D852D8"/>
    <w:rsid w:val="50ED0658"/>
    <w:rsid w:val="50F11EF6"/>
    <w:rsid w:val="510B6E43"/>
    <w:rsid w:val="51195AB1"/>
    <w:rsid w:val="511B51C5"/>
    <w:rsid w:val="51295B34"/>
    <w:rsid w:val="512D283B"/>
    <w:rsid w:val="5133521A"/>
    <w:rsid w:val="51363DAD"/>
    <w:rsid w:val="514209A3"/>
    <w:rsid w:val="5142327B"/>
    <w:rsid w:val="514F2746"/>
    <w:rsid w:val="51516E38"/>
    <w:rsid w:val="515A3F3F"/>
    <w:rsid w:val="516A020D"/>
    <w:rsid w:val="51864D34"/>
    <w:rsid w:val="51870AAC"/>
    <w:rsid w:val="518D05C9"/>
    <w:rsid w:val="518E1E3B"/>
    <w:rsid w:val="51A21442"/>
    <w:rsid w:val="51A33E68"/>
    <w:rsid w:val="51A946CE"/>
    <w:rsid w:val="51B36CFC"/>
    <w:rsid w:val="51BF7BAC"/>
    <w:rsid w:val="51C413B8"/>
    <w:rsid w:val="51D13AD5"/>
    <w:rsid w:val="51DA5080"/>
    <w:rsid w:val="51DC4954"/>
    <w:rsid w:val="51E47D80"/>
    <w:rsid w:val="51E657D3"/>
    <w:rsid w:val="51E732F9"/>
    <w:rsid w:val="51EE0B2B"/>
    <w:rsid w:val="51F160FB"/>
    <w:rsid w:val="51F21D52"/>
    <w:rsid w:val="52214A5D"/>
    <w:rsid w:val="5221680B"/>
    <w:rsid w:val="52224331"/>
    <w:rsid w:val="52293911"/>
    <w:rsid w:val="523A167B"/>
    <w:rsid w:val="523F3135"/>
    <w:rsid w:val="52416EAD"/>
    <w:rsid w:val="524B1ADA"/>
    <w:rsid w:val="524D13AE"/>
    <w:rsid w:val="525210BA"/>
    <w:rsid w:val="525F5585"/>
    <w:rsid w:val="525F6430"/>
    <w:rsid w:val="526861E8"/>
    <w:rsid w:val="52770B21"/>
    <w:rsid w:val="527A416D"/>
    <w:rsid w:val="527C7EE5"/>
    <w:rsid w:val="529E3A37"/>
    <w:rsid w:val="529E7E5B"/>
    <w:rsid w:val="52B0193D"/>
    <w:rsid w:val="52B15DE1"/>
    <w:rsid w:val="52B33145"/>
    <w:rsid w:val="52B458D1"/>
    <w:rsid w:val="52B72CCB"/>
    <w:rsid w:val="52B94C95"/>
    <w:rsid w:val="52C227D3"/>
    <w:rsid w:val="52C92D36"/>
    <w:rsid w:val="52D25D57"/>
    <w:rsid w:val="52ED2B91"/>
    <w:rsid w:val="52EF06B7"/>
    <w:rsid w:val="52F263F9"/>
    <w:rsid w:val="52F67C97"/>
    <w:rsid w:val="52F83A10"/>
    <w:rsid w:val="530E09B8"/>
    <w:rsid w:val="531078C6"/>
    <w:rsid w:val="53135385"/>
    <w:rsid w:val="532F4F57"/>
    <w:rsid w:val="533031C8"/>
    <w:rsid w:val="533C039D"/>
    <w:rsid w:val="534357AA"/>
    <w:rsid w:val="534A56F4"/>
    <w:rsid w:val="534E1882"/>
    <w:rsid w:val="5354676C"/>
    <w:rsid w:val="53573E83"/>
    <w:rsid w:val="53600E69"/>
    <w:rsid w:val="536E5A80"/>
    <w:rsid w:val="53740BBC"/>
    <w:rsid w:val="53A9759F"/>
    <w:rsid w:val="53AB1247"/>
    <w:rsid w:val="53B536AF"/>
    <w:rsid w:val="53B86CFB"/>
    <w:rsid w:val="53BD1BF0"/>
    <w:rsid w:val="53C03E02"/>
    <w:rsid w:val="53C27B7A"/>
    <w:rsid w:val="53D004E8"/>
    <w:rsid w:val="53D55AFF"/>
    <w:rsid w:val="53DB1AFB"/>
    <w:rsid w:val="53F266B1"/>
    <w:rsid w:val="53F341D7"/>
    <w:rsid w:val="53FD4BD8"/>
    <w:rsid w:val="5406215C"/>
    <w:rsid w:val="540B7773"/>
    <w:rsid w:val="541C372E"/>
    <w:rsid w:val="541D4F04"/>
    <w:rsid w:val="543A1E06"/>
    <w:rsid w:val="54442C85"/>
    <w:rsid w:val="54480F47"/>
    <w:rsid w:val="5454111A"/>
    <w:rsid w:val="5470598C"/>
    <w:rsid w:val="547846DC"/>
    <w:rsid w:val="548337AD"/>
    <w:rsid w:val="54905ECA"/>
    <w:rsid w:val="54A13C33"/>
    <w:rsid w:val="54A51975"/>
    <w:rsid w:val="54A84FC1"/>
    <w:rsid w:val="54B576DE"/>
    <w:rsid w:val="54BB2F47"/>
    <w:rsid w:val="54C332D2"/>
    <w:rsid w:val="54C67B93"/>
    <w:rsid w:val="54CF69F2"/>
    <w:rsid w:val="54D264E2"/>
    <w:rsid w:val="54D77655"/>
    <w:rsid w:val="54DA5359"/>
    <w:rsid w:val="54E3249D"/>
    <w:rsid w:val="54ED6E78"/>
    <w:rsid w:val="54F268D9"/>
    <w:rsid w:val="55020B76"/>
    <w:rsid w:val="550878A3"/>
    <w:rsid w:val="550B72FE"/>
    <w:rsid w:val="550F6DEF"/>
    <w:rsid w:val="5511450F"/>
    <w:rsid w:val="5511700B"/>
    <w:rsid w:val="551408A9"/>
    <w:rsid w:val="551B70A5"/>
    <w:rsid w:val="551E5284"/>
    <w:rsid w:val="55342CF9"/>
    <w:rsid w:val="55376345"/>
    <w:rsid w:val="55436A98"/>
    <w:rsid w:val="554D5B69"/>
    <w:rsid w:val="554F18E1"/>
    <w:rsid w:val="556233C2"/>
    <w:rsid w:val="556F5ADF"/>
    <w:rsid w:val="55774994"/>
    <w:rsid w:val="558C6691"/>
    <w:rsid w:val="55907098"/>
    <w:rsid w:val="55AA2FBB"/>
    <w:rsid w:val="55AC0AE1"/>
    <w:rsid w:val="55AC6AAE"/>
    <w:rsid w:val="55BB6F68"/>
    <w:rsid w:val="55C87DE2"/>
    <w:rsid w:val="55CC4CE0"/>
    <w:rsid w:val="55CD6A42"/>
    <w:rsid w:val="55E0078B"/>
    <w:rsid w:val="55E4027B"/>
    <w:rsid w:val="55E464CD"/>
    <w:rsid w:val="55F02171"/>
    <w:rsid w:val="55F81F79"/>
    <w:rsid w:val="55FA7A9F"/>
    <w:rsid w:val="55FF6E63"/>
    <w:rsid w:val="561072C2"/>
    <w:rsid w:val="561B78F2"/>
    <w:rsid w:val="56293EE0"/>
    <w:rsid w:val="562B7C58"/>
    <w:rsid w:val="5637484F"/>
    <w:rsid w:val="563B3C13"/>
    <w:rsid w:val="56462CE4"/>
    <w:rsid w:val="56581ABD"/>
    <w:rsid w:val="56660C90"/>
    <w:rsid w:val="56680EAC"/>
    <w:rsid w:val="566969D2"/>
    <w:rsid w:val="56725887"/>
    <w:rsid w:val="567333AD"/>
    <w:rsid w:val="56786C15"/>
    <w:rsid w:val="567C4958"/>
    <w:rsid w:val="568A7C35"/>
    <w:rsid w:val="56A56296"/>
    <w:rsid w:val="56BD3675"/>
    <w:rsid w:val="56BE18A8"/>
    <w:rsid w:val="56BF7C5F"/>
    <w:rsid w:val="56C1680E"/>
    <w:rsid w:val="56C2499D"/>
    <w:rsid w:val="56C8194B"/>
    <w:rsid w:val="56CE6835"/>
    <w:rsid w:val="56CF468A"/>
    <w:rsid w:val="56E23ACD"/>
    <w:rsid w:val="56E322E1"/>
    <w:rsid w:val="56EA18C1"/>
    <w:rsid w:val="56F049FE"/>
    <w:rsid w:val="56FB1D20"/>
    <w:rsid w:val="57032983"/>
    <w:rsid w:val="570D1A54"/>
    <w:rsid w:val="57201787"/>
    <w:rsid w:val="574014E1"/>
    <w:rsid w:val="57405985"/>
    <w:rsid w:val="574C432A"/>
    <w:rsid w:val="5753390A"/>
    <w:rsid w:val="57541431"/>
    <w:rsid w:val="577D0987"/>
    <w:rsid w:val="578F2469"/>
    <w:rsid w:val="57913D66"/>
    <w:rsid w:val="5798756F"/>
    <w:rsid w:val="57B36157"/>
    <w:rsid w:val="57B91294"/>
    <w:rsid w:val="57BA6A60"/>
    <w:rsid w:val="57F17839"/>
    <w:rsid w:val="580544D9"/>
    <w:rsid w:val="580F5357"/>
    <w:rsid w:val="58160494"/>
    <w:rsid w:val="582114CC"/>
    <w:rsid w:val="58336314"/>
    <w:rsid w:val="584D5750"/>
    <w:rsid w:val="584F7E8A"/>
    <w:rsid w:val="5853793A"/>
    <w:rsid w:val="58541988"/>
    <w:rsid w:val="58560DD7"/>
    <w:rsid w:val="586414B1"/>
    <w:rsid w:val="586631C9"/>
    <w:rsid w:val="58693373"/>
    <w:rsid w:val="587753D7"/>
    <w:rsid w:val="587A4EC7"/>
    <w:rsid w:val="58825446"/>
    <w:rsid w:val="5884361E"/>
    <w:rsid w:val="589D2963"/>
    <w:rsid w:val="58A10ED2"/>
    <w:rsid w:val="58A75349"/>
    <w:rsid w:val="58AE2DC2"/>
    <w:rsid w:val="58D2085F"/>
    <w:rsid w:val="58DF2F7C"/>
    <w:rsid w:val="58EC5D11"/>
    <w:rsid w:val="58FA6008"/>
    <w:rsid w:val="5919023C"/>
    <w:rsid w:val="591C41D0"/>
    <w:rsid w:val="59284923"/>
    <w:rsid w:val="592F0511"/>
    <w:rsid w:val="59305585"/>
    <w:rsid w:val="594554D5"/>
    <w:rsid w:val="594567F9"/>
    <w:rsid w:val="59494470"/>
    <w:rsid w:val="59562159"/>
    <w:rsid w:val="59617740"/>
    <w:rsid w:val="5966544B"/>
    <w:rsid w:val="5967369D"/>
    <w:rsid w:val="596C3525"/>
    <w:rsid w:val="596F689D"/>
    <w:rsid w:val="59771406"/>
    <w:rsid w:val="59796F2C"/>
    <w:rsid w:val="59973856"/>
    <w:rsid w:val="59A91F95"/>
    <w:rsid w:val="59B43BDF"/>
    <w:rsid w:val="59B47F65"/>
    <w:rsid w:val="59BB5797"/>
    <w:rsid w:val="59C26B25"/>
    <w:rsid w:val="59C4289D"/>
    <w:rsid w:val="59D35B1C"/>
    <w:rsid w:val="59DD74BB"/>
    <w:rsid w:val="59F14D15"/>
    <w:rsid w:val="59FE51CE"/>
    <w:rsid w:val="5A160C1F"/>
    <w:rsid w:val="5A1629CD"/>
    <w:rsid w:val="5A355549"/>
    <w:rsid w:val="5A380B96"/>
    <w:rsid w:val="5A47527D"/>
    <w:rsid w:val="5A502380"/>
    <w:rsid w:val="5A581238"/>
    <w:rsid w:val="5A5F471A"/>
    <w:rsid w:val="5A625C12"/>
    <w:rsid w:val="5A636423"/>
    <w:rsid w:val="5A64198B"/>
    <w:rsid w:val="5A6574B1"/>
    <w:rsid w:val="5A6C03A3"/>
    <w:rsid w:val="5A6E2809"/>
    <w:rsid w:val="5A7F7CE6"/>
    <w:rsid w:val="5A89319F"/>
    <w:rsid w:val="5A8D7133"/>
    <w:rsid w:val="5A8F3A26"/>
    <w:rsid w:val="5ABC20E0"/>
    <w:rsid w:val="5AC42429"/>
    <w:rsid w:val="5ACE5056"/>
    <w:rsid w:val="5AD84127"/>
    <w:rsid w:val="5ADC3C17"/>
    <w:rsid w:val="5ADF330A"/>
    <w:rsid w:val="5AEB3E5A"/>
    <w:rsid w:val="5AF251E8"/>
    <w:rsid w:val="5AF34ABD"/>
    <w:rsid w:val="5AF820D3"/>
    <w:rsid w:val="5AFB338C"/>
    <w:rsid w:val="5B0B0058"/>
    <w:rsid w:val="5B0B1E06"/>
    <w:rsid w:val="5B1647AE"/>
    <w:rsid w:val="5B1C2265"/>
    <w:rsid w:val="5B2E54FF"/>
    <w:rsid w:val="5B2F1F99"/>
    <w:rsid w:val="5B4067A6"/>
    <w:rsid w:val="5B5056B7"/>
    <w:rsid w:val="5B5A4B3C"/>
    <w:rsid w:val="5B661732"/>
    <w:rsid w:val="5B6634E0"/>
    <w:rsid w:val="5B7976B8"/>
    <w:rsid w:val="5B9B5880"/>
    <w:rsid w:val="5B9E71EA"/>
    <w:rsid w:val="5BBB1A7E"/>
    <w:rsid w:val="5BBC1352"/>
    <w:rsid w:val="5BC052E6"/>
    <w:rsid w:val="5BCD355F"/>
    <w:rsid w:val="5BCF552A"/>
    <w:rsid w:val="5BD4669C"/>
    <w:rsid w:val="5BD90156"/>
    <w:rsid w:val="5BDB3ECE"/>
    <w:rsid w:val="5BDE39BF"/>
    <w:rsid w:val="5BED1AD6"/>
    <w:rsid w:val="5BF00249"/>
    <w:rsid w:val="5BF82D10"/>
    <w:rsid w:val="5BFC5BF3"/>
    <w:rsid w:val="5BFD33AF"/>
    <w:rsid w:val="5C007491"/>
    <w:rsid w:val="5C0F5926"/>
    <w:rsid w:val="5C142F3C"/>
    <w:rsid w:val="5C204225"/>
    <w:rsid w:val="5C265F6D"/>
    <w:rsid w:val="5C2E1E7B"/>
    <w:rsid w:val="5C390BF5"/>
    <w:rsid w:val="5C3A6E47"/>
    <w:rsid w:val="5C403D31"/>
    <w:rsid w:val="5C4C6B7A"/>
    <w:rsid w:val="5C4E6567"/>
    <w:rsid w:val="5C732359"/>
    <w:rsid w:val="5C7F0CFE"/>
    <w:rsid w:val="5C8400C2"/>
    <w:rsid w:val="5C8A1451"/>
    <w:rsid w:val="5C8E5513"/>
    <w:rsid w:val="5C902F0B"/>
    <w:rsid w:val="5C910A31"/>
    <w:rsid w:val="5C961BA3"/>
    <w:rsid w:val="5C9E402C"/>
    <w:rsid w:val="5CA70254"/>
    <w:rsid w:val="5CAB1AF3"/>
    <w:rsid w:val="5CAC7619"/>
    <w:rsid w:val="5CAD1369"/>
    <w:rsid w:val="5CC2690B"/>
    <w:rsid w:val="5CD86660"/>
    <w:rsid w:val="5CEF3C87"/>
    <w:rsid w:val="5CF44DF6"/>
    <w:rsid w:val="5D1E5492"/>
    <w:rsid w:val="5D215911"/>
    <w:rsid w:val="5D2E44D2"/>
    <w:rsid w:val="5D380EAD"/>
    <w:rsid w:val="5D3A4C25"/>
    <w:rsid w:val="5D4F6922"/>
    <w:rsid w:val="5D5201C0"/>
    <w:rsid w:val="5D535CE6"/>
    <w:rsid w:val="5D656AC5"/>
    <w:rsid w:val="5D69550A"/>
    <w:rsid w:val="5D6E42D7"/>
    <w:rsid w:val="5D700646"/>
    <w:rsid w:val="5D753EAF"/>
    <w:rsid w:val="5D7E0546"/>
    <w:rsid w:val="5D8F4F70"/>
    <w:rsid w:val="5D940199"/>
    <w:rsid w:val="5DBE5856"/>
    <w:rsid w:val="5DE30E18"/>
    <w:rsid w:val="5DFD637E"/>
    <w:rsid w:val="5E03770C"/>
    <w:rsid w:val="5E111E29"/>
    <w:rsid w:val="5E1E26DD"/>
    <w:rsid w:val="5E27164D"/>
    <w:rsid w:val="5E2A6A47"/>
    <w:rsid w:val="5E2B65C7"/>
    <w:rsid w:val="5E602469"/>
    <w:rsid w:val="5E60690D"/>
    <w:rsid w:val="5E6302BF"/>
    <w:rsid w:val="5E6C3504"/>
    <w:rsid w:val="5E6D4B86"/>
    <w:rsid w:val="5E6E2DD8"/>
    <w:rsid w:val="5E714676"/>
    <w:rsid w:val="5E754CDD"/>
    <w:rsid w:val="5E8048B9"/>
    <w:rsid w:val="5E873E9A"/>
    <w:rsid w:val="5E8A5738"/>
    <w:rsid w:val="5E8E5BA5"/>
    <w:rsid w:val="5E9F42DA"/>
    <w:rsid w:val="5EA44A4C"/>
    <w:rsid w:val="5EA507C4"/>
    <w:rsid w:val="5EA60D4B"/>
    <w:rsid w:val="5EB56C59"/>
    <w:rsid w:val="5EC869CF"/>
    <w:rsid w:val="5ECA144F"/>
    <w:rsid w:val="5ED87808"/>
    <w:rsid w:val="5EF77271"/>
    <w:rsid w:val="5F011E9E"/>
    <w:rsid w:val="5F0635B9"/>
    <w:rsid w:val="5F13000A"/>
    <w:rsid w:val="5F1C6CD8"/>
    <w:rsid w:val="5F31137C"/>
    <w:rsid w:val="5F3202A9"/>
    <w:rsid w:val="5F697A43"/>
    <w:rsid w:val="5F6E604F"/>
    <w:rsid w:val="5F7E34EF"/>
    <w:rsid w:val="5F812FDF"/>
    <w:rsid w:val="5F816B3B"/>
    <w:rsid w:val="5F87010B"/>
    <w:rsid w:val="5F903222"/>
    <w:rsid w:val="5FA10F8B"/>
    <w:rsid w:val="5FAE5456"/>
    <w:rsid w:val="5FBB029F"/>
    <w:rsid w:val="5FC03B07"/>
    <w:rsid w:val="5FC353A5"/>
    <w:rsid w:val="5FC609F2"/>
    <w:rsid w:val="5FCD7FD2"/>
    <w:rsid w:val="5FD02094"/>
    <w:rsid w:val="5FD161CC"/>
    <w:rsid w:val="5FD2383A"/>
    <w:rsid w:val="5FD56E87"/>
    <w:rsid w:val="5FE5356E"/>
    <w:rsid w:val="5FF4555F"/>
    <w:rsid w:val="5FF732A1"/>
    <w:rsid w:val="5FF7504F"/>
    <w:rsid w:val="5FFB4B3F"/>
    <w:rsid w:val="60031C46"/>
    <w:rsid w:val="60123C37"/>
    <w:rsid w:val="6017749F"/>
    <w:rsid w:val="60261BC5"/>
    <w:rsid w:val="603B13E0"/>
    <w:rsid w:val="603B4F3C"/>
    <w:rsid w:val="603C0CB4"/>
    <w:rsid w:val="60457B68"/>
    <w:rsid w:val="604F6C39"/>
    <w:rsid w:val="60526554"/>
    <w:rsid w:val="605B3830"/>
    <w:rsid w:val="605D3104"/>
    <w:rsid w:val="605E0C2A"/>
    <w:rsid w:val="6062071A"/>
    <w:rsid w:val="60627DEA"/>
    <w:rsid w:val="606A5821"/>
    <w:rsid w:val="607448F1"/>
    <w:rsid w:val="6089214B"/>
    <w:rsid w:val="608A5EC3"/>
    <w:rsid w:val="608A7C71"/>
    <w:rsid w:val="60934D78"/>
    <w:rsid w:val="609F196E"/>
    <w:rsid w:val="60A17757"/>
    <w:rsid w:val="60AA20C1"/>
    <w:rsid w:val="60AE1BB1"/>
    <w:rsid w:val="60BC5280"/>
    <w:rsid w:val="60C018E5"/>
    <w:rsid w:val="60D1764E"/>
    <w:rsid w:val="60E43825"/>
    <w:rsid w:val="60E5134B"/>
    <w:rsid w:val="60E530F9"/>
    <w:rsid w:val="60E9469A"/>
    <w:rsid w:val="60EC26DA"/>
    <w:rsid w:val="60F13BFD"/>
    <w:rsid w:val="60FF41BB"/>
    <w:rsid w:val="61054235"/>
    <w:rsid w:val="6105554A"/>
    <w:rsid w:val="610B2E5A"/>
    <w:rsid w:val="610E2650"/>
    <w:rsid w:val="61135EB8"/>
    <w:rsid w:val="61137C66"/>
    <w:rsid w:val="611A7247"/>
    <w:rsid w:val="611E05C9"/>
    <w:rsid w:val="614D13CA"/>
    <w:rsid w:val="61502C69"/>
    <w:rsid w:val="615269E1"/>
    <w:rsid w:val="61592AB9"/>
    <w:rsid w:val="615D0EE2"/>
    <w:rsid w:val="61691F7C"/>
    <w:rsid w:val="616B7AA3"/>
    <w:rsid w:val="617526CF"/>
    <w:rsid w:val="617C38F8"/>
    <w:rsid w:val="6186668A"/>
    <w:rsid w:val="618D7A19"/>
    <w:rsid w:val="61A15272"/>
    <w:rsid w:val="61A158C4"/>
    <w:rsid w:val="61A86601"/>
    <w:rsid w:val="61B551C2"/>
    <w:rsid w:val="61BE4076"/>
    <w:rsid w:val="61C3168D"/>
    <w:rsid w:val="61C827FF"/>
    <w:rsid w:val="61C93449"/>
    <w:rsid w:val="61CB4A04"/>
    <w:rsid w:val="61D5316E"/>
    <w:rsid w:val="61DA1F93"/>
    <w:rsid w:val="61FB0E26"/>
    <w:rsid w:val="620C3034"/>
    <w:rsid w:val="621517BC"/>
    <w:rsid w:val="622444B3"/>
    <w:rsid w:val="62347E94"/>
    <w:rsid w:val="623E0D13"/>
    <w:rsid w:val="62483940"/>
    <w:rsid w:val="625E7607"/>
    <w:rsid w:val="6263077A"/>
    <w:rsid w:val="626A7C77"/>
    <w:rsid w:val="626F35C2"/>
    <w:rsid w:val="62724E61"/>
    <w:rsid w:val="62742987"/>
    <w:rsid w:val="627666FF"/>
    <w:rsid w:val="627B1F67"/>
    <w:rsid w:val="628232F6"/>
    <w:rsid w:val="62913539"/>
    <w:rsid w:val="62922E0D"/>
    <w:rsid w:val="62944DD7"/>
    <w:rsid w:val="629923ED"/>
    <w:rsid w:val="62AC2121"/>
    <w:rsid w:val="62AF7E63"/>
    <w:rsid w:val="62C21944"/>
    <w:rsid w:val="62CD2097"/>
    <w:rsid w:val="62CE460F"/>
    <w:rsid w:val="62D11B87"/>
    <w:rsid w:val="62D358FF"/>
    <w:rsid w:val="62D52568"/>
    <w:rsid w:val="62DB2A06"/>
    <w:rsid w:val="62E278F0"/>
    <w:rsid w:val="62E53885"/>
    <w:rsid w:val="62F53AC8"/>
    <w:rsid w:val="62F92E8C"/>
    <w:rsid w:val="630755A9"/>
    <w:rsid w:val="630E4B89"/>
    <w:rsid w:val="630F2669"/>
    <w:rsid w:val="631A352E"/>
    <w:rsid w:val="631F2439"/>
    <w:rsid w:val="63207A0C"/>
    <w:rsid w:val="63212B0F"/>
    <w:rsid w:val="6324615B"/>
    <w:rsid w:val="632748F0"/>
    <w:rsid w:val="6335141E"/>
    <w:rsid w:val="63414F5F"/>
    <w:rsid w:val="63422A85"/>
    <w:rsid w:val="63454D6C"/>
    <w:rsid w:val="63462575"/>
    <w:rsid w:val="63555685"/>
    <w:rsid w:val="63576530"/>
    <w:rsid w:val="635822A8"/>
    <w:rsid w:val="63626C83"/>
    <w:rsid w:val="6370095A"/>
    <w:rsid w:val="637A221F"/>
    <w:rsid w:val="638906B4"/>
    <w:rsid w:val="63901A42"/>
    <w:rsid w:val="63953D64"/>
    <w:rsid w:val="6396497C"/>
    <w:rsid w:val="63A4104A"/>
    <w:rsid w:val="63A70B3A"/>
    <w:rsid w:val="63AD6150"/>
    <w:rsid w:val="63B23767"/>
    <w:rsid w:val="63E45DCE"/>
    <w:rsid w:val="63FA6EBC"/>
    <w:rsid w:val="640E2967"/>
    <w:rsid w:val="64264155"/>
    <w:rsid w:val="64281C7B"/>
    <w:rsid w:val="642B0279"/>
    <w:rsid w:val="64395C36"/>
    <w:rsid w:val="6441132E"/>
    <w:rsid w:val="64414217"/>
    <w:rsid w:val="644545DB"/>
    <w:rsid w:val="64591E34"/>
    <w:rsid w:val="646002CC"/>
    <w:rsid w:val="64664551"/>
    <w:rsid w:val="646F1658"/>
    <w:rsid w:val="64790728"/>
    <w:rsid w:val="64986E00"/>
    <w:rsid w:val="64992B79"/>
    <w:rsid w:val="649E3CEB"/>
    <w:rsid w:val="64AD2180"/>
    <w:rsid w:val="64B47341"/>
    <w:rsid w:val="64C50FBD"/>
    <w:rsid w:val="64C80D68"/>
    <w:rsid w:val="64CF0348"/>
    <w:rsid w:val="64CF659A"/>
    <w:rsid w:val="64D21BE7"/>
    <w:rsid w:val="64EC0EFA"/>
    <w:rsid w:val="64F16D22"/>
    <w:rsid w:val="64F25DE5"/>
    <w:rsid w:val="6502427A"/>
    <w:rsid w:val="65037FF2"/>
    <w:rsid w:val="65041302"/>
    <w:rsid w:val="650C492A"/>
    <w:rsid w:val="650F4BE9"/>
    <w:rsid w:val="65183A9D"/>
    <w:rsid w:val="651A5A67"/>
    <w:rsid w:val="651B17E0"/>
    <w:rsid w:val="653D1756"/>
    <w:rsid w:val="653D2227"/>
    <w:rsid w:val="653D52B2"/>
    <w:rsid w:val="6545060B"/>
    <w:rsid w:val="65586590"/>
    <w:rsid w:val="65635506"/>
    <w:rsid w:val="656655EA"/>
    <w:rsid w:val="656E7B61"/>
    <w:rsid w:val="65850E7C"/>
    <w:rsid w:val="65870532"/>
    <w:rsid w:val="658856E4"/>
    <w:rsid w:val="65907AD8"/>
    <w:rsid w:val="659147D3"/>
    <w:rsid w:val="65AB66C0"/>
    <w:rsid w:val="65D5198E"/>
    <w:rsid w:val="65E52C9B"/>
    <w:rsid w:val="65F20792"/>
    <w:rsid w:val="65F74891"/>
    <w:rsid w:val="65FA13F5"/>
    <w:rsid w:val="66083B12"/>
    <w:rsid w:val="661E1587"/>
    <w:rsid w:val="66266291"/>
    <w:rsid w:val="662917BC"/>
    <w:rsid w:val="663A3EE7"/>
    <w:rsid w:val="663A5C95"/>
    <w:rsid w:val="66456B14"/>
    <w:rsid w:val="6646288C"/>
    <w:rsid w:val="66486604"/>
    <w:rsid w:val="664A237C"/>
    <w:rsid w:val="66501F43"/>
    <w:rsid w:val="66507267"/>
    <w:rsid w:val="6659436D"/>
    <w:rsid w:val="665B6338"/>
    <w:rsid w:val="66650F64"/>
    <w:rsid w:val="666920D7"/>
    <w:rsid w:val="66707909"/>
    <w:rsid w:val="66850D80"/>
    <w:rsid w:val="66855163"/>
    <w:rsid w:val="668D4017"/>
    <w:rsid w:val="669C425A"/>
    <w:rsid w:val="66A852F5"/>
    <w:rsid w:val="66AB26EF"/>
    <w:rsid w:val="66B2655C"/>
    <w:rsid w:val="66B43C9A"/>
    <w:rsid w:val="66B5531C"/>
    <w:rsid w:val="66B6356E"/>
    <w:rsid w:val="66BD5E1B"/>
    <w:rsid w:val="66F26570"/>
    <w:rsid w:val="67070F51"/>
    <w:rsid w:val="670A0B8F"/>
    <w:rsid w:val="67286252"/>
    <w:rsid w:val="672901E4"/>
    <w:rsid w:val="672F50CE"/>
    <w:rsid w:val="673A29F1"/>
    <w:rsid w:val="673F0A72"/>
    <w:rsid w:val="674342E3"/>
    <w:rsid w:val="67446DCC"/>
    <w:rsid w:val="67517C39"/>
    <w:rsid w:val="676A25AA"/>
    <w:rsid w:val="676A4358"/>
    <w:rsid w:val="67824A73"/>
    <w:rsid w:val="67825B46"/>
    <w:rsid w:val="67852F40"/>
    <w:rsid w:val="67955879"/>
    <w:rsid w:val="679D64DC"/>
    <w:rsid w:val="67BA708E"/>
    <w:rsid w:val="67BD6B7E"/>
    <w:rsid w:val="67CD5013"/>
    <w:rsid w:val="67DD16E6"/>
    <w:rsid w:val="67DF08A2"/>
    <w:rsid w:val="67F02AB0"/>
    <w:rsid w:val="67F87BB6"/>
    <w:rsid w:val="67FA7F10"/>
    <w:rsid w:val="68096A3E"/>
    <w:rsid w:val="68195C98"/>
    <w:rsid w:val="681A3FD0"/>
    <w:rsid w:val="68224C33"/>
    <w:rsid w:val="68282249"/>
    <w:rsid w:val="68355788"/>
    <w:rsid w:val="683706DE"/>
    <w:rsid w:val="68376930"/>
    <w:rsid w:val="683A01CF"/>
    <w:rsid w:val="683F57E5"/>
    <w:rsid w:val="68401F12"/>
    <w:rsid w:val="68437083"/>
    <w:rsid w:val="684B418A"/>
    <w:rsid w:val="684D07C1"/>
    <w:rsid w:val="684F667B"/>
    <w:rsid w:val="68576637"/>
    <w:rsid w:val="686178A3"/>
    <w:rsid w:val="68725BBA"/>
    <w:rsid w:val="68755FBB"/>
    <w:rsid w:val="688C4126"/>
    <w:rsid w:val="68906041"/>
    <w:rsid w:val="689773CF"/>
    <w:rsid w:val="689830F3"/>
    <w:rsid w:val="68A02082"/>
    <w:rsid w:val="68A65864"/>
    <w:rsid w:val="68AB2E7A"/>
    <w:rsid w:val="68B9527C"/>
    <w:rsid w:val="68BA4E6C"/>
    <w:rsid w:val="68BC6E36"/>
    <w:rsid w:val="68C27FCB"/>
    <w:rsid w:val="68C63810"/>
    <w:rsid w:val="68CA77A4"/>
    <w:rsid w:val="68CD4BEA"/>
    <w:rsid w:val="68D221B5"/>
    <w:rsid w:val="68DD74D8"/>
    <w:rsid w:val="68E02B24"/>
    <w:rsid w:val="68E06DDD"/>
    <w:rsid w:val="68EC05C1"/>
    <w:rsid w:val="68EC771B"/>
    <w:rsid w:val="68FE744E"/>
    <w:rsid w:val="69085BD7"/>
    <w:rsid w:val="691B1A32"/>
    <w:rsid w:val="691B590A"/>
    <w:rsid w:val="691C6E3B"/>
    <w:rsid w:val="692F61D9"/>
    <w:rsid w:val="693E5A9D"/>
    <w:rsid w:val="694122ED"/>
    <w:rsid w:val="69472BA3"/>
    <w:rsid w:val="695732F0"/>
    <w:rsid w:val="695D23C7"/>
    <w:rsid w:val="69670B4F"/>
    <w:rsid w:val="69692B1A"/>
    <w:rsid w:val="696A4AE4"/>
    <w:rsid w:val="696C0262"/>
    <w:rsid w:val="698A28D9"/>
    <w:rsid w:val="69A2427D"/>
    <w:rsid w:val="69A2602B"/>
    <w:rsid w:val="69A91168"/>
    <w:rsid w:val="69B97382"/>
    <w:rsid w:val="69BB3005"/>
    <w:rsid w:val="69CD15B7"/>
    <w:rsid w:val="69F55085"/>
    <w:rsid w:val="69F908EC"/>
    <w:rsid w:val="6A1F767C"/>
    <w:rsid w:val="6A246A40"/>
    <w:rsid w:val="6A2E7BE7"/>
    <w:rsid w:val="6A3A2708"/>
    <w:rsid w:val="6A5C267E"/>
    <w:rsid w:val="6A773192"/>
    <w:rsid w:val="6A786D8C"/>
    <w:rsid w:val="6A9811DC"/>
    <w:rsid w:val="6AAD2EDA"/>
    <w:rsid w:val="6AB55B5F"/>
    <w:rsid w:val="6AC02C0D"/>
    <w:rsid w:val="6AC36259"/>
    <w:rsid w:val="6AC50223"/>
    <w:rsid w:val="6AC92DE9"/>
    <w:rsid w:val="6AD11C05"/>
    <w:rsid w:val="6AD246EE"/>
    <w:rsid w:val="6AD47946"/>
    <w:rsid w:val="6ADB2195"/>
    <w:rsid w:val="6AF723A7"/>
    <w:rsid w:val="6B0625EA"/>
    <w:rsid w:val="6B0A032C"/>
    <w:rsid w:val="6B3D425E"/>
    <w:rsid w:val="6B4450F3"/>
    <w:rsid w:val="6B4524B7"/>
    <w:rsid w:val="6B476E8A"/>
    <w:rsid w:val="6B4C44A1"/>
    <w:rsid w:val="6B596BBE"/>
    <w:rsid w:val="6B642F9C"/>
    <w:rsid w:val="6B717D80"/>
    <w:rsid w:val="6B8005EE"/>
    <w:rsid w:val="6B87197D"/>
    <w:rsid w:val="6BA3608B"/>
    <w:rsid w:val="6BAD3747"/>
    <w:rsid w:val="6BB9765C"/>
    <w:rsid w:val="6BBF2EC5"/>
    <w:rsid w:val="6BC32289"/>
    <w:rsid w:val="6BCA186A"/>
    <w:rsid w:val="6BCA3618"/>
    <w:rsid w:val="6BD61FBC"/>
    <w:rsid w:val="6BD66460"/>
    <w:rsid w:val="6BE648F5"/>
    <w:rsid w:val="6BF07522"/>
    <w:rsid w:val="6BF57693"/>
    <w:rsid w:val="6C027255"/>
    <w:rsid w:val="6C092392"/>
    <w:rsid w:val="6C1B3E73"/>
    <w:rsid w:val="6C1C0317"/>
    <w:rsid w:val="6C30791F"/>
    <w:rsid w:val="6C3B25B6"/>
    <w:rsid w:val="6C464BA4"/>
    <w:rsid w:val="6C4F7438"/>
    <w:rsid w:val="6C5740F9"/>
    <w:rsid w:val="6C606B48"/>
    <w:rsid w:val="6C71069C"/>
    <w:rsid w:val="6C755C79"/>
    <w:rsid w:val="6C837232"/>
    <w:rsid w:val="6C845EBC"/>
    <w:rsid w:val="6C850C61"/>
    <w:rsid w:val="6C8B2DA7"/>
    <w:rsid w:val="6C9248FC"/>
    <w:rsid w:val="6CA200F0"/>
    <w:rsid w:val="6CB85050"/>
    <w:rsid w:val="6CBB1421"/>
    <w:rsid w:val="6CDA33DB"/>
    <w:rsid w:val="6CE10C19"/>
    <w:rsid w:val="6CE8644B"/>
    <w:rsid w:val="6CED5810"/>
    <w:rsid w:val="6CF7043C"/>
    <w:rsid w:val="6CFE17CB"/>
    <w:rsid w:val="6CFF33C0"/>
    <w:rsid w:val="6D0112BB"/>
    <w:rsid w:val="6D0B038C"/>
    <w:rsid w:val="6D104517"/>
    <w:rsid w:val="6D184E6C"/>
    <w:rsid w:val="6D1A237D"/>
    <w:rsid w:val="6D24244C"/>
    <w:rsid w:val="6D2A6A64"/>
    <w:rsid w:val="6D2F407A"/>
    <w:rsid w:val="6D301BA0"/>
    <w:rsid w:val="6D321474"/>
    <w:rsid w:val="6D371181"/>
    <w:rsid w:val="6D4C4C2C"/>
    <w:rsid w:val="6D513FF0"/>
    <w:rsid w:val="6D57537F"/>
    <w:rsid w:val="6D583572"/>
    <w:rsid w:val="6D6F4477"/>
    <w:rsid w:val="6D7221B9"/>
    <w:rsid w:val="6D723F67"/>
    <w:rsid w:val="6D7B222A"/>
    <w:rsid w:val="6D8141AA"/>
    <w:rsid w:val="6D9D7236"/>
    <w:rsid w:val="6DA5433C"/>
    <w:rsid w:val="6DCF13B9"/>
    <w:rsid w:val="6DDB1B0C"/>
    <w:rsid w:val="6DE25825"/>
    <w:rsid w:val="6DEE183F"/>
    <w:rsid w:val="6DF1132F"/>
    <w:rsid w:val="6DF80910"/>
    <w:rsid w:val="6E070B53"/>
    <w:rsid w:val="6E0E0133"/>
    <w:rsid w:val="6E11552E"/>
    <w:rsid w:val="6E1B45FE"/>
    <w:rsid w:val="6E276AFF"/>
    <w:rsid w:val="6E2A648C"/>
    <w:rsid w:val="6E380D0C"/>
    <w:rsid w:val="6E3C2A15"/>
    <w:rsid w:val="6E4476B1"/>
    <w:rsid w:val="6E4B6C92"/>
    <w:rsid w:val="6E531FEA"/>
    <w:rsid w:val="6E533D98"/>
    <w:rsid w:val="6E5F273D"/>
    <w:rsid w:val="6E680B4E"/>
    <w:rsid w:val="6E6E0BD2"/>
    <w:rsid w:val="6E7154F0"/>
    <w:rsid w:val="6E7837FF"/>
    <w:rsid w:val="6E8F312B"/>
    <w:rsid w:val="6E8F758B"/>
    <w:rsid w:val="6E971ED7"/>
    <w:rsid w:val="6E9C0302"/>
    <w:rsid w:val="6EBB69F8"/>
    <w:rsid w:val="6EBE56B6"/>
    <w:rsid w:val="6EC30F1E"/>
    <w:rsid w:val="6EC801D0"/>
    <w:rsid w:val="6EC922AC"/>
    <w:rsid w:val="6ED35967"/>
    <w:rsid w:val="6ED73575"/>
    <w:rsid w:val="6ED76777"/>
    <w:rsid w:val="6EE844E0"/>
    <w:rsid w:val="6EEF1D13"/>
    <w:rsid w:val="6EF4232C"/>
    <w:rsid w:val="6EF54E4F"/>
    <w:rsid w:val="6EF70BC7"/>
    <w:rsid w:val="6F060E0B"/>
    <w:rsid w:val="6F183DCB"/>
    <w:rsid w:val="6F190B3E"/>
    <w:rsid w:val="6F23122E"/>
    <w:rsid w:val="6F262767"/>
    <w:rsid w:val="6F265009"/>
    <w:rsid w:val="6F2F0361"/>
    <w:rsid w:val="6F3431BD"/>
    <w:rsid w:val="6F41270D"/>
    <w:rsid w:val="6F4E54A4"/>
    <w:rsid w:val="6F5558EE"/>
    <w:rsid w:val="6F5B015B"/>
    <w:rsid w:val="6F685621"/>
    <w:rsid w:val="6F6873CF"/>
    <w:rsid w:val="6F6A0A78"/>
    <w:rsid w:val="6F6F69B0"/>
    <w:rsid w:val="6F7246F2"/>
    <w:rsid w:val="6F834209"/>
    <w:rsid w:val="6F854425"/>
    <w:rsid w:val="6F871F4B"/>
    <w:rsid w:val="6F902885"/>
    <w:rsid w:val="6FA64098"/>
    <w:rsid w:val="6FAA5C3A"/>
    <w:rsid w:val="6FAF18A1"/>
    <w:rsid w:val="6FB30EF7"/>
    <w:rsid w:val="6FB36CAD"/>
    <w:rsid w:val="6FB676E1"/>
    <w:rsid w:val="6FC54822"/>
    <w:rsid w:val="6FD61C0D"/>
    <w:rsid w:val="6FEA1D0F"/>
    <w:rsid w:val="6FF2313D"/>
    <w:rsid w:val="6FF46EB5"/>
    <w:rsid w:val="700714A0"/>
    <w:rsid w:val="70147557"/>
    <w:rsid w:val="701F4583"/>
    <w:rsid w:val="70205EFC"/>
    <w:rsid w:val="70207CAA"/>
    <w:rsid w:val="70231548"/>
    <w:rsid w:val="70253512"/>
    <w:rsid w:val="702E686B"/>
    <w:rsid w:val="703120E1"/>
    <w:rsid w:val="703E4ED1"/>
    <w:rsid w:val="703F45D4"/>
    <w:rsid w:val="704A2F79"/>
    <w:rsid w:val="704C3842"/>
    <w:rsid w:val="70781894"/>
    <w:rsid w:val="707C3180"/>
    <w:rsid w:val="70840239"/>
    <w:rsid w:val="708C533F"/>
    <w:rsid w:val="70916CA0"/>
    <w:rsid w:val="70A04D00"/>
    <w:rsid w:val="70B2124A"/>
    <w:rsid w:val="70C26FB3"/>
    <w:rsid w:val="70C525FF"/>
    <w:rsid w:val="70D2369A"/>
    <w:rsid w:val="70D32F6E"/>
    <w:rsid w:val="70D475D2"/>
    <w:rsid w:val="70DA1D6D"/>
    <w:rsid w:val="70E76A1A"/>
    <w:rsid w:val="70EA4372"/>
    <w:rsid w:val="70F21646"/>
    <w:rsid w:val="70F353BF"/>
    <w:rsid w:val="70FC24C5"/>
    <w:rsid w:val="71071CEE"/>
    <w:rsid w:val="71121CE9"/>
    <w:rsid w:val="711517D9"/>
    <w:rsid w:val="71155816"/>
    <w:rsid w:val="711772FF"/>
    <w:rsid w:val="71245578"/>
    <w:rsid w:val="71257C6E"/>
    <w:rsid w:val="71353C29"/>
    <w:rsid w:val="713779A1"/>
    <w:rsid w:val="71386A31"/>
    <w:rsid w:val="7141612A"/>
    <w:rsid w:val="715916C6"/>
    <w:rsid w:val="715D0D7A"/>
    <w:rsid w:val="715E0A8A"/>
    <w:rsid w:val="71607830"/>
    <w:rsid w:val="71693BBC"/>
    <w:rsid w:val="716D5171"/>
    <w:rsid w:val="717209D9"/>
    <w:rsid w:val="717402AD"/>
    <w:rsid w:val="717604C9"/>
    <w:rsid w:val="71810C1C"/>
    <w:rsid w:val="718F158B"/>
    <w:rsid w:val="71980DAE"/>
    <w:rsid w:val="719941B8"/>
    <w:rsid w:val="719F449E"/>
    <w:rsid w:val="71AF12E6"/>
    <w:rsid w:val="71C867F5"/>
    <w:rsid w:val="71CF3532"/>
    <w:rsid w:val="71D50007"/>
    <w:rsid w:val="71D874DF"/>
    <w:rsid w:val="71E03B95"/>
    <w:rsid w:val="71E13469"/>
    <w:rsid w:val="71EC2889"/>
    <w:rsid w:val="71F72416"/>
    <w:rsid w:val="71FB43B2"/>
    <w:rsid w:val="72135D18"/>
    <w:rsid w:val="722E1850"/>
    <w:rsid w:val="723143F0"/>
    <w:rsid w:val="7237112E"/>
    <w:rsid w:val="724C122A"/>
    <w:rsid w:val="725325B9"/>
    <w:rsid w:val="72534367"/>
    <w:rsid w:val="72695938"/>
    <w:rsid w:val="727B1B10"/>
    <w:rsid w:val="727D7636"/>
    <w:rsid w:val="7289422C"/>
    <w:rsid w:val="72897D89"/>
    <w:rsid w:val="72964253"/>
    <w:rsid w:val="729D3834"/>
    <w:rsid w:val="72B55021"/>
    <w:rsid w:val="72B868C0"/>
    <w:rsid w:val="72BA6194"/>
    <w:rsid w:val="72C60FDD"/>
    <w:rsid w:val="72D51220"/>
    <w:rsid w:val="72D57472"/>
    <w:rsid w:val="72D82ABE"/>
    <w:rsid w:val="72F316A6"/>
    <w:rsid w:val="72F773E8"/>
    <w:rsid w:val="72FC67AC"/>
    <w:rsid w:val="73025D8D"/>
    <w:rsid w:val="730C2768"/>
    <w:rsid w:val="731109BF"/>
    <w:rsid w:val="731358A4"/>
    <w:rsid w:val="73140013"/>
    <w:rsid w:val="73223D39"/>
    <w:rsid w:val="73262E20"/>
    <w:rsid w:val="73412411"/>
    <w:rsid w:val="73424EFF"/>
    <w:rsid w:val="7343262D"/>
    <w:rsid w:val="73452630"/>
    <w:rsid w:val="73463ECB"/>
    <w:rsid w:val="73491FA6"/>
    <w:rsid w:val="736D76AA"/>
    <w:rsid w:val="7375379A"/>
    <w:rsid w:val="737A3B75"/>
    <w:rsid w:val="738642C8"/>
    <w:rsid w:val="73942E89"/>
    <w:rsid w:val="73AF1A71"/>
    <w:rsid w:val="73D6524F"/>
    <w:rsid w:val="73D96AEE"/>
    <w:rsid w:val="73E7745D"/>
    <w:rsid w:val="74031DBD"/>
    <w:rsid w:val="74161AF0"/>
    <w:rsid w:val="741D1DFB"/>
    <w:rsid w:val="742324ED"/>
    <w:rsid w:val="74273CFD"/>
    <w:rsid w:val="742C30C1"/>
    <w:rsid w:val="742F617E"/>
    <w:rsid w:val="74324450"/>
    <w:rsid w:val="74474B96"/>
    <w:rsid w:val="745E0AC8"/>
    <w:rsid w:val="745F3497"/>
    <w:rsid w:val="74715DE3"/>
    <w:rsid w:val="747800B5"/>
    <w:rsid w:val="747B5DF7"/>
    <w:rsid w:val="74844CAB"/>
    <w:rsid w:val="74A013B9"/>
    <w:rsid w:val="74A37B98"/>
    <w:rsid w:val="74A62F57"/>
    <w:rsid w:val="74B133C4"/>
    <w:rsid w:val="74B15F95"/>
    <w:rsid w:val="74B35591"/>
    <w:rsid w:val="74B66E2F"/>
    <w:rsid w:val="74DA2B1D"/>
    <w:rsid w:val="74E92D60"/>
    <w:rsid w:val="74F5489D"/>
    <w:rsid w:val="74F72152"/>
    <w:rsid w:val="74FC0CE6"/>
    <w:rsid w:val="74FC6F38"/>
    <w:rsid w:val="74FF4332"/>
    <w:rsid w:val="751029E3"/>
    <w:rsid w:val="75104791"/>
    <w:rsid w:val="75183646"/>
    <w:rsid w:val="75226B23"/>
    <w:rsid w:val="75267B11"/>
    <w:rsid w:val="752B5127"/>
    <w:rsid w:val="75385A96"/>
    <w:rsid w:val="753B10E2"/>
    <w:rsid w:val="75491A51"/>
    <w:rsid w:val="7552712D"/>
    <w:rsid w:val="755C79D6"/>
    <w:rsid w:val="755F3023"/>
    <w:rsid w:val="75663C8B"/>
    <w:rsid w:val="757E2BAF"/>
    <w:rsid w:val="758F1B5A"/>
    <w:rsid w:val="75907680"/>
    <w:rsid w:val="75976C60"/>
    <w:rsid w:val="75994786"/>
    <w:rsid w:val="759E3B4B"/>
    <w:rsid w:val="75AF3FAA"/>
    <w:rsid w:val="75B74C0D"/>
    <w:rsid w:val="75C14E11"/>
    <w:rsid w:val="75CB06B8"/>
    <w:rsid w:val="75CD66A7"/>
    <w:rsid w:val="75DA08FB"/>
    <w:rsid w:val="75DB69E8"/>
    <w:rsid w:val="75E35A02"/>
    <w:rsid w:val="75E83018"/>
    <w:rsid w:val="7601569C"/>
    <w:rsid w:val="760616F0"/>
    <w:rsid w:val="760A3A7A"/>
    <w:rsid w:val="760C31AA"/>
    <w:rsid w:val="761638DC"/>
    <w:rsid w:val="76342701"/>
    <w:rsid w:val="76391AC6"/>
    <w:rsid w:val="763B3A90"/>
    <w:rsid w:val="764B35A7"/>
    <w:rsid w:val="76515061"/>
    <w:rsid w:val="76515EBE"/>
    <w:rsid w:val="765E426C"/>
    <w:rsid w:val="76612DCA"/>
    <w:rsid w:val="766234D3"/>
    <w:rsid w:val="766C1E9B"/>
    <w:rsid w:val="766D0ACF"/>
    <w:rsid w:val="76787594"/>
    <w:rsid w:val="767E572A"/>
    <w:rsid w:val="76832D41"/>
    <w:rsid w:val="768A0573"/>
    <w:rsid w:val="7699749F"/>
    <w:rsid w:val="76A258BD"/>
    <w:rsid w:val="76A41635"/>
    <w:rsid w:val="76AA4771"/>
    <w:rsid w:val="76BB697E"/>
    <w:rsid w:val="76E15E30"/>
    <w:rsid w:val="76F31C74"/>
    <w:rsid w:val="770420D4"/>
    <w:rsid w:val="770A12F4"/>
    <w:rsid w:val="771A260C"/>
    <w:rsid w:val="772269FE"/>
    <w:rsid w:val="7724489D"/>
    <w:rsid w:val="7729476D"/>
    <w:rsid w:val="772C162A"/>
    <w:rsid w:val="77335475"/>
    <w:rsid w:val="77383B2B"/>
    <w:rsid w:val="773C186D"/>
    <w:rsid w:val="773D3837"/>
    <w:rsid w:val="77440722"/>
    <w:rsid w:val="774A174C"/>
    <w:rsid w:val="77505319"/>
    <w:rsid w:val="77613082"/>
    <w:rsid w:val="776D40C1"/>
    <w:rsid w:val="778D7C68"/>
    <w:rsid w:val="77BE04D4"/>
    <w:rsid w:val="77BE6726"/>
    <w:rsid w:val="77BF424C"/>
    <w:rsid w:val="77C6382D"/>
    <w:rsid w:val="77D47CF8"/>
    <w:rsid w:val="77DA2E34"/>
    <w:rsid w:val="77F11A4A"/>
    <w:rsid w:val="77F51A1C"/>
    <w:rsid w:val="78014865"/>
    <w:rsid w:val="781B5927"/>
    <w:rsid w:val="781C6B25"/>
    <w:rsid w:val="782A7918"/>
    <w:rsid w:val="782B543C"/>
    <w:rsid w:val="783510EA"/>
    <w:rsid w:val="78411105"/>
    <w:rsid w:val="78544F03"/>
    <w:rsid w:val="7858261A"/>
    <w:rsid w:val="78584264"/>
    <w:rsid w:val="785B3F75"/>
    <w:rsid w:val="785E1CB7"/>
    <w:rsid w:val="786A41B8"/>
    <w:rsid w:val="786B1CDE"/>
    <w:rsid w:val="786C7F30"/>
    <w:rsid w:val="786F5C73"/>
    <w:rsid w:val="78922459"/>
    <w:rsid w:val="78972AD3"/>
    <w:rsid w:val="789E0306"/>
    <w:rsid w:val="78AA6CAB"/>
    <w:rsid w:val="78BD69DE"/>
    <w:rsid w:val="78C31B1A"/>
    <w:rsid w:val="78C80EDF"/>
    <w:rsid w:val="78CE71F9"/>
    <w:rsid w:val="78CF6711"/>
    <w:rsid w:val="78EB5EB3"/>
    <w:rsid w:val="78F62EDB"/>
    <w:rsid w:val="78FA19E0"/>
    <w:rsid w:val="78FF6FF6"/>
    <w:rsid w:val="790F6B0E"/>
    <w:rsid w:val="7924080B"/>
    <w:rsid w:val="79257FB4"/>
    <w:rsid w:val="793469A9"/>
    <w:rsid w:val="794C38BE"/>
    <w:rsid w:val="79507852"/>
    <w:rsid w:val="795A5FDB"/>
    <w:rsid w:val="79605479"/>
    <w:rsid w:val="7977592B"/>
    <w:rsid w:val="798017B9"/>
    <w:rsid w:val="79815C5D"/>
    <w:rsid w:val="79856DD0"/>
    <w:rsid w:val="79863274"/>
    <w:rsid w:val="798968C0"/>
    <w:rsid w:val="798B44CA"/>
    <w:rsid w:val="799E680F"/>
    <w:rsid w:val="79A47B9E"/>
    <w:rsid w:val="79AB2CDA"/>
    <w:rsid w:val="79AB6836"/>
    <w:rsid w:val="79B17BC5"/>
    <w:rsid w:val="79BA462A"/>
    <w:rsid w:val="79C606A5"/>
    <w:rsid w:val="79C943F8"/>
    <w:rsid w:val="79D40FAF"/>
    <w:rsid w:val="79DA536E"/>
    <w:rsid w:val="79E65AC0"/>
    <w:rsid w:val="79ED6E4F"/>
    <w:rsid w:val="79F918FC"/>
    <w:rsid w:val="79FA3470"/>
    <w:rsid w:val="7A205476"/>
    <w:rsid w:val="7A441A53"/>
    <w:rsid w:val="7A540C7C"/>
    <w:rsid w:val="7A566689"/>
    <w:rsid w:val="7A5E5F9F"/>
    <w:rsid w:val="7A6730A5"/>
    <w:rsid w:val="7A70182E"/>
    <w:rsid w:val="7A7237F8"/>
    <w:rsid w:val="7A807CC3"/>
    <w:rsid w:val="7A814CBA"/>
    <w:rsid w:val="7A8F43AA"/>
    <w:rsid w:val="7A8F6158"/>
    <w:rsid w:val="7AA03EC1"/>
    <w:rsid w:val="7AA4275F"/>
    <w:rsid w:val="7AB91427"/>
    <w:rsid w:val="7AB94F83"/>
    <w:rsid w:val="7AC323A6"/>
    <w:rsid w:val="7AC676A0"/>
    <w:rsid w:val="7AC758F2"/>
    <w:rsid w:val="7AD85D51"/>
    <w:rsid w:val="7AD91CD2"/>
    <w:rsid w:val="7AD93877"/>
    <w:rsid w:val="7ADB75EF"/>
    <w:rsid w:val="7AE04C06"/>
    <w:rsid w:val="7AE2033E"/>
    <w:rsid w:val="7AE55D78"/>
    <w:rsid w:val="7AEA7832"/>
    <w:rsid w:val="7AF538AC"/>
    <w:rsid w:val="7B070B09"/>
    <w:rsid w:val="7B0C2AED"/>
    <w:rsid w:val="7B19779A"/>
    <w:rsid w:val="7B1B5C3E"/>
    <w:rsid w:val="7B1E6EC1"/>
    <w:rsid w:val="7B215011"/>
    <w:rsid w:val="7B38059E"/>
    <w:rsid w:val="7B5353D8"/>
    <w:rsid w:val="7B6273C9"/>
    <w:rsid w:val="7B6770D5"/>
    <w:rsid w:val="7B6E2211"/>
    <w:rsid w:val="7B703FE6"/>
    <w:rsid w:val="7B7470FC"/>
    <w:rsid w:val="7B752B85"/>
    <w:rsid w:val="7B876E2F"/>
    <w:rsid w:val="7B890DF9"/>
    <w:rsid w:val="7B8B2DC3"/>
    <w:rsid w:val="7B902188"/>
    <w:rsid w:val="7B93234C"/>
    <w:rsid w:val="7B9B0B2D"/>
    <w:rsid w:val="7B9B28DB"/>
    <w:rsid w:val="7BA06143"/>
    <w:rsid w:val="7BA1652C"/>
    <w:rsid w:val="7BBA0FB3"/>
    <w:rsid w:val="7BBD4F47"/>
    <w:rsid w:val="7BBF0393"/>
    <w:rsid w:val="7BC97448"/>
    <w:rsid w:val="7BD04C7A"/>
    <w:rsid w:val="7BD11077"/>
    <w:rsid w:val="7BEE0EE2"/>
    <w:rsid w:val="7BEF5047"/>
    <w:rsid w:val="7BF00E78"/>
    <w:rsid w:val="7BFA3E11"/>
    <w:rsid w:val="7BFD3595"/>
    <w:rsid w:val="7BFE17E7"/>
    <w:rsid w:val="7C0C133E"/>
    <w:rsid w:val="7C16681D"/>
    <w:rsid w:val="7C2366FD"/>
    <w:rsid w:val="7C336FB7"/>
    <w:rsid w:val="7C376AA7"/>
    <w:rsid w:val="7C492337"/>
    <w:rsid w:val="7C594C70"/>
    <w:rsid w:val="7C7559C8"/>
    <w:rsid w:val="7C76687C"/>
    <w:rsid w:val="7C7E0732"/>
    <w:rsid w:val="7C80044E"/>
    <w:rsid w:val="7C804CED"/>
    <w:rsid w:val="7C9B5288"/>
    <w:rsid w:val="7CA77E28"/>
    <w:rsid w:val="7CAA54CB"/>
    <w:rsid w:val="7CAD0B17"/>
    <w:rsid w:val="7CB912D6"/>
    <w:rsid w:val="7CB9570E"/>
    <w:rsid w:val="7CC41F7F"/>
    <w:rsid w:val="7CC55E61"/>
    <w:rsid w:val="7CD24A22"/>
    <w:rsid w:val="7CE107C1"/>
    <w:rsid w:val="7CE704CD"/>
    <w:rsid w:val="7CFF4D47"/>
    <w:rsid w:val="7D0A5F6A"/>
    <w:rsid w:val="7D1961AD"/>
    <w:rsid w:val="7D20753B"/>
    <w:rsid w:val="7D2607D8"/>
    <w:rsid w:val="7D376633"/>
    <w:rsid w:val="7D3905FD"/>
    <w:rsid w:val="7D580A83"/>
    <w:rsid w:val="7D641D48"/>
    <w:rsid w:val="7D7D79ED"/>
    <w:rsid w:val="7D8950E1"/>
    <w:rsid w:val="7D910439"/>
    <w:rsid w:val="7D92689C"/>
    <w:rsid w:val="7D9B4E14"/>
    <w:rsid w:val="7D9D293A"/>
    <w:rsid w:val="7DA168CE"/>
    <w:rsid w:val="7DA243F4"/>
    <w:rsid w:val="7DB83C18"/>
    <w:rsid w:val="7DC425BD"/>
    <w:rsid w:val="7DC46784"/>
    <w:rsid w:val="7DCB56F9"/>
    <w:rsid w:val="7DD345AE"/>
    <w:rsid w:val="7DD73409"/>
    <w:rsid w:val="7DDA3B8E"/>
    <w:rsid w:val="7DDE2FF4"/>
    <w:rsid w:val="7DDF6300"/>
    <w:rsid w:val="7DF34C50"/>
    <w:rsid w:val="7E0724A9"/>
    <w:rsid w:val="7E215319"/>
    <w:rsid w:val="7E2D63B4"/>
    <w:rsid w:val="7E325778"/>
    <w:rsid w:val="7E327526"/>
    <w:rsid w:val="7E4159BB"/>
    <w:rsid w:val="7E6B6EDC"/>
    <w:rsid w:val="7E6E42D6"/>
    <w:rsid w:val="7E751993"/>
    <w:rsid w:val="7E755665"/>
    <w:rsid w:val="7E8104AE"/>
    <w:rsid w:val="7E837D82"/>
    <w:rsid w:val="7E8645F2"/>
    <w:rsid w:val="7E8B6C36"/>
    <w:rsid w:val="7E8D0C00"/>
    <w:rsid w:val="7E9006F1"/>
    <w:rsid w:val="7E9C0BE3"/>
    <w:rsid w:val="7E9E4BBC"/>
    <w:rsid w:val="7EA36676"/>
    <w:rsid w:val="7EAB72D9"/>
    <w:rsid w:val="7EB4296F"/>
    <w:rsid w:val="7EB50985"/>
    <w:rsid w:val="7EB63CCD"/>
    <w:rsid w:val="7EB75C7D"/>
    <w:rsid w:val="7EBE0DBA"/>
    <w:rsid w:val="7EBF4B32"/>
    <w:rsid w:val="7ECD724F"/>
    <w:rsid w:val="7ECE77CD"/>
    <w:rsid w:val="7ED20D09"/>
    <w:rsid w:val="7ED56104"/>
    <w:rsid w:val="7ED95BF4"/>
    <w:rsid w:val="7EDC56E4"/>
    <w:rsid w:val="7EED34CF"/>
    <w:rsid w:val="7EED5B43"/>
    <w:rsid w:val="7EF058D7"/>
    <w:rsid w:val="7EF32454"/>
    <w:rsid w:val="7EF35CD7"/>
    <w:rsid w:val="7EF90044"/>
    <w:rsid w:val="7F1B7FBA"/>
    <w:rsid w:val="7F250E39"/>
    <w:rsid w:val="7F266502"/>
    <w:rsid w:val="7F3821DE"/>
    <w:rsid w:val="7F3C6183"/>
    <w:rsid w:val="7F3F295F"/>
    <w:rsid w:val="7F4219EB"/>
    <w:rsid w:val="7F565496"/>
    <w:rsid w:val="7F6A7194"/>
    <w:rsid w:val="7F6E135D"/>
    <w:rsid w:val="7F720FA4"/>
    <w:rsid w:val="7F743B6E"/>
    <w:rsid w:val="7F7B4EFD"/>
    <w:rsid w:val="7F8518D8"/>
    <w:rsid w:val="7F995383"/>
    <w:rsid w:val="7F9F200D"/>
    <w:rsid w:val="7FA33F7C"/>
    <w:rsid w:val="7FAA57E2"/>
    <w:rsid w:val="7FB0104A"/>
    <w:rsid w:val="7FCE70E8"/>
    <w:rsid w:val="7FD8234F"/>
    <w:rsid w:val="7FDE37F0"/>
    <w:rsid w:val="7FEA3E31"/>
    <w:rsid w:val="7FEA5BDF"/>
    <w:rsid w:val="7FF371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qFormat="1"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5"/>
    <w:qFormat/>
    <w:uiPriority w:val="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406"/>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407"/>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408"/>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379"/>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8">
    <w:name w:val="heading 6"/>
    <w:basedOn w:val="1"/>
    <w:next w:val="1"/>
    <w:link w:val="409"/>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9">
    <w:name w:val="heading 7"/>
    <w:basedOn w:val="1"/>
    <w:next w:val="2"/>
    <w:link w:val="410"/>
    <w:qFormat/>
    <w:uiPriority w:val="9"/>
    <w:pPr>
      <w:keepNext/>
      <w:keepLines/>
      <w:numPr>
        <w:ilvl w:val="6"/>
        <w:numId w:val="1"/>
      </w:numPr>
      <w:spacing w:before="240" w:after="64" w:line="317" w:lineRule="auto"/>
      <w:outlineLvl w:val="6"/>
    </w:pPr>
    <w:rPr>
      <w:rFonts w:ascii="Calibri" w:hAnsi="Calibri" w:cs="Calibri"/>
      <w:b/>
      <w:bCs/>
      <w:sz w:val="24"/>
      <w:szCs w:val="24"/>
    </w:rPr>
  </w:style>
  <w:style w:type="paragraph" w:styleId="10">
    <w:name w:val="heading 8"/>
    <w:basedOn w:val="1"/>
    <w:next w:val="2"/>
    <w:link w:val="411"/>
    <w:qFormat/>
    <w:uiPriority w:val="9"/>
    <w:pPr>
      <w:keepNext/>
      <w:keepLines/>
      <w:numPr>
        <w:ilvl w:val="7"/>
        <w:numId w:val="1"/>
      </w:numPr>
      <w:spacing w:before="240" w:after="64" w:line="317" w:lineRule="auto"/>
      <w:outlineLvl w:val="7"/>
    </w:pPr>
    <w:rPr>
      <w:rFonts w:ascii="Arial" w:hAnsi="Arial" w:eastAsia="黑体" w:cs="Arial"/>
      <w:sz w:val="24"/>
      <w:szCs w:val="24"/>
    </w:rPr>
  </w:style>
  <w:style w:type="paragraph" w:styleId="11">
    <w:name w:val="heading 9"/>
    <w:basedOn w:val="1"/>
    <w:next w:val="2"/>
    <w:link w:val="412"/>
    <w:qFormat/>
    <w:uiPriority w:val="9"/>
    <w:pPr>
      <w:keepNext/>
      <w:keepLines/>
      <w:numPr>
        <w:ilvl w:val="8"/>
        <w:numId w:val="1"/>
      </w:numPr>
      <w:spacing w:before="240" w:after="64" w:line="317" w:lineRule="auto"/>
      <w:outlineLvl w:val="8"/>
    </w:pPr>
    <w:rPr>
      <w:rFonts w:ascii="Arial" w:hAnsi="Arial" w:eastAsia="黑体" w:cs="Arial"/>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31"/>
    <w:qFormat/>
    <w:uiPriority w:val="0"/>
    <w:pPr>
      <w:ind w:firstLine="420"/>
    </w:pPr>
  </w:style>
  <w:style w:type="paragraph" w:styleId="12">
    <w:name w:val="toc 7"/>
    <w:basedOn w:val="1"/>
    <w:next w:val="1"/>
    <w:qFormat/>
    <w:uiPriority w:val="39"/>
    <w:pPr>
      <w:ind w:left="1260"/>
      <w:jc w:val="left"/>
    </w:pPr>
    <w:rPr>
      <w:sz w:val="18"/>
      <w:szCs w:val="18"/>
    </w:rPr>
  </w:style>
  <w:style w:type="paragraph" w:styleId="13">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4">
    <w:name w:val="caption"/>
    <w:basedOn w:val="1"/>
    <w:next w:val="1"/>
    <w:link w:val="390"/>
    <w:qFormat/>
    <w:uiPriority w:val="99"/>
    <w:pPr>
      <w:spacing w:before="152" w:after="160"/>
    </w:pPr>
    <w:rPr>
      <w:rFonts w:ascii="Arial" w:hAnsi="Arial" w:eastAsia="黑体" w:cs="Arial"/>
      <w:sz w:val="20"/>
      <w:szCs w:val="20"/>
    </w:rPr>
  </w:style>
  <w:style w:type="paragraph" w:styleId="15">
    <w:name w:val="Document Map"/>
    <w:basedOn w:val="1"/>
    <w:link w:val="413"/>
    <w:semiHidden/>
    <w:qFormat/>
    <w:uiPriority w:val="99"/>
    <w:pPr>
      <w:shd w:val="clear" w:color="auto" w:fill="000080"/>
    </w:pPr>
    <w:rPr>
      <w:rFonts w:ascii="Calibri" w:hAnsi="Calibri" w:cs="Calibri"/>
      <w:shd w:val="clear" w:color="auto" w:fill="000080"/>
    </w:rPr>
  </w:style>
  <w:style w:type="paragraph" w:styleId="16">
    <w:name w:val="annotation text"/>
    <w:basedOn w:val="1"/>
    <w:link w:val="369"/>
    <w:qFormat/>
    <w:uiPriority w:val="0"/>
    <w:pPr>
      <w:jc w:val="left"/>
    </w:pPr>
    <w:rPr>
      <w:rFonts w:ascii="Calibri" w:hAnsi="Calibri" w:cs="Calibri"/>
    </w:rPr>
  </w:style>
  <w:style w:type="paragraph" w:styleId="17">
    <w:name w:val="Body Text 3"/>
    <w:basedOn w:val="1"/>
    <w:link w:val="71"/>
    <w:qFormat/>
    <w:uiPriority w:val="99"/>
    <w:pPr>
      <w:snapToGrid w:val="0"/>
      <w:spacing w:before="50" w:after="50"/>
    </w:pPr>
    <w:rPr>
      <w:rFonts w:ascii="Calibri" w:hAnsi="宋体" w:eastAsia="仿宋_GB2312" w:cs="Calibri"/>
      <w:b/>
      <w:bCs/>
      <w:sz w:val="24"/>
      <w:szCs w:val="24"/>
    </w:rPr>
  </w:style>
  <w:style w:type="paragraph" w:styleId="18">
    <w:name w:val="Body Text"/>
    <w:basedOn w:val="1"/>
    <w:next w:val="19"/>
    <w:link w:val="72"/>
    <w:qFormat/>
    <w:uiPriority w:val="99"/>
    <w:pPr>
      <w:spacing w:after="120"/>
    </w:pPr>
    <w:rPr>
      <w:rFonts w:ascii="Calibri" w:hAnsi="Calibri" w:cs="Calibri"/>
      <w:sz w:val="28"/>
      <w:szCs w:val="28"/>
    </w:rPr>
  </w:style>
  <w:style w:type="paragraph" w:styleId="19">
    <w:name w:val="Body Text First Indent"/>
    <w:basedOn w:val="18"/>
    <w:link w:val="86"/>
    <w:qFormat/>
    <w:uiPriority w:val="99"/>
    <w:pPr>
      <w:ind w:firstLine="420" w:firstLineChars="100"/>
    </w:pPr>
    <w:rPr>
      <w:sz w:val="21"/>
      <w:szCs w:val="21"/>
    </w:rPr>
  </w:style>
  <w:style w:type="paragraph" w:styleId="20">
    <w:name w:val="Body Text Indent"/>
    <w:basedOn w:val="1"/>
    <w:link w:val="415"/>
    <w:qFormat/>
    <w:uiPriority w:val="99"/>
    <w:pPr>
      <w:spacing w:line="200" w:lineRule="exact"/>
      <w:ind w:firstLine="301"/>
    </w:pPr>
    <w:rPr>
      <w:rFonts w:ascii="宋体" w:hAnsi="Courier New" w:cs="宋体"/>
      <w:spacing w:val="-4"/>
      <w:sz w:val="18"/>
      <w:szCs w:val="18"/>
    </w:rPr>
  </w:style>
  <w:style w:type="paragraph" w:styleId="21">
    <w:name w:val="List Number 3"/>
    <w:basedOn w:val="1"/>
    <w:qFormat/>
    <w:uiPriority w:val="99"/>
    <w:pPr>
      <w:tabs>
        <w:tab w:val="left" w:pos="1200"/>
      </w:tabs>
      <w:ind w:left="1200" w:hanging="360"/>
    </w:pPr>
  </w:style>
  <w:style w:type="paragraph" w:styleId="22">
    <w:name w:val="List 2"/>
    <w:basedOn w:val="1"/>
    <w:qFormat/>
    <w:uiPriority w:val="99"/>
    <w:pPr>
      <w:ind w:left="100" w:leftChars="200" w:hanging="200" w:hangingChars="200"/>
    </w:pPr>
    <w:rPr>
      <w:sz w:val="28"/>
      <w:szCs w:val="28"/>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417"/>
    <w:qFormat/>
    <w:uiPriority w:val="99"/>
    <w:pPr>
      <w:spacing w:beforeLines="50" w:afterLines="50" w:line="400" w:lineRule="exact"/>
    </w:pPr>
    <w:rPr>
      <w:rFonts w:ascii="宋体" w:hAnsi="Courier New" w:cs="宋体"/>
      <w:sz w:val="24"/>
      <w:szCs w:val="24"/>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383"/>
    <w:qFormat/>
    <w:uiPriority w:val="99"/>
    <w:pPr>
      <w:ind w:left="2500" w:leftChars="2500"/>
    </w:pPr>
    <w:rPr>
      <w:rFonts w:ascii="Calibri" w:hAnsi="Calibri" w:eastAsia="楷体_GB2312" w:cs="Calibri"/>
      <w:sz w:val="32"/>
      <w:szCs w:val="32"/>
    </w:rPr>
  </w:style>
  <w:style w:type="paragraph" w:styleId="28">
    <w:name w:val="Body Text Indent 2"/>
    <w:basedOn w:val="1"/>
    <w:link w:val="75"/>
    <w:qFormat/>
    <w:uiPriority w:val="99"/>
    <w:pPr>
      <w:snapToGrid w:val="0"/>
      <w:ind w:firstLine="542" w:firstLineChars="225"/>
    </w:pPr>
    <w:rPr>
      <w:rFonts w:ascii="仿宋_GB2312" w:hAnsi="宋体" w:cs="仿宋_GB2312"/>
      <w:b/>
      <w:bCs/>
      <w:color w:val="000000"/>
      <w:sz w:val="24"/>
      <w:szCs w:val="24"/>
    </w:rPr>
  </w:style>
  <w:style w:type="paragraph" w:styleId="29">
    <w:name w:val="endnote text"/>
    <w:basedOn w:val="1"/>
    <w:link w:val="76"/>
    <w:semiHidden/>
    <w:qFormat/>
    <w:uiPriority w:val="99"/>
    <w:pPr>
      <w:snapToGrid w:val="0"/>
      <w:jc w:val="left"/>
    </w:pPr>
    <w:rPr>
      <w:rFonts w:ascii="Calibri" w:hAnsi="Calibri" w:cs="Calibri"/>
    </w:rPr>
  </w:style>
  <w:style w:type="paragraph" w:styleId="30">
    <w:name w:val="Balloon Text"/>
    <w:basedOn w:val="1"/>
    <w:link w:val="418"/>
    <w:semiHidden/>
    <w:qFormat/>
    <w:uiPriority w:val="0"/>
    <w:rPr>
      <w:rFonts w:ascii="Calibri" w:hAnsi="Calibri" w:cs="Calibri"/>
      <w:sz w:val="18"/>
      <w:szCs w:val="18"/>
    </w:rPr>
  </w:style>
  <w:style w:type="paragraph" w:styleId="31">
    <w:name w:val="footer"/>
    <w:basedOn w:val="1"/>
    <w:link w:val="419"/>
    <w:qFormat/>
    <w:uiPriority w:val="99"/>
    <w:pPr>
      <w:tabs>
        <w:tab w:val="center" w:pos="4153"/>
        <w:tab w:val="right" w:pos="8306"/>
      </w:tabs>
      <w:snapToGrid w:val="0"/>
      <w:jc w:val="left"/>
    </w:pPr>
    <w:rPr>
      <w:rFonts w:ascii="Calibri" w:hAnsi="Calibri" w:eastAsia="黑体" w:cs="Calibri"/>
      <w:kern w:val="0"/>
      <w:sz w:val="18"/>
      <w:szCs w:val="18"/>
    </w:rPr>
  </w:style>
  <w:style w:type="paragraph" w:styleId="32">
    <w:name w:val="header"/>
    <w:basedOn w:val="1"/>
    <w:link w:val="421"/>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3">
    <w:name w:val="toc 1"/>
    <w:basedOn w:val="1"/>
    <w:next w:val="1"/>
    <w:qFormat/>
    <w:uiPriority w:val="39"/>
  </w:style>
  <w:style w:type="paragraph" w:styleId="34">
    <w:name w:val="toc 4"/>
    <w:basedOn w:val="1"/>
    <w:next w:val="1"/>
    <w:qFormat/>
    <w:uiPriority w:val="39"/>
    <w:pPr>
      <w:ind w:left="630"/>
      <w:jc w:val="left"/>
    </w:pPr>
    <w:rPr>
      <w:sz w:val="18"/>
      <w:szCs w:val="18"/>
    </w:rPr>
  </w:style>
  <w:style w:type="paragraph" w:styleId="35">
    <w:name w:val="Subtitle"/>
    <w:basedOn w:val="1"/>
    <w:next w:val="1"/>
    <w:link w:val="80"/>
    <w:qFormat/>
    <w:uiPriority w:val="0"/>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rPr>
      <w:sz w:val="28"/>
      <w:szCs w:val="28"/>
    </w:rPr>
  </w:style>
  <w:style w:type="paragraph" w:styleId="37">
    <w:name w:val="footnote text"/>
    <w:basedOn w:val="1"/>
    <w:link w:val="81"/>
    <w:semiHidden/>
    <w:qFormat/>
    <w:uiPriority w:val="99"/>
    <w:pPr>
      <w:snapToGrid w:val="0"/>
      <w:jc w:val="left"/>
    </w:pPr>
    <w:rPr>
      <w:rFonts w:ascii="Calibri" w:hAnsi="Calibri" w:cs="Calibri"/>
      <w:sz w:val="18"/>
      <w:szCs w:val="18"/>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82"/>
    <w:qFormat/>
    <w:uiPriority w:val="0"/>
    <w:pPr>
      <w:snapToGrid w:val="0"/>
      <w:ind w:firstLine="480" w:firstLineChars="200"/>
      <w:jc w:val="left"/>
    </w:pPr>
    <w:rPr>
      <w:rFonts w:ascii="仿宋_GB2312" w:hAnsi="宋体" w:eastAsia="仿宋_GB2312" w:cs="仿宋_GB2312"/>
      <w:color w:val="000000"/>
      <w:sz w:val="24"/>
      <w:szCs w:val="24"/>
    </w:rPr>
  </w:style>
  <w:style w:type="paragraph" w:styleId="40">
    <w:name w:val="toc 2"/>
    <w:basedOn w:val="1"/>
    <w:next w:val="1"/>
    <w:qFormat/>
    <w:uiPriority w:val="39"/>
    <w:pPr>
      <w:ind w:left="210"/>
      <w:jc w:val="left"/>
    </w:pPr>
    <w:rPr>
      <w:smallCaps/>
      <w:sz w:val="20"/>
      <w:szCs w:val="20"/>
    </w:rPr>
  </w:style>
  <w:style w:type="paragraph" w:styleId="41">
    <w:name w:val="toc 9"/>
    <w:basedOn w:val="1"/>
    <w:next w:val="1"/>
    <w:qFormat/>
    <w:uiPriority w:val="39"/>
    <w:pPr>
      <w:ind w:left="1680"/>
      <w:jc w:val="left"/>
    </w:pPr>
    <w:rPr>
      <w:sz w:val="18"/>
      <w:szCs w:val="18"/>
    </w:rPr>
  </w:style>
  <w:style w:type="paragraph" w:styleId="42">
    <w:name w:val="Body Text 2"/>
    <w:basedOn w:val="1"/>
    <w:link w:val="83"/>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HTML Preformatted"/>
    <w:basedOn w:val="1"/>
    <w:link w:val="423"/>
    <w:semiHidden/>
    <w:unhideWhenUsed/>
    <w:qFormat/>
    <w:locked/>
    <w:uiPriority w:val="99"/>
    <w:rPr>
      <w:rFonts w:ascii="Courier New" w:hAnsi="Courier New"/>
      <w:sz w:val="20"/>
    </w:rPr>
  </w:style>
  <w:style w:type="paragraph" w:styleId="44">
    <w:name w:val="Normal (Web)"/>
    <w:basedOn w:val="1"/>
    <w:qFormat/>
    <w:uiPriority w:val="99"/>
    <w:pPr>
      <w:widowControl/>
      <w:spacing w:before="100" w:beforeAutospacing="1" w:after="100" w:afterAutospacing="1"/>
      <w:jc w:val="left"/>
    </w:pPr>
    <w:rPr>
      <w:kern w:val="0"/>
      <w:sz w:val="24"/>
      <w:szCs w:val="24"/>
    </w:rPr>
  </w:style>
  <w:style w:type="paragraph" w:styleId="45">
    <w:name w:val="Title"/>
    <w:basedOn w:val="1"/>
    <w:next w:val="1"/>
    <w:link w:val="381"/>
    <w:qFormat/>
    <w:uiPriority w:val="10"/>
    <w:pPr>
      <w:spacing w:before="240" w:after="60"/>
      <w:jc w:val="center"/>
      <w:outlineLvl w:val="0"/>
    </w:pPr>
    <w:rPr>
      <w:rFonts w:ascii="Cambria" w:hAnsi="Cambria" w:cs="Cambria"/>
      <w:b/>
      <w:bCs/>
      <w:sz w:val="32"/>
      <w:szCs w:val="32"/>
    </w:rPr>
  </w:style>
  <w:style w:type="paragraph" w:styleId="46">
    <w:name w:val="annotation subject"/>
    <w:basedOn w:val="16"/>
    <w:next w:val="16"/>
    <w:link w:val="389"/>
    <w:semiHidden/>
    <w:qFormat/>
    <w:uiPriority w:val="99"/>
    <w:rPr>
      <w:b/>
      <w:bCs/>
    </w:rPr>
  </w:style>
  <w:style w:type="paragraph" w:styleId="47">
    <w:name w:val="Body Text First Indent 2"/>
    <w:basedOn w:val="20"/>
    <w:next w:val="1"/>
    <w:link w:val="87"/>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0">
    <w:name w:val="Table Classic 4"/>
    <w:basedOn w:val="48"/>
    <w:semiHidden/>
    <w:unhideWhenUsed/>
    <w:qFormat/>
    <w:locked/>
    <w:uiPriority w:val="99"/>
    <w:pPr>
      <w:widowControl w:val="0"/>
      <w:spacing w:beforeLines="50" w:afterLines="50" w:line="276" w:lineRule="auto"/>
      <w:ind w:firstLine="480" w:firstLineChars="200"/>
      <w:jc w:val="both"/>
    </w:pPr>
    <w:rPr>
      <w:rFonts w:hint="eastAsia" w:ascii="宋体" w:hAnsi="宋体" w:cs="宋体"/>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tcBorders>
        <w:top w:val="single" w:color="000000" w:sz="12" w:space="0"/>
        <w:left w:val="single" w:color="000000" w:sz="6" w:space="0"/>
        <w:bottom w:val="single" w:color="000000" w:sz="12" w:space="0"/>
        <w:right w:val="single" w:color="000000" w:sz="6" w:space="0"/>
      </w:tcBorders>
    </w:tcPr>
    <w:tblStylePr w:type="firstRow">
      <w:rPr>
        <w:b/>
        <w:bCs/>
        <w:i/>
        <w:iCs/>
        <w:color w:val="FFFFFF"/>
      </w:rPr>
      <w:tblPr>
        <w:tblLayout w:type="fixed"/>
      </w:tblPr>
      <w:tcPr>
        <w:tcBorders>
          <w:top w:val="nil"/>
          <w:left w:val="nil"/>
          <w:bottom w:val="single" w:color="000000" w:sz="6" w:space="0"/>
          <w:right w:val="nil"/>
          <w:tl2br w:val="nil"/>
          <w:tr2bl w:val="nil"/>
        </w:tcBorders>
        <w:shd w:val="pct50" w:color="000080" w:fill="FFFFFF"/>
      </w:tcPr>
    </w:tblStylePr>
    <w:tblStylePr w:type="lastRow">
      <w:rPr>
        <w:color w:val="000080"/>
      </w:rPr>
      <w:tblPr>
        <w:tblLayout w:type="fixed"/>
      </w:tblPr>
      <w:tcPr>
        <w:tcBorders>
          <w:top w:val="nil"/>
          <w:left w:val="nil"/>
          <w:bottom w:val="single" w:color="000000" w:sz="6" w:space="0"/>
          <w:right w:val="nil"/>
          <w:tl2br w:val="nil"/>
          <w:tr2bl w:val="nil"/>
        </w:tcBorders>
        <w:shd w:val="pct50" w:color="000000" w:fill="FFFFFF"/>
      </w:tcPr>
    </w:tblStylePr>
    <w:tblStylePr w:type="firstCol">
      <w:rPr>
        <w:b/>
        <w:bCs/>
      </w:rPr>
      <w:tblPr>
        <w:tblLayout w:type="fixed"/>
      </w:tblPr>
      <w:tcPr>
        <w:tcBorders>
          <w:top w:val="nil"/>
          <w:left w:val="nil"/>
          <w:bottom w:val="nil"/>
          <w:right w:val="nil"/>
          <w:tl2br w:val="nil"/>
          <w:tr2bl w:val="nil"/>
        </w:tcBorders>
      </w:tcPr>
    </w:tblStylePr>
    <w:tblStylePr w:type="nwCell">
      <w:rPr>
        <w:b/>
        <w:bCs/>
      </w:rPr>
      <w:tblPr>
        <w:tblLayout w:type="fixed"/>
      </w:tblPr>
      <w:tcPr>
        <w:tcBorders>
          <w:top w:val="nil"/>
          <w:left w:val="nil"/>
          <w:bottom w:val="nil"/>
          <w:right w:val="nil"/>
          <w:tl2br w:val="nil"/>
          <w:tr2bl w:val="nil"/>
        </w:tcBorders>
      </w:tcPr>
    </w:tblStylePr>
    <w:tblStylePr w:type="swCell">
      <w:rPr>
        <w:color w:val="000080"/>
      </w:rPr>
      <w:tblPr>
        <w:tblLayout w:type="fixed"/>
      </w:tblPr>
      <w:tcPr>
        <w:tcBorders>
          <w:top w:val="nil"/>
          <w:left w:val="nil"/>
          <w:bottom w:val="nil"/>
          <w:right w:val="nil"/>
          <w:tl2br w:val="nil"/>
          <w:tr2bl w:val="nil"/>
        </w:tcBorders>
      </w:tcPr>
    </w:tblStylePr>
  </w:style>
  <w:style w:type="character" w:styleId="52">
    <w:name w:val="Strong"/>
    <w:basedOn w:val="51"/>
    <w:qFormat/>
    <w:uiPriority w:val="22"/>
    <w:rPr>
      <w:b/>
      <w:bCs/>
    </w:rPr>
  </w:style>
  <w:style w:type="character" w:styleId="53">
    <w:name w:val="page number"/>
    <w:basedOn w:val="51"/>
    <w:qFormat/>
    <w:uiPriority w:val="99"/>
  </w:style>
  <w:style w:type="character" w:styleId="54">
    <w:name w:val="FollowedHyperlink"/>
    <w:basedOn w:val="51"/>
    <w:qFormat/>
    <w:uiPriority w:val="0"/>
    <w:rPr>
      <w:color w:val="800080"/>
      <w:u w:val="single"/>
    </w:rPr>
  </w:style>
  <w:style w:type="character" w:styleId="55">
    <w:name w:val="Emphasis"/>
    <w:basedOn w:val="51"/>
    <w:qFormat/>
    <w:uiPriority w:val="99"/>
    <w:rPr>
      <w:i/>
      <w:iCs/>
    </w:rPr>
  </w:style>
  <w:style w:type="character" w:styleId="56">
    <w:name w:val="Hyperlink"/>
    <w:basedOn w:val="51"/>
    <w:qFormat/>
    <w:uiPriority w:val="99"/>
    <w:rPr>
      <w:color w:val="0000FF"/>
      <w:u w:val="single"/>
    </w:rPr>
  </w:style>
  <w:style w:type="character" w:styleId="57">
    <w:name w:val="annotation reference"/>
    <w:basedOn w:val="51"/>
    <w:qFormat/>
    <w:uiPriority w:val="99"/>
    <w:rPr>
      <w:sz w:val="21"/>
      <w:szCs w:val="21"/>
    </w:rPr>
  </w:style>
  <w:style w:type="paragraph" w:customStyle="1" w:styleId="58">
    <w:name w:val="样式3"/>
    <w:basedOn w:val="25"/>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59">
    <w:name w:val="标题 1 字符"/>
    <w:basedOn w:val="51"/>
    <w:qFormat/>
    <w:locked/>
    <w:uiPriority w:val="9"/>
    <w:rPr>
      <w:rFonts w:hAnsi="宋体"/>
      <w:b/>
      <w:bCs/>
      <w:color w:val="000000"/>
      <w:kern w:val="2"/>
      <w:sz w:val="30"/>
      <w:szCs w:val="30"/>
    </w:rPr>
  </w:style>
  <w:style w:type="character" w:customStyle="1" w:styleId="60">
    <w:name w:val="标题 2 字符"/>
    <w:basedOn w:val="51"/>
    <w:qFormat/>
    <w:locked/>
    <w:uiPriority w:val="9"/>
    <w:rPr>
      <w:rFonts w:ascii="Arial" w:hAnsi="Arial" w:eastAsia="黑体" w:cs="Arial"/>
      <w:b/>
      <w:bCs/>
      <w:kern w:val="2"/>
      <w:sz w:val="32"/>
      <w:szCs w:val="32"/>
    </w:rPr>
  </w:style>
  <w:style w:type="character" w:customStyle="1" w:styleId="61">
    <w:name w:val="标题 3 字符"/>
    <w:basedOn w:val="51"/>
    <w:qFormat/>
    <w:locked/>
    <w:uiPriority w:val="9"/>
    <w:rPr>
      <w:b/>
      <w:bCs/>
      <w:sz w:val="32"/>
      <w:szCs w:val="32"/>
    </w:rPr>
  </w:style>
  <w:style w:type="character" w:customStyle="1" w:styleId="62">
    <w:name w:val="标题 4 字符"/>
    <w:basedOn w:val="51"/>
    <w:qFormat/>
    <w:locked/>
    <w:uiPriority w:val="9"/>
    <w:rPr>
      <w:rFonts w:ascii="Arial" w:hAnsi="Arial" w:eastAsia="黑体" w:cs="Arial"/>
      <w:b/>
      <w:bCs/>
      <w:kern w:val="2"/>
      <w:sz w:val="28"/>
      <w:szCs w:val="28"/>
    </w:rPr>
  </w:style>
  <w:style w:type="character" w:customStyle="1" w:styleId="63">
    <w:name w:val="标题 5 字符"/>
    <w:basedOn w:val="51"/>
    <w:qFormat/>
    <w:locked/>
    <w:uiPriority w:val="9"/>
    <w:rPr>
      <w:rFonts w:ascii="Calibri" w:hAnsi="Calibri" w:cs="Calibri"/>
      <w:b/>
      <w:bCs/>
      <w:kern w:val="2"/>
      <w:sz w:val="28"/>
      <w:szCs w:val="28"/>
    </w:rPr>
  </w:style>
  <w:style w:type="character" w:customStyle="1" w:styleId="64">
    <w:name w:val="标题 6 字符"/>
    <w:basedOn w:val="51"/>
    <w:qFormat/>
    <w:locked/>
    <w:uiPriority w:val="9"/>
    <w:rPr>
      <w:rFonts w:ascii="Arial" w:hAnsi="Arial" w:eastAsia="黑体" w:cs="Arial"/>
      <w:b/>
      <w:bCs/>
      <w:kern w:val="2"/>
      <w:sz w:val="24"/>
      <w:szCs w:val="24"/>
    </w:rPr>
  </w:style>
  <w:style w:type="character" w:customStyle="1" w:styleId="65">
    <w:name w:val="标题 7 字符"/>
    <w:basedOn w:val="51"/>
    <w:qFormat/>
    <w:locked/>
    <w:uiPriority w:val="9"/>
    <w:rPr>
      <w:rFonts w:ascii="Calibri" w:hAnsi="Calibri" w:cs="Calibri"/>
      <w:b/>
      <w:bCs/>
      <w:kern w:val="2"/>
      <w:sz w:val="24"/>
      <w:szCs w:val="24"/>
    </w:rPr>
  </w:style>
  <w:style w:type="character" w:customStyle="1" w:styleId="66">
    <w:name w:val="标题 8 字符"/>
    <w:basedOn w:val="51"/>
    <w:qFormat/>
    <w:locked/>
    <w:uiPriority w:val="9"/>
    <w:rPr>
      <w:rFonts w:ascii="Arial" w:hAnsi="Arial" w:eastAsia="黑体" w:cs="Arial"/>
      <w:kern w:val="2"/>
      <w:sz w:val="24"/>
      <w:szCs w:val="24"/>
    </w:rPr>
  </w:style>
  <w:style w:type="character" w:customStyle="1" w:styleId="67">
    <w:name w:val="标题 9 字符"/>
    <w:basedOn w:val="51"/>
    <w:qFormat/>
    <w:locked/>
    <w:uiPriority w:val="9"/>
    <w:rPr>
      <w:rFonts w:ascii="Arial" w:hAnsi="Arial" w:eastAsia="黑体" w:cs="Arial"/>
      <w:kern w:val="2"/>
      <w:sz w:val="21"/>
      <w:szCs w:val="21"/>
    </w:rPr>
  </w:style>
  <w:style w:type="character" w:customStyle="1" w:styleId="68">
    <w:name w:val="Plain Text Char"/>
    <w:basedOn w:val="51"/>
    <w:qFormat/>
    <w:locked/>
    <w:uiPriority w:val="99"/>
    <w:rPr>
      <w:rFonts w:ascii="宋体" w:hAnsi="Courier New" w:eastAsia="宋体" w:cs="宋体"/>
      <w:sz w:val="21"/>
      <w:szCs w:val="21"/>
    </w:rPr>
  </w:style>
  <w:style w:type="character" w:customStyle="1" w:styleId="69">
    <w:name w:val="文档结构图 字符"/>
    <w:basedOn w:val="51"/>
    <w:qFormat/>
    <w:locked/>
    <w:uiPriority w:val="99"/>
    <w:rPr>
      <w:kern w:val="2"/>
      <w:sz w:val="24"/>
      <w:szCs w:val="24"/>
      <w:shd w:val="clear" w:color="auto" w:fill="000080"/>
    </w:rPr>
  </w:style>
  <w:style w:type="character" w:customStyle="1" w:styleId="70">
    <w:name w:val="批注文字 字符"/>
    <w:basedOn w:val="51"/>
    <w:qFormat/>
    <w:locked/>
    <w:uiPriority w:val="99"/>
    <w:rPr>
      <w:kern w:val="2"/>
      <w:sz w:val="24"/>
      <w:szCs w:val="24"/>
    </w:rPr>
  </w:style>
  <w:style w:type="character" w:customStyle="1" w:styleId="71">
    <w:name w:val="正文文本 3 Char"/>
    <w:basedOn w:val="51"/>
    <w:link w:val="17"/>
    <w:qFormat/>
    <w:locked/>
    <w:uiPriority w:val="99"/>
    <w:rPr>
      <w:rFonts w:hAnsi="宋体" w:eastAsia="仿宋_GB2312"/>
      <w:b/>
      <w:bCs/>
      <w:kern w:val="2"/>
      <w:sz w:val="24"/>
      <w:szCs w:val="24"/>
    </w:rPr>
  </w:style>
  <w:style w:type="character" w:customStyle="1" w:styleId="72">
    <w:name w:val="正文文本 Char1"/>
    <w:basedOn w:val="51"/>
    <w:link w:val="18"/>
    <w:qFormat/>
    <w:locked/>
    <w:uiPriority w:val="99"/>
    <w:rPr>
      <w:kern w:val="2"/>
      <w:sz w:val="24"/>
      <w:szCs w:val="24"/>
    </w:rPr>
  </w:style>
  <w:style w:type="character" w:customStyle="1" w:styleId="73">
    <w:name w:val="正文文本缩进 字符"/>
    <w:basedOn w:val="51"/>
    <w:qFormat/>
    <w:locked/>
    <w:uiPriority w:val="0"/>
    <w:rPr>
      <w:rFonts w:ascii="宋体" w:hAnsi="Courier New" w:cs="宋体"/>
      <w:spacing w:val="-4"/>
      <w:kern w:val="2"/>
      <w:sz w:val="18"/>
      <w:szCs w:val="18"/>
    </w:rPr>
  </w:style>
  <w:style w:type="character" w:customStyle="1" w:styleId="74">
    <w:name w:val="日期 字符"/>
    <w:basedOn w:val="51"/>
    <w:qFormat/>
    <w:locked/>
    <w:uiPriority w:val="99"/>
    <w:rPr>
      <w:rFonts w:eastAsia="楷体_GB2312"/>
      <w:kern w:val="2"/>
      <w:sz w:val="32"/>
      <w:szCs w:val="32"/>
    </w:rPr>
  </w:style>
  <w:style w:type="character" w:customStyle="1" w:styleId="75">
    <w:name w:val="正文文本缩进 2 Char"/>
    <w:basedOn w:val="51"/>
    <w:link w:val="28"/>
    <w:qFormat/>
    <w:locked/>
    <w:uiPriority w:val="99"/>
    <w:rPr>
      <w:rFonts w:ascii="仿宋_GB2312" w:hAnsi="宋体" w:cs="仿宋_GB2312"/>
      <w:b/>
      <w:bCs/>
      <w:color w:val="000000"/>
      <w:kern w:val="2"/>
      <w:sz w:val="24"/>
      <w:szCs w:val="24"/>
    </w:rPr>
  </w:style>
  <w:style w:type="character" w:customStyle="1" w:styleId="76">
    <w:name w:val="尾注文本 Char"/>
    <w:basedOn w:val="51"/>
    <w:link w:val="29"/>
    <w:qFormat/>
    <w:locked/>
    <w:uiPriority w:val="99"/>
    <w:rPr>
      <w:kern w:val="2"/>
      <w:sz w:val="24"/>
      <w:szCs w:val="24"/>
    </w:rPr>
  </w:style>
  <w:style w:type="character" w:customStyle="1" w:styleId="77">
    <w:name w:val="批注框文本 字符1"/>
    <w:basedOn w:val="51"/>
    <w:qFormat/>
    <w:locked/>
    <w:uiPriority w:val="99"/>
    <w:rPr>
      <w:kern w:val="2"/>
      <w:sz w:val="18"/>
      <w:szCs w:val="18"/>
    </w:rPr>
  </w:style>
  <w:style w:type="character" w:customStyle="1" w:styleId="78">
    <w:name w:val="页脚 字符1"/>
    <w:basedOn w:val="51"/>
    <w:qFormat/>
    <w:locked/>
    <w:uiPriority w:val="99"/>
    <w:rPr>
      <w:rFonts w:eastAsia="黑体"/>
      <w:snapToGrid w:val="0"/>
      <w:sz w:val="18"/>
      <w:szCs w:val="18"/>
      <w:lang w:val="en-US" w:eastAsia="zh-CN"/>
    </w:rPr>
  </w:style>
  <w:style w:type="character" w:customStyle="1" w:styleId="79">
    <w:name w:val="页眉 字符1"/>
    <w:basedOn w:val="51"/>
    <w:qFormat/>
    <w:locked/>
    <w:uiPriority w:val="99"/>
    <w:rPr>
      <w:rFonts w:eastAsia="仿宋_GB2312"/>
      <w:kern w:val="2"/>
      <w:sz w:val="18"/>
      <w:szCs w:val="18"/>
    </w:rPr>
  </w:style>
  <w:style w:type="character" w:customStyle="1" w:styleId="80">
    <w:name w:val="副标题 Char"/>
    <w:basedOn w:val="51"/>
    <w:link w:val="35"/>
    <w:qFormat/>
    <w:locked/>
    <w:uiPriority w:val="99"/>
    <w:rPr>
      <w:rFonts w:ascii="Cambria" w:hAnsi="Cambria" w:cs="Cambria"/>
      <w:b/>
      <w:bCs/>
      <w:kern w:val="28"/>
      <w:sz w:val="32"/>
      <w:szCs w:val="32"/>
    </w:rPr>
  </w:style>
  <w:style w:type="character" w:customStyle="1" w:styleId="81">
    <w:name w:val="脚注文本 Char"/>
    <w:basedOn w:val="51"/>
    <w:link w:val="37"/>
    <w:qFormat/>
    <w:locked/>
    <w:uiPriority w:val="99"/>
    <w:rPr>
      <w:kern w:val="2"/>
      <w:sz w:val="18"/>
      <w:szCs w:val="18"/>
    </w:rPr>
  </w:style>
  <w:style w:type="character" w:customStyle="1" w:styleId="82">
    <w:name w:val="正文文本缩进 3 Char"/>
    <w:basedOn w:val="51"/>
    <w:link w:val="39"/>
    <w:qFormat/>
    <w:locked/>
    <w:uiPriority w:val="0"/>
    <w:rPr>
      <w:rFonts w:ascii="仿宋_GB2312" w:hAnsi="宋体" w:eastAsia="仿宋_GB2312" w:cs="仿宋_GB2312"/>
      <w:color w:val="000000"/>
      <w:kern w:val="2"/>
      <w:sz w:val="24"/>
      <w:szCs w:val="24"/>
    </w:rPr>
  </w:style>
  <w:style w:type="character" w:customStyle="1" w:styleId="83">
    <w:name w:val="正文文本 2 Char"/>
    <w:basedOn w:val="51"/>
    <w:link w:val="42"/>
    <w:qFormat/>
    <w:locked/>
    <w:uiPriority w:val="99"/>
    <w:rPr>
      <w:rFonts w:ascii="宋体" w:eastAsia="宋体" w:cs="宋体"/>
      <w:color w:val="000000"/>
      <w:kern w:val="2"/>
      <w:sz w:val="24"/>
      <w:szCs w:val="24"/>
    </w:rPr>
  </w:style>
  <w:style w:type="character" w:customStyle="1" w:styleId="84">
    <w:name w:val="标题 字符1"/>
    <w:basedOn w:val="51"/>
    <w:qFormat/>
    <w:locked/>
    <w:uiPriority w:val="10"/>
    <w:rPr>
      <w:rFonts w:ascii="Cambria" w:hAnsi="Cambria" w:cs="Cambria"/>
      <w:b/>
      <w:bCs/>
      <w:kern w:val="2"/>
      <w:sz w:val="32"/>
      <w:szCs w:val="32"/>
    </w:rPr>
  </w:style>
  <w:style w:type="character" w:customStyle="1" w:styleId="85">
    <w:name w:val="批注主题 字符"/>
    <w:basedOn w:val="70"/>
    <w:qFormat/>
    <w:locked/>
    <w:uiPriority w:val="99"/>
    <w:rPr>
      <w:b/>
      <w:bCs/>
      <w:kern w:val="2"/>
      <w:sz w:val="24"/>
      <w:szCs w:val="24"/>
    </w:rPr>
  </w:style>
  <w:style w:type="character" w:customStyle="1" w:styleId="86">
    <w:name w:val="正文首行缩进 Char1"/>
    <w:basedOn w:val="72"/>
    <w:link w:val="19"/>
    <w:qFormat/>
    <w:locked/>
    <w:uiPriority w:val="99"/>
    <w:rPr>
      <w:kern w:val="2"/>
      <w:sz w:val="24"/>
      <w:szCs w:val="24"/>
    </w:rPr>
  </w:style>
  <w:style w:type="character" w:customStyle="1" w:styleId="87">
    <w:name w:val="正文首行缩进 2 Char1"/>
    <w:basedOn w:val="73"/>
    <w:link w:val="47"/>
    <w:qFormat/>
    <w:locked/>
    <w:uiPriority w:val="99"/>
    <w:rPr>
      <w:rFonts w:ascii="宋体" w:hAnsi="Courier New" w:cs="宋体"/>
      <w:spacing w:val="-4"/>
      <w:kern w:val="2"/>
      <w:sz w:val="21"/>
      <w:szCs w:val="21"/>
    </w:rPr>
  </w:style>
  <w:style w:type="character" w:customStyle="1" w:styleId="88">
    <w:name w:val="纯文本 字符"/>
    <w:qFormat/>
    <w:locked/>
    <w:uiPriority w:val="99"/>
    <w:rPr>
      <w:rFonts w:ascii="宋体" w:hAnsi="Courier New" w:cs="宋体"/>
      <w:kern w:val="2"/>
    </w:rPr>
  </w:style>
  <w:style w:type="character" w:customStyle="1" w:styleId="89">
    <w:name w:val="标题 字符"/>
    <w:qFormat/>
    <w:uiPriority w:val="99"/>
    <w:rPr>
      <w:rFonts w:ascii="等线 Light" w:eastAsia="等线 Light" w:cs="等线 Light"/>
      <w:b/>
      <w:bCs/>
      <w:kern w:val="2"/>
      <w:sz w:val="32"/>
      <w:szCs w:val="32"/>
    </w:rPr>
  </w:style>
  <w:style w:type="character" w:customStyle="1" w:styleId="90">
    <w:name w:val="font14zd"/>
    <w:basedOn w:val="51"/>
    <w:qFormat/>
    <w:uiPriority w:val="99"/>
  </w:style>
  <w:style w:type="character" w:customStyle="1" w:styleId="91">
    <w:name w:val="批注文字 Char1"/>
    <w:qFormat/>
    <w:locked/>
    <w:uiPriority w:val="99"/>
    <w:rPr>
      <w:rFonts w:ascii="Times New Roman" w:hAnsi="Times New Roman" w:eastAsia="宋体" w:cs="Times New Roman"/>
      <w:sz w:val="20"/>
      <w:szCs w:val="20"/>
    </w:rPr>
  </w:style>
  <w:style w:type="character" w:customStyle="1" w:styleId="92">
    <w:name w:val="尾注文本 Char1"/>
    <w:qFormat/>
    <w:uiPriority w:val="99"/>
    <w:rPr>
      <w:kern w:val="2"/>
      <w:sz w:val="24"/>
      <w:szCs w:val="24"/>
    </w:rPr>
  </w:style>
  <w:style w:type="character" w:customStyle="1" w:styleId="93">
    <w:name w:val="列出段落 Char1"/>
    <w:link w:val="94"/>
    <w:qFormat/>
    <w:locked/>
    <w:uiPriority w:val="99"/>
    <w:rPr>
      <w:rFonts w:ascii="Calibri" w:hAnsi="Calibri" w:cs="Calibri"/>
      <w:kern w:val="2"/>
      <w:sz w:val="22"/>
      <w:szCs w:val="22"/>
    </w:rPr>
  </w:style>
  <w:style w:type="paragraph" w:customStyle="1" w:styleId="94">
    <w:name w:val="列出段落11"/>
    <w:basedOn w:val="1"/>
    <w:link w:val="93"/>
    <w:qFormat/>
    <w:uiPriority w:val="99"/>
    <w:pPr>
      <w:ind w:firstLine="420" w:firstLineChars="200"/>
    </w:pPr>
    <w:rPr>
      <w:rFonts w:ascii="Calibri" w:hAnsi="Calibri" w:cs="Calibri"/>
      <w:sz w:val="22"/>
      <w:szCs w:val="22"/>
    </w:rPr>
  </w:style>
  <w:style w:type="character" w:customStyle="1" w:styleId="95">
    <w:name w:val="页码1"/>
    <w:qFormat/>
    <w:uiPriority w:val="99"/>
  </w:style>
  <w:style w:type="character" w:customStyle="1" w:styleId="96">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97">
    <w:name w:val="样式 正文缩进 + 首行缩进:  2 字符 Char"/>
    <w:link w:val="98"/>
    <w:qFormat/>
    <w:locked/>
    <w:uiPriority w:val="99"/>
    <w:rPr>
      <w:sz w:val="24"/>
      <w:szCs w:val="24"/>
    </w:rPr>
  </w:style>
  <w:style w:type="paragraph" w:customStyle="1" w:styleId="98">
    <w:name w:val="样式 正文缩进 + 首行缩进:  2 字符"/>
    <w:basedOn w:val="2"/>
    <w:link w:val="97"/>
    <w:qFormat/>
    <w:uiPriority w:val="99"/>
    <w:pPr>
      <w:spacing w:after="80" w:line="360" w:lineRule="auto"/>
      <w:ind w:firstLine="480" w:firstLineChars="200"/>
    </w:pPr>
    <w:rPr>
      <w:kern w:val="0"/>
      <w:sz w:val="24"/>
      <w:szCs w:val="24"/>
    </w:rPr>
  </w:style>
  <w:style w:type="character" w:customStyle="1" w:styleId="99">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100">
    <w:name w:val="文档正文 Char"/>
    <w:link w:val="101"/>
    <w:qFormat/>
    <w:locked/>
    <w:uiPriority w:val="99"/>
    <w:rPr>
      <w:rFonts w:ascii="Arial" w:hAnsi="Arial" w:cs="Arial"/>
      <w:sz w:val="24"/>
      <w:szCs w:val="24"/>
    </w:rPr>
  </w:style>
  <w:style w:type="paragraph" w:customStyle="1" w:styleId="101">
    <w:name w:val="文档正文"/>
    <w:basedOn w:val="1"/>
    <w:link w:val="100"/>
    <w:qFormat/>
    <w:uiPriority w:val="99"/>
    <w:rPr>
      <w:rFonts w:ascii="Arial" w:hAnsi="Arial" w:cs="Arial"/>
      <w:kern w:val="0"/>
      <w:sz w:val="24"/>
      <w:szCs w:val="24"/>
    </w:rPr>
  </w:style>
  <w:style w:type="character" w:customStyle="1" w:styleId="102">
    <w:name w:val="页脚 字符"/>
    <w:qFormat/>
    <w:uiPriority w:val="99"/>
    <w:rPr>
      <w:rFonts w:ascii="Tahoma" w:hAnsi="Tahoma" w:eastAsia="微软雅黑" w:cs="Tahoma"/>
      <w:sz w:val="18"/>
      <w:szCs w:val="18"/>
    </w:rPr>
  </w:style>
  <w:style w:type="character" w:customStyle="1" w:styleId="103">
    <w:name w:val="font21"/>
    <w:basedOn w:val="51"/>
    <w:qFormat/>
    <w:uiPriority w:val="99"/>
    <w:rPr>
      <w:rFonts w:ascii="微软雅黑" w:hAnsi="微软雅黑" w:eastAsia="微软雅黑" w:cs="微软雅黑"/>
      <w:color w:val="auto"/>
      <w:sz w:val="18"/>
      <w:szCs w:val="18"/>
      <w:u w:val="none"/>
    </w:rPr>
  </w:style>
  <w:style w:type="character" w:customStyle="1" w:styleId="104">
    <w:name w:val="04-正文 Char Char"/>
    <w:link w:val="105"/>
    <w:qFormat/>
    <w:locked/>
    <w:uiPriority w:val="99"/>
    <w:rPr>
      <w:sz w:val="24"/>
      <w:szCs w:val="24"/>
    </w:rPr>
  </w:style>
  <w:style w:type="paragraph" w:customStyle="1" w:styleId="105">
    <w:name w:val="04-正文"/>
    <w:basedOn w:val="1"/>
    <w:link w:val="104"/>
    <w:qFormat/>
    <w:uiPriority w:val="99"/>
    <w:pPr>
      <w:spacing w:line="360" w:lineRule="exact"/>
      <w:ind w:firstLine="420"/>
    </w:pPr>
    <w:rPr>
      <w:kern w:val="0"/>
      <w:sz w:val="24"/>
      <w:szCs w:val="24"/>
    </w:rPr>
  </w:style>
  <w:style w:type="character" w:customStyle="1" w:styleId="106">
    <w:name w:val="未处理的提及1"/>
    <w:qFormat/>
    <w:uiPriority w:val="99"/>
    <w:rPr>
      <w:color w:val="auto"/>
      <w:shd w:val="clear" w:color="auto" w:fill="auto"/>
    </w:rPr>
  </w:style>
  <w:style w:type="character" w:customStyle="1" w:styleId="107">
    <w:name w:val="text1"/>
    <w:qFormat/>
    <w:uiPriority w:val="99"/>
    <w:rPr>
      <w:color w:val="000000"/>
      <w:sz w:val="24"/>
      <w:szCs w:val="24"/>
    </w:rPr>
  </w:style>
  <w:style w:type="character" w:customStyle="1" w:styleId="108">
    <w:name w:val="段 Char"/>
    <w:link w:val="109"/>
    <w:qFormat/>
    <w:locked/>
    <w:uiPriority w:val="99"/>
    <w:rPr>
      <w:rFonts w:ascii="宋体" w:cs="宋体"/>
      <w:sz w:val="21"/>
      <w:szCs w:val="21"/>
      <w:lang w:val="en-US" w:eastAsia="zh-CN"/>
    </w:rPr>
  </w:style>
  <w:style w:type="paragraph" w:customStyle="1" w:styleId="109">
    <w:name w:val="段"/>
    <w:link w:val="108"/>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0">
    <w:name w:val="title_emph1"/>
    <w:qFormat/>
    <w:uiPriority w:val="99"/>
    <w:rPr>
      <w:rFonts w:ascii="Arial" w:hAnsi="Arial" w:cs="Arial"/>
      <w:b/>
      <w:bCs/>
      <w:sz w:val="18"/>
      <w:szCs w:val="18"/>
    </w:rPr>
  </w:style>
  <w:style w:type="character" w:customStyle="1" w:styleId="111">
    <w:name w:val="标题 41"/>
    <w:qFormat/>
    <w:uiPriority w:val="99"/>
  </w:style>
  <w:style w:type="character" w:customStyle="1" w:styleId="112">
    <w:name w:val="apple-style-span"/>
    <w:qFormat/>
    <w:uiPriority w:val="99"/>
  </w:style>
  <w:style w:type="character" w:customStyle="1" w:styleId="113">
    <w:name w:val="04-正文 Char"/>
    <w:qFormat/>
    <w:uiPriority w:val="99"/>
    <w:rPr>
      <w:rFonts w:eastAsia="仿宋"/>
      <w:kern w:val="2"/>
      <w:sz w:val="24"/>
      <w:szCs w:val="24"/>
    </w:rPr>
  </w:style>
  <w:style w:type="character" w:customStyle="1" w:styleId="114">
    <w:name w:val="纯文本 Char1"/>
    <w:qFormat/>
    <w:uiPriority w:val="99"/>
    <w:rPr>
      <w:rFonts w:ascii="宋体" w:hAnsi="Courier New" w:eastAsia="宋体" w:cs="宋体"/>
      <w:kern w:val="2"/>
      <w:sz w:val="21"/>
      <w:szCs w:val="21"/>
    </w:rPr>
  </w:style>
  <w:style w:type="character" w:customStyle="1" w:styleId="115">
    <w:name w:val="m_171"/>
    <w:qFormat/>
    <w:uiPriority w:val="99"/>
  </w:style>
  <w:style w:type="character" w:customStyle="1" w:styleId="116">
    <w:name w:val="纯文本 字符1"/>
    <w:qFormat/>
    <w:locked/>
    <w:uiPriority w:val="99"/>
    <w:rPr>
      <w:rFonts w:ascii="宋体" w:hAnsi="Courier New" w:eastAsia="宋体" w:cs="宋体"/>
      <w:kern w:val="2"/>
      <w:sz w:val="24"/>
      <w:szCs w:val="24"/>
      <w:lang w:val="en-US" w:eastAsia="zh-CN"/>
    </w:rPr>
  </w:style>
  <w:style w:type="character" w:customStyle="1" w:styleId="117">
    <w:name w:val="aa1"/>
    <w:basedOn w:val="51"/>
    <w:qFormat/>
    <w:uiPriority w:val="99"/>
  </w:style>
  <w:style w:type="character" w:customStyle="1" w:styleId="118">
    <w:name w:val="www序号1) Char"/>
    <w:link w:val="119"/>
    <w:qFormat/>
    <w:locked/>
    <w:uiPriority w:val="99"/>
    <w:rPr>
      <w:sz w:val="24"/>
      <w:szCs w:val="24"/>
    </w:rPr>
  </w:style>
  <w:style w:type="paragraph" w:customStyle="1" w:styleId="119">
    <w:name w:val="www序号1)"/>
    <w:basedOn w:val="1"/>
    <w:link w:val="118"/>
    <w:qFormat/>
    <w:uiPriority w:val="99"/>
    <w:pPr>
      <w:tabs>
        <w:tab w:val="left" w:pos="2160"/>
      </w:tabs>
      <w:ind w:left="2160" w:hanging="420"/>
    </w:pPr>
    <w:rPr>
      <w:kern w:val="0"/>
      <w:sz w:val="24"/>
      <w:szCs w:val="24"/>
    </w:rPr>
  </w:style>
  <w:style w:type="character" w:customStyle="1" w:styleId="120">
    <w:name w:val="JD1-正文 Char"/>
    <w:link w:val="121"/>
    <w:qFormat/>
    <w:locked/>
    <w:uiPriority w:val="99"/>
    <w:rPr>
      <w:rFonts w:ascii="宋体" w:hAnsi="宋体" w:eastAsia="仿宋_GB2312" w:cs="宋体"/>
      <w:kern w:val="2"/>
      <w:sz w:val="24"/>
      <w:szCs w:val="24"/>
      <w:lang w:val="zh-CN"/>
    </w:rPr>
  </w:style>
  <w:style w:type="paragraph" w:customStyle="1" w:styleId="121">
    <w:name w:val="JD1-正文"/>
    <w:basedOn w:val="1"/>
    <w:link w:val="120"/>
    <w:qFormat/>
    <w:uiPriority w:val="99"/>
    <w:pPr>
      <w:spacing w:line="360" w:lineRule="auto"/>
      <w:ind w:firstLine="480"/>
      <w:jc w:val="left"/>
    </w:pPr>
    <w:rPr>
      <w:rFonts w:ascii="宋体" w:hAnsi="宋体" w:eastAsia="仿宋_GB2312" w:cs="宋体"/>
      <w:sz w:val="24"/>
      <w:szCs w:val="24"/>
      <w:lang w:val="zh-CN"/>
    </w:rPr>
  </w:style>
  <w:style w:type="character" w:customStyle="1" w:styleId="122">
    <w:name w:val="apple-converted-space"/>
    <w:basedOn w:val="51"/>
    <w:qFormat/>
    <w:uiPriority w:val="99"/>
  </w:style>
  <w:style w:type="character" w:customStyle="1" w:styleId="123">
    <w:name w:val="en"/>
    <w:basedOn w:val="51"/>
    <w:qFormat/>
    <w:uiPriority w:val="99"/>
  </w:style>
  <w:style w:type="character" w:customStyle="1" w:styleId="124">
    <w:name w:val="H4"/>
    <w:qFormat/>
    <w:uiPriority w:val="99"/>
  </w:style>
  <w:style w:type="character" w:customStyle="1" w:styleId="125">
    <w:name w:val="正文缩进 Char"/>
    <w:qFormat/>
    <w:locked/>
    <w:uiPriority w:val="99"/>
    <w:rPr>
      <w:kern w:val="2"/>
      <w:sz w:val="21"/>
      <w:szCs w:val="21"/>
    </w:rPr>
  </w:style>
  <w:style w:type="character" w:customStyle="1" w:styleId="126">
    <w:name w:val="Table Text Char Char Char Char"/>
    <w:qFormat/>
    <w:uiPriority w:val="99"/>
    <w:rPr>
      <w:rFonts w:ascii="Arial" w:hAnsi="Arial" w:eastAsia="宋体" w:cs="Arial"/>
      <w:kern w:val="2"/>
      <w:sz w:val="18"/>
      <w:szCs w:val="18"/>
      <w:lang w:val="en-US" w:eastAsia="zh-CN"/>
    </w:rPr>
  </w:style>
  <w:style w:type="character" w:customStyle="1" w:styleId="127">
    <w:name w:val="批注框文本 字符"/>
    <w:qFormat/>
    <w:uiPriority w:val="0"/>
    <w:rPr>
      <w:rFonts w:ascii="Tahoma" w:hAnsi="Tahoma" w:eastAsia="微软雅黑" w:cs="Tahoma"/>
      <w:sz w:val="18"/>
      <w:szCs w:val="18"/>
    </w:rPr>
  </w:style>
  <w:style w:type="character" w:customStyle="1" w:styleId="128">
    <w:name w:val="_正文段落 Char"/>
    <w:link w:val="129"/>
    <w:qFormat/>
    <w:locked/>
    <w:uiPriority w:val="99"/>
    <w:rPr>
      <w:rFonts w:ascii="宋体" w:hAnsi="宋体" w:eastAsia="仿宋_GB2312" w:cs="宋体"/>
      <w:sz w:val="24"/>
      <w:szCs w:val="24"/>
    </w:rPr>
  </w:style>
  <w:style w:type="paragraph" w:customStyle="1" w:styleId="129">
    <w:name w:val="_正文段落"/>
    <w:basedOn w:val="1"/>
    <w:link w:val="128"/>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0">
    <w:name w:val="列出段落 Char"/>
    <w:qFormat/>
    <w:uiPriority w:val="99"/>
    <w:rPr>
      <w:rFonts w:ascii="Calibri" w:hAnsi="Calibri" w:eastAsia="宋体" w:cs="Calibri"/>
    </w:rPr>
  </w:style>
  <w:style w:type="character" w:customStyle="1" w:styleId="131">
    <w:name w:val="正文缩进 Char3"/>
    <w:link w:val="2"/>
    <w:qFormat/>
    <w:locked/>
    <w:uiPriority w:val="0"/>
    <w:rPr>
      <w:kern w:val="2"/>
      <w:sz w:val="21"/>
      <w:szCs w:val="21"/>
    </w:rPr>
  </w:style>
  <w:style w:type="character" w:customStyle="1" w:styleId="132">
    <w:name w:val="m_491"/>
    <w:qFormat/>
    <w:uiPriority w:val="99"/>
  </w:style>
  <w:style w:type="character" w:customStyle="1" w:styleId="133">
    <w:name w:val="m_391"/>
    <w:qFormat/>
    <w:uiPriority w:val="99"/>
  </w:style>
  <w:style w:type="character" w:customStyle="1" w:styleId="134">
    <w:name w:val="副标题 Char1"/>
    <w:qFormat/>
    <w:uiPriority w:val="99"/>
    <w:rPr>
      <w:rFonts w:ascii="Cambria" w:hAnsi="Cambria" w:cs="Cambria"/>
      <w:b/>
      <w:bCs/>
      <w:kern w:val="28"/>
      <w:sz w:val="32"/>
      <w:szCs w:val="32"/>
    </w:rPr>
  </w:style>
  <w:style w:type="character" w:customStyle="1" w:styleId="135">
    <w:name w:val="页眉 字符"/>
    <w:qFormat/>
    <w:uiPriority w:val="99"/>
    <w:rPr>
      <w:rFonts w:ascii="Tahoma" w:hAnsi="Tahoma" w:eastAsia="微软雅黑" w:cs="Tahoma"/>
      <w:sz w:val="18"/>
      <w:szCs w:val="18"/>
    </w:rPr>
  </w:style>
  <w:style w:type="character" w:customStyle="1" w:styleId="136">
    <w:name w:val="正文首行缩进 Char"/>
    <w:qFormat/>
    <w:uiPriority w:val="99"/>
    <w:rPr>
      <w:kern w:val="2"/>
      <w:sz w:val="24"/>
      <w:szCs w:val="24"/>
    </w:rPr>
  </w:style>
  <w:style w:type="character" w:customStyle="1" w:styleId="137">
    <w:name w:val="m_01"/>
    <w:qFormat/>
    <w:uiPriority w:val="99"/>
  </w:style>
  <w:style w:type="character" w:customStyle="1" w:styleId="138">
    <w:name w:val="m_461"/>
    <w:qFormat/>
    <w:uiPriority w:val="99"/>
  </w:style>
  <w:style w:type="character" w:customStyle="1" w:styleId="139">
    <w:name w:val="脚注文本 Char1"/>
    <w:qFormat/>
    <w:uiPriority w:val="99"/>
    <w:rPr>
      <w:kern w:val="2"/>
      <w:sz w:val="18"/>
      <w:szCs w:val="18"/>
    </w:rPr>
  </w:style>
  <w:style w:type="character" w:customStyle="1" w:styleId="140">
    <w:name w:val="正文文本 Char"/>
    <w:qFormat/>
    <w:uiPriority w:val="0"/>
    <w:rPr>
      <w:kern w:val="2"/>
      <w:sz w:val="24"/>
      <w:szCs w:val="24"/>
    </w:rPr>
  </w:style>
  <w:style w:type="character" w:customStyle="1" w:styleId="141">
    <w:name w:val="文档结构图 Char1"/>
    <w:qFormat/>
    <w:uiPriority w:val="99"/>
    <w:rPr>
      <w:rFonts w:ascii="宋体" w:cs="宋体"/>
      <w:kern w:val="2"/>
      <w:sz w:val="18"/>
      <w:szCs w:val="18"/>
    </w:rPr>
  </w:style>
  <w:style w:type="character" w:customStyle="1" w:styleId="142">
    <w:name w:val="二级标题 Char"/>
    <w:link w:val="143"/>
    <w:qFormat/>
    <w:locked/>
    <w:uiPriority w:val="99"/>
    <w:rPr>
      <w:rFonts w:ascii="宋体" w:eastAsia="宋体" w:cs="宋体"/>
      <w:b/>
      <w:bCs/>
      <w:sz w:val="30"/>
      <w:szCs w:val="30"/>
      <w:lang w:val="zh-CN"/>
    </w:rPr>
  </w:style>
  <w:style w:type="paragraph" w:customStyle="1" w:styleId="143">
    <w:name w:val="二级标题"/>
    <w:basedOn w:val="4"/>
    <w:link w:val="142"/>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4">
    <w:name w:val="标题 1 Char Char"/>
    <w:qFormat/>
    <w:uiPriority w:val="99"/>
    <w:rPr>
      <w:rFonts w:eastAsia="宋体"/>
      <w:b/>
      <w:bCs/>
      <w:spacing w:val="-2"/>
      <w:sz w:val="24"/>
      <w:szCs w:val="24"/>
      <w:lang w:val="en-US" w:eastAsia="zh-CN"/>
    </w:rPr>
  </w:style>
  <w:style w:type="character" w:customStyle="1" w:styleId="145">
    <w:name w:val="m_51"/>
    <w:qFormat/>
    <w:uiPriority w:val="99"/>
  </w:style>
  <w:style w:type="character" w:customStyle="1" w:styleId="146">
    <w:name w:val="z21"/>
    <w:qFormat/>
    <w:uiPriority w:val="99"/>
    <w:rPr>
      <w:color w:val="000000"/>
      <w:sz w:val="18"/>
      <w:szCs w:val="18"/>
    </w:rPr>
  </w:style>
  <w:style w:type="character" w:customStyle="1" w:styleId="147">
    <w:name w:val="a41"/>
    <w:qFormat/>
    <w:uiPriority w:val="99"/>
    <w:rPr>
      <w:color w:val="auto"/>
      <w:sz w:val="26"/>
      <w:szCs w:val="26"/>
    </w:rPr>
  </w:style>
  <w:style w:type="character" w:customStyle="1" w:styleId="148">
    <w:name w:val="2.1样式 Char"/>
    <w:link w:val="149"/>
    <w:qFormat/>
    <w:locked/>
    <w:uiPriority w:val="99"/>
    <w:rPr>
      <w:rFonts w:ascii="Arial" w:hAnsi="Arial" w:eastAsia="黑体" w:cs="Arial"/>
      <w:b/>
      <w:bCs/>
      <w:sz w:val="32"/>
      <w:szCs w:val="32"/>
    </w:rPr>
  </w:style>
  <w:style w:type="paragraph" w:customStyle="1" w:styleId="149">
    <w:name w:val="2.1样式"/>
    <w:basedOn w:val="4"/>
    <w:link w:val="148"/>
    <w:qFormat/>
    <w:uiPriority w:val="99"/>
    <w:pPr>
      <w:numPr>
        <w:ilvl w:val="0"/>
        <w:numId w:val="2"/>
      </w:numPr>
      <w:spacing w:line="416" w:lineRule="auto"/>
    </w:pPr>
    <w:rPr>
      <w:kern w:val="0"/>
    </w:rPr>
  </w:style>
  <w:style w:type="character" w:customStyle="1" w:styleId="150">
    <w:name w:val="bookmark-item"/>
    <w:qFormat/>
    <w:uiPriority w:val="0"/>
  </w:style>
  <w:style w:type="paragraph" w:customStyle="1" w:styleId="151">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2">
    <w:name w:val="Char Char Char Char Char Char"/>
    <w:basedOn w:val="1"/>
    <w:qFormat/>
    <w:uiPriority w:val="99"/>
    <w:pPr>
      <w:ind w:firstLine="200" w:firstLineChars="200"/>
    </w:pPr>
    <w:rPr>
      <w:rFonts w:ascii="Tahoma" w:hAnsi="Tahoma" w:cs="Tahoma"/>
      <w:sz w:val="24"/>
      <w:szCs w:val="24"/>
    </w:rPr>
  </w:style>
  <w:style w:type="paragraph" w:customStyle="1" w:styleId="153">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4">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5">
    <w:name w:val="33-1级列表编号-1"/>
    <w:basedOn w:val="1"/>
    <w:next w:val="1"/>
    <w:qFormat/>
    <w:uiPriority w:val="99"/>
    <w:pPr>
      <w:numPr>
        <w:ilvl w:val="0"/>
        <w:numId w:val="3"/>
      </w:numPr>
      <w:adjustRightInd w:val="0"/>
      <w:spacing w:line="360" w:lineRule="exact"/>
    </w:pPr>
  </w:style>
  <w:style w:type="paragraph" w:customStyle="1" w:styleId="15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57">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5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59">
    <w:name w:val="Char Char Char Char Char Char1"/>
    <w:basedOn w:val="1"/>
    <w:qFormat/>
    <w:uiPriority w:val="99"/>
    <w:pPr>
      <w:ind w:firstLine="200" w:firstLineChars="200"/>
    </w:pPr>
    <w:rPr>
      <w:rFonts w:ascii="Tahoma" w:hAnsi="Tahoma" w:cs="Tahoma"/>
      <w:sz w:val="24"/>
      <w:szCs w:val="24"/>
    </w:rPr>
  </w:style>
  <w:style w:type="paragraph" w:customStyle="1" w:styleId="160">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1">
    <w:name w:val="Note Level 9"/>
    <w:basedOn w:val="1"/>
    <w:qFormat/>
    <w:uiPriority w:val="99"/>
    <w:pPr>
      <w:keepNext/>
      <w:tabs>
        <w:tab w:val="left" w:pos="1200"/>
      </w:tabs>
      <w:ind w:left="3780" w:hanging="420"/>
      <w:outlineLvl w:val="8"/>
    </w:pPr>
    <w:rPr>
      <w:rFonts w:ascii="宋体" w:hAnsi="Cambria" w:cs="宋体"/>
      <w:sz w:val="24"/>
      <w:szCs w:val="24"/>
    </w:rPr>
  </w:style>
  <w:style w:type="paragraph" w:customStyle="1" w:styleId="162">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3">
    <w:name w:val="Note Level 7"/>
    <w:basedOn w:val="1"/>
    <w:qFormat/>
    <w:uiPriority w:val="99"/>
    <w:pPr>
      <w:keepNext/>
      <w:tabs>
        <w:tab w:val="left" w:pos="1200"/>
      </w:tabs>
      <w:ind w:left="2940" w:hanging="420"/>
      <w:outlineLvl w:val="6"/>
    </w:pPr>
    <w:rPr>
      <w:rFonts w:ascii="宋体" w:hAnsi="Cambria" w:cs="宋体"/>
      <w:sz w:val="24"/>
      <w:szCs w:val="24"/>
    </w:rPr>
  </w:style>
  <w:style w:type="paragraph" w:customStyle="1" w:styleId="164">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5">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6">
    <w:name w:val="Char"/>
    <w:basedOn w:val="1"/>
    <w:qFormat/>
    <w:uiPriority w:val="99"/>
    <w:pPr>
      <w:ind w:firstLine="200" w:firstLineChars="200"/>
    </w:pPr>
    <w:rPr>
      <w:rFonts w:ascii="Tahoma" w:hAnsi="Tahoma" w:cs="Tahoma"/>
      <w:sz w:val="24"/>
      <w:szCs w:val="24"/>
    </w:rPr>
  </w:style>
  <w:style w:type="paragraph" w:customStyle="1" w:styleId="167">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68">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0">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1">
    <w:name w:val="正文－恩普"/>
    <w:basedOn w:val="2"/>
    <w:qFormat/>
    <w:uiPriority w:val="99"/>
    <w:pPr>
      <w:widowControl/>
      <w:spacing w:afterLines="50" w:line="360" w:lineRule="auto"/>
      <w:ind w:firstLine="480" w:firstLineChars="200"/>
      <w:jc w:val="left"/>
    </w:pPr>
    <w:rPr>
      <w:kern w:val="0"/>
      <w:sz w:val="24"/>
      <w:szCs w:val="24"/>
    </w:rPr>
  </w:style>
  <w:style w:type="paragraph" w:customStyle="1" w:styleId="172">
    <w:name w:val="_Style 116"/>
    <w:basedOn w:val="1"/>
    <w:next w:val="1"/>
    <w:qFormat/>
    <w:uiPriority w:val="99"/>
    <w:pPr>
      <w:spacing w:line="360" w:lineRule="auto"/>
      <w:ind w:firstLine="600"/>
    </w:pPr>
    <w:rPr>
      <w:sz w:val="24"/>
      <w:szCs w:val="24"/>
    </w:rPr>
  </w:style>
  <w:style w:type="paragraph" w:customStyle="1" w:styleId="173">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4">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5">
    <w:name w:val="No Spacing"/>
    <w:qFormat/>
    <w:uiPriority w:val="1"/>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76">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7">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78">
    <w:name w:val="列出段落1"/>
    <w:basedOn w:val="1"/>
    <w:qFormat/>
    <w:uiPriority w:val="34"/>
    <w:pPr>
      <w:ind w:firstLine="420" w:firstLineChars="200"/>
    </w:pPr>
  </w:style>
  <w:style w:type="paragraph" w:customStyle="1" w:styleId="179">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0">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1">
    <w:name w:val="Char2"/>
    <w:basedOn w:val="1"/>
    <w:qFormat/>
    <w:uiPriority w:val="99"/>
    <w:rPr>
      <w:rFonts w:ascii="仿宋_GB2312" w:eastAsia="仿宋_GB2312" w:cs="仿宋_GB2312"/>
      <w:b/>
      <w:bCs/>
      <w:sz w:val="32"/>
      <w:szCs w:val="32"/>
    </w:rPr>
  </w:style>
  <w:style w:type="paragraph" w:customStyle="1" w:styleId="182">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3">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4">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5">
    <w:name w:val="样式 标题 3 + 左侧:  0 厘米 首行缩进:  0 厘米"/>
    <w:basedOn w:val="5"/>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86">
    <w:name w:val="样式 标题 1 + 两端对齐"/>
    <w:basedOn w:val="4"/>
    <w:next w:val="4"/>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87">
    <w:name w:val="修订1"/>
    <w:qFormat/>
    <w:uiPriority w:val="99"/>
    <w:rPr>
      <w:rFonts w:ascii="Times New Roman" w:hAnsi="Times New Roman" w:eastAsia="宋体" w:cs="Times New Roman"/>
      <w:kern w:val="2"/>
      <w:sz w:val="21"/>
      <w:szCs w:val="21"/>
      <w:lang w:val="en-US" w:eastAsia="zh-CN" w:bidi="ar-SA"/>
    </w:rPr>
  </w:style>
  <w:style w:type="paragraph" w:customStyle="1" w:styleId="188">
    <w:name w:val="样式 标题 3 +"/>
    <w:basedOn w:val="5"/>
    <w:qFormat/>
    <w:uiPriority w:val="99"/>
    <w:pPr>
      <w:adjustRightInd/>
      <w:spacing w:line="416" w:lineRule="auto"/>
      <w:jc w:val="center"/>
      <w:textAlignment w:val="auto"/>
    </w:pPr>
    <w:rPr>
      <w:sz w:val="28"/>
      <w:szCs w:val="28"/>
    </w:rPr>
  </w:style>
  <w:style w:type="paragraph" w:customStyle="1" w:styleId="189">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0">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1">
    <w:name w:val="正文文字缩进4字符"/>
    <w:basedOn w:val="1"/>
    <w:next w:val="2"/>
    <w:qFormat/>
    <w:uiPriority w:val="99"/>
    <w:pPr>
      <w:ind w:firstLine="420" w:firstLineChars="200"/>
    </w:pPr>
  </w:style>
  <w:style w:type="paragraph" w:customStyle="1" w:styleId="192">
    <w:name w:val="Char1"/>
    <w:basedOn w:val="1"/>
    <w:qFormat/>
    <w:uiPriority w:val="99"/>
    <w:rPr>
      <w:rFonts w:ascii="Tahoma" w:hAnsi="Tahoma" w:cs="Tahoma"/>
      <w:sz w:val="24"/>
      <w:szCs w:val="24"/>
    </w:rPr>
  </w:style>
  <w:style w:type="paragraph" w:customStyle="1" w:styleId="193">
    <w:name w:val="List Paragraph1"/>
    <w:basedOn w:val="1"/>
    <w:qFormat/>
    <w:uiPriority w:val="99"/>
    <w:pPr>
      <w:ind w:firstLine="420" w:firstLineChars="200"/>
    </w:pPr>
    <w:rPr>
      <w:rFonts w:ascii="Calibri" w:hAnsi="Calibri" w:cs="Calibri"/>
    </w:rPr>
  </w:style>
  <w:style w:type="paragraph" w:customStyle="1" w:styleId="1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5">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6">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197">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8">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199">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0">
    <w:name w:val="Char11"/>
    <w:basedOn w:val="1"/>
    <w:qFormat/>
    <w:uiPriority w:val="99"/>
    <w:rPr>
      <w:rFonts w:ascii="Tahoma" w:hAnsi="Tahoma" w:cs="Tahoma"/>
      <w:sz w:val="24"/>
      <w:szCs w:val="24"/>
    </w:rPr>
  </w:style>
  <w:style w:type="paragraph" w:customStyle="1" w:styleId="201">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2">
    <w:name w:val="TOC 标题1"/>
    <w:basedOn w:val="3"/>
    <w:next w:val="1"/>
    <w:qFormat/>
    <w:uiPriority w:val="3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3">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4">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5">
    <w:name w:val="列表段落1"/>
    <w:basedOn w:val="1"/>
    <w:qFormat/>
    <w:uiPriority w:val="34"/>
    <w:pPr>
      <w:ind w:firstLine="420" w:firstLineChars="200"/>
    </w:pPr>
  </w:style>
  <w:style w:type="paragraph" w:customStyle="1" w:styleId="206">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07">
    <w:name w:val="xl6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08">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09">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0">
    <w:name w:val="正文段"/>
    <w:basedOn w:val="1"/>
    <w:qFormat/>
    <w:uiPriority w:val="99"/>
    <w:pPr>
      <w:widowControl/>
      <w:snapToGrid w:val="0"/>
      <w:spacing w:afterLines="50"/>
      <w:ind w:firstLine="200" w:firstLineChars="200"/>
    </w:pPr>
    <w:rPr>
      <w:kern w:val="0"/>
      <w:sz w:val="24"/>
      <w:szCs w:val="24"/>
    </w:rPr>
  </w:style>
  <w:style w:type="paragraph" w:customStyle="1" w:styleId="211">
    <w:name w:val="四号正文"/>
    <w:basedOn w:val="1"/>
    <w:qFormat/>
    <w:uiPriority w:val="99"/>
    <w:pPr>
      <w:spacing w:line="360" w:lineRule="auto"/>
      <w:ind w:firstLine="560" w:firstLineChars="200"/>
    </w:pPr>
    <w:rPr>
      <w:sz w:val="28"/>
      <w:szCs w:val="28"/>
    </w:rPr>
  </w:style>
  <w:style w:type="paragraph" w:customStyle="1" w:styleId="212">
    <w:name w:val="列项◆（三级）"/>
    <w:basedOn w:val="1"/>
    <w:qFormat/>
    <w:uiPriority w:val="99"/>
    <w:pPr>
      <w:numPr>
        <w:ilvl w:val="2"/>
        <w:numId w:val="4"/>
      </w:numPr>
      <w:ind w:firstLine="0"/>
    </w:pPr>
    <w:rPr>
      <w:rFonts w:ascii="宋体" w:cs="宋体"/>
    </w:rPr>
  </w:style>
  <w:style w:type="paragraph" w:customStyle="1" w:styleId="21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4">
    <w:name w:val="Note Level 8"/>
    <w:basedOn w:val="1"/>
    <w:qFormat/>
    <w:uiPriority w:val="99"/>
    <w:pPr>
      <w:keepNext/>
      <w:tabs>
        <w:tab w:val="left" w:pos="1200"/>
      </w:tabs>
      <w:ind w:left="3360" w:hanging="420"/>
      <w:outlineLvl w:val="7"/>
    </w:pPr>
    <w:rPr>
      <w:rFonts w:ascii="宋体" w:hAnsi="Cambria" w:cs="宋体"/>
      <w:sz w:val="24"/>
      <w:szCs w:val="24"/>
    </w:rPr>
  </w:style>
  <w:style w:type="paragraph" w:customStyle="1" w:styleId="215">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6">
    <w:name w:val="列出段落1111"/>
    <w:basedOn w:val="1"/>
    <w:qFormat/>
    <w:uiPriority w:val="99"/>
    <w:pPr>
      <w:ind w:firstLine="420" w:firstLineChars="200"/>
    </w:pPr>
    <w:rPr>
      <w:rFonts w:ascii="Calibri" w:hAnsi="Calibri" w:cs="Calibri"/>
    </w:rPr>
  </w:style>
  <w:style w:type="paragraph" w:customStyle="1" w:styleId="217">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18">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9">
    <w:name w:val="Note Level 4"/>
    <w:basedOn w:val="1"/>
    <w:qFormat/>
    <w:uiPriority w:val="99"/>
    <w:pPr>
      <w:keepNext/>
      <w:tabs>
        <w:tab w:val="left" w:pos="1200"/>
      </w:tabs>
      <w:ind w:left="1680" w:hanging="420"/>
      <w:outlineLvl w:val="3"/>
    </w:pPr>
    <w:rPr>
      <w:rFonts w:ascii="宋体" w:hAnsi="Cambria" w:cs="宋体"/>
      <w:sz w:val="24"/>
      <w:szCs w:val="24"/>
    </w:rPr>
  </w:style>
  <w:style w:type="paragraph" w:customStyle="1" w:styleId="22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1">
    <w:name w:val="样式1"/>
    <w:basedOn w:val="6"/>
    <w:qFormat/>
    <w:uiPriority w:val="99"/>
  </w:style>
  <w:style w:type="paragraph" w:customStyle="1" w:styleId="222">
    <w:name w:val="TOC 标题2"/>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3">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4">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5">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6">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7">
    <w:name w:val="无间隔1"/>
    <w:qFormat/>
    <w:uiPriority w:val="99"/>
    <w:pPr>
      <w:widowControl w:val="0"/>
      <w:spacing w:line="360" w:lineRule="auto"/>
      <w:jc w:val="both"/>
    </w:pPr>
    <w:rPr>
      <w:rFonts w:ascii="宋体" w:hAnsi="Calibri" w:eastAsia="宋体" w:cs="宋体"/>
      <w:kern w:val="2"/>
      <w:sz w:val="24"/>
      <w:szCs w:val="24"/>
      <w:lang w:val="en-US" w:eastAsia="zh-CN" w:bidi="ar-SA"/>
    </w:rPr>
  </w:style>
  <w:style w:type="paragraph" w:customStyle="1" w:styleId="228">
    <w:name w:val="Note Level 2"/>
    <w:basedOn w:val="1"/>
    <w:qFormat/>
    <w:uiPriority w:val="99"/>
    <w:pPr>
      <w:keepNext/>
      <w:tabs>
        <w:tab w:val="left" w:pos="1200"/>
      </w:tabs>
      <w:ind w:left="840" w:hanging="420"/>
      <w:outlineLvl w:val="1"/>
    </w:pPr>
    <w:rPr>
      <w:rFonts w:ascii="宋体" w:hAnsi="Cambria" w:cs="宋体"/>
      <w:sz w:val="24"/>
      <w:szCs w:val="24"/>
    </w:rPr>
  </w:style>
  <w:style w:type="paragraph" w:customStyle="1" w:styleId="229">
    <w:name w:val="此正文"/>
    <w:basedOn w:val="1"/>
    <w:qFormat/>
    <w:uiPriority w:val="99"/>
    <w:pPr>
      <w:spacing w:line="360" w:lineRule="auto"/>
      <w:ind w:firstLine="200" w:firstLineChars="200"/>
    </w:pPr>
    <w:rPr>
      <w:sz w:val="24"/>
      <w:szCs w:val="24"/>
    </w:rPr>
  </w:style>
  <w:style w:type="paragraph" w:customStyle="1" w:styleId="230">
    <w:name w:val="Note Level 6"/>
    <w:basedOn w:val="1"/>
    <w:qFormat/>
    <w:uiPriority w:val="99"/>
    <w:pPr>
      <w:keepNext/>
      <w:tabs>
        <w:tab w:val="left" w:pos="1200"/>
      </w:tabs>
      <w:ind w:left="2520" w:hanging="420"/>
      <w:outlineLvl w:val="5"/>
    </w:pPr>
    <w:rPr>
      <w:rFonts w:ascii="宋体" w:hAnsi="Cambria" w:cs="宋体"/>
      <w:sz w:val="24"/>
      <w:szCs w:val="24"/>
    </w:rPr>
  </w:style>
  <w:style w:type="paragraph" w:customStyle="1" w:styleId="231">
    <w:name w:val="xl7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2">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4">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37">
    <w:name w:val="列项●（二级）"/>
    <w:qFormat/>
    <w:uiPriority w:val="99"/>
    <w:pPr>
      <w:numPr>
        <w:ilvl w:val="1"/>
        <w:numId w:val="4"/>
      </w:numPr>
      <w:tabs>
        <w:tab w:val="left" w:pos="840"/>
      </w:tabs>
      <w:jc w:val="both"/>
    </w:pPr>
    <w:rPr>
      <w:rFonts w:ascii="宋体" w:hAnsi="Times New Roman" w:eastAsia="宋体" w:cs="宋体"/>
      <w:sz w:val="21"/>
      <w:szCs w:val="21"/>
      <w:lang w:val="en-US" w:eastAsia="zh-CN" w:bidi="ar-SA"/>
    </w:rPr>
  </w:style>
  <w:style w:type="paragraph" w:customStyle="1" w:styleId="238">
    <w:name w:val="证文"/>
    <w:basedOn w:val="1"/>
    <w:qFormat/>
    <w:uiPriority w:val="99"/>
    <w:pPr>
      <w:spacing w:line="360" w:lineRule="auto"/>
    </w:pPr>
    <w:rPr>
      <w:sz w:val="24"/>
      <w:szCs w:val="24"/>
    </w:rPr>
  </w:style>
  <w:style w:type="paragraph" w:customStyle="1" w:styleId="239">
    <w:name w:val="标准正文"/>
    <w:basedOn w:val="1"/>
    <w:qFormat/>
    <w:uiPriority w:val="99"/>
    <w:pPr>
      <w:spacing w:line="240" w:lineRule="atLeast"/>
      <w:ind w:firstLine="200" w:firstLineChars="200"/>
    </w:pPr>
  </w:style>
  <w:style w:type="paragraph" w:customStyle="1" w:styleId="240">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1">
    <w:name w:val="xl7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2">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4">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5">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46">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47">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48">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9">
    <w:name w:val="ZJ正文"/>
    <w:basedOn w:val="1"/>
    <w:qFormat/>
    <w:uiPriority w:val="99"/>
    <w:pPr>
      <w:spacing w:line="360" w:lineRule="auto"/>
      <w:ind w:firstLine="480" w:firstLineChars="200"/>
    </w:pPr>
    <w:rPr>
      <w:sz w:val="24"/>
      <w:szCs w:val="24"/>
    </w:rPr>
  </w:style>
  <w:style w:type="paragraph" w:customStyle="1" w:styleId="250">
    <w:name w:val="Char1 Char Char Char"/>
    <w:basedOn w:val="1"/>
    <w:qFormat/>
    <w:uiPriority w:val="99"/>
    <w:pPr>
      <w:tabs>
        <w:tab w:val="left" w:pos="420"/>
      </w:tabs>
      <w:ind w:left="420" w:hanging="420"/>
    </w:pPr>
    <w:rPr>
      <w:rFonts w:ascii="Tahoma" w:hAnsi="Tahoma" w:cs="Tahoma"/>
      <w:sz w:val="24"/>
      <w:szCs w:val="24"/>
    </w:rPr>
  </w:style>
  <w:style w:type="paragraph" w:customStyle="1" w:styleId="251">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3">
    <w:name w:val="列出段落111"/>
    <w:basedOn w:val="1"/>
    <w:qFormat/>
    <w:uiPriority w:val="99"/>
    <w:pPr>
      <w:spacing w:line="360" w:lineRule="auto"/>
      <w:ind w:firstLine="420" w:firstLineChars="200"/>
    </w:pPr>
    <w:rPr>
      <w:rFonts w:ascii="Calibri" w:hAnsi="Calibri" w:cs="Calibri"/>
    </w:rPr>
  </w:style>
  <w:style w:type="paragraph" w:customStyle="1" w:styleId="254">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5">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56">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57">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8">
    <w:name w:val="WPSOffice手动目录 1"/>
    <w:qFormat/>
    <w:uiPriority w:val="99"/>
    <w:rPr>
      <w:rFonts w:ascii="Calibri" w:hAnsi="Calibri" w:eastAsia="宋体" w:cs="Calibri"/>
      <w:lang w:val="en-US" w:eastAsia="zh-CN" w:bidi="ar-SA"/>
    </w:rPr>
  </w:style>
  <w:style w:type="paragraph" w:customStyle="1" w:styleId="259">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0">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1">
    <w:name w:val="列出段落111111"/>
    <w:basedOn w:val="1"/>
    <w:qFormat/>
    <w:uiPriority w:val="99"/>
    <w:pPr>
      <w:spacing w:line="360" w:lineRule="auto"/>
      <w:ind w:firstLine="420" w:firstLineChars="200"/>
    </w:pPr>
    <w:rPr>
      <w:rFonts w:ascii="Calibri" w:hAnsi="Calibri" w:cs="Calibri"/>
    </w:rPr>
  </w:style>
  <w:style w:type="paragraph" w:customStyle="1" w:styleId="262">
    <w:name w:val="p18"/>
    <w:basedOn w:val="1"/>
    <w:qFormat/>
    <w:uiPriority w:val="99"/>
    <w:pPr>
      <w:widowControl/>
    </w:pPr>
    <w:rPr>
      <w:kern w:val="0"/>
      <w:sz w:val="24"/>
      <w:szCs w:val="24"/>
    </w:rPr>
  </w:style>
  <w:style w:type="paragraph" w:customStyle="1" w:styleId="263">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4">
    <w:name w:val="样式 标题 3 +1"/>
    <w:basedOn w:val="5"/>
    <w:qFormat/>
    <w:uiPriority w:val="99"/>
    <w:pPr>
      <w:adjustRightInd/>
      <w:spacing w:line="416" w:lineRule="auto"/>
      <w:jc w:val="center"/>
      <w:textAlignment w:val="auto"/>
    </w:pPr>
    <w:rPr>
      <w:sz w:val="28"/>
      <w:szCs w:val="28"/>
    </w:rPr>
  </w:style>
  <w:style w:type="paragraph" w:customStyle="1" w:styleId="265">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6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67">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68">
    <w:name w:val="Note Level 3"/>
    <w:basedOn w:val="1"/>
    <w:qFormat/>
    <w:uiPriority w:val="99"/>
    <w:pPr>
      <w:keepNext/>
      <w:tabs>
        <w:tab w:val="left" w:pos="1200"/>
      </w:tabs>
      <w:ind w:left="1260" w:hanging="420"/>
      <w:outlineLvl w:val="2"/>
    </w:pPr>
    <w:rPr>
      <w:rFonts w:ascii="宋体" w:hAnsi="Cambria" w:cs="宋体"/>
      <w:sz w:val="24"/>
      <w:szCs w:val="24"/>
    </w:rPr>
  </w:style>
  <w:style w:type="paragraph" w:customStyle="1" w:styleId="269">
    <w:name w:val="xl7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0">
    <w:name w:val="43-表格正文"/>
    <w:basedOn w:val="1"/>
    <w:next w:val="1"/>
    <w:qFormat/>
    <w:uiPriority w:val="99"/>
    <w:pPr>
      <w:jc w:val="left"/>
    </w:pPr>
    <w:rPr>
      <w:rFonts w:eastAsia="微软雅黑"/>
      <w:sz w:val="18"/>
      <w:szCs w:val="18"/>
    </w:rPr>
  </w:style>
  <w:style w:type="paragraph" w:customStyle="1" w:styleId="271">
    <w:name w:val="5"/>
    <w:basedOn w:val="1"/>
    <w:next w:val="1"/>
    <w:qFormat/>
    <w:uiPriority w:val="99"/>
  </w:style>
  <w:style w:type="paragraph" w:customStyle="1" w:styleId="272">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3">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5">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6">
    <w:name w:val="Char1 Char Char Char Char Char"/>
    <w:basedOn w:val="1"/>
    <w:qFormat/>
    <w:uiPriority w:val="99"/>
    <w:rPr>
      <w:rFonts w:ascii="仿宋_GB2312" w:eastAsia="仿宋_GB2312" w:cs="仿宋_GB2312"/>
      <w:sz w:val="24"/>
      <w:szCs w:val="24"/>
    </w:rPr>
  </w:style>
  <w:style w:type="paragraph" w:customStyle="1" w:styleId="277">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TOC 标题3"/>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79">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0">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1">
    <w:name w:val="标准小四"/>
    <w:basedOn w:val="1"/>
    <w:qFormat/>
    <w:uiPriority w:val="99"/>
    <w:pPr>
      <w:spacing w:line="360" w:lineRule="auto"/>
      <w:ind w:firstLine="480" w:firstLineChars="200"/>
    </w:pPr>
    <w:rPr>
      <w:rFonts w:ascii="Arial" w:hAnsi="Arial" w:cs="Arial"/>
      <w:sz w:val="24"/>
      <w:szCs w:val="24"/>
    </w:rPr>
  </w:style>
  <w:style w:type="paragraph" w:customStyle="1" w:styleId="282">
    <w:name w:val="font13"/>
    <w:basedOn w:val="1"/>
    <w:qFormat/>
    <w:uiPriority w:val="99"/>
    <w:pPr>
      <w:widowControl/>
      <w:spacing w:before="100" w:beforeAutospacing="1" w:after="100" w:afterAutospacing="1"/>
      <w:jc w:val="left"/>
    </w:pPr>
    <w:rPr>
      <w:b/>
      <w:bCs/>
      <w:kern w:val="0"/>
      <w:sz w:val="24"/>
      <w:szCs w:val="24"/>
    </w:rPr>
  </w:style>
  <w:style w:type="paragraph" w:customStyle="1" w:styleId="283">
    <w:name w:val="Char Char Char Char Char Char Char Char Char Char Char Char1 Char"/>
    <w:basedOn w:val="15"/>
    <w:qFormat/>
    <w:uiPriority w:val="99"/>
    <w:rPr>
      <w:rFonts w:ascii="Tahoma" w:hAnsi="Tahoma" w:cs="Tahoma"/>
      <w:sz w:val="24"/>
      <w:szCs w:val="24"/>
    </w:rPr>
  </w:style>
  <w:style w:type="paragraph" w:customStyle="1" w:styleId="284">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5">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86">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87">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8">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9">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0">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1">
    <w:name w:val="ZJGIS-五级标题"/>
    <w:basedOn w:val="7"/>
    <w:qFormat/>
    <w:uiPriority w:val="99"/>
    <w:pPr>
      <w:tabs>
        <w:tab w:val="left" w:pos="992"/>
        <w:tab w:val="clear" w:pos="2100"/>
      </w:tabs>
      <w:spacing w:before="120" w:after="120" w:line="240" w:lineRule="auto"/>
      <w:ind w:left="0" w:firstLine="0"/>
    </w:pPr>
  </w:style>
  <w:style w:type="paragraph" w:customStyle="1" w:styleId="292">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3">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4">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5">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296">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297">
    <w:name w:val="自由格式 A"/>
    <w:qFormat/>
    <w:uiPriority w:val="99"/>
    <w:rPr>
      <w:rFonts w:ascii="Helvetica" w:hAnsi="Helvetica" w:eastAsia="宋体" w:cs="Helvetica"/>
      <w:color w:val="000000"/>
      <w:sz w:val="24"/>
      <w:szCs w:val="24"/>
      <w:lang w:val="en-US" w:eastAsia="zh-CN" w:bidi="ar-SA"/>
    </w:rPr>
  </w:style>
  <w:style w:type="paragraph" w:customStyle="1" w:styleId="298">
    <w:name w:val="纯文本1"/>
    <w:basedOn w:val="1"/>
    <w:qFormat/>
    <w:uiPriority w:val="99"/>
    <w:pPr>
      <w:spacing w:beforeLines="50" w:afterLines="50" w:line="400" w:lineRule="exact"/>
    </w:pPr>
    <w:rPr>
      <w:rFonts w:ascii="宋体" w:hAnsi="Courier New" w:cs="宋体"/>
      <w:sz w:val="24"/>
      <w:szCs w:val="24"/>
    </w:rPr>
  </w:style>
  <w:style w:type="paragraph" w:customStyle="1" w:styleId="299">
    <w:name w:val="默认段落字体 Para Char Char Char Char Char Char Char Char Char1 Char Char Char Char"/>
    <w:basedOn w:val="1"/>
    <w:qFormat/>
    <w:uiPriority w:val="99"/>
    <w:rPr>
      <w:rFonts w:ascii="Tahoma" w:hAnsi="Tahoma" w:cs="Tahoma"/>
      <w:sz w:val="24"/>
      <w:szCs w:val="24"/>
    </w:rPr>
  </w:style>
  <w:style w:type="paragraph" w:customStyle="1" w:styleId="300">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1">
    <w:name w:val="Char1 Char"/>
    <w:basedOn w:val="1"/>
    <w:qFormat/>
    <w:uiPriority w:val="99"/>
    <w:pPr>
      <w:tabs>
        <w:tab w:val="left" w:pos="360"/>
      </w:tabs>
      <w:spacing w:line="360" w:lineRule="auto"/>
    </w:pPr>
    <w:rPr>
      <w:sz w:val="24"/>
      <w:szCs w:val="24"/>
    </w:rPr>
  </w:style>
  <w:style w:type="paragraph" w:customStyle="1" w:styleId="302">
    <w:name w:val="列表段落2"/>
    <w:basedOn w:val="1"/>
    <w:qFormat/>
    <w:uiPriority w:val="99"/>
    <w:pPr>
      <w:ind w:firstLine="420" w:firstLineChars="200"/>
    </w:pPr>
    <w:rPr>
      <w:rFonts w:ascii="Calibri" w:hAnsi="Calibri" w:cs="Calibri"/>
    </w:rPr>
  </w:style>
  <w:style w:type="paragraph" w:customStyle="1" w:styleId="303">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4">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5">
    <w:name w:val="正文1"/>
    <w:qFormat/>
    <w:uiPriority w:val="0"/>
    <w:pPr>
      <w:jc w:val="both"/>
    </w:pPr>
    <w:rPr>
      <w:rFonts w:ascii="等线" w:hAnsi="等线" w:eastAsia="宋体" w:cs="等线"/>
      <w:kern w:val="2"/>
      <w:sz w:val="21"/>
      <w:szCs w:val="21"/>
      <w:lang w:val="en-US" w:eastAsia="zh-CN" w:bidi="ar-SA"/>
    </w:rPr>
  </w:style>
  <w:style w:type="paragraph" w:customStyle="1" w:styleId="306">
    <w:name w:val="xl6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07">
    <w:name w:val="xl71"/>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08">
    <w:name w:val="列表段落21"/>
    <w:basedOn w:val="1"/>
    <w:qFormat/>
    <w:uiPriority w:val="99"/>
    <w:pPr>
      <w:widowControl/>
      <w:spacing w:after="160" w:line="259" w:lineRule="auto"/>
      <w:ind w:left="720"/>
      <w:jc w:val="left"/>
    </w:pPr>
    <w:rPr>
      <w:kern w:val="0"/>
      <w:sz w:val="22"/>
      <w:szCs w:val="22"/>
    </w:rPr>
  </w:style>
  <w:style w:type="paragraph" w:customStyle="1" w:styleId="309">
    <w:name w:val="_Style 222"/>
    <w:basedOn w:val="1"/>
    <w:next w:val="302"/>
    <w:qFormat/>
    <w:uiPriority w:val="99"/>
    <w:pPr>
      <w:ind w:firstLine="420" w:firstLineChars="200"/>
    </w:pPr>
    <w:rPr>
      <w:rFonts w:ascii="Calibri" w:hAnsi="Calibri" w:cs="Calibri"/>
    </w:rPr>
  </w:style>
  <w:style w:type="paragraph" w:customStyle="1" w:styleId="310">
    <w:name w:val="xl6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1">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3">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4">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5">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6">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7">
    <w:name w:val="WPSOffice手动目录 2"/>
    <w:qFormat/>
    <w:uiPriority w:val="99"/>
    <w:pPr>
      <w:ind w:left="200" w:leftChars="200"/>
    </w:pPr>
    <w:rPr>
      <w:rFonts w:ascii="Calibri" w:hAnsi="Calibri" w:eastAsia="宋体" w:cs="Calibri"/>
      <w:lang w:val="en-US" w:eastAsia="zh-CN" w:bidi="ar-SA"/>
    </w:rPr>
  </w:style>
  <w:style w:type="paragraph" w:customStyle="1" w:styleId="318">
    <w:name w:val="font11"/>
    <w:basedOn w:val="1"/>
    <w:qFormat/>
    <w:uiPriority w:val="99"/>
    <w:pPr>
      <w:widowControl/>
      <w:spacing w:before="100" w:beforeAutospacing="1" w:after="100" w:afterAutospacing="1"/>
      <w:jc w:val="left"/>
    </w:pPr>
    <w:rPr>
      <w:kern w:val="0"/>
      <w:sz w:val="24"/>
      <w:szCs w:val="24"/>
    </w:rPr>
  </w:style>
  <w:style w:type="paragraph" w:customStyle="1" w:styleId="319">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0">
    <w:name w:val="ZJGIS-四级标题"/>
    <w:basedOn w:val="6"/>
    <w:qFormat/>
    <w:uiPriority w:val="99"/>
    <w:pPr>
      <w:spacing w:before="120" w:after="120" w:line="240" w:lineRule="auto"/>
    </w:pPr>
    <w:rPr>
      <w:rFonts w:eastAsia="仿宋_GB2312"/>
    </w:rPr>
  </w:style>
  <w:style w:type="paragraph" w:customStyle="1" w:styleId="321">
    <w:name w:val="_Style 1"/>
    <w:basedOn w:val="1"/>
    <w:qFormat/>
    <w:uiPriority w:val="99"/>
    <w:pPr>
      <w:ind w:firstLine="420" w:firstLineChars="200"/>
    </w:pPr>
    <w:rPr>
      <w:rFonts w:ascii="Calibri" w:hAnsi="Calibri" w:cs="Calibri"/>
    </w:rPr>
  </w:style>
  <w:style w:type="paragraph" w:customStyle="1" w:styleId="322">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3">
    <w:name w:val="xl84"/>
    <w:basedOn w:val="1"/>
    <w:qFormat/>
    <w:uiPriority w:val="0"/>
    <w:pPr>
      <w:widowControl/>
      <w:shd w:val="clear" w:color="auto" w:fill="FFFFFF"/>
      <w:spacing w:before="100" w:beforeAutospacing="1" w:after="100" w:afterAutospacing="1"/>
      <w:jc w:val="left"/>
      <w:textAlignment w:val="center"/>
    </w:pPr>
    <w:rPr>
      <w:kern w:val="0"/>
      <w:sz w:val="24"/>
      <w:szCs w:val="24"/>
    </w:rPr>
  </w:style>
  <w:style w:type="paragraph" w:customStyle="1" w:styleId="324">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5">
    <w:name w:val="地址内"/>
    <w:basedOn w:val="1"/>
    <w:qFormat/>
    <w:uiPriority w:val="99"/>
  </w:style>
  <w:style w:type="paragraph" w:customStyle="1" w:styleId="326">
    <w:name w:val="Item List in Table"/>
    <w:qFormat/>
    <w:uiPriority w:val="99"/>
    <w:pPr>
      <w:numPr>
        <w:ilvl w:val="0"/>
        <w:numId w:val="5"/>
      </w:numPr>
      <w:tabs>
        <w:tab w:val="left" w:pos="1260"/>
      </w:tabs>
      <w:spacing w:before="40" w:after="40"/>
      <w:jc w:val="both"/>
    </w:pPr>
    <w:rPr>
      <w:rFonts w:ascii="Arial" w:hAnsi="Arial" w:eastAsia="宋体" w:cs="Arial"/>
      <w:sz w:val="18"/>
      <w:szCs w:val="18"/>
      <w:lang w:val="en-US" w:eastAsia="zh-CN" w:bidi="ar-SA"/>
    </w:rPr>
  </w:style>
  <w:style w:type="paragraph" w:customStyle="1" w:styleId="327">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28">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9">
    <w:name w:val="p0"/>
    <w:basedOn w:val="1"/>
    <w:qFormat/>
    <w:uiPriority w:val="99"/>
    <w:pPr>
      <w:widowControl/>
      <w:snapToGrid w:val="0"/>
      <w:spacing w:line="312" w:lineRule="atLeast"/>
    </w:pPr>
    <w:rPr>
      <w:kern w:val="0"/>
    </w:rPr>
  </w:style>
  <w:style w:type="paragraph" w:customStyle="1" w:styleId="330">
    <w:name w:val="列出段落2"/>
    <w:basedOn w:val="1"/>
    <w:qFormat/>
    <w:uiPriority w:val="99"/>
    <w:pPr>
      <w:spacing w:line="360" w:lineRule="auto"/>
      <w:ind w:firstLine="420" w:firstLineChars="200"/>
    </w:pPr>
    <w:rPr>
      <w:sz w:val="24"/>
      <w:szCs w:val="24"/>
    </w:rPr>
  </w:style>
  <w:style w:type="paragraph" w:styleId="331">
    <w:name w:val="List Paragraph"/>
    <w:basedOn w:val="1"/>
    <w:link w:val="336"/>
    <w:qFormat/>
    <w:uiPriority w:val="99"/>
    <w:pPr>
      <w:ind w:firstLine="420" w:firstLineChars="200"/>
    </w:pPr>
  </w:style>
  <w:style w:type="paragraph" w:customStyle="1" w:styleId="332">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3">
    <w:name w:val="NormalCharacter"/>
    <w:semiHidden/>
    <w:qFormat/>
    <w:uiPriority w:val="99"/>
  </w:style>
  <w:style w:type="paragraph" w:customStyle="1" w:styleId="334">
    <w:name w:val="Char5"/>
    <w:basedOn w:val="1"/>
    <w:qFormat/>
    <w:uiPriority w:val="99"/>
    <w:pPr>
      <w:tabs>
        <w:tab w:val="left" w:pos="840"/>
      </w:tabs>
      <w:ind w:left="840" w:hanging="420"/>
    </w:pPr>
    <w:rPr>
      <w:kern w:val="0"/>
      <w:sz w:val="24"/>
      <w:szCs w:val="24"/>
    </w:rPr>
  </w:style>
  <w:style w:type="paragraph" w:customStyle="1" w:styleId="335">
    <w:name w:val="Char4"/>
    <w:basedOn w:val="1"/>
    <w:qFormat/>
    <w:uiPriority w:val="99"/>
    <w:pPr>
      <w:tabs>
        <w:tab w:val="left" w:pos="840"/>
      </w:tabs>
      <w:ind w:left="840" w:hanging="420"/>
    </w:pPr>
    <w:rPr>
      <w:kern w:val="0"/>
      <w:sz w:val="24"/>
      <w:szCs w:val="24"/>
    </w:rPr>
  </w:style>
  <w:style w:type="character" w:customStyle="1" w:styleId="336">
    <w:name w:val="列出段落 Char2"/>
    <w:link w:val="331"/>
    <w:qFormat/>
    <w:locked/>
    <w:uiPriority w:val="34"/>
    <w:rPr>
      <w:kern w:val="2"/>
      <w:sz w:val="21"/>
      <w:szCs w:val="21"/>
    </w:rPr>
  </w:style>
  <w:style w:type="paragraph" w:customStyle="1" w:styleId="33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_标题1"/>
    <w:basedOn w:val="339"/>
    <w:next w:val="339"/>
    <w:qFormat/>
    <w:uiPriority w:val="0"/>
    <w:pPr>
      <w:keepNext/>
      <w:pageBreakBefore/>
      <w:widowControl w:val="0"/>
      <w:spacing w:before="50" w:beforeLines="50" w:after="50" w:afterLines="50"/>
      <w:ind w:firstLine="0" w:firstLineChars="0"/>
      <w:outlineLvl w:val="0"/>
    </w:pPr>
    <w:rPr>
      <w:b/>
      <w:sz w:val="44"/>
    </w:rPr>
  </w:style>
  <w:style w:type="paragraph" w:customStyle="1" w:styleId="339">
    <w:name w:val="__正文"/>
    <w:link w:val="340"/>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character" w:customStyle="1" w:styleId="340">
    <w:name w:val="__正文 Char"/>
    <w:basedOn w:val="51"/>
    <w:link w:val="339"/>
    <w:qFormat/>
    <w:uiPriority w:val="0"/>
    <w:rPr>
      <w:rFonts w:eastAsia="微软雅黑" w:asciiTheme="minorHAnsi" w:hAnsiTheme="minorHAnsi" w:cstheme="minorBidi"/>
      <w:kern w:val="2"/>
      <w:sz w:val="21"/>
      <w:szCs w:val="21"/>
    </w:rPr>
  </w:style>
  <w:style w:type="paragraph" w:customStyle="1" w:styleId="341">
    <w:name w:val="_标题2"/>
    <w:basedOn w:val="339"/>
    <w:next w:val="339"/>
    <w:link w:val="342"/>
    <w:qFormat/>
    <w:uiPriority w:val="0"/>
    <w:pPr>
      <w:keepNext/>
      <w:widowControl w:val="0"/>
      <w:numPr>
        <w:ilvl w:val="1"/>
        <w:numId w:val="6"/>
      </w:numPr>
      <w:tabs>
        <w:tab w:val="left" w:pos="360"/>
      </w:tabs>
      <w:spacing w:before="50" w:beforeLines="50" w:after="50" w:afterLines="50"/>
      <w:ind w:firstLineChars="0"/>
      <w:outlineLvl w:val="1"/>
    </w:pPr>
    <w:rPr>
      <w:rFonts w:eastAsia="宋体"/>
      <w:b/>
      <w:sz w:val="32"/>
    </w:rPr>
  </w:style>
  <w:style w:type="character" w:customStyle="1" w:styleId="342">
    <w:name w:val="_标题2 Char"/>
    <w:basedOn w:val="51"/>
    <w:link w:val="341"/>
    <w:qFormat/>
    <w:uiPriority w:val="0"/>
    <w:rPr>
      <w:rFonts w:asciiTheme="minorHAnsi" w:hAnsiTheme="minorHAnsi" w:cstheme="minorBidi"/>
      <w:b/>
      <w:kern w:val="2"/>
      <w:sz w:val="32"/>
      <w:szCs w:val="21"/>
    </w:rPr>
  </w:style>
  <w:style w:type="paragraph" w:customStyle="1" w:styleId="343">
    <w:name w:val="_标题3"/>
    <w:basedOn w:val="339"/>
    <w:next w:val="339"/>
    <w:link w:val="344"/>
    <w:qFormat/>
    <w:uiPriority w:val="0"/>
    <w:pPr>
      <w:keepNext/>
      <w:widowControl w:val="0"/>
      <w:spacing w:before="50" w:beforeLines="50" w:after="50" w:afterLines="50"/>
      <w:ind w:firstLine="0" w:firstLineChars="0"/>
      <w:outlineLvl w:val="2"/>
    </w:pPr>
    <w:rPr>
      <w:rFonts w:eastAsia="宋体"/>
      <w:b/>
      <w:sz w:val="30"/>
    </w:rPr>
  </w:style>
  <w:style w:type="character" w:customStyle="1" w:styleId="344">
    <w:name w:val="_标题3 Char"/>
    <w:basedOn w:val="51"/>
    <w:link w:val="343"/>
    <w:qFormat/>
    <w:uiPriority w:val="0"/>
    <w:rPr>
      <w:rFonts w:asciiTheme="minorHAnsi" w:hAnsiTheme="minorHAnsi" w:cstheme="minorBidi"/>
      <w:b/>
      <w:kern w:val="2"/>
      <w:sz w:val="30"/>
      <w:szCs w:val="21"/>
    </w:rPr>
  </w:style>
  <w:style w:type="paragraph" w:customStyle="1" w:styleId="345">
    <w:name w:val="_标题4"/>
    <w:basedOn w:val="339"/>
    <w:next w:val="339"/>
    <w:link w:val="346"/>
    <w:qFormat/>
    <w:uiPriority w:val="0"/>
    <w:pPr>
      <w:keepNext/>
      <w:widowControl w:val="0"/>
      <w:spacing w:before="50" w:beforeLines="50"/>
      <w:ind w:firstLine="0" w:firstLineChars="0"/>
      <w:outlineLvl w:val="3"/>
    </w:pPr>
    <w:rPr>
      <w:b/>
      <w:sz w:val="28"/>
    </w:rPr>
  </w:style>
  <w:style w:type="character" w:customStyle="1" w:styleId="346">
    <w:name w:val="_标题4 Char"/>
    <w:basedOn w:val="51"/>
    <w:link w:val="345"/>
    <w:qFormat/>
    <w:uiPriority w:val="0"/>
    <w:rPr>
      <w:rFonts w:eastAsia="微软雅黑" w:asciiTheme="minorHAnsi" w:hAnsiTheme="minorHAnsi" w:cstheme="minorBidi"/>
      <w:b/>
      <w:kern w:val="2"/>
      <w:sz w:val="28"/>
      <w:szCs w:val="21"/>
    </w:rPr>
  </w:style>
  <w:style w:type="paragraph" w:customStyle="1" w:styleId="347">
    <w:name w:val="_标题5"/>
    <w:basedOn w:val="339"/>
    <w:next w:val="339"/>
    <w:link w:val="348"/>
    <w:qFormat/>
    <w:uiPriority w:val="0"/>
    <w:pPr>
      <w:keepNext/>
      <w:numPr>
        <w:ilvl w:val="4"/>
        <w:numId w:val="6"/>
      </w:numPr>
      <w:spacing w:before="50" w:beforeLines="50"/>
      <w:ind w:firstLineChars="0"/>
      <w:outlineLvl w:val="4"/>
    </w:pPr>
    <w:rPr>
      <w:b/>
      <w:sz w:val="24"/>
    </w:rPr>
  </w:style>
  <w:style w:type="character" w:customStyle="1" w:styleId="348">
    <w:name w:val="_标题5 Char"/>
    <w:basedOn w:val="340"/>
    <w:link w:val="347"/>
    <w:qFormat/>
    <w:uiPriority w:val="0"/>
    <w:rPr>
      <w:rFonts w:eastAsia="微软雅黑" w:asciiTheme="minorHAnsi" w:hAnsiTheme="minorHAnsi" w:cstheme="minorBidi"/>
      <w:b/>
      <w:kern w:val="2"/>
      <w:sz w:val="24"/>
      <w:szCs w:val="21"/>
    </w:rPr>
  </w:style>
  <w:style w:type="paragraph" w:customStyle="1" w:styleId="349">
    <w:name w:val="_标题6"/>
    <w:basedOn w:val="339"/>
    <w:next w:val="339"/>
    <w:qFormat/>
    <w:uiPriority w:val="0"/>
    <w:pPr>
      <w:numPr>
        <w:ilvl w:val="5"/>
        <w:numId w:val="6"/>
      </w:numPr>
      <w:tabs>
        <w:tab w:val="left" w:pos="360"/>
      </w:tabs>
      <w:spacing w:before="50" w:beforeLines="50" w:after="50" w:afterLines="50"/>
      <w:ind w:left="3260" w:hanging="1134" w:firstLineChars="0"/>
      <w:outlineLvl w:val="5"/>
    </w:pPr>
    <w:rPr>
      <w:b/>
      <w:sz w:val="28"/>
    </w:rPr>
  </w:style>
  <w:style w:type="paragraph" w:customStyle="1" w:styleId="350">
    <w:name w:val="_标题7"/>
    <w:basedOn w:val="339"/>
    <w:next w:val="339"/>
    <w:qFormat/>
    <w:uiPriority w:val="0"/>
    <w:pPr>
      <w:numPr>
        <w:ilvl w:val="6"/>
        <w:numId w:val="6"/>
      </w:numPr>
      <w:spacing w:before="50" w:beforeLines="50" w:after="50" w:afterLines="50"/>
      <w:ind w:left="3827" w:hanging="1276" w:firstLineChars="0"/>
      <w:outlineLvl w:val="6"/>
    </w:pPr>
    <w:rPr>
      <w:b/>
    </w:rPr>
  </w:style>
  <w:style w:type="paragraph" w:customStyle="1" w:styleId="351">
    <w:name w:val="_标题8"/>
    <w:basedOn w:val="339"/>
    <w:next w:val="339"/>
    <w:qFormat/>
    <w:uiPriority w:val="0"/>
    <w:pPr>
      <w:numPr>
        <w:ilvl w:val="7"/>
        <w:numId w:val="6"/>
      </w:numPr>
      <w:spacing w:before="50" w:beforeLines="50" w:after="50" w:afterLines="50"/>
      <w:ind w:left="4394" w:hanging="1418" w:firstLineChars="0"/>
      <w:outlineLvl w:val="7"/>
    </w:pPr>
    <w:rPr>
      <w:b/>
    </w:rPr>
  </w:style>
  <w:style w:type="paragraph" w:customStyle="1" w:styleId="352">
    <w:name w:val="_标题9"/>
    <w:basedOn w:val="339"/>
    <w:next w:val="339"/>
    <w:qFormat/>
    <w:uiPriority w:val="0"/>
    <w:pPr>
      <w:numPr>
        <w:ilvl w:val="8"/>
        <w:numId w:val="6"/>
      </w:numPr>
      <w:spacing w:before="50" w:beforeLines="50" w:after="50" w:afterLines="50"/>
      <w:ind w:left="5102" w:hanging="1700" w:firstLineChars="0"/>
      <w:outlineLvl w:val="8"/>
    </w:pPr>
  </w:style>
  <w:style w:type="paragraph" w:customStyle="1" w:styleId="353">
    <w:name w:val="标题2"/>
    <w:basedOn w:val="4"/>
    <w:link w:val="354"/>
    <w:qFormat/>
    <w:uiPriority w:val="0"/>
    <w:pPr>
      <w:adjustRightInd w:val="0"/>
      <w:snapToGrid w:val="0"/>
      <w:spacing w:line="416" w:lineRule="auto"/>
    </w:pPr>
    <w:rPr>
      <w:rFonts w:asciiTheme="majorHAnsi" w:hAnsiTheme="majorHAnsi" w:cstheme="majorBidi"/>
    </w:rPr>
  </w:style>
  <w:style w:type="character" w:customStyle="1" w:styleId="354">
    <w:name w:val="标题2 字符"/>
    <w:basedOn w:val="60"/>
    <w:link w:val="353"/>
    <w:qFormat/>
    <w:uiPriority w:val="0"/>
    <w:rPr>
      <w:rFonts w:eastAsia="黑体" w:asciiTheme="majorHAnsi" w:hAnsiTheme="majorHAnsi" w:cstheme="majorBidi"/>
      <w:kern w:val="2"/>
      <w:sz w:val="32"/>
      <w:szCs w:val="32"/>
    </w:rPr>
  </w:style>
  <w:style w:type="paragraph" w:customStyle="1" w:styleId="355">
    <w:name w:val="__正文居中"/>
    <w:basedOn w:val="339"/>
    <w:next w:val="339"/>
    <w:link w:val="356"/>
    <w:qFormat/>
    <w:uiPriority w:val="0"/>
    <w:pPr>
      <w:ind w:firstLine="0" w:firstLineChars="0"/>
      <w:jc w:val="center"/>
    </w:pPr>
    <w:rPr>
      <w:szCs w:val="24"/>
    </w:rPr>
  </w:style>
  <w:style w:type="character" w:customStyle="1" w:styleId="356">
    <w:name w:val="__正文居中 Char"/>
    <w:basedOn w:val="340"/>
    <w:link w:val="355"/>
    <w:qFormat/>
    <w:uiPriority w:val="0"/>
    <w:rPr>
      <w:rFonts w:eastAsia="微软雅黑" w:asciiTheme="minorHAnsi" w:hAnsiTheme="minorHAnsi" w:cstheme="minorBidi"/>
      <w:kern w:val="2"/>
      <w:sz w:val="21"/>
      <w:szCs w:val="24"/>
    </w:rPr>
  </w:style>
  <w:style w:type="paragraph" w:customStyle="1" w:styleId="357">
    <w:name w:val="（空）多级符号 Char Char"/>
    <w:basedOn w:val="1"/>
    <w:qFormat/>
    <w:uiPriority w:val="0"/>
    <w:pPr>
      <w:adjustRightInd w:val="0"/>
      <w:snapToGrid w:val="0"/>
      <w:spacing w:line="360" w:lineRule="auto"/>
      <w:ind w:firstLine="540" w:firstLineChars="225"/>
      <w:jc w:val="left"/>
    </w:pPr>
    <w:rPr>
      <w:rFonts w:ascii="宋体" w:hAnsi="宋体"/>
      <w:sz w:val="24"/>
      <w:szCs w:val="24"/>
    </w:rPr>
  </w:style>
  <w:style w:type="character" w:customStyle="1" w:styleId="358">
    <w:name w:val="未处理的提及2"/>
    <w:basedOn w:val="51"/>
    <w:semiHidden/>
    <w:unhideWhenUsed/>
    <w:qFormat/>
    <w:uiPriority w:val="99"/>
    <w:rPr>
      <w:color w:val="605E5C"/>
      <w:shd w:val="clear" w:color="auto" w:fill="E1DFDD"/>
    </w:rPr>
  </w:style>
  <w:style w:type="character" w:customStyle="1" w:styleId="359">
    <w:name w:val="未处理的提及3"/>
    <w:basedOn w:val="51"/>
    <w:semiHidden/>
    <w:unhideWhenUsed/>
    <w:qFormat/>
    <w:uiPriority w:val="99"/>
    <w:rPr>
      <w:color w:val="605E5C"/>
      <w:shd w:val="clear" w:color="auto" w:fill="E1DFDD"/>
    </w:rPr>
  </w:style>
  <w:style w:type="paragraph" w:customStyle="1" w:styleId="360">
    <w:name w:val="_正文"/>
    <w:link w:val="361"/>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character" w:customStyle="1" w:styleId="361">
    <w:name w:val="_正文 Char"/>
    <w:basedOn w:val="51"/>
    <w:link w:val="360"/>
    <w:qFormat/>
    <w:uiPriority w:val="0"/>
    <w:rPr>
      <w:rFonts w:asciiTheme="minorHAnsi" w:hAnsiTheme="minorHAnsi" w:eastAsiaTheme="minorEastAsia" w:cstheme="minorBidi"/>
      <w:kern w:val="2"/>
      <w:sz w:val="24"/>
      <w:szCs w:val="21"/>
    </w:rPr>
  </w:style>
  <w:style w:type="paragraph" w:customStyle="1" w:styleId="362">
    <w:name w:val="msolistparagraph"/>
    <w:basedOn w:val="1"/>
    <w:qFormat/>
    <w:uiPriority w:val="0"/>
    <w:pPr>
      <w:spacing w:line="360" w:lineRule="auto"/>
      <w:ind w:firstLine="420" w:firstLineChars="200"/>
    </w:pPr>
    <w:rPr>
      <w:rFonts w:hint="eastAsia" w:ascii="微软雅黑" w:hAnsi="微软雅黑" w:eastAsia="微软雅黑"/>
      <w:szCs w:val="24"/>
    </w:rPr>
  </w:style>
  <w:style w:type="paragraph" w:customStyle="1" w:styleId="363">
    <w:name w:val="!正文"/>
    <w:basedOn w:val="1"/>
    <w:link w:val="364"/>
    <w:qFormat/>
    <w:uiPriority w:val="0"/>
    <w:pPr>
      <w:widowControl/>
      <w:adjustRightInd w:val="0"/>
      <w:snapToGrid w:val="0"/>
      <w:spacing w:line="360" w:lineRule="auto"/>
      <w:ind w:firstLine="200" w:firstLineChars="200"/>
      <w:jc w:val="left"/>
    </w:pPr>
    <w:rPr>
      <w:rFonts w:ascii="Calibri" w:hAnsi="Calibri"/>
    </w:rPr>
  </w:style>
  <w:style w:type="character" w:customStyle="1" w:styleId="364">
    <w:name w:val="!正文 Char"/>
    <w:link w:val="363"/>
    <w:qFormat/>
    <w:uiPriority w:val="0"/>
    <w:rPr>
      <w:rFonts w:ascii="Calibri" w:hAnsi="Calibri"/>
      <w:kern w:val="2"/>
      <w:sz w:val="21"/>
      <w:szCs w:val="21"/>
    </w:rPr>
  </w:style>
  <w:style w:type="paragraph" w:customStyle="1" w:styleId="365">
    <w:name w:val="正文-SM"/>
    <w:basedOn w:val="25"/>
    <w:qFormat/>
    <w:uiPriority w:val="0"/>
    <w:pPr>
      <w:widowControl/>
      <w:spacing w:beforeLines="0" w:afterLines="0" w:line="360" w:lineRule="auto"/>
      <w:jc w:val="left"/>
    </w:pPr>
    <w:rPr>
      <w:rFonts w:ascii="Times New Roman" w:hAnsi="宋体"/>
      <w:kern w:val="0"/>
      <w:sz w:val="21"/>
      <w:lang w:val="zh-CN"/>
    </w:rPr>
  </w:style>
  <w:style w:type="paragraph" w:customStyle="1" w:styleId="366">
    <w:name w:val="FC正文"/>
    <w:basedOn w:val="1"/>
    <w:qFormat/>
    <w:uiPriority w:val="0"/>
    <w:pPr>
      <w:spacing w:line="360" w:lineRule="auto"/>
      <w:ind w:firstLine="480" w:firstLineChars="200"/>
    </w:pPr>
    <w:rPr>
      <w:rFonts w:ascii="宋体" w:hAnsi="宋体"/>
      <w:sz w:val="24"/>
      <w:szCs w:val="24"/>
    </w:rPr>
  </w:style>
  <w:style w:type="paragraph" w:customStyle="1" w:styleId="367">
    <w:name w:val="第二层样式"/>
    <w:basedOn w:val="1"/>
    <w:qFormat/>
    <w:uiPriority w:val="0"/>
    <w:pPr>
      <w:keepNext/>
      <w:keepLines/>
      <w:numPr>
        <w:ilvl w:val="1"/>
        <w:numId w:val="7"/>
      </w:numPr>
      <w:adjustRightInd w:val="0"/>
      <w:snapToGrid w:val="0"/>
      <w:spacing w:before="163" w:after="163" w:line="360" w:lineRule="auto"/>
      <w:outlineLvl w:val="1"/>
    </w:pPr>
    <w:rPr>
      <w:rFonts w:asciiTheme="minorHAnsi" w:hAnsiTheme="minorHAnsi" w:eastAsiaTheme="minorEastAsia" w:cstheme="minorEastAsia"/>
      <w:b/>
      <w:bCs/>
      <w:sz w:val="28"/>
    </w:rPr>
  </w:style>
  <w:style w:type="paragraph" w:customStyle="1" w:styleId="368">
    <w:name w:val="投标正文"/>
    <w:basedOn w:val="1"/>
    <w:qFormat/>
    <w:uiPriority w:val="0"/>
    <w:pPr>
      <w:spacing w:line="360" w:lineRule="auto"/>
      <w:ind w:left="100" w:firstLine="480" w:firstLineChars="200"/>
    </w:pPr>
    <w:rPr>
      <w:rFonts w:ascii="Calibri" w:hAnsi="Calibri"/>
      <w:sz w:val="24"/>
      <w:szCs w:val="24"/>
    </w:rPr>
  </w:style>
  <w:style w:type="character" w:customStyle="1" w:styleId="369">
    <w:name w:val="批注文字 Char"/>
    <w:basedOn w:val="51"/>
    <w:link w:val="16"/>
    <w:qFormat/>
    <w:uiPriority w:val="0"/>
    <w:rPr>
      <w:kern w:val="2"/>
      <w:sz w:val="24"/>
      <w:szCs w:val="22"/>
    </w:rPr>
  </w:style>
  <w:style w:type="character" w:customStyle="1" w:styleId="370">
    <w:name w:val="表格正文 Char"/>
    <w:basedOn w:val="51"/>
    <w:qFormat/>
    <w:uiPriority w:val="0"/>
    <w:rPr>
      <w:rFonts w:hint="eastAsia" w:ascii="宋体" w:hAnsi="宋体" w:eastAsia="宋体" w:cs="宋体"/>
      <w:kern w:val="2"/>
      <w:sz w:val="21"/>
      <w:szCs w:val="21"/>
    </w:rPr>
  </w:style>
  <w:style w:type="character" w:customStyle="1" w:styleId="371">
    <w:name w:val="四号正文 Char"/>
    <w:basedOn w:val="51"/>
    <w:qFormat/>
    <w:uiPriority w:val="0"/>
    <w:rPr>
      <w:rFonts w:hint="default" w:ascii="Arial" w:hAnsi="Arial" w:cs="Arial"/>
      <w:sz w:val="28"/>
      <w:szCs w:val="28"/>
    </w:rPr>
  </w:style>
  <w:style w:type="character" w:customStyle="1" w:styleId="372">
    <w:name w:val="font61"/>
    <w:basedOn w:val="51"/>
    <w:qFormat/>
    <w:uiPriority w:val="0"/>
    <w:rPr>
      <w:rFonts w:hint="eastAsia" w:ascii="宋体" w:hAnsi="宋体" w:eastAsia="宋体" w:cs="宋体"/>
      <w:b/>
      <w:color w:val="000000"/>
      <w:sz w:val="18"/>
      <w:szCs w:val="18"/>
      <w:u w:val="none"/>
    </w:rPr>
  </w:style>
  <w:style w:type="character" w:customStyle="1" w:styleId="373">
    <w:name w:val="标题 4 Char"/>
    <w:basedOn w:val="51"/>
    <w:qFormat/>
    <w:uiPriority w:val="99"/>
    <w:rPr>
      <w:rFonts w:hint="eastAsia" w:ascii="宋体" w:hAnsi="宋体" w:eastAsia="宋体" w:cs="宋体"/>
      <w:b/>
      <w:kern w:val="2"/>
      <w:sz w:val="28"/>
      <w:szCs w:val="28"/>
    </w:rPr>
  </w:style>
  <w:style w:type="character" w:customStyle="1" w:styleId="374">
    <w:name w:val="标书正文样式 Char"/>
    <w:basedOn w:val="51"/>
    <w:qFormat/>
    <w:uiPriority w:val="0"/>
    <w:rPr>
      <w:rFonts w:hint="eastAsia" w:ascii="仿宋_GB2312" w:hAnsi="宋体" w:eastAsia="仿宋_GB2312" w:cs="仿宋_GB2312"/>
      <w:bCs/>
      <w:kern w:val="2"/>
      <w:sz w:val="24"/>
      <w:szCs w:val="24"/>
    </w:rPr>
  </w:style>
  <w:style w:type="character" w:customStyle="1" w:styleId="375">
    <w:name w:val="标题 8 Char1"/>
    <w:basedOn w:val="51"/>
    <w:qFormat/>
    <w:uiPriority w:val="0"/>
    <w:rPr>
      <w:rFonts w:hint="eastAsia" w:ascii="宋体" w:hAnsi="Calibri Light" w:eastAsia="宋体" w:cs="Times New Roman"/>
      <w:b/>
      <w:sz w:val="30"/>
      <w:szCs w:val="24"/>
    </w:rPr>
  </w:style>
  <w:style w:type="character" w:customStyle="1" w:styleId="376">
    <w:name w:val="bjh-p"/>
    <w:basedOn w:val="51"/>
    <w:qFormat/>
    <w:uiPriority w:val="0"/>
  </w:style>
  <w:style w:type="character" w:customStyle="1" w:styleId="377">
    <w:name w:val="标题 8 字符11"/>
    <w:basedOn w:val="51"/>
    <w:qFormat/>
    <w:uiPriority w:val="0"/>
    <w:rPr>
      <w:rFonts w:hint="eastAsia" w:ascii="等线 Light" w:hAnsi="等线 Light" w:eastAsia="等线 Light" w:cs="Times New Roman"/>
      <w:kern w:val="2"/>
      <w:sz w:val="24"/>
      <w:szCs w:val="24"/>
    </w:rPr>
  </w:style>
  <w:style w:type="character" w:customStyle="1" w:styleId="378">
    <w:name w:val="标题 1 字符11"/>
    <w:basedOn w:val="51"/>
    <w:qFormat/>
    <w:uiPriority w:val="0"/>
    <w:rPr>
      <w:b/>
      <w:kern w:val="44"/>
      <w:sz w:val="44"/>
      <w:szCs w:val="44"/>
    </w:rPr>
  </w:style>
  <w:style w:type="character" w:customStyle="1" w:styleId="379">
    <w:name w:val="标题 5 Char1"/>
    <w:basedOn w:val="51"/>
    <w:link w:val="7"/>
    <w:qFormat/>
    <w:uiPriority w:val="99"/>
    <w:rPr>
      <w:rFonts w:ascii="Calibri" w:hAnsi="Calibri" w:cs="Calibri"/>
      <w:b/>
      <w:bCs/>
      <w:kern w:val="2"/>
      <w:sz w:val="28"/>
      <w:szCs w:val="28"/>
    </w:rPr>
  </w:style>
  <w:style w:type="character" w:customStyle="1" w:styleId="380">
    <w:name w:val="标题 Char"/>
    <w:basedOn w:val="51"/>
    <w:qFormat/>
    <w:uiPriority w:val="0"/>
    <w:rPr>
      <w:rFonts w:hint="default" w:ascii="Calibri Light" w:hAnsi="Calibri Light" w:eastAsia="Calibri Light" w:cs="Times New Roman"/>
      <w:b/>
      <w:kern w:val="2"/>
      <w:sz w:val="32"/>
      <w:szCs w:val="32"/>
    </w:rPr>
  </w:style>
  <w:style w:type="character" w:customStyle="1" w:styleId="381">
    <w:name w:val="标题 Char2"/>
    <w:basedOn w:val="51"/>
    <w:link w:val="45"/>
    <w:qFormat/>
    <w:uiPriority w:val="0"/>
    <w:rPr>
      <w:rFonts w:hint="eastAsia" w:ascii="宋体" w:hAnsi="Calibri Light" w:eastAsia="宋体" w:cs="宋体"/>
      <w:bCs/>
      <w:kern w:val="2"/>
      <w:sz w:val="32"/>
      <w:szCs w:val="32"/>
    </w:rPr>
  </w:style>
  <w:style w:type="paragraph" w:customStyle="1" w:styleId="382">
    <w:name w:val="正文格式"/>
    <w:basedOn w:val="1"/>
    <w:link w:val="416"/>
    <w:qFormat/>
    <w:uiPriority w:val="0"/>
    <w:pPr>
      <w:spacing w:before="60" w:after="60" w:line="360" w:lineRule="auto"/>
      <w:ind w:firstLine="480" w:firstLineChars="200"/>
      <w:jc w:val="left"/>
    </w:pPr>
    <w:rPr>
      <w:rFonts w:ascii="ˎ̥" w:hAnsi="ˎ̥"/>
      <w:color w:val="000000"/>
      <w:sz w:val="24"/>
      <w:szCs w:val="20"/>
    </w:rPr>
  </w:style>
  <w:style w:type="character" w:customStyle="1" w:styleId="383">
    <w:name w:val="日期 Char1"/>
    <w:basedOn w:val="51"/>
    <w:link w:val="27"/>
    <w:qFormat/>
    <w:uiPriority w:val="0"/>
    <w:rPr>
      <w:rFonts w:hint="default" w:ascii="Calibri" w:hAnsi="Calibri" w:cs="Calibri"/>
      <w:kern w:val="2"/>
      <w:sz w:val="24"/>
      <w:szCs w:val="32"/>
    </w:rPr>
  </w:style>
  <w:style w:type="character" w:customStyle="1" w:styleId="384">
    <w:name w:val="15"/>
    <w:basedOn w:val="51"/>
    <w:qFormat/>
    <w:uiPriority w:val="0"/>
    <w:rPr>
      <w:rFonts w:hint="default" w:ascii="Times New Roman" w:hAnsi="Times New Roman" w:cs="Times New Roman"/>
      <w:sz w:val="24"/>
      <w:szCs w:val="24"/>
    </w:rPr>
  </w:style>
  <w:style w:type="character" w:customStyle="1" w:styleId="385">
    <w:name w:val="font41"/>
    <w:basedOn w:val="51"/>
    <w:qFormat/>
    <w:uiPriority w:val="0"/>
    <w:rPr>
      <w:rFonts w:hint="eastAsia" w:ascii="宋体" w:hAnsi="宋体" w:eastAsia="宋体" w:cs="宋体"/>
      <w:color w:val="000000"/>
      <w:sz w:val="20"/>
      <w:szCs w:val="20"/>
      <w:u w:val="none"/>
    </w:rPr>
  </w:style>
  <w:style w:type="character" w:customStyle="1" w:styleId="386">
    <w:name w:val="font81"/>
    <w:basedOn w:val="51"/>
    <w:qFormat/>
    <w:uiPriority w:val="0"/>
    <w:rPr>
      <w:rFonts w:hint="eastAsia" w:ascii="宋体" w:hAnsi="宋体" w:eastAsia="宋体" w:cs="宋体"/>
      <w:b/>
      <w:color w:val="000000"/>
      <w:sz w:val="24"/>
      <w:szCs w:val="24"/>
      <w:u w:val="none"/>
    </w:rPr>
  </w:style>
  <w:style w:type="character" w:customStyle="1" w:styleId="387">
    <w:name w:val="批注文字 字符1"/>
    <w:basedOn w:val="51"/>
    <w:qFormat/>
    <w:uiPriority w:val="0"/>
    <w:rPr>
      <w:rFonts w:hint="default" w:ascii="Times New Roman" w:hAnsi="Times New Roman" w:eastAsia="宋体" w:cs="Times New Roman"/>
    </w:rPr>
  </w:style>
  <w:style w:type="character" w:customStyle="1" w:styleId="388">
    <w:name w:val="超链接1"/>
    <w:basedOn w:val="51"/>
    <w:qFormat/>
    <w:uiPriority w:val="0"/>
    <w:rPr>
      <w:color w:val="0563C1"/>
      <w:u w:val="single"/>
    </w:rPr>
  </w:style>
  <w:style w:type="character" w:customStyle="1" w:styleId="389">
    <w:name w:val="批注主题 Char"/>
    <w:basedOn w:val="51"/>
    <w:link w:val="46"/>
    <w:qFormat/>
    <w:uiPriority w:val="0"/>
    <w:rPr>
      <w:rFonts w:hint="default" w:ascii="Calibri" w:hAnsi="Calibri" w:cs="Calibri"/>
      <w:b/>
      <w:sz w:val="24"/>
    </w:rPr>
  </w:style>
  <w:style w:type="character" w:customStyle="1" w:styleId="390">
    <w:name w:val="题注 Char"/>
    <w:basedOn w:val="51"/>
    <w:link w:val="14"/>
    <w:qFormat/>
    <w:uiPriority w:val="0"/>
    <w:rPr>
      <w:rFonts w:hint="eastAsia" w:ascii="宋体" w:hAnsi="宋体" w:eastAsia="宋体" w:cs="宋体"/>
      <w:b/>
      <w:kern w:val="2"/>
      <w:sz w:val="21"/>
    </w:rPr>
  </w:style>
  <w:style w:type="character" w:customStyle="1" w:styleId="391">
    <w:name w:val="正文段 Char"/>
    <w:basedOn w:val="51"/>
    <w:qFormat/>
    <w:uiPriority w:val="0"/>
    <w:rPr>
      <w:rFonts w:hint="eastAsia" w:ascii="宋体" w:hAnsi="宋体" w:eastAsia="宋体" w:cs="宋体"/>
      <w:sz w:val="24"/>
    </w:rPr>
  </w:style>
  <w:style w:type="paragraph" w:customStyle="1" w:styleId="392">
    <w:name w:val="Char Char Char Char Char Char Char Char Char Char Char Char Char Char Char Char"/>
    <w:basedOn w:val="1"/>
    <w:qFormat/>
    <w:uiPriority w:val="0"/>
    <w:pPr>
      <w:spacing w:before="156" w:after="156" w:line="330" w:lineRule="atLeast"/>
      <w:ind w:left="360" w:firstLine="360" w:firstLineChars="150"/>
      <w:jc w:val="left"/>
    </w:pPr>
    <w:rPr>
      <w:rFonts w:ascii="ˎ̥" w:hAnsi="ˎ̥"/>
      <w:color w:val="51585D"/>
      <w:kern w:val="0"/>
      <w:sz w:val="24"/>
      <w:szCs w:val="18"/>
    </w:rPr>
  </w:style>
  <w:style w:type="character" w:customStyle="1" w:styleId="393">
    <w:name w:val="标题 2 Char1"/>
    <w:basedOn w:val="51"/>
    <w:qFormat/>
    <w:uiPriority w:val="0"/>
    <w:rPr>
      <w:rFonts w:hint="eastAsia" w:ascii="宋体" w:hAnsi="Calibri Light" w:eastAsia="宋体" w:cs="Times New Roman"/>
      <w:b/>
      <w:sz w:val="36"/>
      <w:szCs w:val="32"/>
    </w:rPr>
  </w:style>
  <w:style w:type="character" w:customStyle="1" w:styleId="394">
    <w:name w:val="msosubtlereference"/>
    <w:basedOn w:val="51"/>
    <w:qFormat/>
    <w:uiPriority w:val="0"/>
    <w:rPr>
      <w:smallCaps/>
      <w:color w:val="5A5A5A"/>
    </w:rPr>
  </w:style>
  <w:style w:type="character" w:customStyle="1" w:styleId="395">
    <w:name w:val="文本 字符"/>
    <w:basedOn w:val="51"/>
    <w:qFormat/>
    <w:uiPriority w:val="0"/>
    <w:rPr>
      <w:rFonts w:hint="eastAsia" w:ascii="仿宋" w:hAnsi="仿宋" w:eastAsia="仿宋" w:cs="仿宋"/>
      <w:kern w:val="2"/>
      <w:sz w:val="28"/>
      <w:szCs w:val="21"/>
    </w:rPr>
  </w:style>
  <w:style w:type="character" w:customStyle="1" w:styleId="396">
    <w:name w:val="标题 2 字符11"/>
    <w:basedOn w:val="51"/>
    <w:qFormat/>
    <w:uiPriority w:val="0"/>
    <w:rPr>
      <w:rFonts w:hint="eastAsia" w:ascii="等线 Light" w:hAnsi="等线 Light" w:eastAsia="等线 Light" w:cs="Times New Roman"/>
      <w:b/>
      <w:kern w:val="2"/>
      <w:sz w:val="32"/>
      <w:szCs w:val="32"/>
    </w:rPr>
  </w:style>
  <w:style w:type="paragraph" w:customStyle="1" w:styleId="397">
    <w:name w:val="正文标准"/>
    <w:basedOn w:val="1"/>
    <w:link w:val="465"/>
    <w:qFormat/>
    <w:uiPriority w:val="0"/>
    <w:pPr>
      <w:spacing w:line="360" w:lineRule="auto"/>
      <w:ind w:firstLine="200" w:firstLineChars="200"/>
    </w:pPr>
    <w:rPr>
      <w:rFonts w:hint="eastAsia" w:ascii="宋体" w:hAnsi="宋体"/>
      <w:kern w:val="0"/>
      <w:sz w:val="24"/>
      <w:szCs w:val="20"/>
    </w:rPr>
  </w:style>
  <w:style w:type="character" w:customStyle="1" w:styleId="398">
    <w:name w:val="标题 3 字符11"/>
    <w:basedOn w:val="51"/>
    <w:qFormat/>
    <w:uiPriority w:val="0"/>
    <w:rPr>
      <w:b/>
      <w:kern w:val="2"/>
      <w:sz w:val="32"/>
      <w:szCs w:val="32"/>
    </w:rPr>
  </w:style>
  <w:style w:type="character" w:customStyle="1" w:styleId="399">
    <w:name w:val="标题 4 字符11"/>
    <w:basedOn w:val="51"/>
    <w:qFormat/>
    <w:uiPriority w:val="0"/>
    <w:rPr>
      <w:rFonts w:hint="eastAsia" w:ascii="等线 Light" w:hAnsi="等线 Light" w:eastAsia="等线 Light" w:cs="Times New Roman"/>
      <w:b/>
      <w:kern w:val="2"/>
      <w:sz w:val="28"/>
      <w:szCs w:val="28"/>
    </w:rPr>
  </w:style>
  <w:style w:type="character" w:customStyle="1" w:styleId="400">
    <w:name w:val="标题 5 字符2"/>
    <w:basedOn w:val="51"/>
    <w:qFormat/>
    <w:uiPriority w:val="0"/>
    <w:rPr>
      <w:b/>
      <w:kern w:val="2"/>
      <w:sz w:val="28"/>
      <w:szCs w:val="28"/>
    </w:rPr>
  </w:style>
  <w:style w:type="character" w:customStyle="1" w:styleId="401">
    <w:name w:val="标题 6 字符11"/>
    <w:basedOn w:val="51"/>
    <w:qFormat/>
    <w:uiPriority w:val="0"/>
    <w:rPr>
      <w:rFonts w:hint="eastAsia" w:ascii="等线 Light" w:hAnsi="等线 Light" w:eastAsia="等线 Light" w:cs="Times New Roman"/>
      <w:b/>
      <w:kern w:val="2"/>
      <w:sz w:val="24"/>
      <w:szCs w:val="24"/>
    </w:rPr>
  </w:style>
  <w:style w:type="paragraph" w:customStyle="1" w:styleId="402">
    <w:name w:val="无间隔11"/>
    <w:basedOn w:val="1"/>
    <w:qFormat/>
    <w:uiPriority w:val="0"/>
    <w:rPr>
      <w:rFonts w:ascii="Calibri" w:hAnsi="Calibri"/>
      <w:bCs/>
      <w:kern w:val="0"/>
      <w:sz w:val="22"/>
      <w:szCs w:val="24"/>
    </w:rPr>
  </w:style>
  <w:style w:type="character" w:customStyle="1" w:styleId="403">
    <w:name w:val="标题 7 字符11"/>
    <w:basedOn w:val="51"/>
    <w:qFormat/>
    <w:uiPriority w:val="0"/>
    <w:rPr>
      <w:b/>
      <w:kern w:val="2"/>
      <w:sz w:val="24"/>
      <w:szCs w:val="24"/>
    </w:rPr>
  </w:style>
  <w:style w:type="character" w:customStyle="1" w:styleId="404">
    <w:name w:val="标题 9 字符11"/>
    <w:basedOn w:val="51"/>
    <w:qFormat/>
    <w:uiPriority w:val="0"/>
    <w:rPr>
      <w:rFonts w:hint="eastAsia" w:ascii="等线 Light" w:hAnsi="等线 Light" w:eastAsia="等线 Light" w:cs="Times New Roman"/>
      <w:kern w:val="2"/>
      <w:sz w:val="21"/>
      <w:szCs w:val="21"/>
    </w:rPr>
  </w:style>
  <w:style w:type="character" w:customStyle="1" w:styleId="405">
    <w:name w:val="标题 1 Char1"/>
    <w:basedOn w:val="51"/>
    <w:link w:val="3"/>
    <w:qFormat/>
    <w:uiPriority w:val="0"/>
    <w:rPr>
      <w:rFonts w:hint="default" w:ascii="Arial" w:hAnsi="Arial" w:cs="Arial"/>
      <w:b/>
      <w:kern w:val="44"/>
      <w:sz w:val="36"/>
      <w:szCs w:val="44"/>
    </w:rPr>
  </w:style>
  <w:style w:type="character" w:customStyle="1" w:styleId="406">
    <w:name w:val="标题 2 Char"/>
    <w:basedOn w:val="51"/>
    <w:link w:val="4"/>
    <w:qFormat/>
    <w:uiPriority w:val="99"/>
    <w:rPr>
      <w:rFonts w:hint="default" w:ascii="Arial" w:hAnsi="Arial" w:cs="Arial"/>
      <w:b/>
      <w:kern w:val="2"/>
      <w:sz w:val="32"/>
      <w:szCs w:val="32"/>
    </w:rPr>
  </w:style>
  <w:style w:type="character" w:customStyle="1" w:styleId="407">
    <w:name w:val="标题 3 Char1"/>
    <w:basedOn w:val="51"/>
    <w:link w:val="5"/>
    <w:qFormat/>
    <w:uiPriority w:val="0"/>
    <w:rPr>
      <w:rFonts w:hint="default" w:ascii="Arial" w:hAnsi="Arial" w:cs="Arial"/>
      <w:b/>
      <w:kern w:val="2"/>
      <w:sz w:val="30"/>
      <w:szCs w:val="32"/>
    </w:rPr>
  </w:style>
  <w:style w:type="character" w:customStyle="1" w:styleId="408">
    <w:name w:val="标题 4 Char1"/>
    <w:basedOn w:val="51"/>
    <w:link w:val="6"/>
    <w:qFormat/>
    <w:uiPriority w:val="0"/>
    <w:rPr>
      <w:rFonts w:hint="default" w:ascii="Arial" w:hAnsi="Arial" w:cs="Arial"/>
      <w:b/>
      <w:kern w:val="2"/>
      <w:sz w:val="28"/>
      <w:szCs w:val="28"/>
    </w:rPr>
  </w:style>
  <w:style w:type="character" w:customStyle="1" w:styleId="409">
    <w:name w:val="标题 6 Char2"/>
    <w:basedOn w:val="51"/>
    <w:link w:val="8"/>
    <w:qFormat/>
    <w:uiPriority w:val="99"/>
    <w:rPr>
      <w:rFonts w:ascii="Arial" w:hAnsi="Arial" w:eastAsia="黑体" w:cs="Arial"/>
      <w:b/>
      <w:bCs/>
      <w:kern w:val="2"/>
      <w:sz w:val="24"/>
      <w:szCs w:val="24"/>
    </w:rPr>
  </w:style>
  <w:style w:type="character" w:customStyle="1" w:styleId="410">
    <w:name w:val="标题 7 Char"/>
    <w:basedOn w:val="51"/>
    <w:link w:val="9"/>
    <w:qFormat/>
    <w:uiPriority w:val="9"/>
    <w:rPr>
      <w:rFonts w:ascii="Calibri" w:hAnsi="Calibri" w:cs="Calibri"/>
      <w:b/>
      <w:bCs/>
      <w:kern w:val="2"/>
      <w:sz w:val="24"/>
      <w:szCs w:val="24"/>
    </w:rPr>
  </w:style>
  <w:style w:type="character" w:customStyle="1" w:styleId="411">
    <w:name w:val="标题 8 Char"/>
    <w:basedOn w:val="51"/>
    <w:link w:val="10"/>
    <w:qFormat/>
    <w:uiPriority w:val="9"/>
    <w:rPr>
      <w:rFonts w:ascii="Arial" w:hAnsi="Arial" w:eastAsia="黑体" w:cs="Arial"/>
      <w:kern w:val="2"/>
      <w:sz w:val="24"/>
      <w:szCs w:val="24"/>
    </w:rPr>
  </w:style>
  <w:style w:type="character" w:customStyle="1" w:styleId="412">
    <w:name w:val="标题 9 Char"/>
    <w:basedOn w:val="51"/>
    <w:link w:val="11"/>
    <w:qFormat/>
    <w:uiPriority w:val="9"/>
    <w:rPr>
      <w:rFonts w:ascii="Arial" w:hAnsi="Arial" w:eastAsia="黑体" w:cs="Arial"/>
      <w:kern w:val="2"/>
      <w:sz w:val="21"/>
      <w:szCs w:val="21"/>
    </w:rPr>
  </w:style>
  <w:style w:type="character" w:customStyle="1" w:styleId="413">
    <w:name w:val="文档结构图 Char"/>
    <w:basedOn w:val="51"/>
    <w:link w:val="15"/>
    <w:qFormat/>
    <w:uiPriority w:val="0"/>
    <w:rPr>
      <w:rFonts w:hint="eastAsia" w:ascii="宋体" w:hAnsi="Calibri" w:eastAsia="宋体" w:cs="宋体"/>
      <w:sz w:val="18"/>
      <w:szCs w:val="18"/>
    </w:rPr>
  </w:style>
  <w:style w:type="character" w:customStyle="1" w:styleId="414">
    <w:name w:val="无间隔 Char2"/>
    <w:basedOn w:val="51"/>
    <w:qFormat/>
    <w:uiPriority w:val="0"/>
    <w:rPr>
      <w:kern w:val="0"/>
      <w:sz w:val="24"/>
      <w:szCs w:val="22"/>
    </w:rPr>
  </w:style>
  <w:style w:type="character" w:customStyle="1" w:styleId="415">
    <w:name w:val="正文文本缩进 Char"/>
    <w:basedOn w:val="51"/>
    <w:link w:val="20"/>
    <w:qFormat/>
    <w:uiPriority w:val="99"/>
    <w:rPr>
      <w:kern w:val="2"/>
      <w:sz w:val="24"/>
      <w:szCs w:val="22"/>
    </w:rPr>
  </w:style>
  <w:style w:type="character" w:customStyle="1" w:styleId="416">
    <w:name w:val="正文格式 Char"/>
    <w:basedOn w:val="51"/>
    <w:link w:val="382"/>
    <w:qFormat/>
    <w:uiPriority w:val="0"/>
    <w:rPr>
      <w:rFonts w:hint="default" w:ascii="ˎ̥" w:hAnsi="ˎ̥" w:eastAsia="ˎ̥" w:cs="ˎ̥"/>
      <w:color w:val="000000"/>
      <w:kern w:val="2"/>
      <w:sz w:val="24"/>
    </w:rPr>
  </w:style>
  <w:style w:type="character" w:customStyle="1" w:styleId="417">
    <w:name w:val="纯文本 Char"/>
    <w:basedOn w:val="51"/>
    <w:link w:val="25"/>
    <w:qFormat/>
    <w:uiPriority w:val="99"/>
    <w:rPr>
      <w:rFonts w:hint="eastAsia" w:ascii="宋体" w:hAnsi="Courier New" w:eastAsia="宋体" w:cs="宋体"/>
      <w:kern w:val="2"/>
      <w:sz w:val="24"/>
      <w:szCs w:val="22"/>
    </w:rPr>
  </w:style>
  <w:style w:type="character" w:customStyle="1" w:styleId="418">
    <w:name w:val="批注框文本 Char"/>
    <w:basedOn w:val="51"/>
    <w:link w:val="30"/>
    <w:qFormat/>
    <w:uiPriority w:val="0"/>
    <w:rPr>
      <w:rFonts w:hint="default" w:ascii="Calibri" w:hAnsi="Calibri" w:cs="Calibri"/>
      <w:sz w:val="18"/>
      <w:szCs w:val="18"/>
    </w:rPr>
  </w:style>
  <w:style w:type="character" w:customStyle="1" w:styleId="419">
    <w:name w:val="页脚 Char1"/>
    <w:basedOn w:val="51"/>
    <w:link w:val="31"/>
    <w:qFormat/>
    <w:uiPriority w:val="0"/>
    <w:rPr>
      <w:rFonts w:hint="default" w:ascii="Calibri" w:hAnsi="Calibri" w:cs="Calibri"/>
      <w:sz w:val="18"/>
      <w:szCs w:val="18"/>
    </w:rPr>
  </w:style>
  <w:style w:type="character" w:customStyle="1" w:styleId="420">
    <w:name w:val="HS 正文 字符"/>
    <w:basedOn w:val="51"/>
    <w:qFormat/>
    <w:uiPriority w:val="0"/>
    <w:rPr>
      <w:rFonts w:hint="eastAsia" w:ascii="宋体" w:hAnsi="宋体" w:eastAsia="宋体" w:cs="宋体"/>
      <w:kern w:val="2"/>
      <w:sz w:val="24"/>
      <w:szCs w:val="24"/>
    </w:rPr>
  </w:style>
  <w:style w:type="character" w:customStyle="1" w:styleId="421">
    <w:name w:val="页眉 Char2"/>
    <w:basedOn w:val="51"/>
    <w:link w:val="32"/>
    <w:qFormat/>
    <w:uiPriority w:val="0"/>
    <w:rPr>
      <w:kern w:val="2"/>
      <w:sz w:val="18"/>
      <w:szCs w:val="18"/>
    </w:rPr>
  </w:style>
  <w:style w:type="character" w:customStyle="1" w:styleId="422">
    <w:name w:val="HTML 预设格式 字符"/>
    <w:basedOn w:val="51"/>
    <w:qFormat/>
    <w:uiPriority w:val="0"/>
    <w:rPr>
      <w:rFonts w:hint="default" w:ascii="Courier New" w:hAnsi="Courier New" w:cs="Courier New"/>
      <w:kern w:val="2"/>
    </w:rPr>
  </w:style>
  <w:style w:type="character" w:customStyle="1" w:styleId="423">
    <w:name w:val="HTML 预设格式 Char1"/>
    <w:basedOn w:val="51"/>
    <w:link w:val="43"/>
    <w:qFormat/>
    <w:uiPriority w:val="0"/>
    <w:rPr>
      <w:rFonts w:hint="eastAsia" w:ascii="宋体" w:hAnsi="宋体" w:eastAsia="宋体" w:cs="宋体"/>
      <w:bCs/>
      <w:sz w:val="24"/>
      <w:szCs w:val="24"/>
    </w:rPr>
  </w:style>
  <w:style w:type="character" w:customStyle="1" w:styleId="424">
    <w:name w:val="正文首行缩进 2 Char"/>
    <w:basedOn w:val="51"/>
    <w:qFormat/>
    <w:uiPriority w:val="99"/>
  </w:style>
  <w:style w:type="paragraph" w:customStyle="1" w:styleId="425">
    <w:name w:val="4正-b"/>
    <w:basedOn w:val="1"/>
    <w:link w:val="426"/>
    <w:qFormat/>
    <w:uiPriority w:val="0"/>
    <w:pPr>
      <w:widowControl/>
      <w:spacing w:before="120" w:after="100" w:line="360" w:lineRule="auto"/>
      <w:ind w:firstLine="200" w:firstLineChars="200"/>
      <w:jc w:val="left"/>
    </w:pPr>
    <w:rPr>
      <w:rFonts w:ascii="Arial" w:hAnsi="Arial"/>
      <w:iCs/>
      <w:sz w:val="24"/>
      <w:szCs w:val="24"/>
    </w:rPr>
  </w:style>
  <w:style w:type="character" w:customStyle="1" w:styleId="426">
    <w:name w:val="4正-b Char"/>
    <w:basedOn w:val="51"/>
    <w:link w:val="425"/>
    <w:qFormat/>
    <w:uiPriority w:val="0"/>
    <w:rPr>
      <w:rFonts w:hint="default" w:ascii="Arial" w:hAnsi="Arial" w:cs="Arial"/>
      <w:iCs/>
      <w:kern w:val="2"/>
      <w:sz w:val="24"/>
      <w:szCs w:val="24"/>
    </w:rPr>
  </w:style>
  <w:style w:type="character" w:customStyle="1" w:styleId="427">
    <w:name w:val="标题 5 Char"/>
    <w:basedOn w:val="51"/>
    <w:qFormat/>
    <w:uiPriority w:val="99"/>
    <w:rPr>
      <w:rFonts w:hint="default" w:ascii="Calibri" w:hAnsi="Calibri" w:cs="Calibri"/>
      <w:b/>
      <w:kern w:val="2"/>
      <w:sz w:val="28"/>
      <w:szCs w:val="28"/>
    </w:rPr>
  </w:style>
  <w:style w:type="character" w:customStyle="1" w:styleId="428">
    <w:name w:val="fontstyle01"/>
    <w:basedOn w:val="51"/>
    <w:qFormat/>
    <w:uiPriority w:val="0"/>
    <w:rPr>
      <w:rFonts w:hint="eastAsia" w:ascii="宋体" w:hAnsi="宋体" w:eastAsia="宋体" w:cs="宋体"/>
      <w:color w:val="000000"/>
      <w:sz w:val="22"/>
      <w:szCs w:val="22"/>
    </w:rPr>
  </w:style>
  <w:style w:type="character" w:customStyle="1" w:styleId="429">
    <w:name w:val="font121"/>
    <w:basedOn w:val="51"/>
    <w:qFormat/>
    <w:uiPriority w:val="0"/>
    <w:rPr>
      <w:rFonts w:hint="eastAsia" w:ascii="宋体" w:hAnsi="宋体" w:eastAsia="宋体" w:cs="宋体"/>
      <w:color w:val="000000"/>
      <w:sz w:val="20"/>
      <w:szCs w:val="20"/>
      <w:u w:val="none"/>
    </w:rPr>
  </w:style>
  <w:style w:type="character" w:customStyle="1" w:styleId="430">
    <w:name w:val="标题 7 字符1"/>
    <w:basedOn w:val="51"/>
    <w:qFormat/>
    <w:uiPriority w:val="0"/>
    <w:rPr>
      <w:b/>
      <w:sz w:val="24"/>
      <w:szCs w:val="24"/>
    </w:rPr>
  </w:style>
  <w:style w:type="character" w:customStyle="1" w:styleId="431">
    <w:name w:val="font101"/>
    <w:basedOn w:val="51"/>
    <w:qFormat/>
    <w:uiPriority w:val="0"/>
    <w:rPr>
      <w:rFonts w:hint="eastAsia" w:ascii="宋体" w:hAnsi="宋体" w:eastAsia="宋体" w:cs="宋体"/>
      <w:color w:val="000000"/>
      <w:sz w:val="18"/>
      <w:szCs w:val="18"/>
      <w:u w:val="none"/>
    </w:rPr>
  </w:style>
  <w:style w:type="character" w:customStyle="1" w:styleId="432">
    <w:name w:val="烽火正文 Char"/>
    <w:basedOn w:val="51"/>
    <w:qFormat/>
    <w:uiPriority w:val="0"/>
    <w:rPr>
      <w:szCs w:val="21"/>
    </w:rPr>
  </w:style>
  <w:style w:type="character" w:customStyle="1" w:styleId="433">
    <w:name w:val="font31"/>
    <w:basedOn w:val="51"/>
    <w:qFormat/>
    <w:uiPriority w:val="0"/>
    <w:rPr>
      <w:rFonts w:hint="default" w:ascii="Times New Roman" w:hAnsi="Times New Roman" w:cs="Times New Roman"/>
      <w:color w:val="000000"/>
      <w:sz w:val="20"/>
      <w:szCs w:val="20"/>
      <w:u w:val="none"/>
    </w:rPr>
  </w:style>
  <w:style w:type="character" w:customStyle="1" w:styleId="434">
    <w:name w:val="3级标题 Char"/>
    <w:basedOn w:val="51"/>
    <w:qFormat/>
    <w:uiPriority w:val="0"/>
    <w:rPr>
      <w:rFonts w:hint="eastAsia" w:ascii="黑体" w:hAnsi="宋体" w:eastAsia="黑体" w:cs="黑体"/>
      <w:sz w:val="28"/>
      <w:szCs w:val="36"/>
      <w:lang w:eastAsia="en-US" w:bidi="en-US"/>
    </w:rPr>
  </w:style>
  <w:style w:type="character" w:customStyle="1" w:styleId="435">
    <w:name w:val="font51"/>
    <w:basedOn w:val="51"/>
    <w:qFormat/>
    <w:uiPriority w:val="0"/>
    <w:rPr>
      <w:rFonts w:hint="eastAsia" w:ascii="宋体" w:hAnsi="宋体" w:eastAsia="宋体" w:cs="宋体"/>
      <w:color w:val="000000"/>
      <w:sz w:val="21"/>
      <w:szCs w:val="21"/>
      <w:u w:val="none"/>
    </w:rPr>
  </w:style>
  <w:style w:type="character" w:customStyle="1" w:styleId="436">
    <w:name w:val="my正文 Char"/>
    <w:basedOn w:val="51"/>
    <w:qFormat/>
    <w:uiPriority w:val="0"/>
    <w:rPr>
      <w:kern w:val="2"/>
      <w:sz w:val="24"/>
      <w:szCs w:val="24"/>
    </w:rPr>
  </w:style>
  <w:style w:type="character" w:customStyle="1" w:styleId="437">
    <w:name w:val="font111"/>
    <w:basedOn w:val="51"/>
    <w:qFormat/>
    <w:uiPriority w:val="0"/>
    <w:rPr>
      <w:rFonts w:hint="eastAsia" w:ascii="宋体" w:hAnsi="宋体" w:eastAsia="宋体" w:cs="宋体"/>
      <w:color w:val="000000"/>
      <w:sz w:val="18"/>
      <w:szCs w:val="18"/>
      <w:u w:val="none"/>
    </w:rPr>
  </w:style>
  <w:style w:type="character" w:customStyle="1" w:styleId="438">
    <w:name w:val="标题 1 Char"/>
    <w:basedOn w:val="51"/>
    <w:qFormat/>
    <w:uiPriority w:val="9"/>
    <w:rPr>
      <w:rFonts w:hint="default" w:ascii="Arial" w:hAnsi="Arial" w:cs="Arial"/>
      <w:b/>
      <w:kern w:val="44"/>
      <w:sz w:val="36"/>
      <w:szCs w:val="44"/>
    </w:rPr>
  </w:style>
  <w:style w:type="character" w:customStyle="1" w:styleId="439">
    <w:name w:val="*正文 Char"/>
    <w:basedOn w:val="51"/>
    <w:qFormat/>
    <w:uiPriority w:val="0"/>
    <w:rPr>
      <w:rFonts w:hint="eastAsia" w:ascii="仿宋_GB2312" w:hAnsi="仿宋_GB2312" w:eastAsia="仿宋_GB2312" w:cs="仿宋_GB2312"/>
      <w:kern w:val="2"/>
      <w:sz w:val="28"/>
      <w:szCs w:val="28"/>
    </w:rPr>
  </w:style>
  <w:style w:type="character" w:customStyle="1" w:styleId="440">
    <w:name w:val="无间隔 Char"/>
    <w:basedOn w:val="51"/>
    <w:qFormat/>
    <w:uiPriority w:val="0"/>
    <w:rPr>
      <w:rFonts w:hint="eastAsia" w:ascii="黑体" w:hAnsi="宋体" w:eastAsia="黑体" w:cs="黑体"/>
      <w:kern w:val="2"/>
      <w:szCs w:val="24"/>
    </w:rPr>
  </w:style>
  <w:style w:type="character" w:customStyle="1" w:styleId="441">
    <w:name w:val="表格 字符"/>
    <w:basedOn w:val="51"/>
    <w:link w:val="442"/>
    <w:qFormat/>
    <w:uiPriority w:val="0"/>
    <w:rPr>
      <w:rFonts w:hint="eastAsia" w:ascii="宋体" w:hAnsi="Calibri" w:eastAsia="仿宋_GB2312" w:cs="宋体"/>
      <w:color w:val="000000"/>
      <w:sz w:val="24"/>
      <w:szCs w:val="24"/>
    </w:rPr>
  </w:style>
  <w:style w:type="paragraph" w:customStyle="1" w:styleId="442">
    <w:name w:val="表格"/>
    <w:basedOn w:val="18"/>
    <w:link w:val="441"/>
    <w:qFormat/>
    <w:uiPriority w:val="0"/>
    <w:pPr>
      <w:tabs>
        <w:tab w:val="left" w:pos="2117"/>
      </w:tabs>
      <w:spacing w:after="0" w:line="240" w:lineRule="atLeast"/>
      <w:ind w:firstLine="200" w:firstLineChars="200"/>
    </w:pPr>
    <w:rPr>
      <w:rFonts w:hint="eastAsia" w:ascii="宋体" w:eastAsia="仿宋_GB2312" w:cs="Times New Roman"/>
      <w:color w:val="000000"/>
      <w:kern w:val="0"/>
      <w:sz w:val="24"/>
      <w:szCs w:val="24"/>
    </w:rPr>
  </w:style>
  <w:style w:type="character" w:customStyle="1" w:styleId="443">
    <w:name w:val="白皮书-正文 字符"/>
    <w:basedOn w:val="51"/>
    <w:qFormat/>
    <w:uiPriority w:val="0"/>
    <w:rPr>
      <w:rFonts w:hint="eastAsia" w:ascii="微软雅黑" w:hAnsi="微软雅黑" w:eastAsia="微软雅黑" w:cs="微软雅黑"/>
      <w:sz w:val="24"/>
    </w:rPr>
  </w:style>
  <w:style w:type="character" w:customStyle="1" w:styleId="444">
    <w:name w:val="日期 Char"/>
    <w:basedOn w:val="51"/>
    <w:qFormat/>
    <w:uiPriority w:val="0"/>
    <w:rPr>
      <w:kern w:val="2"/>
      <w:sz w:val="24"/>
      <w:szCs w:val="22"/>
    </w:rPr>
  </w:style>
  <w:style w:type="character" w:customStyle="1" w:styleId="445">
    <w:name w:val="【段落1】 Char"/>
    <w:basedOn w:val="51"/>
    <w:qFormat/>
    <w:uiPriority w:val="0"/>
    <w:rPr>
      <w:b/>
      <w:sz w:val="24"/>
      <w:szCs w:val="22"/>
    </w:rPr>
  </w:style>
  <w:style w:type="character" w:customStyle="1" w:styleId="446">
    <w:name w:val="引用 Char"/>
    <w:basedOn w:val="51"/>
    <w:qFormat/>
    <w:uiPriority w:val="0"/>
    <w:rPr>
      <w:i/>
      <w:color w:val="404040"/>
      <w:kern w:val="2"/>
      <w:sz w:val="24"/>
      <w:szCs w:val="22"/>
    </w:rPr>
  </w:style>
  <w:style w:type="character" w:customStyle="1" w:styleId="447">
    <w:name w:val="投标正文 Char"/>
    <w:basedOn w:val="51"/>
    <w:qFormat/>
    <w:uiPriority w:val="0"/>
    <w:rPr>
      <w:sz w:val="24"/>
      <w:szCs w:val="24"/>
    </w:rPr>
  </w:style>
  <w:style w:type="character" w:customStyle="1" w:styleId="448">
    <w:name w:val="Body Char"/>
    <w:basedOn w:val="51"/>
    <w:qFormat/>
    <w:uiPriority w:val="0"/>
    <w:rPr>
      <w:rFonts w:hint="default" w:ascii="Arial" w:hAnsi="Arial" w:cs="Arial"/>
      <w:sz w:val="24"/>
      <w:szCs w:val="21"/>
      <w:lang w:eastAsia="en-US"/>
    </w:rPr>
  </w:style>
  <w:style w:type="paragraph" w:customStyle="1" w:styleId="449">
    <w:name w:val="4正文2"/>
    <w:basedOn w:val="1"/>
    <w:qFormat/>
    <w:uiPriority w:val="0"/>
    <w:pPr>
      <w:spacing w:before="100" w:after="120" w:line="360" w:lineRule="auto"/>
      <w:ind w:firstLine="200" w:firstLineChars="200"/>
      <w:jc w:val="left"/>
    </w:pPr>
    <w:rPr>
      <w:rFonts w:ascii="Arial" w:hAnsi="Arial"/>
      <w:iCs/>
      <w:sz w:val="24"/>
      <w:szCs w:val="24"/>
    </w:rPr>
  </w:style>
  <w:style w:type="character" w:customStyle="1" w:styleId="450">
    <w:name w:val="列表段落 字符"/>
    <w:basedOn w:val="51"/>
    <w:qFormat/>
    <w:uiPriority w:val="0"/>
    <w:rPr>
      <w:sz w:val="24"/>
    </w:rPr>
  </w:style>
  <w:style w:type="character" w:customStyle="1" w:styleId="451">
    <w:name w:val="首页项目标题 Char"/>
    <w:basedOn w:val="51"/>
    <w:qFormat/>
    <w:uiPriority w:val="0"/>
    <w:rPr>
      <w:rFonts w:hint="default" w:ascii="Calibri" w:hAnsi="Calibri" w:eastAsia="黑体" w:cs="Calibri"/>
      <w:b/>
      <w:kern w:val="2"/>
      <w:sz w:val="52"/>
      <w:szCs w:val="21"/>
    </w:rPr>
  </w:style>
  <w:style w:type="character" w:customStyle="1" w:styleId="452">
    <w:name w:val="16"/>
    <w:basedOn w:val="51"/>
    <w:qFormat/>
    <w:uiPriority w:val="0"/>
    <w:rPr>
      <w:rFonts w:hint="eastAsia" w:ascii="Yu Mincho Light" w:hAnsi="Yu Mincho Light" w:eastAsia="Yu Mincho Light" w:cs="Yu Mincho Light"/>
      <w:color w:val="000000"/>
      <w:sz w:val="22"/>
      <w:szCs w:val="22"/>
    </w:rPr>
  </w:style>
  <w:style w:type="character" w:customStyle="1" w:styleId="453">
    <w:name w:val="标题 3 Char"/>
    <w:basedOn w:val="51"/>
    <w:qFormat/>
    <w:uiPriority w:val="99"/>
    <w:rPr>
      <w:rFonts w:hint="default" w:ascii="Arial" w:hAnsi="Arial" w:cs="Arial"/>
      <w:b/>
      <w:kern w:val="2"/>
      <w:sz w:val="30"/>
      <w:szCs w:val="32"/>
    </w:rPr>
  </w:style>
  <w:style w:type="character" w:customStyle="1" w:styleId="454">
    <w:name w:val="页脚 Char"/>
    <w:basedOn w:val="51"/>
    <w:qFormat/>
    <w:uiPriority w:val="99"/>
    <w:rPr>
      <w:rFonts w:hint="eastAsia" w:ascii="宋体" w:hAnsi="宋体" w:eastAsia="宋体" w:cs="宋体"/>
      <w:kern w:val="2"/>
      <w:sz w:val="18"/>
      <w:szCs w:val="18"/>
      <w:lang w:val="en-US" w:eastAsia="zh-CN" w:bidi="ar"/>
    </w:rPr>
  </w:style>
  <w:style w:type="character" w:customStyle="1" w:styleId="455">
    <w:name w:val="gf正文1 Char"/>
    <w:basedOn w:val="51"/>
    <w:qFormat/>
    <w:uiPriority w:val="0"/>
    <w:rPr>
      <w:rFonts w:hint="eastAsia" w:ascii="宋体" w:hAnsi="宋体" w:eastAsia="宋体" w:cs="宋体"/>
      <w:kern w:val="2"/>
      <w:sz w:val="24"/>
      <w:szCs w:val="24"/>
    </w:rPr>
  </w:style>
  <w:style w:type="character" w:customStyle="1" w:styleId="456">
    <w:name w:val="无间隔 Char3"/>
    <w:basedOn w:val="51"/>
    <w:qFormat/>
    <w:uiPriority w:val="0"/>
    <w:rPr>
      <w:rFonts w:hint="default" w:ascii="Calibri" w:hAnsi="Calibri" w:cs="Calibri"/>
      <w:sz w:val="24"/>
      <w:szCs w:val="22"/>
    </w:rPr>
  </w:style>
  <w:style w:type="character" w:customStyle="1" w:styleId="457">
    <w:name w:val="加粗 Char"/>
    <w:basedOn w:val="51"/>
    <w:qFormat/>
    <w:uiPriority w:val="0"/>
    <w:rPr>
      <w:rFonts w:hint="default" w:ascii="Arial" w:hAnsi="Arial" w:cs="Arial"/>
      <w:b/>
      <w:kern w:val="2"/>
      <w:sz w:val="24"/>
      <w:szCs w:val="24"/>
    </w:rPr>
  </w:style>
  <w:style w:type="character" w:customStyle="1" w:styleId="458">
    <w:name w:val="页眉 Char"/>
    <w:basedOn w:val="51"/>
    <w:qFormat/>
    <w:uiPriority w:val="99"/>
    <w:rPr>
      <w:rFonts w:hint="eastAsia" w:ascii="宋体" w:hAnsi="宋体" w:eastAsia="宋体" w:cs="宋体"/>
      <w:sz w:val="20"/>
      <w:szCs w:val="18"/>
    </w:rPr>
  </w:style>
  <w:style w:type="character" w:customStyle="1" w:styleId="459">
    <w:name w:val="5图标题 Char"/>
    <w:basedOn w:val="51"/>
    <w:qFormat/>
    <w:uiPriority w:val="0"/>
    <w:rPr>
      <w:rFonts w:hint="default" w:ascii="Arial" w:hAnsi="Arial" w:cs="Arial"/>
      <w:b/>
      <w:kern w:val="2"/>
      <w:sz w:val="22"/>
      <w:szCs w:val="18"/>
    </w:rPr>
  </w:style>
  <w:style w:type="character" w:customStyle="1" w:styleId="460">
    <w:name w:val="页眉 Char1"/>
    <w:basedOn w:val="51"/>
    <w:qFormat/>
    <w:uiPriority w:val="0"/>
    <w:rPr>
      <w:kern w:val="2"/>
      <w:sz w:val="18"/>
      <w:szCs w:val="18"/>
    </w:rPr>
  </w:style>
  <w:style w:type="character" w:customStyle="1" w:styleId="461">
    <w:name w:val="c-font-big"/>
    <w:basedOn w:val="51"/>
    <w:qFormat/>
    <w:uiPriority w:val="0"/>
  </w:style>
  <w:style w:type="character" w:customStyle="1" w:styleId="462">
    <w:name w:val="哈哈正文 Char"/>
    <w:basedOn w:val="51"/>
    <w:qFormat/>
    <w:uiPriority w:val="0"/>
    <w:rPr>
      <w:rFonts w:hint="eastAsia" w:ascii="宋体" w:hAnsi="宋体" w:eastAsia="宋体" w:cs="宋体"/>
      <w:kern w:val="2"/>
      <w:sz w:val="24"/>
    </w:rPr>
  </w:style>
  <w:style w:type="character" w:customStyle="1" w:styleId="463">
    <w:name w:val="投标文件 4 字符"/>
    <w:basedOn w:val="51"/>
    <w:qFormat/>
    <w:uiPriority w:val="0"/>
    <w:rPr>
      <w:rFonts w:hint="default" w:ascii="Arial" w:hAnsi="Arial" w:cs="Arial"/>
      <w:b/>
      <w:sz w:val="24"/>
      <w:szCs w:val="28"/>
    </w:rPr>
  </w:style>
  <w:style w:type="character" w:customStyle="1" w:styleId="464">
    <w:name w:val="标题 6 Char1"/>
    <w:basedOn w:val="51"/>
    <w:qFormat/>
    <w:uiPriority w:val="0"/>
    <w:rPr>
      <w:rFonts w:hint="eastAsia" w:ascii="宋体" w:hAnsi="Calibri Light" w:eastAsia="宋体" w:cs="Times New Roman"/>
      <w:b/>
      <w:sz w:val="30"/>
      <w:szCs w:val="24"/>
    </w:rPr>
  </w:style>
  <w:style w:type="character" w:customStyle="1" w:styleId="465">
    <w:name w:val="正文标准 Char"/>
    <w:basedOn w:val="51"/>
    <w:link w:val="397"/>
    <w:qFormat/>
    <w:uiPriority w:val="0"/>
    <w:rPr>
      <w:rFonts w:hint="eastAsia" w:ascii="宋体" w:hAnsi="宋体" w:eastAsia="宋体" w:cs="宋体"/>
      <w:sz w:val="24"/>
    </w:rPr>
  </w:style>
  <w:style w:type="character" w:customStyle="1" w:styleId="466">
    <w:name w:val="正文缩进 Char2"/>
    <w:basedOn w:val="51"/>
    <w:qFormat/>
    <w:uiPriority w:val="0"/>
    <w:rPr>
      <w:kern w:val="2"/>
      <w:sz w:val="24"/>
    </w:rPr>
  </w:style>
  <w:style w:type="character" w:customStyle="1" w:styleId="467">
    <w:name w:val="￥正文 Char"/>
    <w:basedOn w:val="51"/>
    <w:qFormat/>
    <w:uiPriority w:val="0"/>
    <w:rPr>
      <w:rFonts w:hint="default" w:ascii="Calibri" w:hAnsi="Calibri" w:cs="黑体"/>
      <w:kern w:val="2"/>
      <w:sz w:val="24"/>
      <w:szCs w:val="22"/>
    </w:rPr>
  </w:style>
  <w:style w:type="character" w:customStyle="1" w:styleId="468">
    <w:name w:val="H0正文 字符"/>
    <w:basedOn w:val="51"/>
    <w:qFormat/>
    <w:uiPriority w:val="0"/>
    <w:rPr>
      <w:rFonts w:hint="eastAsia" w:ascii="宋体" w:hAnsi="宋体" w:eastAsia="宋体" w:cs="宋体"/>
      <w:kern w:val="2"/>
      <w:sz w:val="24"/>
      <w:szCs w:val="24"/>
    </w:rPr>
  </w:style>
  <w:style w:type="character" w:customStyle="1" w:styleId="469">
    <w:name w:val="标题 7 Char1"/>
    <w:basedOn w:val="51"/>
    <w:qFormat/>
    <w:uiPriority w:val="0"/>
    <w:rPr>
      <w:rFonts w:hint="eastAsia" w:ascii="宋体" w:hAnsi="宋体" w:eastAsia="宋体" w:cs="宋体"/>
      <w:b/>
      <w:sz w:val="30"/>
      <w:szCs w:val="24"/>
    </w:rPr>
  </w:style>
  <w:style w:type="character" w:customStyle="1" w:styleId="470">
    <w:name w:val="标题 9 Char1"/>
    <w:basedOn w:val="51"/>
    <w:qFormat/>
    <w:uiPriority w:val="0"/>
    <w:rPr>
      <w:rFonts w:hint="eastAsia" w:ascii="宋体" w:hAnsi="Calibri Light" w:eastAsia="宋体" w:cs="Times New Roman"/>
      <w:b/>
      <w:sz w:val="30"/>
    </w:rPr>
  </w:style>
  <w:style w:type="character" w:customStyle="1" w:styleId="471">
    <w:name w:val="标题 Char1"/>
    <w:basedOn w:val="51"/>
    <w:qFormat/>
    <w:uiPriority w:val="0"/>
    <w:rPr>
      <w:rFonts w:hint="eastAsia" w:ascii="宋体" w:hAnsi="Calibri Light" w:eastAsia="宋体" w:cs="Times New Roman"/>
      <w:bCs/>
      <w:sz w:val="32"/>
      <w:szCs w:val="32"/>
    </w:rPr>
  </w:style>
  <w:style w:type="character" w:customStyle="1" w:styleId="472">
    <w:name w:val="正文缩进 Char1"/>
    <w:basedOn w:val="51"/>
    <w:qFormat/>
    <w:uiPriority w:val="0"/>
  </w:style>
  <w:style w:type="character" w:customStyle="1" w:styleId="473">
    <w:name w:val="无间隔 Char1"/>
    <w:basedOn w:val="51"/>
    <w:qFormat/>
    <w:uiPriority w:val="0"/>
    <w:rPr>
      <w:kern w:val="0"/>
      <w:sz w:val="24"/>
      <w:szCs w:val="22"/>
    </w:rPr>
  </w:style>
  <w:style w:type="character" w:customStyle="1" w:styleId="474">
    <w:name w:val="标题3 Char"/>
    <w:basedOn w:val="51"/>
    <w:qFormat/>
    <w:uiPriority w:val="0"/>
    <w:rPr>
      <w:rFonts w:hint="eastAsia" w:ascii="宋体" w:hAnsi="Calibri Light" w:eastAsia="宋体" w:cs="宋体"/>
      <w:b/>
      <w:kern w:val="2"/>
      <w:sz w:val="32"/>
      <w:szCs w:val="32"/>
    </w:rPr>
  </w:style>
  <w:style w:type="character" w:customStyle="1" w:styleId="475">
    <w:name w:val="正文文本首行缩进 字符1"/>
    <w:qFormat/>
    <w:uiPriority w:val="0"/>
    <w:rPr>
      <w:rFonts w:hint="default" w:ascii="Arial" w:hAnsi="Arial" w:eastAsia="仿宋_GB2312" w:cs="Arial"/>
      <w:kern w:val="2"/>
      <w:sz w:val="24"/>
      <w:szCs w:val="22"/>
    </w:rPr>
  </w:style>
  <w:style w:type="character" w:customStyle="1" w:styleId="476">
    <w:name w:val="图 字符"/>
    <w:basedOn w:val="51"/>
    <w:qFormat/>
    <w:uiPriority w:val="0"/>
    <w:rPr>
      <w:rFonts w:hint="default" w:ascii="Calibri" w:hAnsi="Calibri" w:cs="Calibri"/>
      <w:kern w:val="2"/>
      <w:sz w:val="24"/>
      <w:szCs w:val="22"/>
    </w:rPr>
  </w:style>
  <w:style w:type="character" w:customStyle="1" w:styleId="477">
    <w:name w:val="正文-华文中宋小四 Char"/>
    <w:basedOn w:val="51"/>
    <w:qFormat/>
    <w:uiPriority w:val="0"/>
    <w:rPr>
      <w:rFonts w:hint="eastAsia" w:ascii="华文中宋" w:hAnsi="华文中宋" w:eastAsia="华文中宋" w:cs="华文中宋"/>
      <w:kern w:val="2"/>
      <w:sz w:val="24"/>
      <w:szCs w:val="21"/>
    </w:rPr>
  </w:style>
  <w:style w:type="character" w:customStyle="1" w:styleId="478">
    <w:name w:val="表格one Char"/>
    <w:basedOn w:val="51"/>
    <w:qFormat/>
    <w:uiPriority w:val="0"/>
    <w:rPr>
      <w:rFonts w:hint="eastAsia" w:ascii="宋体" w:hAnsi="宋体" w:eastAsia="宋体" w:cs="宋体"/>
      <w:color w:val="000000"/>
      <w:sz w:val="24"/>
      <w:szCs w:val="22"/>
    </w:rPr>
  </w:style>
  <w:style w:type="character" w:customStyle="1" w:styleId="479">
    <w:name w:val="表格 Char"/>
    <w:basedOn w:val="51"/>
    <w:qFormat/>
    <w:uiPriority w:val="0"/>
    <w:rPr>
      <w:rFonts w:hint="eastAsia" w:ascii="宋体" w:hAnsi="宋体" w:eastAsia="宋体" w:cs="Times New Roman"/>
      <w:color w:val="000000"/>
      <w:kern w:val="0"/>
      <w:sz w:val="24"/>
      <w:szCs w:val="22"/>
    </w:rPr>
  </w:style>
  <w:style w:type="character" w:customStyle="1" w:styleId="480">
    <w:name w:val="标题 6 字符1"/>
    <w:basedOn w:val="51"/>
    <w:qFormat/>
    <w:uiPriority w:val="0"/>
    <w:rPr>
      <w:rFonts w:hint="default" w:ascii="Calibri Light" w:hAnsi="Calibri Light" w:eastAsia="宋体" w:cs="Times New Roman"/>
      <w:b/>
      <w:sz w:val="24"/>
      <w:szCs w:val="24"/>
    </w:rPr>
  </w:style>
  <w:style w:type="character" w:customStyle="1" w:styleId="481">
    <w:name w:val="标题 8 字符1"/>
    <w:basedOn w:val="51"/>
    <w:qFormat/>
    <w:uiPriority w:val="0"/>
    <w:rPr>
      <w:rFonts w:hint="default" w:ascii="Calibri Light" w:hAnsi="Calibri Light" w:eastAsia="宋体" w:cs="Times New Roman"/>
      <w:sz w:val="24"/>
      <w:szCs w:val="24"/>
    </w:rPr>
  </w:style>
  <w:style w:type="character" w:customStyle="1" w:styleId="482">
    <w:name w:val="HTML 预设格式 Char"/>
    <w:basedOn w:val="51"/>
    <w:qFormat/>
    <w:uiPriority w:val="0"/>
    <w:rPr>
      <w:rFonts w:hint="default" w:ascii="Courier New" w:hAnsi="Courier New" w:cs="Courier New"/>
      <w:kern w:val="2"/>
    </w:rPr>
  </w:style>
  <w:style w:type="character" w:customStyle="1" w:styleId="483">
    <w:name w:val="标题 9 字符1"/>
    <w:basedOn w:val="51"/>
    <w:qFormat/>
    <w:uiPriority w:val="0"/>
    <w:rPr>
      <w:rFonts w:hint="default" w:ascii="Calibri Light" w:hAnsi="Calibri Light" w:eastAsia="宋体" w:cs="Times New Roman"/>
      <w:szCs w:val="21"/>
    </w:rPr>
  </w:style>
  <w:style w:type="character" w:customStyle="1" w:styleId="484">
    <w:name w:val="ng-binding"/>
    <w:basedOn w:val="51"/>
    <w:qFormat/>
    <w:uiPriority w:val="0"/>
  </w:style>
  <w:style w:type="character" w:customStyle="1" w:styleId="485">
    <w:name w:val="y-ml-sm"/>
    <w:basedOn w:val="51"/>
    <w:qFormat/>
    <w:uiPriority w:val="0"/>
  </w:style>
  <w:style w:type="character" w:customStyle="1" w:styleId="486">
    <w:name w:val="plus"/>
    <w:basedOn w:val="51"/>
    <w:qFormat/>
    <w:uiPriority w:val="0"/>
  </w:style>
  <w:style w:type="character" w:customStyle="1" w:styleId="487">
    <w:name w:val="未处理的提及4"/>
    <w:basedOn w:val="51"/>
    <w:qFormat/>
    <w:uiPriority w:val="0"/>
    <w:rPr>
      <w:color w:val="605E5C"/>
      <w:shd w:val="clear" w:color="auto" w:fill="E1DFDD"/>
    </w:rPr>
  </w:style>
  <w:style w:type="character" w:customStyle="1" w:styleId="488">
    <w:name w:val="引用 Char1"/>
    <w:basedOn w:val="51"/>
    <w:qFormat/>
    <w:uiPriority w:val="0"/>
    <w:rPr>
      <w:i/>
      <w:color w:val="404040"/>
      <w:kern w:val="2"/>
      <w:sz w:val="24"/>
      <w:szCs w:val="22"/>
    </w:rPr>
  </w:style>
  <w:style w:type="character" w:customStyle="1" w:styleId="489">
    <w:name w:val="引用 字符"/>
    <w:basedOn w:val="51"/>
    <w:qFormat/>
    <w:uiPriority w:val="0"/>
    <w:rPr>
      <w:i/>
      <w:color w:val="404040"/>
      <w:kern w:val="2"/>
      <w:sz w:val="24"/>
      <w:szCs w:val="22"/>
    </w:rPr>
  </w:style>
  <w:style w:type="character" w:customStyle="1" w:styleId="490">
    <w:name w:val="正文文本首行缩进 2 字符1"/>
    <w:basedOn w:val="415"/>
    <w:qFormat/>
    <w:uiPriority w:val="0"/>
    <w:rPr>
      <w:kern w:val="2"/>
      <w:sz w:val="24"/>
      <w:szCs w:val="22"/>
    </w:rPr>
  </w:style>
  <w:style w:type="table" w:customStyle="1" w:styleId="491">
    <w:name w:val="网格表 7 彩色 - 着色 11"/>
    <w:basedOn w:val="48"/>
    <w:qFormat/>
    <w:uiPriority w:val="0"/>
    <w:rPr>
      <w:rFonts w:hint="eastAsia" w:ascii="等线" w:hAnsi="等线" w:eastAsia="等线" w:cs="等线"/>
      <w:color w:val="2F5496"/>
      <w:kern w:val="2"/>
      <w:sz w:val="21"/>
      <w:szCs w:val="22"/>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cPr>
      <w:tcBorders>
        <w:top w:val="single" w:color="8EAADB" w:sz="4" w:space="0"/>
        <w:left w:val="single" w:color="8EAADB" w:sz="4" w:space="0"/>
        <w:bottom w:val="single" w:color="8EAADB" w:sz="4" w:space="0"/>
        <w:right w:val="single" w:color="8EAADB" w:sz="4" w:space="0"/>
      </w:tcBorders>
    </w:tcPr>
    <w:tblStylePr w:type="firstRow">
      <w:rPr>
        <w:b/>
        <w:bCs/>
      </w:rPr>
      <w:tcPr>
        <w:tcBorders>
          <w:top w:val="nil"/>
          <w:left w:val="nil"/>
          <w:bottom w:val="nil"/>
          <w:right w:val="nil"/>
          <w:tl2br w:val="nil"/>
          <w:tr2bl w:val="nil"/>
        </w:tcBorders>
        <w:shd w:val="clear" w:color="auto" w:fill="FFFFFF"/>
      </w:tcPr>
    </w:tblStylePr>
    <w:tblStylePr w:type="lastRow">
      <w:rPr>
        <w:b/>
        <w:bCs/>
      </w:rPr>
      <w:tcPr>
        <w:tcBorders>
          <w:top w:val="nil"/>
          <w:left w:val="nil"/>
          <w:bottom w:val="nil"/>
          <w:right w:val="nil"/>
          <w:tl2br w:val="nil"/>
          <w:tr2bl w:val="nil"/>
        </w:tcBorders>
        <w:shd w:val="clear" w:color="auto" w:fill="FFFFFF"/>
      </w:tcPr>
    </w:tblStylePr>
    <w:tblStylePr w:type="firstCol">
      <w:pPr>
        <w:jc w:val="right"/>
      </w:pPr>
      <w:rPr>
        <w:i/>
        <w:iCs/>
      </w:rPr>
      <w:tcPr>
        <w:tcBorders>
          <w:top w:val="nil"/>
          <w:left w:val="nil"/>
          <w:bottom w:val="nil"/>
          <w:right w:val="nil"/>
          <w:tl2br w:val="nil"/>
          <w:tr2bl w:val="nil"/>
        </w:tcBorders>
        <w:shd w:val="clear" w:color="auto" w:fill="FFFFFF"/>
      </w:tcPr>
    </w:tblStylePr>
    <w:tblStylePr w:type="lastCol">
      <w:rPr>
        <w:i/>
        <w:iCs/>
      </w:rPr>
      <w:tcPr>
        <w:tcBorders>
          <w:top w:val="nil"/>
          <w:left w:val="nil"/>
          <w:bottom w:val="nil"/>
          <w:right w:val="nil"/>
          <w:tl2br w:val="nil"/>
          <w:tr2bl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top w:val="nil"/>
          <w:left w:val="nil"/>
          <w:bottom w:val="single" w:color="8EAADB" w:sz="4" w:space="0"/>
          <w:right w:val="nil"/>
          <w:tl2br w:val="nil"/>
          <w:tr2bl w:val="nil"/>
        </w:tcBorders>
      </w:tcPr>
    </w:tblStylePr>
    <w:tblStylePr w:type="nwCell">
      <w:tcPr>
        <w:tcBorders>
          <w:top w:val="nil"/>
          <w:left w:val="nil"/>
          <w:bottom w:val="single" w:color="8EAADB" w:sz="4" w:space="0"/>
          <w:right w:val="nil"/>
          <w:tl2br w:val="nil"/>
          <w:tr2bl w:val="nil"/>
        </w:tcBorders>
      </w:tcPr>
    </w:tblStylePr>
    <w:tblStylePr w:type="seCell">
      <w:tcPr>
        <w:tcBorders>
          <w:top w:val="single" w:color="8EAADB" w:sz="4" w:space="0"/>
          <w:left w:val="nil"/>
          <w:bottom w:val="nil"/>
          <w:right w:val="nil"/>
          <w:tl2br w:val="nil"/>
          <w:tr2bl w:val="nil"/>
        </w:tcBorders>
      </w:tcPr>
    </w:tblStylePr>
    <w:tblStylePr w:type="swCell">
      <w:tcPr>
        <w:tcBorders>
          <w:top w:val="single" w:color="8EAADB" w:sz="4" w:space="0"/>
          <w:left w:val="nil"/>
          <w:bottom w:val="nil"/>
          <w:right w:val="nil"/>
          <w:tl2br w:val="nil"/>
          <w:tr2bl w:val="nil"/>
        </w:tcBorders>
      </w:tcPr>
    </w:tblStylePr>
  </w:style>
  <w:style w:type="table" w:customStyle="1" w:styleId="492">
    <w:name w:val="网格表 1 浅色1"/>
    <w:basedOn w:val="48"/>
    <w:qFormat/>
    <w:uiPriority w:val="0"/>
    <w:rPr>
      <w:sz w:val="22"/>
      <w:szCs w:val="22"/>
      <w:lang w:eastAsia="en-US"/>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cPr>
      <w:tcBorders>
        <w:top w:val="single" w:color="999999" w:sz="4" w:space="0"/>
        <w:left w:val="single" w:color="999999" w:sz="4" w:space="0"/>
        <w:bottom w:val="single" w:color="999999" w:sz="4" w:space="0"/>
        <w:right w:val="single" w:color="999999" w:sz="4" w:space="0"/>
      </w:tcBorders>
    </w:tcPr>
    <w:tblStylePr w:type="firstRow">
      <w:rPr>
        <w:b/>
        <w:bCs/>
      </w:rPr>
      <w:tcPr>
        <w:tcBorders>
          <w:top w:val="nil"/>
          <w:left w:val="nil"/>
          <w:bottom w:val="single" w:color="666666" w:sz="12" w:space="0"/>
          <w:right w:val="nil"/>
          <w:tl2br w:val="nil"/>
          <w:tr2bl w:val="nil"/>
        </w:tcBorders>
      </w:tcPr>
    </w:tblStylePr>
    <w:tblStylePr w:type="lastRow">
      <w:rPr>
        <w:b/>
        <w:bCs/>
      </w:rPr>
      <w:tcPr>
        <w:tcBorders>
          <w:top w:val="double" w:color="666666" w:sz="2" w:space="0"/>
          <w:left w:val="nil"/>
          <w:bottom w:val="nil"/>
          <w:right w:val="nil"/>
          <w:tl2br w:val="nil"/>
          <w:tr2bl w:val="nil"/>
        </w:tcBorders>
      </w:tcPr>
    </w:tblStylePr>
    <w:tblStylePr w:type="firstCol">
      <w:rPr>
        <w:b/>
        <w:bCs/>
      </w:rPr>
    </w:tblStylePr>
    <w:tblStylePr w:type="lastCol">
      <w:rPr>
        <w:b/>
        <w:bCs/>
      </w:rPr>
    </w:tblStylePr>
  </w:style>
  <w:style w:type="table" w:customStyle="1" w:styleId="493">
    <w:name w:val="网格型21"/>
    <w:basedOn w:val="48"/>
    <w:qFormat/>
    <w:uiPriority w:val="0"/>
    <w:pPr>
      <w:spacing w:before="200" w:after="200" w:line="276" w:lineRule="auto"/>
      <w:ind w:left="288"/>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494">
    <w:name w:val="网格表 1 浅色11"/>
    <w:basedOn w:val="48"/>
    <w:qFormat/>
    <w:uiPriority w:val="0"/>
    <w:rPr>
      <w:sz w:val="22"/>
      <w:szCs w:val="22"/>
      <w:lang w:eastAsia="en-US"/>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cPr>
      <w:tcBorders>
        <w:top w:val="single" w:color="999999" w:sz="4" w:space="0"/>
        <w:left w:val="single" w:color="999999" w:sz="4" w:space="0"/>
        <w:bottom w:val="single" w:color="999999" w:sz="4" w:space="0"/>
        <w:right w:val="single" w:color="999999" w:sz="4" w:space="0"/>
      </w:tcBorders>
    </w:tcPr>
    <w:tblStylePr w:type="firstRow">
      <w:rPr>
        <w:b/>
        <w:bCs/>
      </w:rPr>
      <w:tcPr>
        <w:tcBorders>
          <w:top w:val="nil"/>
          <w:left w:val="nil"/>
          <w:bottom w:val="single" w:color="666666" w:sz="12" w:space="0"/>
          <w:right w:val="nil"/>
          <w:tl2br w:val="nil"/>
          <w:tr2bl w:val="nil"/>
        </w:tcBorders>
      </w:tcPr>
    </w:tblStylePr>
    <w:tblStylePr w:type="lastRow">
      <w:rPr>
        <w:b/>
        <w:bCs/>
      </w:rPr>
      <w:tcPr>
        <w:tcBorders>
          <w:top w:val="double" w:color="666666" w:sz="2" w:space="0"/>
          <w:left w:val="nil"/>
          <w:bottom w:val="nil"/>
          <w:right w:val="nil"/>
          <w:tl2br w:val="nil"/>
          <w:tr2bl w:val="nil"/>
        </w:tcBorders>
      </w:tcPr>
    </w:tblStylePr>
    <w:tblStylePr w:type="firstCol">
      <w:rPr>
        <w:b/>
        <w:bCs/>
      </w:rPr>
    </w:tblStylePr>
    <w:tblStylePr w:type="lastCol">
      <w:rPr>
        <w:b/>
        <w:bCs/>
      </w:rPr>
    </w:tblStylePr>
  </w:style>
  <w:style w:type="table" w:customStyle="1" w:styleId="495">
    <w:name w:val="网格表 1 浅色12"/>
    <w:basedOn w:val="48"/>
    <w:qFormat/>
    <w:uiPriority w:val="0"/>
    <w:rPr>
      <w:sz w:val="22"/>
      <w:szCs w:val="22"/>
      <w:lang w:eastAsia="en-US"/>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cPr>
      <w:tcBorders>
        <w:top w:val="single" w:color="999999" w:sz="4" w:space="0"/>
        <w:left w:val="single" w:color="999999" w:sz="4" w:space="0"/>
        <w:bottom w:val="single" w:color="999999" w:sz="4" w:space="0"/>
        <w:right w:val="single" w:color="999999" w:sz="4" w:space="0"/>
      </w:tcBorders>
    </w:tcPr>
    <w:tblStylePr w:type="firstRow">
      <w:rPr>
        <w:b/>
        <w:bCs/>
      </w:rPr>
      <w:tcPr>
        <w:tcBorders>
          <w:top w:val="nil"/>
          <w:left w:val="nil"/>
          <w:bottom w:val="single" w:color="666666" w:sz="12" w:space="0"/>
          <w:right w:val="nil"/>
          <w:tl2br w:val="nil"/>
          <w:tr2bl w:val="nil"/>
        </w:tcBorders>
      </w:tcPr>
    </w:tblStylePr>
    <w:tblStylePr w:type="lastRow">
      <w:rPr>
        <w:b/>
        <w:bCs/>
      </w:rPr>
      <w:tcPr>
        <w:tcBorders>
          <w:top w:val="double" w:color="666666" w:sz="2" w:space="0"/>
          <w:left w:val="nil"/>
          <w:bottom w:val="nil"/>
          <w:right w:val="nil"/>
          <w:tl2br w:val="nil"/>
          <w:tr2bl w:val="nil"/>
        </w:tcBorders>
      </w:tcPr>
    </w:tblStylePr>
    <w:tblStylePr w:type="firstCol">
      <w:rPr>
        <w:b/>
        <w:bCs/>
      </w:rPr>
    </w:tblStylePr>
    <w:tblStylePr w:type="lastCol">
      <w:rPr>
        <w:b/>
        <w:bCs/>
      </w:rPr>
    </w:tblStylePr>
  </w:style>
  <w:style w:type="table" w:customStyle="1" w:styleId="496">
    <w:name w:val="网格型浅色1"/>
    <w:basedOn w:val="48"/>
    <w:qFormat/>
    <w:uiPriority w:val="0"/>
    <w:tblPr>
      <w:tblBorders>
        <w:top w:val="single" w:color="85CB7B" w:sz="4" w:space="0"/>
        <w:left w:val="single" w:color="85CB7B" w:sz="4" w:space="0"/>
        <w:bottom w:val="single" w:color="85CB7B" w:sz="4" w:space="0"/>
        <w:right w:val="single" w:color="85CB7B" w:sz="4" w:space="0"/>
        <w:insideH w:val="single" w:color="85CB7B" w:sz="4" w:space="0"/>
        <w:insideV w:val="single" w:color="85CB7B" w:sz="4" w:space="0"/>
      </w:tblBorders>
      <w:tblLayout w:type="fixed"/>
      <w:tblCellMar>
        <w:top w:w="0" w:type="dxa"/>
        <w:left w:w="108" w:type="dxa"/>
        <w:bottom w:w="0" w:type="dxa"/>
        <w:right w:w="108" w:type="dxa"/>
      </w:tblCellMar>
    </w:tblPr>
    <w:tcPr>
      <w:tcBorders>
        <w:top w:val="single" w:color="85CB7B" w:sz="4" w:space="0"/>
        <w:left w:val="single" w:color="85CB7B" w:sz="4" w:space="0"/>
        <w:bottom w:val="single" w:color="85CB7B" w:sz="4" w:space="0"/>
        <w:right w:val="single" w:color="85CB7B" w:sz="4" w:space="0"/>
      </w:tcBorders>
    </w:tcPr>
  </w:style>
  <w:style w:type="table" w:customStyle="1" w:styleId="497">
    <w:name w:val="修改列表3"/>
    <w:basedOn w:val="4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498">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499">
    <w:name w:val="网格型22"/>
    <w:basedOn w:val="48"/>
    <w:qFormat/>
    <w:uiPriority w:val="0"/>
    <w:pPr>
      <w:spacing w:before="200" w:after="200" w:line="276" w:lineRule="auto"/>
      <w:ind w:left="288"/>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500">
    <w:name w:val="网格型3"/>
    <w:basedOn w:val="48"/>
    <w:qFormat/>
    <w:uiPriority w:val="0"/>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501">
    <w:name w:val="网格型5"/>
    <w:basedOn w:val="48"/>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502">
    <w:name w:val="Table Normal"/>
    <w:basedOn w:val="48"/>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table" w:customStyle="1" w:styleId="503">
    <w:name w:val="TableGrid"/>
    <w:basedOn w:val="48"/>
    <w:qFormat/>
    <w:uiPriority w:val="0"/>
    <w:rPr>
      <w:rFonts w:ascii="Calibri" w:hAnsi="Calibri"/>
    </w:rPr>
    <w:tblPr>
      <w:tblLayout w:type="fixed"/>
      <w:tblCellMar>
        <w:top w:w="0" w:type="dxa"/>
        <w:left w:w="0" w:type="dxa"/>
        <w:bottom w:w="0" w:type="dxa"/>
        <w:right w:w="0" w:type="dxa"/>
      </w:tblCellMar>
    </w:tblPr>
  </w:style>
  <w:style w:type="table" w:customStyle="1" w:styleId="504">
    <w:name w:val="Table Normal1"/>
    <w:basedOn w:val="48"/>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table" w:customStyle="1" w:styleId="505">
    <w:name w:val="Table Normal2"/>
    <w:basedOn w:val="48"/>
    <w:qFormat/>
    <w:uiPriority w:val="0"/>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table" w:customStyle="1" w:styleId="506">
    <w:name w:val="修改列表1"/>
    <w:basedOn w:val="4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507">
    <w:name w:val="TableGrid1"/>
    <w:basedOn w:val="48"/>
    <w:qFormat/>
    <w:uiPriority w:val="0"/>
    <w:rPr>
      <w:rFonts w:ascii="Calibri" w:hAnsi="Calibri"/>
    </w:rPr>
    <w:tblPr>
      <w:tblLayout w:type="fixed"/>
      <w:tblCellMar>
        <w:top w:w="0" w:type="dxa"/>
        <w:left w:w="0" w:type="dxa"/>
        <w:bottom w:w="0" w:type="dxa"/>
        <w:right w:w="0" w:type="dxa"/>
      </w:tblCellMar>
    </w:tblPr>
  </w:style>
  <w:style w:type="table" w:customStyle="1" w:styleId="508">
    <w:name w:val="修改列表2"/>
    <w:basedOn w:val="4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509">
    <w:name w:val="网格型2"/>
    <w:basedOn w:val="48"/>
    <w:qFormat/>
    <w:uiPriority w:val="0"/>
    <w:pPr>
      <w:spacing w:before="200" w:after="200" w:line="276" w:lineRule="auto"/>
      <w:ind w:left="288"/>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510">
    <w:name w:val="网格型4"/>
    <w:basedOn w:val="48"/>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511">
    <w:name w:val="标题 6 Char"/>
    <w:basedOn w:val="340"/>
    <w:qFormat/>
    <w:uiPriority w:val="99"/>
    <w:rPr>
      <w:rFonts w:ascii="Arial" w:hAnsi="Arial" w:eastAsiaTheme="minorEastAsia" w:cstheme="minorBidi"/>
      <w:b/>
      <w:bCs/>
      <w:kern w:val="2"/>
      <w:sz w:val="24"/>
      <w:szCs w:val="24"/>
      <w:lang w:val="zh-CN" w:eastAsia="zh-CN"/>
    </w:rPr>
  </w:style>
  <w:style w:type="paragraph" w:customStyle="1" w:styleId="512">
    <w:name w:val="List Paragraph2"/>
    <w:basedOn w:val="1"/>
    <w:qFormat/>
    <w:uiPriority w:val="0"/>
    <w:pPr>
      <w:spacing w:line="360" w:lineRule="auto"/>
      <w:ind w:firstLine="420" w:firstLineChars="200"/>
    </w:pPr>
  </w:style>
  <w:style w:type="character" w:customStyle="1" w:styleId="513">
    <w:name w:val="10"/>
    <w:basedOn w:val="51"/>
    <w:qFormat/>
    <w:uiPriority w:val="0"/>
    <w:rPr>
      <w:rFonts w:hint="default" w:ascii="Times New Roman" w:hAnsi="Times New Roman" w:cs="Times New Roman"/>
    </w:rPr>
  </w:style>
  <w:style w:type="paragraph" w:customStyle="1" w:styleId="514">
    <w:name w:val="正文缩进1"/>
    <w:basedOn w:val="1"/>
    <w:qFormat/>
    <w:uiPriority w:val="0"/>
    <w:pPr>
      <w:autoSpaceDE w:val="0"/>
      <w:autoSpaceDN w:val="0"/>
      <w:adjustRightInd w:val="0"/>
      <w:ind w:firstLine="200" w:firstLineChars="200"/>
    </w:pPr>
    <w:rPr>
      <w:color w:val="000000"/>
      <w:kern w:val="0"/>
    </w:rPr>
  </w:style>
  <w:style w:type="paragraph" w:customStyle="1" w:styleId="515">
    <w:name w:val="UserStyle_0"/>
    <w:basedOn w:val="1"/>
    <w:qFormat/>
    <w:uiPriority w:val="0"/>
    <w:pPr>
      <w:spacing w:line="360" w:lineRule="auto"/>
      <w:ind w:firstLine="361"/>
    </w:pPr>
    <w:rPr>
      <w:rFonts w:ascii="宋体" w:hAnsi="宋体"/>
    </w:rPr>
  </w:style>
  <w:style w:type="character" w:customStyle="1" w:styleId="516">
    <w:name w:val="font01"/>
    <w:basedOn w:val="5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D37E5-6BD3-4DED-93DD-C63A916BBC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27827</Words>
  <Characters>29475</Characters>
  <Lines>52</Lines>
  <Paragraphs>64</Paragraphs>
  <TotalTime>27</TotalTime>
  <ScaleCrop>false</ScaleCrop>
  <LinksUpToDate>false</LinksUpToDate>
  <CharactersWithSpaces>31559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pbs1_6</cp:lastModifiedBy>
  <cp:lastPrinted>2021-09-09T02:27:00Z</cp:lastPrinted>
  <dcterms:modified xsi:type="dcterms:W3CDTF">2024-10-09T02:53:53Z</dcterms:modified>
  <dc:title>丽水市人民医院采购全自动特定蛋白分析系统及配套和便携彩超项目</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7F8D74BF87A34F7BA11A0BCEC129372B_13</vt:lpwstr>
  </property>
</Properties>
</file>