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AFBF0">
      <w:pPr>
        <w:adjustRightInd/>
        <w:spacing w:line="360" w:lineRule="auto"/>
        <w:jc w:val="center"/>
        <w:rPr>
          <w:rFonts w:ascii="宋体" w:hAnsi="宋体" w:cs="宋体"/>
          <w:b/>
          <w:color w:val="auto"/>
          <w:sz w:val="48"/>
          <w:szCs w:val="48"/>
          <w:highlight w:val="none"/>
        </w:rPr>
      </w:pPr>
    </w:p>
    <w:p w14:paraId="70EEAB86">
      <w:pPr>
        <w:adjustRightInd/>
        <w:spacing w:line="360" w:lineRule="auto"/>
        <w:jc w:val="center"/>
        <w:rPr>
          <w:rFonts w:ascii="宋体" w:hAnsi="宋体" w:cs="宋体"/>
          <w:color w:val="auto"/>
          <w:sz w:val="48"/>
          <w:szCs w:val="48"/>
          <w:highlight w:val="none"/>
        </w:rPr>
      </w:pPr>
      <w:bookmarkStart w:id="0" w:name="_Toc4543"/>
    </w:p>
    <w:bookmarkEnd w:id="0"/>
    <w:p w14:paraId="1CFF6DCD">
      <w:pPr>
        <w:adjustRightInd/>
        <w:spacing w:line="360" w:lineRule="auto"/>
        <w:jc w:val="center"/>
        <w:rPr>
          <w:rFonts w:hint="eastAsia" w:ascii="宋体" w:hAnsi="宋体" w:cs="宋体"/>
          <w:color w:val="auto"/>
          <w:sz w:val="48"/>
          <w:szCs w:val="48"/>
          <w:highlight w:val="none"/>
          <w:lang w:val="en-US" w:eastAsia="zh-CN"/>
        </w:rPr>
      </w:pPr>
      <w:r>
        <w:rPr>
          <w:rFonts w:hint="eastAsia" w:ascii="宋体" w:hAnsi="宋体" w:cs="宋体"/>
          <w:color w:val="auto"/>
          <w:sz w:val="48"/>
          <w:szCs w:val="48"/>
          <w:highlight w:val="none"/>
          <w:lang w:val="en-US" w:eastAsia="zh-CN"/>
        </w:rPr>
        <w:t>宁波市北仑区人民医院标本检测外送项目（特殊检验）</w:t>
      </w:r>
    </w:p>
    <w:p w14:paraId="57F92CB0">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582150C">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F1C3E32">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编号:CBNB-20251049-BL004G</w:t>
      </w:r>
    </w:p>
    <w:p w14:paraId="225EE102">
      <w:pPr>
        <w:adjustRightInd/>
        <w:spacing w:line="360" w:lineRule="auto"/>
        <w:rPr>
          <w:rFonts w:ascii="宋体" w:hAnsi="宋体" w:cs="宋体"/>
          <w:color w:val="auto"/>
          <w:sz w:val="28"/>
          <w:szCs w:val="20"/>
          <w:highlight w:val="none"/>
        </w:rPr>
      </w:pPr>
    </w:p>
    <w:p w14:paraId="4CA648CB">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AA76F47">
      <w:pPr>
        <w:spacing w:line="360" w:lineRule="auto"/>
        <w:jc w:val="center"/>
        <w:rPr>
          <w:rFonts w:ascii="宋体" w:hAnsi="宋体" w:cs="宋体"/>
          <w:b/>
          <w:color w:val="auto"/>
          <w:sz w:val="44"/>
          <w:szCs w:val="44"/>
          <w:highlight w:val="none"/>
        </w:rPr>
      </w:pPr>
    </w:p>
    <w:p w14:paraId="54A2E47A">
      <w:pPr>
        <w:spacing w:line="360" w:lineRule="auto"/>
        <w:jc w:val="center"/>
        <w:rPr>
          <w:rFonts w:ascii="宋体" w:hAnsi="宋体" w:cs="宋体"/>
          <w:color w:val="auto"/>
          <w:sz w:val="24"/>
          <w:highlight w:val="none"/>
        </w:rPr>
      </w:pPr>
    </w:p>
    <w:p w14:paraId="3DAF7E74">
      <w:pPr>
        <w:spacing w:line="360" w:lineRule="auto"/>
        <w:jc w:val="center"/>
        <w:rPr>
          <w:rFonts w:ascii="宋体" w:hAnsi="宋体" w:cs="宋体"/>
          <w:color w:val="auto"/>
          <w:sz w:val="24"/>
          <w:highlight w:val="none"/>
        </w:rPr>
      </w:pPr>
    </w:p>
    <w:p w14:paraId="515EEBA0">
      <w:pPr>
        <w:spacing w:line="360" w:lineRule="auto"/>
        <w:rPr>
          <w:rFonts w:ascii="宋体" w:hAnsi="宋体" w:cs="宋体"/>
          <w:color w:val="auto"/>
          <w:sz w:val="32"/>
          <w:szCs w:val="32"/>
          <w:highlight w:val="none"/>
        </w:rPr>
      </w:pPr>
    </w:p>
    <w:p w14:paraId="301484EE">
      <w:pPr>
        <w:pStyle w:val="63"/>
        <w:ind w:firstLine="640"/>
        <w:rPr>
          <w:rFonts w:cs="宋体"/>
          <w:color w:val="auto"/>
          <w:sz w:val="32"/>
          <w:szCs w:val="32"/>
          <w:highlight w:val="none"/>
        </w:rPr>
      </w:pPr>
    </w:p>
    <w:p w14:paraId="036A04D7">
      <w:pPr>
        <w:rPr>
          <w:color w:val="auto"/>
          <w:highlight w:val="none"/>
        </w:rPr>
      </w:pPr>
    </w:p>
    <w:p w14:paraId="6157D745">
      <w:pPr>
        <w:spacing w:line="360" w:lineRule="auto"/>
        <w:jc w:val="center"/>
        <w:rPr>
          <w:rFonts w:hint="eastAsia" w:ascii="宋体" w:hAnsi="宋体" w:cs="宋体"/>
          <w:bCs/>
          <w:color w:val="auto"/>
          <w:sz w:val="32"/>
          <w:szCs w:val="32"/>
          <w:highlight w:val="none"/>
        </w:rPr>
      </w:pPr>
    </w:p>
    <w:p w14:paraId="3A70FF44">
      <w:pPr>
        <w:spacing w:line="360" w:lineRule="auto"/>
        <w:jc w:val="center"/>
        <w:rPr>
          <w:rFonts w:hint="eastAsia" w:ascii="宋体" w:hAnsi="宋体" w:cs="宋体"/>
          <w:bCs/>
          <w:color w:val="auto"/>
          <w:sz w:val="32"/>
          <w:szCs w:val="32"/>
          <w:highlight w:val="none"/>
        </w:rPr>
      </w:pPr>
    </w:p>
    <w:p w14:paraId="380FC421">
      <w:pPr>
        <w:spacing w:line="360" w:lineRule="auto"/>
        <w:jc w:val="center"/>
        <w:rPr>
          <w:rFonts w:hint="default" w:ascii="宋体" w:hAnsi="宋体" w:cs="宋体"/>
          <w:bCs/>
          <w:color w:val="auto"/>
          <w:sz w:val="32"/>
          <w:szCs w:val="32"/>
          <w:highlight w:val="none"/>
          <w:lang w:val="en-US" w:eastAsia="zh-CN"/>
        </w:rPr>
      </w:pPr>
      <w:r>
        <w:rPr>
          <w:rFonts w:hint="eastAsia" w:ascii="宋体" w:hAnsi="宋体" w:cs="宋体"/>
          <w:bCs/>
          <w:color w:val="auto"/>
          <w:sz w:val="32"/>
          <w:szCs w:val="32"/>
          <w:highlight w:val="none"/>
        </w:rPr>
        <w:t>采购人：宁波市北仑区</w:t>
      </w:r>
      <w:r>
        <w:rPr>
          <w:rFonts w:hint="eastAsia" w:ascii="宋体" w:hAnsi="宋体" w:cs="宋体"/>
          <w:bCs/>
          <w:color w:val="auto"/>
          <w:sz w:val="32"/>
          <w:szCs w:val="32"/>
          <w:highlight w:val="none"/>
          <w:lang w:val="en-US" w:eastAsia="zh-CN"/>
        </w:rPr>
        <w:t>人民医院</w:t>
      </w:r>
    </w:p>
    <w:p w14:paraId="7F60E8B0">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bookmarkStart w:id="1" w:name="_Toc2466"/>
      <w:r>
        <w:rPr>
          <w:rFonts w:hint="eastAsia" w:ascii="宋体" w:hAnsi="宋体" w:cs="宋体"/>
          <w:bCs/>
          <w:color w:val="auto"/>
          <w:sz w:val="32"/>
          <w:szCs w:val="32"/>
          <w:highlight w:val="none"/>
        </w:rPr>
        <w:t>采购代理机构：宁波中基国际招标有限公司</w:t>
      </w:r>
      <w:bookmarkEnd w:id="1"/>
    </w:p>
    <w:p w14:paraId="363A71F1">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202</w:t>
      </w:r>
      <w:r>
        <w:rPr>
          <w:rFonts w:hint="eastAsia" w:ascii="宋体" w:hAnsi="宋体" w:cs="宋体"/>
          <w:bCs/>
          <w:color w:val="auto"/>
          <w:sz w:val="32"/>
          <w:szCs w:val="32"/>
          <w:highlight w:val="none"/>
          <w:lang w:val="en-US" w:eastAsia="zh-CN"/>
        </w:rPr>
        <w:t>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1</w:t>
      </w:r>
      <w:r>
        <w:rPr>
          <w:rFonts w:hint="eastAsia" w:ascii="宋体" w:hAnsi="宋体" w:cs="宋体"/>
          <w:bCs/>
          <w:color w:val="auto"/>
          <w:sz w:val="32"/>
          <w:szCs w:val="32"/>
          <w:highlight w:val="none"/>
        </w:rPr>
        <w:t>月</w:t>
      </w:r>
    </w:p>
    <w:p w14:paraId="5B935A75">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2" w:name="_Hlt67893495"/>
      <w:bookmarkEnd w:id="2"/>
    </w:p>
    <w:p w14:paraId="2DAEF8EC">
      <w:pPr>
        <w:spacing w:line="360" w:lineRule="auto"/>
        <w:rPr>
          <w:rFonts w:ascii="宋体" w:hAnsi="宋体" w:cs="宋体"/>
          <w:color w:val="auto"/>
          <w:sz w:val="32"/>
          <w:szCs w:val="32"/>
          <w:highlight w:val="none"/>
        </w:rPr>
      </w:pPr>
    </w:p>
    <w:sdt>
      <w:sdtPr>
        <w:rPr>
          <w:rFonts w:ascii="宋体" w:hAnsi="宋体"/>
          <w:color w:val="auto"/>
          <w:sz w:val="48"/>
          <w:szCs w:val="48"/>
          <w:highlight w:val="none"/>
        </w:rPr>
        <w:id w:val="147476114"/>
        <w15:color w:val="DBDBDB"/>
        <w:docPartObj>
          <w:docPartGallery w:val="Table of Contents"/>
          <w:docPartUnique/>
        </w:docPartObj>
      </w:sdtPr>
      <w:sdtEndPr>
        <w:rPr>
          <w:rFonts w:ascii="宋体" w:hAnsi="宋体"/>
          <w:color w:val="auto"/>
          <w:sz w:val="48"/>
          <w:szCs w:val="48"/>
          <w:highlight w:val="none"/>
        </w:rPr>
      </w:sdtEndPr>
      <w:sdtContent>
        <w:p w14:paraId="2076DB72">
          <w:pPr>
            <w:jc w:val="center"/>
            <w:rPr>
              <w:rFonts w:ascii="宋体" w:hAnsi="宋体"/>
              <w:color w:val="auto"/>
              <w:sz w:val="48"/>
              <w:szCs w:val="48"/>
              <w:highlight w:val="none"/>
            </w:rPr>
          </w:pPr>
          <w:r>
            <w:rPr>
              <w:rFonts w:ascii="宋体" w:hAnsi="宋体"/>
              <w:color w:val="auto"/>
              <w:sz w:val="48"/>
              <w:szCs w:val="48"/>
              <w:highlight w:val="none"/>
            </w:rPr>
            <w:t>目</w:t>
          </w:r>
          <w:r>
            <w:rPr>
              <w:rFonts w:hint="eastAsia" w:ascii="宋体" w:hAnsi="宋体"/>
              <w:color w:val="auto"/>
              <w:sz w:val="48"/>
              <w:szCs w:val="48"/>
              <w:highlight w:val="none"/>
            </w:rPr>
            <w:t xml:space="preserve">  </w:t>
          </w:r>
          <w:r>
            <w:rPr>
              <w:rFonts w:ascii="宋体" w:hAnsi="宋体"/>
              <w:color w:val="auto"/>
              <w:sz w:val="48"/>
              <w:szCs w:val="48"/>
              <w:highlight w:val="none"/>
            </w:rPr>
            <w:t>录</w:t>
          </w:r>
        </w:p>
        <w:p w14:paraId="39F8270C">
          <w:pPr>
            <w:pStyle w:val="63"/>
            <w:ind w:firstLine="960"/>
            <w:rPr>
              <w:color w:val="auto"/>
              <w:sz w:val="48"/>
              <w:szCs w:val="48"/>
              <w:highlight w:val="none"/>
            </w:rPr>
          </w:pPr>
        </w:p>
        <w:p w14:paraId="41B06915">
          <w:pPr>
            <w:rPr>
              <w:color w:val="auto"/>
              <w:highlight w:val="none"/>
            </w:rPr>
          </w:pPr>
        </w:p>
        <w:p w14:paraId="56181A69">
          <w:pPr>
            <w:pStyle w:val="46"/>
            <w:tabs>
              <w:tab w:val="right" w:leader="dot" w:pos="9070"/>
            </w:tabs>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"_Toc32263" </w:instrText>
          </w:r>
          <w:r>
            <w:rPr>
              <w:color w:val="auto"/>
              <w:highlight w:val="none"/>
            </w:rPr>
            <w:fldChar w:fldCharType="separate"/>
          </w:r>
          <w:r>
            <w:rPr>
              <w:rFonts w:hint="eastAsia" w:ascii="宋体" w:hAnsi="宋体" w:cs="宋体"/>
              <w:color w:val="auto"/>
              <w:sz w:val="28"/>
              <w:szCs w:val="28"/>
              <w:highlight w:val="none"/>
            </w:rPr>
            <w:t>第一部分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_Toc32263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EC7CBB0">
          <w:pPr>
            <w:pStyle w:val="46"/>
            <w:tabs>
              <w:tab w:val="right" w:leader="dot" w:pos="9070"/>
            </w:tabs>
            <w:spacing w:line="60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"_Toc1745" </w:instrText>
          </w:r>
          <w:r>
            <w:rPr>
              <w:color w:val="auto"/>
              <w:highlight w:val="none"/>
            </w:rPr>
            <w:fldChar w:fldCharType="separate"/>
          </w:r>
          <w:r>
            <w:rPr>
              <w:rFonts w:hint="eastAsia" w:ascii="宋体" w:hAnsi="宋体" w:cs="宋体"/>
              <w:color w:val="auto"/>
              <w:sz w:val="28"/>
              <w:szCs w:val="28"/>
              <w:highlight w:val="none"/>
            </w:rPr>
            <w:t>第二部分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_Toc1745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433429C1">
          <w:pPr>
            <w:pStyle w:val="46"/>
            <w:tabs>
              <w:tab w:val="right" w:leader="dot" w:pos="9070"/>
            </w:tabs>
            <w:spacing w:line="600" w:lineRule="exact"/>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"_Toc9424" </w:instrText>
          </w:r>
          <w:r>
            <w:rPr>
              <w:color w:val="auto"/>
              <w:highlight w:val="none"/>
            </w:rPr>
            <w:fldChar w:fldCharType="separate"/>
          </w:r>
          <w:r>
            <w:rPr>
              <w:rFonts w:hint="eastAsia" w:ascii="宋体" w:hAnsi="宋体" w:cs="宋体"/>
              <w:color w:val="auto"/>
              <w:sz w:val="28"/>
              <w:szCs w:val="28"/>
              <w:highlight w:val="none"/>
            </w:rPr>
            <w:t>第三部分 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5</w:t>
          </w:r>
        </w:p>
        <w:p w14:paraId="244D285E">
          <w:pPr>
            <w:pStyle w:val="46"/>
            <w:tabs>
              <w:tab w:val="right" w:leader="dot" w:pos="9070"/>
            </w:tabs>
            <w:spacing w:line="60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"_Toc22578" </w:instrText>
          </w:r>
          <w:r>
            <w:rPr>
              <w:color w:val="auto"/>
              <w:highlight w:val="none"/>
            </w:rPr>
            <w:fldChar w:fldCharType="separate"/>
          </w:r>
          <w:r>
            <w:rPr>
              <w:rFonts w:hint="eastAsia" w:ascii="宋体" w:hAnsi="宋体" w:cs="宋体"/>
              <w:color w:val="auto"/>
              <w:sz w:val="28"/>
              <w:szCs w:val="28"/>
              <w:highlight w:val="none"/>
            </w:rPr>
            <w:t>第四部分 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_Toc22578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AF033FF">
          <w:pPr>
            <w:pStyle w:val="46"/>
            <w:tabs>
              <w:tab w:val="right" w:leader="dot" w:pos="9070"/>
            </w:tabs>
            <w:spacing w:line="60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"_Toc12957" </w:instrText>
          </w:r>
          <w:r>
            <w:rPr>
              <w:color w:val="auto"/>
              <w:highlight w:val="none"/>
            </w:rPr>
            <w:fldChar w:fldCharType="separate"/>
          </w:r>
          <w:r>
            <w:rPr>
              <w:rFonts w:hint="eastAsia" w:ascii="宋体" w:hAnsi="宋体" w:cs="宋体"/>
              <w:color w:val="auto"/>
              <w:sz w:val="28"/>
              <w:szCs w:val="28"/>
              <w:highlight w:val="none"/>
            </w:rPr>
            <w:t>第五部分 拟签订的合同文本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_Toc12957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D753080">
          <w:pPr>
            <w:pStyle w:val="46"/>
            <w:tabs>
              <w:tab w:val="right" w:leader="dot" w:pos="9070"/>
            </w:tabs>
            <w:spacing w:line="60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"_Toc12182" </w:instrText>
          </w:r>
          <w:r>
            <w:rPr>
              <w:color w:val="auto"/>
              <w:highlight w:val="none"/>
            </w:rPr>
            <w:fldChar w:fldCharType="separate"/>
          </w:r>
          <w:r>
            <w:rPr>
              <w:rFonts w:hint="eastAsia" w:ascii="宋体" w:hAnsi="宋体" w:cs="宋体"/>
              <w:color w:val="auto"/>
              <w:sz w:val="28"/>
              <w:szCs w:val="28"/>
              <w:highlight w:val="none"/>
            </w:rPr>
            <w:t>第六部分 应提交的有关格式范例</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_Toc12182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298CB0F">
          <w:pPr>
            <w:spacing w:line="600" w:lineRule="exact"/>
            <w:rPr>
              <w:color w:val="auto"/>
              <w:highlight w:val="none"/>
            </w:rPr>
          </w:pPr>
          <w:r>
            <w:rPr>
              <w:rFonts w:hint="eastAsia" w:ascii="宋体" w:hAnsi="宋体" w:cs="宋体"/>
              <w:color w:val="auto"/>
              <w:sz w:val="28"/>
              <w:szCs w:val="28"/>
              <w:highlight w:val="none"/>
            </w:rPr>
            <w:fldChar w:fldCharType="end"/>
          </w:r>
        </w:p>
      </w:sdtContent>
    </w:sdt>
    <w:p w14:paraId="6BB31D15">
      <w:pPr>
        <w:spacing w:line="360" w:lineRule="auto"/>
        <w:ind w:firstLine="549" w:firstLineChars="229"/>
        <w:rPr>
          <w:rFonts w:ascii="宋体" w:hAnsi="宋体" w:cs="宋体"/>
          <w:color w:val="auto"/>
          <w:sz w:val="24"/>
          <w:highlight w:val="none"/>
        </w:rPr>
      </w:pPr>
      <w:bookmarkStart w:id="3" w:name="_Hlt91233176"/>
      <w:bookmarkEnd w:id="3"/>
      <w:bookmarkStart w:id="4" w:name="_Toc91899869"/>
    </w:p>
    <w:p w14:paraId="605DC5B1">
      <w:pPr>
        <w:spacing w:line="360" w:lineRule="auto"/>
        <w:ind w:firstLine="549" w:firstLineChars="229"/>
        <w:rPr>
          <w:rFonts w:ascii="宋体" w:hAnsi="宋体" w:cs="宋体"/>
          <w:color w:val="auto"/>
          <w:sz w:val="24"/>
          <w:highlight w:val="none"/>
        </w:rPr>
      </w:pPr>
    </w:p>
    <w:p w14:paraId="2044A246">
      <w:pPr>
        <w:spacing w:line="360" w:lineRule="auto"/>
        <w:ind w:firstLine="549" w:firstLineChars="229"/>
        <w:rPr>
          <w:rFonts w:ascii="宋体" w:hAnsi="宋体" w:cs="宋体"/>
          <w:color w:val="auto"/>
          <w:sz w:val="24"/>
          <w:highlight w:val="none"/>
        </w:rPr>
      </w:pPr>
    </w:p>
    <w:p w14:paraId="6D3DFC62">
      <w:pPr>
        <w:spacing w:line="360" w:lineRule="auto"/>
        <w:ind w:firstLine="549" w:firstLineChars="229"/>
        <w:rPr>
          <w:rFonts w:ascii="宋体" w:hAnsi="宋体" w:cs="宋体"/>
          <w:color w:val="auto"/>
          <w:sz w:val="24"/>
          <w:highlight w:val="none"/>
        </w:rPr>
      </w:pPr>
    </w:p>
    <w:p w14:paraId="694E61AB">
      <w:pPr>
        <w:spacing w:line="360" w:lineRule="auto"/>
        <w:ind w:firstLine="549" w:firstLineChars="229"/>
        <w:rPr>
          <w:rFonts w:ascii="宋体" w:hAnsi="宋体" w:cs="宋体"/>
          <w:color w:val="auto"/>
          <w:sz w:val="24"/>
          <w:highlight w:val="none"/>
        </w:rPr>
      </w:pPr>
    </w:p>
    <w:p w14:paraId="005A2266">
      <w:pPr>
        <w:spacing w:line="360" w:lineRule="auto"/>
        <w:ind w:firstLine="549" w:firstLineChars="229"/>
        <w:rPr>
          <w:rFonts w:ascii="宋体" w:hAnsi="宋体" w:cs="宋体"/>
          <w:color w:val="auto"/>
          <w:sz w:val="24"/>
          <w:highlight w:val="none"/>
        </w:rPr>
      </w:pPr>
    </w:p>
    <w:p w14:paraId="3AFAF6F2">
      <w:pPr>
        <w:spacing w:line="360" w:lineRule="auto"/>
        <w:ind w:firstLine="549" w:firstLineChars="229"/>
        <w:rPr>
          <w:rFonts w:ascii="宋体" w:hAnsi="宋体" w:cs="宋体"/>
          <w:color w:val="auto"/>
          <w:sz w:val="24"/>
          <w:highlight w:val="none"/>
        </w:rPr>
      </w:pPr>
    </w:p>
    <w:p w14:paraId="487CD64E">
      <w:pPr>
        <w:spacing w:line="360" w:lineRule="auto"/>
        <w:ind w:firstLine="549" w:firstLineChars="229"/>
        <w:rPr>
          <w:rFonts w:ascii="宋体" w:hAnsi="宋体" w:cs="宋体"/>
          <w:color w:val="auto"/>
          <w:sz w:val="24"/>
          <w:highlight w:val="none"/>
        </w:rPr>
      </w:pPr>
    </w:p>
    <w:p w14:paraId="4D286D37">
      <w:pPr>
        <w:spacing w:line="360" w:lineRule="auto"/>
        <w:ind w:firstLine="549" w:firstLineChars="229"/>
        <w:rPr>
          <w:rFonts w:ascii="宋体" w:hAnsi="宋体" w:cs="宋体"/>
          <w:color w:val="auto"/>
          <w:sz w:val="24"/>
          <w:highlight w:val="none"/>
        </w:rPr>
      </w:pPr>
    </w:p>
    <w:p w14:paraId="1946729B">
      <w:pPr>
        <w:spacing w:line="360" w:lineRule="auto"/>
        <w:ind w:firstLine="549" w:firstLineChars="229"/>
        <w:rPr>
          <w:rFonts w:ascii="宋体" w:hAnsi="宋体" w:cs="宋体"/>
          <w:color w:val="auto"/>
          <w:sz w:val="24"/>
          <w:highlight w:val="none"/>
        </w:rPr>
      </w:pPr>
    </w:p>
    <w:p w14:paraId="16564681">
      <w:pPr>
        <w:spacing w:line="360" w:lineRule="auto"/>
        <w:ind w:firstLine="549" w:firstLineChars="229"/>
        <w:rPr>
          <w:rFonts w:ascii="宋体" w:hAnsi="宋体" w:cs="宋体"/>
          <w:color w:val="auto"/>
          <w:sz w:val="24"/>
          <w:highlight w:val="none"/>
        </w:rPr>
      </w:pPr>
    </w:p>
    <w:p w14:paraId="3D06148A">
      <w:pPr>
        <w:spacing w:line="360" w:lineRule="auto"/>
        <w:ind w:firstLine="549" w:firstLineChars="229"/>
        <w:rPr>
          <w:rFonts w:ascii="宋体" w:hAnsi="宋体" w:cs="宋体"/>
          <w:color w:val="auto"/>
          <w:sz w:val="24"/>
          <w:highlight w:val="none"/>
        </w:rPr>
      </w:pPr>
    </w:p>
    <w:p w14:paraId="42E27108">
      <w:pPr>
        <w:spacing w:line="360" w:lineRule="auto"/>
        <w:ind w:firstLine="549" w:firstLineChars="229"/>
        <w:rPr>
          <w:rFonts w:ascii="宋体" w:hAnsi="宋体" w:cs="宋体"/>
          <w:color w:val="auto"/>
          <w:sz w:val="24"/>
          <w:highlight w:val="none"/>
        </w:rPr>
      </w:pPr>
    </w:p>
    <w:p w14:paraId="75F08F3F">
      <w:pPr>
        <w:spacing w:line="360" w:lineRule="auto"/>
        <w:rPr>
          <w:rFonts w:ascii="宋体" w:hAnsi="宋体" w:cs="宋体"/>
          <w:color w:val="auto"/>
          <w:sz w:val="24"/>
          <w:highlight w:val="none"/>
        </w:rPr>
      </w:pPr>
    </w:p>
    <w:p w14:paraId="066FA738">
      <w:pPr>
        <w:adjustRightInd/>
        <w:spacing w:line="360" w:lineRule="auto"/>
        <w:jc w:val="center"/>
        <w:outlineLvl w:val="0"/>
        <w:rPr>
          <w:rFonts w:ascii="宋体" w:hAnsi="宋体" w:cs="宋体"/>
          <w:b/>
          <w:color w:val="auto"/>
          <w:sz w:val="36"/>
          <w:szCs w:val="20"/>
          <w:highlight w:val="none"/>
        </w:rPr>
      </w:pPr>
      <w:bookmarkStart w:id="5" w:name="第一部分"/>
      <w:r>
        <w:rPr>
          <w:rFonts w:hint="eastAsia" w:ascii="宋体" w:hAnsi="宋体" w:cs="宋体"/>
          <w:b/>
          <w:color w:val="auto"/>
          <w:sz w:val="36"/>
          <w:szCs w:val="36"/>
          <w:highlight w:val="none"/>
        </w:rPr>
        <w:br w:type="page"/>
      </w:r>
      <w:bookmarkEnd w:id="4"/>
      <w:bookmarkEnd w:id="5"/>
      <w:bookmarkStart w:id="6" w:name="_Hlt74649545"/>
      <w:bookmarkEnd w:id="6"/>
      <w:bookmarkStart w:id="7" w:name="_Hlt74729822"/>
      <w:bookmarkEnd w:id="7"/>
      <w:bookmarkStart w:id="8" w:name="_Hlt74728647"/>
      <w:bookmarkEnd w:id="8"/>
      <w:bookmarkStart w:id="9" w:name="_Hlt74707423"/>
      <w:bookmarkEnd w:id="9"/>
      <w:bookmarkStart w:id="10" w:name="_Toc15656"/>
      <w:bookmarkStart w:id="11" w:name="_Toc32263"/>
      <w:bookmarkStart w:id="12" w:name="第二部分"/>
      <w:bookmarkStart w:id="13" w:name="_Toc91899870"/>
      <w:bookmarkStart w:id="14" w:name="_Toc91899871"/>
      <w:r>
        <w:rPr>
          <w:rStyle w:val="283"/>
          <w:rFonts w:hint="eastAsia"/>
          <w:color w:val="auto"/>
          <w:highlight w:val="none"/>
        </w:rPr>
        <w:t>第一部分 招标公告</w:t>
      </w:r>
      <w:bookmarkEnd w:id="10"/>
      <w:bookmarkEnd w:id="11"/>
    </w:p>
    <w:p w14:paraId="30159FA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6340A04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val="en-US" w:eastAsia="zh-CN"/>
        </w:rPr>
        <w:t>宁波市北仑区人民医院标本检测外送项目（特殊检验）</w:t>
      </w:r>
      <w:r>
        <w:rPr>
          <w:rFonts w:hint="eastAsia" w:asciiTheme="minorEastAsia" w:hAnsiTheme="minorEastAsia" w:eastAsiaTheme="minorEastAsia"/>
          <w:color w:val="auto"/>
          <w:sz w:val="24"/>
          <w:highlight w:val="none"/>
        </w:rPr>
        <w:t>招标项目的潜在投标人应在政采云平台（</w:t>
      </w:r>
      <w:r>
        <w:rPr>
          <w:rFonts w:asciiTheme="minorEastAsia" w:hAnsiTheme="minorEastAsia" w:eastAsiaTheme="minorEastAsia"/>
          <w:color w:val="auto"/>
          <w:sz w:val="24"/>
          <w:highlight w:val="none"/>
        </w:rPr>
        <w:t>https://www.zcygov.cn/）获取（下载）招标文件，并于</w:t>
      </w:r>
      <w:r>
        <w:rPr>
          <w:rFonts w:hint="eastAsia" w:asciiTheme="minorEastAsia" w:hAnsiTheme="minorEastAsia" w:eastAsiaTheme="minorEastAsia"/>
          <w:color w:val="auto"/>
          <w:sz w:val="24"/>
          <w:highlight w:val="none"/>
        </w:rPr>
        <w:t>202</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13日09</w:t>
      </w:r>
      <w:r>
        <w:rPr>
          <w:rFonts w:hint="eastAsia" w:asciiTheme="minorEastAsia" w:hAnsiTheme="minorEastAsia" w:eastAsiaTheme="minorEastAsia"/>
          <w:color w:val="auto"/>
          <w:sz w:val="24"/>
          <w:highlight w:val="none"/>
        </w:rPr>
        <w:t>点</w:t>
      </w:r>
      <w:r>
        <w:rPr>
          <w:rFonts w:hint="eastAsia" w:asciiTheme="minorEastAsia" w:hAnsiTheme="minorEastAsia" w:eastAsiaTheme="minorEastAsia"/>
          <w:color w:val="auto"/>
          <w:sz w:val="24"/>
          <w:highlight w:val="none"/>
          <w:lang w:val="en-US" w:eastAsia="zh-CN"/>
        </w:rPr>
        <w:t>30</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6A34C67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11FD436">
      <w:pPr>
        <w:spacing w:line="360" w:lineRule="auto"/>
        <w:outlineLvl w:val="1"/>
        <w:rPr>
          <w:rFonts w:ascii="宋体" w:hAnsi="宋体" w:cs="宋体"/>
          <w:color w:val="auto"/>
          <w:sz w:val="24"/>
          <w:highlight w:val="none"/>
        </w:rPr>
      </w:pPr>
      <w:r>
        <w:rPr>
          <w:rFonts w:hint="eastAsia" w:ascii="宋体" w:hAnsi="宋体" w:cs="宋体"/>
          <w:color w:val="auto"/>
          <w:sz w:val="24"/>
          <w:highlight w:val="none"/>
        </w:rPr>
        <w:t xml:space="preserve">    </w:t>
      </w:r>
      <w:bookmarkStart w:id="15" w:name="_Toc23734"/>
      <w:r>
        <w:rPr>
          <w:rFonts w:hint="eastAsia" w:ascii="宋体" w:hAnsi="宋体" w:cs="宋体"/>
          <w:b/>
          <w:color w:val="auto"/>
          <w:sz w:val="24"/>
          <w:highlight w:val="none"/>
        </w:rPr>
        <w:t>项目编号：</w:t>
      </w:r>
      <w:r>
        <w:rPr>
          <w:rFonts w:hint="eastAsia" w:ascii="宋体" w:hAnsi="宋体" w:cs="宋体"/>
          <w:bCs/>
          <w:color w:val="auto"/>
          <w:sz w:val="24"/>
          <w:highlight w:val="none"/>
        </w:rPr>
        <w:t>CBNB-20251049-BL004G </w:t>
      </w:r>
      <w:bookmarkEnd w:id="15"/>
    </w:p>
    <w:p w14:paraId="073BC57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val="en-US" w:eastAsia="zh-CN"/>
        </w:rPr>
        <w:t>宁波市北仑区人民医院标本检测外送项目（特殊检验）</w:t>
      </w:r>
    </w:p>
    <w:p w14:paraId="4324026E">
      <w:pPr>
        <w:spacing w:line="360" w:lineRule="auto"/>
        <w:rPr>
          <w:rFonts w:hint="default" w:ascii="宋体" w:hAnsi="宋体" w:eastAsia="宋体" w:cs="宋体"/>
          <w:b w:val="0"/>
          <w:bCs w:val="0"/>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 xml:space="preserve"> 预算金额（元）：</w:t>
      </w:r>
      <w:r>
        <w:rPr>
          <w:rFonts w:hint="eastAsia" w:ascii="宋体" w:hAnsi="宋体" w:cs="宋体"/>
          <w:b w:val="0"/>
          <w:bCs w:val="0"/>
          <w:color w:val="auto"/>
          <w:sz w:val="24"/>
          <w:highlight w:val="none"/>
          <w:lang w:val="en-US" w:eastAsia="zh-CN"/>
        </w:rPr>
        <w:t>1700000.00</w:t>
      </w:r>
    </w:p>
    <w:p w14:paraId="502D1D34">
      <w:pPr>
        <w:spacing w:line="360" w:lineRule="auto"/>
        <w:ind w:firstLine="480"/>
        <w:rPr>
          <w:rFonts w:ascii="宋体" w:hAnsi="宋体" w:cs="宋体"/>
          <w:b w:val="0"/>
          <w:bCs w:val="0"/>
          <w:color w:val="auto"/>
          <w:sz w:val="24"/>
          <w:highlight w:val="none"/>
        </w:rPr>
      </w:pPr>
      <w:r>
        <w:rPr>
          <w:rFonts w:hint="eastAsia" w:ascii="宋体" w:hAnsi="宋体" w:cs="宋体"/>
          <w:b/>
          <w:bCs/>
          <w:color w:val="auto"/>
          <w:sz w:val="24"/>
          <w:highlight w:val="none"/>
        </w:rPr>
        <w:t>最高限价（元）：</w:t>
      </w:r>
      <w:r>
        <w:rPr>
          <w:rFonts w:hint="eastAsia" w:ascii="宋体" w:hAnsi="宋体" w:cs="宋体"/>
          <w:b w:val="0"/>
          <w:bCs w:val="0"/>
          <w:color w:val="auto"/>
          <w:sz w:val="24"/>
          <w:highlight w:val="none"/>
          <w:lang w:val="en-US" w:eastAsia="zh-CN"/>
        </w:rPr>
        <w:t>1700000.00</w:t>
      </w:r>
    </w:p>
    <w:p w14:paraId="5D64F7E1">
      <w:pPr>
        <w:pStyle w:val="3"/>
        <w:rPr>
          <w:b/>
          <w:bCs/>
          <w:color w:val="auto"/>
          <w:highlight w:val="none"/>
          <w:lang w:val="en-US"/>
        </w:rPr>
      </w:pPr>
      <w:r>
        <w:rPr>
          <w:rFonts w:hint="eastAsia" w:hAnsi="宋体" w:cs="宋体"/>
          <w:b/>
          <w:bCs/>
          <w:color w:val="auto"/>
          <w:highlight w:val="none"/>
          <w:lang w:val="en-US"/>
        </w:rPr>
        <w:t>采购需求：</w:t>
      </w:r>
    </w:p>
    <w:p w14:paraId="40A8ED99">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标项名称:</w:t>
      </w:r>
      <w:r>
        <w:rPr>
          <w:rFonts w:hint="eastAsia" w:ascii="宋体" w:hAnsi="宋体" w:cs="宋体"/>
          <w:b w:val="0"/>
          <w:bCs/>
          <w:color w:val="auto"/>
          <w:sz w:val="24"/>
          <w:highlight w:val="none"/>
          <w:lang w:val="en-US" w:eastAsia="zh-CN"/>
        </w:rPr>
        <w:t>标本检测外送（特殊检验）</w:t>
      </w:r>
    </w:p>
    <w:p w14:paraId="6FC7E02B">
      <w:pPr>
        <w:snapToGrid w:val="0"/>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数量:</w:t>
      </w:r>
      <w:r>
        <w:rPr>
          <w:rFonts w:hint="eastAsia" w:asciiTheme="minorEastAsia" w:hAnsiTheme="minorEastAsia" w:eastAsiaTheme="minorEastAsia"/>
          <w:color w:val="auto"/>
          <w:sz w:val="24"/>
          <w:highlight w:val="none"/>
          <w:lang w:val="en-US" w:eastAsia="zh-CN"/>
        </w:rPr>
        <w:t>1年</w:t>
      </w:r>
    </w:p>
    <w:p w14:paraId="421D22E4">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预算金额（元）:</w:t>
      </w:r>
      <w:r>
        <w:rPr>
          <w:rFonts w:hint="eastAsia" w:ascii="宋体" w:hAnsi="宋体" w:cs="宋体"/>
          <w:b w:val="0"/>
          <w:bCs w:val="0"/>
          <w:color w:val="auto"/>
          <w:sz w:val="24"/>
          <w:highlight w:val="none"/>
          <w:lang w:val="en-US" w:eastAsia="zh-CN"/>
        </w:rPr>
        <w:t>1700000.00</w:t>
      </w:r>
    </w:p>
    <w:p w14:paraId="60105E34">
      <w:pPr>
        <w:pStyle w:val="63"/>
        <w:adjustRightInd w:val="0"/>
        <w:snapToGrid w:val="0"/>
        <w:spacing w:after="0" w:line="360" w:lineRule="auto"/>
        <w:ind w:left="0" w:leftChars="0"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简要规格描述或项目基本概况介绍、用途：具体以招标文件第三部分采购需求为准，供应商可点击本公告下方“浏览采购文件”查看采购需求。</w:t>
      </w:r>
    </w:p>
    <w:p w14:paraId="67BFF892">
      <w:pPr>
        <w:pStyle w:val="8"/>
        <w:spacing w:line="360" w:lineRule="auto"/>
        <w:ind w:firstLine="480"/>
        <w:rPr>
          <w:rFonts w:hint="default" w:asciiTheme="minorEastAsia" w:hAnsiTheme="minorEastAsia" w:eastAsiaTheme="minorEastAsia"/>
          <w:snapToGrid/>
          <w:color w:val="auto"/>
          <w:kern w:val="2"/>
          <w:sz w:val="24"/>
          <w:szCs w:val="24"/>
          <w:highlight w:val="none"/>
          <w:lang w:val="en-US" w:eastAsia="zh-CN"/>
        </w:rPr>
      </w:pPr>
      <w:r>
        <w:rPr>
          <w:rFonts w:hint="eastAsia" w:asciiTheme="minorEastAsia" w:hAnsiTheme="minorEastAsia" w:eastAsiaTheme="minorEastAsia"/>
          <w:snapToGrid/>
          <w:color w:val="auto"/>
          <w:kern w:val="2"/>
          <w:sz w:val="24"/>
          <w:szCs w:val="24"/>
          <w:highlight w:val="none"/>
        </w:rPr>
        <w:t>备注：</w:t>
      </w:r>
      <w:r>
        <w:rPr>
          <w:rFonts w:hint="eastAsia" w:asciiTheme="minorEastAsia" w:hAnsiTheme="minorEastAsia" w:eastAsiaTheme="minorEastAsia"/>
          <w:snapToGrid/>
          <w:color w:val="auto"/>
          <w:kern w:val="2"/>
          <w:sz w:val="24"/>
          <w:szCs w:val="24"/>
          <w:highlight w:val="none"/>
          <w:lang w:val="en-US" w:eastAsia="zh-CN"/>
        </w:rPr>
        <w:t>服务期限为自合同签订之日起1年。</w:t>
      </w:r>
    </w:p>
    <w:p w14:paraId="796593E4">
      <w:pPr>
        <w:pStyle w:val="131"/>
        <w:snapToGrid w:val="0"/>
        <w:spacing w:before="0"/>
        <w:ind w:firstLine="480"/>
        <w:outlineLvl w:val="2"/>
        <w:rPr>
          <w:rFonts w:ascii="宋体" w:hAnsi="宋体" w:cs="宋体"/>
          <w:color w:val="auto"/>
          <w:highlight w:val="none"/>
        </w:rPr>
      </w:pPr>
      <w:bookmarkStart w:id="16" w:name="_Toc27797"/>
      <w:r>
        <w:rPr>
          <w:rFonts w:hint="eastAsia" w:ascii="宋体" w:hAnsi="宋体" w:cs="宋体"/>
          <w:bCs/>
          <w:color w:val="auto"/>
          <w:highlight w:val="none"/>
        </w:rPr>
        <w:t>合同履约期限：</w:t>
      </w:r>
      <w:bookmarkEnd w:id="16"/>
      <w:r>
        <w:rPr>
          <w:rFonts w:hint="eastAsia" w:ascii="宋体" w:hAnsi="宋体" w:cs="宋体"/>
          <w:bCs/>
          <w:color w:val="auto"/>
          <w:szCs w:val="21"/>
          <w:highlight w:val="none"/>
        </w:rPr>
        <w:t>自合同签订生效后开始至双方合同义务完全履行后截止。</w:t>
      </w:r>
      <w:r>
        <w:rPr>
          <w:rFonts w:hint="eastAsia" w:ascii="宋体" w:hAnsi="宋体" w:cs="宋体"/>
          <w:b/>
          <w:color w:val="auto"/>
          <w:highlight w:val="none"/>
        </w:rPr>
        <w:t xml:space="preserve"> </w:t>
      </w:r>
    </w:p>
    <w:p w14:paraId="268E497D">
      <w:pPr>
        <w:pStyle w:val="8"/>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p>
    <w:p w14:paraId="58614DE6">
      <w:pPr>
        <w:spacing w:line="360" w:lineRule="auto"/>
        <w:outlineLvl w:val="1"/>
        <w:rPr>
          <w:rFonts w:ascii="宋体" w:hAnsi="宋体" w:cs="宋体"/>
          <w:b/>
          <w:color w:val="auto"/>
          <w:sz w:val="24"/>
          <w:highlight w:val="none"/>
        </w:rPr>
      </w:pPr>
      <w:bookmarkStart w:id="17" w:name="_Toc23184"/>
      <w:r>
        <w:rPr>
          <w:rFonts w:hint="eastAsia" w:ascii="宋体" w:hAnsi="宋体" w:cs="宋体"/>
          <w:b/>
          <w:color w:val="auto"/>
          <w:sz w:val="24"/>
          <w:highlight w:val="none"/>
        </w:rPr>
        <w:t>二、</w:t>
      </w:r>
      <w:bookmarkStart w:id="18" w:name="_Hlk101132948"/>
      <w:r>
        <w:rPr>
          <w:rFonts w:hint="eastAsia" w:ascii="宋体" w:hAnsi="宋体" w:cs="宋体"/>
          <w:b/>
          <w:color w:val="auto"/>
          <w:sz w:val="24"/>
          <w:highlight w:val="none"/>
        </w:rPr>
        <w:t>申请人的资格要求</w:t>
      </w:r>
      <w:bookmarkEnd w:id="18"/>
      <w:r>
        <w:rPr>
          <w:rFonts w:hint="eastAsia" w:ascii="宋体" w:hAnsi="宋体" w:cs="宋体"/>
          <w:b/>
          <w:color w:val="auto"/>
          <w:sz w:val="24"/>
          <w:highlight w:val="none"/>
        </w:rPr>
        <w:t>：</w:t>
      </w:r>
      <w:bookmarkEnd w:id="17"/>
    </w:p>
    <w:p w14:paraId="5E62FA9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cs="宋体"/>
          <w:color w:val="auto"/>
          <w:sz w:val="24"/>
          <w:highlight w:val="none"/>
        </w:rPr>
        <w:t>重大税收违法失信主体</w:t>
      </w:r>
      <w:r>
        <w:rPr>
          <w:rFonts w:hint="eastAsia" w:ascii="宋体" w:hAnsi="宋体" w:cs="宋体"/>
          <w:snapToGrid w:val="0"/>
          <w:color w:val="auto"/>
          <w:kern w:val="28"/>
          <w:sz w:val="24"/>
          <w:szCs w:val="20"/>
          <w:highlight w:val="none"/>
        </w:rPr>
        <w:t>、政府采购严重违法失信行为记录名单；</w:t>
      </w:r>
    </w:p>
    <w:p w14:paraId="76064502">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2.落实政府采购政策需满足的资格要求：</w:t>
      </w:r>
      <w:r>
        <w:rPr>
          <w:rFonts w:hint="eastAsia" w:ascii="宋体" w:hAnsi="宋体" w:cs="宋体"/>
          <w:snapToGrid w:val="0"/>
          <w:color w:val="auto"/>
          <w:kern w:val="28"/>
          <w:sz w:val="24"/>
          <w:szCs w:val="20"/>
          <w:highlight w:val="none"/>
          <w:lang w:val="en-US" w:eastAsia="zh-CN"/>
        </w:rPr>
        <w:t>无</w:t>
      </w:r>
      <w:r>
        <w:rPr>
          <w:rFonts w:hint="eastAsia" w:ascii="宋体" w:hAnsi="宋体" w:cs="宋体"/>
          <w:snapToGrid w:val="0"/>
          <w:color w:val="auto"/>
          <w:kern w:val="28"/>
          <w:sz w:val="24"/>
          <w:szCs w:val="20"/>
          <w:highlight w:val="none"/>
        </w:rPr>
        <w:t>。</w:t>
      </w:r>
    </w:p>
    <w:p w14:paraId="04049FC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3.本项目的特定资格要求：</w:t>
      </w:r>
      <w:r>
        <w:rPr>
          <w:rFonts w:hint="eastAsia" w:ascii="宋体" w:hAnsi="宋体" w:cs="宋体"/>
          <w:color w:val="auto"/>
          <w:sz w:val="24"/>
          <w:highlight w:val="none"/>
          <w:lang w:val="en-US" w:eastAsia="zh-CN"/>
        </w:rPr>
        <w:t>无；</w:t>
      </w:r>
    </w:p>
    <w:p w14:paraId="1E75C0CA">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Start w:id="19" w:name="_Toc15435"/>
    </w:p>
    <w:p w14:paraId="5AD12DDB">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三、获取招标文件</w:t>
      </w:r>
      <w:bookmarkEnd w:id="19"/>
      <w:r>
        <w:rPr>
          <w:rFonts w:hint="eastAsia" w:ascii="宋体" w:hAnsi="宋体" w:cs="宋体"/>
          <w:b/>
          <w:color w:val="auto"/>
          <w:sz w:val="24"/>
          <w:highlight w:val="none"/>
        </w:rPr>
        <w:t xml:space="preserve"> </w:t>
      </w:r>
    </w:p>
    <w:p w14:paraId="7F4E8AAD">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时间：</w:t>
      </w:r>
      <w:r>
        <w:rPr>
          <w:rFonts w:hint="eastAsia" w:ascii="宋体" w:hAnsi="宋体" w:cs="宋体"/>
          <w:bCs/>
          <w:color w:val="auto"/>
          <w:sz w:val="24"/>
          <w:highlight w:val="none"/>
          <w:u w:val="single"/>
        </w:rPr>
        <w:t>202</w:t>
      </w:r>
      <w:r>
        <w:rPr>
          <w:rFonts w:hint="eastAsia" w:ascii="宋体" w:hAnsi="宋体" w:cs="宋体"/>
          <w:bCs/>
          <w:color w:val="auto"/>
          <w:sz w:val="24"/>
          <w:highlight w:val="none"/>
          <w:u w:val="single"/>
          <w:lang w:val="en-US" w:eastAsia="zh-CN"/>
        </w:rPr>
        <w:t>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1</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24</w:t>
      </w:r>
      <w:bookmarkStart w:id="457" w:name="_GoBack"/>
      <w:bookmarkEnd w:id="457"/>
      <w:r>
        <w:rPr>
          <w:rFonts w:hint="eastAsia" w:ascii="宋体" w:hAnsi="宋体" w:cs="宋体"/>
          <w:bCs/>
          <w:color w:val="auto"/>
          <w:sz w:val="24"/>
          <w:highlight w:val="none"/>
          <w:u w:val="single"/>
        </w:rPr>
        <w:t>日</w:t>
      </w:r>
      <w:r>
        <w:rPr>
          <w:rFonts w:hint="eastAsia" w:ascii="宋体" w:hAnsi="宋体" w:cs="宋体"/>
          <w:bCs/>
          <w:color w:val="auto"/>
          <w:sz w:val="24"/>
          <w:highlight w:val="none"/>
        </w:rPr>
        <w:t>至</w:t>
      </w:r>
      <w:r>
        <w:rPr>
          <w:rFonts w:hint="eastAsia" w:ascii="宋体" w:hAnsi="宋体" w:cs="宋体"/>
          <w:bCs/>
          <w:color w:val="auto"/>
          <w:sz w:val="24"/>
          <w:highlight w:val="none"/>
          <w:u w:val="single"/>
        </w:rPr>
        <w:t>20</w:t>
      </w:r>
      <w:r>
        <w:rPr>
          <w:rFonts w:hint="eastAsia" w:ascii="宋体" w:hAnsi="宋体" w:cs="宋体"/>
          <w:bCs/>
          <w:color w:val="auto"/>
          <w:sz w:val="24"/>
          <w:highlight w:val="none"/>
          <w:u w:val="single"/>
          <w:lang w:val="en-US" w:eastAsia="zh-CN"/>
        </w:rPr>
        <w:t>25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2</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7</w:t>
      </w:r>
      <w:r>
        <w:rPr>
          <w:rFonts w:hint="eastAsia" w:ascii="宋体" w:hAnsi="宋体" w:cs="宋体"/>
          <w:bCs/>
          <w:color w:val="auto"/>
          <w:sz w:val="24"/>
          <w:highlight w:val="none"/>
          <w:u w:val="single"/>
        </w:rPr>
        <w:t>日</w:t>
      </w:r>
      <w:r>
        <w:rPr>
          <w:rFonts w:hint="eastAsia" w:ascii="宋体" w:hAnsi="宋体" w:cs="宋体"/>
          <w:bCs/>
          <w:color w:val="auto"/>
          <w:sz w:val="24"/>
          <w:highlight w:val="none"/>
        </w:rPr>
        <w:t>，每天上午00:00至12:00 ，下午12:00至23:59（北京时间，线上获取法定节假日均可，线下获取文件法定节假日除外）</w:t>
      </w:r>
    </w:p>
    <w:p w14:paraId="184699BF">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地点（网址）：政采云平台（https://www.zcygov.cn/） </w:t>
      </w:r>
    </w:p>
    <w:p w14:paraId="67DC4120">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方式：供应商登录政采云平台https://www.zcygov.cn/在线申请获取采购文件（进入“项目采购”应用，在获取采购文件菜单中选择项目，申请获取采购文件）。 </w:t>
      </w:r>
    </w:p>
    <w:p w14:paraId="2DA59347">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售价（元）：0 </w:t>
      </w:r>
      <w:r>
        <w:rPr>
          <w:rFonts w:hint="eastAsia" w:ascii="宋体" w:hAnsi="宋体" w:cs="宋体"/>
          <w:bCs/>
          <w:color w:val="auto"/>
          <w:sz w:val="24"/>
          <w:highlight w:val="none"/>
        </w:rPr>
        <w:tab/>
      </w:r>
    </w:p>
    <w:p w14:paraId="45A1BCCB">
      <w:pPr>
        <w:spacing w:line="360" w:lineRule="auto"/>
        <w:outlineLvl w:val="1"/>
        <w:rPr>
          <w:rFonts w:ascii="宋体" w:hAnsi="宋体" w:cs="宋体"/>
          <w:b/>
          <w:color w:val="auto"/>
          <w:sz w:val="24"/>
          <w:highlight w:val="none"/>
        </w:rPr>
      </w:pPr>
      <w:bookmarkStart w:id="20" w:name="_Toc18115"/>
      <w:r>
        <w:rPr>
          <w:rFonts w:hint="eastAsia" w:ascii="宋体" w:hAnsi="宋体" w:cs="宋体"/>
          <w:b/>
          <w:color w:val="auto"/>
          <w:sz w:val="24"/>
          <w:highlight w:val="none"/>
        </w:rPr>
        <w:t>四、提交投标文件截止时间、开标时间和地点</w:t>
      </w:r>
      <w:bookmarkEnd w:id="20"/>
    </w:p>
    <w:p w14:paraId="5E82AC57">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提交投标文件截止时间：</w:t>
      </w:r>
      <w:r>
        <w:rPr>
          <w:rFonts w:hint="eastAsia" w:ascii="宋体" w:hAnsi="宋体" w:cs="宋体"/>
          <w:bCs/>
          <w:color w:val="auto"/>
          <w:sz w:val="24"/>
          <w:highlight w:val="none"/>
          <w:u w:val="single"/>
        </w:rPr>
        <w:t xml:space="preserve"> 202</w:t>
      </w:r>
      <w:r>
        <w:rPr>
          <w:rFonts w:hint="eastAsia" w:ascii="宋体" w:hAnsi="宋体" w:cs="宋体"/>
          <w:bCs/>
          <w:color w:val="auto"/>
          <w:sz w:val="24"/>
          <w:highlight w:val="none"/>
          <w:u w:val="single"/>
          <w:lang w:val="en-US" w:eastAsia="zh-CN"/>
        </w:rPr>
        <w:t>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2</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13</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30</w:t>
      </w:r>
      <w:r>
        <w:rPr>
          <w:rFonts w:hint="eastAsia" w:ascii="宋体" w:hAnsi="宋体" w:cs="宋体"/>
          <w:bCs/>
          <w:color w:val="auto"/>
          <w:sz w:val="24"/>
          <w:highlight w:val="none"/>
          <w:u w:val="single"/>
        </w:rPr>
        <w:t>分</w:t>
      </w:r>
      <w:r>
        <w:rPr>
          <w:rFonts w:hint="eastAsia" w:ascii="宋体" w:hAnsi="宋体" w:cs="宋体"/>
          <w:bCs/>
          <w:color w:val="auto"/>
          <w:sz w:val="24"/>
          <w:highlight w:val="none"/>
        </w:rPr>
        <w:t>（北京时间）</w:t>
      </w:r>
    </w:p>
    <w:p w14:paraId="04E15207">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投标地点（网址）：政采云平台（https://www.zcygov.cn/） </w:t>
      </w:r>
    </w:p>
    <w:p w14:paraId="5E12DB6B">
      <w:pPr>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开标时间：</w:t>
      </w:r>
      <w:r>
        <w:rPr>
          <w:rFonts w:hint="eastAsia" w:ascii="宋体" w:hAnsi="宋体" w:cs="宋体"/>
          <w:bCs/>
          <w:color w:val="auto"/>
          <w:sz w:val="24"/>
          <w:highlight w:val="none"/>
          <w:u w:val="single"/>
        </w:rPr>
        <w:t xml:space="preserve"> 202</w:t>
      </w:r>
      <w:r>
        <w:rPr>
          <w:rFonts w:hint="eastAsia" w:ascii="宋体" w:hAnsi="宋体" w:cs="宋体"/>
          <w:bCs/>
          <w:color w:val="auto"/>
          <w:sz w:val="24"/>
          <w:highlight w:val="none"/>
          <w:u w:val="single"/>
          <w:lang w:val="en-US" w:eastAsia="zh-CN"/>
        </w:rPr>
        <w:t>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2</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13</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30</w:t>
      </w:r>
      <w:r>
        <w:rPr>
          <w:rFonts w:hint="eastAsia" w:ascii="宋体" w:hAnsi="宋体" w:cs="宋体"/>
          <w:bCs/>
          <w:color w:val="auto"/>
          <w:sz w:val="24"/>
          <w:highlight w:val="none"/>
          <w:u w:val="single"/>
        </w:rPr>
        <w:t>分</w:t>
      </w:r>
      <w:r>
        <w:rPr>
          <w:rFonts w:hint="eastAsia" w:ascii="宋体" w:hAnsi="宋体" w:cs="宋体"/>
          <w:bCs/>
          <w:color w:val="auto"/>
          <w:sz w:val="24"/>
          <w:highlight w:val="none"/>
        </w:rPr>
        <w:t>（北京时间）</w:t>
      </w:r>
    </w:p>
    <w:p w14:paraId="23F5CDE3">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开标地点（网址）：政采云平台（https://www.zcygov.cn/）</w:t>
      </w:r>
    </w:p>
    <w:p w14:paraId="1D751CC4">
      <w:pPr>
        <w:spacing w:line="360" w:lineRule="auto"/>
        <w:outlineLvl w:val="1"/>
        <w:rPr>
          <w:rFonts w:ascii="宋体" w:hAnsi="宋体" w:cs="宋体"/>
          <w:color w:val="auto"/>
          <w:sz w:val="24"/>
          <w:highlight w:val="none"/>
        </w:rPr>
      </w:pPr>
      <w:bookmarkStart w:id="21" w:name="_Toc16463"/>
      <w:r>
        <w:rPr>
          <w:rFonts w:hint="eastAsia" w:ascii="宋体" w:hAnsi="宋体" w:cs="宋体"/>
          <w:b/>
          <w:color w:val="auto"/>
          <w:sz w:val="24"/>
          <w:highlight w:val="none"/>
        </w:rPr>
        <w:t>五、公告期限</w:t>
      </w:r>
      <w:bookmarkEnd w:id="21"/>
      <w:r>
        <w:rPr>
          <w:rFonts w:hint="eastAsia" w:ascii="宋体" w:hAnsi="宋体" w:cs="宋体"/>
          <w:b/>
          <w:color w:val="auto"/>
          <w:sz w:val="24"/>
          <w:highlight w:val="none"/>
        </w:rPr>
        <w:t xml:space="preserve"> </w:t>
      </w:r>
    </w:p>
    <w:p w14:paraId="7DFA3C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FD2309B">
      <w:pPr>
        <w:spacing w:line="360" w:lineRule="auto"/>
        <w:outlineLvl w:val="1"/>
        <w:rPr>
          <w:rFonts w:ascii="宋体" w:hAnsi="宋体" w:cs="宋体"/>
          <w:b/>
          <w:color w:val="auto"/>
          <w:sz w:val="24"/>
          <w:highlight w:val="none"/>
        </w:rPr>
      </w:pPr>
      <w:bookmarkStart w:id="22" w:name="_Toc20735"/>
      <w:r>
        <w:rPr>
          <w:rFonts w:hint="eastAsia" w:ascii="宋体" w:hAnsi="宋体" w:cs="宋体"/>
          <w:b/>
          <w:color w:val="auto"/>
          <w:sz w:val="24"/>
          <w:highlight w:val="none"/>
        </w:rPr>
        <w:t>六、其他补充事宜</w:t>
      </w:r>
      <w:bookmarkEnd w:id="22"/>
    </w:p>
    <w:p w14:paraId="4B29C5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7C9FE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2.其他事项：</w:t>
      </w:r>
    </w:p>
    <w:p w14:paraId="2EB169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5CE6D7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章”、“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334EFF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7A6286CD">
      <w:pPr>
        <w:spacing w:line="360" w:lineRule="auto"/>
        <w:outlineLvl w:val="1"/>
        <w:rPr>
          <w:rFonts w:ascii="宋体" w:hAnsi="宋体" w:cs="宋体"/>
          <w:b/>
          <w:color w:val="auto"/>
          <w:sz w:val="24"/>
          <w:highlight w:val="none"/>
        </w:rPr>
      </w:pPr>
      <w:bookmarkStart w:id="23" w:name="_Toc3685"/>
      <w:r>
        <w:rPr>
          <w:rFonts w:hint="eastAsia" w:ascii="宋体" w:hAnsi="宋体" w:cs="宋体"/>
          <w:b/>
          <w:color w:val="auto"/>
          <w:sz w:val="24"/>
          <w:highlight w:val="none"/>
        </w:rPr>
        <w:t>七、对本次采购提出询问、质疑、投诉，请按以下方式联系</w:t>
      </w:r>
      <w:bookmarkEnd w:id="23"/>
    </w:p>
    <w:p w14:paraId="3A56196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1.采购人信息</w:t>
      </w:r>
    </w:p>
    <w:p w14:paraId="3EF8D87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名称：宁波市北仑区人民医院　</w:t>
      </w:r>
    </w:p>
    <w:p w14:paraId="0079E76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地址：宁波市北仑区庐山东路1288号  　　</w:t>
      </w:r>
    </w:p>
    <w:p w14:paraId="26028EF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7336FD2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王</w:t>
      </w:r>
      <w:r>
        <w:rPr>
          <w:rFonts w:hint="eastAsia" w:ascii="宋体" w:hAnsi="宋体" w:eastAsia="宋体" w:cs="宋体"/>
          <w:color w:val="auto"/>
          <w:sz w:val="24"/>
          <w:highlight w:val="none"/>
        </w:rPr>
        <w:t>老师</w:t>
      </w:r>
    </w:p>
    <w:p w14:paraId="778B01D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项目联系方式（询问）：0574-86776022</w:t>
      </w:r>
    </w:p>
    <w:p w14:paraId="2C237E1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质疑联系人：邬老师</w:t>
      </w:r>
    </w:p>
    <w:p w14:paraId="6D8C725B">
      <w:pPr>
        <w:spacing w:line="360" w:lineRule="auto"/>
        <w:ind w:firstLine="480"/>
        <w:rPr>
          <w:rFonts w:hint="default" w:ascii="宋体" w:hAnsi="宋体" w:cs="宋体"/>
          <w:bCs/>
          <w:color w:val="auto"/>
          <w:sz w:val="24"/>
          <w:highlight w:val="none"/>
          <w:u w:val="none"/>
          <w:lang w:val="en-US" w:eastAsia="zh-CN"/>
        </w:rPr>
      </w:pPr>
      <w:r>
        <w:rPr>
          <w:rFonts w:hint="eastAsia" w:ascii="宋体" w:hAnsi="宋体" w:eastAsia="宋体" w:cs="宋体"/>
          <w:color w:val="auto"/>
          <w:sz w:val="24"/>
          <w:highlight w:val="none"/>
        </w:rPr>
        <w:t>质疑联系方式：0574-86776022</w:t>
      </w:r>
    </w:p>
    <w:p w14:paraId="6497A277">
      <w:pPr>
        <w:pStyle w:val="81"/>
        <w:rPr>
          <w:color w:val="auto"/>
          <w:highlight w:val="none"/>
        </w:rPr>
      </w:pPr>
    </w:p>
    <w:p w14:paraId="048567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            </w:t>
      </w:r>
    </w:p>
    <w:p w14:paraId="260044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名称：宁波中基国际招标有限公司             </w:t>
      </w:r>
    </w:p>
    <w:p w14:paraId="50931E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地址：宁波市鄞州区天童南路666号中基大厦19楼             </w:t>
      </w:r>
    </w:p>
    <w:p w14:paraId="380025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传真：0574-87425386             </w:t>
      </w:r>
    </w:p>
    <w:p w14:paraId="41B9C1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项目联系人（询问）：王鸯鸯、戚鸿涛</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徐承</w:t>
      </w:r>
      <w:r>
        <w:rPr>
          <w:rFonts w:hint="eastAsia" w:ascii="宋体" w:hAnsi="宋体" w:eastAsia="宋体" w:cs="宋体"/>
          <w:color w:val="auto"/>
          <w:sz w:val="24"/>
          <w:highlight w:val="none"/>
        </w:rPr>
        <w:t>               </w:t>
      </w:r>
    </w:p>
    <w:p w14:paraId="7BEA297E">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项目联系方式（询问）：0574-88090157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87425387</w:t>
      </w:r>
    </w:p>
    <w:p w14:paraId="2379C4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张亮</w:t>
      </w:r>
      <w:r>
        <w:rPr>
          <w:rFonts w:hint="eastAsia" w:ascii="宋体" w:hAnsi="宋体" w:cs="宋体"/>
          <w:color w:val="auto"/>
          <w:sz w:val="24"/>
          <w:highlight w:val="none"/>
        </w:rPr>
        <w:t>             </w:t>
      </w:r>
    </w:p>
    <w:p w14:paraId="3F6D5BC3">
      <w:pPr>
        <w:spacing w:line="360" w:lineRule="auto"/>
        <w:ind w:firstLine="480" w:firstLineChars="200"/>
        <w:rPr>
          <w:rFonts w:ascii="宋体" w:hAnsi="宋体" w:cs="宋体"/>
          <w:color w:val="auto"/>
          <w:szCs w:val="21"/>
          <w:highlight w:val="none"/>
        </w:rPr>
      </w:pPr>
      <w:r>
        <w:rPr>
          <w:rFonts w:hint="eastAsia" w:ascii="宋体" w:hAnsi="宋体" w:cs="宋体"/>
          <w:color w:val="auto"/>
          <w:sz w:val="24"/>
          <w:highlight w:val="none"/>
        </w:rPr>
        <w:t>质疑联系方式：0574-</w:t>
      </w:r>
      <w:r>
        <w:rPr>
          <w:rFonts w:hint="eastAsia" w:ascii="宋体" w:hAnsi="宋体" w:cs="宋体"/>
          <w:color w:val="auto"/>
          <w:sz w:val="24"/>
          <w:highlight w:val="none"/>
          <w:lang w:val="en-US" w:eastAsia="zh-CN"/>
        </w:rPr>
        <w:t>88090213</w:t>
      </w:r>
      <w:r>
        <w:rPr>
          <w:rFonts w:hint="eastAsia" w:ascii="宋体" w:hAnsi="宋体" w:cs="宋体"/>
          <w:color w:val="auto"/>
          <w:sz w:val="24"/>
          <w:highlight w:val="none"/>
        </w:rPr>
        <w:t> 　　　</w:t>
      </w:r>
      <w:r>
        <w:rPr>
          <w:rFonts w:hint="eastAsia" w:ascii="宋体" w:hAnsi="宋体" w:cs="宋体"/>
          <w:color w:val="auto"/>
          <w:szCs w:val="21"/>
          <w:highlight w:val="none"/>
        </w:rPr>
        <w:t>　　　     </w:t>
      </w:r>
    </w:p>
    <w:p w14:paraId="4A2D8F8B">
      <w:pPr>
        <w:spacing w:line="360" w:lineRule="auto"/>
        <w:ind w:left="630" w:leftChars="200" w:hanging="210" w:hangingChars="100"/>
        <w:rPr>
          <w:rFonts w:ascii="宋体" w:hAnsi="宋体" w:cs="宋体"/>
          <w:color w:val="auto"/>
          <w:szCs w:val="21"/>
          <w:highlight w:val="none"/>
        </w:rPr>
      </w:pPr>
      <w:r>
        <w:rPr>
          <w:rFonts w:hint="eastAsia" w:ascii="宋体" w:hAnsi="宋体" w:cs="宋体"/>
          <w:color w:val="auto"/>
          <w:szCs w:val="21"/>
          <w:highlight w:val="none"/>
        </w:rPr>
        <w:t xml:space="preserve">   </w:t>
      </w:r>
    </w:p>
    <w:p w14:paraId="56EDAA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3.同级政府采购监督管理部门            </w:t>
      </w:r>
    </w:p>
    <w:p w14:paraId="7C62C1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val="en"/>
        </w:rPr>
        <w:t>北仑区财政局政府采购办公室</w:t>
      </w:r>
    </w:p>
    <w:p w14:paraId="5BE53A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地址：宁波市</w:t>
      </w:r>
      <w:r>
        <w:rPr>
          <w:rFonts w:hint="eastAsia" w:ascii="宋体" w:hAnsi="宋体" w:cs="宋体"/>
          <w:color w:val="auto"/>
          <w:sz w:val="24"/>
          <w:highlight w:val="none"/>
          <w:lang w:val="en"/>
        </w:rPr>
        <w:t>北仑区长江路1166号</w:t>
      </w:r>
    </w:p>
    <w:p w14:paraId="0DD660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14:paraId="36FD9A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：严老师</w:t>
      </w:r>
    </w:p>
    <w:p w14:paraId="639AB65E">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rPr>
        <w:t>监督投诉电话：</w:t>
      </w:r>
      <w:r>
        <w:rPr>
          <w:rFonts w:hint="eastAsia" w:ascii="宋体" w:hAnsi="宋体" w:cs="宋体"/>
          <w:color w:val="auto"/>
          <w:sz w:val="24"/>
          <w:highlight w:val="none"/>
          <w:lang w:val="en"/>
        </w:rPr>
        <w:t>0574-89383756</w:t>
      </w:r>
    </w:p>
    <w:p w14:paraId="446B4211">
      <w:pPr>
        <w:pStyle w:val="3"/>
        <w:rPr>
          <w:color w:val="auto"/>
          <w:sz w:val="21"/>
          <w:szCs w:val="21"/>
          <w:highlight w:val="none"/>
        </w:rPr>
      </w:pPr>
    </w:p>
    <w:p w14:paraId="1CFD27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16264848">
      <w:pPr>
        <w:spacing w:line="360" w:lineRule="auto"/>
        <w:ind w:firstLine="420" w:firstLineChars="200"/>
        <w:rPr>
          <w:rFonts w:hAnsi="宋体" w:cs="宋体"/>
          <w:b/>
          <w:color w:val="auto"/>
          <w:sz w:val="36"/>
          <w:szCs w:val="20"/>
          <w:highlight w:val="none"/>
        </w:rPr>
      </w:pPr>
      <w:r>
        <w:rPr>
          <w:rFonts w:hint="eastAsia" w:ascii="宋体" w:hAnsi="宋体" w:cs="宋体"/>
          <w:color w:val="auto"/>
          <w:szCs w:val="21"/>
          <w:highlight w:val="none"/>
        </w:rPr>
        <w:t>CA问题联系电话（人工）：汇信CA 400-888-4636；天谷CA 400-087-8198。</w:t>
      </w:r>
      <w:r>
        <w:rPr>
          <w:rFonts w:hint="eastAsia" w:hAnsi="宋体" w:cs="宋体"/>
          <w:color w:val="auto"/>
          <w:szCs w:val="21"/>
          <w:highlight w:val="none"/>
        </w:rPr>
        <w:t xml:space="preserve">  </w:t>
      </w: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5B9E00EA">
      <w:pPr>
        <w:pStyle w:val="6"/>
        <w:rPr>
          <w:rFonts w:ascii="宋体"/>
          <w:snapToGrid w:val="0"/>
          <w:color w:val="auto"/>
          <w:highlight w:val="none"/>
        </w:rPr>
      </w:pPr>
      <w:r>
        <w:rPr>
          <w:color w:val="auto"/>
          <w:highlight w:val="none"/>
        </w:rPr>
        <w:br w:type="page"/>
      </w:r>
    </w:p>
    <w:p w14:paraId="432D819C">
      <w:pPr>
        <w:adjustRightInd/>
        <w:spacing w:line="360" w:lineRule="auto"/>
        <w:jc w:val="center"/>
        <w:outlineLvl w:val="0"/>
        <w:rPr>
          <w:rFonts w:ascii="宋体" w:hAnsi="宋体" w:cs="宋体"/>
          <w:b/>
          <w:color w:val="auto"/>
          <w:sz w:val="36"/>
          <w:szCs w:val="20"/>
          <w:highlight w:val="none"/>
        </w:rPr>
      </w:pPr>
      <w:bookmarkStart w:id="24" w:name="_Toc1745"/>
      <w:bookmarkStart w:id="25" w:name="_Toc31038"/>
      <w:r>
        <w:rPr>
          <w:rFonts w:hint="eastAsia" w:ascii="宋体" w:hAnsi="宋体" w:cs="宋体"/>
          <w:b/>
          <w:color w:val="auto"/>
          <w:sz w:val="36"/>
          <w:szCs w:val="20"/>
          <w:highlight w:val="none"/>
        </w:rPr>
        <w:t>第二部分</w:t>
      </w:r>
      <w:bookmarkEnd w:id="12"/>
      <w:r>
        <w:rPr>
          <w:rFonts w:hint="eastAsia" w:ascii="宋体" w:hAnsi="宋体" w:cs="宋体"/>
          <w:b/>
          <w:color w:val="auto"/>
          <w:sz w:val="36"/>
          <w:szCs w:val="20"/>
          <w:highlight w:val="none"/>
        </w:rPr>
        <w:t xml:space="preserve"> 投标人须知</w:t>
      </w:r>
      <w:bookmarkEnd w:id="13"/>
      <w:bookmarkEnd w:id="24"/>
      <w:bookmarkEnd w:id="25"/>
    </w:p>
    <w:p w14:paraId="56CEBE84">
      <w:pPr>
        <w:adjustRightInd/>
        <w:spacing w:line="360" w:lineRule="auto"/>
        <w:ind w:firstLine="3845" w:firstLineChars="1197"/>
        <w:outlineLvl w:val="1"/>
        <w:rPr>
          <w:rFonts w:ascii="宋体" w:hAnsi="宋体" w:cs="宋体"/>
          <w:b/>
          <w:color w:val="auto"/>
          <w:sz w:val="32"/>
          <w:szCs w:val="20"/>
          <w:highlight w:val="none"/>
        </w:rPr>
      </w:pPr>
      <w:bookmarkStart w:id="26" w:name="_Toc17934"/>
      <w:r>
        <w:rPr>
          <w:rFonts w:hint="eastAsia" w:ascii="宋体" w:hAnsi="宋体" w:cs="宋体"/>
          <w:b/>
          <w:color w:val="auto"/>
          <w:sz w:val="32"/>
          <w:szCs w:val="20"/>
          <w:highlight w:val="none"/>
        </w:rPr>
        <w:t>前附表</w:t>
      </w:r>
      <w:bookmarkEnd w:id="26"/>
    </w:p>
    <w:tbl>
      <w:tblPr>
        <w:tblStyle w:val="64"/>
        <w:tblW w:w="101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39"/>
        <w:gridCol w:w="2325"/>
        <w:gridCol w:w="7018"/>
      </w:tblGrid>
      <w:tr w14:paraId="3BCCB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839" w:type="dxa"/>
            <w:tcBorders>
              <w:top w:val="single" w:color="auto" w:sz="4" w:space="0"/>
              <w:left w:val="single" w:color="auto" w:sz="4" w:space="0"/>
              <w:bottom w:val="single" w:color="auto" w:sz="4" w:space="0"/>
              <w:right w:val="single" w:color="auto" w:sz="4" w:space="0"/>
            </w:tcBorders>
          </w:tcPr>
          <w:p w14:paraId="6F58DF9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25" w:type="dxa"/>
            <w:tcBorders>
              <w:top w:val="single" w:color="000000" w:sz="8" w:space="0"/>
              <w:left w:val="single" w:color="auto" w:sz="4" w:space="0"/>
              <w:bottom w:val="single" w:color="000000" w:sz="8" w:space="0"/>
              <w:right w:val="single" w:color="000000" w:sz="8" w:space="0"/>
            </w:tcBorders>
            <w:vAlign w:val="center"/>
          </w:tcPr>
          <w:p w14:paraId="14142BF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7018" w:type="dxa"/>
            <w:tcBorders>
              <w:top w:val="single" w:color="000000" w:sz="8" w:space="0"/>
              <w:left w:val="single" w:color="000000" w:sz="2" w:space="0"/>
              <w:bottom w:val="single" w:color="000000" w:sz="8" w:space="0"/>
              <w:right w:val="single" w:color="000000" w:sz="8" w:space="0"/>
            </w:tcBorders>
            <w:vAlign w:val="center"/>
          </w:tcPr>
          <w:p w14:paraId="41DD19D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59E0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8" w:hRule="atLeast"/>
          <w:tblHeader/>
          <w:jc w:val="center"/>
        </w:trPr>
        <w:tc>
          <w:tcPr>
            <w:tcW w:w="839" w:type="dxa"/>
            <w:tcBorders>
              <w:top w:val="single" w:color="auto" w:sz="4" w:space="0"/>
              <w:left w:val="single" w:color="auto" w:sz="4" w:space="0"/>
              <w:bottom w:val="single" w:color="auto" w:sz="4" w:space="0"/>
              <w:right w:val="single" w:color="auto" w:sz="4" w:space="0"/>
            </w:tcBorders>
            <w:vAlign w:val="center"/>
          </w:tcPr>
          <w:p w14:paraId="4FDC5678">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w:t>
            </w:r>
          </w:p>
        </w:tc>
        <w:tc>
          <w:tcPr>
            <w:tcW w:w="2325" w:type="dxa"/>
            <w:tcBorders>
              <w:top w:val="single" w:color="000000" w:sz="8" w:space="0"/>
              <w:left w:val="single" w:color="auto" w:sz="4" w:space="0"/>
              <w:bottom w:val="single" w:color="000000" w:sz="8" w:space="0"/>
              <w:right w:val="single" w:color="000000" w:sz="8" w:space="0"/>
            </w:tcBorders>
            <w:vAlign w:val="center"/>
          </w:tcPr>
          <w:p w14:paraId="3ADAA9E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7018" w:type="dxa"/>
            <w:tcBorders>
              <w:top w:val="single" w:color="000000" w:sz="8" w:space="0"/>
              <w:left w:val="single" w:color="000000" w:sz="2" w:space="0"/>
              <w:bottom w:val="single" w:color="000000" w:sz="8" w:space="0"/>
              <w:right w:val="single" w:color="000000" w:sz="8" w:space="0"/>
            </w:tcBorders>
            <w:vAlign w:val="center"/>
          </w:tcPr>
          <w:p w14:paraId="07A9A6D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服务类</w:t>
            </w:r>
          </w:p>
        </w:tc>
      </w:tr>
      <w:tr w14:paraId="2FA07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839" w:type="dxa"/>
            <w:tcBorders>
              <w:top w:val="single" w:color="auto" w:sz="4" w:space="0"/>
              <w:left w:val="single" w:color="auto" w:sz="4" w:space="0"/>
              <w:bottom w:val="single" w:color="auto" w:sz="4" w:space="0"/>
              <w:right w:val="single" w:color="auto" w:sz="4" w:space="0"/>
            </w:tcBorders>
            <w:vAlign w:val="center"/>
          </w:tcPr>
          <w:p w14:paraId="512A915D">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2</w:t>
            </w:r>
          </w:p>
        </w:tc>
        <w:tc>
          <w:tcPr>
            <w:tcW w:w="2325" w:type="dxa"/>
            <w:tcBorders>
              <w:top w:val="single" w:color="000000" w:sz="8" w:space="0"/>
              <w:left w:val="single" w:color="auto" w:sz="4" w:space="0"/>
              <w:bottom w:val="single" w:color="000000" w:sz="8" w:space="0"/>
              <w:right w:val="single" w:color="000000" w:sz="8" w:space="0"/>
            </w:tcBorders>
            <w:vAlign w:val="center"/>
          </w:tcPr>
          <w:p w14:paraId="27F25EC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7018" w:type="dxa"/>
            <w:tcBorders>
              <w:top w:val="single" w:color="000000" w:sz="8" w:space="0"/>
              <w:left w:val="single" w:color="000000" w:sz="2" w:space="0"/>
              <w:bottom w:val="single" w:color="000000" w:sz="8" w:space="0"/>
              <w:right w:val="single" w:color="000000" w:sz="8" w:space="0"/>
            </w:tcBorders>
            <w:vAlign w:val="center"/>
          </w:tcPr>
          <w:p w14:paraId="0F2272F3">
            <w:pPr>
              <w:numPr>
                <w:ilvl w:val="0"/>
                <w:numId w:val="0"/>
              </w:numPr>
              <w:snapToGrid w:val="0"/>
              <w:spacing w:line="360" w:lineRule="auto"/>
              <w:rPr>
                <w:rFonts w:hint="default" w:ascii="宋体" w:hAnsi="宋体" w:eastAsia="宋体" w:cs="宋体"/>
                <w:b/>
                <w:bCs/>
                <w:color w:val="auto"/>
                <w:kern w:val="28"/>
                <w:sz w:val="24"/>
                <w:highlight w:val="none"/>
                <w:lang w:val="en-US" w:eastAsia="zh-CN"/>
              </w:rPr>
            </w:pPr>
            <w:r>
              <w:rPr>
                <w:rFonts w:hint="eastAsia" w:ascii="宋体" w:hAnsi="宋体" w:cs="宋体"/>
                <w:b/>
                <w:bCs/>
                <w:color w:val="auto"/>
                <w:kern w:val="28"/>
                <w:sz w:val="24"/>
                <w:highlight w:val="none"/>
                <w:lang w:val="en-US" w:eastAsia="zh-CN"/>
              </w:rPr>
              <w:t>本项目为非专门面向中小企业采购。</w:t>
            </w:r>
          </w:p>
          <w:p w14:paraId="5FF664EF">
            <w:pPr>
              <w:numPr>
                <w:ilvl w:val="0"/>
                <w:numId w:val="0"/>
              </w:numPr>
              <w:snapToGrid w:val="0"/>
              <w:spacing w:line="360" w:lineRule="auto"/>
              <w:rPr>
                <w:rFonts w:ascii="宋体" w:hAnsi="宋体" w:cs="宋体"/>
                <w:color w:val="auto"/>
                <w:kern w:val="28"/>
                <w:sz w:val="24"/>
                <w:highlight w:val="none"/>
              </w:rPr>
            </w:pPr>
            <w:r>
              <w:rPr>
                <w:rFonts w:hint="eastAsia" w:ascii="宋体" w:hAnsi="宋体" w:cs="宋体"/>
                <w:color w:val="auto"/>
                <w:kern w:val="0"/>
                <w:sz w:val="24"/>
                <w:highlight w:val="none"/>
              </w:rPr>
              <w:t>标的</w:t>
            </w:r>
            <w:r>
              <w:rPr>
                <w:rFonts w:hint="eastAsia" w:ascii="宋体" w:hAnsi="宋体" w:cs="宋体"/>
                <w:bCs/>
                <w:color w:val="auto"/>
                <w:sz w:val="24"/>
                <w:highlight w:val="none"/>
                <w:u w:val="single"/>
              </w:rPr>
              <w:t>标本检测外送（特殊检验）</w:t>
            </w:r>
            <w:r>
              <w:rPr>
                <w:rFonts w:hint="eastAsia" w:ascii="宋体" w:hAnsi="宋体" w:cs="宋体"/>
                <w:bCs/>
                <w:color w:val="auto"/>
                <w:sz w:val="24"/>
                <w:highlight w:val="none"/>
                <w:u w:val="none"/>
                <w:lang w:val="en-US" w:eastAsia="zh-CN"/>
              </w:rPr>
              <w:t>，</w:t>
            </w:r>
            <w:r>
              <w:rPr>
                <w:rFonts w:hint="eastAsia" w:ascii="宋体" w:hAnsi="宋体" w:cs="宋体"/>
                <w:color w:val="auto"/>
                <w:kern w:val="0"/>
                <w:sz w:val="24"/>
                <w:highlight w:val="none"/>
              </w:rPr>
              <w:t>属于</w:t>
            </w:r>
            <w:r>
              <w:rPr>
                <w:rFonts w:hint="eastAsia" w:ascii="宋体" w:hAnsi="宋体" w:cs="宋体"/>
                <w:bCs/>
                <w:color w:val="auto"/>
                <w:sz w:val="24"/>
                <w:highlight w:val="none"/>
                <w:u w:val="single"/>
              </w:rPr>
              <w:t>其他未列明行业</w:t>
            </w:r>
            <w:r>
              <w:rPr>
                <w:rFonts w:hint="eastAsia" w:ascii="宋体" w:hAnsi="宋体" w:cs="宋体"/>
                <w:color w:val="auto"/>
                <w:kern w:val="0"/>
                <w:sz w:val="24"/>
                <w:highlight w:val="none"/>
              </w:rPr>
              <w:t>；</w:t>
            </w:r>
            <w:bookmarkStart w:id="27" w:name="_Toc15395"/>
          </w:p>
          <w:p w14:paraId="7D9C199F">
            <w:pPr>
              <w:snapToGrid w:val="0"/>
              <w:spacing w:line="360" w:lineRule="auto"/>
              <w:rPr>
                <w:rFonts w:hint="eastAsia" w:ascii="宋体" w:hAnsi="宋体" w:cs="宋体"/>
                <w:color w:val="auto"/>
                <w:kern w:val="28"/>
                <w:sz w:val="24"/>
                <w:highlight w:val="none"/>
              </w:rPr>
            </w:pPr>
            <w:r>
              <w:rPr>
                <w:rFonts w:hint="eastAsia" w:ascii="宋体" w:hAnsi="宋体" w:cs="宋体"/>
                <w:color w:val="auto"/>
                <w:kern w:val="28"/>
                <w:sz w:val="24"/>
                <w:highlight w:val="none"/>
              </w:rPr>
              <w:t>备注：《关于印发中小企业划型标准规定的通知》（工信</w:t>
            </w:r>
            <w:bookmarkEnd w:id="27"/>
            <w:bookmarkStart w:id="28" w:name="_Toc11782"/>
            <w:r>
              <w:rPr>
                <w:rFonts w:hint="eastAsia" w:ascii="宋体" w:hAnsi="宋体" w:cs="宋体"/>
                <w:color w:val="auto"/>
                <w:kern w:val="28"/>
                <w:sz w:val="24"/>
                <w:highlight w:val="none"/>
              </w:rPr>
              <w:t>部联企业〔2011〕300）：</w:t>
            </w:r>
            <w:bookmarkEnd w:id="28"/>
          </w:p>
          <w:p w14:paraId="12296CF4">
            <w:pPr>
              <w:snapToGrid w:val="0"/>
              <w:spacing w:line="360" w:lineRule="auto"/>
              <w:rPr>
                <w:rFonts w:ascii="宋体" w:hAnsi="宋体" w:cs="宋体"/>
                <w:color w:val="auto"/>
                <w:highlight w:val="none"/>
              </w:rPr>
            </w:pPr>
            <w:r>
              <w:rPr>
                <w:rFonts w:hint="eastAsia" w:ascii="宋体" w:hAnsi="宋体" w:cs="宋体"/>
                <w:color w:val="auto"/>
                <w:kern w:val="28"/>
                <w:sz w:val="24"/>
                <w:highlight w:val="none"/>
                <w:u w:val="single"/>
                <w:lang w:val="en-US" w:eastAsia="zh-CN"/>
              </w:rPr>
              <w:t>其他未列明行业。从业人员300人以下的为中小微型企业。其中，从业人员100人及以上的为中型企业；从业人员10人及以上的为小型企业；从业人员10人以下的为微型企业。</w:t>
            </w:r>
          </w:p>
        </w:tc>
      </w:tr>
      <w:tr w14:paraId="1D143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0" w:hRule="atLeast"/>
          <w:tblHeader/>
          <w:jc w:val="center"/>
        </w:trPr>
        <w:tc>
          <w:tcPr>
            <w:tcW w:w="839" w:type="dxa"/>
            <w:tcBorders>
              <w:top w:val="single" w:color="auto" w:sz="4" w:space="0"/>
              <w:left w:val="single" w:color="auto" w:sz="4" w:space="0"/>
              <w:bottom w:val="single" w:color="auto" w:sz="4" w:space="0"/>
              <w:right w:val="single" w:color="auto" w:sz="4" w:space="0"/>
            </w:tcBorders>
            <w:vAlign w:val="center"/>
          </w:tcPr>
          <w:p w14:paraId="5ACB47F5">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3</w:t>
            </w:r>
          </w:p>
        </w:tc>
        <w:tc>
          <w:tcPr>
            <w:tcW w:w="2325" w:type="dxa"/>
            <w:tcBorders>
              <w:top w:val="single" w:color="000000" w:sz="8" w:space="0"/>
              <w:left w:val="single" w:color="auto" w:sz="4" w:space="0"/>
              <w:bottom w:val="single" w:color="000000" w:sz="8" w:space="0"/>
              <w:right w:val="single" w:color="000000" w:sz="8" w:space="0"/>
            </w:tcBorders>
            <w:vAlign w:val="center"/>
          </w:tcPr>
          <w:p w14:paraId="0670C15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w:t>
            </w:r>
          </w:p>
          <w:p w14:paraId="133F054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采购进口产品</w:t>
            </w:r>
          </w:p>
        </w:tc>
        <w:tc>
          <w:tcPr>
            <w:tcW w:w="7018" w:type="dxa"/>
            <w:tcBorders>
              <w:top w:val="single" w:color="000000" w:sz="8" w:space="0"/>
              <w:left w:val="single" w:color="000000" w:sz="2" w:space="0"/>
              <w:bottom w:val="single" w:color="000000" w:sz="8" w:space="0"/>
              <w:right w:val="single" w:color="000000" w:sz="8" w:space="0"/>
            </w:tcBorders>
            <w:vAlign w:val="center"/>
          </w:tcPr>
          <w:p w14:paraId="1660586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1D0DAD76">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宋体" w:hAnsi="宋体" w:cs="宋体"/>
                <w:color w:val="auto"/>
                <w:kern w:val="0"/>
                <w:sz w:val="24"/>
                <w:highlight w:val="none"/>
              </w:rPr>
              <w:t>采购进口产品。</w:t>
            </w:r>
          </w:p>
        </w:tc>
      </w:tr>
      <w:tr w14:paraId="617F4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jc w:val="center"/>
        </w:trPr>
        <w:tc>
          <w:tcPr>
            <w:tcW w:w="839" w:type="dxa"/>
            <w:tcBorders>
              <w:top w:val="single" w:color="auto" w:sz="4" w:space="0"/>
              <w:left w:val="single" w:color="auto" w:sz="4" w:space="0"/>
              <w:bottom w:val="single" w:color="auto" w:sz="4" w:space="0"/>
              <w:right w:val="single" w:color="auto" w:sz="4" w:space="0"/>
            </w:tcBorders>
            <w:vAlign w:val="center"/>
          </w:tcPr>
          <w:p w14:paraId="28C14CE6">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4</w:t>
            </w:r>
          </w:p>
        </w:tc>
        <w:tc>
          <w:tcPr>
            <w:tcW w:w="2325" w:type="dxa"/>
            <w:tcBorders>
              <w:top w:val="single" w:color="000000" w:sz="8" w:space="0"/>
              <w:left w:val="single" w:color="auto" w:sz="4" w:space="0"/>
              <w:bottom w:val="single" w:color="000000" w:sz="8" w:space="0"/>
              <w:right w:val="single" w:color="000000" w:sz="8" w:space="0"/>
            </w:tcBorders>
            <w:vAlign w:val="center"/>
          </w:tcPr>
          <w:p w14:paraId="3CCDC51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7018" w:type="dxa"/>
            <w:tcBorders>
              <w:top w:val="single" w:color="000000" w:sz="8" w:space="0"/>
              <w:left w:val="single" w:color="000000" w:sz="2" w:space="0"/>
              <w:bottom w:val="single" w:color="000000" w:sz="8" w:space="0"/>
              <w:right w:val="single" w:color="000000" w:sz="8" w:space="0"/>
            </w:tcBorders>
            <w:vAlign w:val="center"/>
          </w:tcPr>
          <w:p w14:paraId="64ABAC0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F39A27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5D753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5" w:hRule="atLeast"/>
          <w:tblHeader/>
          <w:jc w:val="center"/>
        </w:trPr>
        <w:tc>
          <w:tcPr>
            <w:tcW w:w="839" w:type="dxa"/>
            <w:tcBorders>
              <w:top w:val="single" w:color="auto" w:sz="4" w:space="0"/>
              <w:left w:val="single" w:color="auto" w:sz="4" w:space="0"/>
              <w:bottom w:val="single" w:color="auto" w:sz="4" w:space="0"/>
              <w:right w:val="single" w:color="auto" w:sz="4" w:space="0"/>
            </w:tcBorders>
          </w:tcPr>
          <w:p w14:paraId="0CC7C5F7">
            <w:pPr>
              <w:snapToGrid w:val="0"/>
              <w:spacing w:line="360" w:lineRule="auto"/>
              <w:jc w:val="center"/>
              <w:rPr>
                <w:rFonts w:ascii="宋体" w:hAnsi="宋体" w:cs="宋体"/>
                <w:b/>
                <w:bCs/>
                <w:color w:val="auto"/>
                <w:sz w:val="24"/>
                <w:highlight w:val="none"/>
              </w:rPr>
            </w:pPr>
          </w:p>
          <w:p w14:paraId="0019CE82">
            <w:pPr>
              <w:snapToGrid w:val="0"/>
              <w:spacing w:line="360" w:lineRule="auto"/>
              <w:jc w:val="center"/>
              <w:rPr>
                <w:rFonts w:ascii="宋体" w:hAnsi="宋体" w:cs="宋体"/>
                <w:b/>
                <w:bCs/>
                <w:color w:val="auto"/>
                <w:sz w:val="24"/>
                <w:highlight w:val="none"/>
              </w:rPr>
            </w:pPr>
          </w:p>
          <w:p w14:paraId="5E3F3C26">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5</w:t>
            </w:r>
          </w:p>
        </w:tc>
        <w:tc>
          <w:tcPr>
            <w:tcW w:w="2325" w:type="dxa"/>
            <w:tcBorders>
              <w:top w:val="single" w:color="000000" w:sz="8" w:space="0"/>
              <w:left w:val="single" w:color="auto" w:sz="4" w:space="0"/>
              <w:bottom w:val="single" w:color="000000" w:sz="8" w:space="0"/>
              <w:right w:val="single" w:color="000000" w:sz="8" w:space="0"/>
            </w:tcBorders>
            <w:vAlign w:val="center"/>
          </w:tcPr>
          <w:p w14:paraId="1BFA596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w:t>
            </w:r>
          </w:p>
          <w:p w14:paraId="09807FE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或现场考察</w:t>
            </w:r>
          </w:p>
        </w:tc>
        <w:tc>
          <w:tcPr>
            <w:tcW w:w="7018" w:type="dxa"/>
            <w:tcBorders>
              <w:top w:val="single" w:color="000000" w:sz="8" w:space="0"/>
              <w:left w:val="single" w:color="000000" w:sz="2" w:space="0"/>
              <w:bottom w:val="single" w:color="000000" w:sz="8" w:space="0"/>
              <w:right w:val="single" w:color="000000" w:sz="8" w:space="0"/>
            </w:tcBorders>
            <w:vAlign w:val="center"/>
          </w:tcPr>
          <w:p w14:paraId="1A23999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AE87114">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   </w:t>
            </w:r>
            <w:r>
              <w:rPr>
                <w:rFonts w:hint="eastAsia" w:ascii="宋体" w:hAnsi="宋体" w:cs="宋体"/>
                <w:color w:val="auto"/>
                <w:sz w:val="24"/>
                <w:szCs w:val="20"/>
                <w:highlight w:val="none"/>
              </w:rPr>
              <w:t>。</w:t>
            </w:r>
          </w:p>
        </w:tc>
      </w:tr>
      <w:tr w14:paraId="6EC1E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839" w:type="dxa"/>
            <w:tcBorders>
              <w:top w:val="single" w:color="auto" w:sz="4" w:space="0"/>
              <w:left w:val="single" w:color="auto" w:sz="4" w:space="0"/>
              <w:bottom w:val="single" w:color="auto" w:sz="4" w:space="0"/>
              <w:right w:val="single" w:color="auto" w:sz="4" w:space="0"/>
            </w:tcBorders>
            <w:vAlign w:val="center"/>
          </w:tcPr>
          <w:p w14:paraId="4EAE7AD6">
            <w:pPr>
              <w:snapToGrid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6</w:t>
            </w:r>
          </w:p>
        </w:tc>
        <w:tc>
          <w:tcPr>
            <w:tcW w:w="2325" w:type="dxa"/>
            <w:tcBorders>
              <w:top w:val="single" w:color="000000" w:sz="8" w:space="0"/>
              <w:left w:val="single" w:color="auto" w:sz="4" w:space="0"/>
              <w:bottom w:val="single" w:color="000000" w:sz="8" w:space="0"/>
              <w:right w:val="single" w:color="000000" w:sz="8" w:space="0"/>
            </w:tcBorders>
            <w:vAlign w:val="center"/>
          </w:tcPr>
          <w:p w14:paraId="1851521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7018" w:type="dxa"/>
            <w:tcBorders>
              <w:top w:val="single" w:color="000000" w:sz="8" w:space="0"/>
              <w:left w:val="single" w:color="000000" w:sz="2" w:space="0"/>
              <w:bottom w:val="single" w:color="000000" w:sz="8" w:space="0"/>
              <w:right w:val="single" w:color="000000" w:sz="8" w:space="0"/>
            </w:tcBorders>
            <w:vAlign w:val="center"/>
          </w:tcPr>
          <w:p w14:paraId="007934B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00C0B0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B19C5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2321DCB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2D333CB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10A9F9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0CAEE50C">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6A6210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BDF3FB5">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D7E2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839" w:type="dxa"/>
            <w:tcBorders>
              <w:top w:val="single" w:color="auto" w:sz="4" w:space="0"/>
              <w:left w:val="single" w:color="auto" w:sz="4" w:space="0"/>
              <w:bottom w:val="single" w:color="auto" w:sz="4" w:space="0"/>
              <w:right w:val="single" w:color="auto" w:sz="4" w:space="0"/>
            </w:tcBorders>
            <w:vAlign w:val="center"/>
          </w:tcPr>
          <w:p w14:paraId="5125CBB0">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7</w:t>
            </w:r>
          </w:p>
        </w:tc>
        <w:tc>
          <w:tcPr>
            <w:tcW w:w="2325" w:type="dxa"/>
            <w:tcBorders>
              <w:top w:val="single" w:color="000000" w:sz="8" w:space="0"/>
              <w:left w:val="single" w:color="auto" w:sz="4" w:space="0"/>
              <w:bottom w:val="single" w:color="000000" w:sz="8" w:space="0"/>
              <w:right w:val="single" w:color="000000" w:sz="8" w:space="0"/>
            </w:tcBorders>
            <w:vAlign w:val="center"/>
          </w:tcPr>
          <w:p w14:paraId="56F0616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7018" w:type="dxa"/>
            <w:tcBorders>
              <w:top w:val="single" w:color="000000" w:sz="8" w:space="0"/>
              <w:left w:val="single" w:color="000000" w:sz="2" w:space="0"/>
              <w:bottom w:val="single" w:color="000000" w:sz="8" w:space="0"/>
              <w:right w:val="single" w:color="000000" w:sz="8" w:space="0"/>
            </w:tcBorders>
            <w:vAlign w:val="center"/>
          </w:tcPr>
          <w:p w14:paraId="2B17E1B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86FA02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8C58F5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人。讲解演示结束后按要求解答评标委员会提问。</w:t>
            </w:r>
          </w:p>
          <w:p w14:paraId="13DD43D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AB8D2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196B75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方式二：评标现场讲解演示。现场讲解地点为</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DF94D3D">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59A9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839" w:type="dxa"/>
            <w:vMerge w:val="restart"/>
            <w:tcBorders>
              <w:top w:val="single" w:color="auto" w:sz="4" w:space="0"/>
              <w:left w:val="single" w:color="auto" w:sz="4" w:space="0"/>
              <w:right w:val="single" w:color="auto" w:sz="4" w:space="0"/>
            </w:tcBorders>
          </w:tcPr>
          <w:p w14:paraId="1EA77D4B">
            <w:pPr>
              <w:snapToGrid w:val="0"/>
              <w:spacing w:line="360" w:lineRule="auto"/>
              <w:jc w:val="center"/>
              <w:rPr>
                <w:rFonts w:ascii="宋体" w:hAnsi="宋体" w:cs="宋体"/>
                <w:color w:val="auto"/>
                <w:sz w:val="24"/>
                <w:highlight w:val="none"/>
              </w:rPr>
            </w:pPr>
          </w:p>
          <w:p w14:paraId="055E672B">
            <w:pPr>
              <w:snapToGrid w:val="0"/>
              <w:spacing w:line="360" w:lineRule="auto"/>
              <w:jc w:val="center"/>
              <w:rPr>
                <w:rFonts w:ascii="宋体" w:hAnsi="宋体" w:cs="宋体"/>
                <w:color w:val="auto"/>
                <w:sz w:val="24"/>
                <w:highlight w:val="none"/>
              </w:rPr>
            </w:pPr>
          </w:p>
          <w:p w14:paraId="4DA13BB0">
            <w:pPr>
              <w:snapToGrid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8</w:t>
            </w:r>
          </w:p>
        </w:tc>
        <w:tc>
          <w:tcPr>
            <w:tcW w:w="2325" w:type="dxa"/>
            <w:vMerge w:val="restart"/>
            <w:tcBorders>
              <w:top w:val="single" w:color="000000" w:sz="8" w:space="0"/>
              <w:left w:val="single" w:color="auto" w:sz="4" w:space="0"/>
              <w:right w:val="single" w:color="000000" w:sz="8" w:space="0"/>
            </w:tcBorders>
            <w:vAlign w:val="center"/>
          </w:tcPr>
          <w:p w14:paraId="083D1D0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7018" w:type="dxa"/>
            <w:tcBorders>
              <w:top w:val="single" w:color="000000" w:sz="8" w:space="0"/>
              <w:left w:val="single" w:color="000000" w:sz="2" w:space="0"/>
              <w:bottom w:val="single" w:color="auto" w:sz="4" w:space="0"/>
              <w:right w:val="single" w:color="000000" w:sz="8" w:space="0"/>
            </w:tcBorders>
            <w:vAlign w:val="center"/>
          </w:tcPr>
          <w:p w14:paraId="07CA5E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2C0FA4E6">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F624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 w:hRule="atLeast"/>
          <w:tblHeader/>
          <w:jc w:val="center"/>
        </w:trPr>
        <w:tc>
          <w:tcPr>
            <w:tcW w:w="839" w:type="dxa"/>
            <w:vMerge w:val="continue"/>
            <w:tcBorders>
              <w:left w:val="single" w:color="auto" w:sz="4" w:space="0"/>
              <w:bottom w:val="single" w:color="auto" w:sz="4" w:space="0"/>
              <w:right w:val="single" w:color="auto" w:sz="4" w:space="0"/>
            </w:tcBorders>
          </w:tcPr>
          <w:p w14:paraId="22B2CA98">
            <w:pPr>
              <w:snapToGrid w:val="0"/>
              <w:spacing w:line="360" w:lineRule="auto"/>
              <w:jc w:val="center"/>
              <w:rPr>
                <w:rFonts w:ascii="宋体" w:hAnsi="宋体" w:cs="宋体"/>
                <w:color w:val="auto"/>
                <w:sz w:val="24"/>
                <w:highlight w:val="none"/>
              </w:rPr>
            </w:pPr>
          </w:p>
        </w:tc>
        <w:tc>
          <w:tcPr>
            <w:tcW w:w="2325" w:type="dxa"/>
            <w:vMerge w:val="continue"/>
            <w:tcBorders>
              <w:left w:val="single" w:color="auto" w:sz="4" w:space="0"/>
              <w:bottom w:val="single" w:color="000000" w:sz="8" w:space="0"/>
              <w:right w:val="single" w:color="000000" w:sz="8" w:space="0"/>
            </w:tcBorders>
            <w:vAlign w:val="center"/>
          </w:tcPr>
          <w:p w14:paraId="7336B1F4">
            <w:pPr>
              <w:snapToGrid w:val="0"/>
              <w:spacing w:line="360" w:lineRule="auto"/>
              <w:jc w:val="center"/>
              <w:rPr>
                <w:rFonts w:ascii="宋体" w:hAnsi="宋体" w:cs="宋体"/>
                <w:b/>
                <w:color w:val="auto"/>
                <w:sz w:val="24"/>
                <w:highlight w:val="none"/>
              </w:rPr>
            </w:pPr>
          </w:p>
        </w:tc>
        <w:tc>
          <w:tcPr>
            <w:tcW w:w="7018" w:type="dxa"/>
            <w:tcBorders>
              <w:top w:val="single" w:color="auto" w:sz="4" w:space="0"/>
              <w:left w:val="single" w:color="000000" w:sz="2" w:space="0"/>
              <w:bottom w:val="single" w:color="000000" w:sz="8" w:space="0"/>
              <w:right w:val="single" w:color="000000" w:sz="8" w:space="0"/>
            </w:tcBorders>
            <w:vAlign w:val="center"/>
          </w:tcPr>
          <w:p w14:paraId="29AFE6E3">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D81A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839" w:type="dxa"/>
            <w:tcBorders>
              <w:top w:val="single" w:color="auto" w:sz="4" w:space="0"/>
              <w:left w:val="single" w:color="000000" w:sz="8" w:space="0"/>
              <w:bottom w:val="single" w:color="auto" w:sz="4" w:space="0"/>
              <w:right w:val="single" w:color="000000" w:sz="2" w:space="0"/>
            </w:tcBorders>
          </w:tcPr>
          <w:p w14:paraId="7AD7942C">
            <w:pPr>
              <w:snapToGrid w:val="0"/>
              <w:spacing w:line="360" w:lineRule="auto"/>
              <w:jc w:val="center"/>
              <w:rPr>
                <w:rFonts w:ascii="宋体" w:hAnsi="宋体" w:cs="宋体"/>
                <w:color w:val="auto"/>
                <w:sz w:val="24"/>
                <w:highlight w:val="none"/>
              </w:rPr>
            </w:pPr>
          </w:p>
          <w:p w14:paraId="7CB3318F">
            <w:pPr>
              <w:snapToGrid w:val="0"/>
              <w:spacing w:line="360" w:lineRule="auto"/>
              <w:jc w:val="center"/>
              <w:rPr>
                <w:rFonts w:ascii="宋体" w:hAnsi="宋体" w:cs="宋体"/>
                <w:color w:val="auto"/>
                <w:sz w:val="24"/>
                <w:highlight w:val="none"/>
              </w:rPr>
            </w:pPr>
          </w:p>
          <w:p w14:paraId="170935D5">
            <w:pPr>
              <w:snapToGrid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9</w:t>
            </w:r>
          </w:p>
        </w:tc>
        <w:tc>
          <w:tcPr>
            <w:tcW w:w="2325" w:type="dxa"/>
            <w:tcBorders>
              <w:top w:val="single" w:color="000000" w:sz="8" w:space="0"/>
              <w:left w:val="single" w:color="000000" w:sz="2" w:space="0"/>
              <w:bottom w:val="single" w:color="000000" w:sz="8" w:space="0"/>
              <w:right w:val="single" w:color="000000" w:sz="8" w:space="0"/>
            </w:tcBorders>
            <w:vAlign w:val="center"/>
          </w:tcPr>
          <w:p w14:paraId="66528A3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w:t>
            </w:r>
          </w:p>
          <w:p w14:paraId="2FF63E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环境标志产品</w:t>
            </w:r>
          </w:p>
        </w:tc>
        <w:tc>
          <w:tcPr>
            <w:tcW w:w="7018" w:type="dxa"/>
            <w:tcBorders>
              <w:top w:val="single" w:color="000000" w:sz="8" w:space="0"/>
              <w:left w:val="single" w:color="000000" w:sz="2" w:space="0"/>
              <w:bottom w:val="single" w:color="000000" w:sz="8" w:space="0"/>
              <w:right w:val="single" w:color="000000" w:sz="8" w:space="0"/>
            </w:tcBorders>
            <w:vAlign w:val="center"/>
          </w:tcPr>
          <w:p w14:paraId="55D06BFA">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9213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839" w:type="dxa"/>
            <w:tcBorders>
              <w:top w:val="single" w:color="auto" w:sz="4" w:space="0"/>
              <w:left w:val="single" w:color="000000" w:sz="8" w:space="0"/>
              <w:bottom w:val="single" w:color="auto" w:sz="4" w:space="0"/>
              <w:right w:val="single" w:color="000000" w:sz="2" w:space="0"/>
            </w:tcBorders>
            <w:vAlign w:val="center"/>
          </w:tcPr>
          <w:p w14:paraId="65B2BA9C">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10</w:t>
            </w:r>
          </w:p>
        </w:tc>
        <w:tc>
          <w:tcPr>
            <w:tcW w:w="2325" w:type="dxa"/>
            <w:tcBorders>
              <w:top w:val="single" w:color="000000" w:sz="8" w:space="0"/>
              <w:left w:val="single" w:color="000000" w:sz="2" w:space="0"/>
              <w:bottom w:val="single" w:color="000000" w:sz="8" w:space="0"/>
              <w:right w:val="single" w:color="000000" w:sz="8" w:space="0"/>
            </w:tcBorders>
            <w:vAlign w:val="center"/>
          </w:tcPr>
          <w:p w14:paraId="2B00421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7018" w:type="dxa"/>
            <w:tcBorders>
              <w:top w:val="single" w:color="000000" w:sz="8" w:space="0"/>
              <w:left w:val="single" w:color="000000" w:sz="2" w:space="0"/>
              <w:bottom w:val="single" w:color="000000" w:sz="8" w:space="0"/>
              <w:right w:val="single" w:color="000000" w:sz="8" w:space="0"/>
            </w:tcBorders>
            <w:vAlign w:val="center"/>
          </w:tcPr>
          <w:p w14:paraId="5CC5166B">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1A7F938B">
            <w:pPr>
              <w:snapToGrid w:val="0"/>
              <w:spacing w:line="360" w:lineRule="auto"/>
              <w:jc w:val="left"/>
              <w:rPr>
                <w:rFonts w:hint="default"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2、本项目投标报价为服务比例报价。采购人根据中标人报出的服务比例向中标人支付产生的收益。（检测项目清单内所有检测项目服务比例应相同）。支付中标人的费用=医院执行的浙江省医疗服务价格（如宁波市另有规定的，从其规定）×中标服务比例报价（此公式计算结果以“元”为单位，保留到整数位）。</w:t>
            </w:r>
          </w:p>
          <w:p w14:paraId="7E2CA449">
            <w:pPr>
              <w:snapToGrid w:val="0"/>
              <w:spacing w:line="360" w:lineRule="auto"/>
              <w:jc w:val="left"/>
              <w:rPr>
                <w:rFonts w:hint="default"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3、本项目的投标报价包括完成本项目工作内容所需的一切费用，即本项目服务所发生的全部费用以及投标人的利润、税金、中标服务费及合同包含的所有风险、责任等各项应有费用。</w:t>
            </w:r>
          </w:p>
          <w:p w14:paraId="4BA8FB6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4、</w:t>
            </w:r>
            <w:r>
              <w:rPr>
                <w:rFonts w:hint="eastAsia" w:ascii="宋体" w:hAnsi="宋体" w:cs="宋体"/>
                <w:b/>
                <w:color w:val="auto"/>
                <w:kern w:val="0"/>
                <w:sz w:val="24"/>
                <w:highlight w:val="none"/>
                <w:lang w:val="zh-CN"/>
              </w:rPr>
              <w:t>投标报价出现下列情形的，投标无效：</w:t>
            </w:r>
          </w:p>
          <w:p w14:paraId="0A7E280C">
            <w:pPr>
              <w:snapToGrid w:val="0"/>
              <w:spacing w:line="360" w:lineRule="auto"/>
              <w:jc w:val="left"/>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①投标文件出现不是唯一的、有选择性投标报价的；</w:t>
            </w:r>
          </w:p>
          <w:p w14:paraId="2762B20A">
            <w:pPr>
              <w:snapToGrid w:val="0"/>
              <w:spacing w:line="360" w:lineRule="auto"/>
              <w:jc w:val="left"/>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②投标报价超过招标文件中规定的预算金额或者最高限价的；</w:t>
            </w:r>
          </w:p>
          <w:p w14:paraId="56B69260">
            <w:pPr>
              <w:spacing w:line="360" w:lineRule="auto"/>
              <w:rPr>
                <w:rFonts w:ascii="宋体" w:hAnsi="宋体" w:cs="宋体"/>
                <w:b w:val="0"/>
                <w:bCs/>
                <w:color w:val="auto"/>
                <w:sz w:val="24"/>
                <w:highlight w:val="none"/>
              </w:rPr>
            </w:pPr>
            <w:r>
              <w:rPr>
                <w:rFonts w:hint="eastAsia" w:ascii="宋体" w:hAnsi="宋体" w:cs="宋体"/>
                <w:b w:val="0"/>
                <w:bCs/>
                <w:color w:val="auto"/>
                <w:kern w:val="0"/>
                <w:sz w:val="24"/>
                <w:highlight w:val="none"/>
              </w:rPr>
              <w:t>③报价明显低于其他通过符合性审查投标人的报价，有可能影响产品质量或者不能诚信履约的，未能按要求提供书面说明或者提交相关证明材料证明其报价合理性的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val="0"/>
                <w:bCs/>
                <w:color w:val="auto"/>
                <w:sz w:val="24"/>
                <w:szCs w:val="21"/>
                <w:highlight w:val="none"/>
              </w:rPr>
              <w:t>；</w:t>
            </w:r>
          </w:p>
          <w:p w14:paraId="5616B00B">
            <w:pPr>
              <w:spacing w:line="360" w:lineRule="auto"/>
              <w:rPr>
                <w:rFonts w:ascii="宋体" w:hAnsi="宋体" w:cs="宋体"/>
                <w:color w:val="auto"/>
                <w:sz w:val="24"/>
                <w:highlight w:val="none"/>
              </w:rPr>
            </w:pPr>
            <w:r>
              <w:rPr>
                <w:rFonts w:hint="eastAsia" w:ascii="宋体" w:hAnsi="宋体" w:cs="宋体"/>
                <w:b w:val="0"/>
                <w:bCs/>
                <w:color w:val="auto"/>
                <w:kern w:val="0"/>
                <w:sz w:val="24"/>
                <w:highlight w:val="none"/>
              </w:rPr>
              <w:t>④投标人对根据修正原则修正后的报价不确认的</w:t>
            </w:r>
            <w:r>
              <w:rPr>
                <w:rFonts w:hint="eastAsia" w:ascii="宋体" w:hAnsi="宋体" w:cs="宋体"/>
                <w:b w:val="0"/>
                <w:bCs/>
                <w:color w:val="auto"/>
                <w:sz w:val="24"/>
                <w:highlight w:val="none"/>
              </w:rPr>
              <w:t>。</w:t>
            </w:r>
          </w:p>
        </w:tc>
      </w:tr>
      <w:tr w14:paraId="46BFE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8" w:hRule="atLeast"/>
          <w:tblHeader/>
          <w:jc w:val="center"/>
        </w:trPr>
        <w:tc>
          <w:tcPr>
            <w:tcW w:w="839" w:type="dxa"/>
            <w:tcBorders>
              <w:top w:val="single" w:color="auto" w:sz="4" w:space="0"/>
              <w:left w:val="single" w:color="000000" w:sz="8" w:space="0"/>
              <w:right w:val="single" w:color="000000" w:sz="2" w:space="0"/>
            </w:tcBorders>
            <w:vAlign w:val="center"/>
          </w:tcPr>
          <w:p w14:paraId="43A395BB">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11</w:t>
            </w:r>
          </w:p>
        </w:tc>
        <w:tc>
          <w:tcPr>
            <w:tcW w:w="2325" w:type="dxa"/>
            <w:tcBorders>
              <w:top w:val="single" w:color="000000" w:sz="8" w:space="0"/>
              <w:left w:val="single" w:color="000000" w:sz="2" w:space="0"/>
              <w:right w:val="single" w:color="000000" w:sz="8" w:space="0"/>
            </w:tcBorders>
            <w:vAlign w:val="center"/>
          </w:tcPr>
          <w:p w14:paraId="76F3DFB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7018" w:type="dxa"/>
            <w:tcBorders>
              <w:top w:val="single" w:color="000000" w:sz="8" w:space="0"/>
              <w:left w:val="single" w:color="000000" w:sz="2" w:space="0"/>
              <w:right w:val="single" w:color="000000" w:sz="8" w:space="0"/>
            </w:tcBorders>
            <w:vAlign w:val="center"/>
          </w:tcPr>
          <w:p w14:paraId="3575D64B">
            <w:pPr>
              <w:spacing w:line="360" w:lineRule="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48ED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839" w:type="dxa"/>
            <w:tcBorders>
              <w:top w:val="single" w:color="auto" w:sz="4" w:space="0"/>
              <w:left w:val="single" w:color="000000" w:sz="8" w:space="0"/>
              <w:bottom w:val="single" w:color="auto" w:sz="4" w:space="0"/>
              <w:right w:val="single" w:color="000000" w:sz="2" w:space="0"/>
            </w:tcBorders>
            <w:vAlign w:val="center"/>
          </w:tcPr>
          <w:p w14:paraId="56A5F879">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12</w:t>
            </w:r>
          </w:p>
        </w:tc>
        <w:tc>
          <w:tcPr>
            <w:tcW w:w="2325" w:type="dxa"/>
            <w:tcBorders>
              <w:top w:val="single" w:color="000000" w:sz="8" w:space="0"/>
              <w:left w:val="single" w:color="000000" w:sz="2" w:space="0"/>
              <w:bottom w:val="single" w:color="000000" w:sz="8" w:space="0"/>
              <w:right w:val="single" w:color="000000" w:sz="8" w:space="0"/>
            </w:tcBorders>
            <w:vAlign w:val="center"/>
          </w:tcPr>
          <w:p w14:paraId="644F58D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7018" w:type="dxa"/>
            <w:tcBorders>
              <w:top w:val="single" w:color="000000" w:sz="8" w:space="0"/>
              <w:left w:val="single" w:color="000000" w:sz="2" w:space="0"/>
              <w:bottom w:val="single" w:color="000000" w:sz="8" w:space="0"/>
              <w:right w:val="single" w:color="000000" w:sz="8" w:space="0"/>
            </w:tcBorders>
            <w:vAlign w:val="center"/>
          </w:tcPr>
          <w:p w14:paraId="0E903A5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（1）供应商如提供备份投标文件的，可采用邮寄方式或直接提交方式递交备份投标文件，供应商需将以U盘存储的备份投标文件密封递交，逾期送达或未密封将予以拒收。</w:t>
            </w:r>
          </w:p>
          <w:p w14:paraId="7C8E0DC6">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（2）采用邮寄方式递交备份投标文件，需按以下要求递交：</w:t>
            </w:r>
          </w:p>
          <w:p w14:paraId="34ECFBA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供应商应在开标前一日17：00（含）前将备份投标文件邮寄至规定地点，邮寄地址为：宁波市鄞州区天童南路666号中基大厦19楼业务一部，收件人：</w:t>
            </w:r>
            <w:r>
              <w:rPr>
                <w:rFonts w:hint="eastAsia" w:ascii="宋体" w:hAnsi="宋体" w:cs="宋体"/>
                <w:snapToGrid w:val="0"/>
                <w:color w:val="auto"/>
                <w:kern w:val="28"/>
                <w:sz w:val="24"/>
                <w:highlight w:val="none"/>
                <w:lang w:val="en-US" w:eastAsia="zh-CN"/>
              </w:rPr>
              <w:t>王鸯鸯</w:t>
            </w:r>
            <w:r>
              <w:rPr>
                <w:rFonts w:hint="eastAsia" w:ascii="宋体" w:hAnsi="宋体" w:cs="宋体"/>
                <w:snapToGrid w:val="0"/>
                <w:color w:val="auto"/>
                <w:kern w:val="28"/>
                <w:sz w:val="24"/>
                <w:highlight w:val="none"/>
              </w:rPr>
              <w:t>，联系方式：0574-</w:t>
            </w:r>
            <w:r>
              <w:rPr>
                <w:rFonts w:hint="eastAsia" w:ascii="宋体" w:hAnsi="宋体" w:cs="宋体"/>
                <w:snapToGrid w:val="0"/>
                <w:color w:val="auto"/>
                <w:kern w:val="28"/>
                <w:sz w:val="24"/>
                <w:highlight w:val="none"/>
                <w:lang w:val="en-US" w:eastAsia="zh-CN"/>
              </w:rPr>
              <w:t>88090157</w:t>
            </w:r>
            <w:r>
              <w:rPr>
                <w:rFonts w:hint="eastAsia" w:ascii="宋体" w:hAnsi="宋体" w:cs="宋体"/>
                <w:snapToGrid w:val="0"/>
                <w:color w:val="auto"/>
                <w:kern w:val="28"/>
                <w:sz w:val="24"/>
                <w:highlight w:val="none"/>
              </w:rPr>
              <w:t>。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52353B61">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（3）采用直接提交方式递交备份投标文件，需按以下要求递交：在投标截止时间前将备份投标文件送至</w:t>
            </w:r>
            <w:r>
              <w:rPr>
                <w:rFonts w:hint="eastAsia" w:ascii="宋体" w:hAnsi="宋体" w:cs="宋体"/>
                <w:snapToGrid w:val="0"/>
                <w:color w:val="auto"/>
                <w:kern w:val="28"/>
                <w:sz w:val="24"/>
                <w:highlight w:val="none"/>
                <w:u w:val="single"/>
              </w:rPr>
              <w:t xml:space="preserve"> 北仑区（开发区）公共资源交易中心评标室（宁波市北仑区长江路1166号行政服务中心三楼）  </w:t>
            </w:r>
            <w:r>
              <w:rPr>
                <w:rFonts w:hint="eastAsia" w:ascii="宋体" w:hAnsi="宋体" w:cs="宋体"/>
                <w:snapToGrid w:val="0"/>
                <w:color w:val="auto"/>
                <w:kern w:val="28"/>
                <w:sz w:val="24"/>
                <w:highlight w:val="none"/>
              </w:rPr>
              <w:t xml:space="preserve">。       </w:t>
            </w:r>
          </w:p>
          <w:p w14:paraId="1BBCCA55">
            <w:pPr>
              <w:spacing w:line="360" w:lineRule="auto"/>
              <w:rPr>
                <w:color w:val="auto"/>
                <w:highlight w:val="none"/>
              </w:rPr>
            </w:pPr>
            <w:r>
              <w:rPr>
                <w:rFonts w:hint="eastAsia" w:ascii="宋体" w:hAnsi="宋体" w:cs="宋体"/>
                <w:b/>
                <w:bCs/>
                <w:snapToGrid w:val="0"/>
                <w:color w:val="auto"/>
                <w:kern w:val="28"/>
                <w:sz w:val="24"/>
                <w:highlight w:val="none"/>
              </w:rPr>
              <w:t>采购人、采购代理机构不强制投标人提交备份投标文件。</w:t>
            </w:r>
          </w:p>
        </w:tc>
      </w:tr>
      <w:tr w14:paraId="26A0A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tblHeader/>
          <w:jc w:val="center"/>
        </w:trPr>
        <w:tc>
          <w:tcPr>
            <w:tcW w:w="839" w:type="dxa"/>
            <w:vMerge w:val="restart"/>
            <w:tcBorders>
              <w:top w:val="single" w:color="auto" w:sz="4" w:space="0"/>
              <w:left w:val="single" w:color="000000" w:sz="8" w:space="0"/>
              <w:right w:val="single" w:color="000000" w:sz="2" w:space="0"/>
            </w:tcBorders>
            <w:vAlign w:val="center"/>
          </w:tcPr>
          <w:p w14:paraId="405516C4">
            <w:pPr>
              <w:snapToGrid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13</w:t>
            </w:r>
          </w:p>
        </w:tc>
        <w:tc>
          <w:tcPr>
            <w:tcW w:w="2325" w:type="dxa"/>
            <w:vMerge w:val="restart"/>
            <w:tcBorders>
              <w:top w:val="single" w:color="000000" w:sz="8" w:space="0"/>
              <w:left w:val="single" w:color="000000" w:sz="2" w:space="0"/>
              <w:right w:val="single" w:color="000000" w:sz="8" w:space="0"/>
            </w:tcBorders>
            <w:vAlign w:val="center"/>
          </w:tcPr>
          <w:p w14:paraId="40CA6D9D">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7018" w:type="dxa"/>
            <w:tcBorders>
              <w:top w:val="single" w:color="000000" w:sz="8" w:space="0"/>
              <w:left w:val="single" w:color="000000" w:sz="2" w:space="0"/>
              <w:bottom w:val="single" w:color="000000" w:sz="8" w:space="0"/>
              <w:right w:val="single" w:color="000000" w:sz="8" w:space="0"/>
            </w:tcBorders>
            <w:vAlign w:val="center"/>
          </w:tcPr>
          <w:p w14:paraId="40A993F4">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AC0F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839" w:type="dxa"/>
            <w:vMerge w:val="continue"/>
            <w:tcBorders>
              <w:left w:val="single" w:color="000000" w:sz="8" w:space="0"/>
              <w:bottom w:val="single" w:color="auto" w:sz="4" w:space="0"/>
              <w:right w:val="single" w:color="000000" w:sz="2" w:space="0"/>
            </w:tcBorders>
          </w:tcPr>
          <w:p w14:paraId="68EC7C38">
            <w:pPr>
              <w:snapToGrid w:val="0"/>
              <w:spacing w:line="360" w:lineRule="auto"/>
              <w:jc w:val="center"/>
              <w:rPr>
                <w:rFonts w:ascii="宋体" w:hAnsi="宋体" w:cs="宋体"/>
                <w:color w:val="auto"/>
                <w:sz w:val="24"/>
                <w:highlight w:val="none"/>
              </w:rPr>
            </w:pPr>
          </w:p>
        </w:tc>
        <w:tc>
          <w:tcPr>
            <w:tcW w:w="2325" w:type="dxa"/>
            <w:vMerge w:val="continue"/>
            <w:tcBorders>
              <w:left w:val="single" w:color="000000" w:sz="2" w:space="0"/>
              <w:bottom w:val="single" w:color="000000" w:sz="8" w:space="0"/>
              <w:right w:val="single" w:color="000000" w:sz="8" w:space="0"/>
            </w:tcBorders>
            <w:vAlign w:val="center"/>
          </w:tcPr>
          <w:p w14:paraId="29C9C0C9">
            <w:pPr>
              <w:snapToGrid w:val="0"/>
              <w:spacing w:line="360" w:lineRule="auto"/>
              <w:jc w:val="center"/>
              <w:rPr>
                <w:rFonts w:ascii="宋体" w:hAnsi="宋体" w:cs="宋体"/>
                <w:b/>
                <w:color w:val="auto"/>
                <w:sz w:val="24"/>
                <w:highlight w:val="none"/>
              </w:rPr>
            </w:pPr>
          </w:p>
        </w:tc>
        <w:tc>
          <w:tcPr>
            <w:tcW w:w="7018" w:type="dxa"/>
            <w:tcBorders>
              <w:top w:val="single" w:color="000000" w:sz="8" w:space="0"/>
              <w:left w:val="single" w:color="000000" w:sz="2" w:space="0"/>
              <w:bottom w:val="single" w:color="000000" w:sz="8" w:space="0"/>
              <w:right w:val="single" w:color="000000" w:sz="8" w:space="0"/>
            </w:tcBorders>
            <w:vAlign w:val="center"/>
          </w:tcPr>
          <w:p w14:paraId="68992598">
            <w:pPr>
              <w:snapToGrid w:val="0"/>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1CB30C2">
            <w:pPr>
              <w:snapToGrid w:val="0"/>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Wingdings" w:hAnsi="Wingdings" w:cs="Arial" w:eastAsiaTheme="minorEastAsia"/>
                    <w:color w:val="auto"/>
                    <w:kern w:val="0"/>
                    <w:sz w:val="24"/>
                    <w:highlight w:val="none"/>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5376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839" w:type="dxa"/>
            <w:tcBorders>
              <w:top w:val="single" w:color="auto" w:sz="4" w:space="0"/>
              <w:left w:val="single" w:color="000000" w:sz="8" w:space="0"/>
              <w:right w:val="single" w:color="000000" w:sz="2" w:space="0"/>
            </w:tcBorders>
            <w:vAlign w:val="center"/>
          </w:tcPr>
          <w:p w14:paraId="2DB3C8CF">
            <w:pPr>
              <w:snapToGrid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14</w:t>
            </w:r>
          </w:p>
        </w:tc>
        <w:tc>
          <w:tcPr>
            <w:tcW w:w="2325" w:type="dxa"/>
            <w:tcBorders>
              <w:top w:val="single" w:color="000000" w:sz="8" w:space="0"/>
              <w:left w:val="single" w:color="000000" w:sz="2" w:space="0"/>
              <w:right w:val="single" w:color="000000" w:sz="8" w:space="0"/>
            </w:tcBorders>
            <w:vAlign w:val="center"/>
          </w:tcPr>
          <w:p w14:paraId="4D8496F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7018" w:type="dxa"/>
            <w:tcBorders>
              <w:top w:val="single" w:color="000000" w:sz="8" w:space="0"/>
              <w:left w:val="single" w:color="000000" w:sz="2" w:space="0"/>
              <w:bottom w:val="single" w:color="000000" w:sz="8" w:space="0"/>
              <w:right w:val="single" w:color="000000" w:sz="8" w:space="0"/>
            </w:tcBorders>
            <w:vAlign w:val="center"/>
          </w:tcPr>
          <w:p w14:paraId="16C0A278">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（1）收取方式：供应商应当自中标结果公告发布之日起5个工作日内一次性向采购代理机构支付代理服务费。</w:t>
            </w:r>
          </w:p>
          <w:p w14:paraId="6A6B8E0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（2）采购代理服务费用收取标准：本项目代理公司参照宁波市招标（采购）代理服务收费标准中</w:t>
            </w:r>
            <w:r>
              <w:rPr>
                <w:rFonts w:hint="eastAsia" w:ascii="宋体" w:hAnsi="宋体" w:cs="宋体"/>
                <w:snapToGrid w:val="0"/>
                <w:color w:val="auto"/>
                <w:kern w:val="28"/>
                <w:sz w:val="24"/>
                <w:highlight w:val="none"/>
                <w:lang w:val="en-US" w:eastAsia="zh-CN"/>
              </w:rPr>
              <w:t>服务</w:t>
            </w:r>
            <w:r>
              <w:rPr>
                <w:rFonts w:hint="eastAsia" w:ascii="宋体" w:hAnsi="宋体" w:cs="宋体"/>
                <w:snapToGrid w:val="0"/>
                <w:color w:val="auto"/>
                <w:kern w:val="28"/>
                <w:sz w:val="24"/>
                <w:highlight w:val="none"/>
              </w:rPr>
              <w:t>招标费率下浮20%，按照</w:t>
            </w:r>
            <w:r>
              <w:rPr>
                <w:rFonts w:hint="eastAsia" w:ascii="宋体" w:hAnsi="宋体" w:cs="宋体"/>
                <w:snapToGrid w:val="0"/>
                <w:color w:val="auto"/>
                <w:kern w:val="28"/>
                <w:sz w:val="24"/>
                <w:highlight w:val="none"/>
                <w:lang w:val="en-US" w:eastAsia="zh-CN"/>
              </w:rPr>
              <w:t>预算金额</w:t>
            </w:r>
            <w:r>
              <w:rPr>
                <w:rFonts w:hint="eastAsia" w:ascii="宋体" w:hAnsi="宋体" w:cs="宋体"/>
                <w:snapToGrid w:val="0"/>
                <w:color w:val="auto"/>
                <w:kern w:val="28"/>
                <w:sz w:val="24"/>
                <w:highlight w:val="none"/>
              </w:rPr>
              <w:t>向中标人收取中标服务费。</w:t>
            </w:r>
          </w:p>
          <w:p w14:paraId="48732B14">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（3）支付形式及账号：</w:t>
            </w:r>
          </w:p>
          <w:p w14:paraId="03AD9CB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①代理服务费缴纳形式：汇票/电汇/现金</w:t>
            </w:r>
          </w:p>
          <w:p w14:paraId="0A01B3B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②代理服务费汇入以下账户 ：</w:t>
            </w:r>
          </w:p>
          <w:p w14:paraId="5E71BE1F">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收款单位（户名）：宁波中基国际招标有限公司</w:t>
            </w:r>
          </w:p>
          <w:p w14:paraId="7B388A49">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开户：宁波银行科技支行</w:t>
            </w:r>
          </w:p>
          <w:p w14:paraId="004674A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账号：31010122000005488</w:t>
            </w:r>
          </w:p>
          <w:p w14:paraId="44A82DB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（4）支付流程：中标供应商按照中标结果公告确定金额支付至采购代理机构账户后将汇款底单、开票信息和发票邮寄地址发送至</w:t>
            </w:r>
            <w:r>
              <w:rPr>
                <w:rFonts w:hint="eastAsia" w:ascii="宋体" w:hAnsi="宋体" w:cs="宋体"/>
                <w:snapToGrid w:val="0"/>
                <w:color w:val="auto"/>
                <w:kern w:val="28"/>
                <w:sz w:val="24"/>
                <w:highlight w:val="none"/>
                <w:u w:val="single"/>
              </w:rPr>
              <w:t xml:space="preserve"> 719126619@qq.com</w:t>
            </w:r>
            <w:r>
              <w:rPr>
                <w:rFonts w:hint="eastAsia" w:ascii="宋体" w:hAnsi="宋体" w:cs="宋体"/>
                <w:snapToGrid w:val="0"/>
                <w:color w:val="auto"/>
                <w:kern w:val="28"/>
                <w:sz w:val="24"/>
                <w:highlight w:val="none"/>
              </w:rPr>
              <w:t>，采购代理机构在收到邮件后开具发票。</w:t>
            </w:r>
          </w:p>
        </w:tc>
      </w:tr>
    </w:tbl>
    <w:p w14:paraId="119866B9">
      <w:pPr>
        <w:snapToGrid w:val="0"/>
        <w:spacing w:line="360" w:lineRule="auto"/>
        <w:jc w:val="center"/>
        <w:rPr>
          <w:rFonts w:ascii="宋体" w:hAnsi="宋体" w:cs="宋体"/>
          <w:b/>
          <w:color w:val="auto"/>
          <w:sz w:val="32"/>
          <w:szCs w:val="20"/>
          <w:highlight w:val="none"/>
        </w:rPr>
      </w:pPr>
    </w:p>
    <w:bookmarkEnd w:id="14"/>
    <w:p w14:paraId="0F9B02CD">
      <w:pPr>
        <w:rPr>
          <w:rFonts w:ascii="宋体" w:hAnsi="宋体" w:cs="宋体"/>
          <w:b/>
          <w:color w:val="auto"/>
          <w:sz w:val="32"/>
          <w:szCs w:val="20"/>
          <w:highlight w:val="none"/>
        </w:rPr>
      </w:pPr>
      <w:bookmarkStart w:id="29" w:name="_Toc164416483"/>
      <w:bookmarkStart w:id="30" w:name="第三部分"/>
      <w:r>
        <w:rPr>
          <w:rFonts w:hint="eastAsia" w:ascii="宋体" w:hAnsi="宋体" w:cs="宋体"/>
          <w:b/>
          <w:color w:val="auto"/>
          <w:sz w:val="32"/>
          <w:szCs w:val="20"/>
          <w:highlight w:val="none"/>
        </w:rPr>
        <w:br w:type="page"/>
      </w:r>
    </w:p>
    <w:p w14:paraId="34802A61">
      <w:pPr>
        <w:adjustRightInd/>
        <w:spacing w:line="360" w:lineRule="auto"/>
        <w:ind w:firstLine="3845" w:firstLineChars="1197"/>
        <w:outlineLvl w:val="1"/>
        <w:rPr>
          <w:rFonts w:ascii="宋体" w:hAnsi="宋体" w:cs="宋体"/>
          <w:b/>
          <w:color w:val="auto"/>
          <w:sz w:val="32"/>
          <w:szCs w:val="20"/>
          <w:highlight w:val="none"/>
        </w:rPr>
      </w:pPr>
      <w:bookmarkStart w:id="31" w:name="_Toc19896"/>
      <w:r>
        <w:rPr>
          <w:rFonts w:hint="eastAsia" w:ascii="宋体" w:hAnsi="宋体" w:cs="宋体"/>
          <w:b/>
          <w:color w:val="auto"/>
          <w:sz w:val="32"/>
          <w:szCs w:val="20"/>
          <w:highlight w:val="none"/>
        </w:rPr>
        <w:t>一、总则</w:t>
      </w:r>
      <w:bookmarkEnd w:id="31"/>
    </w:p>
    <w:p w14:paraId="740B3EF0">
      <w:pPr>
        <w:snapToGrid w:val="0"/>
        <w:spacing w:line="360" w:lineRule="auto"/>
        <w:ind w:firstLine="361" w:firstLineChars="150"/>
        <w:jc w:val="left"/>
        <w:outlineLvl w:val="1"/>
        <w:rPr>
          <w:rFonts w:ascii="宋体" w:hAnsi="宋体" w:cs="宋体"/>
          <w:b/>
          <w:color w:val="auto"/>
          <w:sz w:val="24"/>
          <w:highlight w:val="none"/>
        </w:rPr>
      </w:pPr>
      <w:bookmarkStart w:id="32" w:name="_Toc4803"/>
      <w:r>
        <w:rPr>
          <w:rFonts w:hint="eastAsia" w:ascii="宋体" w:hAnsi="宋体" w:cs="宋体"/>
          <w:b/>
          <w:color w:val="auto"/>
          <w:sz w:val="24"/>
          <w:highlight w:val="none"/>
        </w:rPr>
        <w:t>1. 适用范围</w:t>
      </w:r>
      <w:bookmarkEnd w:id="32"/>
    </w:p>
    <w:p w14:paraId="41424B8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AD4862D">
      <w:pPr>
        <w:snapToGrid w:val="0"/>
        <w:spacing w:line="360" w:lineRule="auto"/>
        <w:ind w:firstLine="361" w:firstLineChars="150"/>
        <w:jc w:val="left"/>
        <w:outlineLvl w:val="1"/>
        <w:rPr>
          <w:rFonts w:ascii="宋体" w:hAnsi="宋体" w:cs="宋体"/>
          <w:b/>
          <w:color w:val="auto"/>
          <w:sz w:val="24"/>
          <w:highlight w:val="none"/>
        </w:rPr>
      </w:pPr>
      <w:bookmarkStart w:id="33" w:name="_Toc17533"/>
      <w:r>
        <w:rPr>
          <w:rFonts w:hint="eastAsia" w:ascii="宋体" w:hAnsi="宋体" w:cs="宋体"/>
          <w:b/>
          <w:color w:val="auto"/>
          <w:sz w:val="24"/>
          <w:highlight w:val="none"/>
        </w:rPr>
        <w:t>2.定义</w:t>
      </w:r>
      <w:bookmarkEnd w:id="33"/>
    </w:p>
    <w:p w14:paraId="5EEB9D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589FF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3464AB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45E20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79026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章”系指数据电文中以电子形式所含、所附用于识别签名人身份并表明签名人认可其中内容的数据；“公章”系指单位法定名称章。因特殊原因需要使用冠以法定名称的业务专用章的，投标时须提供《业务专用章使用说明函》（附件2）。</w:t>
      </w:r>
    </w:p>
    <w:p w14:paraId="551354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147F4D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w:t>
      </w:r>
      <w:r>
        <w:rPr>
          <w:rFonts w:hint="eastAsia" w:ascii="宋体" w:hAnsi="宋体" w:cs="宋体"/>
          <w:bCs/>
          <w:color w:val="auto"/>
          <w:szCs w:val="21"/>
          <w:highlight w:val="none"/>
        </w:rPr>
        <w:t>★</w:t>
      </w:r>
      <w:r>
        <w:rPr>
          <w:rFonts w:hint="eastAsia" w:ascii="宋体" w:hAnsi="宋体" w:cs="宋体"/>
          <w:color w:val="auto"/>
          <w:sz w:val="24"/>
          <w:highlight w:val="none"/>
        </w:rPr>
        <w:t>”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EE9E807">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9B62FD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33EDF14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2A558F9">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235947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4" w:name="_Hlk107568539"/>
    </w:p>
    <w:p w14:paraId="2AC1BD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 鼓励供应商在参加政府采购过程中开展绿色设计、选择绿色材料、打造绿色制造工艺、开展绿色运输、做好废弃产品回收处理，实现产品全周期的绿色环保。</w:t>
      </w:r>
      <w:bookmarkEnd w:id="34"/>
    </w:p>
    <w:p w14:paraId="30BD28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31A48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FB917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90BE365">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581C78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9DD26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AAE0C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217C6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381CF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1F918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036F00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BBED0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lang w:val="en-US" w:eastAsia="zh-CN"/>
        </w:rPr>
        <w:t>1</w:t>
      </w:r>
      <w:r>
        <w:rPr>
          <w:rFonts w:hint="eastAsia" w:ascii="宋体" w:hAnsi="宋体" w:eastAsia="宋体" w:cs="宋体"/>
          <w:b w:val="0"/>
          <w:bCs w:val="0"/>
          <w:color w:val="auto"/>
          <w:sz w:val="24"/>
          <w:szCs w:val="24"/>
          <w:highlight w:val="none"/>
          <w:vertAlign w:val="baseline"/>
          <w:lang w:val="en-US" w:eastAsia="zh-CN"/>
        </w:rPr>
        <w:t>对省级以上主管部门认定的首台套产品，自纳入《省推广应用指导目录》起三年内参加政府采购活动，视同已具备相应销售业绩，业绩分为满分。</w:t>
      </w:r>
    </w:p>
    <w:p w14:paraId="3517B4D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4CB16B0">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3290A80A">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供应商询问</w:t>
      </w:r>
    </w:p>
    <w:p w14:paraId="50F5C31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8010B61">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供应商质疑</w:t>
      </w:r>
    </w:p>
    <w:p w14:paraId="5F9995FB">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9ED3D03">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8123F76">
      <w:pPr>
        <w:pStyle w:val="8"/>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4.2.2.1对招标文件提出质疑的，质疑期限为供应商获得招标文件之日或者招标文件公告期限届满之日</w:t>
      </w:r>
      <w:r>
        <w:rPr>
          <w:rFonts w:hint="eastAsia" w:ascii="宋体" w:hAnsi="宋体" w:cs="宋体"/>
          <w:color w:val="auto"/>
          <w:sz w:val="24"/>
          <w:highlight w:val="none"/>
        </w:rPr>
        <w:t>（公告期限届满后获取招标文件的，以公告期限届满之日为准）</w:t>
      </w:r>
      <w:r>
        <w:rPr>
          <w:rFonts w:hint="eastAsia" w:hAnsi="宋体" w:cs="宋体"/>
          <w:snapToGrid/>
          <w:color w:val="auto"/>
          <w:kern w:val="2"/>
          <w:sz w:val="24"/>
          <w:highlight w:val="none"/>
        </w:rPr>
        <w:t>起计算。</w:t>
      </w:r>
    </w:p>
    <w:p w14:paraId="5BFE88C2">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4.2.2.2对采购过程提出质疑的，质疑期限为各采购程序环节结束之日起计算。4.2.2.3对采购结果提出质疑的，质疑期限自采购结果公告期限届满之日起计算。</w:t>
      </w:r>
    </w:p>
    <w:p w14:paraId="55BD91E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kern w:val="0"/>
          <w:sz w:val="24"/>
          <w:highlight w:val="none"/>
          <w:lang w:val="zh-CN"/>
        </w:rPr>
        <w:t>.3</w:t>
      </w:r>
      <w:r>
        <w:rPr>
          <w:rFonts w:hint="eastAsia" w:hAnsi="宋体" w:cs="宋体"/>
          <w:color w:val="auto"/>
          <w:sz w:val="24"/>
          <w:highlight w:val="none"/>
        </w:rPr>
        <w:t>供应商提出质疑应当提交质疑函和必要的证明材料。质疑函应当包括下列内容：</w:t>
      </w:r>
    </w:p>
    <w:p w14:paraId="1CFF4FD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.3.1供应商的姓名或者名称、地址、邮编、联系人及联系电话；</w:t>
      </w:r>
    </w:p>
    <w:p w14:paraId="6BF26099">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.3.2质疑项目的名称、编号；</w:t>
      </w:r>
    </w:p>
    <w:p w14:paraId="08EE07B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.3.3具体、明确的质疑事项和与质疑事项相关的请求；</w:t>
      </w:r>
    </w:p>
    <w:p w14:paraId="0435036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.3.4事实依据；</w:t>
      </w:r>
    </w:p>
    <w:p w14:paraId="73E3C7D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.3.5必要的法律依据；</w:t>
      </w:r>
    </w:p>
    <w:p w14:paraId="3397BD2D">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kern w:val="0"/>
          <w:sz w:val="24"/>
          <w:highlight w:val="none"/>
          <w:lang w:val="zh-CN"/>
        </w:rPr>
        <w:t>.3.6提出质疑的日期。</w:t>
      </w:r>
    </w:p>
    <w:p w14:paraId="052937C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259FFF11">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质疑函范本请到浙江政府采购网下载专区下载。</w:t>
      </w:r>
    </w:p>
    <w:p w14:paraId="48BE068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4.2.4</w:t>
      </w:r>
      <w:r>
        <w:rPr>
          <w:rFonts w:hint="eastAsia" w:hAnsi="宋体" w:cs="宋体"/>
          <w:color w:val="auto"/>
          <w:kern w:val="0"/>
          <w:sz w:val="24"/>
          <w:highlight w:val="none"/>
          <w:lang w:val="zh-CN"/>
        </w:rPr>
        <w:t>对同一采购程序环节的质疑，供应商须在法定质疑期内一次性提出。</w:t>
      </w:r>
    </w:p>
    <w:p w14:paraId="65269D9D">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4.2.5</w:t>
      </w:r>
      <w:r>
        <w:rPr>
          <w:rFonts w:hint="eastAsia" w:hAnsi="宋体" w:cs="宋体"/>
          <w:color w:val="auto"/>
          <w:kern w:val="0"/>
          <w:sz w:val="24"/>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color w:val="auto"/>
          <w:kern w:val="0"/>
          <w:sz w:val="24"/>
          <w:highlight w:val="none"/>
        </w:rPr>
        <w:t>浙江省财政厅关于进一步加强政府采购公平竞争打造最优营商环境的通知</w:t>
      </w:r>
      <w:r>
        <w:rPr>
          <w:rFonts w:hint="eastAsia" w:hAnsi="宋体" w:cs="宋体"/>
          <w:color w:val="auto"/>
          <w:kern w:val="0"/>
          <w:sz w:val="24"/>
          <w:highlight w:val="none"/>
          <w:lang w:val="zh-CN"/>
        </w:rPr>
        <w:t>》（</w:t>
      </w:r>
      <w:r>
        <w:rPr>
          <w:rFonts w:hint="eastAsia" w:hAnsi="宋体" w:cs="宋体"/>
          <w:color w:val="auto"/>
          <w:kern w:val="0"/>
          <w:sz w:val="24"/>
          <w:highlight w:val="none"/>
        </w:rPr>
        <w:t>浙财</w:t>
      </w:r>
      <w:r>
        <w:rPr>
          <w:rFonts w:hint="eastAsia" w:hAnsi="宋体" w:cs="宋体"/>
          <w:color w:val="auto"/>
          <w:kern w:val="0"/>
          <w:sz w:val="24"/>
          <w:highlight w:val="none"/>
          <w:lang w:val="zh-CN"/>
        </w:rPr>
        <w:t>采监〔2021〕</w:t>
      </w:r>
      <w:r>
        <w:rPr>
          <w:rFonts w:hint="eastAsia" w:hAnsi="宋体" w:cs="宋体"/>
          <w:color w:val="auto"/>
          <w:kern w:val="0"/>
          <w:sz w:val="24"/>
          <w:highlight w:val="none"/>
        </w:rPr>
        <w:t>22</w:t>
      </w:r>
      <w:r>
        <w:rPr>
          <w:rFonts w:hint="eastAsia" w:hAnsi="宋体" w:cs="宋体"/>
          <w:color w:val="auto"/>
          <w:kern w:val="0"/>
          <w:sz w:val="24"/>
          <w:highlight w:val="none"/>
          <w:lang w:val="zh-CN"/>
        </w:rPr>
        <w:t>号）,采购人或者采购代理机构在质疑回复后5个工作日内，在浙江政府采购网的“其他公告”栏目公开质疑答复，答复内容应当完整。质疑函作为附件上传。</w:t>
      </w:r>
    </w:p>
    <w:p w14:paraId="26B1FA7F">
      <w:pPr>
        <w:pStyle w:val="34"/>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w:t>
      </w:r>
      <w:r>
        <w:rPr>
          <w:rFonts w:hint="eastAsia" w:hAnsi="宋体" w:cs="宋体"/>
          <w:color w:val="auto"/>
          <w:kern w:val="0"/>
          <w:sz w:val="24"/>
          <w:highlight w:val="none"/>
          <w:lang w:val="zh-CN"/>
        </w:rPr>
        <w:t>.2</w:t>
      </w:r>
      <w:r>
        <w:rPr>
          <w:rFonts w:hint="eastAsia" w:hAnsi="宋体" w:cs="宋体"/>
          <w:color w:val="auto"/>
          <w:kern w:val="0"/>
          <w:sz w:val="24"/>
          <w:highlight w:val="none"/>
        </w:rPr>
        <w:t>.6询问或者质疑事项可能影响采购结果的，采购人应当暂停签订合同，已经签订合同的，应当中止履行合同。</w:t>
      </w:r>
    </w:p>
    <w:p w14:paraId="3638342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4</w:t>
      </w:r>
      <w:r>
        <w:rPr>
          <w:rFonts w:hint="eastAsia" w:hAnsi="宋体" w:cs="宋体"/>
          <w:color w:val="auto"/>
          <w:kern w:val="0"/>
          <w:sz w:val="24"/>
          <w:highlight w:val="none"/>
          <w:lang w:val="zh-CN"/>
        </w:rPr>
        <w:t>.3供应商投诉</w:t>
      </w:r>
    </w:p>
    <w:p w14:paraId="269C2758">
      <w:pPr>
        <w:pStyle w:val="34"/>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1975E426">
      <w:pPr>
        <w:pStyle w:val="34"/>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4.3.</w:t>
      </w:r>
      <w:r>
        <w:rPr>
          <w:rFonts w:hint="eastAsia" w:hAnsi="宋体" w:cs="宋体"/>
          <w:color w:val="auto"/>
          <w:kern w:val="0"/>
          <w:sz w:val="24"/>
          <w:highlight w:val="none"/>
          <w:lang w:val="zh-CN"/>
        </w:rPr>
        <w:t>2</w:t>
      </w:r>
      <w:r>
        <w:rPr>
          <w:rFonts w:hint="eastAsia" w:hAnsi="宋体" w:cs="宋体"/>
          <w:color w:val="auto"/>
          <w:kern w:val="0"/>
          <w:sz w:val="24"/>
          <w:highlight w:val="none"/>
        </w:rPr>
        <w:t>供应商投诉的事项不得超出已质疑事项的范围，基于质疑答复内容提出的投诉事项除外。</w:t>
      </w:r>
    </w:p>
    <w:p w14:paraId="31FEA024">
      <w:pPr>
        <w:pStyle w:val="34"/>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4.3.3供应商投诉应当有明确的请求和必要的证明材料。</w:t>
      </w:r>
    </w:p>
    <w:p w14:paraId="22D849DA">
      <w:pPr>
        <w:pStyle w:val="34"/>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4.3.5 以联合体形式参加政府采购活动的，其投诉应当由组成联合体的所有供应商共同提出。</w:t>
      </w:r>
    </w:p>
    <w:p w14:paraId="0D257F16">
      <w:pPr>
        <w:pStyle w:val="34"/>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投诉书范本请到浙江政府采购网下载专区下载。</w:t>
      </w:r>
    </w:p>
    <w:p w14:paraId="5ECDA44B">
      <w:pPr>
        <w:pStyle w:val="131"/>
        <w:snapToGrid w:val="0"/>
        <w:spacing w:before="0"/>
        <w:ind w:firstLine="360"/>
        <w:rPr>
          <w:rFonts w:ascii="宋体" w:hAnsi="宋体" w:cs="宋体"/>
          <w:color w:val="auto"/>
          <w:sz w:val="18"/>
          <w:szCs w:val="18"/>
          <w:highlight w:val="none"/>
        </w:rPr>
      </w:pPr>
    </w:p>
    <w:p w14:paraId="0F434C32">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 xml:space="preserve">      </w:t>
      </w:r>
      <w:bookmarkStart w:id="35" w:name="_Toc20717"/>
      <w:r>
        <w:rPr>
          <w:rFonts w:hint="eastAsia" w:ascii="宋体" w:hAnsi="宋体" w:cs="宋体"/>
          <w:b/>
          <w:color w:val="auto"/>
          <w:sz w:val="32"/>
          <w:szCs w:val="20"/>
          <w:highlight w:val="none"/>
        </w:rPr>
        <w:t>二、招标文件的构成、澄清、修改</w:t>
      </w:r>
      <w:bookmarkEnd w:id="35"/>
    </w:p>
    <w:p w14:paraId="0F20885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139F5A5E">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2BA9AE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1B03F21">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CE1BF8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C05D51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ED9573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1B5DB5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556C1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BBC102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EAC2CA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18692C2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D708EEE">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6EC3316">
      <w:pPr>
        <w:adjustRightInd/>
        <w:spacing w:line="360" w:lineRule="auto"/>
        <w:jc w:val="center"/>
        <w:outlineLvl w:val="1"/>
        <w:rPr>
          <w:rFonts w:ascii="宋体" w:hAnsi="宋体" w:cs="宋体"/>
          <w:b/>
          <w:color w:val="auto"/>
          <w:sz w:val="30"/>
          <w:szCs w:val="20"/>
          <w:highlight w:val="none"/>
        </w:rPr>
      </w:pPr>
      <w:bookmarkStart w:id="36" w:name="_Toc6708"/>
      <w:r>
        <w:rPr>
          <w:rFonts w:hint="eastAsia" w:ascii="宋体" w:hAnsi="宋体" w:cs="宋体"/>
          <w:b/>
          <w:color w:val="auto"/>
          <w:sz w:val="30"/>
          <w:szCs w:val="20"/>
          <w:highlight w:val="none"/>
        </w:rPr>
        <w:t>三、投标</w:t>
      </w:r>
      <w:bookmarkEnd w:id="36"/>
    </w:p>
    <w:p w14:paraId="4081A2E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4774D010">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6DED2E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BC27CB5">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FFE2848">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F5EE2F0">
      <w:pPr>
        <w:pStyle w:val="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9E6BDB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45F088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8F4D93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02F3986">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9916B52">
      <w:pPr>
        <w:snapToGrid w:val="0"/>
        <w:spacing w:line="360" w:lineRule="auto"/>
        <w:ind w:left="479" w:leftChars="228" w:firstLine="480" w:firstLineChars="200"/>
        <w:rPr>
          <w:rFonts w:ascii="宋体" w:hAnsi="宋体" w:cs="宋体"/>
          <w:color w:val="auto"/>
          <w:sz w:val="24"/>
          <w:highlight w:val="none"/>
        </w:rPr>
      </w:pPr>
      <w:r>
        <w:rPr>
          <w:rFonts w:hint="eastAsia" w:ascii="宋体" w:hAnsi="宋体" w:cs="宋体"/>
          <w:color w:val="auto"/>
          <w:sz w:val="24"/>
          <w:highlight w:val="none"/>
        </w:rPr>
        <w:t>11.1.1有效的企业法人营业执照（或事业法人登记证）、其他组织（个体工商户）的营业执照或者民办非企业单位登记证书；</w:t>
      </w:r>
    </w:p>
    <w:p w14:paraId="148DEB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11.1.2符合参加政府采购活动应当具备的一般条件的承诺函；</w:t>
      </w:r>
    </w:p>
    <w:p w14:paraId="4579D8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w:t>
      </w:r>
      <w:bookmarkStart w:id="37" w:name="_Hlk101259339"/>
      <w:r>
        <w:rPr>
          <w:rFonts w:hint="eastAsia" w:ascii="宋体" w:hAnsi="宋体" w:cs="宋体"/>
          <w:color w:val="auto"/>
          <w:sz w:val="24"/>
          <w:highlight w:val="none"/>
        </w:rPr>
        <w:t>3</w:t>
      </w:r>
      <w:r>
        <w:rPr>
          <w:rFonts w:hint="eastAsia" w:ascii="宋体" w:hAnsi="宋体" w:cs="宋体"/>
          <w:snapToGrid w:val="0"/>
          <w:color w:val="auto"/>
          <w:kern w:val="28"/>
          <w:sz w:val="24"/>
          <w:szCs w:val="20"/>
          <w:highlight w:val="none"/>
        </w:rPr>
        <w:t>联合协议</w:t>
      </w:r>
      <w:bookmarkEnd w:id="37"/>
      <w:r>
        <w:rPr>
          <w:rFonts w:hint="eastAsia" w:ascii="宋体" w:hAnsi="宋体" w:cs="宋体"/>
          <w:snapToGrid w:val="0"/>
          <w:color w:val="auto"/>
          <w:kern w:val="28"/>
          <w:sz w:val="24"/>
          <w:szCs w:val="20"/>
          <w:highlight w:val="none"/>
        </w:rPr>
        <w:t>（如适用)；</w:t>
      </w:r>
    </w:p>
    <w:p w14:paraId="50476072">
      <w:pPr>
        <w:snapToGrid w:val="0"/>
        <w:spacing w:line="360" w:lineRule="auto"/>
        <w:ind w:firstLine="960" w:firstLineChars="400"/>
        <w:rPr>
          <w:rFonts w:hint="default" w:eastAsia="宋体"/>
          <w:color w:val="auto"/>
          <w:highlight w:val="none"/>
          <w:lang w:val="en-US" w:eastAsia="zh-CN"/>
        </w:rPr>
      </w:pPr>
      <w:r>
        <w:rPr>
          <w:rFonts w:hint="eastAsia" w:ascii="宋体" w:hAnsi="宋体" w:cs="宋体"/>
          <w:color w:val="auto"/>
          <w:sz w:val="24"/>
          <w:highlight w:val="none"/>
        </w:rPr>
        <w:t>11.1.4落实政府采购政策需满足的资格要求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无；</w:t>
      </w:r>
    </w:p>
    <w:p w14:paraId="253E713B">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11.1.5本项目的特定资</w:t>
      </w:r>
      <w:r>
        <w:rPr>
          <w:rFonts w:hint="eastAsia" w:ascii="宋体" w:hAnsi="宋体" w:eastAsia="宋体" w:cs="宋体"/>
          <w:color w:val="auto"/>
          <w:sz w:val="24"/>
          <w:highlight w:val="none"/>
        </w:rPr>
        <w:t>格要求</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无</w:t>
      </w:r>
    </w:p>
    <w:p w14:paraId="490CCAFF">
      <w:pPr>
        <w:pStyle w:val="2"/>
        <w:rPr>
          <w:rFonts w:ascii="宋体" w:hAnsi="宋体" w:cs="宋体"/>
          <w:b/>
          <w:bCs/>
          <w:color w:val="auto"/>
          <w:sz w:val="24"/>
          <w:highlight w:val="none"/>
          <w:lang w:val="zh-CN"/>
        </w:rPr>
      </w:pPr>
      <w:r>
        <w:rPr>
          <w:rFonts w:hint="eastAsia" w:hAnsi="宋体" w:cs="宋体"/>
          <w:color w:val="auto"/>
          <w:highlight w:val="none"/>
          <w:lang w:val="en-US"/>
        </w:rPr>
        <w:t xml:space="preserve">        11.1.6</w:t>
      </w:r>
      <w:r>
        <w:rPr>
          <w:rFonts w:hint="eastAsia" w:hAnsi="宋体"/>
          <w:color w:val="auto"/>
          <w:kern w:val="0"/>
          <w:highlight w:val="none"/>
        </w:rPr>
        <w:t>业务专用章使用说明函（如适用）。</w:t>
      </w:r>
    </w:p>
    <w:p w14:paraId="51B19D6B">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06FE695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p>
    <w:p w14:paraId="34562425">
      <w:pPr>
        <w:snapToGrid w:val="0"/>
        <w:spacing w:line="360" w:lineRule="auto"/>
        <w:ind w:left="958" w:leftChars="456"/>
        <w:rPr>
          <w:rFonts w:ascii="宋体" w:hAnsi="宋体" w:cs="宋体"/>
          <w:color w:val="auto"/>
          <w:highlight w:val="none"/>
        </w:rPr>
      </w:pPr>
      <w:r>
        <w:rPr>
          <w:rFonts w:hint="eastAsia" w:ascii="宋体" w:hAnsi="宋体" w:cs="宋体"/>
          <w:color w:val="auto"/>
          <w:sz w:val="24"/>
          <w:highlight w:val="none"/>
        </w:rPr>
        <w:t>11.2.2授权委托书或法定代表人（单位负责人、自然人本人）身份证明</w:t>
      </w:r>
      <w:r>
        <w:rPr>
          <w:rFonts w:hint="eastAsia" w:ascii="宋体" w:hAnsi="宋体" w:cs="宋体"/>
          <w:color w:val="auto"/>
          <w:highlight w:val="none"/>
        </w:rPr>
        <w:t>；</w:t>
      </w:r>
    </w:p>
    <w:p w14:paraId="08EF9273">
      <w:pPr>
        <w:snapToGrid w:val="0"/>
        <w:spacing w:line="360" w:lineRule="auto"/>
        <w:ind w:left="958" w:leftChars="456"/>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如</w:t>
      </w:r>
      <w:r>
        <w:rPr>
          <w:rFonts w:hint="eastAsia" w:ascii="宋体" w:hAnsi="宋体" w:cs="宋体"/>
          <w:snapToGrid w:val="0"/>
          <w:color w:val="auto"/>
          <w:kern w:val="28"/>
          <w:sz w:val="24"/>
          <w:szCs w:val="20"/>
          <w:highlight w:val="none"/>
        </w:rPr>
        <w:t>适用)</w:t>
      </w:r>
    </w:p>
    <w:p w14:paraId="7DC0A68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63B8CF8C">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rPr>
        <w:t>11.2</w:t>
      </w:r>
      <w:r>
        <w:rPr>
          <w:rFonts w:hint="eastAsia" w:ascii="宋体" w:hAnsi="宋体" w:cs="宋体"/>
          <w:color w:val="auto"/>
          <w:sz w:val="24"/>
          <w:highlight w:val="none"/>
          <w:lang w:val="zh-CN"/>
        </w:rPr>
        <w:t>.5政府采购供应商廉洁自律承诺书</w:t>
      </w:r>
    </w:p>
    <w:p w14:paraId="26B8043B">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11.2.6投标标的清单</w:t>
      </w:r>
    </w:p>
    <w:p w14:paraId="29C68338">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11.2.7商务技术偏离表</w:t>
      </w:r>
    </w:p>
    <w:p w14:paraId="18A19F44">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11.2.</w:t>
      </w:r>
      <w:r>
        <w:rPr>
          <w:rFonts w:hint="eastAsia" w:ascii="宋体" w:hAnsi="宋体" w:cs="宋体"/>
          <w:color w:val="auto"/>
          <w:sz w:val="24"/>
          <w:highlight w:val="none"/>
          <w:lang w:val="en-US"/>
        </w:rPr>
        <w:t>8</w:t>
      </w:r>
      <w:r>
        <w:rPr>
          <w:rFonts w:hint="eastAsia" w:ascii="宋体" w:hAnsi="宋体" w:cs="宋体"/>
          <w:color w:val="auto"/>
          <w:sz w:val="24"/>
          <w:highlight w:val="none"/>
          <w:lang w:val="zh-CN"/>
        </w:rPr>
        <w:t>评</w:t>
      </w:r>
      <w:r>
        <w:rPr>
          <w:rFonts w:hint="eastAsia" w:ascii="宋体" w:hAnsi="宋体" w:cs="宋体"/>
          <w:color w:val="auto"/>
          <w:sz w:val="24"/>
          <w:highlight w:val="none"/>
          <w:lang w:val="en-US"/>
        </w:rPr>
        <w:t>标标准相应的商务技术资料；</w:t>
      </w:r>
    </w:p>
    <w:p w14:paraId="023C727B">
      <w:pPr>
        <w:snapToGrid w:val="0"/>
        <w:spacing w:line="360" w:lineRule="auto"/>
        <w:ind w:firstLine="960" w:firstLineChars="4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zh-CN" w:eastAsia="zh-CN"/>
        </w:rPr>
        <w:t>（11.2.8-1）</w:t>
      </w:r>
      <w:r>
        <w:rPr>
          <w:rFonts w:hint="eastAsia" w:ascii="宋体" w:hAnsi="宋体" w:cs="宋体"/>
          <w:b w:val="0"/>
          <w:bCs w:val="0"/>
          <w:color w:val="auto"/>
          <w:sz w:val="24"/>
          <w:highlight w:val="none"/>
          <w:lang w:val="en-US" w:eastAsia="zh-CN"/>
        </w:rPr>
        <w:t>总体服务方案；</w:t>
      </w:r>
    </w:p>
    <w:p w14:paraId="00E262D1">
      <w:pPr>
        <w:snapToGrid w:val="0"/>
        <w:spacing w:line="360" w:lineRule="auto"/>
        <w:ind w:firstLine="960" w:firstLineChars="4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zh-CN" w:eastAsia="zh-CN"/>
        </w:rPr>
        <w:t>（11.2.8-2）</w:t>
      </w:r>
      <w:r>
        <w:rPr>
          <w:rFonts w:hint="eastAsia" w:ascii="宋体" w:hAnsi="宋体" w:cs="宋体"/>
          <w:b w:val="0"/>
          <w:bCs w:val="0"/>
          <w:color w:val="auto"/>
          <w:sz w:val="24"/>
          <w:highlight w:val="none"/>
          <w:lang w:val="en-US" w:eastAsia="zh-CN"/>
        </w:rPr>
        <w:t>项目管理措施；</w:t>
      </w:r>
    </w:p>
    <w:p w14:paraId="0A97E8BB">
      <w:pPr>
        <w:snapToGrid w:val="0"/>
        <w:spacing w:line="360" w:lineRule="auto"/>
        <w:ind w:firstLine="960" w:firstLineChars="4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zh-CN" w:eastAsia="zh-CN"/>
        </w:rPr>
        <w:t>（11.2.8-3）</w:t>
      </w:r>
      <w:r>
        <w:rPr>
          <w:rFonts w:hint="eastAsia" w:ascii="宋体" w:hAnsi="宋体" w:cs="宋体"/>
          <w:b w:val="0"/>
          <w:bCs w:val="0"/>
          <w:color w:val="auto"/>
          <w:sz w:val="24"/>
          <w:highlight w:val="none"/>
          <w:lang w:val="en-US" w:eastAsia="zh-CN"/>
        </w:rPr>
        <w:t>数据对接方案；</w:t>
      </w:r>
    </w:p>
    <w:p w14:paraId="32A05829">
      <w:pPr>
        <w:snapToGrid w:val="0"/>
        <w:spacing w:line="360" w:lineRule="auto"/>
        <w:ind w:firstLine="960" w:firstLineChars="4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zh-CN" w:eastAsia="zh-CN"/>
        </w:rPr>
        <w:t>（11.2.8-</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lang w:val="zh-CN" w:eastAsia="zh-CN"/>
        </w:rPr>
        <w:t>）</w:t>
      </w:r>
      <w:r>
        <w:rPr>
          <w:rFonts w:hint="eastAsia" w:ascii="宋体" w:hAnsi="宋体" w:cs="宋体"/>
          <w:b w:val="0"/>
          <w:bCs w:val="0"/>
          <w:color w:val="auto"/>
          <w:sz w:val="24"/>
          <w:szCs w:val="24"/>
          <w:highlight w:val="none"/>
          <w:lang w:val="en-US" w:eastAsia="zh-CN"/>
        </w:rPr>
        <w:t>数据分析及产出质量方案</w:t>
      </w:r>
      <w:r>
        <w:rPr>
          <w:rFonts w:hint="eastAsia" w:ascii="宋体" w:hAnsi="宋体" w:cs="宋体"/>
          <w:b w:val="0"/>
          <w:bCs w:val="0"/>
          <w:color w:val="auto"/>
          <w:sz w:val="24"/>
          <w:highlight w:val="none"/>
          <w:lang w:val="en-US" w:eastAsia="zh-CN"/>
        </w:rPr>
        <w:t>；</w:t>
      </w:r>
    </w:p>
    <w:p w14:paraId="635C6878">
      <w:pPr>
        <w:snapToGrid w:val="0"/>
        <w:spacing w:line="360" w:lineRule="auto"/>
        <w:ind w:firstLine="960" w:firstLineChars="400"/>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zh-CN" w:eastAsia="zh-CN"/>
        </w:rPr>
        <w:t>（11.2.8</w:t>
      </w:r>
      <w:r>
        <w:rPr>
          <w:rFonts w:hint="eastAsia" w:ascii="宋体" w:hAnsi="宋体" w:eastAsia="宋体" w:cs="宋体"/>
          <w:b w:val="0"/>
          <w:bCs w:val="0"/>
          <w:color w:val="auto"/>
          <w:sz w:val="24"/>
          <w:highlight w:val="none"/>
          <w:lang w:val="zh-CN" w:eastAsia="zh-CN"/>
        </w:rPr>
        <w:t>-</w:t>
      </w:r>
      <w:r>
        <w:rPr>
          <w:rFonts w:hint="eastAsia" w:ascii="宋体" w:hAnsi="宋体" w:eastAsia="宋体" w:cs="宋体"/>
          <w:b w:val="0"/>
          <w:bCs w:val="0"/>
          <w:color w:val="auto"/>
          <w:sz w:val="24"/>
          <w:highlight w:val="none"/>
          <w:lang w:val="en-US" w:eastAsia="zh-CN"/>
        </w:rPr>
        <w:t>5）检测仪器设备配备方案</w:t>
      </w:r>
      <w:r>
        <w:rPr>
          <w:rFonts w:hint="eastAsia" w:ascii="宋体" w:hAnsi="宋体" w:cs="宋体"/>
          <w:b w:val="0"/>
          <w:bCs w:val="0"/>
          <w:color w:val="auto"/>
          <w:sz w:val="24"/>
          <w:highlight w:val="none"/>
          <w:lang w:val="en-US" w:eastAsia="zh-CN"/>
        </w:rPr>
        <w:t>、设备配置清单、</w:t>
      </w:r>
      <w:r>
        <w:rPr>
          <w:rFonts w:hint="eastAsia" w:ascii="宋体" w:hAnsi="宋体" w:eastAsia="宋体" w:cs="宋体"/>
          <w:b w:val="0"/>
          <w:bCs w:val="0"/>
          <w:color w:val="auto"/>
          <w:kern w:val="2"/>
          <w:sz w:val="24"/>
          <w:szCs w:val="24"/>
          <w:highlight w:val="none"/>
          <w:lang w:val="en-US" w:eastAsia="zh-CN" w:bidi="ar-SA"/>
        </w:rPr>
        <w:t>设备清晰图片及设备的技术参数</w:t>
      </w:r>
      <w:r>
        <w:rPr>
          <w:rFonts w:hint="eastAsia" w:ascii="宋体" w:hAnsi="宋体" w:eastAsia="宋体" w:cs="宋体"/>
          <w:b w:val="0"/>
          <w:bCs w:val="0"/>
          <w:color w:val="auto"/>
          <w:sz w:val="24"/>
          <w:highlight w:val="none"/>
          <w:lang w:val="en-US" w:eastAsia="zh-CN"/>
        </w:rPr>
        <w:t>；</w:t>
      </w:r>
    </w:p>
    <w:p w14:paraId="50DEF482">
      <w:pPr>
        <w:snapToGrid w:val="0"/>
        <w:spacing w:line="360" w:lineRule="auto"/>
        <w:ind w:firstLine="960" w:firstLineChars="400"/>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zh-CN"/>
        </w:rPr>
        <w:t>（11.2.8-</w:t>
      </w:r>
      <w:r>
        <w:rPr>
          <w:rFonts w:hint="eastAsia" w:ascii="宋体" w:hAnsi="宋体" w:eastAsia="宋体" w:cs="宋体"/>
          <w:b w:val="0"/>
          <w:bCs w:val="0"/>
          <w:color w:val="auto"/>
          <w:sz w:val="24"/>
          <w:highlight w:val="none"/>
          <w:lang w:val="en-US" w:eastAsia="zh-CN"/>
        </w:rPr>
        <w:t>6</w:t>
      </w:r>
      <w:r>
        <w:rPr>
          <w:rFonts w:hint="eastAsia" w:ascii="宋体" w:hAnsi="宋体" w:eastAsia="宋体" w:cs="宋体"/>
          <w:b w:val="0"/>
          <w:bCs w:val="0"/>
          <w:color w:val="auto"/>
          <w:sz w:val="24"/>
          <w:highlight w:val="none"/>
          <w:lang w:val="zh-CN" w:eastAsia="zh-CN"/>
        </w:rPr>
        <w:t>）</w:t>
      </w:r>
      <w:r>
        <w:rPr>
          <w:rFonts w:hint="eastAsia" w:ascii="宋体" w:hAnsi="宋体" w:cs="宋体"/>
          <w:b w:val="0"/>
          <w:bCs w:val="0"/>
          <w:color w:val="auto"/>
          <w:sz w:val="24"/>
          <w:szCs w:val="24"/>
          <w:highlight w:val="none"/>
          <w:lang w:val="en-US" w:eastAsia="zh-CN"/>
        </w:rPr>
        <w:t>实验室质量控制方案</w:t>
      </w:r>
      <w:r>
        <w:rPr>
          <w:rFonts w:hint="eastAsia" w:ascii="宋体" w:hAnsi="宋体" w:eastAsia="宋体" w:cs="宋体"/>
          <w:b w:val="0"/>
          <w:bCs w:val="0"/>
          <w:color w:val="auto"/>
          <w:sz w:val="24"/>
          <w:highlight w:val="none"/>
          <w:lang w:val="en-US" w:eastAsia="zh-CN"/>
        </w:rPr>
        <w:t>；</w:t>
      </w:r>
    </w:p>
    <w:p w14:paraId="5D60AD09">
      <w:pPr>
        <w:snapToGrid w:val="0"/>
        <w:spacing w:line="360" w:lineRule="auto"/>
        <w:ind w:firstLine="960" w:firstLineChars="4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（11.2.8-</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zh-CN" w:eastAsia="zh-CN"/>
        </w:rPr>
        <w:t>）紧急标本检测方案</w:t>
      </w:r>
      <w:r>
        <w:rPr>
          <w:rFonts w:hint="eastAsia" w:ascii="宋体" w:hAnsi="宋体" w:eastAsia="宋体" w:cs="宋体"/>
          <w:b w:val="0"/>
          <w:bCs w:val="0"/>
          <w:color w:val="auto"/>
          <w:sz w:val="24"/>
          <w:highlight w:val="none"/>
          <w:lang w:val="en-US" w:eastAsia="zh-CN"/>
        </w:rPr>
        <w:t>；</w:t>
      </w:r>
    </w:p>
    <w:p w14:paraId="38CADE4F">
      <w:pPr>
        <w:snapToGrid w:val="0"/>
        <w:spacing w:line="360" w:lineRule="auto"/>
        <w:ind w:firstLine="960" w:firstLineChars="4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zh-CN" w:eastAsia="zh-CN"/>
        </w:rPr>
        <w:t>（11.2.8-</w:t>
      </w:r>
      <w:r>
        <w:rPr>
          <w:rFonts w:hint="eastAsia" w:ascii="宋体" w:hAnsi="宋体" w:cs="宋体"/>
          <w:b w:val="0"/>
          <w:bCs w:val="0"/>
          <w:color w:val="auto"/>
          <w:sz w:val="24"/>
          <w:highlight w:val="none"/>
          <w:lang w:val="en-US" w:eastAsia="zh-CN"/>
        </w:rPr>
        <w:t>8</w:t>
      </w:r>
      <w:r>
        <w:rPr>
          <w:rFonts w:hint="eastAsia" w:ascii="宋体" w:hAnsi="宋体" w:cs="宋体"/>
          <w:b w:val="0"/>
          <w:bCs w:val="0"/>
          <w:color w:val="auto"/>
          <w:sz w:val="24"/>
          <w:highlight w:val="none"/>
          <w:lang w:val="zh-CN" w:eastAsia="zh-CN"/>
        </w:rPr>
        <w:t>）冷链物流方案</w:t>
      </w:r>
      <w:r>
        <w:rPr>
          <w:rFonts w:hint="eastAsia" w:ascii="宋体" w:hAnsi="宋体" w:cs="宋体"/>
          <w:b w:val="0"/>
          <w:bCs w:val="0"/>
          <w:color w:val="auto"/>
          <w:sz w:val="24"/>
          <w:highlight w:val="none"/>
          <w:lang w:val="en-US" w:eastAsia="zh-CN"/>
        </w:rPr>
        <w:t>；</w:t>
      </w:r>
    </w:p>
    <w:p w14:paraId="3E2AE76C">
      <w:pPr>
        <w:snapToGrid w:val="0"/>
        <w:spacing w:line="360" w:lineRule="auto"/>
        <w:ind w:firstLine="960" w:firstLineChars="400"/>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zh-CN"/>
        </w:rPr>
        <w:t>（11.2.8-</w:t>
      </w:r>
      <w:r>
        <w:rPr>
          <w:rFonts w:hint="eastAsia" w:ascii="宋体" w:hAnsi="宋体" w:eastAsia="宋体" w:cs="宋体"/>
          <w:b w:val="0"/>
          <w:bCs w:val="0"/>
          <w:color w:val="auto"/>
          <w:sz w:val="24"/>
          <w:highlight w:val="none"/>
          <w:lang w:val="en-US" w:eastAsia="zh-CN"/>
        </w:rPr>
        <w:t>9</w:t>
      </w:r>
      <w:r>
        <w:rPr>
          <w:rFonts w:hint="eastAsia" w:ascii="宋体" w:hAnsi="宋体" w:eastAsia="宋体" w:cs="宋体"/>
          <w:b w:val="0"/>
          <w:bCs w:val="0"/>
          <w:color w:val="auto"/>
          <w:sz w:val="24"/>
          <w:highlight w:val="none"/>
          <w:lang w:val="zh-CN" w:eastAsia="zh-CN"/>
        </w:rPr>
        <w:t>）</w:t>
      </w:r>
      <w:r>
        <w:rPr>
          <w:rFonts w:hint="eastAsia" w:ascii="宋体" w:hAnsi="宋体" w:cs="宋体"/>
          <w:b w:val="0"/>
          <w:bCs w:val="0"/>
          <w:color w:val="auto"/>
          <w:sz w:val="24"/>
          <w:highlight w:val="none"/>
          <w:lang w:val="en-US" w:eastAsia="zh-CN"/>
        </w:rPr>
        <w:t>增值服务</w:t>
      </w:r>
      <w:r>
        <w:rPr>
          <w:rFonts w:hint="eastAsia" w:ascii="宋体" w:hAnsi="宋体" w:eastAsia="宋体" w:cs="宋体"/>
          <w:b w:val="0"/>
          <w:bCs w:val="0"/>
          <w:color w:val="auto"/>
          <w:sz w:val="24"/>
          <w:highlight w:val="none"/>
          <w:lang w:val="zh-CN" w:eastAsia="zh-CN"/>
        </w:rPr>
        <w:t>；</w:t>
      </w:r>
    </w:p>
    <w:p w14:paraId="7A5D68B8">
      <w:pPr>
        <w:snapToGrid w:val="0"/>
        <w:spacing w:line="360" w:lineRule="auto"/>
        <w:ind w:firstLine="960" w:firstLineChars="4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（11.2.8-</w:t>
      </w:r>
      <w:r>
        <w:rPr>
          <w:rFonts w:hint="eastAsia" w:ascii="宋体" w:hAnsi="宋体" w:eastAsia="宋体" w:cs="宋体"/>
          <w:b w:val="0"/>
          <w:bCs w:val="0"/>
          <w:color w:val="auto"/>
          <w:sz w:val="24"/>
          <w:highlight w:val="none"/>
          <w:lang w:val="en-US" w:eastAsia="zh-CN"/>
        </w:rPr>
        <w:t>10</w:t>
      </w:r>
      <w:r>
        <w:rPr>
          <w:rFonts w:hint="eastAsia" w:ascii="宋体" w:hAnsi="宋体" w:eastAsia="宋体" w:cs="宋体"/>
          <w:b w:val="0"/>
          <w:bCs w:val="0"/>
          <w:color w:val="auto"/>
          <w:sz w:val="24"/>
          <w:highlight w:val="none"/>
          <w:lang w:val="zh-CN" w:eastAsia="zh-CN"/>
        </w:rPr>
        <w:t>）</w:t>
      </w:r>
      <w:r>
        <w:rPr>
          <w:rFonts w:hint="eastAsia" w:ascii="宋体" w:hAnsi="宋体" w:cs="宋体"/>
          <w:b w:val="0"/>
          <w:bCs w:val="0"/>
          <w:color w:val="auto"/>
          <w:sz w:val="24"/>
          <w:highlight w:val="none"/>
          <w:lang w:val="en-US" w:eastAsia="zh-CN"/>
        </w:rPr>
        <w:t>保密</w:t>
      </w:r>
      <w:r>
        <w:rPr>
          <w:rFonts w:hint="eastAsia" w:ascii="宋体" w:hAnsi="宋体" w:eastAsia="宋体" w:cs="宋体"/>
          <w:b w:val="0"/>
          <w:bCs w:val="0"/>
          <w:color w:val="auto"/>
          <w:sz w:val="24"/>
          <w:highlight w:val="none"/>
          <w:lang w:val="en-US" w:eastAsia="zh-CN"/>
        </w:rPr>
        <w:t>方案；</w:t>
      </w:r>
    </w:p>
    <w:p w14:paraId="2C0042F2">
      <w:pPr>
        <w:snapToGrid w:val="0"/>
        <w:spacing w:line="360" w:lineRule="auto"/>
        <w:ind w:firstLine="960" w:firstLineChars="400"/>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zh-CN"/>
        </w:rPr>
        <w:t>（11.2.8-</w:t>
      </w:r>
      <w:r>
        <w:rPr>
          <w:rFonts w:hint="eastAsia" w:ascii="宋体" w:hAnsi="宋体" w:eastAsia="宋体" w:cs="宋体"/>
          <w:b w:val="0"/>
          <w:bCs w:val="0"/>
          <w:color w:val="auto"/>
          <w:sz w:val="24"/>
          <w:highlight w:val="none"/>
          <w:lang w:val="en-US" w:eastAsia="zh-CN"/>
        </w:rPr>
        <w:t>11</w:t>
      </w:r>
      <w:r>
        <w:rPr>
          <w:rFonts w:hint="eastAsia" w:ascii="宋体" w:hAnsi="宋体" w:eastAsia="宋体" w:cs="宋体"/>
          <w:b w:val="0"/>
          <w:bCs w:val="0"/>
          <w:color w:val="auto"/>
          <w:sz w:val="24"/>
          <w:highlight w:val="none"/>
          <w:lang w:val="zh-CN" w:eastAsia="zh-CN"/>
        </w:rPr>
        <w:t>）拟投入的实验室团队人员</w:t>
      </w:r>
      <w:r>
        <w:rPr>
          <w:rFonts w:hint="eastAsia" w:ascii="宋体" w:hAnsi="宋体" w:cs="宋体"/>
          <w:b w:val="0"/>
          <w:bCs w:val="0"/>
          <w:color w:val="auto"/>
          <w:sz w:val="24"/>
          <w:highlight w:val="none"/>
          <w:lang w:val="zh-CN" w:eastAsia="zh-CN"/>
        </w:rPr>
        <w:t>；</w:t>
      </w:r>
    </w:p>
    <w:p w14:paraId="7E0B1DF1">
      <w:pPr>
        <w:snapToGrid w:val="0"/>
        <w:spacing w:line="360" w:lineRule="auto"/>
        <w:ind w:firstLine="960" w:firstLineChars="4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（11.2.8-</w:t>
      </w:r>
      <w:r>
        <w:rPr>
          <w:rFonts w:hint="eastAsia" w:ascii="宋体" w:hAnsi="宋体" w:eastAsia="宋体" w:cs="宋体"/>
          <w:b w:val="0"/>
          <w:bCs w:val="0"/>
          <w:color w:val="auto"/>
          <w:sz w:val="24"/>
          <w:highlight w:val="none"/>
          <w:lang w:val="en-US" w:eastAsia="zh-CN"/>
        </w:rPr>
        <w:t>1</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val="zh-CN" w:eastAsia="zh-CN"/>
        </w:rPr>
        <w:t>）业绩一览表</w:t>
      </w:r>
      <w:r>
        <w:rPr>
          <w:rFonts w:hint="eastAsia" w:ascii="宋体" w:hAnsi="宋体" w:eastAsia="宋体" w:cs="宋体"/>
          <w:b w:val="0"/>
          <w:bCs w:val="0"/>
          <w:color w:val="auto"/>
          <w:sz w:val="24"/>
          <w:highlight w:val="none"/>
          <w:lang w:val="en-US" w:eastAsia="zh-CN"/>
        </w:rPr>
        <w:t>及合同扫描件</w:t>
      </w:r>
      <w:r>
        <w:rPr>
          <w:rFonts w:hint="eastAsia" w:ascii="宋体" w:hAnsi="宋体" w:cs="宋体"/>
          <w:b w:val="0"/>
          <w:bCs w:val="0"/>
          <w:color w:val="auto"/>
          <w:sz w:val="24"/>
          <w:highlight w:val="none"/>
          <w:lang w:val="en-US" w:eastAsia="zh-CN"/>
        </w:rPr>
        <w:t>加盖公章（如有请提供）</w:t>
      </w:r>
      <w:r>
        <w:rPr>
          <w:rFonts w:hint="eastAsia" w:ascii="宋体" w:hAnsi="宋体" w:eastAsia="宋体" w:cs="宋体"/>
          <w:b w:val="0"/>
          <w:bCs w:val="0"/>
          <w:color w:val="auto"/>
          <w:sz w:val="24"/>
          <w:highlight w:val="none"/>
          <w:lang w:val="en-US" w:eastAsia="zh-CN"/>
        </w:rPr>
        <w:t>；</w:t>
      </w:r>
    </w:p>
    <w:p w14:paraId="229844C6">
      <w:pPr>
        <w:snapToGrid w:val="0"/>
        <w:spacing w:line="360" w:lineRule="auto"/>
        <w:ind w:firstLine="482" w:firstLineChars="200"/>
        <w:rPr>
          <w:rFonts w:ascii="宋体" w:hAnsi="宋体" w:cs="宋体"/>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0249EA1">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11.3.1开标一览表；</w:t>
      </w:r>
    </w:p>
    <w:p w14:paraId="4DE15233">
      <w:pPr>
        <w:snapToGrid w:val="0"/>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中小企业声明函（如有）；</w:t>
      </w:r>
    </w:p>
    <w:p w14:paraId="36C7F000">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lang w:val="en-US" w:eastAsia="zh-CN"/>
        </w:rPr>
        <w:t>11.3.3</w:t>
      </w:r>
      <w:r>
        <w:rPr>
          <w:rFonts w:hint="eastAsia" w:ascii="宋体" w:hAnsi="宋体" w:cs="宋体"/>
          <w:color w:val="auto"/>
          <w:sz w:val="24"/>
          <w:highlight w:val="none"/>
        </w:rPr>
        <w:t>残疾人福利性单位声明函(如有）；</w:t>
      </w:r>
    </w:p>
    <w:p w14:paraId="501F9E60">
      <w:pPr>
        <w:spacing w:line="360" w:lineRule="auto"/>
        <w:ind w:firstLine="720" w:firstLineChars="300"/>
        <w:rPr>
          <w:rFonts w:hint="eastAsia" w:ascii="宋体" w:hAnsi="宋体" w:cs="宋体"/>
          <w:b/>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3.4</w:t>
      </w:r>
      <w:r>
        <w:rPr>
          <w:rFonts w:hint="eastAsia" w:ascii="宋体" w:hAnsi="宋体" w:cs="宋体"/>
          <w:color w:val="auto"/>
          <w:sz w:val="24"/>
          <w:highlight w:val="none"/>
        </w:rPr>
        <w:t>由省级以上监狱管理局、戒毒管理局（含新疆生产建设兵团）出具的属于监狱企业的证明文件（如有）。</w:t>
      </w:r>
    </w:p>
    <w:p w14:paraId="08CC9E9B">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83CFC4A">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5290F0B2">
      <w:pPr>
        <w:snapToGrid w:val="0"/>
        <w:spacing w:line="360" w:lineRule="auto"/>
        <w:rPr>
          <w:rFonts w:ascii="宋体" w:hAnsi="宋体" w:cs="宋体"/>
          <w:b/>
          <w:color w:val="auto"/>
          <w:sz w:val="24"/>
          <w:highlight w:val="none"/>
        </w:rPr>
      </w:pPr>
      <w:bookmarkStart w:id="38" w:name="_Toc14413"/>
      <w:r>
        <w:rPr>
          <w:rFonts w:hint="eastAsia" w:ascii="宋体" w:hAnsi="宋体" w:cs="宋体"/>
          <w:b/>
          <w:color w:val="auto"/>
          <w:sz w:val="24"/>
          <w:highlight w:val="none"/>
        </w:rPr>
        <w:t>12</w:t>
      </w:r>
      <w:r>
        <w:rPr>
          <w:rFonts w:hint="eastAsia" w:ascii="宋体" w:hAnsi="宋体" w:cs="宋体"/>
          <w:b/>
          <w:color w:val="auto"/>
          <w:sz w:val="24"/>
          <w:highlight w:val="none"/>
          <w:lang w:val="zh-CN"/>
        </w:rPr>
        <w:t xml:space="preserve">. </w:t>
      </w:r>
      <w:r>
        <w:rPr>
          <w:rFonts w:hint="eastAsia" w:ascii="宋体" w:hAnsi="宋体" w:cs="宋体"/>
          <w:b/>
          <w:color w:val="auto"/>
          <w:sz w:val="24"/>
          <w:highlight w:val="none"/>
        </w:rPr>
        <w:t>投标文件的编制</w:t>
      </w:r>
      <w:bookmarkEnd w:id="38"/>
    </w:p>
    <w:p w14:paraId="060E5350">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D1AC8A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FA40A8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AC98C7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7F07F83">
      <w:pPr>
        <w:pStyle w:val="131"/>
        <w:snapToGrid w:val="0"/>
        <w:spacing w:before="0"/>
        <w:ind w:firstLine="480"/>
        <w:rPr>
          <w:rFonts w:ascii="宋体" w:hAnsi="宋体" w:cs="宋体"/>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p>
    <w:p w14:paraId="4EBFE285">
      <w:pPr>
        <w:pStyle w:val="131"/>
        <w:snapToGrid w:val="0"/>
        <w:spacing w:before="0"/>
        <w:ind w:firstLine="480"/>
        <w:rPr>
          <w:rFonts w:ascii="宋体" w:hAnsi="宋体" w:cs="宋体"/>
          <w:b/>
          <w:color w:val="auto"/>
          <w:highlight w:val="none"/>
        </w:rPr>
      </w:pPr>
      <w:r>
        <w:rPr>
          <w:rFonts w:hint="eastAsia" w:ascii="宋体" w:hAnsi="宋体" w:cs="宋体"/>
          <w:bCs/>
          <w:color w:val="auto"/>
          <w:szCs w:val="21"/>
          <w:highlight w:val="none"/>
        </w:rPr>
        <w:t>★</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134555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13.2为确保网上操作合法、有效和安全，投标人应当在投标截止时间前完成在“政府采购云平台”的身份认证，确保在电子投标过程中能够对相关数据电文进行加密和使用电子签章。</w:t>
      </w:r>
    </w:p>
    <w:p w14:paraId="73F8A662">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13.3招标文件对投标文件签署、盖章的要求适用于电子签章。</w:t>
      </w:r>
    </w:p>
    <w:p w14:paraId="798481C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B93ED58">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1962C58">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95C4DC7">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3C631F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08763686">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15.1投标人在电子交易平台传输递交投标文件后，还可以在投标截止时间前直接提交或者以邮寄方式递交备份投标文件1份，</w:t>
      </w:r>
      <w:r>
        <w:rPr>
          <w:rFonts w:hint="eastAsia" w:hAnsi="宋体" w:cs="宋体"/>
          <w:b/>
          <w:color w:val="auto"/>
          <w:sz w:val="24"/>
          <w:szCs w:val="24"/>
          <w:highlight w:val="none"/>
        </w:rPr>
        <w:t>但采购人、采购代理机构不强制投标人提交备份投标文件。</w:t>
      </w:r>
    </w:p>
    <w:p w14:paraId="6C29F07D">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kern w:val="28"/>
          <w:sz w:val="24"/>
          <w:highlight w:val="none"/>
        </w:rPr>
        <w:t>U盘存储</w:t>
      </w:r>
      <w:r>
        <w:rPr>
          <w:rFonts w:hint="eastAsia" w:hAnsi="宋体" w:cs="宋体"/>
          <w:color w:val="auto"/>
          <w:sz w:val="24"/>
          <w:highlight w:val="none"/>
        </w:rPr>
        <w:t>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80032A1">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15.3直接提交备份投标文件的，投标人应于投标截止时间前在招标文件第二部分投标人须知前附表载明地点将备份投标文件提交给采购代理机构，采购代理机构将拒绝接受逾期送达的备份投标文件。</w:t>
      </w:r>
    </w:p>
    <w:p w14:paraId="057BF140">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15.4以邮寄方式递交备份投标文件的，投标人应先将备份投标文件按要求密封和标记，再进行邮件外包装后邮寄。备份投标文件须在招标文件第二部分投标人须知前附表规定截止时间之前送达到规定的地点</w:t>
      </w:r>
      <w:r>
        <w:rPr>
          <w:rFonts w:hint="eastAsia" w:hAnsi="宋体" w:cs="宋体"/>
          <w:snapToGrid/>
          <w:color w:val="auto"/>
          <w:sz w:val="24"/>
          <w:szCs w:val="24"/>
          <w:highlight w:val="none"/>
        </w:rPr>
        <w:t>；</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A9D8C03">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08165FF">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E327A53">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4396A196">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1652192">
      <w:pPr>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17.1投标有效期为从提交投标文件的截止之日起90天。</w:t>
      </w:r>
    </w:p>
    <w:p w14:paraId="5DB94404">
      <w:pPr>
        <w:spacing w:line="360" w:lineRule="auto"/>
        <w:ind w:firstLine="420" w:firstLineChars="200"/>
        <w:rPr>
          <w:rFonts w:ascii="宋体" w:hAnsi="宋体" w:cs="宋体"/>
          <w:b/>
          <w:color w:val="auto"/>
          <w:sz w:val="24"/>
          <w:szCs w:val="21"/>
          <w:highlight w:val="none"/>
        </w:rPr>
      </w:pPr>
      <w:r>
        <w:rPr>
          <w:rFonts w:hint="eastAsia" w:ascii="宋体" w:hAnsi="宋体" w:cs="宋体"/>
          <w:bCs/>
          <w:color w:val="auto"/>
          <w:szCs w:val="21"/>
          <w:highlight w:val="none"/>
        </w:rPr>
        <w:t>★</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0154972">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0593633">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0030CCA">
      <w:pPr>
        <w:pStyle w:val="131"/>
        <w:spacing w:before="0"/>
        <w:ind w:firstLine="643"/>
        <w:rPr>
          <w:rFonts w:ascii="宋体" w:hAnsi="宋体" w:cs="宋体"/>
          <w:b/>
          <w:color w:val="auto"/>
          <w:sz w:val="32"/>
          <w:highlight w:val="none"/>
        </w:rPr>
      </w:pPr>
    </w:p>
    <w:p w14:paraId="21775644">
      <w:pPr>
        <w:pStyle w:val="131"/>
        <w:spacing w:before="0"/>
        <w:ind w:firstLine="1928" w:firstLineChars="600"/>
        <w:outlineLvl w:val="1"/>
        <w:rPr>
          <w:rFonts w:ascii="宋体" w:hAnsi="宋体" w:cs="宋体"/>
          <w:b/>
          <w:color w:val="auto"/>
          <w:sz w:val="32"/>
          <w:highlight w:val="none"/>
        </w:rPr>
      </w:pPr>
      <w:bookmarkStart w:id="39" w:name="_Toc24357"/>
      <w:r>
        <w:rPr>
          <w:rFonts w:hint="eastAsia" w:ascii="宋体" w:hAnsi="宋体" w:cs="宋体"/>
          <w:b/>
          <w:color w:val="auto"/>
          <w:sz w:val="32"/>
          <w:highlight w:val="none"/>
        </w:rPr>
        <w:t>四、开标、资格审查与信用信息查询</w:t>
      </w:r>
      <w:bookmarkEnd w:id="39"/>
    </w:p>
    <w:p w14:paraId="1F2421C1">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384AA5CA">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16C66A17">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548C3ED">
      <w:pPr>
        <w:pStyle w:val="556"/>
        <w:spacing w:before="0" w:line="360" w:lineRule="auto"/>
        <w:ind w:left="0" w:firstLine="241" w:firstLineChars="100"/>
        <w:contextualSpacing/>
        <w:rPr>
          <w:rFonts w:ascii="宋体" w:hAnsi="宋体" w:cs="宋体"/>
          <w:b/>
          <w:color w:val="auto"/>
          <w:sz w:val="24"/>
          <w:highlight w:val="none"/>
        </w:rPr>
      </w:pPr>
      <w:r>
        <w:rPr>
          <w:rFonts w:hint="eastAsia" w:ascii="宋体" w:hAnsi="宋体" w:cs="宋体"/>
          <w:b/>
          <w:bCs/>
          <w:color w:val="auto"/>
          <w:sz w:val="24"/>
          <w:highlight w:val="none"/>
        </w:rPr>
        <w:t>　18.3投标</w:t>
      </w:r>
      <w:r>
        <w:rPr>
          <w:rFonts w:hint="eastAsia" w:ascii="宋体" w:hAnsi="宋体" w:cs="宋体"/>
          <w:b/>
          <w:color w:val="auto"/>
          <w:sz w:val="24"/>
          <w:highlight w:val="none"/>
        </w:rPr>
        <w:t>文件未按时解密，投标人提供了备份投标文件的，以备份投标文件作为依据，否则视为投标文件撤回。投标文件已按时解密的，备份投标文件自动失效。</w:t>
      </w:r>
    </w:p>
    <w:p w14:paraId="253738C3">
      <w:pPr>
        <w:widowControl/>
        <w:snapToGrid w:val="0"/>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201724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79C0F251">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B33FE8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75EAD3A3">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1516AACE">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C980EB0">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08B4C9B9">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7A1846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4B84DC4F">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9124B0C">
      <w:pPr>
        <w:pStyle w:val="131"/>
        <w:spacing w:before="0"/>
        <w:ind w:firstLine="0" w:firstLineChars="0"/>
        <w:rPr>
          <w:rFonts w:ascii="宋体" w:hAnsi="宋体" w:cs="宋体"/>
          <w:color w:val="auto"/>
          <w:kern w:val="0"/>
          <w:szCs w:val="24"/>
          <w:highlight w:val="none"/>
        </w:rPr>
      </w:pPr>
    </w:p>
    <w:p w14:paraId="036F1223">
      <w:pPr>
        <w:snapToGrid w:val="0"/>
        <w:spacing w:line="360" w:lineRule="auto"/>
        <w:jc w:val="center"/>
        <w:outlineLvl w:val="1"/>
        <w:rPr>
          <w:rFonts w:ascii="宋体" w:hAnsi="宋体" w:cs="宋体"/>
          <w:b/>
          <w:color w:val="auto"/>
          <w:sz w:val="36"/>
          <w:szCs w:val="36"/>
          <w:highlight w:val="none"/>
        </w:rPr>
      </w:pPr>
      <w:bookmarkStart w:id="40" w:name="_Toc23139"/>
      <w:r>
        <w:rPr>
          <w:rFonts w:hint="eastAsia" w:ascii="宋体" w:hAnsi="宋体" w:cs="宋体"/>
          <w:b/>
          <w:color w:val="auto"/>
          <w:sz w:val="36"/>
          <w:szCs w:val="36"/>
          <w:highlight w:val="none"/>
        </w:rPr>
        <w:t>五、评标</w:t>
      </w:r>
      <w:bookmarkEnd w:id="40"/>
    </w:p>
    <w:p w14:paraId="402A2405">
      <w:pPr>
        <w:spacing w:line="360" w:lineRule="auto"/>
        <w:rPr>
          <w:rFonts w:ascii="宋体" w:hAnsi="宋体" w:cs="宋体"/>
          <w:color w:val="auto"/>
          <w:sz w:val="24"/>
          <w:highlight w:val="none"/>
        </w:rPr>
      </w:pPr>
      <w:bookmarkStart w:id="41" w:name="_Toc91899903"/>
      <w:r>
        <w:rPr>
          <w:rFonts w:hint="eastAsia" w:ascii="宋体" w:hAnsi="宋体" w:cs="宋体"/>
          <w:bCs/>
          <w:color w:val="auto"/>
          <w:sz w:val="24"/>
          <w:highlight w:val="none"/>
        </w:rPr>
        <w:t>21.</w:t>
      </w:r>
      <w:r>
        <w:rPr>
          <w:rFonts w:hint="eastAsia" w:ascii="宋体" w:hAnsi="宋体" w:cs="宋体"/>
          <w:bCs/>
          <w:color w:val="auto"/>
          <w:highlight w:val="none"/>
        </w:rPr>
        <w:t xml:space="preserve"> </w:t>
      </w:r>
      <w:r>
        <w:rPr>
          <w:rFonts w:hint="eastAsia" w:ascii="宋体" w:hAnsi="宋体" w:cs="宋体"/>
          <w:bCs/>
          <w:color w:val="auto"/>
          <w:sz w:val="24"/>
          <w:highlight w:val="none"/>
        </w:rPr>
        <w:t>评</w:t>
      </w:r>
      <w:r>
        <w:rPr>
          <w:rFonts w:hint="eastAsia" w:ascii="宋体" w:hAnsi="宋体" w:cs="宋体"/>
          <w:color w:val="auto"/>
          <w:sz w:val="24"/>
          <w:highlight w:val="none"/>
        </w:rPr>
        <w:t>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680DEEEC">
      <w:pPr>
        <w:spacing w:line="360" w:lineRule="auto"/>
        <w:rPr>
          <w:rFonts w:ascii="宋体" w:hAnsi="宋体" w:cs="宋体"/>
          <w:b/>
          <w:color w:val="auto"/>
          <w:sz w:val="24"/>
          <w:highlight w:val="none"/>
        </w:rPr>
      </w:pPr>
      <w:r>
        <w:rPr>
          <w:rFonts w:hint="eastAsia" w:ascii="宋体" w:hAnsi="宋体" w:cs="宋体"/>
          <w:b/>
          <w:color w:val="auto"/>
          <w:sz w:val="24"/>
          <w:highlight w:val="none"/>
        </w:rPr>
        <w:t>详见招标文件第四部分评标办法。</w:t>
      </w:r>
    </w:p>
    <w:p w14:paraId="705897C6">
      <w:pPr>
        <w:spacing w:line="360" w:lineRule="auto"/>
        <w:rPr>
          <w:rFonts w:ascii="宋体" w:hAnsi="宋体" w:cs="宋体"/>
          <w:b/>
          <w:color w:val="auto"/>
          <w:sz w:val="24"/>
          <w:highlight w:val="none"/>
        </w:rPr>
      </w:pPr>
    </w:p>
    <w:p w14:paraId="5A20EDC2">
      <w:pPr>
        <w:snapToGrid w:val="0"/>
        <w:spacing w:line="360" w:lineRule="auto"/>
        <w:jc w:val="center"/>
        <w:outlineLvl w:val="1"/>
        <w:rPr>
          <w:rFonts w:ascii="宋体" w:hAnsi="宋体" w:cs="宋体"/>
          <w:b/>
          <w:color w:val="auto"/>
          <w:sz w:val="36"/>
          <w:szCs w:val="36"/>
          <w:highlight w:val="none"/>
        </w:rPr>
      </w:pPr>
      <w:bookmarkStart w:id="42" w:name="_Toc32708"/>
      <w:r>
        <w:rPr>
          <w:rFonts w:hint="eastAsia" w:ascii="宋体" w:hAnsi="宋体" w:cs="宋体"/>
          <w:b/>
          <w:color w:val="auto"/>
          <w:sz w:val="36"/>
          <w:szCs w:val="36"/>
          <w:highlight w:val="none"/>
        </w:rPr>
        <w:t>六、定 标</w:t>
      </w:r>
      <w:bookmarkEnd w:id="42"/>
    </w:p>
    <w:p w14:paraId="3660C862">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B842792">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个工作日内在线确定中标或者成交供应商。中标、成交通知书和中标、成交结果公告应当在规定时间内同时发出。</w:t>
      </w:r>
    </w:p>
    <w:p w14:paraId="19C77F14">
      <w:pPr>
        <w:pStyle w:val="131"/>
        <w:numPr>
          <w:ilvl w:val="0"/>
          <w:numId w:val="1"/>
        </w:numPr>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中标通知与中标结果公告</w:t>
      </w:r>
    </w:p>
    <w:p w14:paraId="08BFCDEB">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23.1自中标人确定之日起2个工作日内，采购代理机构向中标人发出中标通知书，同时编制发布采购结果公告。采购代理机构也可以以纸质形式进行中标通知。</w:t>
      </w:r>
    </w:p>
    <w:p w14:paraId="089C574D">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或者标的基本概况等、中标公告期限以及评审专家名单、评分汇总及明细。</w:t>
      </w:r>
    </w:p>
    <w:p w14:paraId="6EB6C00B">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23.3公告期限为1个工作日。</w:t>
      </w:r>
    </w:p>
    <w:p w14:paraId="5DC7F4C6">
      <w:pPr>
        <w:snapToGrid w:val="0"/>
        <w:spacing w:line="360" w:lineRule="auto"/>
        <w:ind w:left="120" w:leftChars="57" w:firstLine="482" w:firstLineChars="150"/>
        <w:jc w:val="center"/>
        <w:rPr>
          <w:rFonts w:ascii="宋体" w:hAnsi="宋体" w:cs="宋体"/>
          <w:b/>
          <w:color w:val="auto"/>
          <w:sz w:val="32"/>
          <w:highlight w:val="none"/>
        </w:rPr>
      </w:pPr>
    </w:p>
    <w:p w14:paraId="7EF2EBD8">
      <w:pPr>
        <w:snapToGrid w:val="0"/>
        <w:spacing w:line="360" w:lineRule="auto"/>
        <w:ind w:left="120" w:leftChars="57" w:firstLine="482" w:firstLineChars="150"/>
        <w:jc w:val="center"/>
        <w:outlineLvl w:val="1"/>
        <w:rPr>
          <w:rFonts w:ascii="宋体" w:hAnsi="宋体" w:cs="宋体"/>
          <w:b/>
          <w:color w:val="auto"/>
          <w:sz w:val="32"/>
          <w:highlight w:val="none"/>
        </w:rPr>
      </w:pPr>
      <w:bookmarkStart w:id="43" w:name="_Toc22272"/>
      <w:r>
        <w:rPr>
          <w:rFonts w:hint="eastAsia" w:ascii="宋体" w:hAnsi="宋体" w:cs="宋体"/>
          <w:b/>
          <w:color w:val="auto"/>
          <w:sz w:val="32"/>
          <w:highlight w:val="none"/>
        </w:rPr>
        <w:t>七、合同授予</w:t>
      </w:r>
      <w:bookmarkEnd w:id="43"/>
    </w:p>
    <w:p w14:paraId="014CAE63">
      <w:pPr>
        <w:pStyle w:val="26"/>
        <w:spacing w:line="360" w:lineRule="auto"/>
        <w:ind w:left="479" w:hanging="479" w:hangingChars="199"/>
        <w:rPr>
          <w:rFonts w:cs="宋体"/>
          <w:b/>
          <w:color w:val="auto"/>
          <w:highlight w:val="none"/>
        </w:rPr>
      </w:pPr>
      <w:r>
        <w:rPr>
          <w:rFonts w:hint="eastAsia" w:cs="宋体"/>
          <w:b/>
          <w:color w:val="auto"/>
          <w:highlight w:val="none"/>
        </w:rPr>
        <w:t>24. 合同主要条款详见第五部分拟签订的合同文本。</w:t>
      </w:r>
    </w:p>
    <w:p w14:paraId="12F1187D">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31BF2518">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25.1 采购人与中标供应商应当在中标通知书发出之日起三十日内，按照招标文件及中标供应商的投标文件确定的事项签订政府采购合同，并在合同签订之日起2个工作日内依法发布合同公告。</w:t>
      </w:r>
    </w:p>
    <w:p w14:paraId="3C08A98B">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4C32C3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EED3D5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B3BE418">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FD4276E">
      <w:pPr>
        <w:pStyle w:val="26"/>
        <w:spacing w:line="360" w:lineRule="auto"/>
        <w:ind w:left="479" w:hanging="479" w:hangingChars="199"/>
        <w:rPr>
          <w:rFonts w:cs="宋体"/>
          <w:b/>
          <w:color w:val="auto"/>
          <w:highlight w:val="none"/>
        </w:rPr>
      </w:pPr>
      <w:r>
        <w:rPr>
          <w:rFonts w:hint="eastAsia" w:cs="宋体"/>
          <w:b/>
          <w:color w:val="auto"/>
          <w:highlight w:val="none"/>
        </w:rPr>
        <w:t>26. 履约保证金（如有）</w:t>
      </w:r>
    </w:p>
    <w:p w14:paraId="5C75FBB3">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拟签订的合同文本如要求中标供应商提交履约保证金的，供应商应当以支票、汇票、本票或者金融机构、担保机构出具的保函等非现金形式提交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p>
    <w:p w14:paraId="0EECBE34">
      <w:pPr>
        <w:pStyle w:val="6"/>
        <w:ind w:left="0" w:firstLine="480" w:firstLineChars="200"/>
        <w:rPr>
          <w:rFonts w:ascii="宋体" w:hAnsi="宋体" w:eastAsia="宋体" w:cs="宋体"/>
          <w:b w:val="0"/>
          <w:bCs w:val="0"/>
          <w:snapToGrid w:val="0"/>
          <w:color w:val="auto"/>
          <w:kern w:val="28"/>
          <w:sz w:val="24"/>
          <w:highlight w:val="none"/>
        </w:rPr>
      </w:pPr>
      <w:bookmarkStart w:id="44" w:name="_Toc5410"/>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44"/>
    </w:p>
    <w:p w14:paraId="6D95F17A">
      <w:pPr>
        <w:rPr>
          <w:color w:val="auto"/>
          <w:highlight w:val="none"/>
        </w:rPr>
      </w:pPr>
    </w:p>
    <w:p w14:paraId="28E1C8B2">
      <w:pPr>
        <w:rPr>
          <w:rFonts w:ascii="宋体" w:hAnsi="宋体" w:cs="宋体"/>
          <w:b/>
          <w:color w:val="auto"/>
          <w:sz w:val="32"/>
          <w:highlight w:val="none"/>
        </w:rPr>
      </w:pPr>
      <w:bookmarkStart w:id="45" w:name="_Toc362"/>
    </w:p>
    <w:p w14:paraId="75037482">
      <w:pPr>
        <w:snapToGrid w:val="0"/>
        <w:spacing w:line="360" w:lineRule="auto"/>
        <w:jc w:val="center"/>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bookmarkEnd w:id="45"/>
    </w:p>
    <w:p w14:paraId="26D336AE">
      <w:pPr>
        <w:pStyle w:val="131"/>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CB905C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1789654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0B404C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0B96410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14B6783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5FEB761E">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7F988F7C">
      <w:pPr>
        <w:tabs>
          <w:tab w:val="left" w:pos="0"/>
        </w:tabs>
        <w:spacing w:line="360" w:lineRule="auto"/>
        <w:ind w:firstLine="480"/>
        <w:rPr>
          <w:rFonts w:ascii="宋体" w:hAnsi="宋体" w:cs="宋体"/>
          <w:color w:val="auto"/>
          <w:sz w:val="24"/>
          <w:highlight w:val="none"/>
        </w:rPr>
      </w:pPr>
    </w:p>
    <w:p w14:paraId="2D7C5B71">
      <w:pPr>
        <w:snapToGrid w:val="0"/>
        <w:spacing w:line="360" w:lineRule="auto"/>
        <w:ind w:left="120" w:leftChars="57" w:firstLine="482" w:firstLineChars="150"/>
        <w:jc w:val="center"/>
        <w:outlineLvl w:val="1"/>
        <w:rPr>
          <w:rFonts w:ascii="宋体" w:hAnsi="宋体" w:cs="宋体"/>
          <w:b/>
          <w:color w:val="auto"/>
          <w:sz w:val="32"/>
          <w:highlight w:val="none"/>
        </w:rPr>
      </w:pPr>
      <w:bookmarkStart w:id="46" w:name="_Toc12798"/>
      <w:r>
        <w:rPr>
          <w:rFonts w:hint="eastAsia" w:ascii="宋体" w:hAnsi="宋体" w:cs="宋体"/>
          <w:b/>
          <w:color w:val="auto"/>
          <w:sz w:val="32"/>
          <w:highlight w:val="none"/>
        </w:rPr>
        <w:t>九、验收</w:t>
      </w:r>
      <w:bookmarkEnd w:id="46"/>
    </w:p>
    <w:p w14:paraId="51DDCD41">
      <w:pPr>
        <w:pStyle w:val="26"/>
        <w:spacing w:line="360" w:lineRule="auto"/>
        <w:ind w:firstLine="0" w:firstLineChars="0"/>
        <w:rPr>
          <w:rFonts w:cs="宋体"/>
          <w:b/>
          <w:color w:val="auto"/>
          <w:highlight w:val="none"/>
        </w:rPr>
      </w:pPr>
      <w:r>
        <w:rPr>
          <w:rFonts w:hint="eastAsia" w:cs="宋体"/>
          <w:b/>
          <w:color w:val="auto"/>
          <w:highlight w:val="none"/>
        </w:rPr>
        <w:t>29.验收</w:t>
      </w:r>
    </w:p>
    <w:p w14:paraId="3401D6F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247CD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3D92049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F726CBD">
      <w:pPr>
        <w:tabs>
          <w:tab w:val="left" w:pos="0"/>
        </w:tabs>
        <w:spacing w:line="360" w:lineRule="auto"/>
        <w:ind w:firstLine="480"/>
        <w:rPr>
          <w:rFonts w:ascii="宋体" w:hAnsi="宋体" w:cs="宋体"/>
          <w:color w:val="auto"/>
          <w:kern w:val="0"/>
          <w:sz w:val="24"/>
          <w:highlight w:val="none"/>
        </w:rPr>
        <w:sectPr>
          <w:headerReference r:id="rId4" w:type="first"/>
          <w:footerReference r:id="rId6" w:type="first"/>
          <w:headerReference r:id="rId3" w:type="default"/>
          <w:footerReference r:id="rId5" w:type="default"/>
          <w:pgSz w:w="11905" w:h="16838"/>
          <w:pgMar w:top="1134" w:right="1417" w:bottom="1134" w:left="141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1"/>
      <w:bookmarkStart w:id="47" w:name="_Hlt68057669"/>
      <w:bookmarkEnd w:id="47"/>
      <w:bookmarkStart w:id="48" w:name="_Hlt74707468"/>
      <w:bookmarkEnd w:id="48"/>
      <w:bookmarkStart w:id="49" w:name="_Hlt75236290"/>
      <w:bookmarkEnd w:id="49"/>
      <w:bookmarkStart w:id="50" w:name="_Hlt75236011"/>
      <w:bookmarkEnd w:id="50"/>
      <w:bookmarkStart w:id="51" w:name="_Hlt68072998"/>
      <w:bookmarkEnd w:id="51"/>
      <w:bookmarkStart w:id="52" w:name="_Hlt74730295"/>
      <w:bookmarkEnd w:id="52"/>
      <w:bookmarkStart w:id="53" w:name="_Hlt68403820"/>
      <w:bookmarkEnd w:id="53"/>
      <w:bookmarkStart w:id="54" w:name="_Hlt74714665"/>
      <w:bookmarkEnd w:id="54"/>
      <w:bookmarkStart w:id="55" w:name="_Hlt75236101"/>
      <w:bookmarkEnd w:id="55"/>
      <w:bookmarkStart w:id="56" w:name="_Hlt68072990"/>
      <w:bookmarkEnd w:id="56"/>
      <w:bookmarkStart w:id="57" w:name="_Hlt74729768"/>
      <w:bookmarkEnd w:id="57"/>
      <w:bookmarkStart w:id="58" w:name="_Hlt68073093"/>
      <w:bookmarkEnd w:id="58"/>
    </w:p>
    <w:bookmarkEnd w:id="29"/>
    <w:bookmarkEnd w:id="30"/>
    <w:p w14:paraId="320B8465">
      <w:pPr>
        <w:spacing w:line="360" w:lineRule="auto"/>
        <w:jc w:val="center"/>
        <w:outlineLvl w:val="0"/>
        <w:rPr>
          <w:rFonts w:ascii="宋体" w:hAnsi="宋体" w:cs="宋体"/>
          <w:b/>
          <w:color w:val="auto"/>
          <w:sz w:val="36"/>
          <w:szCs w:val="36"/>
          <w:highlight w:val="none"/>
        </w:rPr>
      </w:pPr>
      <w:bookmarkStart w:id="59" w:name="_Toc9424"/>
      <w:bookmarkStart w:id="60" w:name="_Toc17321"/>
      <w:bookmarkStart w:id="61" w:name="第四部分"/>
      <w:r>
        <w:rPr>
          <w:rFonts w:hint="eastAsia" w:ascii="宋体" w:hAnsi="宋体" w:cs="宋体"/>
          <w:b/>
          <w:color w:val="auto"/>
          <w:sz w:val="36"/>
          <w:szCs w:val="36"/>
          <w:highlight w:val="none"/>
        </w:rPr>
        <w:t>第三部分   采购需求</w:t>
      </w:r>
      <w:bookmarkEnd w:id="59"/>
      <w:bookmarkEnd w:id="60"/>
    </w:p>
    <w:p w14:paraId="16899B60">
      <w:pPr>
        <w:pStyle w:val="3"/>
        <w:keepNext w:val="0"/>
        <w:keepLines w:val="0"/>
        <w:pageBreakBefore w:val="0"/>
        <w:kinsoku/>
        <w:wordWrap/>
        <w:overflowPunct/>
        <w:topLinePunct w:val="0"/>
        <w:bidi w:val="0"/>
        <w:adjustRightInd w:val="0"/>
        <w:snapToGrid/>
        <w:spacing w:line="360" w:lineRule="auto"/>
        <w:ind w:left="0" w:leftChars="0" w:firstLine="0" w:firstLineChars="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一</w:t>
      </w:r>
      <w:r>
        <w:rPr>
          <w:rFonts w:hint="eastAsia" w:asciiTheme="majorEastAsia" w:hAnsiTheme="majorEastAsia" w:eastAsiaTheme="majorEastAsia" w:cstheme="majorEastAsia"/>
          <w:b/>
          <w:bCs/>
          <w:color w:val="auto"/>
          <w:sz w:val="24"/>
          <w:szCs w:val="24"/>
          <w:highlight w:val="none"/>
          <w:lang w:eastAsia="zh-CN"/>
        </w:rPr>
        <w:t>、</w:t>
      </w:r>
      <w:r>
        <w:rPr>
          <w:rFonts w:hint="eastAsia" w:asciiTheme="majorEastAsia" w:hAnsiTheme="majorEastAsia" w:eastAsiaTheme="majorEastAsia" w:cstheme="majorEastAsia"/>
          <w:b/>
          <w:bCs/>
          <w:color w:val="auto"/>
          <w:sz w:val="24"/>
          <w:szCs w:val="24"/>
          <w:highlight w:val="none"/>
        </w:rPr>
        <w:t>采购需求</w:t>
      </w:r>
    </w:p>
    <w:p w14:paraId="38C0FEB4">
      <w:pPr>
        <w:pStyle w:val="26"/>
        <w:keepNext w:val="0"/>
        <w:keepLines w:val="0"/>
        <w:pageBreakBefore w:val="0"/>
        <w:numPr>
          <w:ilvl w:val="0"/>
          <w:numId w:val="0"/>
        </w:numPr>
        <w:kinsoku/>
        <w:wordWrap/>
        <w:overflowPunct/>
        <w:topLinePunct w:val="0"/>
        <w:bidi w:val="0"/>
        <w:adjustRightInd w:val="0"/>
        <w:snapToGrid/>
        <w:spacing w:line="360" w:lineRule="auto"/>
        <w:ind w:left="0"/>
        <w:rPr>
          <w:rFonts w:hint="eastAsia" w:asciiTheme="majorEastAsia" w:hAnsiTheme="majorEastAsia" w:eastAsiaTheme="majorEastAsia" w:cstheme="majorEastAsia"/>
          <w:b/>
          <w:bCs/>
          <w:color w:val="auto"/>
          <w:sz w:val="24"/>
          <w:szCs w:val="24"/>
          <w:highlight w:val="none"/>
          <w:lang w:val="en-US" w:eastAsia="zh-CN"/>
        </w:rPr>
      </w:pPr>
      <w:r>
        <w:rPr>
          <w:rFonts w:hint="eastAsia" w:asciiTheme="majorEastAsia" w:hAnsiTheme="majorEastAsia" w:eastAsiaTheme="majorEastAsia" w:cstheme="majorEastAsia"/>
          <w:b/>
          <w:bCs/>
          <w:color w:val="auto"/>
          <w:sz w:val="24"/>
          <w:szCs w:val="24"/>
          <w:highlight w:val="none"/>
          <w:lang w:val="en-US" w:eastAsia="zh-CN"/>
        </w:rPr>
        <w:t>1、服务要求</w:t>
      </w:r>
    </w:p>
    <w:tbl>
      <w:tblPr>
        <w:tblStyle w:val="64"/>
        <w:tblW w:w="4996"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6827"/>
        <w:gridCol w:w="1294"/>
      </w:tblGrid>
      <w:tr w14:paraId="7E78D6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24" w:type="pct"/>
            <w:noWrap w:val="0"/>
            <w:vAlign w:val="center"/>
          </w:tcPr>
          <w:p w14:paraId="4DF6B968">
            <w:pPr>
              <w:snapToGrid w:val="0"/>
              <w:spacing w:line="36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677" w:type="pct"/>
            <w:noWrap w:val="0"/>
            <w:vAlign w:val="center"/>
          </w:tcPr>
          <w:p w14:paraId="090EBA56">
            <w:pPr>
              <w:snapToGrid w:val="0"/>
              <w:spacing w:line="36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招标要求</w:t>
            </w:r>
          </w:p>
        </w:tc>
        <w:tc>
          <w:tcPr>
            <w:tcW w:w="697" w:type="pct"/>
            <w:noWrap w:val="0"/>
            <w:vAlign w:val="center"/>
          </w:tcPr>
          <w:p w14:paraId="7E5187F2">
            <w:pPr>
              <w:jc w:val="center"/>
              <w:rPr>
                <w:rFonts w:hint="eastAsia" w:ascii="宋体" w:hAnsi="宋体"/>
                <w:color w:val="auto"/>
                <w:sz w:val="21"/>
                <w:szCs w:val="21"/>
                <w:highlight w:val="none"/>
              </w:rPr>
            </w:pPr>
            <w:r>
              <w:rPr>
                <w:rFonts w:hint="eastAsia" w:ascii="宋体" w:hAnsi="宋体" w:cs="宋体"/>
                <w:b/>
                <w:bCs/>
                <w:color w:val="auto"/>
                <w:sz w:val="21"/>
                <w:szCs w:val="21"/>
                <w:highlight w:val="none"/>
              </w:rPr>
              <w:t>投标响应</w:t>
            </w:r>
          </w:p>
        </w:tc>
      </w:tr>
      <w:tr w14:paraId="64D995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24" w:type="pct"/>
            <w:noWrap w:val="0"/>
            <w:vAlign w:val="center"/>
          </w:tcPr>
          <w:p w14:paraId="03AB4F36">
            <w:pPr>
              <w:widowControl/>
              <w:spacing w:line="360" w:lineRule="exact"/>
              <w:ind w:right="126" w:rightChars="60"/>
              <w:jc w:val="center"/>
              <w:textAlignment w:val="center"/>
              <w:rPr>
                <w:rFonts w:ascii="宋体" w:hAnsi="宋体" w:cs="宋体"/>
                <w:b/>
                <w:bCs/>
                <w:color w:val="auto"/>
                <w:kern w:val="0"/>
                <w:sz w:val="21"/>
                <w:szCs w:val="21"/>
                <w:highlight w:val="none"/>
              </w:rPr>
            </w:pPr>
            <w:r>
              <w:rPr>
                <w:rFonts w:hint="eastAsia" w:ascii="宋体" w:hAnsi="宋体" w:cs="宋体"/>
                <w:bCs/>
                <w:color w:val="auto"/>
                <w:szCs w:val="21"/>
                <w:highlight w:val="none"/>
              </w:rPr>
              <w:t>★</w:t>
            </w:r>
            <w:r>
              <w:rPr>
                <w:rFonts w:hint="eastAsia" w:ascii="宋体" w:hAnsi="宋体" w:cs="宋体"/>
                <w:b/>
                <w:bCs/>
                <w:color w:val="auto"/>
                <w:kern w:val="0"/>
                <w:sz w:val="21"/>
                <w:szCs w:val="21"/>
                <w:highlight w:val="none"/>
              </w:rPr>
              <w:t>一</w:t>
            </w:r>
          </w:p>
        </w:tc>
        <w:tc>
          <w:tcPr>
            <w:tcW w:w="3677" w:type="pct"/>
            <w:noWrap w:val="0"/>
            <w:vAlign w:val="center"/>
          </w:tcPr>
          <w:p w14:paraId="5B950B2E">
            <w:pPr>
              <w:widowControl/>
              <w:spacing w:line="360" w:lineRule="exact"/>
              <w:ind w:right="126" w:rightChars="60"/>
              <w:jc w:val="left"/>
              <w:textAlignment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适用范围：适用于医院所有外送服务(详见</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2、</w:t>
            </w:r>
            <w:r>
              <w:rPr>
                <w:rFonts w:hint="eastAsia" w:ascii="宋体" w:hAnsi="宋体" w:cs="宋体"/>
                <w:b/>
                <w:bCs/>
                <w:color w:val="auto"/>
                <w:kern w:val="0"/>
                <w:sz w:val="21"/>
                <w:szCs w:val="21"/>
                <w:highlight w:val="none"/>
              </w:rPr>
              <w:t>检测项目清单</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rPr>
              <w:t>）</w:t>
            </w:r>
            <w:r>
              <w:rPr>
                <w:rFonts w:hint="eastAsia" w:ascii="宋体" w:hAnsi="宋体" w:cs="宋体"/>
                <w:color w:val="auto"/>
                <w:kern w:val="0"/>
                <w:sz w:val="21"/>
                <w:szCs w:val="21"/>
                <w:highlight w:val="none"/>
              </w:rPr>
              <w:t>投标人必须满足清单中的所有检测项目，否则按投标无效处理。</w:t>
            </w:r>
          </w:p>
        </w:tc>
        <w:tc>
          <w:tcPr>
            <w:tcW w:w="697" w:type="pct"/>
            <w:noWrap w:val="0"/>
            <w:vAlign w:val="top"/>
          </w:tcPr>
          <w:p w14:paraId="0EFCDD57">
            <w:pPr>
              <w:widowControl/>
              <w:spacing w:line="360" w:lineRule="exact"/>
              <w:ind w:right="126" w:rightChars="60"/>
              <w:jc w:val="left"/>
              <w:textAlignment w:val="center"/>
              <w:rPr>
                <w:rFonts w:hint="eastAsia" w:ascii="宋体" w:hAnsi="宋体" w:cs="宋体"/>
                <w:b/>
                <w:bCs/>
                <w:color w:val="auto"/>
                <w:kern w:val="0"/>
                <w:sz w:val="21"/>
                <w:szCs w:val="21"/>
                <w:highlight w:val="none"/>
              </w:rPr>
            </w:pPr>
          </w:p>
        </w:tc>
      </w:tr>
      <w:tr w14:paraId="0B13E8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24" w:type="pct"/>
            <w:noWrap w:val="0"/>
            <w:vAlign w:val="center"/>
          </w:tcPr>
          <w:p w14:paraId="1096DAE1">
            <w:pPr>
              <w:widowControl/>
              <w:spacing w:line="360" w:lineRule="exact"/>
              <w:ind w:right="126" w:rightChars="60"/>
              <w:jc w:val="center"/>
              <w:textAlignment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二</w:t>
            </w:r>
          </w:p>
        </w:tc>
        <w:tc>
          <w:tcPr>
            <w:tcW w:w="3677" w:type="pct"/>
            <w:noWrap w:val="0"/>
            <w:vAlign w:val="center"/>
          </w:tcPr>
          <w:p w14:paraId="55F7C246">
            <w:pPr>
              <w:widowControl/>
              <w:spacing w:line="360" w:lineRule="exact"/>
              <w:ind w:right="126" w:rightChars="60"/>
              <w:jc w:val="left"/>
              <w:textAlignment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技术服务要求</w:t>
            </w:r>
          </w:p>
        </w:tc>
        <w:tc>
          <w:tcPr>
            <w:tcW w:w="697" w:type="pct"/>
            <w:noWrap w:val="0"/>
            <w:vAlign w:val="top"/>
          </w:tcPr>
          <w:p w14:paraId="366D479F">
            <w:pPr>
              <w:widowControl/>
              <w:spacing w:line="360" w:lineRule="exact"/>
              <w:ind w:left="109" w:leftChars="52" w:right="126" w:rightChars="60"/>
              <w:jc w:val="left"/>
              <w:textAlignment w:val="center"/>
              <w:rPr>
                <w:rFonts w:hint="eastAsia" w:ascii="宋体" w:hAnsi="宋体" w:cs="宋体"/>
                <w:b/>
                <w:bCs/>
                <w:color w:val="auto"/>
                <w:kern w:val="0"/>
                <w:sz w:val="21"/>
                <w:szCs w:val="21"/>
                <w:highlight w:val="none"/>
              </w:rPr>
            </w:pPr>
          </w:p>
        </w:tc>
      </w:tr>
      <w:tr w14:paraId="3E7DA7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24" w:type="pct"/>
            <w:noWrap w:val="0"/>
            <w:vAlign w:val="center"/>
          </w:tcPr>
          <w:p w14:paraId="4EF24957">
            <w:pPr>
              <w:widowControl/>
              <w:spacing w:line="360" w:lineRule="exact"/>
              <w:ind w:right="126" w:rightChars="60"/>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2.1</w:t>
            </w:r>
          </w:p>
        </w:tc>
        <w:tc>
          <w:tcPr>
            <w:tcW w:w="3677" w:type="pct"/>
            <w:noWrap w:val="0"/>
            <w:vAlign w:val="center"/>
          </w:tcPr>
          <w:p w14:paraId="32E503CB">
            <w:pPr>
              <w:widowControl/>
              <w:spacing w:line="360" w:lineRule="exact"/>
              <w:ind w:right="126" w:rightChars="60"/>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中标方需提供专业的标本冷链物流配送，温度控制在全程2-8℃。</w:t>
            </w:r>
          </w:p>
        </w:tc>
        <w:tc>
          <w:tcPr>
            <w:tcW w:w="697" w:type="pct"/>
            <w:noWrap w:val="0"/>
            <w:vAlign w:val="top"/>
          </w:tcPr>
          <w:p w14:paraId="01F00AB9">
            <w:pPr>
              <w:widowControl/>
              <w:spacing w:line="360" w:lineRule="exact"/>
              <w:ind w:left="109" w:leftChars="52" w:right="126" w:rightChars="60"/>
              <w:jc w:val="left"/>
              <w:textAlignment w:val="center"/>
              <w:rPr>
                <w:rFonts w:hint="eastAsia" w:ascii="宋体" w:hAnsi="宋体" w:cs="宋体"/>
                <w:color w:val="auto"/>
                <w:kern w:val="0"/>
                <w:sz w:val="21"/>
                <w:szCs w:val="21"/>
                <w:highlight w:val="none"/>
              </w:rPr>
            </w:pPr>
          </w:p>
        </w:tc>
      </w:tr>
      <w:tr w14:paraId="00D712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24" w:type="pct"/>
            <w:noWrap w:val="0"/>
            <w:vAlign w:val="center"/>
          </w:tcPr>
          <w:p w14:paraId="4567414C">
            <w:pPr>
              <w:widowControl/>
              <w:spacing w:line="360" w:lineRule="exact"/>
              <w:ind w:right="126" w:rightChars="60"/>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2.2</w:t>
            </w:r>
          </w:p>
        </w:tc>
        <w:tc>
          <w:tcPr>
            <w:tcW w:w="3677" w:type="pct"/>
            <w:noWrap w:val="0"/>
            <w:vAlign w:val="center"/>
          </w:tcPr>
          <w:p w14:paraId="7FDFE9D9">
            <w:pPr>
              <w:widowControl/>
              <w:spacing w:line="360" w:lineRule="exact"/>
              <w:ind w:right="126" w:rightChars="60"/>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报告出具时间：请投标人自行按检验项目列出详细的报告出具时间。</w:t>
            </w:r>
          </w:p>
        </w:tc>
        <w:tc>
          <w:tcPr>
            <w:tcW w:w="697" w:type="pct"/>
            <w:noWrap w:val="0"/>
            <w:vAlign w:val="top"/>
          </w:tcPr>
          <w:p w14:paraId="3C464AD3">
            <w:pPr>
              <w:widowControl/>
              <w:spacing w:line="360" w:lineRule="exact"/>
              <w:ind w:left="109" w:leftChars="52" w:right="126" w:rightChars="60"/>
              <w:jc w:val="left"/>
              <w:textAlignment w:val="center"/>
              <w:rPr>
                <w:rFonts w:hint="eastAsia" w:ascii="宋体" w:hAnsi="宋体" w:cs="宋体"/>
                <w:color w:val="auto"/>
                <w:kern w:val="0"/>
                <w:sz w:val="21"/>
                <w:szCs w:val="21"/>
                <w:highlight w:val="none"/>
              </w:rPr>
            </w:pPr>
          </w:p>
        </w:tc>
      </w:tr>
      <w:tr w14:paraId="5B7A51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24" w:type="pct"/>
            <w:noWrap w:val="0"/>
            <w:vAlign w:val="center"/>
          </w:tcPr>
          <w:p w14:paraId="42604B0B">
            <w:pPr>
              <w:widowControl/>
              <w:spacing w:line="360" w:lineRule="exact"/>
              <w:ind w:right="126" w:rightChars="60"/>
              <w:jc w:val="center"/>
              <w:textAlignment w:val="center"/>
              <w:rPr>
                <w:rFonts w:ascii="宋体" w:hAnsi="宋体" w:cs="宋体"/>
                <w:color w:val="auto"/>
                <w:kern w:val="0"/>
                <w:sz w:val="21"/>
                <w:szCs w:val="21"/>
                <w:highlight w:val="none"/>
              </w:rPr>
            </w:pPr>
            <w:r>
              <w:rPr>
                <w:rFonts w:hint="eastAsia" w:ascii="宋体" w:hAnsi="宋体" w:eastAsia="宋体" w:cs="宋体"/>
                <w:b w:val="0"/>
                <w:bCs w:val="0"/>
                <w:color w:val="auto"/>
                <w:kern w:val="0"/>
                <w:sz w:val="24"/>
                <w:szCs w:val="24"/>
                <w:highlight w:val="none"/>
                <w:lang w:val="en-US" w:eastAsia="zh-CN"/>
              </w:rPr>
              <w:t>▲</w:t>
            </w:r>
            <w:r>
              <w:rPr>
                <w:rFonts w:hint="eastAsia" w:ascii="宋体" w:hAnsi="宋体" w:cs="宋体"/>
                <w:color w:val="auto"/>
                <w:kern w:val="0"/>
                <w:sz w:val="21"/>
                <w:szCs w:val="21"/>
                <w:highlight w:val="none"/>
              </w:rPr>
              <w:t>2.3</w:t>
            </w:r>
          </w:p>
        </w:tc>
        <w:tc>
          <w:tcPr>
            <w:tcW w:w="3677" w:type="pct"/>
            <w:noWrap w:val="0"/>
            <w:vAlign w:val="center"/>
          </w:tcPr>
          <w:p w14:paraId="0676252A">
            <w:pPr>
              <w:widowControl/>
              <w:spacing w:line="360" w:lineRule="exact"/>
              <w:ind w:right="126" w:rightChars="60"/>
              <w:jc w:val="left"/>
              <w:textAlignment w:val="center"/>
              <w:rPr>
                <w:rFonts w:ascii="宋体" w:hAnsi="宋体" w:cs="宋体"/>
                <w:color w:val="auto"/>
                <w:kern w:val="0"/>
                <w:sz w:val="21"/>
                <w:szCs w:val="21"/>
                <w:highlight w:val="none"/>
              </w:rPr>
            </w:pPr>
            <w:r>
              <w:rPr>
                <w:rStyle w:val="968"/>
                <w:rFonts w:hint="eastAsia" w:ascii="宋体" w:hAnsi="宋体" w:cs="宋体"/>
                <w:color w:val="auto"/>
                <w:sz w:val="21"/>
                <w:szCs w:val="21"/>
                <w:highlight w:val="none"/>
              </w:rPr>
              <w:t>中标方</w:t>
            </w:r>
            <w:r>
              <w:rPr>
                <w:rFonts w:hint="eastAsia" w:ascii="宋体" w:hAnsi="宋体" w:cs="宋体"/>
                <w:color w:val="auto"/>
                <w:sz w:val="21"/>
                <w:szCs w:val="21"/>
                <w:highlight w:val="none"/>
              </w:rPr>
              <w:t>提供</w:t>
            </w:r>
            <w:r>
              <w:rPr>
                <w:rStyle w:val="968"/>
                <w:rFonts w:hint="eastAsia" w:ascii="宋体" w:hAnsi="宋体" w:cs="宋体"/>
                <w:color w:val="auto"/>
                <w:sz w:val="21"/>
                <w:szCs w:val="21"/>
                <w:highlight w:val="none"/>
              </w:rPr>
              <w:t>报告系统与医院LIS</w:t>
            </w:r>
            <w:r>
              <w:rPr>
                <w:rStyle w:val="968"/>
                <w:rFonts w:hint="eastAsia" w:ascii="宋体" w:hAnsi="宋体" w:cs="宋体"/>
                <w:color w:val="auto"/>
                <w:sz w:val="21"/>
                <w:szCs w:val="21"/>
                <w:highlight w:val="none"/>
                <w:lang w:eastAsia="zh-Hans"/>
              </w:rPr>
              <w:t>等</w:t>
            </w:r>
            <w:r>
              <w:rPr>
                <w:rStyle w:val="968"/>
                <w:rFonts w:hint="eastAsia" w:ascii="宋体" w:hAnsi="宋体" w:cs="宋体"/>
                <w:color w:val="auto"/>
                <w:sz w:val="21"/>
                <w:szCs w:val="21"/>
                <w:highlight w:val="none"/>
              </w:rPr>
              <w:t>系统实行信息化无缝连接，并承担相关接口等费用。</w:t>
            </w:r>
          </w:p>
        </w:tc>
        <w:tc>
          <w:tcPr>
            <w:tcW w:w="697" w:type="pct"/>
            <w:noWrap w:val="0"/>
            <w:vAlign w:val="top"/>
          </w:tcPr>
          <w:p w14:paraId="3506A8B2">
            <w:pPr>
              <w:widowControl/>
              <w:spacing w:line="360" w:lineRule="exact"/>
              <w:ind w:left="109" w:leftChars="52" w:right="126" w:rightChars="60"/>
              <w:jc w:val="left"/>
              <w:textAlignment w:val="center"/>
              <w:rPr>
                <w:rStyle w:val="968"/>
                <w:rFonts w:hint="eastAsia" w:ascii="宋体" w:hAnsi="宋体" w:cs="宋体"/>
                <w:color w:val="auto"/>
                <w:sz w:val="21"/>
                <w:szCs w:val="21"/>
                <w:highlight w:val="none"/>
              </w:rPr>
            </w:pPr>
          </w:p>
        </w:tc>
      </w:tr>
      <w:tr w14:paraId="74DA67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4" w:type="pct"/>
            <w:noWrap w:val="0"/>
            <w:vAlign w:val="center"/>
          </w:tcPr>
          <w:p w14:paraId="1056FA1D">
            <w:pPr>
              <w:widowControl/>
              <w:spacing w:line="360" w:lineRule="exact"/>
              <w:ind w:right="126" w:rightChars="60"/>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2.4</w:t>
            </w:r>
          </w:p>
        </w:tc>
        <w:tc>
          <w:tcPr>
            <w:tcW w:w="3677" w:type="pct"/>
            <w:noWrap w:val="0"/>
            <w:vAlign w:val="center"/>
          </w:tcPr>
          <w:p w14:paraId="6B940FE1">
            <w:pPr>
              <w:widowControl/>
              <w:spacing w:line="360" w:lineRule="exact"/>
              <w:ind w:right="126" w:rightChars="60"/>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中标方需提供外送项目检测所需的所有耗材，并提供耗材生产厂家三证。</w:t>
            </w:r>
          </w:p>
        </w:tc>
        <w:tc>
          <w:tcPr>
            <w:tcW w:w="697" w:type="pct"/>
            <w:noWrap w:val="0"/>
            <w:vAlign w:val="top"/>
          </w:tcPr>
          <w:p w14:paraId="449A3C7C">
            <w:pPr>
              <w:widowControl/>
              <w:spacing w:line="360" w:lineRule="exact"/>
              <w:ind w:left="109" w:leftChars="52" w:right="126" w:rightChars="60"/>
              <w:jc w:val="left"/>
              <w:textAlignment w:val="center"/>
              <w:rPr>
                <w:rFonts w:hint="eastAsia" w:ascii="宋体" w:hAnsi="宋体" w:cs="宋体"/>
                <w:color w:val="auto"/>
                <w:kern w:val="0"/>
                <w:sz w:val="21"/>
                <w:szCs w:val="21"/>
                <w:highlight w:val="none"/>
              </w:rPr>
            </w:pPr>
          </w:p>
        </w:tc>
      </w:tr>
      <w:tr w14:paraId="3B40DB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24" w:type="pct"/>
            <w:noWrap w:val="0"/>
            <w:vAlign w:val="center"/>
          </w:tcPr>
          <w:p w14:paraId="1C4BA1C9">
            <w:pPr>
              <w:widowControl/>
              <w:spacing w:line="360" w:lineRule="exact"/>
              <w:ind w:right="126" w:rightChars="60"/>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2.5</w:t>
            </w:r>
          </w:p>
        </w:tc>
        <w:tc>
          <w:tcPr>
            <w:tcW w:w="3677" w:type="pct"/>
            <w:noWrap w:val="0"/>
            <w:vAlign w:val="center"/>
          </w:tcPr>
          <w:p w14:paraId="1119066A">
            <w:pPr>
              <w:widowControl/>
              <w:spacing w:line="360" w:lineRule="exact"/>
              <w:ind w:right="126" w:rightChars="60"/>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投标人实验室</w:t>
            </w:r>
            <w:r>
              <w:rPr>
                <w:rFonts w:hint="eastAsia" w:ascii="宋体" w:hAnsi="宋体" w:cs="宋体"/>
                <w:color w:val="auto"/>
                <w:kern w:val="0"/>
                <w:sz w:val="21"/>
                <w:szCs w:val="21"/>
                <w:highlight w:val="none"/>
                <w:lang w:val="en-US" w:eastAsia="zh-CN"/>
              </w:rPr>
              <w:t>需</w:t>
            </w:r>
            <w:r>
              <w:rPr>
                <w:rFonts w:hint="eastAsia" w:ascii="宋体" w:hAnsi="宋体" w:cs="宋体"/>
                <w:color w:val="auto"/>
                <w:kern w:val="0"/>
                <w:sz w:val="21"/>
                <w:szCs w:val="21"/>
                <w:highlight w:val="none"/>
              </w:rPr>
              <w:t>通过ISO15189实验室资质认证。</w:t>
            </w:r>
          </w:p>
        </w:tc>
        <w:tc>
          <w:tcPr>
            <w:tcW w:w="697" w:type="pct"/>
            <w:noWrap w:val="0"/>
            <w:vAlign w:val="top"/>
          </w:tcPr>
          <w:p w14:paraId="18BF3FE0">
            <w:pPr>
              <w:widowControl/>
              <w:spacing w:line="360" w:lineRule="exact"/>
              <w:ind w:left="109" w:leftChars="52" w:right="126" w:rightChars="60"/>
              <w:jc w:val="left"/>
              <w:textAlignment w:val="center"/>
              <w:rPr>
                <w:rFonts w:hint="eastAsia" w:ascii="宋体" w:hAnsi="宋体" w:cs="宋体"/>
                <w:color w:val="auto"/>
                <w:kern w:val="0"/>
                <w:sz w:val="21"/>
                <w:szCs w:val="21"/>
                <w:highlight w:val="none"/>
              </w:rPr>
            </w:pPr>
          </w:p>
        </w:tc>
      </w:tr>
      <w:tr w14:paraId="763229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24" w:type="pct"/>
            <w:noWrap w:val="0"/>
            <w:vAlign w:val="center"/>
          </w:tcPr>
          <w:p w14:paraId="711C02DB">
            <w:pPr>
              <w:widowControl/>
              <w:spacing w:line="360" w:lineRule="exact"/>
              <w:ind w:right="126" w:rightChars="60"/>
              <w:jc w:val="center"/>
              <w:textAlignment w:val="center"/>
              <w:rPr>
                <w:rFonts w:ascii="宋体" w:hAnsi="宋体" w:cs="宋体"/>
                <w:color w:val="auto"/>
                <w:kern w:val="0"/>
                <w:sz w:val="21"/>
                <w:szCs w:val="21"/>
                <w:highlight w:val="none"/>
              </w:rPr>
            </w:pPr>
            <w:r>
              <w:rPr>
                <w:rFonts w:hint="eastAsia" w:ascii="宋体" w:hAnsi="宋体" w:eastAsia="宋体" w:cs="宋体"/>
                <w:b w:val="0"/>
                <w:bCs w:val="0"/>
                <w:color w:val="auto"/>
                <w:kern w:val="0"/>
                <w:sz w:val="24"/>
                <w:szCs w:val="24"/>
                <w:highlight w:val="none"/>
                <w:lang w:val="en-US" w:eastAsia="zh-CN"/>
              </w:rPr>
              <w:t>▲</w:t>
            </w:r>
            <w:r>
              <w:rPr>
                <w:rFonts w:hint="eastAsia" w:ascii="宋体" w:hAnsi="宋体" w:cs="宋体"/>
                <w:color w:val="auto"/>
                <w:kern w:val="0"/>
                <w:sz w:val="21"/>
                <w:szCs w:val="21"/>
                <w:highlight w:val="none"/>
              </w:rPr>
              <w:t>2.6</w:t>
            </w:r>
          </w:p>
        </w:tc>
        <w:tc>
          <w:tcPr>
            <w:tcW w:w="3677" w:type="pct"/>
            <w:noWrap w:val="0"/>
            <w:vAlign w:val="center"/>
          </w:tcPr>
          <w:p w14:paraId="0716571B">
            <w:pPr>
              <w:widowControl/>
              <w:spacing w:line="360" w:lineRule="exact"/>
              <w:ind w:right="126" w:rightChars="60"/>
              <w:jc w:val="left"/>
              <w:textAlignment w:val="center"/>
              <w:rPr>
                <w:rFonts w:ascii="宋体" w:hAnsi="宋体" w:cs="宋体"/>
                <w:color w:val="auto"/>
                <w:kern w:val="0"/>
                <w:sz w:val="21"/>
                <w:szCs w:val="21"/>
                <w:highlight w:val="none"/>
                <w:lang w:eastAsia="zh-Hans"/>
              </w:rPr>
            </w:pPr>
            <w:r>
              <w:rPr>
                <w:rFonts w:hint="eastAsia" w:ascii="宋体" w:hAnsi="宋体" w:cs="宋体"/>
                <w:color w:val="auto"/>
                <w:kern w:val="0"/>
                <w:sz w:val="21"/>
                <w:szCs w:val="21"/>
                <w:highlight w:val="none"/>
              </w:rPr>
              <w:t>标本接收：每天上门一次，特殊情况临时增加一次，</w:t>
            </w:r>
            <w:r>
              <w:rPr>
                <w:rFonts w:hint="eastAsia" w:ascii="宋体" w:hAnsi="宋体" w:cs="宋体"/>
                <w:color w:val="auto"/>
                <w:sz w:val="21"/>
                <w:szCs w:val="21"/>
                <w:highlight w:val="none"/>
              </w:rPr>
              <w:t>响应时间≤1小时</w:t>
            </w:r>
            <w:r>
              <w:rPr>
                <w:rFonts w:hint="eastAsia" w:ascii="宋体" w:hAnsi="宋体" w:cs="宋体"/>
                <w:color w:val="auto"/>
                <w:kern w:val="0"/>
                <w:sz w:val="21"/>
                <w:szCs w:val="21"/>
                <w:highlight w:val="none"/>
              </w:rPr>
              <w:t>；节假日照常接收标本。</w:t>
            </w:r>
            <w:r>
              <w:rPr>
                <w:rFonts w:hint="eastAsia" w:ascii="宋体" w:hAnsi="宋体" w:cs="宋体"/>
                <w:color w:val="auto"/>
                <w:sz w:val="21"/>
                <w:szCs w:val="21"/>
                <w:highlight w:val="none"/>
              </w:rPr>
              <w:t>特殊标本（包括急诊标本）：承诺临时配送服务</w:t>
            </w:r>
            <w:r>
              <w:rPr>
                <w:rFonts w:hint="eastAsia" w:ascii="宋体" w:hAnsi="宋体" w:cs="宋体"/>
                <w:color w:val="auto"/>
                <w:sz w:val="21"/>
                <w:szCs w:val="21"/>
                <w:highlight w:val="none"/>
                <w:lang w:eastAsia="zh-Hans"/>
              </w:rPr>
              <w:t>。</w:t>
            </w:r>
          </w:p>
        </w:tc>
        <w:tc>
          <w:tcPr>
            <w:tcW w:w="697" w:type="pct"/>
            <w:noWrap w:val="0"/>
            <w:vAlign w:val="top"/>
          </w:tcPr>
          <w:p w14:paraId="34C4CA9D">
            <w:pPr>
              <w:widowControl/>
              <w:spacing w:line="360" w:lineRule="exact"/>
              <w:ind w:left="109" w:leftChars="52" w:right="126" w:rightChars="60"/>
              <w:jc w:val="left"/>
              <w:textAlignment w:val="center"/>
              <w:rPr>
                <w:rFonts w:hint="eastAsia" w:ascii="宋体" w:hAnsi="宋体" w:cs="宋体"/>
                <w:color w:val="auto"/>
                <w:kern w:val="0"/>
                <w:sz w:val="21"/>
                <w:szCs w:val="21"/>
                <w:highlight w:val="none"/>
              </w:rPr>
            </w:pPr>
          </w:p>
        </w:tc>
      </w:tr>
      <w:tr w14:paraId="0092C4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24" w:type="pct"/>
            <w:noWrap w:val="0"/>
            <w:vAlign w:val="center"/>
          </w:tcPr>
          <w:p w14:paraId="33A90F12">
            <w:pPr>
              <w:widowControl/>
              <w:spacing w:line="360" w:lineRule="exact"/>
              <w:ind w:right="126" w:rightChars="60"/>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2.7</w:t>
            </w:r>
          </w:p>
        </w:tc>
        <w:tc>
          <w:tcPr>
            <w:tcW w:w="3677" w:type="pct"/>
            <w:noWrap w:val="0"/>
            <w:vAlign w:val="center"/>
          </w:tcPr>
          <w:p w14:paraId="0976DC1B">
            <w:pPr>
              <w:widowControl/>
              <w:spacing w:line="360" w:lineRule="exact"/>
              <w:ind w:right="126" w:rightChars="60"/>
              <w:jc w:val="left"/>
              <w:textAlignment w:val="center"/>
              <w:rPr>
                <w:rFonts w:ascii="宋体" w:hAnsi="宋体" w:cs="宋体"/>
                <w:color w:val="auto"/>
                <w:kern w:val="0"/>
                <w:sz w:val="21"/>
                <w:szCs w:val="21"/>
                <w:highlight w:val="none"/>
              </w:rPr>
            </w:pPr>
            <w:r>
              <w:rPr>
                <w:rFonts w:hint="eastAsia" w:ascii="宋体" w:hAnsi="宋体" w:cs="宋体"/>
                <w:color w:val="auto"/>
                <w:sz w:val="21"/>
                <w:szCs w:val="21"/>
                <w:highlight w:val="none"/>
              </w:rPr>
              <w:t>检验结束后，中标方负责在本合同规定的时间内向检检科提供检验报告单（样本有特殊情况无法按时出报告需要提前通知检验科）。中标方实验室对检验报告单的准确性和及时性负责。</w:t>
            </w:r>
          </w:p>
        </w:tc>
        <w:tc>
          <w:tcPr>
            <w:tcW w:w="697" w:type="pct"/>
            <w:noWrap w:val="0"/>
            <w:vAlign w:val="top"/>
          </w:tcPr>
          <w:p w14:paraId="77DB26ED">
            <w:pPr>
              <w:widowControl/>
              <w:spacing w:line="360" w:lineRule="exact"/>
              <w:ind w:left="109" w:leftChars="52" w:right="126" w:rightChars="60"/>
              <w:jc w:val="left"/>
              <w:textAlignment w:val="center"/>
              <w:rPr>
                <w:rFonts w:hint="eastAsia" w:ascii="宋体" w:hAnsi="宋体" w:cs="宋体"/>
                <w:color w:val="auto"/>
                <w:sz w:val="21"/>
                <w:szCs w:val="21"/>
                <w:highlight w:val="none"/>
              </w:rPr>
            </w:pPr>
          </w:p>
        </w:tc>
      </w:tr>
      <w:tr w14:paraId="5C69FD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24" w:type="pct"/>
            <w:noWrap w:val="0"/>
            <w:vAlign w:val="center"/>
          </w:tcPr>
          <w:p w14:paraId="06E2C843">
            <w:pPr>
              <w:widowControl/>
              <w:spacing w:line="360" w:lineRule="exact"/>
              <w:ind w:right="126" w:rightChars="60"/>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2.8</w:t>
            </w:r>
          </w:p>
        </w:tc>
        <w:tc>
          <w:tcPr>
            <w:tcW w:w="3677" w:type="pct"/>
            <w:noWrap w:val="0"/>
            <w:vAlign w:val="center"/>
          </w:tcPr>
          <w:p w14:paraId="0D32C1B0">
            <w:pPr>
              <w:widowControl/>
              <w:spacing w:line="360" w:lineRule="exact"/>
              <w:ind w:right="126" w:rightChars="60"/>
              <w:jc w:val="left"/>
              <w:textAlignment w:val="center"/>
              <w:rPr>
                <w:rFonts w:ascii="宋体" w:hAnsi="宋体" w:cs="宋体"/>
                <w:color w:val="auto"/>
                <w:kern w:val="0"/>
                <w:sz w:val="21"/>
                <w:szCs w:val="21"/>
                <w:highlight w:val="none"/>
              </w:rPr>
            </w:pPr>
            <w:r>
              <w:rPr>
                <w:rFonts w:hint="eastAsia" w:ascii="宋体" w:hAnsi="宋体" w:cs="宋体"/>
                <w:color w:val="auto"/>
                <w:sz w:val="21"/>
                <w:szCs w:val="21"/>
                <w:highlight w:val="none"/>
              </w:rPr>
              <w:t>中标方需对检验后的标本进行妥善保存，以便检验结果有疑义时进行再次检验，保存标本的时间不应少于相关标准或条例所规定的时间。</w:t>
            </w:r>
          </w:p>
        </w:tc>
        <w:tc>
          <w:tcPr>
            <w:tcW w:w="697" w:type="pct"/>
            <w:noWrap w:val="0"/>
            <w:vAlign w:val="top"/>
          </w:tcPr>
          <w:p w14:paraId="3B7F4613">
            <w:pPr>
              <w:widowControl/>
              <w:spacing w:line="360" w:lineRule="exact"/>
              <w:ind w:left="109" w:leftChars="52" w:right="126" w:rightChars="60"/>
              <w:jc w:val="left"/>
              <w:textAlignment w:val="center"/>
              <w:rPr>
                <w:rFonts w:hint="eastAsia" w:ascii="宋体" w:hAnsi="宋体" w:cs="宋体"/>
                <w:color w:val="auto"/>
                <w:sz w:val="21"/>
                <w:szCs w:val="21"/>
                <w:highlight w:val="none"/>
              </w:rPr>
            </w:pPr>
          </w:p>
        </w:tc>
      </w:tr>
      <w:tr w14:paraId="30B25C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24" w:type="pct"/>
            <w:noWrap w:val="0"/>
            <w:vAlign w:val="center"/>
          </w:tcPr>
          <w:p w14:paraId="5CD681EE">
            <w:pPr>
              <w:widowControl/>
              <w:spacing w:line="360" w:lineRule="exact"/>
              <w:ind w:right="126" w:rightChars="60"/>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2.9</w:t>
            </w:r>
          </w:p>
        </w:tc>
        <w:tc>
          <w:tcPr>
            <w:tcW w:w="3677" w:type="pct"/>
            <w:noWrap w:val="0"/>
            <w:vAlign w:val="top"/>
          </w:tcPr>
          <w:p w14:paraId="3166A7A7">
            <w:pPr>
              <w:spacing w:line="360" w:lineRule="exact"/>
              <w:rPr>
                <w:rFonts w:ascii="宋体" w:hAnsi="宋体" w:cs="宋体"/>
                <w:color w:val="auto"/>
                <w:kern w:val="0"/>
                <w:sz w:val="21"/>
                <w:szCs w:val="21"/>
                <w:highlight w:val="none"/>
              </w:rPr>
            </w:pPr>
            <w:r>
              <w:rPr>
                <w:rFonts w:hint="eastAsia" w:ascii="宋体" w:hAnsi="宋体" w:cs="宋体"/>
                <w:color w:val="auto"/>
                <w:sz w:val="21"/>
                <w:szCs w:val="21"/>
                <w:highlight w:val="none"/>
              </w:rPr>
              <w:t>当院方对中标方实验室的检验结果有疑义或异议时，院方可要求中标方实验室重新检验或再委托第三方检验。这种情况下所发生的费用，由责任方承担。</w:t>
            </w:r>
          </w:p>
        </w:tc>
        <w:tc>
          <w:tcPr>
            <w:tcW w:w="697" w:type="pct"/>
            <w:noWrap w:val="0"/>
            <w:vAlign w:val="top"/>
          </w:tcPr>
          <w:p w14:paraId="19DCA1A5">
            <w:pPr>
              <w:spacing w:line="360" w:lineRule="exact"/>
              <w:rPr>
                <w:rFonts w:hint="eastAsia" w:ascii="宋体" w:hAnsi="宋体" w:cs="宋体"/>
                <w:color w:val="auto"/>
                <w:sz w:val="21"/>
                <w:szCs w:val="21"/>
                <w:highlight w:val="none"/>
              </w:rPr>
            </w:pPr>
          </w:p>
        </w:tc>
      </w:tr>
      <w:tr w14:paraId="50A124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24" w:type="pct"/>
            <w:noWrap w:val="0"/>
            <w:vAlign w:val="center"/>
          </w:tcPr>
          <w:p w14:paraId="78526025">
            <w:pPr>
              <w:widowControl/>
              <w:spacing w:line="360" w:lineRule="exact"/>
              <w:ind w:right="126" w:rightChars="60"/>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2.10</w:t>
            </w:r>
          </w:p>
        </w:tc>
        <w:tc>
          <w:tcPr>
            <w:tcW w:w="3677" w:type="pct"/>
            <w:noWrap w:val="0"/>
            <w:vAlign w:val="top"/>
          </w:tcPr>
          <w:p w14:paraId="2205BF47">
            <w:pPr>
              <w:spacing w:line="360" w:lineRule="exact"/>
              <w:rPr>
                <w:rFonts w:ascii="宋体" w:hAnsi="宋体" w:cs="宋体"/>
                <w:color w:val="auto"/>
                <w:sz w:val="21"/>
                <w:szCs w:val="21"/>
                <w:highlight w:val="none"/>
              </w:rPr>
            </w:pPr>
            <w:r>
              <w:rPr>
                <w:rFonts w:hint="eastAsia" w:ascii="宋体" w:hAnsi="宋体" w:cs="宋体"/>
                <w:color w:val="auto"/>
                <w:kern w:val="0"/>
                <w:sz w:val="21"/>
                <w:szCs w:val="21"/>
                <w:highlight w:val="none"/>
              </w:rPr>
              <w:t>中标方应有对患者电子病历、送检标本及检测结果等相关资料保密的措施。</w:t>
            </w:r>
          </w:p>
        </w:tc>
        <w:tc>
          <w:tcPr>
            <w:tcW w:w="697" w:type="pct"/>
            <w:noWrap w:val="0"/>
            <w:vAlign w:val="top"/>
          </w:tcPr>
          <w:p w14:paraId="1EDB12F5">
            <w:pPr>
              <w:spacing w:line="360" w:lineRule="exact"/>
              <w:rPr>
                <w:rFonts w:hint="eastAsia" w:ascii="宋体" w:hAnsi="宋体" w:cs="宋体"/>
                <w:color w:val="auto"/>
                <w:kern w:val="0"/>
                <w:sz w:val="21"/>
                <w:szCs w:val="21"/>
                <w:highlight w:val="none"/>
              </w:rPr>
            </w:pPr>
          </w:p>
        </w:tc>
      </w:tr>
      <w:tr w14:paraId="0D0AE8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24" w:type="pct"/>
            <w:noWrap w:val="0"/>
            <w:vAlign w:val="center"/>
          </w:tcPr>
          <w:p w14:paraId="14815EFC">
            <w:pPr>
              <w:widowControl/>
              <w:spacing w:line="360" w:lineRule="exact"/>
              <w:ind w:right="126" w:rightChars="60"/>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2.11</w:t>
            </w:r>
          </w:p>
        </w:tc>
        <w:tc>
          <w:tcPr>
            <w:tcW w:w="3677" w:type="pct"/>
            <w:noWrap w:val="0"/>
            <w:vAlign w:val="top"/>
          </w:tcPr>
          <w:p w14:paraId="42EF751A">
            <w:pPr>
              <w:spacing w:line="360" w:lineRule="exact"/>
              <w:rPr>
                <w:rFonts w:ascii="宋体" w:hAnsi="宋体" w:cs="宋体"/>
                <w:color w:val="auto"/>
                <w:sz w:val="21"/>
                <w:szCs w:val="21"/>
                <w:highlight w:val="none"/>
              </w:rPr>
            </w:pPr>
            <w:r>
              <w:rPr>
                <w:rFonts w:hint="eastAsia" w:ascii="宋体" w:hAnsi="宋体" w:cs="宋体"/>
                <w:color w:val="auto"/>
                <w:kern w:val="0"/>
                <w:sz w:val="21"/>
                <w:szCs w:val="21"/>
                <w:highlight w:val="none"/>
              </w:rPr>
              <w:t>中标方需配合医院检验科做好质量控制，定期提供所需文件。</w:t>
            </w:r>
          </w:p>
        </w:tc>
        <w:tc>
          <w:tcPr>
            <w:tcW w:w="697" w:type="pct"/>
            <w:noWrap w:val="0"/>
            <w:vAlign w:val="top"/>
          </w:tcPr>
          <w:p w14:paraId="4FA92933">
            <w:pPr>
              <w:spacing w:line="360" w:lineRule="exact"/>
              <w:rPr>
                <w:rFonts w:hint="eastAsia" w:ascii="宋体" w:hAnsi="宋体" w:cs="宋体"/>
                <w:color w:val="auto"/>
                <w:kern w:val="0"/>
                <w:sz w:val="21"/>
                <w:szCs w:val="21"/>
                <w:highlight w:val="none"/>
              </w:rPr>
            </w:pPr>
          </w:p>
        </w:tc>
      </w:tr>
      <w:tr w14:paraId="660B6C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24" w:type="pct"/>
            <w:noWrap w:val="0"/>
            <w:vAlign w:val="center"/>
          </w:tcPr>
          <w:p w14:paraId="57E1C50C">
            <w:pPr>
              <w:widowControl/>
              <w:spacing w:line="360" w:lineRule="exact"/>
              <w:ind w:right="126" w:rightChars="60"/>
              <w:jc w:val="center"/>
              <w:textAlignment w:val="center"/>
              <w:rPr>
                <w:rFonts w:ascii="宋体" w:hAnsi="宋体" w:cs="宋体"/>
                <w:color w:val="auto"/>
                <w:kern w:val="0"/>
                <w:sz w:val="21"/>
                <w:szCs w:val="21"/>
                <w:highlight w:val="none"/>
              </w:rPr>
            </w:pPr>
            <w:r>
              <w:rPr>
                <w:rFonts w:hint="eastAsia" w:ascii="宋体" w:hAnsi="宋体" w:eastAsia="宋体" w:cs="宋体"/>
                <w:b w:val="0"/>
                <w:bCs w:val="0"/>
                <w:color w:val="auto"/>
                <w:kern w:val="0"/>
                <w:sz w:val="24"/>
                <w:szCs w:val="24"/>
                <w:highlight w:val="none"/>
                <w:lang w:val="en-US" w:eastAsia="zh-CN"/>
              </w:rPr>
              <w:t>▲</w:t>
            </w: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eastAsia="zh-Hans"/>
              </w:rPr>
              <w:t>.</w:t>
            </w:r>
            <w:r>
              <w:rPr>
                <w:rFonts w:hint="eastAsia" w:ascii="宋体" w:hAnsi="宋体" w:cs="宋体"/>
                <w:color w:val="auto"/>
                <w:kern w:val="0"/>
                <w:sz w:val="21"/>
                <w:szCs w:val="21"/>
                <w:highlight w:val="none"/>
              </w:rPr>
              <w:t>12</w:t>
            </w:r>
          </w:p>
        </w:tc>
        <w:tc>
          <w:tcPr>
            <w:tcW w:w="3677" w:type="pct"/>
            <w:noWrap w:val="0"/>
            <w:vAlign w:val="top"/>
          </w:tcPr>
          <w:p w14:paraId="67611E00">
            <w:pPr>
              <w:spacing w:line="360" w:lineRule="exact"/>
              <w:rPr>
                <w:rFonts w:ascii="宋体" w:hAnsi="宋体" w:cs="宋体"/>
                <w:color w:val="auto"/>
                <w:sz w:val="21"/>
                <w:szCs w:val="21"/>
                <w:highlight w:val="none"/>
                <w:lang w:eastAsia="zh-Hans"/>
              </w:rPr>
            </w:pPr>
            <w:r>
              <w:rPr>
                <w:rFonts w:hint="eastAsia" w:ascii="宋体" w:hAnsi="宋体" w:cs="宋体"/>
                <w:color w:val="auto"/>
                <w:sz w:val="21"/>
                <w:szCs w:val="21"/>
                <w:highlight w:val="none"/>
                <w:lang w:eastAsia="zh-Hans"/>
              </w:rPr>
              <w:t>后续医院新增的项目，方法学为：流式细胞术、fish、质谱、NGS、基因芯片法、成本较高的其他方法学项目和部分pcr方法学项目（后续按照实际项目进行确认）按照本次中标的特检价格结算，其他方法学的项目按照本次中标的普检价格结算，</w:t>
            </w:r>
          </w:p>
        </w:tc>
        <w:tc>
          <w:tcPr>
            <w:tcW w:w="697" w:type="pct"/>
            <w:noWrap w:val="0"/>
            <w:vAlign w:val="top"/>
          </w:tcPr>
          <w:p w14:paraId="40843D4C">
            <w:pPr>
              <w:spacing w:line="360" w:lineRule="exact"/>
              <w:rPr>
                <w:rFonts w:hint="eastAsia" w:ascii="宋体" w:hAnsi="宋体" w:cs="宋体"/>
                <w:color w:val="auto"/>
                <w:kern w:val="0"/>
                <w:sz w:val="21"/>
                <w:szCs w:val="21"/>
                <w:highlight w:val="none"/>
              </w:rPr>
            </w:pPr>
          </w:p>
        </w:tc>
      </w:tr>
    </w:tbl>
    <w:p w14:paraId="20A5690E">
      <w:pPr>
        <w:rPr>
          <w:rFonts w:hint="default"/>
          <w:color w:val="auto"/>
          <w:highlight w:val="none"/>
          <w:lang w:val="en-US" w:eastAsia="zh-CN"/>
        </w:rPr>
      </w:pPr>
    </w:p>
    <w:p w14:paraId="5B2AF7A5">
      <w:pPr>
        <w:rPr>
          <w:rFonts w:hint="eastAsia" w:asciiTheme="majorEastAsia" w:hAnsiTheme="majorEastAsia" w:eastAsiaTheme="majorEastAsia" w:cstheme="majorEastAsia"/>
          <w:b/>
          <w:bCs/>
          <w:color w:val="auto"/>
          <w:sz w:val="24"/>
          <w:szCs w:val="24"/>
          <w:highlight w:val="none"/>
          <w:lang w:val="en-US" w:eastAsia="zh-CN"/>
        </w:rPr>
      </w:pPr>
    </w:p>
    <w:p w14:paraId="2F35C8AE">
      <w:pPr>
        <w:rPr>
          <w:rFonts w:hint="default" w:asciiTheme="majorEastAsia" w:hAnsiTheme="majorEastAsia" w:eastAsiaTheme="majorEastAsia" w:cstheme="majorEastAsia"/>
          <w:b/>
          <w:bCs/>
          <w:color w:val="auto"/>
          <w:sz w:val="24"/>
          <w:szCs w:val="24"/>
          <w:highlight w:val="none"/>
          <w:lang w:val="en-US" w:eastAsia="zh-CN"/>
        </w:rPr>
      </w:pPr>
      <w:r>
        <w:rPr>
          <w:rFonts w:hint="eastAsia" w:asciiTheme="majorEastAsia" w:hAnsiTheme="majorEastAsia" w:eastAsiaTheme="majorEastAsia" w:cstheme="majorEastAsia"/>
          <w:b/>
          <w:bCs/>
          <w:color w:val="auto"/>
          <w:sz w:val="24"/>
          <w:szCs w:val="24"/>
          <w:highlight w:val="none"/>
          <w:lang w:val="en-US" w:eastAsia="zh-CN"/>
        </w:rPr>
        <w:t>2、检测项目清单</w:t>
      </w:r>
    </w:p>
    <w:tbl>
      <w:tblPr>
        <w:tblStyle w:val="64"/>
        <w:tblW w:w="9895" w:type="dxa"/>
        <w:tblInd w:w="-318"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792"/>
        <w:gridCol w:w="4800"/>
        <w:gridCol w:w="915"/>
        <w:gridCol w:w="3388"/>
      </w:tblGrid>
      <w:tr w14:paraId="3A78FD6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92" w:type="dxa"/>
            <w:shd w:val="clear" w:color="auto" w:fill="auto"/>
            <w:noWrap w:val="0"/>
            <w:vAlign w:val="center"/>
          </w:tcPr>
          <w:p w14:paraId="60250712">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4800" w:type="dxa"/>
            <w:shd w:val="clear" w:color="auto" w:fill="auto"/>
            <w:noWrap w:val="0"/>
            <w:vAlign w:val="center"/>
          </w:tcPr>
          <w:p w14:paraId="48771235">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检测项目</w:t>
            </w:r>
          </w:p>
        </w:tc>
        <w:tc>
          <w:tcPr>
            <w:tcW w:w="915" w:type="dxa"/>
            <w:shd w:val="clear" w:color="auto" w:fill="auto"/>
            <w:noWrap w:val="0"/>
            <w:vAlign w:val="center"/>
          </w:tcPr>
          <w:p w14:paraId="0CCA87B3">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3388" w:type="dxa"/>
            <w:shd w:val="clear" w:color="auto" w:fill="auto"/>
            <w:noWrap w:val="0"/>
            <w:vAlign w:val="center"/>
          </w:tcPr>
          <w:p w14:paraId="5711ACB3">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检测项目</w:t>
            </w:r>
          </w:p>
        </w:tc>
      </w:tr>
      <w:tr w14:paraId="6442257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792" w:type="dxa"/>
            <w:shd w:val="clear" w:color="auto" w:fill="auto"/>
            <w:noWrap w:val="0"/>
            <w:vAlign w:val="center"/>
          </w:tcPr>
          <w:p w14:paraId="3E51DC0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4800" w:type="dxa"/>
            <w:shd w:val="clear" w:color="auto" w:fill="auto"/>
            <w:noWrap w:val="0"/>
            <w:vAlign w:val="center"/>
          </w:tcPr>
          <w:p w14:paraId="485F7E06">
            <w:pPr>
              <w:widowControl/>
              <w:jc w:val="center"/>
              <w:textAlignment w:val="center"/>
              <w:rPr>
                <w:rFonts w:hint="eastAsia" w:ascii="宋体" w:hAnsi="宋体" w:eastAsia="宋体" w:cs="宋体"/>
                <w:color w:val="auto"/>
                <w:sz w:val="21"/>
                <w:szCs w:val="21"/>
                <w:highlight w:val="none"/>
                <w:lang w:eastAsia="zh-Hans"/>
              </w:rPr>
            </w:pPr>
            <w:r>
              <w:rPr>
                <w:rFonts w:hint="eastAsia" w:ascii="宋体" w:hAnsi="宋体" w:eastAsia="宋体" w:cs="宋体"/>
                <w:color w:val="auto"/>
                <w:kern w:val="0"/>
                <w:sz w:val="21"/>
                <w:szCs w:val="21"/>
                <w:highlight w:val="none"/>
                <w:lang w:bidi="ar"/>
              </w:rPr>
              <w:t>维生素2项（A、E）</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4F61A07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26</w:t>
            </w:r>
          </w:p>
        </w:tc>
        <w:tc>
          <w:tcPr>
            <w:tcW w:w="3388" w:type="dxa"/>
            <w:shd w:val="clear" w:color="auto" w:fill="auto"/>
            <w:noWrap w:val="0"/>
            <w:vAlign w:val="center"/>
          </w:tcPr>
          <w:p w14:paraId="5F99EFA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文拉法辛及去甲-O 文拉法辛</w:t>
            </w:r>
            <w:r>
              <w:rPr>
                <w:rFonts w:hint="eastAsia" w:ascii="宋体" w:hAnsi="宋体" w:eastAsia="宋体" w:cs="宋体"/>
                <w:color w:val="auto"/>
                <w:kern w:val="0"/>
                <w:sz w:val="21"/>
                <w:szCs w:val="21"/>
                <w:highlight w:val="none"/>
                <w:lang w:eastAsia="zh-Hans" w:bidi="ar"/>
              </w:rPr>
              <w:t>（质谱法）</w:t>
            </w:r>
          </w:p>
        </w:tc>
      </w:tr>
      <w:tr w14:paraId="0853F1A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792" w:type="dxa"/>
            <w:shd w:val="clear" w:color="auto" w:fill="auto"/>
            <w:noWrap w:val="0"/>
            <w:vAlign w:val="center"/>
          </w:tcPr>
          <w:p w14:paraId="0CC87FB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4800" w:type="dxa"/>
            <w:shd w:val="clear" w:color="auto" w:fill="auto"/>
            <w:noWrap w:val="0"/>
            <w:vAlign w:val="center"/>
          </w:tcPr>
          <w:p w14:paraId="6F55EB8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维生素 6 项（A、D2、D3、总D、E、K</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6DE1C8D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27</w:t>
            </w:r>
          </w:p>
        </w:tc>
        <w:tc>
          <w:tcPr>
            <w:tcW w:w="3388" w:type="dxa"/>
            <w:shd w:val="clear" w:color="auto" w:fill="auto"/>
            <w:noWrap w:val="0"/>
            <w:vAlign w:val="center"/>
          </w:tcPr>
          <w:p w14:paraId="0EF33C9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喹硫平</w:t>
            </w:r>
            <w:r>
              <w:rPr>
                <w:rFonts w:hint="eastAsia" w:ascii="宋体" w:hAnsi="宋体" w:eastAsia="宋体" w:cs="宋体"/>
                <w:color w:val="auto"/>
                <w:kern w:val="0"/>
                <w:sz w:val="21"/>
                <w:szCs w:val="21"/>
                <w:highlight w:val="none"/>
                <w:lang w:eastAsia="zh-Hans" w:bidi="ar"/>
              </w:rPr>
              <w:t>（质谱法）</w:t>
            </w:r>
          </w:p>
        </w:tc>
      </w:tr>
      <w:tr w14:paraId="31D0D25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92" w:type="dxa"/>
            <w:shd w:val="clear" w:color="auto" w:fill="auto"/>
            <w:noWrap w:val="0"/>
            <w:vAlign w:val="center"/>
          </w:tcPr>
          <w:p w14:paraId="37A855B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4800" w:type="dxa"/>
            <w:shd w:val="clear" w:color="auto" w:fill="auto"/>
            <w:noWrap w:val="0"/>
            <w:vAlign w:val="center"/>
          </w:tcPr>
          <w:p w14:paraId="1D39D02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维生素 9项（A、D2、D3、总D、E、K、B1、B2、B9）</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6ECEFF3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28</w:t>
            </w:r>
          </w:p>
        </w:tc>
        <w:tc>
          <w:tcPr>
            <w:tcW w:w="3388" w:type="dxa"/>
            <w:shd w:val="clear" w:color="auto" w:fill="auto"/>
            <w:noWrap w:val="0"/>
            <w:vAlign w:val="center"/>
          </w:tcPr>
          <w:p w14:paraId="4CB8644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氯丙嗪</w:t>
            </w:r>
            <w:r>
              <w:rPr>
                <w:rFonts w:hint="eastAsia" w:ascii="宋体" w:hAnsi="宋体" w:eastAsia="宋体" w:cs="宋体"/>
                <w:color w:val="auto"/>
                <w:kern w:val="0"/>
                <w:sz w:val="21"/>
                <w:szCs w:val="21"/>
                <w:highlight w:val="none"/>
                <w:lang w:eastAsia="zh-Hans" w:bidi="ar"/>
              </w:rPr>
              <w:t>（质谱法）</w:t>
            </w:r>
          </w:p>
        </w:tc>
      </w:tr>
      <w:tr w14:paraId="6BDC946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792" w:type="dxa"/>
            <w:shd w:val="clear" w:color="auto" w:fill="auto"/>
            <w:noWrap w:val="0"/>
            <w:vAlign w:val="center"/>
          </w:tcPr>
          <w:p w14:paraId="26D371E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4800" w:type="dxa"/>
            <w:shd w:val="clear" w:color="auto" w:fill="auto"/>
            <w:noWrap w:val="0"/>
            <w:vAlign w:val="center"/>
          </w:tcPr>
          <w:p w14:paraId="0CB5C27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维生素14项（A、D2、D3、总D、E、K、B1、B2、B3、B5、B6、B7、B9、B12）</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7F6C027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29</w:t>
            </w:r>
          </w:p>
        </w:tc>
        <w:tc>
          <w:tcPr>
            <w:tcW w:w="3388" w:type="dxa"/>
            <w:shd w:val="clear" w:color="auto" w:fill="auto"/>
            <w:noWrap w:val="0"/>
            <w:vAlign w:val="center"/>
          </w:tcPr>
          <w:p w14:paraId="636664A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齐拉西酮</w:t>
            </w:r>
            <w:r>
              <w:rPr>
                <w:rFonts w:hint="eastAsia" w:ascii="宋体" w:hAnsi="宋体" w:eastAsia="宋体" w:cs="宋体"/>
                <w:color w:val="auto"/>
                <w:kern w:val="0"/>
                <w:sz w:val="21"/>
                <w:szCs w:val="21"/>
                <w:highlight w:val="none"/>
                <w:lang w:eastAsia="zh-Hans" w:bidi="ar"/>
              </w:rPr>
              <w:t>（质谱法）</w:t>
            </w:r>
          </w:p>
        </w:tc>
      </w:tr>
      <w:tr w14:paraId="721D45D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92" w:type="dxa"/>
            <w:shd w:val="clear" w:color="auto" w:fill="auto"/>
            <w:noWrap w:val="0"/>
            <w:vAlign w:val="center"/>
          </w:tcPr>
          <w:p w14:paraId="495858C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4800" w:type="dxa"/>
            <w:shd w:val="clear" w:color="auto" w:fill="auto"/>
            <w:noWrap w:val="0"/>
            <w:vAlign w:val="center"/>
          </w:tcPr>
          <w:p w14:paraId="248D20D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水溶性维生素8项（B1、B2、B3、B5、B6、B7、B9、B12）</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6363074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30</w:t>
            </w:r>
          </w:p>
        </w:tc>
        <w:tc>
          <w:tcPr>
            <w:tcW w:w="3388" w:type="dxa"/>
            <w:shd w:val="clear" w:color="auto" w:fill="auto"/>
            <w:noWrap w:val="0"/>
            <w:vAlign w:val="center"/>
          </w:tcPr>
          <w:p w14:paraId="13B07B7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舒必利</w:t>
            </w:r>
            <w:r>
              <w:rPr>
                <w:rFonts w:hint="eastAsia" w:ascii="宋体" w:hAnsi="宋体" w:eastAsia="宋体" w:cs="宋体"/>
                <w:color w:val="auto"/>
                <w:kern w:val="0"/>
                <w:sz w:val="21"/>
                <w:szCs w:val="21"/>
                <w:highlight w:val="none"/>
                <w:lang w:eastAsia="zh-Hans" w:bidi="ar"/>
              </w:rPr>
              <w:t>（质谱法）</w:t>
            </w:r>
          </w:p>
        </w:tc>
      </w:tr>
      <w:tr w14:paraId="27B822D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87675D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4800" w:type="dxa"/>
            <w:shd w:val="clear" w:color="auto" w:fill="auto"/>
            <w:noWrap w:val="0"/>
            <w:vAlign w:val="center"/>
          </w:tcPr>
          <w:p w14:paraId="01CCD7E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微量元素10项</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70D6102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31</w:t>
            </w:r>
          </w:p>
        </w:tc>
        <w:tc>
          <w:tcPr>
            <w:tcW w:w="3388" w:type="dxa"/>
            <w:shd w:val="clear" w:color="auto" w:fill="auto"/>
            <w:noWrap w:val="0"/>
            <w:vAlign w:val="center"/>
          </w:tcPr>
          <w:p w14:paraId="0AF69D8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氨磺必利</w:t>
            </w:r>
            <w:r>
              <w:rPr>
                <w:rFonts w:hint="eastAsia" w:ascii="宋体" w:hAnsi="宋体" w:eastAsia="宋体" w:cs="宋体"/>
                <w:color w:val="auto"/>
                <w:kern w:val="0"/>
                <w:sz w:val="21"/>
                <w:szCs w:val="21"/>
                <w:highlight w:val="none"/>
                <w:lang w:eastAsia="zh-Hans" w:bidi="ar"/>
              </w:rPr>
              <w:t>（质谱法）</w:t>
            </w:r>
          </w:p>
        </w:tc>
      </w:tr>
      <w:tr w14:paraId="2CA0268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792" w:type="dxa"/>
            <w:shd w:val="clear" w:color="auto" w:fill="auto"/>
            <w:noWrap w:val="0"/>
            <w:vAlign w:val="center"/>
          </w:tcPr>
          <w:p w14:paraId="282337C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4800" w:type="dxa"/>
            <w:shd w:val="clear" w:color="auto" w:fill="auto"/>
            <w:noWrap w:val="0"/>
            <w:vAlign w:val="center"/>
          </w:tcPr>
          <w:p w14:paraId="47B579C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微量元素16项</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4AAD7EB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32</w:t>
            </w:r>
          </w:p>
        </w:tc>
        <w:tc>
          <w:tcPr>
            <w:tcW w:w="3388" w:type="dxa"/>
            <w:shd w:val="clear" w:color="auto" w:fill="auto"/>
            <w:noWrap w:val="0"/>
            <w:vAlign w:val="center"/>
          </w:tcPr>
          <w:p w14:paraId="45A09C7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奥氮平</w:t>
            </w:r>
            <w:r>
              <w:rPr>
                <w:rFonts w:hint="eastAsia" w:ascii="宋体" w:hAnsi="宋体" w:eastAsia="宋体" w:cs="宋体"/>
                <w:color w:val="auto"/>
                <w:kern w:val="0"/>
                <w:sz w:val="21"/>
                <w:szCs w:val="21"/>
                <w:highlight w:val="none"/>
                <w:lang w:eastAsia="zh-Hans" w:bidi="ar"/>
              </w:rPr>
              <w:t>（质谱法）</w:t>
            </w:r>
          </w:p>
        </w:tc>
      </w:tr>
      <w:tr w14:paraId="519A9C5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792" w:type="dxa"/>
            <w:shd w:val="clear" w:color="auto" w:fill="auto"/>
            <w:noWrap w:val="0"/>
            <w:vAlign w:val="center"/>
          </w:tcPr>
          <w:p w14:paraId="448B121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4800" w:type="dxa"/>
            <w:shd w:val="clear" w:color="auto" w:fill="auto"/>
            <w:noWrap w:val="0"/>
            <w:vAlign w:val="center"/>
          </w:tcPr>
          <w:p w14:paraId="2342924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微量元素19项</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123343F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33</w:t>
            </w:r>
          </w:p>
        </w:tc>
        <w:tc>
          <w:tcPr>
            <w:tcW w:w="3388" w:type="dxa"/>
            <w:shd w:val="clear" w:color="auto" w:fill="auto"/>
            <w:noWrap w:val="0"/>
            <w:vAlign w:val="center"/>
          </w:tcPr>
          <w:p w14:paraId="1D9CB55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氟哌啶醇</w:t>
            </w:r>
            <w:r>
              <w:rPr>
                <w:rFonts w:hint="eastAsia" w:ascii="宋体" w:hAnsi="宋体" w:eastAsia="宋体" w:cs="宋体"/>
                <w:color w:val="auto"/>
                <w:kern w:val="0"/>
                <w:sz w:val="21"/>
                <w:szCs w:val="21"/>
                <w:highlight w:val="none"/>
                <w:lang w:eastAsia="zh-Hans" w:bidi="ar"/>
              </w:rPr>
              <w:t>（质谱法）</w:t>
            </w:r>
          </w:p>
        </w:tc>
      </w:tr>
      <w:tr w14:paraId="5F840B9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792" w:type="dxa"/>
            <w:shd w:val="clear" w:color="auto" w:fill="auto"/>
            <w:noWrap w:val="0"/>
            <w:vAlign w:val="center"/>
          </w:tcPr>
          <w:p w14:paraId="618F07F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w:t>
            </w:r>
          </w:p>
        </w:tc>
        <w:tc>
          <w:tcPr>
            <w:tcW w:w="4800" w:type="dxa"/>
            <w:shd w:val="clear" w:color="auto" w:fill="auto"/>
            <w:noWrap w:val="0"/>
            <w:vAlign w:val="center"/>
          </w:tcPr>
          <w:p w14:paraId="33C6440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儿茶酚胺及其代谢物7项</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2ED64DA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34</w:t>
            </w:r>
          </w:p>
        </w:tc>
        <w:tc>
          <w:tcPr>
            <w:tcW w:w="3388" w:type="dxa"/>
            <w:shd w:val="clear" w:color="auto" w:fill="auto"/>
            <w:noWrap w:val="0"/>
            <w:vAlign w:val="center"/>
          </w:tcPr>
          <w:p w14:paraId="28341A9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奋乃静</w:t>
            </w:r>
            <w:r>
              <w:rPr>
                <w:rFonts w:hint="eastAsia" w:ascii="宋体" w:hAnsi="宋体" w:eastAsia="宋体" w:cs="宋体"/>
                <w:color w:val="auto"/>
                <w:kern w:val="0"/>
                <w:sz w:val="21"/>
                <w:szCs w:val="21"/>
                <w:highlight w:val="none"/>
                <w:lang w:eastAsia="zh-Hans" w:bidi="ar"/>
              </w:rPr>
              <w:t>（质谱法）</w:t>
            </w:r>
          </w:p>
        </w:tc>
      </w:tr>
      <w:tr w14:paraId="4924471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1C4DE2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4800" w:type="dxa"/>
            <w:shd w:val="clear" w:color="auto" w:fill="auto"/>
            <w:noWrap w:val="0"/>
            <w:vAlign w:val="center"/>
          </w:tcPr>
          <w:p w14:paraId="067CB52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类固醇激素 11 项</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71DAC16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35</w:t>
            </w:r>
          </w:p>
        </w:tc>
        <w:tc>
          <w:tcPr>
            <w:tcW w:w="3388" w:type="dxa"/>
            <w:shd w:val="clear" w:color="auto" w:fill="auto"/>
            <w:noWrap w:val="0"/>
            <w:vAlign w:val="center"/>
          </w:tcPr>
          <w:p w14:paraId="44969B1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氟奋乃静</w:t>
            </w:r>
            <w:r>
              <w:rPr>
                <w:rFonts w:hint="eastAsia" w:ascii="宋体" w:hAnsi="宋体" w:eastAsia="宋体" w:cs="宋体"/>
                <w:color w:val="auto"/>
                <w:kern w:val="0"/>
                <w:sz w:val="21"/>
                <w:szCs w:val="21"/>
                <w:highlight w:val="none"/>
                <w:lang w:eastAsia="zh-Hans" w:bidi="ar"/>
              </w:rPr>
              <w:t>（质谱法）</w:t>
            </w:r>
          </w:p>
        </w:tc>
      </w:tr>
      <w:tr w14:paraId="0DC6C05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E874D4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w:t>
            </w:r>
          </w:p>
        </w:tc>
        <w:tc>
          <w:tcPr>
            <w:tcW w:w="4800" w:type="dxa"/>
            <w:shd w:val="clear" w:color="auto" w:fill="auto"/>
            <w:noWrap w:val="0"/>
            <w:vAlign w:val="center"/>
          </w:tcPr>
          <w:p w14:paraId="3093BA7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类固醇激素 18 项</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4D33C37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36</w:t>
            </w:r>
          </w:p>
        </w:tc>
        <w:tc>
          <w:tcPr>
            <w:tcW w:w="3388" w:type="dxa"/>
            <w:shd w:val="clear" w:color="auto" w:fill="auto"/>
            <w:noWrap w:val="0"/>
            <w:vAlign w:val="center"/>
          </w:tcPr>
          <w:p w14:paraId="60ED62F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氯氮平及去甲氯氮平</w:t>
            </w:r>
            <w:r>
              <w:rPr>
                <w:rFonts w:hint="eastAsia" w:ascii="宋体" w:hAnsi="宋体" w:eastAsia="宋体" w:cs="宋体"/>
                <w:color w:val="auto"/>
                <w:kern w:val="0"/>
                <w:sz w:val="21"/>
                <w:szCs w:val="21"/>
                <w:highlight w:val="none"/>
                <w:lang w:eastAsia="zh-Hans" w:bidi="ar"/>
              </w:rPr>
              <w:t>（质谱法）</w:t>
            </w:r>
          </w:p>
        </w:tc>
      </w:tr>
      <w:tr w14:paraId="5F647A1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552A5A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c>
          <w:tcPr>
            <w:tcW w:w="4800" w:type="dxa"/>
            <w:shd w:val="clear" w:color="auto" w:fill="auto"/>
            <w:noWrap w:val="0"/>
            <w:vAlign w:val="center"/>
          </w:tcPr>
          <w:p w14:paraId="3548184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胆汁酸谱 16 项</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4879A4C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37</w:t>
            </w:r>
          </w:p>
        </w:tc>
        <w:tc>
          <w:tcPr>
            <w:tcW w:w="3388" w:type="dxa"/>
            <w:shd w:val="clear" w:color="auto" w:fill="auto"/>
            <w:noWrap w:val="0"/>
            <w:vAlign w:val="center"/>
          </w:tcPr>
          <w:p w14:paraId="3979095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阿立哌唑及脱氢阿立哌唑</w:t>
            </w:r>
            <w:r>
              <w:rPr>
                <w:rFonts w:hint="eastAsia" w:ascii="宋体" w:hAnsi="宋体" w:eastAsia="宋体" w:cs="宋体"/>
                <w:color w:val="auto"/>
                <w:kern w:val="0"/>
                <w:sz w:val="21"/>
                <w:szCs w:val="21"/>
                <w:highlight w:val="none"/>
                <w:lang w:eastAsia="zh-Hans" w:bidi="ar"/>
              </w:rPr>
              <w:t>（质谱法）</w:t>
            </w:r>
          </w:p>
        </w:tc>
      </w:tr>
      <w:tr w14:paraId="6A521F2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D9F1DA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w:t>
            </w:r>
          </w:p>
        </w:tc>
        <w:tc>
          <w:tcPr>
            <w:tcW w:w="4800" w:type="dxa"/>
            <w:shd w:val="clear" w:color="auto" w:fill="auto"/>
            <w:noWrap w:val="0"/>
            <w:vAlign w:val="center"/>
          </w:tcPr>
          <w:p w14:paraId="5D46FC0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依维莫司</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59242FD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38</w:t>
            </w:r>
          </w:p>
        </w:tc>
        <w:tc>
          <w:tcPr>
            <w:tcW w:w="3388" w:type="dxa"/>
            <w:shd w:val="clear" w:color="auto" w:fill="auto"/>
            <w:noWrap w:val="0"/>
            <w:vAlign w:val="center"/>
          </w:tcPr>
          <w:p w14:paraId="479E9B2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利培酮及9-羟利培酮</w:t>
            </w:r>
            <w:r>
              <w:rPr>
                <w:rFonts w:hint="eastAsia" w:ascii="宋体" w:hAnsi="宋体" w:eastAsia="宋体" w:cs="宋体"/>
                <w:color w:val="auto"/>
                <w:kern w:val="0"/>
                <w:sz w:val="21"/>
                <w:szCs w:val="21"/>
                <w:highlight w:val="none"/>
                <w:lang w:eastAsia="zh-Hans" w:bidi="ar"/>
              </w:rPr>
              <w:t>（质谱法）</w:t>
            </w:r>
          </w:p>
        </w:tc>
      </w:tr>
      <w:tr w14:paraId="326C6E0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FDA56F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w:t>
            </w:r>
          </w:p>
        </w:tc>
        <w:tc>
          <w:tcPr>
            <w:tcW w:w="4800" w:type="dxa"/>
            <w:shd w:val="clear" w:color="auto" w:fill="auto"/>
            <w:noWrap w:val="0"/>
            <w:vAlign w:val="center"/>
          </w:tcPr>
          <w:p w14:paraId="24541C5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雷帕霉素/西罗莫司</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74B9DD1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39</w:t>
            </w:r>
          </w:p>
        </w:tc>
        <w:tc>
          <w:tcPr>
            <w:tcW w:w="3388" w:type="dxa"/>
            <w:shd w:val="clear" w:color="auto" w:fill="auto"/>
            <w:noWrap w:val="0"/>
            <w:vAlign w:val="center"/>
          </w:tcPr>
          <w:p w14:paraId="256F09C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硫利达嗪</w:t>
            </w:r>
            <w:r>
              <w:rPr>
                <w:rFonts w:hint="eastAsia" w:ascii="宋体" w:hAnsi="宋体" w:eastAsia="宋体" w:cs="宋体"/>
                <w:color w:val="auto"/>
                <w:kern w:val="0"/>
                <w:sz w:val="21"/>
                <w:szCs w:val="21"/>
                <w:highlight w:val="none"/>
                <w:lang w:eastAsia="zh-Hans" w:bidi="ar"/>
              </w:rPr>
              <w:t>（质谱法）</w:t>
            </w:r>
          </w:p>
        </w:tc>
      </w:tr>
      <w:tr w14:paraId="29D16FA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33E32C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4800" w:type="dxa"/>
            <w:shd w:val="clear" w:color="auto" w:fill="auto"/>
            <w:noWrap w:val="0"/>
            <w:vAlign w:val="center"/>
          </w:tcPr>
          <w:p w14:paraId="2A242F2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曲唑酮</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34CF7D6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40</w:t>
            </w:r>
          </w:p>
        </w:tc>
        <w:tc>
          <w:tcPr>
            <w:tcW w:w="3388" w:type="dxa"/>
            <w:shd w:val="clear" w:color="auto" w:fill="auto"/>
            <w:noWrap w:val="0"/>
            <w:vAlign w:val="center"/>
          </w:tcPr>
          <w:p w14:paraId="04697EA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氯普噻吨</w:t>
            </w:r>
            <w:r>
              <w:rPr>
                <w:rFonts w:hint="eastAsia" w:ascii="宋体" w:hAnsi="宋体" w:eastAsia="宋体" w:cs="宋体"/>
                <w:color w:val="auto"/>
                <w:kern w:val="0"/>
                <w:sz w:val="21"/>
                <w:szCs w:val="21"/>
                <w:highlight w:val="none"/>
                <w:lang w:eastAsia="zh-Hans" w:bidi="ar"/>
              </w:rPr>
              <w:t>（质谱法）</w:t>
            </w:r>
          </w:p>
        </w:tc>
      </w:tr>
      <w:tr w14:paraId="7F03F48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92" w:type="dxa"/>
            <w:shd w:val="clear" w:color="auto" w:fill="auto"/>
            <w:noWrap w:val="0"/>
            <w:vAlign w:val="center"/>
          </w:tcPr>
          <w:p w14:paraId="67C071F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t>
            </w:r>
          </w:p>
        </w:tc>
        <w:tc>
          <w:tcPr>
            <w:tcW w:w="4800" w:type="dxa"/>
            <w:shd w:val="clear" w:color="auto" w:fill="auto"/>
            <w:noWrap w:val="0"/>
            <w:vAlign w:val="center"/>
          </w:tcPr>
          <w:p w14:paraId="66F2941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氟伏沙明</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7F39848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41</w:t>
            </w:r>
          </w:p>
        </w:tc>
        <w:tc>
          <w:tcPr>
            <w:tcW w:w="3388" w:type="dxa"/>
            <w:shd w:val="clear" w:color="auto" w:fill="auto"/>
            <w:noWrap w:val="0"/>
            <w:vAlign w:val="center"/>
          </w:tcPr>
          <w:p w14:paraId="15084AD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舍吲哚</w:t>
            </w:r>
            <w:r>
              <w:rPr>
                <w:rFonts w:hint="eastAsia" w:ascii="宋体" w:hAnsi="宋体" w:eastAsia="宋体" w:cs="宋体"/>
                <w:color w:val="auto"/>
                <w:kern w:val="0"/>
                <w:sz w:val="21"/>
                <w:szCs w:val="21"/>
                <w:highlight w:val="none"/>
                <w:lang w:eastAsia="zh-Hans" w:bidi="ar"/>
              </w:rPr>
              <w:t>（质谱法）</w:t>
            </w:r>
          </w:p>
        </w:tc>
      </w:tr>
      <w:tr w14:paraId="047A6AF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92" w:type="dxa"/>
            <w:shd w:val="clear" w:color="auto" w:fill="auto"/>
            <w:noWrap w:val="0"/>
            <w:vAlign w:val="center"/>
          </w:tcPr>
          <w:p w14:paraId="2C67CCA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w:t>
            </w:r>
          </w:p>
        </w:tc>
        <w:tc>
          <w:tcPr>
            <w:tcW w:w="4800" w:type="dxa"/>
            <w:shd w:val="clear" w:color="auto" w:fill="auto"/>
            <w:noWrap w:val="0"/>
            <w:vAlign w:val="center"/>
          </w:tcPr>
          <w:p w14:paraId="0DB8246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度洛西汀</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5062167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42</w:t>
            </w:r>
          </w:p>
        </w:tc>
        <w:tc>
          <w:tcPr>
            <w:tcW w:w="3388" w:type="dxa"/>
            <w:shd w:val="clear" w:color="auto" w:fill="auto"/>
            <w:noWrap w:val="0"/>
            <w:vAlign w:val="center"/>
          </w:tcPr>
          <w:p w14:paraId="3556580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拉莫三嗪</w:t>
            </w:r>
            <w:r>
              <w:rPr>
                <w:rFonts w:hint="eastAsia" w:ascii="宋体" w:hAnsi="宋体" w:eastAsia="宋体" w:cs="宋体"/>
                <w:color w:val="auto"/>
                <w:kern w:val="0"/>
                <w:sz w:val="21"/>
                <w:szCs w:val="21"/>
                <w:highlight w:val="none"/>
                <w:lang w:eastAsia="zh-Hans" w:bidi="ar"/>
              </w:rPr>
              <w:t>（质谱法）</w:t>
            </w:r>
          </w:p>
        </w:tc>
      </w:tr>
      <w:tr w14:paraId="7C72448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92" w:type="dxa"/>
            <w:shd w:val="clear" w:color="auto" w:fill="auto"/>
            <w:noWrap w:val="0"/>
            <w:vAlign w:val="center"/>
          </w:tcPr>
          <w:p w14:paraId="07EB159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w:t>
            </w:r>
          </w:p>
        </w:tc>
        <w:tc>
          <w:tcPr>
            <w:tcW w:w="4800" w:type="dxa"/>
            <w:shd w:val="clear" w:color="auto" w:fill="auto"/>
            <w:noWrap w:val="0"/>
            <w:vAlign w:val="center"/>
          </w:tcPr>
          <w:p w14:paraId="15AD4A7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米氮平</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00A110E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43</w:t>
            </w:r>
          </w:p>
        </w:tc>
        <w:tc>
          <w:tcPr>
            <w:tcW w:w="3388" w:type="dxa"/>
            <w:shd w:val="clear" w:color="auto" w:fill="auto"/>
            <w:noWrap w:val="0"/>
            <w:vAlign w:val="center"/>
          </w:tcPr>
          <w:p w14:paraId="547E1FC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左乙拉西坦</w:t>
            </w:r>
            <w:r>
              <w:rPr>
                <w:rFonts w:hint="eastAsia" w:ascii="宋体" w:hAnsi="宋体" w:eastAsia="宋体" w:cs="宋体"/>
                <w:color w:val="auto"/>
                <w:kern w:val="0"/>
                <w:sz w:val="21"/>
                <w:szCs w:val="21"/>
                <w:highlight w:val="none"/>
                <w:lang w:eastAsia="zh-Hans" w:bidi="ar"/>
              </w:rPr>
              <w:t>（质谱法）</w:t>
            </w:r>
          </w:p>
        </w:tc>
      </w:tr>
      <w:tr w14:paraId="01B9875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92" w:type="dxa"/>
            <w:shd w:val="clear" w:color="auto" w:fill="auto"/>
            <w:noWrap w:val="0"/>
            <w:vAlign w:val="center"/>
          </w:tcPr>
          <w:p w14:paraId="5AF0E45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w:t>
            </w:r>
          </w:p>
        </w:tc>
        <w:tc>
          <w:tcPr>
            <w:tcW w:w="4800" w:type="dxa"/>
            <w:shd w:val="clear" w:color="auto" w:fill="auto"/>
            <w:noWrap w:val="0"/>
            <w:vAlign w:val="center"/>
          </w:tcPr>
          <w:p w14:paraId="00C5557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西酞普兰</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69BB72D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44</w:t>
            </w:r>
          </w:p>
        </w:tc>
        <w:tc>
          <w:tcPr>
            <w:tcW w:w="3388" w:type="dxa"/>
            <w:shd w:val="clear" w:color="auto" w:fill="auto"/>
            <w:noWrap w:val="0"/>
            <w:vAlign w:val="center"/>
          </w:tcPr>
          <w:p w14:paraId="0AC343C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氯硝西泮</w:t>
            </w:r>
            <w:r>
              <w:rPr>
                <w:rFonts w:hint="eastAsia" w:ascii="宋体" w:hAnsi="宋体" w:eastAsia="宋体" w:cs="宋体"/>
                <w:color w:val="auto"/>
                <w:kern w:val="0"/>
                <w:sz w:val="21"/>
                <w:szCs w:val="21"/>
                <w:highlight w:val="none"/>
                <w:lang w:eastAsia="zh-Hans" w:bidi="ar"/>
              </w:rPr>
              <w:t>（质谱法）</w:t>
            </w:r>
          </w:p>
        </w:tc>
      </w:tr>
      <w:tr w14:paraId="51BF28C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92" w:type="dxa"/>
            <w:shd w:val="clear" w:color="auto" w:fill="auto"/>
            <w:noWrap w:val="0"/>
            <w:vAlign w:val="center"/>
          </w:tcPr>
          <w:p w14:paraId="349317A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4800" w:type="dxa"/>
            <w:shd w:val="clear" w:color="auto" w:fill="auto"/>
            <w:noWrap w:val="0"/>
            <w:vAlign w:val="center"/>
          </w:tcPr>
          <w:p w14:paraId="1E9D78A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艾司西酞普兰</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5F5E027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45</w:t>
            </w:r>
          </w:p>
        </w:tc>
        <w:tc>
          <w:tcPr>
            <w:tcW w:w="3388" w:type="dxa"/>
            <w:shd w:val="clear" w:color="auto" w:fill="auto"/>
            <w:noWrap w:val="0"/>
            <w:vAlign w:val="center"/>
          </w:tcPr>
          <w:p w14:paraId="26816E3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苯妥英钠</w:t>
            </w:r>
            <w:r>
              <w:rPr>
                <w:rFonts w:hint="eastAsia" w:ascii="宋体" w:hAnsi="宋体" w:eastAsia="宋体" w:cs="宋体"/>
                <w:color w:val="auto"/>
                <w:kern w:val="0"/>
                <w:sz w:val="21"/>
                <w:szCs w:val="21"/>
                <w:highlight w:val="none"/>
                <w:lang w:eastAsia="zh-Hans" w:bidi="ar"/>
              </w:rPr>
              <w:t>（质谱法）</w:t>
            </w:r>
          </w:p>
        </w:tc>
      </w:tr>
      <w:tr w14:paraId="3D6F73E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92" w:type="dxa"/>
            <w:shd w:val="clear" w:color="auto" w:fill="auto"/>
            <w:noWrap w:val="0"/>
            <w:vAlign w:val="center"/>
          </w:tcPr>
          <w:p w14:paraId="5165EC0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w:t>
            </w:r>
          </w:p>
        </w:tc>
        <w:tc>
          <w:tcPr>
            <w:tcW w:w="4800" w:type="dxa"/>
            <w:shd w:val="clear" w:color="auto" w:fill="auto"/>
            <w:noWrap w:val="0"/>
            <w:vAlign w:val="center"/>
          </w:tcPr>
          <w:p w14:paraId="7E1C49C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舍曲林</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5505D52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46</w:t>
            </w:r>
          </w:p>
        </w:tc>
        <w:tc>
          <w:tcPr>
            <w:tcW w:w="3388" w:type="dxa"/>
            <w:shd w:val="clear" w:color="auto" w:fill="auto"/>
            <w:noWrap w:val="0"/>
            <w:vAlign w:val="center"/>
          </w:tcPr>
          <w:p w14:paraId="310CCD9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托吡酯</w:t>
            </w:r>
            <w:r>
              <w:rPr>
                <w:rFonts w:hint="eastAsia" w:ascii="宋体" w:hAnsi="宋体" w:eastAsia="宋体" w:cs="宋体"/>
                <w:color w:val="auto"/>
                <w:kern w:val="0"/>
                <w:sz w:val="21"/>
                <w:szCs w:val="21"/>
                <w:highlight w:val="none"/>
                <w:lang w:eastAsia="zh-Hans" w:bidi="ar"/>
              </w:rPr>
              <w:t>（质谱法）</w:t>
            </w:r>
          </w:p>
        </w:tc>
      </w:tr>
      <w:tr w14:paraId="4CA00CF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92" w:type="dxa"/>
            <w:shd w:val="clear" w:color="auto" w:fill="auto"/>
            <w:noWrap w:val="0"/>
            <w:vAlign w:val="center"/>
          </w:tcPr>
          <w:p w14:paraId="54C6D39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w:t>
            </w:r>
          </w:p>
        </w:tc>
        <w:tc>
          <w:tcPr>
            <w:tcW w:w="4800" w:type="dxa"/>
            <w:shd w:val="clear" w:color="auto" w:fill="auto"/>
            <w:noWrap w:val="0"/>
            <w:vAlign w:val="center"/>
          </w:tcPr>
          <w:p w14:paraId="3F598CB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帕罗西汀</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1BB2F28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47</w:t>
            </w:r>
          </w:p>
        </w:tc>
        <w:tc>
          <w:tcPr>
            <w:tcW w:w="3388" w:type="dxa"/>
            <w:shd w:val="clear" w:color="auto" w:fill="auto"/>
            <w:noWrap w:val="0"/>
            <w:vAlign w:val="center"/>
          </w:tcPr>
          <w:p w14:paraId="46C1AC9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扑米酮及苯巴比妥</w:t>
            </w:r>
            <w:r>
              <w:rPr>
                <w:rFonts w:hint="eastAsia" w:ascii="宋体" w:hAnsi="宋体" w:eastAsia="宋体" w:cs="宋体"/>
                <w:color w:val="auto"/>
                <w:kern w:val="0"/>
                <w:sz w:val="21"/>
                <w:szCs w:val="21"/>
                <w:highlight w:val="none"/>
                <w:lang w:eastAsia="zh-Hans" w:bidi="ar"/>
              </w:rPr>
              <w:t>（质谱法）</w:t>
            </w:r>
          </w:p>
        </w:tc>
      </w:tr>
      <w:tr w14:paraId="41CEA2B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92" w:type="dxa"/>
            <w:shd w:val="clear" w:color="auto" w:fill="auto"/>
            <w:noWrap w:val="0"/>
            <w:vAlign w:val="center"/>
          </w:tcPr>
          <w:p w14:paraId="2F73438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23</w:t>
            </w:r>
          </w:p>
        </w:tc>
        <w:tc>
          <w:tcPr>
            <w:tcW w:w="4800" w:type="dxa"/>
            <w:shd w:val="clear" w:color="auto" w:fill="auto"/>
            <w:noWrap w:val="0"/>
            <w:vAlign w:val="center"/>
          </w:tcPr>
          <w:p w14:paraId="5A50308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氯米帕明及去甲氯米帕明</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7E2B673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48</w:t>
            </w:r>
          </w:p>
        </w:tc>
        <w:tc>
          <w:tcPr>
            <w:tcW w:w="3388" w:type="dxa"/>
            <w:shd w:val="clear" w:color="auto" w:fill="auto"/>
            <w:noWrap w:val="0"/>
            <w:vAlign w:val="center"/>
          </w:tcPr>
          <w:p w14:paraId="5445ECC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奥卡西平及 10-羟基卡马西平</w:t>
            </w:r>
            <w:r>
              <w:rPr>
                <w:rFonts w:hint="eastAsia" w:ascii="宋体" w:hAnsi="宋体" w:eastAsia="宋体" w:cs="宋体"/>
                <w:color w:val="auto"/>
                <w:kern w:val="0"/>
                <w:sz w:val="21"/>
                <w:szCs w:val="21"/>
                <w:highlight w:val="none"/>
                <w:lang w:eastAsia="zh-Hans" w:bidi="ar"/>
              </w:rPr>
              <w:t>（质谱法）</w:t>
            </w:r>
          </w:p>
        </w:tc>
      </w:tr>
      <w:tr w14:paraId="4EB3FFE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92" w:type="dxa"/>
            <w:shd w:val="clear" w:color="auto" w:fill="auto"/>
            <w:noWrap w:val="0"/>
            <w:vAlign w:val="center"/>
          </w:tcPr>
          <w:p w14:paraId="3BC9CB9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w:t>
            </w:r>
          </w:p>
        </w:tc>
        <w:tc>
          <w:tcPr>
            <w:tcW w:w="4800" w:type="dxa"/>
            <w:shd w:val="clear" w:color="auto" w:fill="auto"/>
            <w:noWrap w:val="0"/>
            <w:vAlign w:val="center"/>
          </w:tcPr>
          <w:p w14:paraId="4A550DA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安非他酮及羟安非他酮</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1894E68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49</w:t>
            </w:r>
          </w:p>
        </w:tc>
        <w:tc>
          <w:tcPr>
            <w:tcW w:w="3388" w:type="dxa"/>
            <w:shd w:val="clear" w:color="auto" w:fill="auto"/>
            <w:noWrap w:val="0"/>
            <w:vAlign w:val="center"/>
          </w:tcPr>
          <w:p w14:paraId="42BFF7A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多奈哌齐</w:t>
            </w:r>
            <w:r>
              <w:rPr>
                <w:rFonts w:hint="eastAsia" w:ascii="宋体" w:hAnsi="宋体" w:eastAsia="宋体" w:cs="宋体"/>
                <w:color w:val="auto"/>
                <w:kern w:val="0"/>
                <w:sz w:val="21"/>
                <w:szCs w:val="21"/>
                <w:highlight w:val="none"/>
                <w:lang w:eastAsia="zh-Hans" w:bidi="ar"/>
              </w:rPr>
              <w:t>（质谱法）</w:t>
            </w:r>
          </w:p>
        </w:tc>
      </w:tr>
      <w:tr w14:paraId="73A37B5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92" w:type="dxa"/>
            <w:shd w:val="clear" w:color="auto" w:fill="auto"/>
            <w:noWrap w:val="0"/>
            <w:vAlign w:val="center"/>
          </w:tcPr>
          <w:p w14:paraId="6D2D17B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w:t>
            </w:r>
          </w:p>
        </w:tc>
        <w:tc>
          <w:tcPr>
            <w:tcW w:w="4800" w:type="dxa"/>
            <w:shd w:val="clear" w:color="auto" w:fill="auto"/>
            <w:noWrap w:val="0"/>
            <w:vAlign w:val="center"/>
          </w:tcPr>
          <w:p w14:paraId="4BF3EF7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氟西汀及去甲氟西汀</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6432D0F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50</w:t>
            </w:r>
          </w:p>
        </w:tc>
        <w:tc>
          <w:tcPr>
            <w:tcW w:w="3388" w:type="dxa"/>
            <w:shd w:val="clear" w:color="auto" w:fill="auto"/>
            <w:noWrap w:val="0"/>
            <w:vAlign w:val="center"/>
          </w:tcPr>
          <w:p w14:paraId="1FD165F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唑吡坦</w:t>
            </w:r>
            <w:r>
              <w:rPr>
                <w:rFonts w:hint="eastAsia" w:ascii="宋体" w:hAnsi="宋体" w:eastAsia="宋体" w:cs="宋体"/>
                <w:color w:val="auto"/>
                <w:kern w:val="0"/>
                <w:sz w:val="21"/>
                <w:szCs w:val="21"/>
                <w:highlight w:val="none"/>
                <w:lang w:eastAsia="zh-Hans" w:bidi="ar"/>
              </w:rPr>
              <w:t>（质谱法）</w:t>
            </w:r>
          </w:p>
        </w:tc>
      </w:tr>
      <w:tr w14:paraId="714D851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92" w:type="dxa"/>
            <w:shd w:val="clear" w:color="auto" w:fill="auto"/>
            <w:noWrap w:val="0"/>
            <w:vAlign w:val="center"/>
          </w:tcPr>
          <w:p w14:paraId="2FA9D34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51</w:t>
            </w:r>
          </w:p>
        </w:tc>
        <w:tc>
          <w:tcPr>
            <w:tcW w:w="4800" w:type="dxa"/>
            <w:shd w:val="clear" w:color="auto" w:fill="auto"/>
            <w:noWrap w:val="0"/>
            <w:vAlign w:val="center"/>
          </w:tcPr>
          <w:p w14:paraId="038A03E9">
            <w:pPr>
              <w:widowControl/>
              <w:jc w:val="center"/>
              <w:textAlignment w:val="center"/>
              <w:rPr>
                <w:rFonts w:hint="eastAsia" w:ascii="宋体" w:hAnsi="宋体" w:eastAsia="宋体" w:cs="宋体"/>
                <w:color w:val="auto"/>
                <w:sz w:val="21"/>
                <w:szCs w:val="21"/>
                <w:highlight w:val="none"/>
                <w:lang w:eastAsia="zh-Hans"/>
              </w:rPr>
            </w:pPr>
            <w:r>
              <w:rPr>
                <w:rFonts w:hint="eastAsia" w:ascii="宋体" w:hAnsi="宋体" w:eastAsia="宋体" w:cs="宋体"/>
                <w:color w:val="auto"/>
                <w:kern w:val="0"/>
                <w:sz w:val="21"/>
                <w:szCs w:val="21"/>
                <w:highlight w:val="none"/>
                <w:lang w:bidi="ar"/>
              </w:rPr>
              <w:t>替马西泮</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5D7575A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84</w:t>
            </w:r>
          </w:p>
        </w:tc>
        <w:tc>
          <w:tcPr>
            <w:tcW w:w="3388" w:type="dxa"/>
            <w:shd w:val="clear" w:color="auto" w:fill="auto"/>
            <w:noWrap w:val="0"/>
            <w:vAlign w:val="center"/>
          </w:tcPr>
          <w:p w14:paraId="79CD0DB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亚胺培南</w:t>
            </w:r>
            <w:r>
              <w:rPr>
                <w:rFonts w:hint="eastAsia" w:ascii="宋体" w:hAnsi="宋体" w:eastAsia="宋体" w:cs="宋体"/>
                <w:color w:val="auto"/>
                <w:kern w:val="0"/>
                <w:sz w:val="21"/>
                <w:szCs w:val="21"/>
                <w:highlight w:val="none"/>
                <w:lang w:eastAsia="zh-Hans" w:bidi="ar"/>
              </w:rPr>
              <w:t>（质谱法）</w:t>
            </w:r>
          </w:p>
        </w:tc>
      </w:tr>
      <w:tr w14:paraId="74A09CA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21A465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52</w:t>
            </w:r>
          </w:p>
        </w:tc>
        <w:tc>
          <w:tcPr>
            <w:tcW w:w="4800" w:type="dxa"/>
            <w:shd w:val="clear" w:color="auto" w:fill="auto"/>
            <w:noWrap w:val="0"/>
            <w:vAlign w:val="center"/>
          </w:tcPr>
          <w:p w14:paraId="07DDCEC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艾司唑仑</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74C759B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85</w:t>
            </w:r>
          </w:p>
        </w:tc>
        <w:tc>
          <w:tcPr>
            <w:tcW w:w="3388" w:type="dxa"/>
            <w:shd w:val="clear" w:color="auto" w:fill="auto"/>
            <w:noWrap w:val="0"/>
            <w:vAlign w:val="center"/>
          </w:tcPr>
          <w:p w14:paraId="5A41C36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美洛培南</w:t>
            </w:r>
            <w:r>
              <w:rPr>
                <w:rFonts w:hint="eastAsia" w:ascii="宋体" w:hAnsi="宋体" w:eastAsia="宋体" w:cs="宋体"/>
                <w:color w:val="auto"/>
                <w:kern w:val="0"/>
                <w:sz w:val="21"/>
                <w:szCs w:val="21"/>
                <w:highlight w:val="none"/>
                <w:lang w:eastAsia="zh-Hans" w:bidi="ar"/>
              </w:rPr>
              <w:t>（质谱法）</w:t>
            </w:r>
          </w:p>
        </w:tc>
      </w:tr>
      <w:tr w14:paraId="39E2F67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92" w:type="dxa"/>
            <w:shd w:val="clear" w:color="auto" w:fill="auto"/>
            <w:noWrap w:val="0"/>
            <w:vAlign w:val="center"/>
          </w:tcPr>
          <w:p w14:paraId="64F85BC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53</w:t>
            </w:r>
          </w:p>
        </w:tc>
        <w:tc>
          <w:tcPr>
            <w:tcW w:w="4800" w:type="dxa"/>
            <w:shd w:val="clear" w:color="auto" w:fill="auto"/>
            <w:noWrap w:val="0"/>
            <w:vAlign w:val="center"/>
          </w:tcPr>
          <w:p w14:paraId="2AC5E80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苯巴比妥</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4DA635C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86</w:t>
            </w:r>
          </w:p>
        </w:tc>
        <w:tc>
          <w:tcPr>
            <w:tcW w:w="3388" w:type="dxa"/>
            <w:shd w:val="clear" w:color="auto" w:fill="auto"/>
            <w:noWrap w:val="0"/>
            <w:vAlign w:val="center"/>
          </w:tcPr>
          <w:p w14:paraId="6F5DAB4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替加环素</w:t>
            </w:r>
            <w:r>
              <w:rPr>
                <w:rFonts w:hint="eastAsia" w:ascii="宋体" w:hAnsi="宋体" w:eastAsia="宋体" w:cs="宋体"/>
                <w:color w:val="auto"/>
                <w:kern w:val="0"/>
                <w:sz w:val="21"/>
                <w:szCs w:val="21"/>
                <w:highlight w:val="none"/>
                <w:lang w:eastAsia="zh-Hans" w:bidi="ar"/>
              </w:rPr>
              <w:t>（质谱法）</w:t>
            </w:r>
          </w:p>
        </w:tc>
      </w:tr>
      <w:tr w14:paraId="43FFF43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92" w:type="dxa"/>
            <w:shd w:val="clear" w:color="auto" w:fill="auto"/>
            <w:noWrap w:val="0"/>
            <w:vAlign w:val="center"/>
          </w:tcPr>
          <w:p w14:paraId="2581F18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54</w:t>
            </w:r>
          </w:p>
        </w:tc>
        <w:tc>
          <w:tcPr>
            <w:tcW w:w="4800" w:type="dxa"/>
            <w:shd w:val="clear" w:color="auto" w:fill="auto"/>
            <w:noWrap w:val="0"/>
            <w:vAlign w:val="center"/>
          </w:tcPr>
          <w:p w14:paraId="2CB68C1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咪达唑仑</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4E133B9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87</w:t>
            </w:r>
          </w:p>
        </w:tc>
        <w:tc>
          <w:tcPr>
            <w:tcW w:w="3388" w:type="dxa"/>
            <w:shd w:val="clear" w:color="auto" w:fill="auto"/>
            <w:noWrap w:val="0"/>
            <w:vAlign w:val="center"/>
          </w:tcPr>
          <w:p w14:paraId="5781416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莫西沙星</w:t>
            </w:r>
            <w:r>
              <w:rPr>
                <w:rFonts w:hint="eastAsia" w:ascii="宋体" w:hAnsi="宋体" w:eastAsia="宋体" w:cs="宋体"/>
                <w:color w:val="auto"/>
                <w:kern w:val="0"/>
                <w:sz w:val="21"/>
                <w:szCs w:val="21"/>
                <w:highlight w:val="none"/>
                <w:lang w:eastAsia="zh-Hans" w:bidi="ar"/>
              </w:rPr>
              <w:t>（质谱法）</w:t>
            </w:r>
          </w:p>
        </w:tc>
      </w:tr>
      <w:tr w14:paraId="19EF3AC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92" w:type="dxa"/>
            <w:shd w:val="clear" w:color="auto" w:fill="auto"/>
            <w:noWrap w:val="0"/>
            <w:vAlign w:val="center"/>
          </w:tcPr>
          <w:p w14:paraId="3D89E34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55</w:t>
            </w:r>
          </w:p>
        </w:tc>
        <w:tc>
          <w:tcPr>
            <w:tcW w:w="4800" w:type="dxa"/>
            <w:shd w:val="clear" w:color="auto" w:fill="auto"/>
            <w:noWrap w:val="0"/>
            <w:vAlign w:val="center"/>
          </w:tcPr>
          <w:p w14:paraId="2F2D92A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劳拉西泮</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2D156A1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88</w:t>
            </w:r>
          </w:p>
        </w:tc>
        <w:tc>
          <w:tcPr>
            <w:tcW w:w="3388" w:type="dxa"/>
            <w:shd w:val="clear" w:color="auto" w:fill="auto"/>
            <w:noWrap w:val="0"/>
            <w:vAlign w:val="center"/>
          </w:tcPr>
          <w:p w14:paraId="3F3B93F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舒巴坦/头孢哌酮</w:t>
            </w:r>
            <w:r>
              <w:rPr>
                <w:rFonts w:hint="eastAsia" w:ascii="宋体" w:hAnsi="宋体" w:eastAsia="宋体" w:cs="宋体"/>
                <w:color w:val="auto"/>
                <w:kern w:val="0"/>
                <w:sz w:val="21"/>
                <w:szCs w:val="21"/>
                <w:highlight w:val="none"/>
                <w:lang w:eastAsia="zh-Hans" w:bidi="ar"/>
              </w:rPr>
              <w:t>（质谱法）</w:t>
            </w:r>
          </w:p>
        </w:tc>
      </w:tr>
      <w:tr w14:paraId="3EB4129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92" w:type="dxa"/>
            <w:shd w:val="clear" w:color="auto" w:fill="auto"/>
            <w:noWrap w:val="0"/>
            <w:vAlign w:val="center"/>
          </w:tcPr>
          <w:p w14:paraId="0B17BD0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56</w:t>
            </w:r>
          </w:p>
        </w:tc>
        <w:tc>
          <w:tcPr>
            <w:tcW w:w="4800" w:type="dxa"/>
            <w:shd w:val="clear" w:color="auto" w:fill="auto"/>
            <w:noWrap w:val="0"/>
            <w:vAlign w:val="center"/>
          </w:tcPr>
          <w:p w14:paraId="0065A38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佐匹克隆</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2A3D589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89</w:t>
            </w:r>
          </w:p>
        </w:tc>
        <w:tc>
          <w:tcPr>
            <w:tcW w:w="3388" w:type="dxa"/>
            <w:shd w:val="clear" w:color="auto" w:fill="auto"/>
            <w:noWrap w:val="0"/>
            <w:vAlign w:val="center"/>
          </w:tcPr>
          <w:p w14:paraId="1BE1246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雌酮（E1）</w:t>
            </w:r>
            <w:r>
              <w:rPr>
                <w:rFonts w:hint="eastAsia" w:ascii="宋体" w:hAnsi="宋体" w:eastAsia="宋体" w:cs="宋体"/>
                <w:color w:val="auto"/>
                <w:kern w:val="0"/>
                <w:sz w:val="21"/>
                <w:szCs w:val="21"/>
                <w:highlight w:val="none"/>
                <w:lang w:eastAsia="zh-Hans" w:bidi="ar"/>
              </w:rPr>
              <w:t>（质谱法）</w:t>
            </w:r>
          </w:p>
        </w:tc>
      </w:tr>
      <w:tr w14:paraId="17E16B8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92" w:type="dxa"/>
            <w:shd w:val="clear" w:color="auto" w:fill="auto"/>
            <w:noWrap w:val="0"/>
            <w:vAlign w:val="center"/>
          </w:tcPr>
          <w:p w14:paraId="5DD8D40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57</w:t>
            </w:r>
          </w:p>
        </w:tc>
        <w:tc>
          <w:tcPr>
            <w:tcW w:w="4800" w:type="dxa"/>
            <w:shd w:val="clear" w:color="auto" w:fill="auto"/>
            <w:noWrap w:val="0"/>
            <w:vAlign w:val="center"/>
          </w:tcPr>
          <w:p w14:paraId="6BA0638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溴西泮</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39A2F0A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90</w:t>
            </w:r>
          </w:p>
        </w:tc>
        <w:tc>
          <w:tcPr>
            <w:tcW w:w="3388" w:type="dxa"/>
            <w:shd w:val="clear" w:color="auto" w:fill="auto"/>
            <w:noWrap w:val="0"/>
            <w:vAlign w:val="center"/>
          </w:tcPr>
          <w:p w14:paraId="2C07A0D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糖化血红蛋白（HbA1C）</w:t>
            </w:r>
            <w:r>
              <w:rPr>
                <w:rFonts w:hint="eastAsia" w:ascii="宋体" w:hAnsi="宋体" w:eastAsia="宋体" w:cs="宋体"/>
                <w:color w:val="auto"/>
                <w:kern w:val="0"/>
                <w:sz w:val="21"/>
                <w:szCs w:val="21"/>
                <w:highlight w:val="none"/>
                <w:lang w:eastAsia="zh-Hans" w:bidi="ar"/>
              </w:rPr>
              <w:t>（质谱法）</w:t>
            </w:r>
          </w:p>
        </w:tc>
      </w:tr>
      <w:tr w14:paraId="68AD479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92" w:type="dxa"/>
            <w:shd w:val="clear" w:color="auto" w:fill="auto"/>
            <w:noWrap w:val="0"/>
            <w:vAlign w:val="center"/>
          </w:tcPr>
          <w:p w14:paraId="7B3B92B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58</w:t>
            </w:r>
          </w:p>
        </w:tc>
        <w:tc>
          <w:tcPr>
            <w:tcW w:w="4800" w:type="dxa"/>
            <w:shd w:val="clear" w:color="auto" w:fill="auto"/>
            <w:noWrap w:val="0"/>
            <w:vAlign w:val="center"/>
          </w:tcPr>
          <w:p w14:paraId="03B0A0A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硝西泮</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73EBB17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91</w:t>
            </w:r>
          </w:p>
        </w:tc>
        <w:tc>
          <w:tcPr>
            <w:tcW w:w="3388" w:type="dxa"/>
            <w:shd w:val="clear" w:color="auto" w:fill="auto"/>
            <w:noWrap w:val="0"/>
            <w:vAlign w:val="center"/>
          </w:tcPr>
          <w:p w14:paraId="02719B7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T淋巴细胞亚群测定</w:t>
            </w:r>
          </w:p>
        </w:tc>
      </w:tr>
      <w:tr w14:paraId="2E001D3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92" w:type="dxa"/>
            <w:shd w:val="clear" w:color="auto" w:fill="auto"/>
            <w:noWrap w:val="0"/>
            <w:vAlign w:val="center"/>
          </w:tcPr>
          <w:p w14:paraId="230163E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59</w:t>
            </w:r>
          </w:p>
        </w:tc>
        <w:tc>
          <w:tcPr>
            <w:tcW w:w="4800" w:type="dxa"/>
            <w:shd w:val="clear" w:color="auto" w:fill="auto"/>
            <w:noWrap w:val="0"/>
            <w:vAlign w:val="center"/>
          </w:tcPr>
          <w:p w14:paraId="420DF55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奥沙西泮</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7B038BC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92</w:t>
            </w:r>
          </w:p>
        </w:tc>
        <w:tc>
          <w:tcPr>
            <w:tcW w:w="3388" w:type="dxa"/>
            <w:shd w:val="clear" w:color="auto" w:fill="auto"/>
            <w:noWrap w:val="0"/>
            <w:vAlign w:val="center"/>
          </w:tcPr>
          <w:p w14:paraId="6D93979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淋巴细胞亚群测定</w:t>
            </w:r>
          </w:p>
        </w:tc>
      </w:tr>
      <w:tr w14:paraId="47E3CBA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92" w:type="dxa"/>
            <w:shd w:val="clear" w:color="auto" w:fill="auto"/>
            <w:noWrap w:val="0"/>
            <w:vAlign w:val="center"/>
          </w:tcPr>
          <w:p w14:paraId="05E623A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w:t>
            </w:r>
          </w:p>
        </w:tc>
        <w:tc>
          <w:tcPr>
            <w:tcW w:w="4800" w:type="dxa"/>
            <w:shd w:val="clear" w:color="auto" w:fill="auto"/>
            <w:noWrap w:val="0"/>
            <w:vAlign w:val="center"/>
          </w:tcPr>
          <w:p w14:paraId="45BD840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阿普唑仑</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494959B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93</w:t>
            </w:r>
          </w:p>
        </w:tc>
        <w:tc>
          <w:tcPr>
            <w:tcW w:w="3388" w:type="dxa"/>
            <w:shd w:val="clear" w:color="auto" w:fill="auto"/>
            <w:noWrap w:val="0"/>
            <w:vAlign w:val="center"/>
          </w:tcPr>
          <w:p w14:paraId="3F73F3E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染色体芯片分析（POC）</w:t>
            </w:r>
          </w:p>
        </w:tc>
      </w:tr>
      <w:tr w14:paraId="247B5C4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92" w:type="dxa"/>
            <w:shd w:val="clear" w:color="auto" w:fill="auto"/>
            <w:noWrap w:val="0"/>
            <w:vAlign w:val="center"/>
          </w:tcPr>
          <w:p w14:paraId="4FDC99D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61</w:t>
            </w:r>
          </w:p>
        </w:tc>
        <w:tc>
          <w:tcPr>
            <w:tcW w:w="4800" w:type="dxa"/>
            <w:shd w:val="clear" w:color="auto" w:fill="auto"/>
            <w:noWrap w:val="0"/>
            <w:vAlign w:val="center"/>
          </w:tcPr>
          <w:p w14:paraId="3D4DD10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卡马西平</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59879E8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94</w:t>
            </w:r>
          </w:p>
        </w:tc>
        <w:tc>
          <w:tcPr>
            <w:tcW w:w="3388" w:type="dxa"/>
            <w:shd w:val="clear" w:color="auto" w:fill="auto"/>
            <w:noWrap w:val="0"/>
            <w:vAlign w:val="center"/>
          </w:tcPr>
          <w:p w14:paraId="2D3A9B7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地中海贫血基因检测</w:t>
            </w:r>
          </w:p>
        </w:tc>
      </w:tr>
      <w:tr w14:paraId="2D67FE0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92" w:type="dxa"/>
            <w:shd w:val="clear" w:color="auto" w:fill="auto"/>
            <w:noWrap w:val="0"/>
            <w:vAlign w:val="center"/>
          </w:tcPr>
          <w:p w14:paraId="60C1C97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62</w:t>
            </w:r>
          </w:p>
        </w:tc>
        <w:tc>
          <w:tcPr>
            <w:tcW w:w="4800" w:type="dxa"/>
            <w:shd w:val="clear" w:color="auto" w:fill="auto"/>
            <w:noWrap w:val="0"/>
            <w:vAlign w:val="center"/>
          </w:tcPr>
          <w:p w14:paraId="6A756EC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地西泮</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4F417BE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95</w:t>
            </w:r>
          </w:p>
        </w:tc>
        <w:tc>
          <w:tcPr>
            <w:tcW w:w="3388" w:type="dxa"/>
            <w:shd w:val="clear" w:color="auto" w:fill="auto"/>
            <w:noWrap w:val="0"/>
            <w:vAlign w:val="center"/>
          </w:tcPr>
          <w:p w14:paraId="05C814B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Y染色体微缺失（AZF）</w:t>
            </w:r>
          </w:p>
        </w:tc>
      </w:tr>
      <w:tr w14:paraId="3D78C70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92" w:type="dxa"/>
            <w:shd w:val="clear" w:color="auto" w:fill="auto"/>
            <w:noWrap w:val="0"/>
            <w:vAlign w:val="center"/>
          </w:tcPr>
          <w:p w14:paraId="425A2CB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w:t>
            </w:r>
          </w:p>
        </w:tc>
        <w:tc>
          <w:tcPr>
            <w:tcW w:w="4800" w:type="dxa"/>
            <w:shd w:val="clear" w:color="auto" w:fill="auto"/>
            <w:noWrap w:val="0"/>
            <w:vAlign w:val="center"/>
          </w:tcPr>
          <w:p w14:paraId="0DA7EA3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地西泮及去甲地西泮、奥沙西泮和替马西泮</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593048F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96</w:t>
            </w:r>
          </w:p>
        </w:tc>
        <w:tc>
          <w:tcPr>
            <w:tcW w:w="3388" w:type="dxa"/>
            <w:shd w:val="clear" w:color="auto" w:fill="auto"/>
            <w:noWrap w:val="0"/>
            <w:vAlign w:val="center"/>
          </w:tcPr>
          <w:p w14:paraId="5154DAF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高分辨染色体核型分析（550带）</w:t>
            </w:r>
          </w:p>
        </w:tc>
      </w:tr>
      <w:tr w14:paraId="22FB4CC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E8B07D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64</w:t>
            </w:r>
          </w:p>
        </w:tc>
        <w:tc>
          <w:tcPr>
            <w:tcW w:w="4800" w:type="dxa"/>
            <w:shd w:val="clear" w:color="auto" w:fill="auto"/>
            <w:noWrap w:val="0"/>
            <w:vAlign w:val="center"/>
          </w:tcPr>
          <w:p w14:paraId="6ECE334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美达西泮及去甲地西泮、奥沙西泮和替马西泮</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2255CF3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97</w:t>
            </w:r>
          </w:p>
        </w:tc>
        <w:tc>
          <w:tcPr>
            <w:tcW w:w="3388" w:type="dxa"/>
            <w:shd w:val="clear" w:color="auto" w:fill="auto"/>
            <w:noWrap w:val="0"/>
            <w:vAlign w:val="center"/>
          </w:tcPr>
          <w:p w14:paraId="2E53F9C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外周血染色体畸变分析</w:t>
            </w:r>
          </w:p>
        </w:tc>
      </w:tr>
      <w:tr w14:paraId="785BA11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D715B1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65</w:t>
            </w:r>
          </w:p>
        </w:tc>
        <w:tc>
          <w:tcPr>
            <w:tcW w:w="4800" w:type="dxa"/>
            <w:shd w:val="clear" w:color="auto" w:fill="auto"/>
            <w:noWrap w:val="0"/>
            <w:vAlign w:val="center"/>
          </w:tcPr>
          <w:p w14:paraId="5E3F687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卡马西平及卡马西平 10，11-环氧化物</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2FECFBD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98</w:t>
            </w:r>
          </w:p>
        </w:tc>
        <w:tc>
          <w:tcPr>
            <w:tcW w:w="3388" w:type="dxa"/>
            <w:shd w:val="clear" w:color="auto" w:fill="auto"/>
            <w:noWrap w:val="0"/>
            <w:vAlign w:val="center"/>
          </w:tcPr>
          <w:p w14:paraId="77010F8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外周血淋巴细胞微核试验</w:t>
            </w:r>
          </w:p>
        </w:tc>
      </w:tr>
      <w:tr w14:paraId="75ACBB7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847D0C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66</w:t>
            </w:r>
          </w:p>
        </w:tc>
        <w:tc>
          <w:tcPr>
            <w:tcW w:w="4800" w:type="dxa"/>
            <w:shd w:val="clear" w:color="auto" w:fill="auto"/>
            <w:noWrap w:val="0"/>
            <w:vAlign w:val="center"/>
          </w:tcPr>
          <w:p w14:paraId="1BB8E9A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恩替卡韦</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77B18BD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99</w:t>
            </w:r>
          </w:p>
        </w:tc>
        <w:tc>
          <w:tcPr>
            <w:tcW w:w="3388" w:type="dxa"/>
            <w:shd w:val="clear" w:color="auto" w:fill="auto"/>
            <w:noWrap w:val="0"/>
            <w:vAlign w:val="center"/>
          </w:tcPr>
          <w:p w14:paraId="0964CD3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骨髓染色体核型分析</w:t>
            </w:r>
          </w:p>
        </w:tc>
      </w:tr>
      <w:tr w14:paraId="19FD6F0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570771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67</w:t>
            </w:r>
          </w:p>
        </w:tc>
        <w:tc>
          <w:tcPr>
            <w:tcW w:w="4800" w:type="dxa"/>
            <w:shd w:val="clear" w:color="auto" w:fill="auto"/>
            <w:noWrap w:val="0"/>
            <w:vAlign w:val="center"/>
          </w:tcPr>
          <w:p w14:paraId="3EBC45B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拉米夫定</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2762939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100</w:t>
            </w:r>
          </w:p>
        </w:tc>
        <w:tc>
          <w:tcPr>
            <w:tcW w:w="3388" w:type="dxa"/>
            <w:shd w:val="clear" w:color="auto" w:fill="auto"/>
            <w:noWrap w:val="0"/>
            <w:vAlign w:val="center"/>
          </w:tcPr>
          <w:p w14:paraId="66274F3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遗传性耳聋基因检测</w:t>
            </w:r>
          </w:p>
        </w:tc>
      </w:tr>
      <w:tr w14:paraId="18830B6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92" w:type="dxa"/>
            <w:shd w:val="clear" w:color="auto" w:fill="auto"/>
            <w:noWrap w:val="0"/>
            <w:vAlign w:val="center"/>
          </w:tcPr>
          <w:p w14:paraId="608BBFB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68</w:t>
            </w:r>
          </w:p>
        </w:tc>
        <w:tc>
          <w:tcPr>
            <w:tcW w:w="4800" w:type="dxa"/>
            <w:shd w:val="clear" w:color="auto" w:fill="auto"/>
            <w:noWrap w:val="0"/>
            <w:vAlign w:val="center"/>
          </w:tcPr>
          <w:p w14:paraId="74534E1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齐多夫定</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29FB67B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101</w:t>
            </w:r>
          </w:p>
        </w:tc>
        <w:tc>
          <w:tcPr>
            <w:tcW w:w="3388" w:type="dxa"/>
            <w:shd w:val="clear" w:color="auto" w:fill="auto"/>
            <w:noWrap w:val="0"/>
            <w:vAlign w:val="center"/>
          </w:tcPr>
          <w:p w14:paraId="09B84EFE">
            <w:pPr>
              <w:widowControl/>
              <w:jc w:val="center"/>
              <w:textAlignment w:val="center"/>
              <w:rPr>
                <w:rFonts w:hint="eastAsia" w:ascii="宋体" w:hAnsi="宋体" w:eastAsia="宋体" w:cs="宋体"/>
                <w:color w:val="auto"/>
                <w:kern w:val="0"/>
                <w:sz w:val="21"/>
                <w:szCs w:val="21"/>
                <w:highlight w:val="none"/>
                <w:lang w:eastAsia="zh-Hans" w:bidi="ar"/>
              </w:rPr>
            </w:pPr>
            <w:r>
              <w:rPr>
                <w:rFonts w:hint="eastAsia" w:ascii="宋体" w:hAnsi="宋体" w:eastAsia="宋体" w:cs="宋体"/>
                <w:color w:val="auto"/>
                <w:kern w:val="0"/>
                <w:sz w:val="21"/>
                <w:szCs w:val="21"/>
                <w:highlight w:val="none"/>
                <w:lang w:eastAsia="zh-Hans" w:bidi="ar"/>
              </w:rPr>
              <w:t>胎盘生长因子检测</w:t>
            </w:r>
          </w:p>
        </w:tc>
      </w:tr>
      <w:tr w14:paraId="5662924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92" w:type="dxa"/>
            <w:shd w:val="clear" w:color="auto" w:fill="auto"/>
            <w:noWrap w:val="0"/>
            <w:vAlign w:val="center"/>
          </w:tcPr>
          <w:p w14:paraId="09CBD09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69</w:t>
            </w:r>
          </w:p>
        </w:tc>
        <w:tc>
          <w:tcPr>
            <w:tcW w:w="4800" w:type="dxa"/>
            <w:shd w:val="clear" w:color="auto" w:fill="auto"/>
            <w:noWrap/>
            <w:vAlign w:val="center"/>
          </w:tcPr>
          <w:p w14:paraId="0F0898B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替诺福韦</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ign w:val="center"/>
          </w:tcPr>
          <w:p w14:paraId="18C5578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102</w:t>
            </w:r>
          </w:p>
        </w:tc>
        <w:tc>
          <w:tcPr>
            <w:tcW w:w="3388" w:type="dxa"/>
            <w:shd w:val="clear" w:color="auto" w:fill="auto"/>
            <w:noWrap/>
            <w:vAlign w:val="center"/>
          </w:tcPr>
          <w:p w14:paraId="07362846">
            <w:pPr>
              <w:widowControl/>
              <w:jc w:val="center"/>
              <w:textAlignment w:val="center"/>
              <w:rPr>
                <w:rFonts w:hint="eastAsia" w:ascii="宋体" w:hAnsi="宋体" w:eastAsia="宋体" w:cs="宋体"/>
                <w:color w:val="auto"/>
                <w:kern w:val="0"/>
                <w:sz w:val="21"/>
                <w:szCs w:val="21"/>
                <w:highlight w:val="none"/>
                <w:lang w:eastAsia="zh-Hans" w:bidi="ar"/>
              </w:rPr>
            </w:pPr>
            <w:r>
              <w:rPr>
                <w:rFonts w:hint="eastAsia" w:ascii="宋体" w:hAnsi="宋体" w:eastAsia="宋体" w:cs="宋体"/>
                <w:color w:val="auto"/>
                <w:kern w:val="0"/>
                <w:sz w:val="21"/>
                <w:szCs w:val="21"/>
                <w:highlight w:val="none"/>
                <w:lang w:bidi="ar"/>
              </w:rPr>
              <w:t>可溶性fms样酪氨酸激酶-1</w:t>
            </w:r>
            <w:r>
              <w:rPr>
                <w:rFonts w:hint="eastAsia" w:ascii="宋体" w:hAnsi="宋体" w:eastAsia="宋体" w:cs="宋体"/>
                <w:color w:val="auto"/>
                <w:kern w:val="0"/>
                <w:sz w:val="21"/>
                <w:szCs w:val="21"/>
                <w:highlight w:val="none"/>
                <w:lang w:eastAsia="zh-Hans" w:bidi="ar"/>
              </w:rPr>
              <w:t>检测</w:t>
            </w:r>
          </w:p>
        </w:tc>
      </w:tr>
      <w:tr w14:paraId="309B9EB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92" w:type="dxa"/>
            <w:shd w:val="clear" w:color="auto" w:fill="auto"/>
            <w:noWrap w:val="0"/>
            <w:vAlign w:val="center"/>
          </w:tcPr>
          <w:p w14:paraId="7DD6074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70</w:t>
            </w:r>
          </w:p>
        </w:tc>
        <w:tc>
          <w:tcPr>
            <w:tcW w:w="4800" w:type="dxa"/>
            <w:shd w:val="clear" w:color="auto" w:fill="auto"/>
            <w:noWrap w:val="0"/>
            <w:vAlign w:val="center"/>
          </w:tcPr>
          <w:p w14:paraId="7C9DE17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依非韦伦</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12AA59E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103</w:t>
            </w:r>
          </w:p>
        </w:tc>
        <w:tc>
          <w:tcPr>
            <w:tcW w:w="3388" w:type="dxa"/>
            <w:shd w:val="clear" w:color="auto" w:fill="auto"/>
            <w:noWrap w:val="0"/>
            <w:vAlign w:val="center"/>
          </w:tcPr>
          <w:p w14:paraId="5C5EB40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红细胞CD55、CD59评估</w:t>
            </w:r>
          </w:p>
        </w:tc>
      </w:tr>
      <w:tr w14:paraId="5D11101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92" w:type="dxa"/>
            <w:shd w:val="clear" w:color="auto" w:fill="auto"/>
            <w:noWrap w:val="0"/>
            <w:vAlign w:val="center"/>
          </w:tcPr>
          <w:p w14:paraId="07CBB62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71</w:t>
            </w:r>
          </w:p>
        </w:tc>
        <w:tc>
          <w:tcPr>
            <w:tcW w:w="4800" w:type="dxa"/>
            <w:shd w:val="clear" w:color="auto" w:fill="auto"/>
            <w:noWrap/>
            <w:vAlign w:val="center"/>
          </w:tcPr>
          <w:p w14:paraId="11EEDE4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异烟肼</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ign w:val="center"/>
          </w:tcPr>
          <w:p w14:paraId="38EC3E8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104</w:t>
            </w:r>
          </w:p>
        </w:tc>
        <w:tc>
          <w:tcPr>
            <w:tcW w:w="3388" w:type="dxa"/>
            <w:shd w:val="clear" w:color="auto" w:fill="auto"/>
            <w:noWrap/>
            <w:vAlign w:val="center"/>
          </w:tcPr>
          <w:p w14:paraId="1E61A6A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粒细胞CD55、CD59评估</w:t>
            </w:r>
          </w:p>
        </w:tc>
      </w:tr>
      <w:tr w14:paraId="0D9BBCC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92" w:type="dxa"/>
            <w:shd w:val="clear" w:color="auto" w:fill="auto"/>
            <w:noWrap w:val="0"/>
            <w:vAlign w:val="center"/>
          </w:tcPr>
          <w:p w14:paraId="6DC571C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72</w:t>
            </w:r>
          </w:p>
        </w:tc>
        <w:tc>
          <w:tcPr>
            <w:tcW w:w="4800" w:type="dxa"/>
            <w:shd w:val="clear" w:color="auto" w:fill="auto"/>
            <w:noWrap/>
            <w:vAlign w:val="center"/>
          </w:tcPr>
          <w:p w14:paraId="45A7C72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利福平</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ign w:val="center"/>
          </w:tcPr>
          <w:p w14:paraId="6FD8495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105</w:t>
            </w:r>
          </w:p>
        </w:tc>
        <w:tc>
          <w:tcPr>
            <w:tcW w:w="3388" w:type="dxa"/>
            <w:shd w:val="clear" w:color="auto" w:fill="auto"/>
            <w:noWrap/>
            <w:vAlign w:val="center"/>
          </w:tcPr>
          <w:p w14:paraId="02E70A2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高敏PNH6项</w:t>
            </w:r>
          </w:p>
        </w:tc>
      </w:tr>
      <w:tr w14:paraId="5A33173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92" w:type="dxa"/>
            <w:shd w:val="clear" w:color="auto" w:fill="auto"/>
            <w:noWrap w:val="0"/>
            <w:vAlign w:val="center"/>
          </w:tcPr>
          <w:p w14:paraId="0D81E6B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73</w:t>
            </w:r>
          </w:p>
        </w:tc>
        <w:tc>
          <w:tcPr>
            <w:tcW w:w="4800" w:type="dxa"/>
            <w:shd w:val="clear" w:color="auto" w:fill="auto"/>
            <w:noWrap w:val="0"/>
            <w:vAlign w:val="center"/>
          </w:tcPr>
          <w:p w14:paraId="45203D9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甲氨蝶呤</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0"/>
            <w:vAlign w:val="center"/>
          </w:tcPr>
          <w:p w14:paraId="1886AF7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106</w:t>
            </w:r>
          </w:p>
        </w:tc>
        <w:tc>
          <w:tcPr>
            <w:tcW w:w="3388" w:type="dxa"/>
            <w:shd w:val="clear" w:color="auto" w:fill="auto"/>
            <w:noWrap w:val="0"/>
            <w:vAlign w:val="center"/>
          </w:tcPr>
          <w:p w14:paraId="4981B06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CD34+干细胞计数</w:t>
            </w:r>
          </w:p>
        </w:tc>
      </w:tr>
      <w:tr w14:paraId="150DB9C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72F57F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74</w:t>
            </w:r>
          </w:p>
        </w:tc>
        <w:tc>
          <w:tcPr>
            <w:tcW w:w="4800" w:type="dxa"/>
            <w:shd w:val="clear" w:color="auto" w:fill="auto"/>
            <w:noWrap/>
            <w:vAlign w:val="center"/>
          </w:tcPr>
          <w:p w14:paraId="6103CCB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紫杉醇</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ign w:val="center"/>
          </w:tcPr>
          <w:p w14:paraId="4DA89EB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107</w:t>
            </w:r>
          </w:p>
        </w:tc>
        <w:tc>
          <w:tcPr>
            <w:tcW w:w="3388" w:type="dxa"/>
            <w:shd w:val="clear" w:color="auto" w:fill="auto"/>
            <w:noWrap/>
            <w:vAlign w:val="center"/>
          </w:tcPr>
          <w:p w14:paraId="308F7E3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Th1/Th2 /Th17细胞因子检测7项</w:t>
            </w:r>
          </w:p>
        </w:tc>
      </w:tr>
      <w:tr w14:paraId="7BB96C4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40FF20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w:t>
            </w:r>
          </w:p>
        </w:tc>
        <w:tc>
          <w:tcPr>
            <w:tcW w:w="4800" w:type="dxa"/>
            <w:shd w:val="clear" w:color="auto" w:fill="auto"/>
            <w:noWrap/>
            <w:vAlign w:val="center"/>
          </w:tcPr>
          <w:p w14:paraId="1643236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多西他赛</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ign w:val="center"/>
          </w:tcPr>
          <w:p w14:paraId="1A76437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108</w:t>
            </w:r>
          </w:p>
        </w:tc>
        <w:tc>
          <w:tcPr>
            <w:tcW w:w="3388" w:type="dxa"/>
            <w:shd w:val="clear" w:color="auto" w:fill="auto"/>
            <w:noWrap/>
            <w:vAlign w:val="center"/>
          </w:tcPr>
          <w:p w14:paraId="3800EEF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T细胞亚群线粒体损伤检测</w:t>
            </w:r>
          </w:p>
        </w:tc>
      </w:tr>
      <w:tr w14:paraId="20CD5C0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19D4A79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76</w:t>
            </w:r>
          </w:p>
        </w:tc>
        <w:tc>
          <w:tcPr>
            <w:tcW w:w="4800" w:type="dxa"/>
            <w:shd w:val="clear" w:color="auto" w:fill="auto"/>
            <w:noWrap/>
            <w:vAlign w:val="center"/>
          </w:tcPr>
          <w:p w14:paraId="0EE24C2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5-氟尿嘧啶</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ign w:val="center"/>
          </w:tcPr>
          <w:p w14:paraId="00AC7DF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109</w:t>
            </w:r>
          </w:p>
        </w:tc>
        <w:tc>
          <w:tcPr>
            <w:tcW w:w="3388" w:type="dxa"/>
            <w:shd w:val="clear" w:color="auto" w:fill="auto"/>
            <w:noWrap/>
            <w:vAlign w:val="center"/>
          </w:tcPr>
          <w:p w14:paraId="287FA14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T细胞和NK细胞溶酶体PH检测</w:t>
            </w:r>
          </w:p>
        </w:tc>
      </w:tr>
      <w:tr w14:paraId="5B5B53E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17FBC1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77</w:t>
            </w:r>
          </w:p>
        </w:tc>
        <w:tc>
          <w:tcPr>
            <w:tcW w:w="4800" w:type="dxa"/>
            <w:shd w:val="clear" w:color="auto" w:fill="auto"/>
            <w:noWrap/>
            <w:vAlign w:val="center"/>
          </w:tcPr>
          <w:p w14:paraId="285141F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伏立康唑</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ign w:val="center"/>
          </w:tcPr>
          <w:p w14:paraId="2CC22B7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110</w:t>
            </w:r>
          </w:p>
        </w:tc>
        <w:tc>
          <w:tcPr>
            <w:tcW w:w="3388" w:type="dxa"/>
            <w:shd w:val="clear" w:color="auto" w:fill="auto"/>
            <w:noWrap/>
            <w:vAlign w:val="center"/>
          </w:tcPr>
          <w:p w14:paraId="48A66B1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白细胞染色体损伤（流式体外微核）</w:t>
            </w:r>
          </w:p>
        </w:tc>
      </w:tr>
      <w:tr w14:paraId="7DA1039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AAE15D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78</w:t>
            </w:r>
          </w:p>
        </w:tc>
        <w:tc>
          <w:tcPr>
            <w:tcW w:w="4800" w:type="dxa"/>
            <w:shd w:val="clear" w:color="auto" w:fill="auto"/>
            <w:noWrap/>
            <w:vAlign w:val="center"/>
          </w:tcPr>
          <w:p w14:paraId="3B10A05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氟康唑</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ign w:val="center"/>
          </w:tcPr>
          <w:p w14:paraId="7645C47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111</w:t>
            </w:r>
          </w:p>
        </w:tc>
        <w:tc>
          <w:tcPr>
            <w:tcW w:w="3388" w:type="dxa"/>
            <w:shd w:val="clear" w:color="auto" w:fill="auto"/>
            <w:noWrap/>
            <w:vAlign w:val="center"/>
          </w:tcPr>
          <w:p w14:paraId="6D5ADA6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抗磷脂酶A2 受体抗体（PLA2R）</w:t>
            </w:r>
          </w:p>
        </w:tc>
      </w:tr>
      <w:tr w14:paraId="70D6665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DEA127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79</w:t>
            </w:r>
          </w:p>
        </w:tc>
        <w:tc>
          <w:tcPr>
            <w:tcW w:w="4800" w:type="dxa"/>
            <w:shd w:val="clear" w:color="auto" w:fill="auto"/>
            <w:noWrap/>
            <w:vAlign w:val="center"/>
          </w:tcPr>
          <w:p w14:paraId="25E2E40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卡泊芬净</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ign w:val="center"/>
          </w:tcPr>
          <w:p w14:paraId="1B8A794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112</w:t>
            </w:r>
          </w:p>
        </w:tc>
        <w:tc>
          <w:tcPr>
            <w:tcW w:w="3388" w:type="dxa"/>
            <w:shd w:val="clear" w:color="auto" w:fill="auto"/>
            <w:noWrap/>
            <w:vAlign w:val="center"/>
          </w:tcPr>
          <w:p w14:paraId="2A4E4E4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人类白细胞抗原HLA-B27基因分型检测</w:t>
            </w:r>
          </w:p>
        </w:tc>
      </w:tr>
      <w:tr w14:paraId="75CC41A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04FC18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w:t>
            </w:r>
          </w:p>
        </w:tc>
        <w:tc>
          <w:tcPr>
            <w:tcW w:w="4800" w:type="dxa"/>
            <w:shd w:val="clear" w:color="auto" w:fill="auto"/>
            <w:noWrap/>
            <w:vAlign w:val="center"/>
          </w:tcPr>
          <w:p w14:paraId="265B20D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万古霉素</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ign w:val="center"/>
          </w:tcPr>
          <w:p w14:paraId="3169D25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113</w:t>
            </w:r>
          </w:p>
        </w:tc>
        <w:tc>
          <w:tcPr>
            <w:tcW w:w="3388" w:type="dxa"/>
            <w:shd w:val="clear" w:color="auto" w:fill="auto"/>
            <w:noWrap/>
            <w:vAlign w:val="center"/>
          </w:tcPr>
          <w:p w14:paraId="11633D7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壳多糖酶3样蛋白1（CHI3L1）</w:t>
            </w:r>
          </w:p>
        </w:tc>
      </w:tr>
      <w:tr w14:paraId="020BF0C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15FB0DA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81</w:t>
            </w:r>
          </w:p>
        </w:tc>
        <w:tc>
          <w:tcPr>
            <w:tcW w:w="4800" w:type="dxa"/>
            <w:shd w:val="clear" w:color="auto" w:fill="auto"/>
            <w:noWrap/>
            <w:vAlign w:val="center"/>
          </w:tcPr>
          <w:p w14:paraId="69AC214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利奈唑胺</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ign w:val="center"/>
          </w:tcPr>
          <w:p w14:paraId="41075BC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114</w:t>
            </w:r>
          </w:p>
        </w:tc>
        <w:tc>
          <w:tcPr>
            <w:tcW w:w="3388" w:type="dxa"/>
            <w:shd w:val="clear" w:color="auto" w:fill="auto"/>
            <w:noWrap/>
            <w:vAlign w:val="center"/>
          </w:tcPr>
          <w:p w14:paraId="3A91886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解脲脲原体RNA检测</w:t>
            </w:r>
          </w:p>
        </w:tc>
      </w:tr>
      <w:tr w14:paraId="16DA3D9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330E25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82</w:t>
            </w:r>
          </w:p>
        </w:tc>
        <w:tc>
          <w:tcPr>
            <w:tcW w:w="4800" w:type="dxa"/>
            <w:shd w:val="clear" w:color="auto" w:fill="auto"/>
            <w:noWrap/>
            <w:vAlign w:val="center"/>
          </w:tcPr>
          <w:p w14:paraId="0D71E6B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替考拉宁</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ign w:val="center"/>
          </w:tcPr>
          <w:p w14:paraId="351B97B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115</w:t>
            </w:r>
          </w:p>
        </w:tc>
        <w:tc>
          <w:tcPr>
            <w:tcW w:w="3388" w:type="dxa"/>
            <w:shd w:val="clear" w:color="auto" w:fill="auto"/>
            <w:noWrap/>
            <w:vAlign w:val="center"/>
          </w:tcPr>
          <w:p w14:paraId="73FF993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沙眼衣原体RNA检测（CT-RNA）</w:t>
            </w:r>
          </w:p>
        </w:tc>
      </w:tr>
      <w:tr w14:paraId="5BB8EFB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9EDC0D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83</w:t>
            </w:r>
          </w:p>
        </w:tc>
        <w:tc>
          <w:tcPr>
            <w:tcW w:w="4800" w:type="dxa"/>
            <w:shd w:val="clear" w:color="auto" w:fill="auto"/>
            <w:noWrap/>
            <w:vAlign w:val="center"/>
          </w:tcPr>
          <w:p w14:paraId="02B51FF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哌拉西林</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ign w:val="center"/>
          </w:tcPr>
          <w:p w14:paraId="31DA4E0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116</w:t>
            </w:r>
          </w:p>
        </w:tc>
        <w:tc>
          <w:tcPr>
            <w:tcW w:w="3388" w:type="dxa"/>
            <w:shd w:val="clear" w:color="auto" w:fill="auto"/>
            <w:noWrap/>
            <w:vAlign w:val="center"/>
          </w:tcPr>
          <w:p w14:paraId="4E2B243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淋球菌RNA检测（NG-RNA）</w:t>
            </w:r>
          </w:p>
        </w:tc>
      </w:tr>
      <w:tr w14:paraId="7E0E8D2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272A9D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117</w:t>
            </w:r>
          </w:p>
        </w:tc>
        <w:tc>
          <w:tcPr>
            <w:tcW w:w="4800" w:type="dxa"/>
            <w:shd w:val="clear" w:color="auto" w:fill="auto"/>
            <w:noWrap/>
            <w:vAlign w:val="center"/>
          </w:tcPr>
          <w:p w14:paraId="6C2A9FD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生殖支原体RNA检测（MG-RNA）</w:t>
            </w:r>
          </w:p>
        </w:tc>
        <w:tc>
          <w:tcPr>
            <w:tcW w:w="915" w:type="dxa"/>
            <w:shd w:val="clear" w:color="auto" w:fill="auto"/>
            <w:noWrap/>
            <w:vAlign w:val="center"/>
          </w:tcPr>
          <w:p w14:paraId="5A38D40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145</w:t>
            </w:r>
          </w:p>
        </w:tc>
        <w:tc>
          <w:tcPr>
            <w:tcW w:w="3388" w:type="dxa"/>
            <w:shd w:val="clear" w:color="auto" w:fill="auto"/>
            <w:noWrap/>
            <w:vAlign w:val="center"/>
          </w:tcPr>
          <w:p w14:paraId="193AAB97">
            <w:pPr>
              <w:widowControl/>
              <w:jc w:val="center"/>
              <w:textAlignment w:val="center"/>
              <w:rPr>
                <w:rFonts w:hint="eastAsia" w:ascii="宋体" w:hAnsi="宋体" w:eastAsia="宋体" w:cs="宋体"/>
                <w:color w:val="auto"/>
                <w:sz w:val="21"/>
                <w:szCs w:val="21"/>
                <w:highlight w:val="none"/>
                <w:lang w:eastAsia="zh-Hans"/>
              </w:rPr>
            </w:pPr>
            <w:r>
              <w:rPr>
                <w:rFonts w:hint="eastAsia" w:ascii="宋体" w:hAnsi="宋体" w:eastAsia="宋体" w:cs="宋体"/>
                <w:color w:val="auto"/>
                <w:kern w:val="0"/>
                <w:sz w:val="21"/>
                <w:szCs w:val="21"/>
                <w:highlight w:val="none"/>
                <w:lang w:bidi="ar"/>
              </w:rPr>
              <w:t>12个肿瘤驱动基因检测NGS PANEL</w:t>
            </w:r>
            <w:r>
              <w:rPr>
                <w:rFonts w:hint="eastAsia" w:ascii="宋体" w:hAnsi="宋体" w:eastAsia="宋体" w:cs="宋体"/>
                <w:color w:val="auto"/>
                <w:kern w:val="0"/>
                <w:sz w:val="21"/>
                <w:szCs w:val="21"/>
                <w:highlight w:val="none"/>
                <w:lang w:eastAsia="zh-Hans" w:bidi="ar"/>
              </w:rPr>
              <w:t>（血液）</w:t>
            </w:r>
          </w:p>
        </w:tc>
      </w:tr>
      <w:tr w14:paraId="5F7FCA9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407EF8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118</w:t>
            </w:r>
          </w:p>
        </w:tc>
        <w:tc>
          <w:tcPr>
            <w:tcW w:w="4800" w:type="dxa"/>
            <w:shd w:val="clear" w:color="auto" w:fill="auto"/>
            <w:noWrap/>
            <w:vAlign w:val="center"/>
          </w:tcPr>
          <w:p w14:paraId="5542806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感染病原体宏基因组检测（DNA+RNA）</w:t>
            </w:r>
          </w:p>
        </w:tc>
        <w:tc>
          <w:tcPr>
            <w:tcW w:w="915" w:type="dxa"/>
            <w:shd w:val="clear" w:color="auto" w:fill="auto"/>
            <w:noWrap/>
            <w:vAlign w:val="center"/>
          </w:tcPr>
          <w:p w14:paraId="616C9BD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146</w:t>
            </w:r>
          </w:p>
        </w:tc>
        <w:tc>
          <w:tcPr>
            <w:tcW w:w="3388" w:type="dxa"/>
            <w:shd w:val="clear" w:color="auto" w:fill="auto"/>
            <w:noWrap/>
            <w:vAlign w:val="center"/>
          </w:tcPr>
          <w:p w14:paraId="29B879B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62个肿瘤热点基因检测（血液）</w:t>
            </w:r>
          </w:p>
        </w:tc>
      </w:tr>
      <w:tr w14:paraId="7B157AC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6FD63B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119</w:t>
            </w:r>
          </w:p>
        </w:tc>
        <w:tc>
          <w:tcPr>
            <w:tcW w:w="4800" w:type="dxa"/>
            <w:shd w:val="clear" w:color="auto" w:fill="auto"/>
            <w:noWrap/>
            <w:vAlign w:val="center"/>
          </w:tcPr>
          <w:p w14:paraId="198BE4C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结核感染T细胞检测 (T-SPOT.TB)</w:t>
            </w:r>
          </w:p>
        </w:tc>
        <w:tc>
          <w:tcPr>
            <w:tcW w:w="915" w:type="dxa"/>
            <w:shd w:val="clear" w:color="auto" w:fill="auto"/>
            <w:noWrap/>
            <w:vAlign w:val="center"/>
          </w:tcPr>
          <w:p w14:paraId="0290F84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147</w:t>
            </w:r>
          </w:p>
        </w:tc>
        <w:tc>
          <w:tcPr>
            <w:tcW w:w="3388" w:type="dxa"/>
            <w:shd w:val="clear" w:color="auto" w:fill="auto"/>
            <w:noWrap/>
            <w:vAlign w:val="center"/>
          </w:tcPr>
          <w:p w14:paraId="15CF8E0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乳腺癌67基因突变检测（ctDNA）</w:t>
            </w:r>
          </w:p>
        </w:tc>
      </w:tr>
      <w:tr w14:paraId="5DDC8B3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1E2DB76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120</w:t>
            </w:r>
          </w:p>
        </w:tc>
        <w:tc>
          <w:tcPr>
            <w:tcW w:w="4800" w:type="dxa"/>
            <w:shd w:val="clear" w:color="auto" w:fill="auto"/>
            <w:noWrap/>
            <w:vAlign w:val="center"/>
          </w:tcPr>
          <w:p w14:paraId="12518C4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乙肝病毒外膜蛋白 前S1抗原</w:t>
            </w:r>
          </w:p>
        </w:tc>
        <w:tc>
          <w:tcPr>
            <w:tcW w:w="915" w:type="dxa"/>
            <w:shd w:val="clear" w:color="auto" w:fill="auto"/>
            <w:noWrap/>
            <w:vAlign w:val="center"/>
          </w:tcPr>
          <w:p w14:paraId="49B8559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148</w:t>
            </w:r>
          </w:p>
        </w:tc>
        <w:tc>
          <w:tcPr>
            <w:tcW w:w="3388" w:type="dxa"/>
            <w:shd w:val="clear" w:color="auto" w:fill="auto"/>
            <w:noWrap/>
            <w:vAlign w:val="center"/>
          </w:tcPr>
          <w:p w14:paraId="71C00E5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结直肠癌71基因突变检测（ctDNA）</w:t>
            </w:r>
          </w:p>
        </w:tc>
      </w:tr>
      <w:tr w14:paraId="030EBAB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FCB7E2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121</w:t>
            </w:r>
          </w:p>
        </w:tc>
        <w:tc>
          <w:tcPr>
            <w:tcW w:w="4800" w:type="dxa"/>
            <w:shd w:val="clear" w:color="auto" w:fill="auto"/>
            <w:noWrap/>
            <w:vAlign w:val="center"/>
          </w:tcPr>
          <w:p w14:paraId="5823F35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乙肝病毒前C区和C区变异</w:t>
            </w:r>
          </w:p>
        </w:tc>
        <w:tc>
          <w:tcPr>
            <w:tcW w:w="915" w:type="dxa"/>
            <w:shd w:val="clear" w:color="auto" w:fill="auto"/>
            <w:noWrap/>
            <w:vAlign w:val="center"/>
          </w:tcPr>
          <w:p w14:paraId="113700A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149</w:t>
            </w:r>
          </w:p>
        </w:tc>
        <w:tc>
          <w:tcPr>
            <w:tcW w:w="3388" w:type="dxa"/>
            <w:shd w:val="clear" w:color="auto" w:fill="auto"/>
            <w:noWrap/>
            <w:vAlign w:val="center"/>
          </w:tcPr>
          <w:p w14:paraId="35F6FF2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甲状腺癌64基因突变检测（ctDNA）</w:t>
            </w:r>
          </w:p>
        </w:tc>
      </w:tr>
      <w:tr w14:paraId="33F3E51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4DEEEB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122</w:t>
            </w:r>
          </w:p>
        </w:tc>
        <w:tc>
          <w:tcPr>
            <w:tcW w:w="4800" w:type="dxa"/>
            <w:shd w:val="clear" w:color="auto" w:fill="auto"/>
            <w:noWrap/>
            <w:vAlign w:val="center"/>
          </w:tcPr>
          <w:p w14:paraId="7BACA18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肺炎支原体核酸及耐药突变位点检测</w:t>
            </w:r>
          </w:p>
        </w:tc>
        <w:tc>
          <w:tcPr>
            <w:tcW w:w="915" w:type="dxa"/>
            <w:shd w:val="clear" w:color="auto" w:fill="auto"/>
            <w:noWrap/>
            <w:vAlign w:val="center"/>
          </w:tcPr>
          <w:p w14:paraId="022DD2D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150</w:t>
            </w:r>
          </w:p>
        </w:tc>
        <w:tc>
          <w:tcPr>
            <w:tcW w:w="3388" w:type="dxa"/>
            <w:shd w:val="clear" w:color="auto" w:fill="auto"/>
            <w:noWrap/>
            <w:vAlign w:val="center"/>
          </w:tcPr>
          <w:p w14:paraId="289474D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妇科肿瘤70基因突变检测（ctDNA）</w:t>
            </w:r>
          </w:p>
        </w:tc>
      </w:tr>
      <w:tr w14:paraId="472DE95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BAEA49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123</w:t>
            </w:r>
          </w:p>
        </w:tc>
        <w:tc>
          <w:tcPr>
            <w:tcW w:w="4800" w:type="dxa"/>
            <w:shd w:val="clear" w:color="auto" w:fill="auto"/>
            <w:noWrap/>
            <w:vAlign w:val="center"/>
          </w:tcPr>
          <w:p w14:paraId="7D1C80A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肺结节良恶性鉴别DNA甲基化检测</w:t>
            </w:r>
          </w:p>
        </w:tc>
        <w:tc>
          <w:tcPr>
            <w:tcW w:w="915" w:type="dxa"/>
            <w:shd w:val="clear" w:color="auto" w:fill="auto"/>
            <w:noWrap/>
            <w:vAlign w:val="center"/>
          </w:tcPr>
          <w:p w14:paraId="6E7209D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151</w:t>
            </w:r>
          </w:p>
        </w:tc>
        <w:tc>
          <w:tcPr>
            <w:tcW w:w="3388" w:type="dxa"/>
            <w:shd w:val="clear" w:color="auto" w:fill="auto"/>
            <w:noWrap/>
            <w:vAlign w:val="center"/>
          </w:tcPr>
          <w:p w14:paraId="43F75A4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泌尿肿瘤72基因突变检测（ctDNA）</w:t>
            </w:r>
          </w:p>
        </w:tc>
      </w:tr>
      <w:tr w14:paraId="16370A6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FD7DC8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124</w:t>
            </w:r>
          </w:p>
        </w:tc>
        <w:tc>
          <w:tcPr>
            <w:tcW w:w="4800" w:type="dxa"/>
            <w:shd w:val="clear" w:color="auto" w:fill="auto"/>
            <w:noWrap/>
            <w:vAlign w:val="center"/>
          </w:tcPr>
          <w:p w14:paraId="7A90F9D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曲霉菌抗原（GM试验）</w:t>
            </w:r>
          </w:p>
        </w:tc>
        <w:tc>
          <w:tcPr>
            <w:tcW w:w="915" w:type="dxa"/>
            <w:shd w:val="clear" w:color="auto" w:fill="auto"/>
            <w:noWrap/>
            <w:vAlign w:val="center"/>
          </w:tcPr>
          <w:p w14:paraId="3E7F606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152</w:t>
            </w:r>
          </w:p>
        </w:tc>
        <w:tc>
          <w:tcPr>
            <w:tcW w:w="3388" w:type="dxa"/>
            <w:shd w:val="clear" w:color="auto" w:fill="auto"/>
            <w:noWrap/>
            <w:vAlign w:val="center"/>
          </w:tcPr>
          <w:p w14:paraId="3413426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消化道肿瘤77基因突变检测（ctDNA）</w:t>
            </w:r>
          </w:p>
        </w:tc>
      </w:tr>
      <w:tr w14:paraId="1421DD8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0664B49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125</w:t>
            </w:r>
          </w:p>
        </w:tc>
        <w:tc>
          <w:tcPr>
            <w:tcW w:w="4800" w:type="dxa"/>
            <w:shd w:val="clear" w:color="auto" w:fill="auto"/>
            <w:noWrap/>
            <w:vAlign w:val="center"/>
          </w:tcPr>
          <w:p w14:paraId="74F846F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真菌DNA检测</w:t>
            </w:r>
          </w:p>
        </w:tc>
        <w:tc>
          <w:tcPr>
            <w:tcW w:w="915" w:type="dxa"/>
            <w:shd w:val="clear" w:color="auto" w:fill="auto"/>
            <w:noWrap/>
            <w:vAlign w:val="center"/>
          </w:tcPr>
          <w:p w14:paraId="7458373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153</w:t>
            </w:r>
          </w:p>
        </w:tc>
        <w:tc>
          <w:tcPr>
            <w:tcW w:w="3388" w:type="dxa"/>
            <w:shd w:val="clear" w:color="auto" w:fill="auto"/>
            <w:noWrap/>
            <w:vAlign w:val="center"/>
          </w:tcPr>
          <w:p w14:paraId="139724A7">
            <w:pPr>
              <w:widowControl/>
              <w:jc w:val="center"/>
              <w:textAlignment w:val="center"/>
              <w:rPr>
                <w:rFonts w:hint="eastAsia" w:ascii="宋体" w:hAnsi="宋体" w:eastAsia="宋体" w:cs="宋体"/>
                <w:color w:val="auto"/>
                <w:kern w:val="0"/>
                <w:sz w:val="21"/>
                <w:szCs w:val="21"/>
                <w:highlight w:val="none"/>
                <w:lang w:eastAsia="zh-Hans" w:bidi="ar"/>
              </w:rPr>
            </w:pPr>
            <w:r>
              <w:rPr>
                <w:rFonts w:hint="eastAsia" w:ascii="宋体" w:hAnsi="宋体" w:eastAsia="宋体" w:cs="宋体"/>
                <w:color w:val="auto"/>
                <w:kern w:val="0"/>
                <w:sz w:val="21"/>
                <w:szCs w:val="21"/>
                <w:highlight w:val="none"/>
                <w:lang w:eastAsia="zh-Hans" w:bidi="ar"/>
              </w:rPr>
              <w:t>肺癌甲基化项目检测</w:t>
            </w:r>
          </w:p>
        </w:tc>
      </w:tr>
      <w:tr w14:paraId="6E58EE9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0A5A05B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126</w:t>
            </w:r>
          </w:p>
        </w:tc>
        <w:tc>
          <w:tcPr>
            <w:tcW w:w="4800" w:type="dxa"/>
            <w:shd w:val="clear" w:color="auto" w:fill="auto"/>
            <w:noWrap/>
            <w:vAlign w:val="center"/>
          </w:tcPr>
          <w:p w14:paraId="31A88FA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感染病原体宏基因组检测（DNA）</w:t>
            </w:r>
          </w:p>
        </w:tc>
        <w:tc>
          <w:tcPr>
            <w:tcW w:w="915" w:type="dxa"/>
            <w:shd w:val="clear" w:color="auto" w:fill="auto"/>
            <w:noWrap/>
            <w:vAlign w:val="center"/>
          </w:tcPr>
          <w:p w14:paraId="48EC70E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154</w:t>
            </w:r>
          </w:p>
        </w:tc>
        <w:tc>
          <w:tcPr>
            <w:tcW w:w="3388" w:type="dxa"/>
            <w:shd w:val="clear" w:color="auto" w:fill="auto"/>
            <w:noWrap/>
            <w:vAlign w:val="center"/>
          </w:tcPr>
          <w:p w14:paraId="118DEFE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乳腺癌21基因检测</w:t>
            </w:r>
          </w:p>
        </w:tc>
      </w:tr>
      <w:tr w14:paraId="44CDD992">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5AB953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127</w:t>
            </w:r>
          </w:p>
        </w:tc>
        <w:tc>
          <w:tcPr>
            <w:tcW w:w="4800" w:type="dxa"/>
            <w:shd w:val="clear" w:color="auto" w:fill="auto"/>
            <w:noWrap/>
            <w:vAlign w:val="center"/>
          </w:tcPr>
          <w:p w14:paraId="7AD2FF2B">
            <w:pPr>
              <w:widowControl/>
              <w:jc w:val="center"/>
              <w:textAlignment w:val="center"/>
              <w:rPr>
                <w:rFonts w:hint="eastAsia" w:ascii="宋体" w:hAnsi="宋体" w:eastAsia="宋体" w:cs="宋体"/>
                <w:color w:val="auto"/>
                <w:sz w:val="21"/>
                <w:szCs w:val="21"/>
                <w:highlight w:val="none"/>
              </w:rPr>
            </w:pPr>
            <w:r>
              <w:rPr>
                <w:rStyle w:val="266"/>
                <w:rFonts w:hint="eastAsia" w:ascii="宋体" w:hAnsi="宋体" w:eastAsia="宋体" w:cs="宋体"/>
                <w:color w:val="auto"/>
                <w:sz w:val="21"/>
                <w:szCs w:val="21"/>
                <w:highlight w:val="none"/>
                <w:lang w:bidi="ar"/>
              </w:rPr>
              <w:t>VAP</w:t>
            </w:r>
            <w:r>
              <w:rPr>
                <w:rStyle w:val="314"/>
                <w:rFonts w:hint="eastAsia" w:ascii="宋体" w:hAnsi="宋体" w:eastAsia="宋体" w:cs="宋体"/>
                <w:color w:val="auto"/>
                <w:sz w:val="21"/>
                <w:szCs w:val="21"/>
                <w:highlight w:val="none"/>
                <w:lang w:bidi="ar"/>
              </w:rPr>
              <w:t>+</w:t>
            </w:r>
            <w:r>
              <w:rPr>
                <w:rStyle w:val="266"/>
                <w:rFonts w:hint="eastAsia" w:ascii="宋体" w:hAnsi="宋体" w:eastAsia="宋体" w:cs="宋体"/>
                <w:color w:val="auto"/>
                <w:sz w:val="21"/>
                <w:szCs w:val="21"/>
                <w:highlight w:val="none"/>
                <w:lang w:bidi="ar"/>
              </w:rPr>
              <w:t>血脂亚组分检测</w:t>
            </w:r>
          </w:p>
        </w:tc>
        <w:tc>
          <w:tcPr>
            <w:tcW w:w="915" w:type="dxa"/>
            <w:shd w:val="clear" w:color="auto" w:fill="auto"/>
            <w:noWrap/>
            <w:vAlign w:val="center"/>
          </w:tcPr>
          <w:p w14:paraId="70C0FF8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155</w:t>
            </w:r>
          </w:p>
        </w:tc>
        <w:tc>
          <w:tcPr>
            <w:tcW w:w="3388" w:type="dxa"/>
            <w:shd w:val="clear" w:color="auto" w:fill="auto"/>
            <w:noWrap/>
            <w:vAlign w:val="center"/>
          </w:tcPr>
          <w:p w14:paraId="00D0460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超级全外显子检测PANEL(全外+融合基因+TMB）</w:t>
            </w:r>
          </w:p>
        </w:tc>
      </w:tr>
      <w:tr w14:paraId="7B520E0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B7B23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128</w:t>
            </w:r>
          </w:p>
        </w:tc>
        <w:tc>
          <w:tcPr>
            <w:tcW w:w="4800" w:type="dxa"/>
            <w:shd w:val="clear" w:color="auto" w:fill="auto"/>
            <w:noWrap/>
            <w:vAlign w:val="center"/>
          </w:tcPr>
          <w:p w14:paraId="0D1BB22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低密度脂蛋白颗粒浓度（LDL-P）</w:t>
            </w:r>
          </w:p>
        </w:tc>
        <w:tc>
          <w:tcPr>
            <w:tcW w:w="915" w:type="dxa"/>
            <w:shd w:val="clear" w:color="auto" w:fill="auto"/>
            <w:noWrap/>
            <w:vAlign w:val="center"/>
          </w:tcPr>
          <w:p w14:paraId="6085516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156</w:t>
            </w:r>
          </w:p>
        </w:tc>
        <w:tc>
          <w:tcPr>
            <w:tcW w:w="3388" w:type="dxa"/>
            <w:shd w:val="clear" w:color="auto" w:fill="auto"/>
            <w:noWrap/>
            <w:vAlign w:val="center"/>
          </w:tcPr>
          <w:p w14:paraId="195EC99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肿瘤突变负荷（TMB）</w:t>
            </w:r>
          </w:p>
        </w:tc>
      </w:tr>
      <w:tr w14:paraId="2070C7B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6960FE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129</w:t>
            </w:r>
          </w:p>
        </w:tc>
        <w:tc>
          <w:tcPr>
            <w:tcW w:w="4800" w:type="dxa"/>
            <w:shd w:val="clear" w:color="auto" w:fill="auto"/>
            <w:noWrap/>
            <w:vAlign w:val="center"/>
          </w:tcPr>
          <w:p w14:paraId="2742183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高血压基因检测（CYP2D6、ADRB1、CYP2C9、AGTR1、ACE、NPPA、CYP3A5）</w:t>
            </w:r>
          </w:p>
        </w:tc>
        <w:tc>
          <w:tcPr>
            <w:tcW w:w="915" w:type="dxa"/>
            <w:shd w:val="clear" w:color="auto" w:fill="auto"/>
            <w:noWrap/>
            <w:vAlign w:val="center"/>
          </w:tcPr>
          <w:p w14:paraId="78E11FA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157</w:t>
            </w:r>
          </w:p>
        </w:tc>
        <w:tc>
          <w:tcPr>
            <w:tcW w:w="3388" w:type="dxa"/>
            <w:shd w:val="clear" w:color="auto" w:fill="auto"/>
            <w:noWrap/>
            <w:vAlign w:val="center"/>
          </w:tcPr>
          <w:p w14:paraId="2246853E">
            <w:pPr>
              <w:widowControl/>
              <w:jc w:val="center"/>
              <w:textAlignment w:val="center"/>
              <w:rPr>
                <w:rFonts w:hint="eastAsia" w:ascii="宋体" w:hAnsi="宋体" w:eastAsia="宋体" w:cs="宋体"/>
                <w:color w:val="auto"/>
                <w:kern w:val="0"/>
                <w:sz w:val="21"/>
                <w:szCs w:val="21"/>
                <w:highlight w:val="none"/>
                <w:lang w:eastAsia="zh-Hans" w:bidi="ar"/>
              </w:rPr>
            </w:pPr>
            <w:r>
              <w:rPr>
                <w:rFonts w:hint="eastAsia" w:ascii="宋体" w:hAnsi="宋体" w:eastAsia="宋体" w:cs="宋体"/>
                <w:color w:val="auto"/>
                <w:kern w:val="0"/>
                <w:sz w:val="21"/>
                <w:szCs w:val="21"/>
                <w:highlight w:val="none"/>
                <w:lang w:bidi="ar"/>
              </w:rPr>
              <w:t>感染病原体宏基因组检测（DNA</w:t>
            </w:r>
            <w:r>
              <w:rPr>
                <w:rFonts w:hint="eastAsia" w:ascii="宋体" w:hAnsi="宋体" w:eastAsia="宋体" w:cs="宋体"/>
                <w:color w:val="auto"/>
                <w:kern w:val="0"/>
                <w:sz w:val="21"/>
                <w:szCs w:val="21"/>
                <w:highlight w:val="none"/>
                <w:lang w:eastAsia="zh-Hans" w:bidi="ar"/>
              </w:rPr>
              <w:t>）</w:t>
            </w:r>
          </w:p>
        </w:tc>
      </w:tr>
      <w:tr w14:paraId="463FCAD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12850DE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130</w:t>
            </w:r>
          </w:p>
        </w:tc>
        <w:tc>
          <w:tcPr>
            <w:tcW w:w="4800" w:type="dxa"/>
            <w:shd w:val="clear" w:color="auto" w:fill="auto"/>
            <w:noWrap/>
            <w:vAlign w:val="center"/>
          </w:tcPr>
          <w:p w14:paraId="244D1FC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H型高血压(脑卒中风险)(MTHFR多态性)</w:t>
            </w:r>
          </w:p>
        </w:tc>
        <w:tc>
          <w:tcPr>
            <w:tcW w:w="915" w:type="dxa"/>
            <w:shd w:val="clear" w:color="auto" w:fill="auto"/>
            <w:noWrap/>
            <w:vAlign w:val="center"/>
          </w:tcPr>
          <w:p w14:paraId="08E5A7E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158</w:t>
            </w:r>
          </w:p>
        </w:tc>
        <w:tc>
          <w:tcPr>
            <w:tcW w:w="3388" w:type="dxa"/>
            <w:shd w:val="clear" w:color="auto" w:fill="auto"/>
            <w:noWrap/>
            <w:vAlign w:val="center"/>
          </w:tcPr>
          <w:p w14:paraId="00D1386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遗传性肿瘤基因检测-男性套餐</w:t>
            </w:r>
          </w:p>
        </w:tc>
      </w:tr>
      <w:tr w14:paraId="0E40925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08E2268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131</w:t>
            </w:r>
          </w:p>
        </w:tc>
        <w:tc>
          <w:tcPr>
            <w:tcW w:w="4800" w:type="dxa"/>
            <w:shd w:val="clear" w:color="auto" w:fill="auto"/>
            <w:noWrap/>
            <w:vAlign w:val="center"/>
          </w:tcPr>
          <w:p w14:paraId="759EE3E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华法林（CYP2C9多态性）</w:t>
            </w:r>
          </w:p>
        </w:tc>
        <w:tc>
          <w:tcPr>
            <w:tcW w:w="915" w:type="dxa"/>
            <w:shd w:val="clear" w:color="auto" w:fill="auto"/>
            <w:noWrap/>
            <w:vAlign w:val="center"/>
          </w:tcPr>
          <w:p w14:paraId="064E763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159</w:t>
            </w:r>
          </w:p>
        </w:tc>
        <w:tc>
          <w:tcPr>
            <w:tcW w:w="3388" w:type="dxa"/>
            <w:shd w:val="clear" w:color="auto" w:fill="auto"/>
            <w:noWrap/>
            <w:vAlign w:val="center"/>
          </w:tcPr>
          <w:p w14:paraId="0A82C87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遗传性乳腺癌及卵巢癌基因检测panel（22基因）</w:t>
            </w:r>
          </w:p>
        </w:tc>
      </w:tr>
      <w:tr w14:paraId="5D2C0B5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73A177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132</w:t>
            </w:r>
          </w:p>
        </w:tc>
        <w:tc>
          <w:tcPr>
            <w:tcW w:w="4800" w:type="dxa"/>
            <w:shd w:val="clear" w:color="auto" w:fill="auto"/>
            <w:noWrap/>
            <w:vAlign w:val="center"/>
          </w:tcPr>
          <w:p w14:paraId="5E520C2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华法林（VKORC1多态性）</w:t>
            </w:r>
          </w:p>
        </w:tc>
        <w:tc>
          <w:tcPr>
            <w:tcW w:w="915" w:type="dxa"/>
            <w:shd w:val="clear" w:color="auto" w:fill="auto"/>
            <w:noWrap/>
            <w:vAlign w:val="center"/>
          </w:tcPr>
          <w:p w14:paraId="6842A88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160</w:t>
            </w:r>
          </w:p>
        </w:tc>
        <w:tc>
          <w:tcPr>
            <w:tcW w:w="3388" w:type="dxa"/>
            <w:shd w:val="clear" w:color="auto" w:fill="auto"/>
            <w:noWrap/>
            <w:vAlign w:val="center"/>
          </w:tcPr>
          <w:p w14:paraId="711CBFA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遗传性结直肠癌基因检测panel（14基因）</w:t>
            </w:r>
          </w:p>
        </w:tc>
      </w:tr>
      <w:tr w14:paraId="5B589B62">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E32086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133</w:t>
            </w:r>
          </w:p>
        </w:tc>
        <w:tc>
          <w:tcPr>
            <w:tcW w:w="4800" w:type="dxa"/>
            <w:shd w:val="clear" w:color="auto" w:fill="auto"/>
            <w:noWrap/>
            <w:vAlign w:val="center"/>
          </w:tcPr>
          <w:p w14:paraId="1609252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硝酸甘油（ALDH-2多态性）</w:t>
            </w:r>
          </w:p>
        </w:tc>
        <w:tc>
          <w:tcPr>
            <w:tcW w:w="915" w:type="dxa"/>
            <w:shd w:val="clear" w:color="auto" w:fill="auto"/>
            <w:noWrap/>
            <w:vAlign w:val="center"/>
          </w:tcPr>
          <w:p w14:paraId="39393ED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161</w:t>
            </w:r>
          </w:p>
        </w:tc>
        <w:tc>
          <w:tcPr>
            <w:tcW w:w="3388" w:type="dxa"/>
            <w:shd w:val="clear" w:color="auto" w:fill="auto"/>
            <w:noWrap/>
            <w:vAlign w:val="center"/>
          </w:tcPr>
          <w:p w14:paraId="422D2D5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遗传性黑色素瘤基因检测panel（2基因）</w:t>
            </w:r>
          </w:p>
        </w:tc>
      </w:tr>
      <w:tr w14:paraId="3A5F04F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F5850C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134</w:t>
            </w:r>
          </w:p>
        </w:tc>
        <w:tc>
          <w:tcPr>
            <w:tcW w:w="4800" w:type="dxa"/>
            <w:shd w:val="clear" w:color="auto" w:fill="auto"/>
            <w:noWrap/>
            <w:vAlign w:val="center"/>
          </w:tcPr>
          <w:p w14:paraId="40923FD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他汀类药物（SLCO1B1多态性）</w:t>
            </w:r>
          </w:p>
        </w:tc>
        <w:tc>
          <w:tcPr>
            <w:tcW w:w="915" w:type="dxa"/>
            <w:shd w:val="clear" w:color="auto" w:fill="auto"/>
            <w:noWrap/>
            <w:vAlign w:val="center"/>
          </w:tcPr>
          <w:p w14:paraId="170BE72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162</w:t>
            </w:r>
          </w:p>
        </w:tc>
        <w:tc>
          <w:tcPr>
            <w:tcW w:w="3388" w:type="dxa"/>
            <w:shd w:val="clear" w:color="auto" w:fill="auto"/>
            <w:noWrap/>
            <w:vAlign w:val="center"/>
          </w:tcPr>
          <w:p w14:paraId="6965536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多发性内分泌肿瘤基因检测panel（3基因）</w:t>
            </w:r>
          </w:p>
        </w:tc>
      </w:tr>
      <w:tr w14:paraId="7B0497E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D3A7DB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135</w:t>
            </w:r>
          </w:p>
        </w:tc>
        <w:tc>
          <w:tcPr>
            <w:tcW w:w="4800" w:type="dxa"/>
            <w:shd w:val="clear" w:color="auto" w:fill="auto"/>
            <w:noWrap/>
            <w:vAlign w:val="center"/>
          </w:tcPr>
          <w:p w14:paraId="5D09A8E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他汀类药物（ApoE多态性）</w:t>
            </w:r>
          </w:p>
        </w:tc>
        <w:tc>
          <w:tcPr>
            <w:tcW w:w="915" w:type="dxa"/>
            <w:shd w:val="clear" w:color="auto" w:fill="auto"/>
            <w:noWrap/>
            <w:vAlign w:val="center"/>
          </w:tcPr>
          <w:p w14:paraId="35A98AA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163</w:t>
            </w:r>
          </w:p>
        </w:tc>
        <w:tc>
          <w:tcPr>
            <w:tcW w:w="3388" w:type="dxa"/>
            <w:shd w:val="clear" w:color="auto" w:fill="auto"/>
            <w:noWrap/>
            <w:vAlign w:val="center"/>
          </w:tcPr>
          <w:p w14:paraId="1F66C1E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遗传性甲状腺癌及甲状腺旁癌基因检测panel（3基因）</w:t>
            </w:r>
          </w:p>
        </w:tc>
      </w:tr>
      <w:tr w14:paraId="5D38E93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05BC182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136</w:t>
            </w:r>
          </w:p>
        </w:tc>
        <w:tc>
          <w:tcPr>
            <w:tcW w:w="4800" w:type="dxa"/>
            <w:shd w:val="clear" w:color="auto" w:fill="auto"/>
            <w:noWrap/>
            <w:vAlign w:val="center"/>
          </w:tcPr>
          <w:p w14:paraId="17EC269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他汀类药物</w:t>
            </w:r>
          </w:p>
        </w:tc>
        <w:tc>
          <w:tcPr>
            <w:tcW w:w="915" w:type="dxa"/>
            <w:shd w:val="clear" w:color="auto" w:fill="auto"/>
            <w:noWrap/>
            <w:vAlign w:val="center"/>
          </w:tcPr>
          <w:p w14:paraId="5F1AF32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164</w:t>
            </w:r>
          </w:p>
        </w:tc>
        <w:tc>
          <w:tcPr>
            <w:tcW w:w="3388" w:type="dxa"/>
            <w:shd w:val="clear" w:color="auto" w:fill="auto"/>
            <w:noWrap/>
            <w:vAlign w:val="center"/>
          </w:tcPr>
          <w:p w14:paraId="15862CD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同源重组修复基因检测panel（21基因）</w:t>
            </w:r>
          </w:p>
        </w:tc>
      </w:tr>
      <w:tr w14:paraId="349B4FD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093B55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137</w:t>
            </w:r>
          </w:p>
        </w:tc>
        <w:tc>
          <w:tcPr>
            <w:tcW w:w="4800" w:type="dxa"/>
            <w:shd w:val="clear" w:color="auto" w:fill="auto"/>
            <w:noWrap/>
            <w:vAlign w:val="center"/>
          </w:tcPr>
          <w:p w14:paraId="42CBA82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心脑血管易感基因全套（270位点）</w:t>
            </w:r>
          </w:p>
        </w:tc>
        <w:tc>
          <w:tcPr>
            <w:tcW w:w="915" w:type="dxa"/>
            <w:shd w:val="clear" w:color="auto" w:fill="auto"/>
            <w:noWrap/>
            <w:vAlign w:val="center"/>
          </w:tcPr>
          <w:p w14:paraId="57442B7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165</w:t>
            </w:r>
          </w:p>
        </w:tc>
        <w:tc>
          <w:tcPr>
            <w:tcW w:w="3388" w:type="dxa"/>
            <w:shd w:val="clear" w:color="auto" w:fill="auto"/>
            <w:noWrap/>
            <w:vAlign w:val="center"/>
          </w:tcPr>
          <w:p w14:paraId="2EA07FE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1p19q缺失分析</w:t>
            </w:r>
          </w:p>
        </w:tc>
      </w:tr>
      <w:tr w14:paraId="193D416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2FDD7D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138</w:t>
            </w:r>
          </w:p>
        </w:tc>
        <w:tc>
          <w:tcPr>
            <w:tcW w:w="4800" w:type="dxa"/>
            <w:shd w:val="clear" w:color="auto" w:fill="auto"/>
            <w:noWrap/>
            <w:vAlign w:val="center"/>
          </w:tcPr>
          <w:p w14:paraId="5BADE23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心脑血管药物基因全套（95位点，43种药物）</w:t>
            </w:r>
          </w:p>
        </w:tc>
        <w:tc>
          <w:tcPr>
            <w:tcW w:w="915" w:type="dxa"/>
            <w:shd w:val="clear" w:color="auto" w:fill="auto"/>
            <w:noWrap/>
            <w:vAlign w:val="center"/>
          </w:tcPr>
          <w:p w14:paraId="6DF0A2E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166</w:t>
            </w:r>
          </w:p>
        </w:tc>
        <w:tc>
          <w:tcPr>
            <w:tcW w:w="3388" w:type="dxa"/>
            <w:shd w:val="clear" w:color="auto" w:fill="auto"/>
            <w:noWrap/>
            <w:vAlign w:val="center"/>
          </w:tcPr>
          <w:p w14:paraId="250696F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遗传性肿瘤基因检测-女性套餐</w:t>
            </w:r>
          </w:p>
        </w:tc>
      </w:tr>
      <w:tr w14:paraId="0507ED5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00D0C2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139</w:t>
            </w:r>
          </w:p>
        </w:tc>
        <w:tc>
          <w:tcPr>
            <w:tcW w:w="4800" w:type="dxa"/>
            <w:shd w:val="clear" w:color="auto" w:fill="auto"/>
            <w:noWrap/>
            <w:vAlign w:val="center"/>
          </w:tcPr>
          <w:p w14:paraId="44F21D8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“高血压，高血糖，高血脂”用药基因检测（66位点，27种药物）</w:t>
            </w:r>
          </w:p>
        </w:tc>
        <w:tc>
          <w:tcPr>
            <w:tcW w:w="915" w:type="dxa"/>
            <w:shd w:val="clear" w:color="auto" w:fill="auto"/>
            <w:noWrap/>
            <w:vAlign w:val="center"/>
          </w:tcPr>
          <w:p w14:paraId="46C1A17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167</w:t>
            </w:r>
          </w:p>
        </w:tc>
        <w:tc>
          <w:tcPr>
            <w:tcW w:w="3388" w:type="dxa"/>
            <w:shd w:val="clear" w:color="auto" w:fill="auto"/>
            <w:noWrap/>
            <w:vAlign w:val="center"/>
          </w:tcPr>
          <w:p w14:paraId="799BE6B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BRCA1、BRCA2外显子突变检测（含大片段插入缺失）</w:t>
            </w:r>
          </w:p>
        </w:tc>
      </w:tr>
      <w:tr w14:paraId="3017FD8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CD5050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140</w:t>
            </w:r>
          </w:p>
        </w:tc>
        <w:tc>
          <w:tcPr>
            <w:tcW w:w="4800" w:type="dxa"/>
            <w:shd w:val="clear" w:color="auto" w:fill="auto"/>
            <w:noWrap/>
            <w:vAlign w:val="center"/>
          </w:tcPr>
          <w:p w14:paraId="4797091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他汀类药物用药基因检测（24位点，6种药物）</w:t>
            </w:r>
          </w:p>
        </w:tc>
        <w:tc>
          <w:tcPr>
            <w:tcW w:w="915" w:type="dxa"/>
            <w:shd w:val="clear" w:color="auto" w:fill="auto"/>
            <w:noWrap/>
            <w:vAlign w:val="center"/>
          </w:tcPr>
          <w:p w14:paraId="2BA28E7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168</w:t>
            </w:r>
          </w:p>
        </w:tc>
        <w:tc>
          <w:tcPr>
            <w:tcW w:w="3388" w:type="dxa"/>
            <w:shd w:val="clear" w:color="auto" w:fill="auto"/>
            <w:noWrap/>
            <w:vAlign w:val="center"/>
          </w:tcPr>
          <w:p w14:paraId="1894305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化疗相关基因表达（结肠、肺、消化道、妇科）</w:t>
            </w:r>
          </w:p>
        </w:tc>
      </w:tr>
      <w:tr w14:paraId="2E974B3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1060C68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141</w:t>
            </w:r>
          </w:p>
        </w:tc>
        <w:tc>
          <w:tcPr>
            <w:tcW w:w="4800" w:type="dxa"/>
            <w:shd w:val="clear" w:color="auto" w:fill="auto"/>
            <w:noWrap/>
            <w:vAlign w:val="center"/>
          </w:tcPr>
          <w:p w14:paraId="566EEE8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甲状腺癌BRAF基因突变</w:t>
            </w:r>
          </w:p>
        </w:tc>
        <w:tc>
          <w:tcPr>
            <w:tcW w:w="915" w:type="dxa"/>
            <w:shd w:val="clear" w:color="auto" w:fill="auto"/>
            <w:noWrap/>
            <w:vAlign w:val="center"/>
          </w:tcPr>
          <w:p w14:paraId="24AF2E9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169</w:t>
            </w:r>
          </w:p>
        </w:tc>
        <w:tc>
          <w:tcPr>
            <w:tcW w:w="3388" w:type="dxa"/>
            <w:shd w:val="clear" w:color="auto" w:fill="auto"/>
            <w:noWrap/>
            <w:vAlign w:val="center"/>
          </w:tcPr>
          <w:p w14:paraId="68F1DE0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脑胶质瘤套餐</w:t>
            </w:r>
          </w:p>
        </w:tc>
      </w:tr>
      <w:tr w14:paraId="6A1605F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8ED884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142</w:t>
            </w:r>
          </w:p>
        </w:tc>
        <w:tc>
          <w:tcPr>
            <w:tcW w:w="4800" w:type="dxa"/>
            <w:shd w:val="clear" w:color="auto" w:fill="auto"/>
            <w:noWrap/>
            <w:vAlign w:val="center"/>
          </w:tcPr>
          <w:p w14:paraId="40D53E4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甲胎蛋白异质体组合3项</w:t>
            </w:r>
          </w:p>
        </w:tc>
        <w:tc>
          <w:tcPr>
            <w:tcW w:w="915" w:type="dxa"/>
            <w:shd w:val="clear" w:color="auto" w:fill="auto"/>
            <w:noWrap/>
            <w:vAlign w:val="center"/>
          </w:tcPr>
          <w:p w14:paraId="1ADB450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170</w:t>
            </w:r>
          </w:p>
        </w:tc>
        <w:tc>
          <w:tcPr>
            <w:tcW w:w="3388" w:type="dxa"/>
            <w:shd w:val="clear" w:color="auto" w:fill="auto"/>
            <w:noWrap/>
            <w:vAlign w:val="center"/>
          </w:tcPr>
          <w:p w14:paraId="7A869091">
            <w:pPr>
              <w:widowControl/>
              <w:jc w:val="center"/>
              <w:textAlignment w:val="center"/>
              <w:rPr>
                <w:rFonts w:hint="eastAsia" w:ascii="宋体" w:hAnsi="宋体" w:eastAsia="宋体" w:cs="宋体"/>
                <w:color w:val="auto"/>
                <w:kern w:val="0"/>
                <w:sz w:val="21"/>
                <w:szCs w:val="21"/>
                <w:highlight w:val="none"/>
                <w:lang w:eastAsia="zh-Hans" w:bidi="ar"/>
              </w:rPr>
            </w:pPr>
            <w:r>
              <w:rPr>
                <w:rFonts w:hint="eastAsia" w:ascii="宋体" w:hAnsi="宋体" w:eastAsia="宋体" w:cs="宋体"/>
                <w:color w:val="auto"/>
                <w:kern w:val="0"/>
                <w:sz w:val="21"/>
                <w:szCs w:val="21"/>
                <w:highlight w:val="none"/>
                <w:lang w:eastAsia="zh-Hans" w:bidi="ar"/>
              </w:rPr>
              <w:t>促红细胞生成素</w:t>
            </w:r>
          </w:p>
        </w:tc>
      </w:tr>
      <w:tr w14:paraId="480D2CB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037C7B2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143</w:t>
            </w:r>
          </w:p>
        </w:tc>
        <w:tc>
          <w:tcPr>
            <w:tcW w:w="4800" w:type="dxa"/>
            <w:shd w:val="clear" w:color="auto" w:fill="auto"/>
            <w:noWrap/>
            <w:vAlign w:val="center"/>
          </w:tcPr>
          <w:p w14:paraId="50B855A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结直肠癌Septin9甲基化检测</w:t>
            </w:r>
          </w:p>
        </w:tc>
        <w:tc>
          <w:tcPr>
            <w:tcW w:w="915" w:type="dxa"/>
            <w:shd w:val="clear" w:color="auto" w:fill="auto"/>
            <w:noWrap/>
            <w:vAlign w:val="center"/>
          </w:tcPr>
          <w:p w14:paraId="5104600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171</w:t>
            </w:r>
          </w:p>
        </w:tc>
        <w:tc>
          <w:tcPr>
            <w:tcW w:w="3388" w:type="dxa"/>
            <w:shd w:val="clear" w:color="auto" w:fill="auto"/>
            <w:noWrap/>
            <w:vAlign w:val="center"/>
          </w:tcPr>
          <w:p w14:paraId="415ED28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IDH-1/IDH-2突变分析</w:t>
            </w:r>
          </w:p>
        </w:tc>
      </w:tr>
      <w:tr w14:paraId="11638A0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5A2809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144</w:t>
            </w:r>
          </w:p>
        </w:tc>
        <w:tc>
          <w:tcPr>
            <w:tcW w:w="4800" w:type="dxa"/>
            <w:shd w:val="clear" w:color="auto" w:fill="auto"/>
            <w:noWrap/>
            <w:vAlign w:val="center"/>
          </w:tcPr>
          <w:p w14:paraId="4570001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胃癌甲基化检测</w:t>
            </w:r>
          </w:p>
        </w:tc>
        <w:tc>
          <w:tcPr>
            <w:tcW w:w="915" w:type="dxa"/>
            <w:shd w:val="clear" w:color="auto" w:fill="auto"/>
            <w:noWrap/>
            <w:vAlign w:val="center"/>
          </w:tcPr>
          <w:p w14:paraId="4B290AA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172</w:t>
            </w:r>
          </w:p>
        </w:tc>
        <w:tc>
          <w:tcPr>
            <w:tcW w:w="3388" w:type="dxa"/>
            <w:shd w:val="clear" w:color="auto" w:fill="auto"/>
            <w:noWrap/>
            <w:vAlign w:val="center"/>
          </w:tcPr>
          <w:p w14:paraId="204BD202">
            <w:pPr>
              <w:widowControl/>
              <w:jc w:val="center"/>
              <w:textAlignment w:val="center"/>
              <w:rPr>
                <w:rFonts w:hint="eastAsia" w:ascii="宋体" w:hAnsi="宋体" w:eastAsia="宋体" w:cs="宋体"/>
                <w:color w:val="auto"/>
                <w:kern w:val="0"/>
                <w:sz w:val="21"/>
                <w:szCs w:val="21"/>
                <w:highlight w:val="none"/>
                <w:lang w:eastAsia="zh-Hans" w:bidi="ar"/>
              </w:rPr>
            </w:pPr>
            <w:r>
              <w:rPr>
                <w:rFonts w:hint="eastAsia" w:ascii="宋体" w:hAnsi="宋体" w:eastAsia="宋体" w:cs="宋体"/>
                <w:color w:val="auto"/>
                <w:kern w:val="0"/>
                <w:sz w:val="21"/>
                <w:szCs w:val="21"/>
                <w:highlight w:val="none"/>
                <w:lang w:eastAsia="zh-Hans" w:bidi="ar"/>
              </w:rPr>
              <w:t>胆汁酸谱检测（质谱法）</w:t>
            </w:r>
          </w:p>
        </w:tc>
      </w:tr>
      <w:tr w14:paraId="4767457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12E2608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173</w:t>
            </w:r>
          </w:p>
        </w:tc>
        <w:tc>
          <w:tcPr>
            <w:tcW w:w="4800" w:type="dxa"/>
            <w:shd w:val="clear" w:color="auto" w:fill="auto"/>
            <w:noWrap/>
            <w:vAlign w:val="center"/>
          </w:tcPr>
          <w:p w14:paraId="26BFEA5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MMR错配修复基因检测</w:t>
            </w:r>
          </w:p>
        </w:tc>
        <w:tc>
          <w:tcPr>
            <w:tcW w:w="915" w:type="dxa"/>
            <w:shd w:val="clear" w:color="auto" w:fill="auto"/>
            <w:noWrap/>
            <w:vAlign w:val="center"/>
          </w:tcPr>
          <w:p w14:paraId="60CCB25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203</w:t>
            </w:r>
          </w:p>
        </w:tc>
        <w:tc>
          <w:tcPr>
            <w:tcW w:w="3388" w:type="dxa"/>
            <w:shd w:val="clear" w:color="auto" w:fill="auto"/>
            <w:noWrap/>
            <w:vAlign w:val="center"/>
          </w:tcPr>
          <w:p w14:paraId="3272E98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伊立替康（SLCO1B1多态性）</w:t>
            </w:r>
          </w:p>
        </w:tc>
      </w:tr>
      <w:tr w14:paraId="73DB4A1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1EBA08F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174</w:t>
            </w:r>
          </w:p>
        </w:tc>
        <w:tc>
          <w:tcPr>
            <w:tcW w:w="4800" w:type="dxa"/>
            <w:shd w:val="clear" w:color="auto" w:fill="auto"/>
            <w:noWrap/>
            <w:vAlign w:val="center"/>
          </w:tcPr>
          <w:p w14:paraId="251FC65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MMR蛋白表达水平检测</w:t>
            </w:r>
          </w:p>
        </w:tc>
        <w:tc>
          <w:tcPr>
            <w:tcW w:w="915" w:type="dxa"/>
            <w:shd w:val="clear" w:color="auto" w:fill="auto"/>
            <w:noWrap/>
            <w:vAlign w:val="center"/>
          </w:tcPr>
          <w:p w14:paraId="306C65D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204</w:t>
            </w:r>
          </w:p>
        </w:tc>
        <w:tc>
          <w:tcPr>
            <w:tcW w:w="3388" w:type="dxa"/>
            <w:shd w:val="clear" w:color="auto" w:fill="auto"/>
            <w:noWrap/>
            <w:vAlign w:val="center"/>
          </w:tcPr>
          <w:p w14:paraId="0D1618F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硫唑嘌呤、硫鸟嘌呤（TPMT多态性）</w:t>
            </w:r>
          </w:p>
        </w:tc>
      </w:tr>
      <w:tr w14:paraId="5219BCC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3353DC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175</w:t>
            </w:r>
          </w:p>
        </w:tc>
        <w:tc>
          <w:tcPr>
            <w:tcW w:w="4800" w:type="dxa"/>
            <w:shd w:val="clear" w:color="auto" w:fill="auto"/>
            <w:noWrap/>
            <w:vAlign w:val="center"/>
          </w:tcPr>
          <w:p w14:paraId="65D835F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糖尿病基因检测</w:t>
            </w:r>
          </w:p>
        </w:tc>
        <w:tc>
          <w:tcPr>
            <w:tcW w:w="915" w:type="dxa"/>
            <w:shd w:val="clear" w:color="auto" w:fill="auto"/>
            <w:noWrap/>
            <w:vAlign w:val="center"/>
          </w:tcPr>
          <w:p w14:paraId="3E378D7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205</w:t>
            </w:r>
          </w:p>
        </w:tc>
        <w:tc>
          <w:tcPr>
            <w:tcW w:w="3388" w:type="dxa"/>
            <w:shd w:val="clear" w:color="auto" w:fill="auto"/>
            <w:noWrap/>
            <w:vAlign w:val="center"/>
          </w:tcPr>
          <w:p w14:paraId="10BAA3A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甲氨蝶呤(MTHFR多态性）</w:t>
            </w:r>
          </w:p>
        </w:tc>
      </w:tr>
      <w:tr w14:paraId="2CCB2EA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B85943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176</w:t>
            </w:r>
          </w:p>
        </w:tc>
        <w:tc>
          <w:tcPr>
            <w:tcW w:w="4800" w:type="dxa"/>
            <w:shd w:val="clear" w:color="auto" w:fill="auto"/>
            <w:noWrap/>
            <w:vAlign w:val="center"/>
          </w:tcPr>
          <w:p w14:paraId="1F96DD3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叶酸代谢能力基因检测</w:t>
            </w:r>
          </w:p>
        </w:tc>
        <w:tc>
          <w:tcPr>
            <w:tcW w:w="915" w:type="dxa"/>
            <w:shd w:val="clear" w:color="auto" w:fill="auto"/>
            <w:noWrap/>
            <w:vAlign w:val="center"/>
          </w:tcPr>
          <w:p w14:paraId="6EA7F3F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206</w:t>
            </w:r>
          </w:p>
        </w:tc>
        <w:tc>
          <w:tcPr>
            <w:tcW w:w="3388" w:type="dxa"/>
            <w:shd w:val="clear" w:color="auto" w:fill="auto"/>
            <w:noWrap/>
            <w:vAlign w:val="center"/>
          </w:tcPr>
          <w:p w14:paraId="51A4A93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酒精代谢（ALDH2/ADH1B多态性）</w:t>
            </w:r>
          </w:p>
        </w:tc>
      </w:tr>
      <w:tr w14:paraId="0B0713E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08ACC5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177</w:t>
            </w:r>
          </w:p>
        </w:tc>
        <w:tc>
          <w:tcPr>
            <w:tcW w:w="4800" w:type="dxa"/>
            <w:shd w:val="clear" w:color="auto" w:fill="auto"/>
            <w:noWrap/>
            <w:vAlign w:val="center"/>
          </w:tcPr>
          <w:p w14:paraId="739246F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MGMT启动子甲基化</w:t>
            </w:r>
          </w:p>
        </w:tc>
        <w:tc>
          <w:tcPr>
            <w:tcW w:w="915" w:type="dxa"/>
            <w:shd w:val="clear" w:color="auto" w:fill="auto"/>
            <w:noWrap/>
            <w:vAlign w:val="center"/>
          </w:tcPr>
          <w:p w14:paraId="5B524EB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207</w:t>
            </w:r>
          </w:p>
        </w:tc>
        <w:tc>
          <w:tcPr>
            <w:tcW w:w="3388" w:type="dxa"/>
            <w:shd w:val="clear" w:color="auto" w:fill="auto"/>
            <w:noWrap/>
            <w:vAlign w:val="center"/>
          </w:tcPr>
          <w:p w14:paraId="7F81A8F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老年痴呆症风险预测(APOE)</w:t>
            </w:r>
          </w:p>
        </w:tc>
      </w:tr>
      <w:tr w14:paraId="55E6E0D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2A93DE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178</w:t>
            </w:r>
          </w:p>
        </w:tc>
        <w:tc>
          <w:tcPr>
            <w:tcW w:w="4800" w:type="dxa"/>
            <w:shd w:val="clear" w:color="auto" w:fill="auto"/>
            <w:noWrap/>
            <w:vAlign w:val="center"/>
          </w:tcPr>
          <w:p w14:paraId="0F91CBE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ALK基因重排检测</w:t>
            </w:r>
          </w:p>
        </w:tc>
        <w:tc>
          <w:tcPr>
            <w:tcW w:w="915" w:type="dxa"/>
            <w:shd w:val="clear" w:color="auto" w:fill="auto"/>
            <w:noWrap/>
            <w:vAlign w:val="center"/>
          </w:tcPr>
          <w:p w14:paraId="48852E4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208</w:t>
            </w:r>
          </w:p>
        </w:tc>
        <w:tc>
          <w:tcPr>
            <w:tcW w:w="3388" w:type="dxa"/>
            <w:shd w:val="clear" w:color="auto" w:fill="auto"/>
            <w:noWrap/>
            <w:vAlign w:val="center"/>
          </w:tcPr>
          <w:p w14:paraId="3B5DE21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骨质疏松风险评估</w:t>
            </w:r>
          </w:p>
        </w:tc>
      </w:tr>
      <w:tr w14:paraId="7DC38C6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DCC65C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179</w:t>
            </w:r>
          </w:p>
        </w:tc>
        <w:tc>
          <w:tcPr>
            <w:tcW w:w="4800" w:type="dxa"/>
            <w:shd w:val="clear" w:color="auto" w:fill="auto"/>
            <w:noWrap/>
            <w:vAlign w:val="center"/>
          </w:tcPr>
          <w:p w14:paraId="313D0EB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BCR/ABL1（P210）融合基因定性</w:t>
            </w:r>
          </w:p>
        </w:tc>
        <w:tc>
          <w:tcPr>
            <w:tcW w:w="915" w:type="dxa"/>
            <w:shd w:val="clear" w:color="auto" w:fill="auto"/>
            <w:noWrap/>
            <w:vAlign w:val="center"/>
          </w:tcPr>
          <w:p w14:paraId="43F9BD3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209</w:t>
            </w:r>
          </w:p>
        </w:tc>
        <w:tc>
          <w:tcPr>
            <w:tcW w:w="3388" w:type="dxa"/>
            <w:shd w:val="clear" w:color="auto" w:fill="auto"/>
            <w:noWrap/>
            <w:vAlign w:val="center"/>
          </w:tcPr>
          <w:p w14:paraId="1E3B385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骨髓涂片细胞学检查</w:t>
            </w:r>
          </w:p>
        </w:tc>
      </w:tr>
      <w:tr w14:paraId="642E751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BD6D34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180</w:t>
            </w:r>
          </w:p>
        </w:tc>
        <w:tc>
          <w:tcPr>
            <w:tcW w:w="4800" w:type="dxa"/>
            <w:shd w:val="clear" w:color="auto" w:fill="auto"/>
            <w:noWrap/>
            <w:vAlign w:val="center"/>
          </w:tcPr>
          <w:p w14:paraId="4F6A090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BCR/ABL1（P230）融合基因定性</w:t>
            </w:r>
          </w:p>
        </w:tc>
        <w:tc>
          <w:tcPr>
            <w:tcW w:w="915" w:type="dxa"/>
            <w:shd w:val="clear" w:color="auto" w:fill="auto"/>
            <w:noWrap/>
            <w:vAlign w:val="center"/>
          </w:tcPr>
          <w:p w14:paraId="45F26BF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210</w:t>
            </w:r>
          </w:p>
        </w:tc>
        <w:tc>
          <w:tcPr>
            <w:tcW w:w="3388" w:type="dxa"/>
            <w:shd w:val="clear" w:color="auto" w:fill="auto"/>
            <w:noWrap/>
            <w:vAlign w:val="center"/>
          </w:tcPr>
          <w:p w14:paraId="5F019B1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骨髓活检标准套餐</w:t>
            </w:r>
          </w:p>
        </w:tc>
      </w:tr>
      <w:tr w14:paraId="7C5A589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01CF9F3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181</w:t>
            </w:r>
          </w:p>
        </w:tc>
        <w:tc>
          <w:tcPr>
            <w:tcW w:w="4800" w:type="dxa"/>
            <w:shd w:val="clear" w:color="auto" w:fill="auto"/>
            <w:noWrap/>
            <w:vAlign w:val="center"/>
          </w:tcPr>
          <w:p w14:paraId="7645CE8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BCR/ABL1（P190）融合基因定性</w:t>
            </w:r>
          </w:p>
        </w:tc>
        <w:tc>
          <w:tcPr>
            <w:tcW w:w="915" w:type="dxa"/>
            <w:shd w:val="clear" w:color="auto" w:fill="auto"/>
            <w:noWrap/>
            <w:vAlign w:val="center"/>
          </w:tcPr>
          <w:p w14:paraId="43FBC4F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211</w:t>
            </w:r>
          </w:p>
        </w:tc>
        <w:tc>
          <w:tcPr>
            <w:tcW w:w="3388" w:type="dxa"/>
            <w:shd w:val="clear" w:color="auto" w:fill="auto"/>
            <w:noWrap/>
            <w:vAlign w:val="center"/>
          </w:tcPr>
          <w:p w14:paraId="652CD80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骨髓活检疑MM病理套餐</w:t>
            </w:r>
          </w:p>
        </w:tc>
      </w:tr>
      <w:tr w14:paraId="4BB57E9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1CCE97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182</w:t>
            </w:r>
          </w:p>
        </w:tc>
        <w:tc>
          <w:tcPr>
            <w:tcW w:w="4800" w:type="dxa"/>
            <w:shd w:val="clear" w:color="auto" w:fill="auto"/>
            <w:noWrap/>
            <w:vAlign w:val="center"/>
          </w:tcPr>
          <w:p w14:paraId="55A7F68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人类外周血ctDNA EGFR基因突变检测</w:t>
            </w:r>
          </w:p>
        </w:tc>
        <w:tc>
          <w:tcPr>
            <w:tcW w:w="915" w:type="dxa"/>
            <w:shd w:val="clear" w:color="auto" w:fill="auto"/>
            <w:noWrap/>
            <w:vAlign w:val="center"/>
          </w:tcPr>
          <w:p w14:paraId="02F7F60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212</w:t>
            </w:r>
          </w:p>
        </w:tc>
        <w:tc>
          <w:tcPr>
            <w:tcW w:w="3388" w:type="dxa"/>
            <w:shd w:val="clear" w:color="auto" w:fill="auto"/>
            <w:noWrap/>
            <w:vAlign w:val="center"/>
          </w:tcPr>
          <w:p w14:paraId="496B2FC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骨髓活检疑淋系肿瘤病理套餐</w:t>
            </w:r>
          </w:p>
        </w:tc>
      </w:tr>
      <w:tr w14:paraId="3B96275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FDFC8E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183</w:t>
            </w:r>
          </w:p>
        </w:tc>
        <w:tc>
          <w:tcPr>
            <w:tcW w:w="4800" w:type="dxa"/>
            <w:shd w:val="clear" w:color="auto" w:fill="auto"/>
            <w:noWrap/>
            <w:vAlign w:val="center"/>
          </w:tcPr>
          <w:p w14:paraId="0CC1E98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乙肝病毒P区耐药</w:t>
            </w:r>
          </w:p>
        </w:tc>
        <w:tc>
          <w:tcPr>
            <w:tcW w:w="915" w:type="dxa"/>
            <w:shd w:val="clear" w:color="auto" w:fill="auto"/>
            <w:noWrap/>
            <w:vAlign w:val="center"/>
          </w:tcPr>
          <w:p w14:paraId="7F592E2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213</w:t>
            </w:r>
          </w:p>
        </w:tc>
        <w:tc>
          <w:tcPr>
            <w:tcW w:w="3388" w:type="dxa"/>
            <w:shd w:val="clear" w:color="auto" w:fill="auto"/>
            <w:noWrap/>
            <w:vAlign w:val="center"/>
          </w:tcPr>
          <w:p w14:paraId="4E05650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白血病免疫分型</w:t>
            </w:r>
          </w:p>
        </w:tc>
      </w:tr>
      <w:tr w14:paraId="61009E3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BDD9BE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184</w:t>
            </w:r>
          </w:p>
        </w:tc>
        <w:tc>
          <w:tcPr>
            <w:tcW w:w="4800" w:type="dxa"/>
            <w:shd w:val="clear" w:color="auto" w:fill="auto"/>
            <w:noWrap/>
            <w:vAlign w:val="center"/>
          </w:tcPr>
          <w:p w14:paraId="5182AB6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丙型肝炎病毒基因分型检测</w:t>
            </w:r>
          </w:p>
        </w:tc>
        <w:tc>
          <w:tcPr>
            <w:tcW w:w="915" w:type="dxa"/>
            <w:shd w:val="clear" w:color="auto" w:fill="auto"/>
            <w:noWrap/>
            <w:vAlign w:val="center"/>
          </w:tcPr>
          <w:p w14:paraId="4BC154D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214</w:t>
            </w:r>
          </w:p>
        </w:tc>
        <w:tc>
          <w:tcPr>
            <w:tcW w:w="3388" w:type="dxa"/>
            <w:shd w:val="clear" w:color="auto" w:fill="auto"/>
            <w:noWrap/>
            <w:vAlign w:val="center"/>
          </w:tcPr>
          <w:p w14:paraId="758DC15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微小残留白血病检测</w:t>
            </w:r>
          </w:p>
        </w:tc>
      </w:tr>
      <w:tr w14:paraId="17C66E2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170FEE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185</w:t>
            </w:r>
          </w:p>
        </w:tc>
        <w:tc>
          <w:tcPr>
            <w:tcW w:w="4800" w:type="dxa"/>
            <w:shd w:val="clear" w:color="auto" w:fill="auto"/>
            <w:noWrap/>
            <w:vAlign w:val="center"/>
          </w:tcPr>
          <w:p w14:paraId="15A4E2ED">
            <w:pPr>
              <w:widowControl/>
              <w:jc w:val="center"/>
              <w:textAlignment w:val="center"/>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幽门螺杆菌抗体分型</w:t>
            </w:r>
          </w:p>
        </w:tc>
        <w:tc>
          <w:tcPr>
            <w:tcW w:w="915" w:type="dxa"/>
            <w:shd w:val="clear" w:color="auto" w:fill="auto"/>
            <w:noWrap/>
            <w:vAlign w:val="center"/>
          </w:tcPr>
          <w:p w14:paraId="783C1BD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215</w:t>
            </w:r>
          </w:p>
        </w:tc>
        <w:tc>
          <w:tcPr>
            <w:tcW w:w="3388" w:type="dxa"/>
            <w:shd w:val="clear" w:color="auto" w:fill="auto"/>
            <w:noWrap/>
            <w:vAlign w:val="center"/>
          </w:tcPr>
          <w:p w14:paraId="63A96D6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AML  FISH套餐</w:t>
            </w:r>
          </w:p>
        </w:tc>
      </w:tr>
      <w:tr w14:paraId="546AAE2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27FFEE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186</w:t>
            </w:r>
          </w:p>
        </w:tc>
        <w:tc>
          <w:tcPr>
            <w:tcW w:w="4800" w:type="dxa"/>
            <w:shd w:val="clear" w:color="auto" w:fill="auto"/>
            <w:noWrap/>
            <w:vAlign w:val="center"/>
          </w:tcPr>
          <w:p w14:paraId="3BF7C7B4">
            <w:pPr>
              <w:widowControl/>
              <w:jc w:val="center"/>
              <w:textAlignment w:val="center"/>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新生儿遗传代谢病筛查</w:t>
            </w:r>
          </w:p>
        </w:tc>
        <w:tc>
          <w:tcPr>
            <w:tcW w:w="915" w:type="dxa"/>
            <w:shd w:val="clear" w:color="auto" w:fill="auto"/>
            <w:noWrap/>
            <w:vAlign w:val="center"/>
          </w:tcPr>
          <w:p w14:paraId="1EA98EA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216</w:t>
            </w:r>
          </w:p>
        </w:tc>
        <w:tc>
          <w:tcPr>
            <w:tcW w:w="3388" w:type="dxa"/>
            <w:shd w:val="clear" w:color="auto" w:fill="auto"/>
            <w:noWrap/>
            <w:vAlign w:val="center"/>
          </w:tcPr>
          <w:p w14:paraId="0B3812B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PML/RARα  t（15；17）（q23；q21）</w:t>
            </w:r>
          </w:p>
        </w:tc>
      </w:tr>
      <w:tr w14:paraId="04C73F1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A1D3AF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187</w:t>
            </w:r>
          </w:p>
        </w:tc>
        <w:tc>
          <w:tcPr>
            <w:tcW w:w="4800" w:type="dxa"/>
            <w:shd w:val="clear" w:color="auto" w:fill="auto"/>
            <w:noWrap/>
            <w:vAlign w:val="center"/>
          </w:tcPr>
          <w:p w14:paraId="206EEF9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人类EML4-ALK融合基因检测</w:t>
            </w:r>
          </w:p>
        </w:tc>
        <w:tc>
          <w:tcPr>
            <w:tcW w:w="915" w:type="dxa"/>
            <w:shd w:val="clear" w:color="auto" w:fill="auto"/>
            <w:noWrap/>
            <w:vAlign w:val="center"/>
          </w:tcPr>
          <w:p w14:paraId="4F69D12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217</w:t>
            </w:r>
          </w:p>
        </w:tc>
        <w:tc>
          <w:tcPr>
            <w:tcW w:w="3388" w:type="dxa"/>
            <w:shd w:val="clear" w:color="auto" w:fill="auto"/>
            <w:noWrap/>
            <w:vAlign w:val="center"/>
          </w:tcPr>
          <w:p w14:paraId="4EE37A8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AML1/ETO  </w:t>
            </w:r>
          </w:p>
        </w:tc>
      </w:tr>
      <w:tr w14:paraId="77C0137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F66D12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188</w:t>
            </w:r>
          </w:p>
        </w:tc>
        <w:tc>
          <w:tcPr>
            <w:tcW w:w="4800" w:type="dxa"/>
            <w:shd w:val="clear" w:color="auto" w:fill="auto"/>
            <w:noWrap/>
            <w:vAlign w:val="center"/>
          </w:tcPr>
          <w:p w14:paraId="2936343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抗凝抗血小板药物基因检测</w:t>
            </w:r>
          </w:p>
        </w:tc>
        <w:tc>
          <w:tcPr>
            <w:tcW w:w="915" w:type="dxa"/>
            <w:shd w:val="clear" w:color="auto" w:fill="auto"/>
            <w:noWrap/>
            <w:vAlign w:val="center"/>
          </w:tcPr>
          <w:p w14:paraId="52911D6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218</w:t>
            </w:r>
          </w:p>
        </w:tc>
        <w:tc>
          <w:tcPr>
            <w:tcW w:w="3388" w:type="dxa"/>
            <w:shd w:val="clear" w:color="auto" w:fill="auto"/>
            <w:noWrap/>
            <w:vAlign w:val="center"/>
          </w:tcPr>
          <w:p w14:paraId="0FF6BED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CBFβ重排  inv（16）、t（16；16）</w:t>
            </w:r>
          </w:p>
        </w:tc>
      </w:tr>
      <w:tr w14:paraId="62E6F73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ECB65B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189</w:t>
            </w:r>
          </w:p>
        </w:tc>
        <w:tc>
          <w:tcPr>
            <w:tcW w:w="4800" w:type="dxa"/>
            <w:shd w:val="clear" w:color="auto" w:fill="auto"/>
            <w:noWrap/>
            <w:vAlign w:val="center"/>
          </w:tcPr>
          <w:p w14:paraId="4B6BC9C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抗凝抗血小板及他汀药物基因检测</w:t>
            </w:r>
          </w:p>
        </w:tc>
        <w:tc>
          <w:tcPr>
            <w:tcW w:w="915" w:type="dxa"/>
            <w:shd w:val="clear" w:color="auto" w:fill="auto"/>
            <w:noWrap/>
            <w:vAlign w:val="center"/>
          </w:tcPr>
          <w:p w14:paraId="58950B3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219</w:t>
            </w:r>
          </w:p>
        </w:tc>
        <w:tc>
          <w:tcPr>
            <w:tcW w:w="3388" w:type="dxa"/>
            <w:shd w:val="clear" w:color="auto" w:fill="auto"/>
            <w:noWrap/>
            <w:vAlign w:val="center"/>
          </w:tcPr>
          <w:p w14:paraId="21A0B4D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MLL重排 t（v;11q23）</w:t>
            </w:r>
          </w:p>
        </w:tc>
      </w:tr>
      <w:tr w14:paraId="7DCFC1A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201015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190</w:t>
            </w:r>
          </w:p>
        </w:tc>
        <w:tc>
          <w:tcPr>
            <w:tcW w:w="4800" w:type="dxa"/>
            <w:shd w:val="clear" w:color="auto" w:fill="auto"/>
            <w:noWrap/>
            <w:vAlign w:val="center"/>
          </w:tcPr>
          <w:p w14:paraId="397B922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UGT1A6多态性（丙戊酸钠）</w:t>
            </w:r>
          </w:p>
        </w:tc>
        <w:tc>
          <w:tcPr>
            <w:tcW w:w="915" w:type="dxa"/>
            <w:shd w:val="clear" w:color="auto" w:fill="auto"/>
            <w:noWrap/>
            <w:vAlign w:val="center"/>
          </w:tcPr>
          <w:p w14:paraId="4B84285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220</w:t>
            </w:r>
          </w:p>
        </w:tc>
        <w:tc>
          <w:tcPr>
            <w:tcW w:w="3388" w:type="dxa"/>
            <w:shd w:val="clear" w:color="auto" w:fill="auto"/>
            <w:noWrap/>
            <w:vAlign w:val="center"/>
          </w:tcPr>
          <w:p w14:paraId="4D5E08D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AML 18种常见融合基因筛查</w:t>
            </w:r>
          </w:p>
        </w:tc>
      </w:tr>
      <w:tr w14:paraId="60D8EC9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14A5EF9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191</w:t>
            </w:r>
          </w:p>
        </w:tc>
        <w:tc>
          <w:tcPr>
            <w:tcW w:w="4800" w:type="dxa"/>
            <w:shd w:val="clear" w:color="auto" w:fill="auto"/>
            <w:noWrap/>
            <w:vAlign w:val="center"/>
          </w:tcPr>
          <w:p w14:paraId="1EBD378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HLA-B*1502多态性（卡马西平）</w:t>
            </w:r>
          </w:p>
        </w:tc>
        <w:tc>
          <w:tcPr>
            <w:tcW w:w="915" w:type="dxa"/>
            <w:shd w:val="clear" w:color="auto" w:fill="auto"/>
            <w:noWrap/>
            <w:vAlign w:val="center"/>
          </w:tcPr>
          <w:p w14:paraId="5FB6A45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221</w:t>
            </w:r>
          </w:p>
        </w:tc>
        <w:tc>
          <w:tcPr>
            <w:tcW w:w="3388" w:type="dxa"/>
            <w:shd w:val="clear" w:color="auto" w:fill="auto"/>
            <w:noWrap/>
            <w:vAlign w:val="center"/>
          </w:tcPr>
          <w:p w14:paraId="79569D6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白血病31种常见融合基因筛查</w:t>
            </w:r>
          </w:p>
        </w:tc>
      </w:tr>
      <w:tr w14:paraId="73C90AB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0D111C1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192</w:t>
            </w:r>
          </w:p>
        </w:tc>
        <w:tc>
          <w:tcPr>
            <w:tcW w:w="4800" w:type="dxa"/>
            <w:shd w:val="clear" w:color="auto" w:fill="auto"/>
            <w:noWrap/>
            <w:vAlign w:val="center"/>
          </w:tcPr>
          <w:p w14:paraId="3DCABEA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HLA-B*5801多态性（别嘌呤醇）</w:t>
            </w:r>
          </w:p>
        </w:tc>
        <w:tc>
          <w:tcPr>
            <w:tcW w:w="915" w:type="dxa"/>
            <w:shd w:val="clear" w:color="auto" w:fill="auto"/>
            <w:noWrap/>
            <w:vAlign w:val="center"/>
          </w:tcPr>
          <w:p w14:paraId="6FEE1D0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222</w:t>
            </w:r>
          </w:p>
        </w:tc>
        <w:tc>
          <w:tcPr>
            <w:tcW w:w="3388" w:type="dxa"/>
            <w:shd w:val="clear" w:color="auto" w:fill="auto"/>
            <w:noWrap/>
            <w:vAlign w:val="center"/>
          </w:tcPr>
          <w:p w14:paraId="6741FA7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白血病43种常见融合基因筛查</w:t>
            </w:r>
          </w:p>
        </w:tc>
      </w:tr>
      <w:tr w14:paraId="529E1C4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074CE44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193</w:t>
            </w:r>
          </w:p>
        </w:tc>
        <w:tc>
          <w:tcPr>
            <w:tcW w:w="4800" w:type="dxa"/>
            <w:shd w:val="clear" w:color="auto" w:fill="auto"/>
            <w:noWrap/>
            <w:vAlign w:val="center"/>
          </w:tcPr>
          <w:p w14:paraId="4198E1A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抗癫痫药物个性化用药基因检测</w:t>
            </w:r>
          </w:p>
        </w:tc>
        <w:tc>
          <w:tcPr>
            <w:tcW w:w="915" w:type="dxa"/>
            <w:shd w:val="clear" w:color="auto" w:fill="auto"/>
            <w:noWrap/>
            <w:vAlign w:val="center"/>
          </w:tcPr>
          <w:p w14:paraId="170D168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223</w:t>
            </w:r>
          </w:p>
        </w:tc>
        <w:tc>
          <w:tcPr>
            <w:tcW w:w="3388" w:type="dxa"/>
            <w:shd w:val="clear" w:color="auto" w:fill="auto"/>
            <w:noWrap/>
            <w:vAlign w:val="center"/>
          </w:tcPr>
          <w:p w14:paraId="53D4255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白血病57种融合基因筛查</w:t>
            </w:r>
          </w:p>
        </w:tc>
      </w:tr>
      <w:tr w14:paraId="261C970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9E0B8A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194</w:t>
            </w:r>
          </w:p>
        </w:tc>
        <w:tc>
          <w:tcPr>
            <w:tcW w:w="4800" w:type="dxa"/>
            <w:shd w:val="clear" w:color="auto" w:fill="auto"/>
            <w:noWrap/>
            <w:vAlign w:val="center"/>
          </w:tcPr>
          <w:p w14:paraId="0CA2FDB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镇静催眠药物个性化用药基因检测</w:t>
            </w:r>
          </w:p>
        </w:tc>
        <w:tc>
          <w:tcPr>
            <w:tcW w:w="915" w:type="dxa"/>
            <w:shd w:val="clear" w:color="auto" w:fill="auto"/>
            <w:noWrap/>
            <w:vAlign w:val="center"/>
          </w:tcPr>
          <w:p w14:paraId="3377521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224</w:t>
            </w:r>
          </w:p>
        </w:tc>
        <w:tc>
          <w:tcPr>
            <w:tcW w:w="3388" w:type="dxa"/>
            <w:shd w:val="clear" w:color="auto" w:fill="auto"/>
            <w:noWrap/>
            <w:vAlign w:val="center"/>
          </w:tcPr>
          <w:p w14:paraId="5C55E21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融合基因PML/RARα分型检测</w:t>
            </w:r>
          </w:p>
        </w:tc>
      </w:tr>
      <w:tr w14:paraId="4307D39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80B0E6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195</w:t>
            </w:r>
          </w:p>
        </w:tc>
        <w:tc>
          <w:tcPr>
            <w:tcW w:w="4800" w:type="dxa"/>
            <w:shd w:val="clear" w:color="auto" w:fill="auto"/>
            <w:noWrap/>
            <w:vAlign w:val="center"/>
          </w:tcPr>
          <w:p w14:paraId="39BCB29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抗精神分裂症药物个体化用药基因检测</w:t>
            </w:r>
          </w:p>
        </w:tc>
        <w:tc>
          <w:tcPr>
            <w:tcW w:w="915" w:type="dxa"/>
            <w:shd w:val="clear" w:color="auto" w:fill="auto"/>
            <w:noWrap/>
            <w:vAlign w:val="center"/>
          </w:tcPr>
          <w:p w14:paraId="28229E4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225</w:t>
            </w:r>
          </w:p>
        </w:tc>
        <w:tc>
          <w:tcPr>
            <w:tcW w:w="3388" w:type="dxa"/>
            <w:shd w:val="clear" w:color="auto" w:fill="auto"/>
            <w:noWrap/>
            <w:vAlign w:val="center"/>
          </w:tcPr>
          <w:p w14:paraId="4E0BF7D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融合基因PML/RARα定量检测</w:t>
            </w:r>
          </w:p>
        </w:tc>
      </w:tr>
      <w:tr w14:paraId="0376450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9D1EDD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196</w:t>
            </w:r>
          </w:p>
        </w:tc>
        <w:tc>
          <w:tcPr>
            <w:tcW w:w="4800" w:type="dxa"/>
            <w:shd w:val="clear" w:color="auto" w:fill="auto"/>
            <w:noWrap/>
            <w:vAlign w:val="center"/>
          </w:tcPr>
          <w:p w14:paraId="4A245BD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抗抑郁症药物个体化用药基因检测</w:t>
            </w:r>
          </w:p>
        </w:tc>
        <w:tc>
          <w:tcPr>
            <w:tcW w:w="915" w:type="dxa"/>
            <w:shd w:val="clear" w:color="auto" w:fill="auto"/>
            <w:noWrap/>
            <w:vAlign w:val="center"/>
          </w:tcPr>
          <w:p w14:paraId="3635C2F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226</w:t>
            </w:r>
          </w:p>
        </w:tc>
        <w:tc>
          <w:tcPr>
            <w:tcW w:w="3388" w:type="dxa"/>
            <w:shd w:val="clear" w:color="auto" w:fill="auto"/>
            <w:noWrap/>
            <w:vAlign w:val="center"/>
          </w:tcPr>
          <w:p w14:paraId="3A02A10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AML1-ETO融合基因定性检测</w:t>
            </w:r>
          </w:p>
        </w:tc>
      </w:tr>
      <w:tr w14:paraId="2E4481B2">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D81847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197</w:t>
            </w:r>
          </w:p>
        </w:tc>
        <w:tc>
          <w:tcPr>
            <w:tcW w:w="4800" w:type="dxa"/>
            <w:shd w:val="clear" w:color="auto" w:fill="auto"/>
            <w:noWrap/>
            <w:vAlign w:val="center"/>
          </w:tcPr>
          <w:p w14:paraId="283E191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CYP3A4（环孢素）</w:t>
            </w:r>
          </w:p>
        </w:tc>
        <w:tc>
          <w:tcPr>
            <w:tcW w:w="915" w:type="dxa"/>
            <w:shd w:val="clear" w:color="auto" w:fill="auto"/>
            <w:noWrap/>
            <w:vAlign w:val="center"/>
          </w:tcPr>
          <w:p w14:paraId="420B135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227</w:t>
            </w:r>
          </w:p>
        </w:tc>
        <w:tc>
          <w:tcPr>
            <w:tcW w:w="3388" w:type="dxa"/>
            <w:shd w:val="clear" w:color="auto" w:fill="auto"/>
            <w:noWrap/>
            <w:vAlign w:val="center"/>
          </w:tcPr>
          <w:p w14:paraId="7AC2BF2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融合基因CBFβ/MYH11定性检测</w:t>
            </w:r>
          </w:p>
        </w:tc>
      </w:tr>
      <w:tr w14:paraId="1B2B8F8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73F84C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198</w:t>
            </w:r>
          </w:p>
        </w:tc>
        <w:tc>
          <w:tcPr>
            <w:tcW w:w="4800" w:type="dxa"/>
            <w:shd w:val="clear" w:color="auto" w:fill="auto"/>
            <w:noWrap/>
            <w:vAlign w:val="center"/>
          </w:tcPr>
          <w:p w14:paraId="09FB7E2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CYP3A5（他克莫司）</w:t>
            </w:r>
          </w:p>
        </w:tc>
        <w:tc>
          <w:tcPr>
            <w:tcW w:w="915" w:type="dxa"/>
            <w:shd w:val="clear" w:color="auto" w:fill="auto"/>
            <w:noWrap/>
            <w:vAlign w:val="center"/>
          </w:tcPr>
          <w:p w14:paraId="165A5B6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228</w:t>
            </w:r>
          </w:p>
        </w:tc>
        <w:tc>
          <w:tcPr>
            <w:tcW w:w="3388" w:type="dxa"/>
            <w:shd w:val="clear" w:color="auto" w:fill="auto"/>
            <w:noWrap/>
            <w:vAlign w:val="center"/>
          </w:tcPr>
          <w:p w14:paraId="21454CE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WT1定量检测</w:t>
            </w:r>
          </w:p>
        </w:tc>
      </w:tr>
      <w:tr w14:paraId="202A455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0566616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199</w:t>
            </w:r>
          </w:p>
        </w:tc>
        <w:tc>
          <w:tcPr>
            <w:tcW w:w="4800" w:type="dxa"/>
            <w:shd w:val="clear" w:color="auto" w:fill="auto"/>
            <w:noWrap/>
            <w:vAlign w:val="center"/>
          </w:tcPr>
          <w:p w14:paraId="577FB21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维生素D（VDR多态性）</w:t>
            </w:r>
          </w:p>
        </w:tc>
        <w:tc>
          <w:tcPr>
            <w:tcW w:w="915" w:type="dxa"/>
            <w:shd w:val="clear" w:color="auto" w:fill="auto"/>
            <w:noWrap/>
            <w:vAlign w:val="center"/>
          </w:tcPr>
          <w:p w14:paraId="51256CB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229</w:t>
            </w:r>
          </w:p>
        </w:tc>
        <w:tc>
          <w:tcPr>
            <w:tcW w:w="3388" w:type="dxa"/>
            <w:shd w:val="clear" w:color="auto" w:fill="auto"/>
            <w:noWrap/>
            <w:vAlign w:val="center"/>
          </w:tcPr>
          <w:p w14:paraId="1EBE5DF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EVI1定量检测</w:t>
            </w:r>
          </w:p>
        </w:tc>
      </w:tr>
      <w:tr w14:paraId="1E0A4F1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62105D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200</w:t>
            </w:r>
          </w:p>
        </w:tc>
        <w:tc>
          <w:tcPr>
            <w:tcW w:w="4800" w:type="dxa"/>
            <w:shd w:val="clear" w:color="auto" w:fill="auto"/>
            <w:noWrap/>
            <w:vAlign w:val="center"/>
          </w:tcPr>
          <w:p w14:paraId="606C2DE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叶酸及含叶酸类药物（MTHFR多态性）</w:t>
            </w:r>
          </w:p>
        </w:tc>
        <w:tc>
          <w:tcPr>
            <w:tcW w:w="915" w:type="dxa"/>
            <w:shd w:val="clear" w:color="auto" w:fill="auto"/>
            <w:noWrap/>
            <w:vAlign w:val="center"/>
          </w:tcPr>
          <w:p w14:paraId="16F05D8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230</w:t>
            </w:r>
          </w:p>
        </w:tc>
        <w:tc>
          <w:tcPr>
            <w:tcW w:w="3388" w:type="dxa"/>
            <w:shd w:val="clear" w:color="auto" w:fill="auto"/>
            <w:noWrap/>
            <w:vAlign w:val="center"/>
          </w:tcPr>
          <w:p w14:paraId="4A0A23F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AML5种基因突变筛查</w:t>
            </w:r>
          </w:p>
        </w:tc>
      </w:tr>
      <w:tr w14:paraId="7A3AE4B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E3F831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201</w:t>
            </w:r>
          </w:p>
        </w:tc>
        <w:tc>
          <w:tcPr>
            <w:tcW w:w="4800" w:type="dxa"/>
            <w:shd w:val="clear" w:color="auto" w:fill="auto"/>
            <w:noWrap/>
            <w:vAlign w:val="center"/>
          </w:tcPr>
          <w:p w14:paraId="30BB5BC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先天性黄疸（UGT1A1多态性）</w:t>
            </w:r>
          </w:p>
        </w:tc>
        <w:tc>
          <w:tcPr>
            <w:tcW w:w="915" w:type="dxa"/>
            <w:shd w:val="clear" w:color="auto" w:fill="auto"/>
            <w:noWrap/>
            <w:vAlign w:val="center"/>
          </w:tcPr>
          <w:p w14:paraId="4C7486B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231</w:t>
            </w:r>
          </w:p>
        </w:tc>
        <w:tc>
          <w:tcPr>
            <w:tcW w:w="3388" w:type="dxa"/>
            <w:shd w:val="clear" w:color="auto" w:fill="auto"/>
            <w:noWrap/>
            <w:vAlign w:val="center"/>
          </w:tcPr>
          <w:p w14:paraId="107AF23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AML常见7种基因突变</w:t>
            </w:r>
          </w:p>
        </w:tc>
      </w:tr>
      <w:tr w14:paraId="34D2F6A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1AAB89F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202</w:t>
            </w:r>
          </w:p>
        </w:tc>
        <w:tc>
          <w:tcPr>
            <w:tcW w:w="4800" w:type="dxa"/>
            <w:shd w:val="clear" w:color="auto" w:fill="auto"/>
            <w:noWrap/>
            <w:vAlign w:val="center"/>
          </w:tcPr>
          <w:p w14:paraId="2B8B13B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伊立替康（UGT1A1多态性）</w:t>
            </w:r>
          </w:p>
        </w:tc>
        <w:tc>
          <w:tcPr>
            <w:tcW w:w="915" w:type="dxa"/>
            <w:shd w:val="clear" w:color="auto" w:fill="auto"/>
            <w:noWrap/>
            <w:vAlign w:val="center"/>
          </w:tcPr>
          <w:p w14:paraId="42A0DF5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232</w:t>
            </w:r>
          </w:p>
        </w:tc>
        <w:tc>
          <w:tcPr>
            <w:tcW w:w="3388" w:type="dxa"/>
            <w:shd w:val="clear" w:color="auto" w:fill="auto"/>
            <w:noWrap/>
            <w:vAlign w:val="center"/>
          </w:tcPr>
          <w:p w14:paraId="7EA2077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AML预后15种基因突变</w:t>
            </w:r>
          </w:p>
        </w:tc>
      </w:tr>
      <w:tr w14:paraId="370BEE3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06F56B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233</w:t>
            </w:r>
          </w:p>
        </w:tc>
        <w:tc>
          <w:tcPr>
            <w:tcW w:w="4800" w:type="dxa"/>
            <w:shd w:val="clear" w:color="auto" w:fill="auto"/>
            <w:noWrap/>
            <w:vAlign w:val="center"/>
          </w:tcPr>
          <w:p w14:paraId="7CCB0E4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AML-髓系血液疾病34种高频基因筛查</w:t>
            </w:r>
          </w:p>
        </w:tc>
        <w:tc>
          <w:tcPr>
            <w:tcW w:w="915" w:type="dxa"/>
            <w:shd w:val="clear" w:color="auto" w:fill="auto"/>
            <w:noWrap/>
            <w:vAlign w:val="center"/>
          </w:tcPr>
          <w:p w14:paraId="0A3E8B0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262</w:t>
            </w:r>
          </w:p>
        </w:tc>
        <w:tc>
          <w:tcPr>
            <w:tcW w:w="3388" w:type="dxa"/>
            <w:shd w:val="clear" w:color="auto" w:fill="auto"/>
            <w:noWrap/>
            <w:vAlign w:val="center"/>
          </w:tcPr>
          <w:p w14:paraId="47F1391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JAK2基因突变（Exon14,16,20,21）检测</w:t>
            </w:r>
          </w:p>
        </w:tc>
      </w:tr>
      <w:tr w14:paraId="2A4698F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67D73E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234</w:t>
            </w:r>
          </w:p>
        </w:tc>
        <w:tc>
          <w:tcPr>
            <w:tcW w:w="4800" w:type="dxa"/>
            <w:shd w:val="clear" w:color="auto" w:fill="auto"/>
            <w:noWrap/>
            <w:vAlign w:val="center"/>
          </w:tcPr>
          <w:p w14:paraId="33C3584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AML-髓系血液疾病67种基因突变</w:t>
            </w:r>
          </w:p>
        </w:tc>
        <w:tc>
          <w:tcPr>
            <w:tcW w:w="915" w:type="dxa"/>
            <w:shd w:val="clear" w:color="auto" w:fill="auto"/>
            <w:noWrap/>
            <w:vAlign w:val="center"/>
          </w:tcPr>
          <w:p w14:paraId="7063B46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263</w:t>
            </w:r>
          </w:p>
        </w:tc>
        <w:tc>
          <w:tcPr>
            <w:tcW w:w="3388" w:type="dxa"/>
            <w:shd w:val="clear" w:color="auto" w:fill="auto"/>
            <w:noWrap/>
            <w:vAlign w:val="center"/>
          </w:tcPr>
          <w:p w14:paraId="2C7077D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IKZF1基因缺失突变检测</w:t>
            </w:r>
          </w:p>
        </w:tc>
      </w:tr>
      <w:tr w14:paraId="79D9E93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0FC56B6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235</w:t>
            </w:r>
          </w:p>
        </w:tc>
        <w:tc>
          <w:tcPr>
            <w:tcW w:w="4800" w:type="dxa"/>
            <w:shd w:val="clear" w:color="auto" w:fill="auto"/>
            <w:noWrap/>
            <w:vAlign w:val="center"/>
          </w:tcPr>
          <w:p w14:paraId="7FDFB32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NPM1基因突变检测</w:t>
            </w:r>
          </w:p>
        </w:tc>
        <w:tc>
          <w:tcPr>
            <w:tcW w:w="915" w:type="dxa"/>
            <w:shd w:val="clear" w:color="auto" w:fill="auto"/>
            <w:noWrap/>
            <w:vAlign w:val="center"/>
          </w:tcPr>
          <w:p w14:paraId="394567D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264</w:t>
            </w:r>
          </w:p>
        </w:tc>
        <w:tc>
          <w:tcPr>
            <w:tcW w:w="3388" w:type="dxa"/>
            <w:shd w:val="clear" w:color="auto" w:fill="auto"/>
            <w:noWrap/>
            <w:vAlign w:val="center"/>
          </w:tcPr>
          <w:p w14:paraId="5595E0F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Ig基因重排检测（定性）</w:t>
            </w:r>
          </w:p>
        </w:tc>
      </w:tr>
      <w:tr w14:paraId="5156EBA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CCDEB5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236</w:t>
            </w:r>
          </w:p>
        </w:tc>
        <w:tc>
          <w:tcPr>
            <w:tcW w:w="4800" w:type="dxa"/>
            <w:shd w:val="clear" w:color="auto" w:fill="auto"/>
            <w:noWrap/>
            <w:vAlign w:val="center"/>
          </w:tcPr>
          <w:p w14:paraId="3D50918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CEBPA基因突变定性</w:t>
            </w:r>
          </w:p>
        </w:tc>
        <w:tc>
          <w:tcPr>
            <w:tcW w:w="915" w:type="dxa"/>
            <w:shd w:val="clear" w:color="auto" w:fill="auto"/>
            <w:noWrap/>
            <w:vAlign w:val="center"/>
          </w:tcPr>
          <w:p w14:paraId="1B6DB27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265</w:t>
            </w:r>
          </w:p>
        </w:tc>
        <w:tc>
          <w:tcPr>
            <w:tcW w:w="3388" w:type="dxa"/>
            <w:shd w:val="clear" w:color="auto" w:fill="auto"/>
            <w:noWrap/>
            <w:vAlign w:val="center"/>
          </w:tcPr>
          <w:p w14:paraId="07784DD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TCR基因重排检测（定性）</w:t>
            </w:r>
          </w:p>
        </w:tc>
      </w:tr>
      <w:tr w14:paraId="0811512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D97630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237</w:t>
            </w:r>
          </w:p>
        </w:tc>
        <w:tc>
          <w:tcPr>
            <w:tcW w:w="4800" w:type="dxa"/>
            <w:shd w:val="clear" w:color="auto" w:fill="auto"/>
            <w:noWrap/>
            <w:vAlign w:val="center"/>
          </w:tcPr>
          <w:p w14:paraId="6EE80A4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C-kit/D816V基因突变检测</w:t>
            </w:r>
          </w:p>
        </w:tc>
        <w:tc>
          <w:tcPr>
            <w:tcW w:w="915" w:type="dxa"/>
            <w:shd w:val="clear" w:color="auto" w:fill="auto"/>
            <w:noWrap/>
            <w:vAlign w:val="center"/>
          </w:tcPr>
          <w:p w14:paraId="7A19742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266</w:t>
            </w:r>
          </w:p>
        </w:tc>
        <w:tc>
          <w:tcPr>
            <w:tcW w:w="3388" w:type="dxa"/>
            <w:shd w:val="clear" w:color="auto" w:fill="auto"/>
            <w:noWrap/>
            <w:vAlign w:val="center"/>
          </w:tcPr>
          <w:p w14:paraId="242A610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NOTCH1基因突变</w:t>
            </w:r>
          </w:p>
        </w:tc>
      </w:tr>
      <w:tr w14:paraId="39F8B1A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F140E9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238</w:t>
            </w:r>
          </w:p>
        </w:tc>
        <w:tc>
          <w:tcPr>
            <w:tcW w:w="4800" w:type="dxa"/>
            <w:shd w:val="clear" w:color="auto" w:fill="auto"/>
            <w:noWrap/>
            <w:vAlign w:val="center"/>
          </w:tcPr>
          <w:p w14:paraId="555878B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TET2基因突变分析</w:t>
            </w:r>
          </w:p>
        </w:tc>
        <w:tc>
          <w:tcPr>
            <w:tcW w:w="915" w:type="dxa"/>
            <w:shd w:val="clear" w:color="auto" w:fill="auto"/>
            <w:noWrap/>
            <w:vAlign w:val="center"/>
          </w:tcPr>
          <w:p w14:paraId="554C397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267</w:t>
            </w:r>
          </w:p>
        </w:tc>
        <w:tc>
          <w:tcPr>
            <w:tcW w:w="3388" w:type="dxa"/>
            <w:shd w:val="clear" w:color="auto" w:fill="auto"/>
            <w:noWrap/>
            <w:vAlign w:val="center"/>
          </w:tcPr>
          <w:p w14:paraId="640AC14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BCR/ABL1</w:t>
            </w:r>
          </w:p>
        </w:tc>
      </w:tr>
      <w:tr w14:paraId="3AD67A9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A98BE2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239</w:t>
            </w:r>
          </w:p>
        </w:tc>
        <w:tc>
          <w:tcPr>
            <w:tcW w:w="4800" w:type="dxa"/>
            <w:shd w:val="clear" w:color="auto" w:fill="auto"/>
            <w:noWrap/>
            <w:vAlign w:val="center"/>
          </w:tcPr>
          <w:p w14:paraId="1764CB1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DNMT3A/R882突变分析</w:t>
            </w:r>
          </w:p>
        </w:tc>
        <w:tc>
          <w:tcPr>
            <w:tcW w:w="915" w:type="dxa"/>
            <w:shd w:val="clear" w:color="auto" w:fill="auto"/>
            <w:noWrap/>
            <w:vAlign w:val="center"/>
          </w:tcPr>
          <w:p w14:paraId="402693F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268</w:t>
            </w:r>
          </w:p>
        </w:tc>
        <w:tc>
          <w:tcPr>
            <w:tcW w:w="3388" w:type="dxa"/>
            <w:shd w:val="clear" w:color="auto" w:fill="auto"/>
            <w:noWrap/>
            <w:vAlign w:val="center"/>
          </w:tcPr>
          <w:p w14:paraId="1306C96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PDGFRA重排</w:t>
            </w:r>
          </w:p>
        </w:tc>
      </w:tr>
      <w:tr w14:paraId="1127F8C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668B17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240</w:t>
            </w:r>
          </w:p>
        </w:tc>
        <w:tc>
          <w:tcPr>
            <w:tcW w:w="4800" w:type="dxa"/>
            <w:shd w:val="clear" w:color="auto" w:fill="auto"/>
            <w:noWrap/>
            <w:vAlign w:val="center"/>
          </w:tcPr>
          <w:p w14:paraId="5B7130F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FLT3/ITD基因突变定性检测</w:t>
            </w:r>
          </w:p>
        </w:tc>
        <w:tc>
          <w:tcPr>
            <w:tcW w:w="915" w:type="dxa"/>
            <w:shd w:val="clear" w:color="auto" w:fill="auto"/>
            <w:noWrap/>
            <w:vAlign w:val="center"/>
          </w:tcPr>
          <w:p w14:paraId="2D8B92F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269</w:t>
            </w:r>
          </w:p>
        </w:tc>
        <w:tc>
          <w:tcPr>
            <w:tcW w:w="3388" w:type="dxa"/>
            <w:shd w:val="clear" w:color="auto" w:fill="auto"/>
            <w:noWrap/>
            <w:vAlign w:val="center"/>
          </w:tcPr>
          <w:p w14:paraId="7885106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PDGFRB重排</w:t>
            </w:r>
          </w:p>
        </w:tc>
      </w:tr>
      <w:tr w14:paraId="44598662">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400CE1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241</w:t>
            </w:r>
          </w:p>
        </w:tc>
        <w:tc>
          <w:tcPr>
            <w:tcW w:w="4800" w:type="dxa"/>
            <w:shd w:val="clear" w:color="auto" w:fill="auto"/>
            <w:noWrap/>
            <w:vAlign w:val="center"/>
          </w:tcPr>
          <w:p w14:paraId="1FB9A37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FLT3-ITD基因突变定量检测</w:t>
            </w:r>
          </w:p>
        </w:tc>
        <w:tc>
          <w:tcPr>
            <w:tcW w:w="915" w:type="dxa"/>
            <w:shd w:val="clear" w:color="auto" w:fill="auto"/>
            <w:noWrap/>
            <w:vAlign w:val="center"/>
          </w:tcPr>
          <w:p w14:paraId="67C7734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270</w:t>
            </w:r>
          </w:p>
        </w:tc>
        <w:tc>
          <w:tcPr>
            <w:tcW w:w="3388" w:type="dxa"/>
            <w:shd w:val="clear" w:color="auto" w:fill="auto"/>
            <w:noWrap/>
            <w:vAlign w:val="center"/>
          </w:tcPr>
          <w:p w14:paraId="485A67C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FGFR1重排</w:t>
            </w:r>
          </w:p>
        </w:tc>
      </w:tr>
      <w:tr w14:paraId="02DB32E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670511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242</w:t>
            </w:r>
          </w:p>
        </w:tc>
        <w:tc>
          <w:tcPr>
            <w:tcW w:w="4800" w:type="dxa"/>
            <w:shd w:val="clear" w:color="auto" w:fill="auto"/>
            <w:noWrap/>
            <w:vAlign w:val="center"/>
          </w:tcPr>
          <w:p w14:paraId="0E4B969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ASXL1 基因突变检测</w:t>
            </w:r>
          </w:p>
        </w:tc>
        <w:tc>
          <w:tcPr>
            <w:tcW w:w="915" w:type="dxa"/>
            <w:shd w:val="clear" w:color="auto" w:fill="auto"/>
            <w:noWrap/>
            <w:vAlign w:val="center"/>
          </w:tcPr>
          <w:p w14:paraId="1066D69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271</w:t>
            </w:r>
          </w:p>
        </w:tc>
        <w:tc>
          <w:tcPr>
            <w:tcW w:w="3388" w:type="dxa"/>
            <w:shd w:val="clear" w:color="auto" w:fill="auto"/>
            <w:noWrap/>
            <w:vAlign w:val="center"/>
          </w:tcPr>
          <w:p w14:paraId="48FCA2C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BCR/ABL1</w:t>
            </w:r>
            <w:r>
              <w:rPr>
                <w:rFonts w:hint="eastAsia" w:ascii="宋体" w:hAnsi="宋体" w:eastAsia="宋体" w:cs="宋体"/>
                <w:color w:val="auto"/>
                <w:kern w:val="0"/>
                <w:sz w:val="21"/>
                <w:szCs w:val="21"/>
                <w:highlight w:val="none"/>
                <w:lang w:eastAsia="zh-Hans" w:bidi="ar"/>
              </w:rPr>
              <w:t>（</w:t>
            </w:r>
            <w:r>
              <w:rPr>
                <w:rFonts w:hint="eastAsia" w:ascii="宋体" w:hAnsi="宋体" w:eastAsia="宋体" w:cs="宋体"/>
                <w:color w:val="auto"/>
                <w:kern w:val="0"/>
                <w:sz w:val="21"/>
                <w:szCs w:val="21"/>
                <w:highlight w:val="none"/>
                <w:lang w:bidi="ar"/>
              </w:rPr>
              <w:t>P230）融合基因定量检测</w:t>
            </w:r>
          </w:p>
        </w:tc>
      </w:tr>
      <w:tr w14:paraId="70B691B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C8A659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243</w:t>
            </w:r>
          </w:p>
        </w:tc>
        <w:tc>
          <w:tcPr>
            <w:tcW w:w="4800" w:type="dxa"/>
            <w:shd w:val="clear" w:color="auto" w:fill="auto"/>
            <w:noWrap/>
            <w:vAlign w:val="center"/>
          </w:tcPr>
          <w:p w14:paraId="6968E43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IDH1/IDH2基因突变</w:t>
            </w:r>
          </w:p>
        </w:tc>
        <w:tc>
          <w:tcPr>
            <w:tcW w:w="915" w:type="dxa"/>
            <w:shd w:val="clear" w:color="auto" w:fill="auto"/>
            <w:noWrap/>
            <w:vAlign w:val="center"/>
          </w:tcPr>
          <w:p w14:paraId="31E751A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272</w:t>
            </w:r>
          </w:p>
        </w:tc>
        <w:tc>
          <w:tcPr>
            <w:tcW w:w="3388" w:type="dxa"/>
            <w:shd w:val="clear" w:color="auto" w:fill="auto"/>
            <w:noWrap/>
            <w:vAlign w:val="center"/>
          </w:tcPr>
          <w:p w14:paraId="42B29B7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BCR/ABL1（P190）融合基因定量检测</w:t>
            </w:r>
          </w:p>
        </w:tc>
      </w:tr>
      <w:tr w14:paraId="68E724C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0833EAC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244</w:t>
            </w:r>
          </w:p>
        </w:tc>
        <w:tc>
          <w:tcPr>
            <w:tcW w:w="4800" w:type="dxa"/>
            <w:shd w:val="clear" w:color="auto" w:fill="auto"/>
            <w:noWrap/>
            <w:vAlign w:val="center"/>
          </w:tcPr>
          <w:p w14:paraId="75542F6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TP53基因突变检测</w:t>
            </w:r>
          </w:p>
        </w:tc>
        <w:tc>
          <w:tcPr>
            <w:tcW w:w="915" w:type="dxa"/>
            <w:shd w:val="clear" w:color="auto" w:fill="auto"/>
            <w:noWrap/>
            <w:vAlign w:val="center"/>
          </w:tcPr>
          <w:p w14:paraId="700633B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273</w:t>
            </w:r>
          </w:p>
        </w:tc>
        <w:tc>
          <w:tcPr>
            <w:tcW w:w="3388" w:type="dxa"/>
            <w:shd w:val="clear" w:color="auto" w:fill="auto"/>
            <w:noWrap/>
            <w:vAlign w:val="center"/>
          </w:tcPr>
          <w:p w14:paraId="41C16E6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BCR-ABL1(P210)融合基因定量检测</w:t>
            </w:r>
          </w:p>
        </w:tc>
      </w:tr>
      <w:tr w14:paraId="4268141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03E77C3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245</w:t>
            </w:r>
          </w:p>
        </w:tc>
        <w:tc>
          <w:tcPr>
            <w:tcW w:w="4800" w:type="dxa"/>
            <w:shd w:val="clear" w:color="auto" w:fill="auto"/>
            <w:noWrap/>
            <w:vAlign w:val="center"/>
          </w:tcPr>
          <w:p w14:paraId="55BBDC7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BCR/ABL  t(9;22)(q34;q11)</w:t>
            </w:r>
          </w:p>
        </w:tc>
        <w:tc>
          <w:tcPr>
            <w:tcW w:w="915" w:type="dxa"/>
            <w:shd w:val="clear" w:color="auto" w:fill="auto"/>
            <w:noWrap/>
            <w:vAlign w:val="center"/>
          </w:tcPr>
          <w:p w14:paraId="14FB8B9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274</w:t>
            </w:r>
          </w:p>
        </w:tc>
        <w:tc>
          <w:tcPr>
            <w:tcW w:w="3388" w:type="dxa"/>
            <w:shd w:val="clear" w:color="auto" w:fill="auto"/>
            <w:noWrap/>
            <w:vAlign w:val="center"/>
          </w:tcPr>
          <w:p w14:paraId="1915B45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BCR-ABL1 （P210）融合基因高灵敏度定量</w:t>
            </w:r>
          </w:p>
        </w:tc>
      </w:tr>
      <w:tr w14:paraId="0B1DD0E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1FF51E3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246</w:t>
            </w:r>
          </w:p>
        </w:tc>
        <w:tc>
          <w:tcPr>
            <w:tcW w:w="4800" w:type="dxa"/>
            <w:shd w:val="clear" w:color="auto" w:fill="auto"/>
            <w:noWrap/>
            <w:vAlign w:val="center"/>
          </w:tcPr>
          <w:p w14:paraId="5FFDC85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TCF3/PBX1  t(1;19) (q23;p13)</w:t>
            </w:r>
          </w:p>
        </w:tc>
        <w:tc>
          <w:tcPr>
            <w:tcW w:w="915" w:type="dxa"/>
            <w:shd w:val="clear" w:color="auto" w:fill="auto"/>
            <w:noWrap/>
            <w:vAlign w:val="center"/>
          </w:tcPr>
          <w:p w14:paraId="48332DC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275</w:t>
            </w:r>
          </w:p>
        </w:tc>
        <w:tc>
          <w:tcPr>
            <w:tcW w:w="3388" w:type="dxa"/>
            <w:shd w:val="clear" w:color="auto" w:fill="auto"/>
            <w:noWrap/>
            <w:vAlign w:val="center"/>
          </w:tcPr>
          <w:p w14:paraId="5CA455B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融合基因BCR/ABL1（罕见型）筛查检测</w:t>
            </w:r>
          </w:p>
        </w:tc>
      </w:tr>
      <w:tr w14:paraId="57CBFC7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87C467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247</w:t>
            </w:r>
          </w:p>
        </w:tc>
        <w:tc>
          <w:tcPr>
            <w:tcW w:w="4800" w:type="dxa"/>
            <w:shd w:val="clear" w:color="auto" w:fill="auto"/>
            <w:noWrap/>
            <w:vAlign w:val="center"/>
          </w:tcPr>
          <w:p w14:paraId="227DF0F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IGH/MYC</w:t>
            </w:r>
          </w:p>
        </w:tc>
        <w:tc>
          <w:tcPr>
            <w:tcW w:w="915" w:type="dxa"/>
            <w:shd w:val="clear" w:color="auto" w:fill="auto"/>
            <w:noWrap/>
            <w:vAlign w:val="center"/>
          </w:tcPr>
          <w:p w14:paraId="32AB6BA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276</w:t>
            </w:r>
          </w:p>
        </w:tc>
        <w:tc>
          <w:tcPr>
            <w:tcW w:w="3388" w:type="dxa"/>
            <w:shd w:val="clear" w:color="auto" w:fill="auto"/>
            <w:noWrap/>
            <w:vAlign w:val="center"/>
          </w:tcPr>
          <w:p w14:paraId="7D1F64D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ETV6/PDGFRβ融合基因定性检测</w:t>
            </w:r>
          </w:p>
        </w:tc>
      </w:tr>
      <w:tr w14:paraId="6963D25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315D71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248</w:t>
            </w:r>
          </w:p>
        </w:tc>
        <w:tc>
          <w:tcPr>
            <w:tcW w:w="4800" w:type="dxa"/>
            <w:shd w:val="clear" w:color="auto" w:fill="auto"/>
            <w:noWrap/>
            <w:vAlign w:val="center"/>
          </w:tcPr>
          <w:p w14:paraId="731B923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IGH重排（14q32）</w:t>
            </w:r>
          </w:p>
        </w:tc>
        <w:tc>
          <w:tcPr>
            <w:tcW w:w="915" w:type="dxa"/>
            <w:shd w:val="clear" w:color="auto" w:fill="auto"/>
            <w:noWrap/>
            <w:vAlign w:val="center"/>
          </w:tcPr>
          <w:p w14:paraId="1F8F0DA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277</w:t>
            </w:r>
          </w:p>
        </w:tc>
        <w:tc>
          <w:tcPr>
            <w:tcW w:w="3388" w:type="dxa"/>
            <w:shd w:val="clear" w:color="auto" w:fill="auto"/>
            <w:noWrap/>
            <w:vAlign w:val="center"/>
          </w:tcPr>
          <w:p w14:paraId="0AB5808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FIP1L1/PDGFRα融合基因定性检测</w:t>
            </w:r>
          </w:p>
        </w:tc>
      </w:tr>
      <w:tr w14:paraId="109A896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41BBB1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249</w:t>
            </w:r>
          </w:p>
        </w:tc>
        <w:tc>
          <w:tcPr>
            <w:tcW w:w="4800" w:type="dxa"/>
            <w:shd w:val="clear" w:color="auto" w:fill="auto"/>
            <w:noWrap/>
            <w:vAlign w:val="center"/>
          </w:tcPr>
          <w:p w14:paraId="39D0FDB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MYC重排（8q24）</w:t>
            </w:r>
          </w:p>
        </w:tc>
        <w:tc>
          <w:tcPr>
            <w:tcW w:w="915" w:type="dxa"/>
            <w:shd w:val="clear" w:color="auto" w:fill="auto"/>
            <w:noWrap/>
            <w:vAlign w:val="center"/>
          </w:tcPr>
          <w:p w14:paraId="02DBBF7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278</w:t>
            </w:r>
          </w:p>
        </w:tc>
        <w:tc>
          <w:tcPr>
            <w:tcW w:w="3388" w:type="dxa"/>
            <w:shd w:val="clear" w:color="auto" w:fill="auto"/>
            <w:noWrap/>
            <w:vAlign w:val="center"/>
          </w:tcPr>
          <w:p w14:paraId="0FB1A94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JAK2(V617F)基因突变定性检测</w:t>
            </w:r>
          </w:p>
        </w:tc>
      </w:tr>
      <w:tr w14:paraId="64FA2FF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765009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250</w:t>
            </w:r>
          </w:p>
        </w:tc>
        <w:tc>
          <w:tcPr>
            <w:tcW w:w="4800" w:type="dxa"/>
            <w:shd w:val="clear" w:color="auto" w:fill="auto"/>
            <w:noWrap/>
            <w:vAlign w:val="center"/>
          </w:tcPr>
          <w:p w14:paraId="6D640D4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MLL重排（11q23）</w:t>
            </w:r>
          </w:p>
        </w:tc>
        <w:tc>
          <w:tcPr>
            <w:tcW w:w="915" w:type="dxa"/>
            <w:shd w:val="clear" w:color="auto" w:fill="auto"/>
            <w:noWrap/>
            <w:vAlign w:val="center"/>
          </w:tcPr>
          <w:p w14:paraId="02DCC03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279</w:t>
            </w:r>
          </w:p>
        </w:tc>
        <w:tc>
          <w:tcPr>
            <w:tcW w:w="3388" w:type="dxa"/>
            <w:shd w:val="clear" w:color="auto" w:fill="auto"/>
            <w:noWrap/>
            <w:vAlign w:val="center"/>
          </w:tcPr>
          <w:p w14:paraId="1C698A8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JAK2(V617F)基因突变定量检测</w:t>
            </w:r>
          </w:p>
        </w:tc>
      </w:tr>
      <w:tr w14:paraId="7DFB596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37E67F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251</w:t>
            </w:r>
          </w:p>
        </w:tc>
        <w:tc>
          <w:tcPr>
            <w:tcW w:w="4800" w:type="dxa"/>
            <w:shd w:val="clear" w:color="auto" w:fill="auto"/>
            <w:noWrap/>
            <w:vAlign w:val="center"/>
          </w:tcPr>
          <w:p w14:paraId="1D9D486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MYB（6q23）</w:t>
            </w:r>
          </w:p>
        </w:tc>
        <w:tc>
          <w:tcPr>
            <w:tcW w:w="915" w:type="dxa"/>
            <w:shd w:val="clear" w:color="auto" w:fill="auto"/>
            <w:noWrap/>
            <w:vAlign w:val="center"/>
          </w:tcPr>
          <w:p w14:paraId="6BD118D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280</w:t>
            </w:r>
          </w:p>
        </w:tc>
        <w:tc>
          <w:tcPr>
            <w:tcW w:w="3388" w:type="dxa"/>
            <w:shd w:val="clear" w:color="auto" w:fill="auto"/>
            <w:noWrap/>
            <w:vAlign w:val="center"/>
          </w:tcPr>
          <w:p w14:paraId="6F91A4E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JAK2 Exon12 基因突变检测</w:t>
            </w:r>
          </w:p>
        </w:tc>
      </w:tr>
      <w:tr w14:paraId="4B2A4D6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5A69C9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252</w:t>
            </w:r>
          </w:p>
        </w:tc>
        <w:tc>
          <w:tcPr>
            <w:tcW w:w="4800" w:type="dxa"/>
            <w:shd w:val="clear" w:color="auto" w:fill="auto"/>
            <w:noWrap/>
            <w:vAlign w:val="center"/>
          </w:tcPr>
          <w:p w14:paraId="12DA75B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P16（9p21/9p11.1-q11.1）</w:t>
            </w:r>
          </w:p>
        </w:tc>
        <w:tc>
          <w:tcPr>
            <w:tcW w:w="915" w:type="dxa"/>
            <w:shd w:val="clear" w:color="auto" w:fill="auto"/>
            <w:noWrap/>
            <w:vAlign w:val="center"/>
          </w:tcPr>
          <w:p w14:paraId="703957D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281</w:t>
            </w:r>
          </w:p>
        </w:tc>
        <w:tc>
          <w:tcPr>
            <w:tcW w:w="3388" w:type="dxa"/>
            <w:shd w:val="clear" w:color="auto" w:fill="auto"/>
            <w:noWrap/>
            <w:vAlign w:val="center"/>
          </w:tcPr>
          <w:p w14:paraId="2C12BD9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CALR基因Exon9突变检测</w:t>
            </w:r>
          </w:p>
        </w:tc>
      </w:tr>
      <w:tr w14:paraId="31149C92">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70C7ED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253</w:t>
            </w:r>
          </w:p>
        </w:tc>
        <w:tc>
          <w:tcPr>
            <w:tcW w:w="4800" w:type="dxa"/>
            <w:shd w:val="clear" w:color="auto" w:fill="auto"/>
            <w:noWrap/>
            <w:vAlign w:val="center"/>
          </w:tcPr>
          <w:p w14:paraId="5043EB5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PDGFRB  FISH</w:t>
            </w:r>
          </w:p>
        </w:tc>
        <w:tc>
          <w:tcPr>
            <w:tcW w:w="915" w:type="dxa"/>
            <w:shd w:val="clear" w:color="auto" w:fill="auto"/>
            <w:noWrap/>
            <w:vAlign w:val="center"/>
          </w:tcPr>
          <w:p w14:paraId="4A865D2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282</w:t>
            </w:r>
          </w:p>
        </w:tc>
        <w:tc>
          <w:tcPr>
            <w:tcW w:w="3388" w:type="dxa"/>
            <w:shd w:val="clear" w:color="auto" w:fill="auto"/>
            <w:noWrap/>
            <w:vAlign w:val="center"/>
          </w:tcPr>
          <w:p w14:paraId="319E3F3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MPL(W515L/K)基因突变定性检测</w:t>
            </w:r>
          </w:p>
        </w:tc>
      </w:tr>
      <w:tr w14:paraId="6BD8FBC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08175C8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254</w:t>
            </w:r>
          </w:p>
        </w:tc>
        <w:tc>
          <w:tcPr>
            <w:tcW w:w="4800" w:type="dxa"/>
            <w:shd w:val="clear" w:color="auto" w:fill="auto"/>
            <w:noWrap/>
            <w:vAlign w:val="center"/>
          </w:tcPr>
          <w:p w14:paraId="1D996C9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ETV6/RUNX1</w:t>
            </w:r>
          </w:p>
        </w:tc>
        <w:tc>
          <w:tcPr>
            <w:tcW w:w="915" w:type="dxa"/>
            <w:shd w:val="clear" w:color="auto" w:fill="auto"/>
            <w:noWrap/>
            <w:vAlign w:val="center"/>
          </w:tcPr>
          <w:p w14:paraId="570521B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283</w:t>
            </w:r>
          </w:p>
        </w:tc>
        <w:tc>
          <w:tcPr>
            <w:tcW w:w="3388" w:type="dxa"/>
            <w:shd w:val="clear" w:color="auto" w:fill="auto"/>
            <w:noWrap/>
            <w:vAlign w:val="center"/>
          </w:tcPr>
          <w:p w14:paraId="61E2DC5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MPL(W515L/K)基因突变定量检测</w:t>
            </w:r>
          </w:p>
        </w:tc>
      </w:tr>
      <w:tr w14:paraId="6CE7998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7DEB26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255</w:t>
            </w:r>
          </w:p>
        </w:tc>
        <w:tc>
          <w:tcPr>
            <w:tcW w:w="4800" w:type="dxa"/>
            <w:shd w:val="clear" w:color="auto" w:fill="auto"/>
            <w:noWrap/>
            <w:vAlign w:val="center"/>
          </w:tcPr>
          <w:p w14:paraId="3C86F50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ALL15种常见融合基因筛查（</w:t>
            </w:r>
          </w:p>
        </w:tc>
        <w:tc>
          <w:tcPr>
            <w:tcW w:w="915" w:type="dxa"/>
            <w:shd w:val="clear" w:color="auto" w:fill="auto"/>
            <w:noWrap/>
            <w:vAlign w:val="center"/>
          </w:tcPr>
          <w:p w14:paraId="1AF70DB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284</w:t>
            </w:r>
          </w:p>
        </w:tc>
        <w:tc>
          <w:tcPr>
            <w:tcW w:w="3388" w:type="dxa"/>
            <w:shd w:val="clear" w:color="auto" w:fill="auto"/>
            <w:noWrap/>
            <w:vAlign w:val="center"/>
          </w:tcPr>
          <w:p w14:paraId="0B67264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CSF3R基因突变检测</w:t>
            </w:r>
          </w:p>
        </w:tc>
      </w:tr>
      <w:tr w14:paraId="0EF6CE3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5AF968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256</w:t>
            </w:r>
          </w:p>
        </w:tc>
        <w:tc>
          <w:tcPr>
            <w:tcW w:w="4800" w:type="dxa"/>
            <w:shd w:val="clear" w:color="auto" w:fill="auto"/>
            <w:noWrap/>
            <w:vAlign w:val="center"/>
          </w:tcPr>
          <w:p w14:paraId="6C85FA5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Ph-like ALL相关33种融合基因筛查</w:t>
            </w:r>
          </w:p>
        </w:tc>
        <w:tc>
          <w:tcPr>
            <w:tcW w:w="915" w:type="dxa"/>
            <w:shd w:val="clear" w:color="auto" w:fill="auto"/>
            <w:noWrap/>
            <w:vAlign w:val="center"/>
          </w:tcPr>
          <w:p w14:paraId="6CF8CCF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285</w:t>
            </w:r>
          </w:p>
        </w:tc>
        <w:tc>
          <w:tcPr>
            <w:tcW w:w="3388" w:type="dxa"/>
            <w:shd w:val="clear" w:color="auto" w:fill="auto"/>
            <w:noWrap/>
            <w:vAlign w:val="center"/>
          </w:tcPr>
          <w:p w14:paraId="22018FF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EVI1 基因定性检测</w:t>
            </w:r>
          </w:p>
        </w:tc>
      </w:tr>
      <w:tr w14:paraId="4D6E511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0710867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257</w:t>
            </w:r>
          </w:p>
        </w:tc>
        <w:tc>
          <w:tcPr>
            <w:tcW w:w="4800" w:type="dxa"/>
            <w:shd w:val="clear" w:color="auto" w:fill="auto"/>
            <w:noWrap/>
            <w:vAlign w:val="center"/>
          </w:tcPr>
          <w:p w14:paraId="6D4F7EA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MLL/AF4 融合基因定性检测</w:t>
            </w:r>
          </w:p>
        </w:tc>
        <w:tc>
          <w:tcPr>
            <w:tcW w:w="915" w:type="dxa"/>
            <w:shd w:val="clear" w:color="auto" w:fill="auto"/>
            <w:noWrap/>
            <w:vAlign w:val="center"/>
          </w:tcPr>
          <w:p w14:paraId="2CFF414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286</w:t>
            </w:r>
          </w:p>
        </w:tc>
        <w:tc>
          <w:tcPr>
            <w:tcW w:w="3388" w:type="dxa"/>
            <w:shd w:val="clear" w:color="auto" w:fill="auto"/>
            <w:noWrap/>
            <w:vAlign w:val="center"/>
          </w:tcPr>
          <w:p w14:paraId="0C4CD16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ABL1激酶区突变分析检测</w:t>
            </w:r>
          </w:p>
        </w:tc>
      </w:tr>
      <w:tr w14:paraId="6569E02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AADACE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258</w:t>
            </w:r>
          </w:p>
        </w:tc>
        <w:tc>
          <w:tcPr>
            <w:tcW w:w="4800" w:type="dxa"/>
            <w:shd w:val="clear" w:color="auto" w:fill="auto"/>
            <w:noWrap/>
            <w:vAlign w:val="center"/>
          </w:tcPr>
          <w:p w14:paraId="66A96E5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融合基因BCR-ABL1(P190、P210、P230)定量检测</w:t>
            </w:r>
          </w:p>
        </w:tc>
        <w:tc>
          <w:tcPr>
            <w:tcW w:w="915" w:type="dxa"/>
            <w:shd w:val="clear" w:color="auto" w:fill="auto"/>
            <w:noWrap/>
            <w:vAlign w:val="center"/>
          </w:tcPr>
          <w:p w14:paraId="2E11575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287</w:t>
            </w:r>
          </w:p>
        </w:tc>
        <w:tc>
          <w:tcPr>
            <w:tcW w:w="3388" w:type="dxa"/>
            <w:shd w:val="clear" w:color="auto" w:fill="auto"/>
            <w:noWrap/>
            <w:vAlign w:val="center"/>
          </w:tcPr>
          <w:p w14:paraId="0BA05E3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MPN联合分子套餐Plus</w:t>
            </w:r>
          </w:p>
        </w:tc>
      </w:tr>
      <w:tr w14:paraId="399B7AF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7B258B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259</w:t>
            </w:r>
          </w:p>
        </w:tc>
        <w:tc>
          <w:tcPr>
            <w:tcW w:w="4800" w:type="dxa"/>
            <w:shd w:val="clear" w:color="auto" w:fill="auto"/>
            <w:noWrap/>
            <w:vAlign w:val="center"/>
          </w:tcPr>
          <w:p w14:paraId="798E06D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融合基因ETV6/RUNX1定性检测</w:t>
            </w:r>
          </w:p>
        </w:tc>
        <w:tc>
          <w:tcPr>
            <w:tcW w:w="915" w:type="dxa"/>
            <w:shd w:val="clear" w:color="auto" w:fill="auto"/>
            <w:noWrap/>
            <w:vAlign w:val="center"/>
          </w:tcPr>
          <w:p w14:paraId="2E1934E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288</w:t>
            </w:r>
          </w:p>
        </w:tc>
        <w:tc>
          <w:tcPr>
            <w:tcW w:w="3388" w:type="dxa"/>
            <w:shd w:val="clear" w:color="auto" w:fill="auto"/>
            <w:noWrap/>
            <w:vAlign w:val="center"/>
          </w:tcPr>
          <w:p w14:paraId="2D50D22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原发性(克隆性)嗜酸粒细胞增多症诊断套餐</w:t>
            </w:r>
          </w:p>
        </w:tc>
      </w:tr>
      <w:tr w14:paraId="29D2839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264531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260</w:t>
            </w:r>
          </w:p>
        </w:tc>
        <w:tc>
          <w:tcPr>
            <w:tcW w:w="4800" w:type="dxa"/>
            <w:shd w:val="clear" w:color="auto" w:fill="auto"/>
            <w:noWrap/>
            <w:vAlign w:val="center"/>
          </w:tcPr>
          <w:p w14:paraId="288A8B6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ALL相关46种基因突变</w:t>
            </w:r>
          </w:p>
        </w:tc>
        <w:tc>
          <w:tcPr>
            <w:tcW w:w="915" w:type="dxa"/>
            <w:shd w:val="clear" w:color="auto" w:fill="auto"/>
            <w:noWrap/>
            <w:vAlign w:val="center"/>
          </w:tcPr>
          <w:p w14:paraId="6525A4A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289</w:t>
            </w:r>
          </w:p>
        </w:tc>
        <w:tc>
          <w:tcPr>
            <w:tcW w:w="3388" w:type="dxa"/>
            <w:shd w:val="clear" w:color="auto" w:fill="auto"/>
            <w:noWrap/>
            <w:vAlign w:val="center"/>
          </w:tcPr>
          <w:p w14:paraId="2FC3503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MDS、AA的鉴别</w:t>
            </w:r>
          </w:p>
        </w:tc>
      </w:tr>
      <w:tr w14:paraId="7695352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01F1433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261</w:t>
            </w:r>
          </w:p>
        </w:tc>
        <w:tc>
          <w:tcPr>
            <w:tcW w:w="4800" w:type="dxa"/>
            <w:shd w:val="clear" w:color="auto" w:fill="auto"/>
            <w:noWrap/>
            <w:vAlign w:val="center"/>
          </w:tcPr>
          <w:p w14:paraId="3209F1C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JAK1基因突变（Exon5,10,13,15,18）检测</w:t>
            </w:r>
          </w:p>
        </w:tc>
        <w:tc>
          <w:tcPr>
            <w:tcW w:w="915" w:type="dxa"/>
            <w:shd w:val="clear" w:color="auto" w:fill="auto"/>
            <w:noWrap/>
            <w:vAlign w:val="center"/>
          </w:tcPr>
          <w:p w14:paraId="2F7AE5C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290</w:t>
            </w:r>
          </w:p>
        </w:tc>
        <w:tc>
          <w:tcPr>
            <w:tcW w:w="3388" w:type="dxa"/>
            <w:shd w:val="clear" w:color="auto" w:fill="auto"/>
            <w:noWrap/>
            <w:vAlign w:val="center"/>
          </w:tcPr>
          <w:p w14:paraId="16D4546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自身免疫性全血细胞减少相关抗原检测</w:t>
            </w:r>
          </w:p>
        </w:tc>
      </w:tr>
      <w:tr w14:paraId="06A811B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CF8DF6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291</w:t>
            </w:r>
          </w:p>
        </w:tc>
        <w:tc>
          <w:tcPr>
            <w:tcW w:w="4800" w:type="dxa"/>
            <w:shd w:val="clear" w:color="auto" w:fill="auto"/>
            <w:noWrap/>
            <w:vAlign w:val="center"/>
          </w:tcPr>
          <w:p w14:paraId="4796A2D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MDS FISH 男性套餐：（+8、20q-、-5/5q-、-7/7q-、p53、-Y）</w:t>
            </w:r>
          </w:p>
        </w:tc>
        <w:tc>
          <w:tcPr>
            <w:tcW w:w="915" w:type="dxa"/>
            <w:shd w:val="clear" w:color="auto" w:fill="auto"/>
            <w:noWrap/>
            <w:vAlign w:val="center"/>
          </w:tcPr>
          <w:p w14:paraId="410D4CE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319</w:t>
            </w:r>
          </w:p>
        </w:tc>
        <w:tc>
          <w:tcPr>
            <w:tcW w:w="3388" w:type="dxa"/>
            <w:shd w:val="clear" w:color="auto" w:fill="auto"/>
            <w:noWrap/>
            <w:vAlign w:val="center"/>
          </w:tcPr>
          <w:p w14:paraId="79BE46C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MM相关基因突变检测-预后高突变率</w:t>
            </w:r>
          </w:p>
        </w:tc>
      </w:tr>
      <w:tr w14:paraId="7FD831A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5AAD92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292</w:t>
            </w:r>
          </w:p>
        </w:tc>
        <w:tc>
          <w:tcPr>
            <w:tcW w:w="4800" w:type="dxa"/>
            <w:shd w:val="clear" w:color="auto" w:fill="auto"/>
            <w:noWrap/>
            <w:vAlign w:val="center"/>
          </w:tcPr>
          <w:p w14:paraId="49B75CA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MDS FISH 女性套餐：（+8、20q-、-5/5q-、-7/7q-、p53）</w:t>
            </w:r>
          </w:p>
        </w:tc>
        <w:tc>
          <w:tcPr>
            <w:tcW w:w="915" w:type="dxa"/>
            <w:shd w:val="clear" w:color="auto" w:fill="auto"/>
            <w:noWrap/>
            <w:vAlign w:val="center"/>
          </w:tcPr>
          <w:p w14:paraId="1396004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320</w:t>
            </w:r>
          </w:p>
        </w:tc>
        <w:tc>
          <w:tcPr>
            <w:tcW w:w="3388" w:type="dxa"/>
            <w:shd w:val="clear" w:color="auto" w:fill="auto"/>
            <w:noWrap/>
            <w:vAlign w:val="center"/>
          </w:tcPr>
          <w:p w14:paraId="1757353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异常免疫球蛋白血症综合诊断1</w:t>
            </w:r>
          </w:p>
        </w:tc>
      </w:tr>
      <w:tr w14:paraId="6D407DE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A56FFF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293</w:t>
            </w:r>
          </w:p>
        </w:tc>
        <w:tc>
          <w:tcPr>
            <w:tcW w:w="4800" w:type="dxa"/>
            <w:shd w:val="clear" w:color="auto" w:fill="auto"/>
            <w:noWrap/>
            <w:vAlign w:val="center"/>
          </w:tcPr>
          <w:p w14:paraId="1318B0F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8</w:t>
            </w:r>
          </w:p>
        </w:tc>
        <w:tc>
          <w:tcPr>
            <w:tcW w:w="915" w:type="dxa"/>
            <w:shd w:val="clear" w:color="auto" w:fill="auto"/>
            <w:noWrap/>
            <w:vAlign w:val="center"/>
          </w:tcPr>
          <w:p w14:paraId="3FE9BD4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321</w:t>
            </w:r>
          </w:p>
        </w:tc>
        <w:tc>
          <w:tcPr>
            <w:tcW w:w="3388" w:type="dxa"/>
            <w:shd w:val="clear" w:color="auto" w:fill="auto"/>
            <w:noWrap/>
            <w:vAlign w:val="center"/>
          </w:tcPr>
          <w:p w14:paraId="5B18990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异常免疫球蛋白血症综合诊断2(含IgD+IgE)</w:t>
            </w:r>
          </w:p>
        </w:tc>
      </w:tr>
      <w:tr w14:paraId="55D1038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792525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294</w:t>
            </w:r>
          </w:p>
        </w:tc>
        <w:tc>
          <w:tcPr>
            <w:tcW w:w="4800" w:type="dxa"/>
            <w:shd w:val="clear" w:color="auto" w:fill="auto"/>
            <w:noWrap/>
            <w:vAlign w:val="center"/>
          </w:tcPr>
          <w:p w14:paraId="5FD67BC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20q-</w:t>
            </w:r>
          </w:p>
        </w:tc>
        <w:tc>
          <w:tcPr>
            <w:tcW w:w="915" w:type="dxa"/>
            <w:shd w:val="clear" w:color="auto" w:fill="auto"/>
            <w:noWrap/>
            <w:vAlign w:val="center"/>
          </w:tcPr>
          <w:p w14:paraId="25B49E0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322</w:t>
            </w:r>
          </w:p>
        </w:tc>
        <w:tc>
          <w:tcPr>
            <w:tcW w:w="3388" w:type="dxa"/>
            <w:shd w:val="clear" w:color="auto" w:fill="auto"/>
            <w:noWrap/>
            <w:vAlign w:val="center"/>
          </w:tcPr>
          <w:p w14:paraId="033AA3D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血清蛋白电泳检验</w:t>
            </w:r>
          </w:p>
        </w:tc>
      </w:tr>
      <w:tr w14:paraId="1F833A8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0673FB8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295</w:t>
            </w:r>
          </w:p>
        </w:tc>
        <w:tc>
          <w:tcPr>
            <w:tcW w:w="4800" w:type="dxa"/>
            <w:shd w:val="clear" w:color="auto" w:fill="auto"/>
            <w:noWrap/>
            <w:vAlign w:val="center"/>
          </w:tcPr>
          <w:p w14:paraId="69B496C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p53</w:t>
            </w:r>
          </w:p>
        </w:tc>
        <w:tc>
          <w:tcPr>
            <w:tcW w:w="915" w:type="dxa"/>
            <w:shd w:val="clear" w:color="auto" w:fill="auto"/>
            <w:noWrap/>
            <w:vAlign w:val="center"/>
          </w:tcPr>
          <w:p w14:paraId="45DB0B4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323</w:t>
            </w:r>
          </w:p>
        </w:tc>
        <w:tc>
          <w:tcPr>
            <w:tcW w:w="3388" w:type="dxa"/>
            <w:shd w:val="clear" w:color="auto" w:fill="auto"/>
            <w:noWrap/>
            <w:vAlign w:val="center"/>
          </w:tcPr>
          <w:p w14:paraId="03D28B3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血清免疫固定电泳（IgD+IgE）</w:t>
            </w:r>
          </w:p>
        </w:tc>
      </w:tr>
      <w:tr w14:paraId="55BBA7B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DCEAE9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296</w:t>
            </w:r>
          </w:p>
        </w:tc>
        <w:tc>
          <w:tcPr>
            <w:tcW w:w="4800" w:type="dxa"/>
            <w:shd w:val="clear" w:color="auto" w:fill="auto"/>
            <w:noWrap/>
            <w:vAlign w:val="center"/>
          </w:tcPr>
          <w:p w14:paraId="3FDBB8D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-5/5q-</w:t>
            </w:r>
          </w:p>
        </w:tc>
        <w:tc>
          <w:tcPr>
            <w:tcW w:w="915" w:type="dxa"/>
            <w:shd w:val="clear" w:color="auto" w:fill="auto"/>
            <w:noWrap/>
            <w:vAlign w:val="center"/>
          </w:tcPr>
          <w:p w14:paraId="61F99EB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324</w:t>
            </w:r>
          </w:p>
        </w:tc>
        <w:tc>
          <w:tcPr>
            <w:tcW w:w="3388" w:type="dxa"/>
            <w:shd w:val="clear" w:color="auto" w:fill="auto"/>
            <w:noWrap/>
            <w:vAlign w:val="center"/>
          </w:tcPr>
          <w:p w14:paraId="48F3169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Hans" w:bidi="ar"/>
              </w:rPr>
              <w:t>血</w:t>
            </w:r>
            <w:r>
              <w:rPr>
                <w:rFonts w:hint="eastAsia" w:ascii="宋体" w:hAnsi="宋体" w:eastAsia="宋体" w:cs="宋体"/>
                <w:color w:val="auto"/>
                <w:kern w:val="0"/>
                <w:sz w:val="21"/>
                <w:szCs w:val="21"/>
                <w:highlight w:val="none"/>
                <w:lang w:bidi="ar"/>
              </w:rPr>
              <w:t>游离轻链K、λ</w:t>
            </w:r>
          </w:p>
        </w:tc>
      </w:tr>
      <w:tr w14:paraId="0CB8FF1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2DC7CA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297</w:t>
            </w:r>
          </w:p>
        </w:tc>
        <w:tc>
          <w:tcPr>
            <w:tcW w:w="4800" w:type="dxa"/>
            <w:shd w:val="clear" w:color="auto" w:fill="auto"/>
            <w:noWrap/>
            <w:vAlign w:val="center"/>
          </w:tcPr>
          <w:p w14:paraId="3E7ECC0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-7/7q-</w:t>
            </w:r>
          </w:p>
        </w:tc>
        <w:tc>
          <w:tcPr>
            <w:tcW w:w="915" w:type="dxa"/>
            <w:shd w:val="clear" w:color="auto" w:fill="auto"/>
            <w:noWrap/>
            <w:vAlign w:val="center"/>
          </w:tcPr>
          <w:p w14:paraId="3A5FDC9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325</w:t>
            </w:r>
          </w:p>
        </w:tc>
        <w:tc>
          <w:tcPr>
            <w:tcW w:w="3388" w:type="dxa"/>
            <w:shd w:val="clear" w:color="auto" w:fill="auto"/>
            <w:noWrap/>
            <w:vAlign w:val="center"/>
          </w:tcPr>
          <w:p w14:paraId="75B03C03">
            <w:pPr>
              <w:widowControl/>
              <w:jc w:val="center"/>
              <w:textAlignment w:val="center"/>
              <w:rPr>
                <w:rFonts w:hint="eastAsia" w:ascii="宋体" w:hAnsi="宋体" w:eastAsia="宋体" w:cs="宋体"/>
                <w:color w:val="auto"/>
                <w:kern w:val="0"/>
                <w:sz w:val="21"/>
                <w:szCs w:val="21"/>
                <w:highlight w:val="none"/>
                <w:lang w:eastAsia="zh-Hans" w:bidi="ar"/>
              </w:rPr>
            </w:pPr>
            <w:r>
              <w:rPr>
                <w:rFonts w:hint="eastAsia" w:ascii="宋体" w:hAnsi="宋体" w:eastAsia="宋体" w:cs="宋体"/>
                <w:color w:val="auto"/>
                <w:kern w:val="0"/>
                <w:sz w:val="21"/>
                <w:szCs w:val="21"/>
                <w:highlight w:val="none"/>
                <w:lang w:eastAsia="zh-Hans" w:bidi="ar"/>
              </w:rPr>
              <w:t>尿游离轻链</w:t>
            </w:r>
          </w:p>
        </w:tc>
      </w:tr>
      <w:tr w14:paraId="54E4852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3F3107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298</w:t>
            </w:r>
          </w:p>
        </w:tc>
        <w:tc>
          <w:tcPr>
            <w:tcW w:w="4800" w:type="dxa"/>
            <w:shd w:val="clear" w:color="auto" w:fill="auto"/>
            <w:noWrap/>
            <w:vAlign w:val="center"/>
          </w:tcPr>
          <w:p w14:paraId="7988421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-Y</w:t>
            </w:r>
          </w:p>
        </w:tc>
        <w:tc>
          <w:tcPr>
            <w:tcW w:w="915" w:type="dxa"/>
            <w:shd w:val="clear" w:color="auto" w:fill="auto"/>
            <w:noWrap/>
            <w:vAlign w:val="center"/>
          </w:tcPr>
          <w:p w14:paraId="559DC65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326</w:t>
            </w:r>
          </w:p>
        </w:tc>
        <w:tc>
          <w:tcPr>
            <w:tcW w:w="3388" w:type="dxa"/>
            <w:shd w:val="clear" w:color="auto" w:fill="auto"/>
            <w:noWrap/>
            <w:vAlign w:val="center"/>
          </w:tcPr>
          <w:p w14:paraId="421C54C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MM诊断套餐1</w:t>
            </w:r>
          </w:p>
        </w:tc>
      </w:tr>
      <w:tr w14:paraId="22A80C4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D107C4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299</w:t>
            </w:r>
          </w:p>
        </w:tc>
        <w:tc>
          <w:tcPr>
            <w:tcW w:w="4800" w:type="dxa"/>
            <w:shd w:val="clear" w:color="auto" w:fill="auto"/>
            <w:noWrap/>
            <w:vAlign w:val="center"/>
          </w:tcPr>
          <w:p w14:paraId="0900336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MDS-髓系血液疾病34种高频基因筛查</w:t>
            </w:r>
          </w:p>
        </w:tc>
        <w:tc>
          <w:tcPr>
            <w:tcW w:w="915" w:type="dxa"/>
            <w:shd w:val="clear" w:color="auto" w:fill="auto"/>
            <w:noWrap/>
            <w:vAlign w:val="center"/>
          </w:tcPr>
          <w:p w14:paraId="23177B7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327</w:t>
            </w:r>
          </w:p>
        </w:tc>
        <w:tc>
          <w:tcPr>
            <w:tcW w:w="3388" w:type="dxa"/>
            <w:shd w:val="clear" w:color="auto" w:fill="auto"/>
            <w:noWrap/>
            <w:vAlign w:val="center"/>
          </w:tcPr>
          <w:p w14:paraId="652C30C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MM诊断套餐2</w:t>
            </w:r>
          </w:p>
        </w:tc>
      </w:tr>
      <w:tr w14:paraId="0ED9358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2752BD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300</w:t>
            </w:r>
          </w:p>
        </w:tc>
        <w:tc>
          <w:tcPr>
            <w:tcW w:w="4800" w:type="dxa"/>
            <w:shd w:val="clear" w:color="auto" w:fill="auto"/>
            <w:noWrap/>
            <w:vAlign w:val="center"/>
          </w:tcPr>
          <w:p w14:paraId="622F4BE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MDS-髓系血液疾病67种基因突变</w:t>
            </w:r>
          </w:p>
        </w:tc>
        <w:tc>
          <w:tcPr>
            <w:tcW w:w="915" w:type="dxa"/>
            <w:shd w:val="clear" w:color="auto" w:fill="auto"/>
            <w:noWrap/>
            <w:vAlign w:val="center"/>
          </w:tcPr>
          <w:p w14:paraId="2B491C8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328</w:t>
            </w:r>
          </w:p>
        </w:tc>
        <w:tc>
          <w:tcPr>
            <w:tcW w:w="3388" w:type="dxa"/>
            <w:shd w:val="clear" w:color="auto" w:fill="auto"/>
            <w:noWrap/>
            <w:vAlign w:val="center"/>
          </w:tcPr>
          <w:p w14:paraId="28C1153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ATM</w:t>
            </w:r>
          </w:p>
        </w:tc>
      </w:tr>
      <w:tr w14:paraId="19AAD2B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DCE34F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301</w:t>
            </w:r>
          </w:p>
        </w:tc>
        <w:tc>
          <w:tcPr>
            <w:tcW w:w="4800" w:type="dxa"/>
            <w:shd w:val="clear" w:color="auto" w:fill="auto"/>
            <w:noWrap/>
            <w:vAlign w:val="center"/>
          </w:tcPr>
          <w:p w14:paraId="041C6D1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JAK2 Exon12-15基因突变</w:t>
            </w:r>
          </w:p>
        </w:tc>
        <w:tc>
          <w:tcPr>
            <w:tcW w:w="915" w:type="dxa"/>
            <w:shd w:val="clear" w:color="auto" w:fill="auto"/>
            <w:noWrap/>
            <w:vAlign w:val="center"/>
          </w:tcPr>
          <w:p w14:paraId="46CAA03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329</w:t>
            </w:r>
          </w:p>
        </w:tc>
        <w:tc>
          <w:tcPr>
            <w:tcW w:w="3388" w:type="dxa"/>
            <w:shd w:val="clear" w:color="auto" w:fill="auto"/>
            <w:noWrap/>
            <w:vAlign w:val="center"/>
          </w:tcPr>
          <w:p w14:paraId="4D4ACBD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D13S25</w:t>
            </w:r>
          </w:p>
        </w:tc>
      </w:tr>
      <w:tr w14:paraId="0DBC930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163A18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302</w:t>
            </w:r>
          </w:p>
        </w:tc>
        <w:tc>
          <w:tcPr>
            <w:tcW w:w="4800" w:type="dxa"/>
            <w:shd w:val="clear" w:color="auto" w:fill="auto"/>
            <w:noWrap/>
            <w:vAlign w:val="center"/>
          </w:tcPr>
          <w:p w14:paraId="6EC57CB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MDS甲基化基因突变(DNMTSA、TET2、IDH1、IDH2、EZH2、ASXL1)</w:t>
            </w:r>
          </w:p>
        </w:tc>
        <w:tc>
          <w:tcPr>
            <w:tcW w:w="915" w:type="dxa"/>
            <w:shd w:val="clear" w:color="auto" w:fill="auto"/>
            <w:noWrap/>
            <w:vAlign w:val="center"/>
          </w:tcPr>
          <w:p w14:paraId="2E873EF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330</w:t>
            </w:r>
          </w:p>
        </w:tc>
        <w:tc>
          <w:tcPr>
            <w:tcW w:w="3388" w:type="dxa"/>
            <w:shd w:val="clear" w:color="auto" w:fill="auto"/>
            <w:noWrap/>
            <w:vAlign w:val="center"/>
          </w:tcPr>
          <w:p w14:paraId="3CE8D40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RB1</w:t>
            </w:r>
          </w:p>
        </w:tc>
      </w:tr>
      <w:tr w14:paraId="610A1EE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1FD981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303</w:t>
            </w:r>
          </w:p>
        </w:tc>
        <w:tc>
          <w:tcPr>
            <w:tcW w:w="4800" w:type="dxa"/>
            <w:shd w:val="clear" w:color="auto" w:fill="auto"/>
            <w:noWrap/>
            <w:vAlign w:val="center"/>
          </w:tcPr>
          <w:p w14:paraId="7AC8313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DNMT3A基因突变</w:t>
            </w:r>
          </w:p>
        </w:tc>
        <w:tc>
          <w:tcPr>
            <w:tcW w:w="915" w:type="dxa"/>
            <w:shd w:val="clear" w:color="auto" w:fill="auto"/>
            <w:noWrap/>
            <w:vAlign w:val="center"/>
          </w:tcPr>
          <w:p w14:paraId="3C99F50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331</w:t>
            </w:r>
          </w:p>
        </w:tc>
        <w:tc>
          <w:tcPr>
            <w:tcW w:w="3388" w:type="dxa"/>
            <w:shd w:val="clear" w:color="auto" w:fill="auto"/>
            <w:noWrap/>
            <w:vAlign w:val="center"/>
          </w:tcPr>
          <w:p w14:paraId="310F3F2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D12Z3</w:t>
            </w:r>
          </w:p>
        </w:tc>
      </w:tr>
      <w:tr w14:paraId="7B6FEA8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AD4673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304</w:t>
            </w:r>
          </w:p>
        </w:tc>
        <w:tc>
          <w:tcPr>
            <w:tcW w:w="4800" w:type="dxa"/>
            <w:shd w:val="clear" w:color="auto" w:fill="auto"/>
            <w:noWrap/>
            <w:vAlign w:val="center"/>
          </w:tcPr>
          <w:p w14:paraId="031CD8B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SF3B1基因突变检测</w:t>
            </w:r>
          </w:p>
        </w:tc>
        <w:tc>
          <w:tcPr>
            <w:tcW w:w="915" w:type="dxa"/>
            <w:shd w:val="clear" w:color="auto" w:fill="auto"/>
            <w:noWrap/>
            <w:vAlign w:val="center"/>
          </w:tcPr>
          <w:p w14:paraId="2F2558F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332</w:t>
            </w:r>
          </w:p>
        </w:tc>
        <w:tc>
          <w:tcPr>
            <w:tcW w:w="3388" w:type="dxa"/>
            <w:shd w:val="clear" w:color="auto" w:fill="auto"/>
            <w:noWrap/>
            <w:vAlign w:val="center"/>
          </w:tcPr>
          <w:p w14:paraId="40B4214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6q21</w:t>
            </w:r>
          </w:p>
        </w:tc>
      </w:tr>
      <w:tr w14:paraId="49F9871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0D1CE1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305</w:t>
            </w:r>
          </w:p>
        </w:tc>
        <w:tc>
          <w:tcPr>
            <w:tcW w:w="4800" w:type="dxa"/>
            <w:shd w:val="clear" w:color="auto" w:fill="auto"/>
            <w:noWrap/>
            <w:vAlign w:val="center"/>
          </w:tcPr>
          <w:p w14:paraId="3E3E8E6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SRSF2基因突变</w:t>
            </w:r>
          </w:p>
        </w:tc>
        <w:tc>
          <w:tcPr>
            <w:tcW w:w="915" w:type="dxa"/>
            <w:shd w:val="clear" w:color="auto" w:fill="auto"/>
            <w:noWrap/>
            <w:vAlign w:val="center"/>
          </w:tcPr>
          <w:p w14:paraId="4AF56FF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333</w:t>
            </w:r>
          </w:p>
        </w:tc>
        <w:tc>
          <w:tcPr>
            <w:tcW w:w="3388" w:type="dxa"/>
            <w:shd w:val="clear" w:color="auto" w:fill="auto"/>
            <w:noWrap/>
            <w:vAlign w:val="center"/>
          </w:tcPr>
          <w:p w14:paraId="085845C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CLL-FISH套餐（ATM、P53、D13S25、RB1、D12Z3）</w:t>
            </w:r>
          </w:p>
        </w:tc>
      </w:tr>
      <w:tr w14:paraId="695E9B4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14D9192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306</w:t>
            </w:r>
          </w:p>
        </w:tc>
        <w:tc>
          <w:tcPr>
            <w:tcW w:w="4800" w:type="dxa"/>
            <w:shd w:val="clear" w:color="auto" w:fill="auto"/>
            <w:noWrap/>
            <w:vAlign w:val="center"/>
          </w:tcPr>
          <w:p w14:paraId="1D95916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D13S319</w:t>
            </w:r>
          </w:p>
        </w:tc>
        <w:tc>
          <w:tcPr>
            <w:tcW w:w="915" w:type="dxa"/>
            <w:shd w:val="clear" w:color="auto" w:fill="auto"/>
            <w:noWrap/>
            <w:vAlign w:val="center"/>
          </w:tcPr>
          <w:p w14:paraId="5138F70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334</w:t>
            </w:r>
          </w:p>
        </w:tc>
        <w:tc>
          <w:tcPr>
            <w:tcW w:w="3388" w:type="dxa"/>
            <w:shd w:val="clear" w:color="auto" w:fill="auto"/>
            <w:noWrap/>
            <w:vAlign w:val="center"/>
          </w:tcPr>
          <w:p w14:paraId="32A6D64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IGVH突变检测</w:t>
            </w:r>
          </w:p>
        </w:tc>
      </w:tr>
      <w:tr w14:paraId="1ADBD63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70113E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307</w:t>
            </w:r>
          </w:p>
        </w:tc>
        <w:tc>
          <w:tcPr>
            <w:tcW w:w="4800" w:type="dxa"/>
            <w:shd w:val="clear" w:color="auto" w:fill="auto"/>
            <w:noWrap/>
            <w:vAlign w:val="center"/>
          </w:tcPr>
          <w:p w14:paraId="0D3B869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1q21</w:t>
            </w:r>
          </w:p>
        </w:tc>
        <w:tc>
          <w:tcPr>
            <w:tcW w:w="915" w:type="dxa"/>
            <w:shd w:val="clear" w:color="auto" w:fill="auto"/>
            <w:noWrap/>
            <w:vAlign w:val="center"/>
          </w:tcPr>
          <w:p w14:paraId="72D018F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335</w:t>
            </w:r>
          </w:p>
        </w:tc>
        <w:tc>
          <w:tcPr>
            <w:tcW w:w="3388" w:type="dxa"/>
            <w:shd w:val="clear" w:color="auto" w:fill="auto"/>
            <w:noWrap/>
            <w:vAlign w:val="center"/>
          </w:tcPr>
          <w:p w14:paraId="1E726B2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IGH 重排</w:t>
            </w:r>
          </w:p>
        </w:tc>
      </w:tr>
      <w:tr w14:paraId="707549B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87AA7B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308</w:t>
            </w:r>
          </w:p>
        </w:tc>
        <w:tc>
          <w:tcPr>
            <w:tcW w:w="4800" w:type="dxa"/>
            <w:shd w:val="clear" w:color="auto" w:fill="auto"/>
            <w:noWrap/>
            <w:vAlign w:val="center"/>
          </w:tcPr>
          <w:p w14:paraId="7C31693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IGH重排</w:t>
            </w:r>
          </w:p>
        </w:tc>
        <w:tc>
          <w:tcPr>
            <w:tcW w:w="915" w:type="dxa"/>
            <w:shd w:val="clear" w:color="auto" w:fill="auto"/>
            <w:noWrap/>
            <w:vAlign w:val="center"/>
          </w:tcPr>
          <w:p w14:paraId="449B1B8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336</w:t>
            </w:r>
          </w:p>
        </w:tc>
        <w:tc>
          <w:tcPr>
            <w:tcW w:w="3388" w:type="dxa"/>
            <w:shd w:val="clear" w:color="auto" w:fill="auto"/>
            <w:noWrap/>
            <w:vAlign w:val="center"/>
          </w:tcPr>
          <w:p w14:paraId="733165B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IGH/CCND1</w:t>
            </w:r>
          </w:p>
        </w:tc>
      </w:tr>
      <w:tr w14:paraId="6E371E0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0966133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309</w:t>
            </w:r>
          </w:p>
        </w:tc>
        <w:tc>
          <w:tcPr>
            <w:tcW w:w="4800" w:type="dxa"/>
            <w:shd w:val="clear" w:color="auto" w:fill="auto"/>
            <w:noWrap/>
            <w:vAlign w:val="center"/>
          </w:tcPr>
          <w:p w14:paraId="433D201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IGH/FGFR3t(4;14)</w:t>
            </w:r>
          </w:p>
        </w:tc>
        <w:tc>
          <w:tcPr>
            <w:tcW w:w="915" w:type="dxa"/>
            <w:shd w:val="clear" w:color="auto" w:fill="auto"/>
            <w:noWrap/>
            <w:vAlign w:val="center"/>
          </w:tcPr>
          <w:p w14:paraId="03014B3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337</w:t>
            </w:r>
          </w:p>
        </w:tc>
        <w:tc>
          <w:tcPr>
            <w:tcW w:w="3388" w:type="dxa"/>
            <w:shd w:val="clear" w:color="auto" w:fill="auto"/>
            <w:noWrap/>
            <w:vAlign w:val="center"/>
          </w:tcPr>
          <w:p w14:paraId="1EDD697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IGH/MYC</w:t>
            </w:r>
          </w:p>
        </w:tc>
      </w:tr>
      <w:tr w14:paraId="2AAA754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45CE19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310</w:t>
            </w:r>
          </w:p>
        </w:tc>
        <w:tc>
          <w:tcPr>
            <w:tcW w:w="4800" w:type="dxa"/>
            <w:shd w:val="clear" w:color="auto" w:fill="auto"/>
            <w:noWrap/>
            <w:vAlign w:val="center"/>
          </w:tcPr>
          <w:p w14:paraId="458E003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IGH/MAFt(14;16)</w:t>
            </w:r>
          </w:p>
        </w:tc>
        <w:tc>
          <w:tcPr>
            <w:tcW w:w="915" w:type="dxa"/>
            <w:shd w:val="clear" w:color="auto" w:fill="auto"/>
            <w:noWrap/>
            <w:vAlign w:val="center"/>
          </w:tcPr>
          <w:p w14:paraId="1A38533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338</w:t>
            </w:r>
          </w:p>
        </w:tc>
        <w:tc>
          <w:tcPr>
            <w:tcW w:w="3388" w:type="dxa"/>
            <w:shd w:val="clear" w:color="auto" w:fill="auto"/>
            <w:noWrap/>
            <w:vAlign w:val="center"/>
          </w:tcPr>
          <w:p w14:paraId="3BFB931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AP12/MALT1</w:t>
            </w:r>
          </w:p>
        </w:tc>
      </w:tr>
      <w:tr w14:paraId="5260E2F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B9A258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311</w:t>
            </w:r>
          </w:p>
        </w:tc>
        <w:tc>
          <w:tcPr>
            <w:tcW w:w="4800" w:type="dxa"/>
            <w:shd w:val="clear" w:color="auto" w:fill="auto"/>
            <w:noWrap/>
            <w:vAlign w:val="center"/>
          </w:tcPr>
          <w:p w14:paraId="444FDB4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IGH/MAFBt(14;20)</w:t>
            </w:r>
          </w:p>
        </w:tc>
        <w:tc>
          <w:tcPr>
            <w:tcW w:w="915" w:type="dxa"/>
            <w:shd w:val="clear" w:color="auto" w:fill="auto"/>
            <w:noWrap/>
            <w:vAlign w:val="center"/>
          </w:tcPr>
          <w:p w14:paraId="619678B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339</w:t>
            </w:r>
          </w:p>
        </w:tc>
        <w:tc>
          <w:tcPr>
            <w:tcW w:w="3388" w:type="dxa"/>
            <w:shd w:val="clear" w:color="auto" w:fill="auto"/>
            <w:noWrap/>
            <w:vAlign w:val="center"/>
          </w:tcPr>
          <w:p w14:paraId="7BDA9DF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MALT1 重排</w:t>
            </w:r>
          </w:p>
        </w:tc>
      </w:tr>
      <w:tr w14:paraId="48E6E06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C61EC5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312</w:t>
            </w:r>
          </w:p>
        </w:tc>
        <w:tc>
          <w:tcPr>
            <w:tcW w:w="4800" w:type="dxa"/>
            <w:shd w:val="clear" w:color="auto" w:fill="auto"/>
            <w:noWrap/>
            <w:vAlign w:val="center"/>
          </w:tcPr>
          <w:p w14:paraId="17823C2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IGH/CCND1t(11;14)</w:t>
            </w:r>
          </w:p>
        </w:tc>
        <w:tc>
          <w:tcPr>
            <w:tcW w:w="915" w:type="dxa"/>
            <w:shd w:val="clear" w:color="auto" w:fill="auto"/>
            <w:noWrap/>
            <w:vAlign w:val="center"/>
          </w:tcPr>
          <w:p w14:paraId="1BA3ACC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340</w:t>
            </w:r>
          </w:p>
        </w:tc>
        <w:tc>
          <w:tcPr>
            <w:tcW w:w="3388" w:type="dxa"/>
            <w:shd w:val="clear" w:color="auto" w:fill="auto"/>
            <w:noWrap/>
            <w:vAlign w:val="center"/>
          </w:tcPr>
          <w:p w14:paraId="36FD4F0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BCL-2 重排</w:t>
            </w:r>
          </w:p>
        </w:tc>
      </w:tr>
      <w:tr w14:paraId="7F60CE4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73E7FC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313</w:t>
            </w:r>
          </w:p>
        </w:tc>
        <w:tc>
          <w:tcPr>
            <w:tcW w:w="4800" w:type="dxa"/>
            <w:shd w:val="clear" w:color="auto" w:fill="auto"/>
            <w:noWrap/>
            <w:vAlign w:val="center"/>
          </w:tcPr>
          <w:p w14:paraId="2626358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IGH/CCND3t(6;14)</w:t>
            </w:r>
          </w:p>
        </w:tc>
        <w:tc>
          <w:tcPr>
            <w:tcW w:w="915" w:type="dxa"/>
            <w:shd w:val="clear" w:color="auto" w:fill="auto"/>
            <w:noWrap/>
            <w:vAlign w:val="center"/>
          </w:tcPr>
          <w:p w14:paraId="4C58A9C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341</w:t>
            </w:r>
          </w:p>
        </w:tc>
        <w:tc>
          <w:tcPr>
            <w:tcW w:w="3388" w:type="dxa"/>
            <w:shd w:val="clear" w:color="auto" w:fill="auto"/>
            <w:noWrap/>
            <w:vAlign w:val="center"/>
          </w:tcPr>
          <w:p w14:paraId="141B0C3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BCL-6 重排</w:t>
            </w:r>
          </w:p>
        </w:tc>
      </w:tr>
      <w:tr w14:paraId="56688C4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105F532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314</w:t>
            </w:r>
          </w:p>
        </w:tc>
        <w:tc>
          <w:tcPr>
            <w:tcW w:w="4800" w:type="dxa"/>
            <w:shd w:val="clear" w:color="auto" w:fill="auto"/>
            <w:noWrap/>
            <w:vAlign w:val="center"/>
          </w:tcPr>
          <w:p w14:paraId="111F5DB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CD138磁珠</w:t>
            </w:r>
          </w:p>
        </w:tc>
        <w:tc>
          <w:tcPr>
            <w:tcW w:w="915" w:type="dxa"/>
            <w:shd w:val="clear" w:color="auto" w:fill="auto"/>
            <w:noWrap/>
            <w:vAlign w:val="center"/>
          </w:tcPr>
          <w:p w14:paraId="76BAF71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342</w:t>
            </w:r>
          </w:p>
        </w:tc>
        <w:tc>
          <w:tcPr>
            <w:tcW w:w="3388" w:type="dxa"/>
            <w:shd w:val="clear" w:color="auto" w:fill="auto"/>
            <w:noWrap/>
            <w:vAlign w:val="center"/>
          </w:tcPr>
          <w:p w14:paraId="3CFDB77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IGH/BCL-2</w:t>
            </w:r>
          </w:p>
        </w:tc>
      </w:tr>
      <w:tr w14:paraId="6AF7282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D62439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315</w:t>
            </w:r>
          </w:p>
        </w:tc>
        <w:tc>
          <w:tcPr>
            <w:tcW w:w="4800" w:type="dxa"/>
            <w:shd w:val="clear" w:color="auto" w:fill="auto"/>
            <w:noWrap/>
            <w:vAlign w:val="center"/>
          </w:tcPr>
          <w:p w14:paraId="0431AB9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多发性骨髓瘤MM  FISH套餐</w:t>
            </w:r>
          </w:p>
        </w:tc>
        <w:tc>
          <w:tcPr>
            <w:tcW w:w="915" w:type="dxa"/>
            <w:shd w:val="clear" w:color="auto" w:fill="auto"/>
            <w:noWrap/>
            <w:vAlign w:val="center"/>
          </w:tcPr>
          <w:p w14:paraId="57BC763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343</w:t>
            </w:r>
          </w:p>
        </w:tc>
        <w:tc>
          <w:tcPr>
            <w:tcW w:w="3388" w:type="dxa"/>
            <w:shd w:val="clear" w:color="auto" w:fill="auto"/>
            <w:noWrap/>
            <w:vAlign w:val="center"/>
          </w:tcPr>
          <w:p w14:paraId="07673BF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MYC 重排</w:t>
            </w:r>
          </w:p>
        </w:tc>
      </w:tr>
      <w:tr w14:paraId="132ACC5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68F5F0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316</w:t>
            </w:r>
          </w:p>
        </w:tc>
        <w:tc>
          <w:tcPr>
            <w:tcW w:w="4800" w:type="dxa"/>
            <w:shd w:val="clear" w:color="auto" w:fill="auto"/>
            <w:noWrap/>
            <w:vAlign w:val="center"/>
          </w:tcPr>
          <w:p w14:paraId="2DA3DD4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MYD88基因L265P突变检测</w:t>
            </w:r>
          </w:p>
        </w:tc>
        <w:tc>
          <w:tcPr>
            <w:tcW w:w="915" w:type="dxa"/>
            <w:shd w:val="clear" w:color="auto" w:fill="auto"/>
            <w:noWrap/>
            <w:vAlign w:val="center"/>
          </w:tcPr>
          <w:p w14:paraId="539A699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344</w:t>
            </w:r>
          </w:p>
        </w:tc>
        <w:tc>
          <w:tcPr>
            <w:tcW w:w="3388" w:type="dxa"/>
            <w:shd w:val="clear" w:color="auto" w:fill="auto"/>
            <w:noWrap/>
            <w:vAlign w:val="center"/>
          </w:tcPr>
          <w:p w14:paraId="0F71AA2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CCND1 重排</w:t>
            </w:r>
          </w:p>
        </w:tc>
      </w:tr>
      <w:tr w14:paraId="47E75C7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EB93D2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317</w:t>
            </w:r>
          </w:p>
        </w:tc>
        <w:tc>
          <w:tcPr>
            <w:tcW w:w="4800" w:type="dxa"/>
            <w:shd w:val="clear" w:color="auto" w:fill="auto"/>
            <w:noWrap/>
            <w:vAlign w:val="center"/>
          </w:tcPr>
          <w:p w14:paraId="40D8A5D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CXCR4基因突变检测</w:t>
            </w:r>
          </w:p>
        </w:tc>
        <w:tc>
          <w:tcPr>
            <w:tcW w:w="915" w:type="dxa"/>
            <w:shd w:val="clear" w:color="auto" w:fill="auto"/>
            <w:noWrap/>
            <w:vAlign w:val="center"/>
          </w:tcPr>
          <w:p w14:paraId="1915863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345</w:t>
            </w:r>
          </w:p>
        </w:tc>
        <w:tc>
          <w:tcPr>
            <w:tcW w:w="3388" w:type="dxa"/>
            <w:shd w:val="clear" w:color="auto" w:fill="auto"/>
            <w:noWrap/>
            <w:vAlign w:val="center"/>
          </w:tcPr>
          <w:p w14:paraId="08120B2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Ig基因重排检测（片段分析）</w:t>
            </w:r>
          </w:p>
        </w:tc>
      </w:tr>
      <w:tr w14:paraId="1ACA73C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1E4B129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318</w:t>
            </w:r>
          </w:p>
        </w:tc>
        <w:tc>
          <w:tcPr>
            <w:tcW w:w="4800" w:type="dxa"/>
            <w:shd w:val="clear" w:color="auto" w:fill="auto"/>
            <w:noWrap/>
            <w:vAlign w:val="center"/>
          </w:tcPr>
          <w:p w14:paraId="437AEA6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多发性骨髓瘤（MM）二代测序30种基因突变检测</w:t>
            </w:r>
          </w:p>
        </w:tc>
        <w:tc>
          <w:tcPr>
            <w:tcW w:w="915" w:type="dxa"/>
            <w:shd w:val="clear" w:color="auto" w:fill="auto"/>
            <w:noWrap/>
            <w:vAlign w:val="center"/>
          </w:tcPr>
          <w:p w14:paraId="1499E60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346</w:t>
            </w:r>
          </w:p>
        </w:tc>
        <w:tc>
          <w:tcPr>
            <w:tcW w:w="3388" w:type="dxa"/>
            <w:shd w:val="clear" w:color="auto" w:fill="auto"/>
            <w:noWrap/>
            <w:vAlign w:val="center"/>
          </w:tcPr>
          <w:p w14:paraId="1C6A17C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TCR基因重排检测</w:t>
            </w:r>
          </w:p>
        </w:tc>
      </w:tr>
      <w:tr w14:paraId="7BD6239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79DFA7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347</w:t>
            </w:r>
          </w:p>
        </w:tc>
        <w:tc>
          <w:tcPr>
            <w:tcW w:w="4800" w:type="dxa"/>
            <w:shd w:val="clear" w:color="auto" w:fill="auto"/>
            <w:noWrap/>
            <w:vAlign w:val="center"/>
          </w:tcPr>
          <w:p w14:paraId="0533D72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BCL-1/JH基因重排</w:t>
            </w:r>
          </w:p>
        </w:tc>
        <w:tc>
          <w:tcPr>
            <w:tcW w:w="915" w:type="dxa"/>
            <w:shd w:val="clear" w:color="auto" w:fill="auto"/>
            <w:noWrap/>
            <w:vAlign w:val="center"/>
          </w:tcPr>
          <w:p w14:paraId="1BC81B9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375</w:t>
            </w:r>
          </w:p>
        </w:tc>
        <w:tc>
          <w:tcPr>
            <w:tcW w:w="3388" w:type="dxa"/>
            <w:shd w:val="clear" w:color="auto" w:fill="auto"/>
            <w:noWrap/>
            <w:vAlign w:val="center"/>
          </w:tcPr>
          <w:p w14:paraId="4CE838F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儿童营养</w:t>
            </w:r>
          </w:p>
        </w:tc>
      </w:tr>
      <w:tr w14:paraId="46AF712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ABD2C1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348</w:t>
            </w:r>
          </w:p>
        </w:tc>
        <w:tc>
          <w:tcPr>
            <w:tcW w:w="4800" w:type="dxa"/>
            <w:shd w:val="clear" w:color="auto" w:fill="auto"/>
            <w:noWrap/>
            <w:vAlign w:val="center"/>
          </w:tcPr>
          <w:p w14:paraId="00B3B68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BCL-2/JH基因重排</w:t>
            </w:r>
          </w:p>
        </w:tc>
        <w:tc>
          <w:tcPr>
            <w:tcW w:w="915" w:type="dxa"/>
            <w:shd w:val="clear" w:color="auto" w:fill="auto"/>
            <w:noWrap/>
            <w:vAlign w:val="center"/>
          </w:tcPr>
          <w:p w14:paraId="42E4E59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376</w:t>
            </w:r>
          </w:p>
        </w:tc>
        <w:tc>
          <w:tcPr>
            <w:tcW w:w="3388" w:type="dxa"/>
            <w:shd w:val="clear" w:color="auto" w:fill="auto"/>
            <w:noWrap/>
            <w:vAlign w:val="center"/>
          </w:tcPr>
          <w:p w14:paraId="5FBCD60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易栓症检测</w:t>
            </w:r>
          </w:p>
        </w:tc>
      </w:tr>
      <w:tr w14:paraId="7329CE8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8E60BB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349</w:t>
            </w:r>
          </w:p>
        </w:tc>
        <w:tc>
          <w:tcPr>
            <w:tcW w:w="4800" w:type="dxa"/>
            <w:shd w:val="clear" w:color="auto" w:fill="auto"/>
            <w:noWrap/>
            <w:vAlign w:val="center"/>
          </w:tcPr>
          <w:p w14:paraId="1F9139A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ZAP-70抗原检测</w:t>
            </w:r>
          </w:p>
        </w:tc>
        <w:tc>
          <w:tcPr>
            <w:tcW w:w="915" w:type="dxa"/>
            <w:shd w:val="clear" w:color="auto" w:fill="auto"/>
            <w:noWrap/>
            <w:vAlign w:val="center"/>
          </w:tcPr>
          <w:p w14:paraId="5051004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377</w:t>
            </w:r>
          </w:p>
        </w:tc>
        <w:tc>
          <w:tcPr>
            <w:tcW w:w="3388" w:type="dxa"/>
            <w:shd w:val="clear" w:color="auto" w:fill="auto"/>
            <w:noWrap/>
            <w:vAlign w:val="center"/>
          </w:tcPr>
          <w:p w14:paraId="38A023A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脑脊液寡克隆区带全套检测</w:t>
            </w:r>
          </w:p>
        </w:tc>
      </w:tr>
      <w:tr w14:paraId="71E809A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081DE21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350</w:t>
            </w:r>
          </w:p>
        </w:tc>
        <w:tc>
          <w:tcPr>
            <w:tcW w:w="4800" w:type="dxa"/>
            <w:shd w:val="clear" w:color="auto" w:fill="auto"/>
            <w:noWrap/>
            <w:vAlign w:val="center"/>
          </w:tcPr>
          <w:p w14:paraId="56D1B408">
            <w:pPr>
              <w:widowControl/>
              <w:jc w:val="center"/>
              <w:textAlignment w:val="center"/>
              <w:rPr>
                <w:rFonts w:hint="eastAsia" w:ascii="宋体" w:hAnsi="宋体" w:eastAsia="宋体" w:cs="宋体"/>
                <w:color w:val="auto"/>
                <w:kern w:val="0"/>
                <w:sz w:val="21"/>
                <w:szCs w:val="21"/>
                <w:highlight w:val="none"/>
                <w:lang w:eastAsia="zh-Hans" w:bidi="ar"/>
              </w:rPr>
            </w:pPr>
            <w:r>
              <w:rPr>
                <w:rFonts w:hint="eastAsia" w:ascii="宋体" w:hAnsi="宋体" w:eastAsia="宋体" w:cs="宋体"/>
                <w:color w:val="auto"/>
                <w:kern w:val="0"/>
                <w:sz w:val="21"/>
                <w:szCs w:val="21"/>
                <w:highlight w:val="none"/>
                <w:lang w:eastAsia="zh-Hans" w:bidi="ar"/>
              </w:rPr>
              <w:t>免疫固定电泳</w:t>
            </w:r>
          </w:p>
        </w:tc>
        <w:tc>
          <w:tcPr>
            <w:tcW w:w="915" w:type="dxa"/>
            <w:shd w:val="clear" w:color="auto" w:fill="auto"/>
            <w:noWrap/>
            <w:vAlign w:val="center"/>
          </w:tcPr>
          <w:p w14:paraId="1F2AC52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378</w:t>
            </w:r>
          </w:p>
        </w:tc>
        <w:tc>
          <w:tcPr>
            <w:tcW w:w="3388" w:type="dxa"/>
            <w:shd w:val="clear" w:color="auto" w:fill="auto"/>
            <w:noWrap/>
            <w:vAlign w:val="center"/>
          </w:tcPr>
          <w:p w14:paraId="0210F5F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寡克隆带（血清和脑脊液寡克隆电泳分析、IgG指数）</w:t>
            </w:r>
          </w:p>
        </w:tc>
      </w:tr>
      <w:tr w14:paraId="1B69920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9475FA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351</w:t>
            </w:r>
          </w:p>
        </w:tc>
        <w:tc>
          <w:tcPr>
            <w:tcW w:w="4800" w:type="dxa"/>
            <w:shd w:val="clear" w:color="auto" w:fill="auto"/>
            <w:noWrap/>
            <w:vAlign w:val="center"/>
          </w:tcPr>
          <w:p w14:paraId="520CCC4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T淋巴细胞亚群测定 （CD3、CD4、CD8）</w:t>
            </w:r>
          </w:p>
        </w:tc>
        <w:tc>
          <w:tcPr>
            <w:tcW w:w="915" w:type="dxa"/>
            <w:shd w:val="clear" w:color="auto" w:fill="auto"/>
            <w:noWrap/>
            <w:vAlign w:val="center"/>
          </w:tcPr>
          <w:p w14:paraId="2545E73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379</w:t>
            </w:r>
          </w:p>
        </w:tc>
        <w:tc>
          <w:tcPr>
            <w:tcW w:w="3388" w:type="dxa"/>
            <w:shd w:val="clear" w:color="auto" w:fill="auto"/>
            <w:noWrap/>
            <w:vAlign w:val="center"/>
          </w:tcPr>
          <w:p w14:paraId="69E5F2A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串联质谱遗传代谢病筛查</w:t>
            </w:r>
          </w:p>
        </w:tc>
      </w:tr>
      <w:tr w14:paraId="47ACD9A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B84892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352</w:t>
            </w:r>
          </w:p>
        </w:tc>
        <w:tc>
          <w:tcPr>
            <w:tcW w:w="4800" w:type="dxa"/>
            <w:shd w:val="clear" w:color="auto" w:fill="auto"/>
            <w:noWrap/>
            <w:vAlign w:val="center"/>
          </w:tcPr>
          <w:p w14:paraId="2F73AFF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HOX11基因突变定性</w:t>
            </w:r>
          </w:p>
        </w:tc>
        <w:tc>
          <w:tcPr>
            <w:tcW w:w="915" w:type="dxa"/>
            <w:shd w:val="clear" w:color="auto" w:fill="auto"/>
            <w:noWrap/>
            <w:vAlign w:val="center"/>
          </w:tcPr>
          <w:p w14:paraId="2E202EC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380</w:t>
            </w:r>
          </w:p>
        </w:tc>
        <w:tc>
          <w:tcPr>
            <w:tcW w:w="3388" w:type="dxa"/>
            <w:shd w:val="clear" w:color="auto" w:fill="auto"/>
            <w:noWrap/>
            <w:vAlign w:val="center"/>
          </w:tcPr>
          <w:p w14:paraId="58E7966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ALDH2基因检测</w:t>
            </w:r>
          </w:p>
        </w:tc>
      </w:tr>
      <w:tr w14:paraId="2F3D364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3CBADC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353</w:t>
            </w:r>
          </w:p>
        </w:tc>
        <w:tc>
          <w:tcPr>
            <w:tcW w:w="4800" w:type="dxa"/>
            <w:shd w:val="clear" w:color="auto" w:fill="auto"/>
            <w:noWrap/>
            <w:vAlign w:val="center"/>
          </w:tcPr>
          <w:p w14:paraId="5B10DE5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ETV6/PDGFRB定性</w:t>
            </w:r>
          </w:p>
        </w:tc>
        <w:tc>
          <w:tcPr>
            <w:tcW w:w="915" w:type="dxa"/>
            <w:shd w:val="clear" w:color="auto" w:fill="auto"/>
            <w:noWrap/>
            <w:vAlign w:val="center"/>
          </w:tcPr>
          <w:p w14:paraId="00953CF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381</w:t>
            </w:r>
          </w:p>
        </w:tc>
        <w:tc>
          <w:tcPr>
            <w:tcW w:w="3388" w:type="dxa"/>
            <w:shd w:val="clear" w:color="auto" w:fill="auto"/>
            <w:noWrap/>
            <w:vAlign w:val="center"/>
          </w:tcPr>
          <w:p w14:paraId="566363E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脊髓性肌萎缩（SMA）基因检测</w:t>
            </w:r>
          </w:p>
        </w:tc>
      </w:tr>
      <w:tr w14:paraId="3FC0720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5A5A07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354</w:t>
            </w:r>
          </w:p>
        </w:tc>
        <w:tc>
          <w:tcPr>
            <w:tcW w:w="4800" w:type="dxa"/>
            <w:shd w:val="clear" w:color="auto" w:fill="auto"/>
            <w:noWrap/>
            <w:vAlign w:val="center"/>
          </w:tcPr>
          <w:p w14:paraId="638CF26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MYD88基因突变检测</w:t>
            </w:r>
          </w:p>
        </w:tc>
        <w:tc>
          <w:tcPr>
            <w:tcW w:w="915" w:type="dxa"/>
            <w:shd w:val="clear" w:color="auto" w:fill="auto"/>
            <w:noWrap/>
            <w:vAlign w:val="center"/>
          </w:tcPr>
          <w:p w14:paraId="54C67C9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382</w:t>
            </w:r>
          </w:p>
        </w:tc>
        <w:tc>
          <w:tcPr>
            <w:tcW w:w="3388" w:type="dxa"/>
            <w:shd w:val="clear" w:color="auto" w:fill="auto"/>
            <w:noWrap/>
            <w:vAlign w:val="center"/>
          </w:tcPr>
          <w:p w14:paraId="7D7CCCE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假肥大型肌营养不良（DMD）基因检测</w:t>
            </w:r>
          </w:p>
        </w:tc>
      </w:tr>
      <w:tr w14:paraId="187F33B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92" w:type="dxa"/>
            <w:shd w:val="clear" w:color="auto" w:fill="auto"/>
            <w:noWrap w:val="0"/>
            <w:vAlign w:val="center"/>
          </w:tcPr>
          <w:p w14:paraId="1D22581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355</w:t>
            </w:r>
          </w:p>
        </w:tc>
        <w:tc>
          <w:tcPr>
            <w:tcW w:w="4800" w:type="dxa"/>
            <w:shd w:val="clear" w:color="auto" w:fill="auto"/>
            <w:noWrap/>
            <w:vAlign w:val="center"/>
          </w:tcPr>
          <w:p w14:paraId="544AE8C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溶贫筛查九项</w:t>
            </w:r>
          </w:p>
        </w:tc>
        <w:tc>
          <w:tcPr>
            <w:tcW w:w="915" w:type="dxa"/>
            <w:shd w:val="clear" w:color="auto" w:fill="auto"/>
            <w:noWrap/>
            <w:vAlign w:val="center"/>
          </w:tcPr>
          <w:p w14:paraId="029AB3C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383</w:t>
            </w:r>
          </w:p>
        </w:tc>
        <w:tc>
          <w:tcPr>
            <w:tcW w:w="3388" w:type="dxa"/>
            <w:shd w:val="clear" w:color="auto" w:fill="auto"/>
            <w:noWrap/>
            <w:vAlign w:val="center"/>
          </w:tcPr>
          <w:p w14:paraId="4678FB5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结直肠癌基因检测</w:t>
            </w:r>
          </w:p>
        </w:tc>
      </w:tr>
      <w:tr w14:paraId="2204A08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A753A1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356</w:t>
            </w:r>
          </w:p>
        </w:tc>
        <w:tc>
          <w:tcPr>
            <w:tcW w:w="4800" w:type="dxa"/>
            <w:shd w:val="clear" w:color="auto" w:fill="auto"/>
            <w:noWrap/>
            <w:vAlign w:val="center"/>
          </w:tcPr>
          <w:p w14:paraId="4453C04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异常免疫球蛋白血症综合诊断套餐（M蛋白等）</w:t>
            </w:r>
          </w:p>
        </w:tc>
        <w:tc>
          <w:tcPr>
            <w:tcW w:w="915" w:type="dxa"/>
            <w:shd w:val="clear" w:color="auto" w:fill="auto"/>
            <w:noWrap/>
            <w:vAlign w:val="center"/>
          </w:tcPr>
          <w:p w14:paraId="157E532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384</w:t>
            </w:r>
          </w:p>
        </w:tc>
        <w:tc>
          <w:tcPr>
            <w:tcW w:w="3388" w:type="dxa"/>
            <w:shd w:val="clear" w:color="auto" w:fill="auto"/>
            <w:noWrap/>
            <w:vAlign w:val="center"/>
          </w:tcPr>
          <w:p w14:paraId="686929A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家族性地中海热基因检测</w:t>
            </w:r>
          </w:p>
        </w:tc>
      </w:tr>
      <w:tr w14:paraId="55F21EA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1BE0890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357</w:t>
            </w:r>
          </w:p>
        </w:tc>
        <w:tc>
          <w:tcPr>
            <w:tcW w:w="4800" w:type="dxa"/>
            <w:shd w:val="clear" w:color="auto" w:fill="auto"/>
            <w:noWrap/>
            <w:vAlign w:val="center"/>
          </w:tcPr>
          <w:p w14:paraId="1A359A1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网织红细胞计数（Ret）</w:t>
            </w:r>
          </w:p>
        </w:tc>
        <w:tc>
          <w:tcPr>
            <w:tcW w:w="915" w:type="dxa"/>
            <w:shd w:val="clear" w:color="auto" w:fill="auto"/>
            <w:noWrap/>
            <w:vAlign w:val="center"/>
          </w:tcPr>
          <w:p w14:paraId="7DE2DE5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385</w:t>
            </w:r>
          </w:p>
        </w:tc>
        <w:tc>
          <w:tcPr>
            <w:tcW w:w="3388" w:type="dxa"/>
            <w:shd w:val="clear" w:color="auto" w:fill="auto"/>
            <w:noWrap/>
            <w:vAlign w:val="center"/>
          </w:tcPr>
          <w:p w14:paraId="168EBA1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Friedreich 共济失调（FRDA）基因动态突变检测</w:t>
            </w:r>
          </w:p>
        </w:tc>
      </w:tr>
      <w:tr w14:paraId="063BEE1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04A9D6B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358</w:t>
            </w:r>
          </w:p>
        </w:tc>
        <w:tc>
          <w:tcPr>
            <w:tcW w:w="4800" w:type="dxa"/>
            <w:shd w:val="clear" w:color="auto" w:fill="auto"/>
            <w:noWrap/>
            <w:vAlign w:val="center"/>
          </w:tcPr>
          <w:p w14:paraId="147606E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血清免疫固定电泳（IgE+IgD）</w:t>
            </w:r>
          </w:p>
        </w:tc>
        <w:tc>
          <w:tcPr>
            <w:tcW w:w="915" w:type="dxa"/>
            <w:shd w:val="clear" w:color="auto" w:fill="auto"/>
            <w:noWrap/>
            <w:vAlign w:val="center"/>
          </w:tcPr>
          <w:p w14:paraId="77711B8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386</w:t>
            </w:r>
          </w:p>
        </w:tc>
        <w:tc>
          <w:tcPr>
            <w:tcW w:w="3388" w:type="dxa"/>
            <w:shd w:val="clear" w:color="auto" w:fill="auto"/>
            <w:noWrap/>
            <w:vAlign w:val="center"/>
          </w:tcPr>
          <w:p w14:paraId="0B203DD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亨廷顿病（HD）基因动态突变检测</w:t>
            </w:r>
          </w:p>
        </w:tc>
      </w:tr>
      <w:tr w14:paraId="20B063A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11527AF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359</w:t>
            </w:r>
          </w:p>
        </w:tc>
        <w:tc>
          <w:tcPr>
            <w:tcW w:w="4800" w:type="dxa"/>
            <w:shd w:val="clear" w:color="auto" w:fill="auto"/>
            <w:noWrap/>
            <w:vAlign w:val="center"/>
          </w:tcPr>
          <w:p w14:paraId="10872A9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外周血染色体核型分析（400带）</w:t>
            </w:r>
          </w:p>
        </w:tc>
        <w:tc>
          <w:tcPr>
            <w:tcW w:w="915" w:type="dxa"/>
            <w:shd w:val="clear" w:color="auto" w:fill="auto"/>
            <w:noWrap/>
            <w:vAlign w:val="center"/>
          </w:tcPr>
          <w:p w14:paraId="625C12A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387</w:t>
            </w:r>
          </w:p>
        </w:tc>
        <w:tc>
          <w:tcPr>
            <w:tcW w:w="3388" w:type="dxa"/>
            <w:shd w:val="clear" w:color="auto" w:fill="auto"/>
            <w:noWrap/>
            <w:vAlign w:val="center"/>
          </w:tcPr>
          <w:p w14:paraId="421E77A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脊髓小脑共济失调（SCA）基因动态突变检测</w:t>
            </w:r>
          </w:p>
        </w:tc>
      </w:tr>
      <w:tr w14:paraId="56F128E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1A32C06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360</w:t>
            </w:r>
          </w:p>
        </w:tc>
        <w:tc>
          <w:tcPr>
            <w:tcW w:w="4800" w:type="dxa"/>
            <w:shd w:val="clear" w:color="auto" w:fill="auto"/>
            <w:noWrap/>
            <w:vAlign w:val="center"/>
          </w:tcPr>
          <w:p w14:paraId="5AED14A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尿本周蛋白电泳</w:t>
            </w:r>
          </w:p>
        </w:tc>
        <w:tc>
          <w:tcPr>
            <w:tcW w:w="915" w:type="dxa"/>
            <w:shd w:val="clear" w:color="auto" w:fill="auto"/>
            <w:noWrap/>
            <w:vAlign w:val="center"/>
          </w:tcPr>
          <w:p w14:paraId="664E30D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388</w:t>
            </w:r>
          </w:p>
        </w:tc>
        <w:tc>
          <w:tcPr>
            <w:tcW w:w="3388" w:type="dxa"/>
            <w:shd w:val="clear" w:color="auto" w:fill="auto"/>
            <w:noWrap/>
            <w:vAlign w:val="center"/>
          </w:tcPr>
          <w:p w14:paraId="725C649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肯尼迪病（KD）基因动态突变检测</w:t>
            </w:r>
          </w:p>
        </w:tc>
      </w:tr>
      <w:tr w14:paraId="4ECEDEA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1FF2886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361</w:t>
            </w:r>
          </w:p>
        </w:tc>
        <w:tc>
          <w:tcPr>
            <w:tcW w:w="4800" w:type="dxa"/>
            <w:shd w:val="clear" w:color="auto" w:fill="auto"/>
            <w:noWrap/>
            <w:vAlign w:val="center"/>
          </w:tcPr>
          <w:p w14:paraId="1C7A6C7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关爱健康A1：肿瘤套餐</w:t>
            </w:r>
          </w:p>
        </w:tc>
        <w:tc>
          <w:tcPr>
            <w:tcW w:w="915" w:type="dxa"/>
            <w:shd w:val="clear" w:color="auto" w:fill="auto"/>
            <w:noWrap/>
            <w:vAlign w:val="center"/>
          </w:tcPr>
          <w:p w14:paraId="4B3237A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389</w:t>
            </w:r>
          </w:p>
        </w:tc>
        <w:tc>
          <w:tcPr>
            <w:tcW w:w="3388" w:type="dxa"/>
            <w:shd w:val="clear" w:color="auto" w:fill="auto"/>
            <w:noWrap/>
            <w:vAlign w:val="center"/>
          </w:tcPr>
          <w:p w14:paraId="5CB401F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强直性肌营养不良（DM）基因动态突变检测</w:t>
            </w:r>
          </w:p>
        </w:tc>
      </w:tr>
      <w:tr w14:paraId="037F8EF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EC1ABD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362</w:t>
            </w:r>
          </w:p>
        </w:tc>
        <w:tc>
          <w:tcPr>
            <w:tcW w:w="4800" w:type="dxa"/>
            <w:shd w:val="clear" w:color="auto" w:fill="auto"/>
            <w:noWrap/>
            <w:vAlign w:val="center"/>
          </w:tcPr>
          <w:p w14:paraId="21B932A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关爱健康A2：心脑血管疾病套餐</w:t>
            </w:r>
          </w:p>
        </w:tc>
        <w:tc>
          <w:tcPr>
            <w:tcW w:w="915" w:type="dxa"/>
            <w:shd w:val="clear" w:color="auto" w:fill="auto"/>
            <w:noWrap/>
            <w:vAlign w:val="center"/>
          </w:tcPr>
          <w:p w14:paraId="328E55F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390</w:t>
            </w:r>
          </w:p>
        </w:tc>
        <w:tc>
          <w:tcPr>
            <w:tcW w:w="3388" w:type="dxa"/>
            <w:shd w:val="clear" w:color="auto" w:fill="auto"/>
            <w:noWrap/>
            <w:vAlign w:val="center"/>
          </w:tcPr>
          <w:p w14:paraId="35EC320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副肿瘤14项抗体检测/套餐Hu</w:t>
            </w:r>
          </w:p>
        </w:tc>
      </w:tr>
      <w:tr w14:paraId="791D0F4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9022D1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363</w:t>
            </w:r>
          </w:p>
        </w:tc>
        <w:tc>
          <w:tcPr>
            <w:tcW w:w="4800" w:type="dxa"/>
            <w:shd w:val="clear" w:color="auto" w:fill="auto"/>
            <w:noWrap/>
            <w:vAlign w:val="center"/>
          </w:tcPr>
          <w:p w14:paraId="3FE3646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关爱健康A3：女性肿瘤套餐</w:t>
            </w:r>
          </w:p>
        </w:tc>
        <w:tc>
          <w:tcPr>
            <w:tcW w:w="915" w:type="dxa"/>
            <w:shd w:val="clear" w:color="auto" w:fill="auto"/>
            <w:noWrap/>
            <w:vAlign w:val="center"/>
          </w:tcPr>
          <w:p w14:paraId="7DDCF69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391</w:t>
            </w:r>
          </w:p>
        </w:tc>
        <w:tc>
          <w:tcPr>
            <w:tcW w:w="3388" w:type="dxa"/>
            <w:shd w:val="clear" w:color="auto" w:fill="auto"/>
            <w:noWrap/>
            <w:vAlign w:val="center"/>
          </w:tcPr>
          <w:p w14:paraId="0722F86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细胞色素P450酶系统相关的基因</w:t>
            </w:r>
          </w:p>
        </w:tc>
      </w:tr>
      <w:tr w14:paraId="25E03CD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1AACFB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364</w:t>
            </w:r>
          </w:p>
        </w:tc>
        <w:tc>
          <w:tcPr>
            <w:tcW w:w="4800" w:type="dxa"/>
            <w:shd w:val="clear" w:color="auto" w:fill="auto"/>
            <w:noWrap/>
            <w:vAlign w:val="center"/>
          </w:tcPr>
          <w:p w14:paraId="139E891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套餐1：肿瘤男性套餐</w:t>
            </w:r>
          </w:p>
        </w:tc>
        <w:tc>
          <w:tcPr>
            <w:tcW w:w="915" w:type="dxa"/>
            <w:shd w:val="clear" w:color="auto" w:fill="auto"/>
            <w:noWrap/>
            <w:vAlign w:val="center"/>
          </w:tcPr>
          <w:p w14:paraId="38C4DDF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392</w:t>
            </w:r>
          </w:p>
        </w:tc>
        <w:tc>
          <w:tcPr>
            <w:tcW w:w="3388" w:type="dxa"/>
            <w:shd w:val="clear" w:color="auto" w:fill="auto"/>
            <w:noWrap/>
            <w:vAlign w:val="center"/>
          </w:tcPr>
          <w:p w14:paraId="3B67390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MELAS综合征基因检测项目</w:t>
            </w:r>
          </w:p>
        </w:tc>
      </w:tr>
      <w:tr w14:paraId="22C8070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499FAB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365</w:t>
            </w:r>
          </w:p>
        </w:tc>
        <w:tc>
          <w:tcPr>
            <w:tcW w:w="4800" w:type="dxa"/>
            <w:shd w:val="clear" w:color="auto" w:fill="auto"/>
            <w:noWrap/>
            <w:vAlign w:val="center"/>
          </w:tcPr>
          <w:p w14:paraId="0865D41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套餐1：肿瘤女性套餐</w:t>
            </w:r>
          </w:p>
        </w:tc>
        <w:tc>
          <w:tcPr>
            <w:tcW w:w="915" w:type="dxa"/>
            <w:shd w:val="clear" w:color="auto" w:fill="auto"/>
            <w:noWrap/>
            <w:vAlign w:val="center"/>
          </w:tcPr>
          <w:p w14:paraId="29082C2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393</w:t>
            </w:r>
          </w:p>
        </w:tc>
        <w:tc>
          <w:tcPr>
            <w:tcW w:w="3388" w:type="dxa"/>
            <w:shd w:val="clear" w:color="auto" w:fill="auto"/>
            <w:noWrap/>
            <w:vAlign w:val="center"/>
          </w:tcPr>
          <w:p w14:paraId="7E6F4BC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遗传病基因Panel检测项目</w:t>
            </w:r>
          </w:p>
        </w:tc>
      </w:tr>
      <w:tr w14:paraId="6AD5EE2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35F945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366</w:t>
            </w:r>
          </w:p>
        </w:tc>
        <w:tc>
          <w:tcPr>
            <w:tcW w:w="4800" w:type="dxa"/>
            <w:shd w:val="clear" w:color="auto" w:fill="auto"/>
            <w:noWrap/>
            <w:vAlign w:val="center"/>
          </w:tcPr>
          <w:p w14:paraId="1801065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套餐2：肿瘤全面套餐</w:t>
            </w:r>
          </w:p>
        </w:tc>
        <w:tc>
          <w:tcPr>
            <w:tcW w:w="915" w:type="dxa"/>
            <w:shd w:val="clear" w:color="auto" w:fill="auto"/>
            <w:noWrap/>
            <w:vAlign w:val="center"/>
          </w:tcPr>
          <w:p w14:paraId="5C15E7A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394</w:t>
            </w:r>
          </w:p>
        </w:tc>
        <w:tc>
          <w:tcPr>
            <w:tcW w:w="3388" w:type="dxa"/>
            <w:shd w:val="clear" w:color="auto" w:fill="auto"/>
            <w:noWrap/>
            <w:vAlign w:val="center"/>
          </w:tcPr>
          <w:p w14:paraId="3CB35B8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抗磷脂酶A2受体抗体（PLA2R））</w:t>
            </w:r>
          </w:p>
        </w:tc>
      </w:tr>
      <w:tr w14:paraId="0771189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BA5D91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367</w:t>
            </w:r>
          </w:p>
        </w:tc>
        <w:tc>
          <w:tcPr>
            <w:tcW w:w="4800" w:type="dxa"/>
            <w:shd w:val="clear" w:color="auto" w:fill="auto"/>
            <w:noWrap/>
            <w:vAlign w:val="center"/>
          </w:tcPr>
          <w:p w14:paraId="6EC83B1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套餐3：心脑血管及用药指导套餐</w:t>
            </w:r>
          </w:p>
        </w:tc>
        <w:tc>
          <w:tcPr>
            <w:tcW w:w="915" w:type="dxa"/>
            <w:shd w:val="clear" w:color="auto" w:fill="auto"/>
            <w:noWrap/>
            <w:vAlign w:val="center"/>
          </w:tcPr>
          <w:p w14:paraId="5165508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395</w:t>
            </w:r>
          </w:p>
        </w:tc>
        <w:tc>
          <w:tcPr>
            <w:tcW w:w="3388" w:type="dxa"/>
            <w:shd w:val="clear" w:color="auto" w:fill="auto"/>
            <w:noWrap/>
            <w:vAlign w:val="center"/>
          </w:tcPr>
          <w:p w14:paraId="6F964C0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CYP19A1基因测序</w:t>
            </w:r>
          </w:p>
        </w:tc>
      </w:tr>
      <w:tr w14:paraId="317FC8B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8AB81A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368</w:t>
            </w:r>
          </w:p>
        </w:tc>
        <w:tc>
          <w:tcPr>
            <w:tcW w:w="4800" w:type="dxa"/>
            <w:shd w:val="clear" w:color="auto" w:fill="auto"/>
            <w:noWrap/>
            <w:vAlign w:val="center"/>
          </w:tcPr>
          <w:p w14:paraId="4223AE5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套餐4：代谢营养套餐</w:t>
            </w:r>
          </w:p>
        </w:tc>
        <w:tc>
          <w:tcPr>
            <w:tcW w:w="915" w:type="dxa"/>
            <w:shd w:val="clear" w:color="auto" w:fill="auto"/>
            <w:noWrap/>
            <w:vAlign w:val="center"/>
          </w:tcPr>
          <w:p w14:paraId="222AC9C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396</w:t>
            </w:r>
          </w:p>
        </w:tc>
        <w:tc>
          <w:tcPr>
            <w:tcW w:w="3388" w:type="dxa"/>
            <w:shd w:val="clear" w:color="auto" w:fill="auto"/>
            <w:noWrap/>
            <w:vAlign w:val="center"/>
          </w:tcPr>
          <w:p w14:paraId="12A4CA5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SRY基因检测</w:t>
            </w:r>
          </w:p>
        </w:tc>
      </w:tr>
      <w:tr w14:paraId="1EBFBA6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099B675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369</w:t>
            </w:r>
          </w:p>
        </w:tc>
        <w:tc>
          <w:tcPr>
            <w:tcW w:w="4800" w:type="dxa"/>
            <w:shd w:val="clear" w:color="auto" w:fill="auto"/>
            <w:noWrap/>
            <w:vAlign w:val="center"/>
          </w:tcPr>
          <w:p w14:paraId="6644F87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套餐5：养生密码套餐</w:t>
            </w:r>
          </w:p>
        </w:tc>
        <w:tc>
          <w:tcPr>
            <w:tcW w:w="915" w:type="dxa"/>
            <w:shd w:val="clear" w:color="auto" w:fill="auto"/>
            <w:noWrap/>
            <w:vAlign w:val="center"/>
          </w:tcPr>
          <w:p w14:paraId="6D72866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397</w:t>
            </w:r>
          </w:p>
        </w:tc>
        <w:tc>
          <w:tcPr>
            <w:tcW w:w="3388" w:type="dxa"/>
            <w:shd w:val="clear" w:color="auto" w:fill="auto"/>
            <w:noWrap/>
            <w:vAlign w:val="center"/>
          </w:tcPr>
          <w:p w14:paraId="066352A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Prader Willi 综合征及天使综合征基因</w:t>
            </w:r>
          </w:p>
        </w:tc>
      </w:tr>
      <w:tr w14:paraId="29E55E2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1CCAE6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370</w:t>
            </w:r>
          </w:p>
        </w:tc>
        <w:tc>
          <w:tcPr>
            <w:tcW w:w="4800" w:type="dxa"/>
            <w:shd w:val="clear" w:color="auto" w:fill="auto"/>
            <w:noWrap/>
            <w:vAlign w:val="center"/>
          </w:tcPr>
          <w:p w14:paraId="516CB92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套餐6：精神消化套餐</w:t>
            </w:r>
          </w:p>
        </w:tc>
        <w:tc>
          <w:tcPr>
            <w:tcW w:w="915" w:type="dxa"/>
            <w:shd w:val="clear" w:color="auto" w:fill="auto"/>
            <w:noWrap/>
            <w:vAlign w:val="center"/>
          </w:tcPr>
          <w:p w14:paraId="603642F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398</w:t>
            </w:r>
          </w:p>
        </w:tc>
        <w:tc>
          <w:tcPr>
            <w:tcW w:w="3388" w:type="dxa"/>
            <w:shd w:val="clear" w:color="auto" w:fill="auto"/>
            <w:noWrap/>
            <w:vAlign w:val="center"/>
          </w:tcPr>
          <w:p w14:paraId="6737754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软骨不全基因测序</w:t>
            </w:r>
          </w:p>
        </w:tc>
      </w:tr>
      <w:tr w14:paraId="652F511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D4A52D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371</w:t>
            </w:r>
          </w:p>
        </w:tc>
        <w:tc>
          <w:tcPr>
            <w:tcW w:w="4800" w:type="dxa"/>
            <w:shd w:val="clear" w:color="auto" w:fill="auto"/>
            <w:noWrap/>
            <w:vAlign w:val="center"/>
          </w:tcPr>
          <w:p w14:paraId="4367A00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新经典升级套餐</w:t>
            </w:r>
          </w:p>
        </w:tc>
        <w:tc>
          <w:tcPr>
            <w:tcW w:w="915" w:type="dxa"/>
            <w:shd w:val="clear" w:color="auto" w:fill="auto"/>
            <w:noWrap/>
            <w:vAlign w:val="center"/>
          </w:tcPr>
          <w:p w14:paraId="32F5C4D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399</w:t>
            </w:r>
          </w:p>
        </w:tc>
        <w:tc>
          <w:tcPr>
            <w:tcW w:w="3388" w:type="dxa"/>
            <w:shd w:val="clear" w:color="auto" w:fill="auto"/>
            <w:noWrap/>
            <w:vAlign w:val="center"/>
          </w:tcPr>
          <w:p w14:paraId="48CB908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先天性肾上腺皮质增生症基因包</w:t>
            </w:r>
          </w:p>
        </w:tc>
      </w:tr>
      <w:tr w14:paraId="0BDCC17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ADEF3A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372</w:t>
            </w:r>
          </w:p>
        </w:tc>
        <w:tc>
          <w:tcPr>
            <w:tcW w:w="4800" w:type="dxa"/>
            <w:shd w:val="clear" w:color="auto" w:fill="auto"/>
            <w:noWrap/>
            <w:vAlign w:val="center"/>
          </w:tcPr>
          <w:p w14:paraId="4F38A66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高端尊享套餐</w:t>
            </w:r>
          </w:p>
        </w:tc>
        <w:tc>
          <w:tcPr>
            <w:tcW w:w="915" w:type="dxa"/>
            <w:shd w:val="clear" w:color="auto" w:fill="auto"/>
            <w:noWrap/>
            <w:vAlign w:val="center"/>
          </w:tcPr>
          <w:p w14:paraId="503B430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400</w:t>
            </w:r>
          </w:p>
        </w:tc>
        <w:tc>
          <w:tcPr>
            <w:tcW w:w="3388" w:type="dxa"/>
            <w:shd w:val="clear" w:color="auto" w:fill="auto"/>
            <w:noWrap/>
            <w:vAlign w:val="center"/>
          </w:tcPr>
          <w:p w14:paraId="0663E86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肝豆状核变性基因测序（ATP7B、ATP7A）</w:t>
            </w:r>
          </w:p>
        </w:tc>
      </w:tr>
      <w:tr w14:paraId="0C125B2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2FA992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373</w:t>
            </w:r>
          </w:p>
        </w:tc>
        <w:tc>
          <w:tcPr>
            <w:tcW w:w="4800" w:type="dxa"/>
            <w:shd w:val="clear" w:color="auto" w:fill="auto"/>
            <w:noWrap/>
            <w:vAlign w:val="center"/>
          </w:tcPr>
          <w:p w14:paraId="06DEBD2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全基因检测</w:t>
            </w:r>
          </w:p>
        </w:tc>
        <w:tc>
          <w:tcPr>
            <w:tcW w:w="915" w:type="dxa"/>
            <w:shd w:val="clear" w:color="auto" w:fill="auto"/>
            <w:noWrap/>
            <w:vAlign w:val="center"/>
          </w:tcPr>
          <w:p w14:paraId="0A7BA05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401</w:t>
            </w:r>
          </w:p>
        </w:tc>
        <w:tc>
          <w:tcPr>
            <w:tcW w:w="3388" w:type="dxa"/>
            <w:shd w:val="clear" w:color="auto" w:fill="auto"/>
            <w:noWrap/>
            <w:vAlign w:val="center"/>
          </w:tcPr>
          <w:p w14:paraId="5FCE8A6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雄激素不敏感综合征AR基因测序</w:t>
            </w:r>
          </w:p>
        </w:tc>
      </w:tr>
      <w:tr w14:paraId="6EE1FEB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07C465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374</w:t>
            </w:r>
          </w:p>
        </w:tc>
        <w:tc>
          <w:tcPr>
            <w:tcW w:w="4800" w:type="dxa"/>
            <w:shd w:val="clear" w:color="auto" w:fill="auto"/>
            <w:noWrap/>
            <w:vAlign w:val="center"/>
          </w:tcPr>
          <w:p w14:paraId="21C0F1A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儿童安全用药</w:t>
            </w:r>
          </w:p>
        </w:tc>
        <w:tc>
          <w:tcPr>
            <w:tcW w:w="915" w:type="dxa"/>
            <w:shd w:val="clear" w:color="auto" w:fill="auto"/>
            <w:noWrap/>
            <w:vAlign w:val="center"/>
          </w:tcPr>
          <w:p w14:paraId="2F0048F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402</w:t>
            </w:r>
          </w:p>
        </w:tc>
        <w:tc>
          <w:tcPr>
            <w:tcW w:w="3388" w:type="dxa"/>
            <w:shd w:val="clear" w:color="auto" w:fill="auto"/>
            <w:noWrap/>
            <w:vAlign w:val="center"/>
          </w:tcPr>
          <w:p w14:paraId="513F6D8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全外显子家系检测</w:t>
            </w:r>
          </w:p>
        </w:tc>
      </w:tr>
      <w:tr w14:paraId="473F3D0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0FFDDB4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403</w:t>
            </w:r>
          </w:p>
        </w:tc>
        <w:tc>
          <w:tcPr>
            <w:tcW w:w="4800" w:type="dxa"/>
            <w:shd w:val="clear" w:color="auto" w:fill="auto"/>
            <w:noWrap/>
            <w:vAlign w:val="center"/>
          </w:tcPr>
          <w:p w14:paraId="735FF1A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性发育异常相关基因检测</w:t>
            </w:r>
          </w:p>
        </w:tc>
        <w:tc>
          <w:tcPr>
            <w:tcW w:w="915" w:type="dxa"/>
            <w:shd w:val="clear" w:color="auto" w:fill="auto"/>
            <w:noWrap/>
            <w:vAlign w:val="center"/>
          </w:tcPr>
          <w:p w14:paraId="453FF76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426</w:t>
            </w:r>
          </w:p>
        </w:tc>
        <w:tc>
          <w:tcPr>
            <w:tcW w:w="3388" w:type="dxa"/>
            <w:shd w:val="clear" w:color="auto" w:fill="auto"/>
            <w:noWrap/>
            <w:vAlign w:val="center"/>
          </w:tcPr>
          <w:p w14:paraId="618FD9A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亨廷顿舞蹈症HTT基因片段分析</w:t>
            </w:r>
          </w:p>
        </w:tc>
      </w:tr>
      <w:tr w14:paraId="16AA267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0CA747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404</w:t>
            </w:r>
          </w:p>
        </w:tc>
        <w:tc>
          <w:tcPr>
            <w:tcW w:w="4800" w:type="dxa"/>
            <w:shd w:val="clear" w:color="auto" w:fill="auto"/>
            <w:noWrap/>
            <w:vAlign w:val="center"/>
          </w:tcPr>
          <w:p w14:paraId="79045BA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癫痫相关基因检测</w:t>
            </w:r>
          </w:p>
        </w:tc>
        <w:tc>
          <w:tcPr>
            <w:tcW w:w="915" w:type="dxa"/>
            <w:shd w:val="clear" w:color="auto" w:fill="auto"/>
            <w:noWrap/>
            <w:vAlign w:val="center"/>
          </w:tcPr>
          <w:p w14:paraId="2EA1BC7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427</w:t>
            </w:r>
          </w:p>
        </w:tc>
        <w:tc>
          <w:tcPr>
            <w:tcW w:w="3388" w:type="dxa"/>
            <w:shd w:val="clear" w:color="auto" w:fill="auto"/>
            <w:noWrap/>
            <w:vAlign w:val="center"/>
          </w:tcPr>
          <w:p w14:paraId="6B0FE9D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奥卡西平血药浓度（奥卡西平及10-羟基卡马西平）</w:t>
            </w:r>
          </w:p>
        </w:tc>
      </w:tr>
      <w:tr w14:paraId="49B1321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A1E861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405</w:t>
            </w:r>
          </w:p>
        </w:tc>
        <w:tc>
          <w:tcPr>
            <w:tcW w:w="4800" w:type="dxa"/>
            <w:shd w:val="clear" w:color="auto" w:fill="auto"/>
            <w:noWrap/>
            <w:vAlign w:val="center"/>
          </w:tcPr>
          <w:p w14:paraId="51E8D40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矮小相关基因检测</w:t>
            </w:r>
          </w:p>
        </w:tc>
        <w:tc>
          <w:tcPr>
            <w:tcW w:w="915" w:type="dxa"/>
            <w:shd w:val="clear" w:color="auto" w:fill="auto"/>
            <w:noWrap/>
            <w:vAlign w:val="center"/>
          </w:tcPr>
          <w:p w14:paraId="5945E44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428</w:t>
            </w:r>
          </w:p>
        </w:tc>
        <w:tc>
          <w:tcPr>
            <w:tcW w:w="3388" w:type="dxa"/>
            <w:shd w:val="clear" w:color="auto" w:fill="auto"/>
            <w:noWrap/>
            <w:vAlign w:val="center"/>
          </w:tcPr>
          <w:p w14:paraId="365C90D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外周血CD34细胞数量检测（CD34+细胞计数）</w:t>
            </w:r>
          </w:p>
        </w:tc>
      </w:tr>
      <w:tr w14:paraId="7F7FE6D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14AEF55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406</w:t>
            </w:r>
          </w:p>
        </w:tc>
        <w:tc>
          <w:tcPr>
            <w:tcW w:w="4800" w:type="dxa"/>
            <w:shd w:val="clear" w:color="auto" w:fill="auto"/>
            <w:noWrap/>
            <w:vAlign w:val="center"/>
          </w:tcPr>
          <w:p w14:paraId="4F5B5B0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全基因组家系检测</w:t>
            </w:r>
          </w:p>
        </w:tc>
        <w:tc>
          <w:tcPr>
            <w:tcW w:w="915" w:type="dxa"/>
            <w:shd w:val="clear" w:color="auto" w:fill="auto"/>
            <w:noWrap/>
            <w:vAlign w:val="center"/>
          </w:tcPr>
          <w:p w14:paraId="48EF146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429</w:t>
            </w:r>
          </w:p>
        </w:tc>
        <w:tc>
          <w:tcPr>
            <w:tcW w:w="3388" w:type="dxa"/>
            <w:shd w:val="clear" w:color="auto" w:fill="auto"/>
            <w:noWrap/>
            <w:vAlign w:val="center"/>
          </w:tcPr>
          <w:p w14:paraId="50C819F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Ph-like-ALL检测套餐</w:t>
            </w:r>
          </w:p>
        </w:tc>
      </w:tr>
      <w:tr w14:paraId="41D6B53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9C84E2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407</w:t>
            </w:r>
          </w:p>
        </w:tc>
        <w:tc>
          <w:tcPr>
            <w:tcW w:w="4800" w:type="dxa"/>
            <w:shd w:val="clear" w:color="auto" w:fill="auto"/>
            <w:noWrap/>
            <w:vAlign w:val="center"/>
          </w:tcPr>
          <w:p w14:paraId="03651A3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PLT相关抗体检测</w:t>
            </w:r>
          </w:p>
        </w:tc>
        <w:tc>
          <w:tcPr>
            <w:tcW w:w="915" w:type="dxa"/>
            <w:shd w:val="clear" w:color="auto" w:fill="auto"/>
            <w:noWrap/>
            <w:vAlign w:val="center"/>
          </w:tcPr>
          <w:p w14:paraId="10A11F7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430</w:t>
            </w:r>
          </w:p>
        </w:tc>
        <w:tc>
          <w:tcPr>
            <w:tcW w:w="3388" w:type="dxa"/>
            <w:shd w:val="clear" w:color="auto" w:fill="auto"/>
            <w:noWrap/>
            <w:vAlign w:val="center"/>
          </w:tcPr>
          <w:p w14:paraId="3C304DC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13基因（肠癌CtDNA）</w:t>
            </w:r>
          </w:p>
        </w:tc>
      </w:tr>
      <w:tr w14:paraId="21914FE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54F9E9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408</w:t>
            </w:r>
          </w:p>
        </w:tc>
        <w:tc>
          <w:tcPr>
            <w:tcW w:w="4800" w:type="dxa"/>
            <w:shd w:val="clear" w:color="auto" w:fill="auto"/>
            <w:noWrap/>
            <w:vAlign w:val="center"/>
          </w:tcPr>
          <w:p w14:paraId="16FD90B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sCD25</w:t>
            </w:r>
          </w:p>
        </w:tc>
        <w:tc>
          <w:tcPr>
            <w:tcW w:w="915" w:type="dxa"/>
            <w:shd w:val="clear" w:color="auto" w:fill="auto"/>
            <w:noWrap/>
            <w:vAlign w:val="center"/>
          </w:tcPr>
          <w:p w14:paraId="37A66D9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431</w:t>
            </w:r>
          </w:p>
        </w:tc>
        <w:tc>
          <w:tcPr>
            <w:tcW w:w="3388" w:type="dxa"/>
            <w:shd w:val="clear" w:color="auto" w:fill="auto"/>
            <w:noWrap/>
            <w:vAlign w:val="center"/>
          </w:tcPr>
          <w:p w14:paraId="2AFAE28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21基因（肺癌CtDNA）</w:t>
            </w:r>
          </w:p>
        </w:tc>
      </w:tr>
      <w:tr w14:paraId="5F55455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2B2E06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409</w:t>
            </w:r>
          </w:p>
        </w:tc>
        <w:tc>
          <w:tcPr>
            <w:tcW w:w="4800" w:type="dxa"/>
            <w:shd w:val="clear" w:color="auto" w:fill="auto"/>
            <w:noWrap/>
            <w:vAlign w:val="center"/>
          </w:tcPr>
          <w:p w14:paraId="50BC807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Adamts13活性检测</w:t>
            </w:r>
          </w:p>
        </w:tc>
        <w:tc>
          <w:tcPr>
            <w:tcW w:w="915" w:type="dxa"/>
            <w:shd w:val="clear" w:color="auto" w:fill="auto"/>
            <w:noWrap/>
            <w:vAlign w:val="center"/>
          </w:tcPr>
          <w:p w14:paraId="6C33C6D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432</w:t>
            </w:r>
          </w:p>
        </w:tc>
        <w:tc>
          <w:tcPr>
            <w:tcW w:w="3388" w:type="dxa"/>
            <w:shd w:val="clear" w:color="auto" w:fill="auto"/>
            <w:noWrap/>
            <w:vAlign w:val="center"/>
          </w:tcPr>
          <w:p w14:paraId="10CE634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28基因（乳腺癌CtDNAYO）</w:t>
            </w:r>
          </w:p>
        </w:tc>
      </w:tr>
      <w:tr w14:paraId="156BAE2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D3FA89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410</w:t>
            </w:r>
          </w:p>
        </w:tc>
        <w:tc>
          <w:tcPr>
            <w:tcW w:w="4800" w:type="dxa"/>
            <w:shd w:val="clear" w:color="auto" w:fill="auto"/>
            <w:noWrap/>
            <w:vAlign w:val="center"/>
          </w:tcPr>
          <w:p w14:paraId="04300A0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脑脊液寡克隆区带分析（多发性硬化等脱髓鞘疾病）——寡克隆区带(OCB)5项</w:t>
            </w:r>
          </w:p>
        </w:tc>
        <w:tc>
          <w:tcPr>
            <w:tcW w:w="915" w:type="dxa"/>
            <w:shd w:val="clear" w:color="auto" w:fill="auto"/>
            <w:noWrap/>
            <w:vAlign w:val="center"/>
          </w:tcPr>
          <w:p w14:paraId="75B53E7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433</w:t>
            </w:r>
          </w:p>
        </w:tc>
        <w:tc>
          <w:tcPr>
            <w:tcW w:w="3388" w:type="dxa"/>
            <w:shd w:val="clear" w:color="auto" w:fill="auto"/>
            <w:noWrap/>
            <w:vAlign w:val="center"/>
          </w:tcPr>
          <w:p w14:paraId="6008AE2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GSTP1（铂类）</w:t>
            </w:r>
          </w:p>
        </w:tc>
      </w:tr>
      <w:tr w14:paraId="414E11D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693EFD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411</w:t>
            </w:r>
          </w:p>
        </w:tc>
        <w:tc>
          <w:tcPr>
            <w:tcW w:w="4800" w:type="dxa"/>
            <w:shd w:val="clear" w:color="auto" w:fill="auto"/>
            <w:noWrap/>
            <w:vAlign w:val="center"/>
          </w:tcPr>
          <w:p w14:paraId="7B063998">
            <w:pPr>
              <w:widowControl/>
              <w:jc w:val="center"/>
              <w:textAlignment w:val="center"/>
              <w:rPr>
                <w:rFonts w:hint="eastAsia" w:ascii="宋体" w:hAnsi="宋体" w:eastAsia="宋体" w:cs="宋体"/>
                <w:color w:val="auto"/>
                <w:kern w:val="0"/>
                <w:sz w:val="21"/>
                <w:szCs w:val="21"/>
                <w:highlight w:val="none"/>
                <w:lang w:eastAsia="zh-Hans" w:bidi="ar"/>
              </w:rPr>
            </w:pPr>
            <w:r>
              <w:rPr>
                <w:rFonts w:hint="eastAsia" w:ascii="宋体" w:hAnsi="宋体" w:eastAsia="宋体" w:cs="宋体"/>
                <w:color w:val="auto"/>
                <w:kern w:val="0"/>
                <w:sz w:val="21"/>
                <w:szCs w:val="21"/>
                <w:highlight w:val="none"/>
                <w:lang w:bidi="ar"/>
              </w:rPr>
              <w:t>自身免疫性脑炎12</w:t>
            </w:r>
            <w:r>
              <w:rPr>
                <w:rFonts w:hint="eastAsia" w:ascii="宋体" w:hAnsi="宋体" w:eastAsia="宋体" w:cs="宋体"/>
                <w:color w:val="auto"/>
                <w:kern w:val="0"/>
                <w:sz w:val="21"/>
                <w:szCs w:val="21"/>
                <w:highlight w:val="none"/>
                <w:lang w:eastAsia="zh-Hans" w:bidi="ar"/>
              </w:rPr>
              <w:t>项</w:t>
            </w:r>
          </w:p>
        </w:tc>
        <w:tc>
          <w:tcPr>
            <w:tcW w:w="915" w:type="dxa"/>
            <w:shd w:val="clear" w:color="auto" w:fill="auto"/>
            <w:noWrap/>
            <w:vAlign w:val="center"/>
          </w:tcPr>
          <w:p w14:paraId="6E14184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434</w:t>
            </w:r>
          </w:p>
        </w:tc>
        <w:tc>
          <w:tcPr>
            <w:tcW w:w="3388" w:type="dxa"/>
            <w:shd w:val="clear" w:color="auto" w:fill="auto"/>
            <w:noWrap/>
            <w:vAlign w:val="center"/>
          </w:tcPr>
          <w:p w14:paraId="0E17217A">
            <w:pPr>
              <w:widowControl/>
              <w:jc w:val="center"/>
              <w:textAlignment w:val="center"/>
              <w:rPr>
                <w:rFonts w:hint="eastAsia" w:ascii="宋体" w:hAnsi="宋体" w:eastAsia="宋体" w:cs="宋体"/>
                <w:color w:val="auto"/>
                <w:kern w:val="0"/>
                <w:sz w:val="21"/>
                <w:szCs w:val="21"/>
                <w:highlight w:val="none"/>
                <w:lang w:eastAsia="zh-Hans" w:bidi="ar"/>
              </w:rPr>
            </w:pPr>
            <w:r>
              <w:rPr>
                <w:rFonts w:hint="eastAsia" w:ascii="宋体" w:hAnsi="宋体" w:eastAsia="宋体" w:cs="宋体"/>
                <w:color w:val="auto"/>
                <w:kern w:val="0"/>
                <w:sz w:val="21"/>
                <w:szCs w:val="21"/>
                <w:highlight w:val="none"/>
                <w:lang w:bidi="ar"/>
              </w:rPr>
              <w:t>自身免疫性脑炎13</w:t>
            </w:r>
            <w:r>
              <w:rPr>
                <w:rFonts w:hint="eastAsia" w:ascii="宋体" w:hAnsi="宋体" w:eastAsia="宋体" w:cs="宋体"/>
                <w:color w:val="auto"/>
                <w:kern w:val="0"/>
                <w:sz w:val="21"/>
                <w:szCs w:val="21"/>
                <w:highlight w:val="none"/>
                <w:lang w:eastAsia="zh-Hans" w:bidi="ar"/>
              </w:rPr>
              <w:t>项</w:t>
            </w:r>
          </w:p>
        </w:tc>
      </w:tr>
      <w:tr w14:paraId="3AFF63F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5AE6CD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412</w:t>
            </w:r>
          </w:p>
        </w:tc>
        <w:tc>
          <w:tcPr>
            <w:tcW w:w="4800" w:type="dxa"/>
            <w:shd w:val="clear" w:color="auto" w:fill="auto"/>
            <w:noWrap/>
            <w:vAlign w:val="center"/>
          </w:tcPr>
          <w:p w14:paraId="6484EFF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副瘤综合征/脑炎/小脑变性14项（Hu、Yo、Ri、CV2(CRMP5)、Ma1、Ma2、 Amphiphysin、SOX1、Tr(DNER)、Zic4、 GAD65、PKCγ、Recoverin、Titin 抗体 ）</w:t>
            </w:r>
          </w:p>
        </w:tc>
        <w:tc>
          <w:tcPr>
            <w:tcW w:w="915" w:type="dxa"/>
            <w:shd w:val="clear" w:color="auto" w:fill="auto"/>
            <w:noWrap/>
            <w:vAlign w:val="center"/>
          </w:tcPr>
          <w:p w14:paraId="2F07D9C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435</w:t>
            </w:r>
          </w:p>
        </w:tc>
        <w:tc>
          <w:tcPr>
            <w:tcW w:w="3388" w:type="dxa"/>
            <w:shd w:val="clear" w:color="auto" w:fill="auto"/>
            <w:noWrap/>
            <w:vAlign w:val="center"/>
          </w:tcPr>
          <w:p w14:paraId="4F67FA6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自身免疫性脑炎14</w:t>
            </w:r>
            <w:r>
              <w:rPr>
                <w:rFonts w:hint="eastAsia" w:ascii="宋体" w:hAnsi="宋体" w:eastAsia="宋体" w:cs="宋体"/>
                <w:color w:val="auto"/>
                <w:kern w:val="0"/>
                <w:sz w:val="21"/>
                <w:szCs w:val="21"/>
                <w:highlight w:val="none"/>
                <w:lang w:eastAsia="zh-Hans" w:bidi="ar"/>
              </w:rPr>
              <w:t>项</w:t>
            </w:r>
          </w:p>
        </w:tc>
      </w:tr>
      <w:tr w14:paraId="68409F7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12CE07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413</w:t>
            </w:r>
          </w:p>
        </w:tc>
        <w:tc>
          <w:tcPr>
            <w:tcW w:w="4800" w:type="dxa"/>
            <w:shd w:val="clear" w:color="auto" w:fill="auto"/>
            <w:noWrap/>
            <w:vAlign w:val="center"/>
          </w:tcPr>
          <w:p w14:paraId="432E865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中枢神经系统脱髓鞘病含视神经脊髓炎谱系疾病（AQP4抗体、MOG、MBP等）</w:t>
            </w:r>
          </w:p>
        </w:tc>
        <w:tc>
          <w:tcPr>
            <w:tcW w:w="915" w:type="dxa"/>
            <w:shd w:val="clear" w:color="auto" w:fill="auto"/>
            <w:noWrap/>
            <w:vAlign w:val="center"/>
          </w:tcPr>
          <w:p w14:paraId="43CC2CB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436</w:t>
            </w:r>
          </w:p>
        </w:tc>
        <w:tc>
          <w:tcPr>
            <w:tcW w:w="3388" w:type="dxa"/>
            <w:shd w:val="clear" w:color="auto" w:fill="auto"/>
            <w:noWrap/>
            <w:vAlign w:val="center"/>
          </w:tcPr>
          <w:p w14:paraId="655C676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BRCA1（铂类）</w:t>
            </w:r>
          </w:p>
        </w:tc>
      </w:tr>
      <w:tr w14:paraId="692F6B9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115DFA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414</w:t>
            </w:r>
          </w:p>
        </w:tc>
        <w:tc>
          <w:tcPr>
            <w:tcW w:w="4800" w:type="dxa"/>
            <w:shd w:val="clear" w:color="auto" w:fill="auto"/>
            <w:noWrap/>
            <w:vAlign w:val="center"/>
          </w:tcPr>
          <w:p w14:paraId="53AEA60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自身免疫性周围神经病（24项）</w:t>
            </w:r>
          </w:p>
        </w:tc>
        <w:tc>
          <w:tcPr>
            <w:tcW w:w="915" w:type="dxa"/>
            <w:shd w:val="clear" w:color="auto" w:fill="auto"/>
            <w:noWrap/>
            <w:vAlign w:val="center"/>
          </w:tcPr>
          <w:p w14:paraId="778E97A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437</w:t>
            </w:r>
          </w:p>
        </w:tc>
        <w:tc>
          <w:tcPr>
            <w:tcW w:w="3388" w:type="dxa"/>
            <w:shd w:val="clear" w:color="auto" w:fill="auto"/>
            <w:noWrap/>
            <w:vAlign w:val="center"/>
          </w:tcPr>
          <w:p w14:paraId="4B3E067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TPMT（顺铂）</w:t>
            </w:r>
          </w:p>
        </w:tc>
      </w:tr>
      <w:tr w14:paraId="78D4DFC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2BFCF4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415</w:t>
            </w:r>
          </w:p>
        </w:tc>
        <w:tc>
          <w:tcPr>
            <w:tcW w:w="4800" w:type="dxa"/>
            <w:shd w:val="clear" w:color="auto" w:fill="auto"/>
            <w:noWrap/>
            <w:vAlign w:val="center"/>
          </w:tcPr>
          <w:p w14:paraId="75E78B0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自身免疫性自主神经病4项</w:t>
            </w:r>
          </w:p>
        </w:tc>
        <w:tc>
          <w:tcPr>
            <w:tcW w:w="915" w:type="dxa"/>
            <w:shd w:val="clear" w:color="auto" w:fill="auto"/>
            <w:noWrap/>
            <w:vAlign w:val="center"/>
          </w:tcPr>
          <w:p w14:paraId="0C0B69D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438</w:t>
            </w:r>
          </w:p>
        </w:tc>
        <w:tc>
          <w:tcPr>
            <w:tcW w:w="3388" w:type="dxa"/>
            <w:shd w:val="clear" w:color="auto" w:fill="auto"/>
            <w:noWrap/>
            <w:vAlign w:val="center"/>
          </w:tcPr>
          <w:p w14:paraId="01BCF31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CYP1B1（多西他赛，紫杉醇）</w:t>
            </w:r>
          </w:p>
        </w:tc>
      </w:tr>
      <w:tr w14:paraId="07F06D6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4C8650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416</w:t>
            </w:r>
          </w:p>
        </w:tc>
        <w:tc>
          <w:tcPr>
            <w:tcW w:w="4800" w:type="dxa"/>
            <w:shd w:val="clear" w:color="auto" w:fill="auto"/>
            <w:noWrap/>
            <w:vAlign w:val="center"/>
          </w:tcPr>
          <w:p w14:paraId="6F55C34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阿尔茨海默病蛋白五项（Aβ1-42、Aβ42/40比值，t-Tau，p-Tau、神经丝轻链蛋白NFL）</w:t>
            </w:r>
          </w:p>
        </w:tc>
        <w:tc>
          <w:tcPr>
            <w:tcW w:w="915" w:type="dxa"/>
            <w:shd w:val="clear" w:color="auto" w:fill="auto"/>
            <w:noWrap/>
            <w:vAlign w:val="center"/>
          </w:tcPr>
          <w:p w14:paraId="5AC7ECB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439</w:t>
            </w:r>
          </w:p>
        </w:tc>
        <w:tc>
          <w:tcPr>
            <w:tcW w:w="3388" w:type="dxa"/>
            <w:shd w:val="clear" w:color="auto" w:fill="auto"/>
            <w:noWrap/>
            <w:vAlign w:val="center"/>
          </w:tcPr>
          <w:p w14:paraId="56DBD95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GSTP1（蒽环类或紫杉类）</w:t>
            </w:r>
          </w:p>
        </w:tc>
      </w:tr>
      <w:tr w14:paraId="1751976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7E2EC1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417</w:t>
            </w:r>
          </w:p>
        </w:tc>
        <w:tc>
          <w:tcPr>
            <w:tcW w:w="4800" w:type="dxa"/>
            <w:shd w:val="clear" w:color="auto" w:fill="auto"/>
            <w:noWrap/>
            <w:vAlign w:val="center"/>
          </w:tcPr>
          <w:p w14:paraId="79150A4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神经肌肉疾病谱含重症肌无力（9项：AChR、MuSK、LRP4、RyR、Titin、横纹肌（骨骼肌、心肌）、SOX-1、VGCC）</w:t>
            </w:r>
          </w:p>
        </w:tc>
        <w:tc>
          <w:tcPr>
            <w:tcW w:w="915" w:type="dxa"/>
            <w:shd w:val="clear" w:color="auto" w:fill="auto"/>
            <w:noWrap/>
            <w:vAlign w:val="center"/>
          </w:tcPr>
          <w:p w14:paraId="2915364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440</w:t>
            </w:r>
          </w:p>
        </w:tc>
        <w:tc>
          <w:tcPr>
            <w:tcW w:w="3388" w:type="dxa"/>
            <w:shd w:val="clear" w:color="auto" w:fill="auto"/>
            <w:noWrap/>
            <w:vAlign w:val="center"/>
          </w:tcPr>
          <w:p w14:paraId="69DEC7E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GSTM1（蒽环类或紫杉类）</w:t>
            </w:r>
          </w:p>
        </w:tc>
      </w:tr>
      <w:tr w14:paraId="4270A1F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35370F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418</w:t>
            </w:r>
          </w:p>
        </w:tc>
        <w:tc>
          <w:tcPr>
            <w:tcW w:w="4800" w:type="dxa"/>
            <w:shd w:val="clear" w:color="auto" w:fill="auto"/>
            <w:noWrap/>
            <w:vAlign w:val="center"/>
          </w:tcPr>
          <w:p w14:paraId="751F104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帕金森病相关基因及易感性基因（SNCA、PRKN、PARK2等20+3项）</w:t>
            </w:r>
          </w:p>
          <w:p w14:paraId="5681909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41基因</w:t>
            </w:r>
          </w:p>
        </w:tc>
        <w:tc>
          <w:tcPr>
            <w:tcW w:w="915" w:type="dxa"/>
            <w:shd w:val="clear" w:color="auto" w:fill="auto"/>
            <w:noWrap/>
            <w:vAlign w:val="center"/>
          </w:tcPr>
          <w:p w14:paraId="4CBECC8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441</w:t>
            </w:r>
          </w:p>
        </w:tc>
        <w:tc>
          <w:tcPr>
            <w:tcW w:w="3388" w:type="dxa"/>
            <w:shd w:val="clear" w:color="auto" w:fill="auto"/>
            <w:noWrap/>
            <w:vAlign w:val="center"/>
          </w:tcPr>
          <w:p w14:paraId="4A91A7E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CDA（吉西他滨）</w:t>
            </w:r>
          </w:p>
        </w:tc>
      </w:tr>
      <w:tr w14:paraId="0966DE0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982905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419</w:t>
            </w:r>
          </w:p>
        </w:tc>
        <w:tc>
          <w:tcPr>
            <w:tcW w:w="4800" w:type="dxa"/>
            <w:shd w:val="clear" w:color="auto" w:fill="auto"/>
            <w:noWrap/>
            <w:vAlign w:val="center"/>
          </w:tcPr>
          <w:p w14:paraId="631C90B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阿尔茨海默病基因（PSEN1、PSEN2、APP)、风险基因（APOE分型）</w:t>
            </w:r>
          </w:p>
        </w:tc>
        <w:tc>
          <w:tcPr>
            <w:tcW w:w="915" w:type="dxa"/>
            <w:shd w:val="clear" w:color="auto" w:fill="auto"/>
            <w:noWrap/>
            <w:vAlign w:val="center"/>
          </w:tcPr>
          <w:p w14:paraId="6428E26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442</w:t>
            </w:r>
          </w:p>
        </w:tc>
        <w:tc>
          <w:tcPr>
            <w:tcW w:w="3388" w:type="dxa"/>
            <w:shd w:val="clear" w:color="auto" w:fill="auto"/>
            <w:noWrap/>
            <w:vAlign w:val="center"/>
          </w:tcPr>
          <w:p w14:paraId="3DB38AC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人类EGFR基因突变检测</w:t>
            </w:r>
          </w:p>
        </w:tc>
      </w:tr>
      <w:tr w14:paraId="4210F65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1466D8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420</w:t>
            </w:r>
          </w:p>
        </w:tc>
        <w:tc>
          <w:tcPr>
            <w:tcW w:w="4800" w:type="dxa"/>
            <w:shd w:val="clear" w:color="auto" w:fill="auto"/>
            <w:noWrap/>
            <w:vAlign w:val="center"/>
          </w:tcPr>
          <w:p w14:paraId="02B10C4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遗传性脑血管病相关基因（NOTCH3等27个）</w:t>
            </w:r>
          </w:p>
        </w:tc>
        <w:tc>
          <w:tcPr>
            <w:tcW w:w="915" w:type="dxa"/>
            <w:shd w:val="clear" w:color="auto" w:fill="auto"/>
            <w:noWrap/>
            <w:vAlign w:val="center"/>
          </w:tcPr>
          <w:p w14:paraId="0F13244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443</w:t>
            </w:r>
          </w:p>
        </w:tc>
        <w:tc>
          <w:tcPr>
            <w:tcW w:w="3388" w:type="dxa"/>
            <w:shd w:val="clear" w:color="auto" w:fill="auto"/>
            <w:noWrap/>
            <w:vAlign w:val="center"/>
          </w:tcPr>
          <w:p w14:paraId="0C1134B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人类KRAS基因突变检测</w:t>
            </w:r>
          </w:p>
        </w:tc>
      </w:tr>
      <w:tr w14:paraId="3D47FA3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17BD482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421</w:t>
            </w:r>
          </w:p>
        </w:tc>
        <w:tc>
          <w:tcPr>
            <w:tcW w:w="4800" w:type="dxa"/>
            <w:shd w:val="clear" w:color="auto" w:fill="auto"/>
            <w:noWrap/>
            <w:vAlign w:val="center"/>
          </w:tcPr>
          <w:p w14:paraId="2E45173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脊髓小脑性共济失调基因检测</w:t>
            </w:r>
          </w:p>
        </w:tc>
        <w:tc>
          <w:tcPr>
            <w:tcW w:w="915" w:type="dxa"/>
            <w:shd w:val="clear" w:color="auto" w:fill="auto"/>
            <w:noWrap/>
            <w:vAlign w:val="center"/>
          </w:tcPr>
          <w:p w14:paraId="6D2A106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444</w:t>
            </w:r>
          </w:p>
        </w:tc>
        <w:tc>
          <w:tcPr>
            <w:tcW w:w="3388" w:type="dxa"/>
            <w:shd w:val="clear" w:color="auto" w:fill="auto"/>
            <w:noWrap/>
            <w:vAlign w:val="center"/>
          </w:tcPr>
          <w:p w14:paraId="618BD7E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人类NRAS基因突变检测</w:t>
            </w:r>
          </w:p>
        </w:tc>
      </w:tr>
      <w:tr w14:paraId="2C7CFAA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BB3D63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422</w:t>
            </w:r>
          </w:p>
        </w:tc>
        <w:tc>
          <w:tcPr>
            <w:tcW w:w="4800" w:type="dxa"/>
            <w:shd w:val="clear" w:color="auto" w:fill="auto"/>
            <w:noWrap/>
            <w:vAlign w:val="center"/>
          </w:tcPr>
          <w:p w14:paraId="737A462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肝豆状核变性（Wilson症）ATP7B基因测序</w:t>
            </w:r>
          </w:p>
        </w:tc>
        <w:tc>
          <w:tcPr>
            <w:tcW w:w="915" w:type="dxa"/>
            <w:shd w:val="clear" w:color="auto" w:fill="auto"/>
            <w:noWrap/>
            <w:vAlign w:val="center"/>
          </w:tcPr>
          <w:p w14:paraId="4960B2C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445</w:t>
            </w:r>
          </w:p>
        </w:tc>
        <w:tc>
          <w:tcPr>
            <w:tcW w:w="3388" w:type="dxa"/>
            <w:shd w:val="clear" w:color="auto" w:fill="auto"/>
            <w:noWrap/>
            <w:vAlign w:val="center"/>
          </w:tcPr>
          <w:p w14:paraId="06409CA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ERCC1（铂类）</w:t>
            </w:r>
          </w:p>
        </w:tc>
      </w:tr>
      <w:tr w14:paraId="101D2DD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ECC992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423</w:t>
            </w:r>
          </w:p>
        </w:tc>
        <w:tc>
          <w:tcPr>
            <w:tcW w:w="4800" w:type="dxa"/>
            <w:shd w:val="clear" w:color="auto" w:fill="auto"/>
            <w:noWrap/>
            <w:vAlign w:val="center"/>
          </w:tcPr>
          <w:p w14:paraId="493E5AB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癫痫相关基因测序（142个）</w:t>
            </w:r>
          </w:p>
        </w:tc>
        <w:tc>
          <w:tcPr>
            <w:tcW w:w="915" w:type="dxa"/>
            <w:shd w:val="clear" w:color="auto" w:fill="auto"/>
            <w:noWrap/>
            <w:vAlign w:val="center"/>
          </w:tcPr>
          <w:p w14:paraId="6EE39DE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446</w:t>
            </w:r>
          </w:p>
        </w:tc>
        <w:tc>
          <w:tcPr>
            <w:tcW w:w="3388" w:type="dxa"/>
            <w:shd w:val="clear" w:color="auto" w:fill="auto"/>
            <w:noWrap/>
            <w:vAlign w:val="center"/>
          </w:tcPr>
          <w:p w14:paraId="68F2534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XRCC1（铂类）</w:t>
            </w:r>
          </w:p>
        </w:tc>
      </w:tr>
      <w:tr w14:paraId="4388DA6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1FC72D5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424</w:t>
            </w:r>
          </w:p>
        </w:tc>
        <w:tc>
          <w:tcPr>
            <w:tcW w:w="4800" w:type="dxa"/>
            <w:shd w:val="clear" w:color="auto" w:fill="auto"/>
            <w:noWrap/>
            <w:vAlign w:val="center"/>
          </w:tcPr>
          <w:p w14:paraId="6A8E71E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人粪便SDC2甲基化检测</w:t>
            </w:r>
          </w:p>
        </w:tc>
        <w:tc>
          <w:tcPr>
            <w:tcW w:w="915" w:type="dxa"/>
            <w:shd w:val="clear" w:color="auto" w:fill="auto"/>
            <w:noWrap/>
            <w:vAlign w:val="center"/>
          </w:tcPr>
          <w:p w14:paraId="3FB53DE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447</w:t>
            </w:r>
          </w:p>
        </w:tc>
        <w:tc>
          <w:tcPr>
            <w:tcW w:w="3388" w:type="dxa"/>
            <w:shd w:val="clear" w:color="auto" w:fill="auto"/>
            <w:noWrap/>
            <w:vAlign w:val="center"/>
          </w:tcPr>
          <w:p w14:paraId="39E3234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聚利巴韦林,博赛泼维,特拉匹韦乙二醇干扰素α(IL28B-1HCV型)</w:t>
            </w:r>
          </w:p>
        </w:tc>
      </w:tr>
      <w:tr w14:paraId="0D7C518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8DDD06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425</w:t>
            </w:r>
          </w:p>
        </w:tc>
        <w:tc>
          <w:tcPr>
            <w:tcW w:w="4800" w:type="dxa"/>
            <w:shd w:val="clear" w:color="auto" w:fill="auto"/>
            <w:noWrap/>
            <w:vAlign w:val="center"/>
          </w:tcPr>
          <w:p w14:paraId="05CD4F6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肿瘤相关物质</w:t>
            </w:r>
          </w:p>
        </w:tc>
        <w:tc>
          <w:tcPr>
            <w:tcW w:w="915" w:type="dxa"/>
            <w:shd w:val="clear" w:color="auto" w:fill="auto"/>
            <w:noWrap/>
            <w:vAlign w:val="center"/>
          </w:tcPr>
          <w:p w14:paraId="095F7F4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448</w:t>
            </w:r>
          </w:p>
        </w:tc>
        <w:tc>
          <w:tcPr>
            <w:tcW w:w="3388" w:type="dxa"/>
            <w:shd w:val="clear" w:color="auto" w:fill="auto"/>
            <w:noWrap/>
            <w:vAlign w:val="center"/>
          </w:tcPr>
          <w:p w14:paraId="41B8C53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CYP2D6多态性（氟哌啶醇、阿立哌唑、利培酮、奋乃静、硫利达嗪、托莫西汀）</w:t>
            </w:r>
          </w:p>
        </w:tc>
      </w:tr>
      <w:tr w14:paraId="39E9556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47F619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449</w:t>
            </w:r>
          </w:p>
        </w:tc>
        <w:tc>
          <w:tcPr>
            <w:tcW w:w="4800" w:type="dxa"/>
            <w:shd w:val="clear" w:color="auto" w:fill="auto"/>
            <w:noWrap/>
            <w:vAlign w:val="center"/>
          </w:tcPr>
          <w:p w14:paraId="165ADDF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缬沙坦、厄贝沙坦、氯沙坦(CYP2C9多态性)</w:t>
            </w:r>
          </w:p>
        </w:tc>
        <w:tc>
          <w:tcPr>
            <w:tcW w:w="915" w:type="dxa"/>
            <w:shd w:val="clear" w:color="auto" w:fill="auto"/>
            <w:noWrap/>
            <w:vAlign w:val="center"/>
          </w:tcPr>
          <w:p w14:paraId="4326F30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478</w:t>
            </w:r>
          </w:p>
        </w:tc>
        <w:tc>
          <w:tcPr>
            <w:tcW w:w="3388" w:type="dxa"/>
            <w:shd w:val="clear" w:color="auto" w:fill="auto"/>
            <w:noWrap/>
            <w:vAlign w:val="center"/>
          </w:tcPr>
          <w:p w14:paraId="512EAE2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吗啡（UGT2B7）</w:t>
            </w:r>
          </w:p>
        </w:tc>
      </w:tr>
      <w:tr w14:paraId="74F8346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5E4874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450</w:t>
            </w:r>
          </w:p>
        </w:tc>
        <w:tc>
          <w:tcPr>
            <w:tcW w:w="4800" w:type="dxa"/>
            <w:shd w:val="clear" w:color="auto" w:fill="auto"/>
            <w:noWrap/>
            <w:vAlign w:val="center"/>
          </w:tcPr>
          <w:p w14:paraId="6EDEF8D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艾美拉唑、奥美拉唑、泮托拉唑、雷贝拉唑、伏立康唑（CYP2C19多态性）</w:t>
            </w:r>
          </w:p>
        </w:tc>
        <w:tc>
          <w:tcPr>
            <w:tcW w:w="915" w:type="dxa"/>
            <w:shd w:val="clear" w:color="auto" w:fill="auto"/>
            <w:noWrap/>
            <w:vAlign w:val="center"/>
          </w:tcPr>
          <w:p w14:paraId="00AD098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479</w:t>
            </w:r>
          </w:p>
        </w:tc>
        <w:tc>
          <w:tcPr>
            <w:tcW w:w="3388" w:type="dxa"/>
            <w:shd w:val="clear" w:color="auto" w:fill="auto"/>
            <w:noWrap/>
            <w:vAlign w:val="center"/>
          </w:tcPr>
          <w:p w14:paraId="26F632A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吗啡（OPRM1）</w:t>
            </w:r>
          </w:p>
        </w:tc>
      </w:tr>
      <w:tr w14:paraId="3F88083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844522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451</w:t>
            </w:r>
          </w:p>
        </w:tc>
        <w:tc>
          <w:tcPr>
            <w:tcW w:w="4800" w:type="dxa"/>
            <w:shd w:val="clear" w:color="auto" w:fill="auto"/>
            <w:noWrap/>
            <w:vAlign w:val="center"/>
          </w:tcPr>
          <w:p w14:paraId="29DE9E8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老年痴呆症风险预测(APOE)</w:t>
            </w:r>
          </w:p>
        </w:tc>
        <w:tc>
          <w:tcPr>
            <w:tcW w:w="915" w:type="dxa"/>
            <w:shd w:val="clear" w:color="auto" w:fill="auto"/>
            <w:noWrap/>
            <w:vAlign w:val="center"/>
          </w:tcPr>
          <w:p w14:paraId="39868AB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480</w:t>
            </w:r>
          </w:p>
        </w:tc>
        <w:tc>
          <w:tcPr>
            <w:tcW w:w="3388" w:type="dxa"/>
            <w:shd w:val="clear" w:color="auto" w:fill="auto"/>
            <w:noWrap/>
            <w:vAlign w:val="center"/>
          </w:tcPr>
          <w:p w14:paraId="003DC01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芬太尼、舒芬太尼、阿芬太尼(CYP3A4)</w:t>
            </w:r>
          </w:p>
        </w:tc>
      </w:tr>
      <w:tr w14:paraId="107917F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16F2847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452</w:t>
            </w:r>
          </w:p>
        </w:tc>
        <w:tc>
          <w:tcPr>
            <w:tcW w:w="4800" w:type="dxa"/>
            <w:shd w:val="clear" w:color="auto" w:fill="auto"/>
            <w:noWrap/>
            <w:vAlign w:val="center"/>
          </w:tcPr>
          <w:p w14:paraId="5BEDC7FA">
            <w:pPr>
              <w:widowControl/>
              <w:jc w:val="center"/>
              <w:textAlignment w:val="center"/>
              <w:rPr>
                <w:rFonts w:hint="eastAsia" w:ascii="宋体" w:hAnsi="宋体" w:eastAsia="宋体" w:cs="宋体"/>
                <w:color w:val="auto"/>
                <w:kern w:val="0"/>
                <w:sz w:val="21"/>
                <w:szCs w:val="21"/>
                <w:highlight w:val="none"/>
                <w:lang w:eastAsia="zh-Hans" w:bidi="ar"/>
              </w:rPr>
            </w:pPr>
            <w:r>
              <w:rPr>
                <w:rFonts w:hint="eastAsia" w:ascii="宋体" w:hAnsi="宋体" w:eastAsia="宋体" w:cs="宋体"/>
                <w:color w:val="auto"/>
                <w:kern w:val="0"/>
                <w:sz w:val="21"/>
                <w:szCs w:val="21"/>
                <w:highlight w:val="none"/>
                <w:lang w:bidi="ar"/>
              </w:rPr>
              <w:t>24</w:t>
            </w:r>
            <w:r>
              <w:rPr>
                <w:rFonts w:hint="eastAsia" w:ascii="宋体" w:hAnsi="宋体" w:eastAsia="宋体" w:cs="宋体"/>
                <w:color w:val="auto"/>
                <w:kern w:val="0"/>
                <w:sz w:val="21"/>
                <w:szCs w:val="21"/>
                <w:highlight w:val="none"/>
                <w:lang w:eastAsia="zh-Hans" w:bidi="ar"/>
              </w:rPr>
              <w:t>小时尿儿茶酚胺三项</w:t>
            </w:r>
          </w:p>
        </w:tc>
        <w:tc>
          <w:tcPr>
            <w:tcW w:w="915" w:type="dxa"/>
            <w:shd w:val="clear" w:color="auto" w:fill="auto"/>
            <w:noWrap/>
            <w:vAlign w:val="center"/>
          </w:tcPr>
          <w:p w14:paraId="70CD9C2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482</w:t>
            </w:r>
          </w:p>
        </w:tc>
        <w:tc>
          <w:tcPr>
            <w:tcW w:w="3388" w:type="dxa"/>
            <w:shd w:val="clear" w:color="auto" w:fill="auto"/>
            <w:noWrap/>
            <w:vAlign w:val="center"/>
          </w:tcPr>
          <w:p w14:paraId="061F88A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Hans" w:bidi="ar"/>
              </w:rPr>
              <w:t>血儿茶酚胺五项</w:t>
            </w:r>
          </w:p>
        </w:tc>
      </w:tr>
      <w:tr w14:paraId="050FD57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F73CC5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453</w:t>
            </w:r>
          </w:p>
        </w:tc>
        <w:tc>
          <w:tcPr>
            <w:tcW w:w="4800" w:type="dxa"/>
            <w:shd w:val="clear" w:color="auto" w:fill="auto"/>
            <w:noWrap/>
            <w:vAlign w:val="center"/>
          </w:tcPr>
          <w:p w14:paraId="733B50F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24</w:t>
            </w:r>
            <w:r>
              <w:rPr>
                <w:rFonts w:hint="eastAsia" w:ascii="宋体" w:hAnsi="宋体" w:eastAsia="宋体" w:cs="宋体"/>
                <w:color w:val="auto"/>
                <w:kern w:val="0"/>
                <w:sz w:val="21"/>
                <w:szCs w:val="21"/>
                <w:highlight w:val="none"/>
                <w:lang w:eastAsia="zh-Hans" w:bidi="ar"/>
              </w:rPr>
              <w:t>小时尿儿茶酚胺五项</w:t>
            </w:r>
          </w:p>
        </w:tc>
        <w:tc>
          <w:tcPr>
            <w:tcW w:w="915" w:type="dxa"/>
            <w:shd w:val="clear" w:color="auto" w:fill="auto"/>
            <w:noWrap/>
            <w:vAlign w:val="center"/>
          </w:tcPr>
          <w:p w14:paraId="57C0FA7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483</w:t>
            </w:r>
          </w:p>
        </w:tc>
        <w:tc>
          <w:tcPr>
            <w:tcW w:w="3388" w:type="dxa"/>
            <w:shd w:val="clear" w:color="auto" w:fill="auto"/>
            <w:noWrap/>
            <w:vAlign w:val="center"/>
          </w:tcPr>
          <w:p w14:paraId="3FA8396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儿茶酚胺谱7项（E、NE、DA、NMN、MN、HVA、VMA）</w:t>
            </w:r>
          </w:p>
        </w:tc>
      </w:tr>
      <w:tr w14:paraId="0972474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449198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454</w:t>
            </w:r>
          </w:p>
        </w:tc>
        <w:tc>
          <w:tcPr>
            <w:tcW w:w="4800" w:type="dxa"/>
            <w:shd w:val="clear" w:color="auto" w:fill="auto"/>
            <w:noWrap/>
            <w:vAlign w:val="center"/>
          </w:tcPr>
          <w:p w14:paraId="176900A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Hans" w:bidi="ar"/>
              </w:rPr>
              <w:t>随机尿儿茶酚胺三项</w:t>
            </w:r>
          </w:p>
        </w:tc>
        <w:tc>
          <w:tcPr>
            <w:tcW w:w="915" w:type="dxa"/>
            <w:shd w:val="clear" w:color="auto" w:fill="auto"/>
            <w:noWrap/>
            <w:vAlign w:val="center"/>
          </w:tcPr>
          <w:p w14:paraId="1B1F3F0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484</w:t>
            </w:r>
          </w:p>
        </w:tc>
        <w:tc>
          <w:tcPr>
            <w:tcW w:w="3388" w:type="dxa"/>
            <w:shd w:val="clear" w:color="auto" w:fill="auto"/>
            <w:noWrap/>
            <w:vAlign w:val="center"/>
          </w:tcPr>
          <w:p w14:paraId="5E543A9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丙氨酸</w:t>
            </w:r>
            <w:r>
              <w:rPr>
                <w:rFonts w:hint="eastAsia" w:ascii="宋体" w:hAnsi="宋体" w:eastAsia="宋体" w:cs="宋体"/>
                <w:color w:val="auto"/>
                <w:kern w:val="0"/>
                <w:sz w:val="21"/>
                <w:szCs w:val="21"/>
                <w:highlight w:val="none"/>
                <w:lang w:eastAsia="zh-Hans" w:bidi="ar"/>
              </w:rPr>
              <w:t>（质谱法）</w:t>
            </w:r>
          </w:p>
        </w:tc>
      </w:tr>
      <w:tr w14:paraId="1BF1C1F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5C4344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455</w:t>
            </w:r>
          </w:p>
        </w:tc>
        <w:tc>
          <w:tcPr>
            <w:tcW w:w="4800" w:type="dxa"/>
            <w:shd w:val="clear" w:color="auto" w:fill="auto"/>
            <w:noWrap/>
            <w:vAlign w:val="center"/>
          </w:tcPr>
          <w:p w14:paraId="789A0D81">
            <w:pPr>
              <w:widowControl/>
              <w:jc w:val="center"/>
              <w:textAlignment w:val="center"/>
              <w:rPr>
                <w:rFonts w:hint="eastAsia" w:ascii="宋体" w:hAnsi="宋体" w:eastAsia="宋体" w:cs="宋体"/>
                <w:color w:val="auto"/>
                <w:kern w:val="0"/>
                <w:sz w:val="21"/>
                <w:szCs w:val="21"/>
                <w:highlight w:val="none"/>
                <w:lang w:eastAsia="zh-Hans" w:bidi="ar"/>
              </w:rPr>
            </w:pPr>
            <w:r>
              <w:rPr>
                <w:rFonts w:hint="eastAsia" w:ascii="宋体" w:hAnsi="宋体" w:eastAsia="宋体" w:cs="宋体"/>
                <w:color w:val="auto"/>
                <w:kern w:val="0"/>
                <w:sz w:val="21"/>
                <w:szCs w:val="21"/>
                <w:highlight w:val="none"/>
                <w:lang w:eastAsia="zh-Hans" w:bidi="ar"/>
              </w:rPr>
              <w:t>随机尿儿茶酚胺五项</w:t>
            </w:r>
          </w:p>
        </w:tc>
        <w:tc>
          <w:tcPr>
            <w:tcW w:w="915" w:type="dxa"/>
            <w:shd w:val="clear" w:color="auto" w:fill="auto"/>
            <w:noWrap/>
            <w:vAlign w:val="center"/>
          </w:tcPr>
          <w:p w14:paraId="479B8E7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485</w:t>
            </w:r>
          </w:p>
        </w:tc>
        <w:tc>
          <w:tcPr>
            <w:tcW w:w="3388" w:type="dxa"/>
            <w:shd w:val="clear" w:color="auto" w:fill="auto"/>
            <w:noWrap/>
            <w:vAlign w:val="center"/>
          </w:tcPr>
          <w:p w14:paraId="672BAA6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赖氨酸</w:t>
            </w:r>
            <w:r>
              <w:rPr>
                <w:rFonts w:hint="eastAsia" w:ascii="宋体" w:hAnsi="宋体" w:eastAsia="宋体" w:cs="宋体"/>
                <w:color w:val="auto"/>
                <w:kern w:val="0"/>
                <w:sz w:val="21"/>
                <w:szCs w:val="21"/>
                <w:highlight w:val="none"/>
                <w:lang w:eastAsia="zh-Hans" w:bidi="ar"/>
              </w:rPr>
              <w:t>（质谱法）</w:t>
            </w:r>
          </w:p>
        </w:tc>
      </w:tr>
      <w:tr w14:paraId="37C342D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0F95D84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456</w:t>
            </w:r>
          </w:p>
        </w:tc>
        <w:tc>
          <w:tcPr>
            <w:tcW w:w="4800" w:type="dxa"/>
            <w:shd w:val="clear" w:color="auto" w:fill="auto"/>
            <w:noWrap/>
            <w:vAlign w:val="center"/>
          </w:tcPr>
          <w:p w14:paraId="4907314E">
            <w:pPr>
              <w:widowControl/>
              <w:jc w:val="center"/>
              <w:textAlignment w:val="center"/>
              <w:rPr>
                <w:rFonts w:hint="eastAsia" w:ascii="宋体" w:hAnsi="宋体" w:eastAsia="宋体" w:cs="宋体"/>
                <w:color w:val="auto"/>
                <w:kern w:val="0"/>
                <w:sz w:val="21"/>
                <w:szCs w:val="21"/>
                <w:highlight w:val="none"/>
                <w:lang w:eastAsia="zh-Hans" w:bidi="ar"/>
              </w:rPr>
            </w:pPr>
            <w:r>
              <w:rPr>
                <w:rFonts w:hint="eastAsia" w:ascii="宋体" w:hAnsi="宋体" w:eastAsia="宋体" w:cs="宋体"/>
                <w:color w:val="auto"/>
                <w:kern w:val="0"/>
                <w:sz w:val="21"/>
                <w:szCs w:val="21"/>
                <w:highlight w:val="none"/>
                <w:lang w:bidi="ar"/>
              </w:rPr>
              <w:t>犬尿氨酸</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ign w:val="center"/>
          </w:tcPr>
          <w:p w14:paraId="0BBF23D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486</w:t>
            </w:r>
          </w:p>
        </w:tc>
        <w:tc>
          <w:tcPr>
            <w:tcW w:w="3388" w:type="dxa"/>
            <w:shd w:val="clear" w:color="auto" w:fill="auto"/>
            <w:noWrap/>
            <w:vAlign w:val="center"/>
          </w:tcPr>
          <w:p w14:paraId="524072F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缬氨酸</w:t>
            </w:r>
            <w:r>
              <w:rPr>
                <w:rFonts w:hint="eastAsia" w:ascii="宋体" w:hAnsi="宋体" w:eastAsia="宋体" w:cs="宋体"/>
                <w:color w:val="auto"/>
                <w:kern w:val="0"/>
                <w:sz w:val="21"/>
                <w:szCs w:val="21"/>
                <w:highlight w:val="none"/>
                <w:lang w:eastAsia="zh-Hans" w:bidi="ar"/>
              </w:rPr>
              <w:t>（质谱法）</w:t>
            </w:r>
          </w:p>
        </w:tc>
      </w:tr>
      <w:tr w14:paraId="3B110E2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596EBC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457</w:t>
            </w:r>
          </w:p>
        </w:tc>
        <w:tc>
          <w:tcPr>
            <w:tcW w:w="4800" w:type="dxa"/>
            <w:shd w:val="clear" w:color="auto" w:fill="auto"/>
            <w:noWrap/>
            <w:vAlign w:val="center"/>
          </w:tcPr>
          <w:p w14:paraId="19BE544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精氨酸</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ign w:val="center"/>
          </w:tcPr>
          <w:p w14:paraId="0888F09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487</w:t>
            </w:r>
          </w:p>
        </w:tc>
        <w:tc>
          <w:tcPr>
            <w:tcW w:w="3388" w:type="dxa"/>
            <w:shd w:val="clear" w:color="auto" w:fill="auto"/>
            <w:noWrap/>
            <w:vAlign w:val="center"/>
          </w:tcPr>
          <w:p w14:paraId="430D64A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2-氨基丁酸</w:t>
            </w:r>
            <w:r>
              <w:rPr>
                <w:rFonts w:hint="eastAsia" w:ascii="宋体" w:hAnsi="宋体" w:eastAsia="宋体" w:cs="宋体"/>
                <w:color w:val="auto"/>
                <w:kern w:val="0"/>
                <w:sz w:val="21"/>
                <w:szCs w:val="21"/>
                <w:highlight w:val="none"/>
                <w:lang w:eastAsia="zh-Hans" w:bidi="ar"/>
              </w:rPr>
              <w:t>（质谱法）</w:t>
            </w:r>
          </w:p>
        </w:tc>
      </w:tr>
      <w:tr w14:paraId="7B7B82A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F9527D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458</w:t>
            </w:r>
          </w:p>
        </w:tc>
        <w:tc>
          <w:tcPr>
            <w:tcW w:w="4800" w:type="dxa"/>
            <w:shd w:val="clear" w:color="auto" w:fill="auto"/>
            <w:noWrap/>
            <w:vAlign w:val="center"/>
          </w:tcPr>
          <w:p w14:paraId="7BDBCBE2">
            <w:pPr>
              <w:widowControl/>
              <w:jc w:val="center"/>
              <w:textAlignment w:val="center"/>
              <w:rPr>
                <w:rFonts w:hint="eastAsia" w:ascii="宋体" w:hAnsi="宋体" w:eastAsia="宋体" w:cs="宋体"/>
                <w:color w:val="auto"/>
                <w:kern w:val="0"/>
                <w:sz w:val="21"/>
                <w:szCs w:val="21"/>
                <w:highlight w:val="none"/>
                <w:lang w:eastAsia="zh-Hans" w:bidi="ar"/>
              </w:rPr>
            </w:pPr>
            <w:r>
              <w:rPr>
                <w:rFonts w:hint="eastAsia" w:ascii="宋体" w:hAnsi="宋体" w:eastAsia="宋体" w:cs="宋体"/>
                <w:color w:val="auto"/>
                <w:kern w:val="0"/>
                <w:sz w:val="21"/>
                <w:szCs w:val="21"/>
                <w:highlight w:val="none"/>
                <w:lang w:bidi="ar"/>
              </w:rPr>
              <w:t>苯丙氨酸</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ign w:val="center"/>
          </w:tcPr>
          <w:p w14:paraId="7E2A5EA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488</w:t>
            </w:r>
          </w:p>
        </w:tc>
        <w:tc>
          <w:tcPr>
            <w:tcW w:w="3388" w:type="dxa"/>
            <w:shd w:val="clear" w:color="auto" w:fill="auto"/>
            <w:noWrap/>
            <w:vAlign w:val="center"/>
          </w:tcPr>
          <w:p w14:paraId="4781B62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3-氨基异丁酸</w:t>
            </w:r>
            <w:r>
              <w:rPr>
                <w:rFonts w:hint="eastAsia" w:ascii="宋体" w:hAnsi="宋体" w:eastAsia="宋体" w:cs="宋体"/>
                <w:color w:val="auto"/>
                <w:kern w:val="0"/>
                <w:sz w:val="21"/>
                <w:szCs w:val="21"/>
                <w:highlight w:val="none"/>
                <w:lang w:eastAsia="zh-Hans" w:bidi="ar"/>
              </w:rPr>
              <w:t>（质谱法）</w:t>
            </w:r>
          </w:p>
        </w:tc>
      </w:tr>
      <w:tr w14:paraId="2183AC6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9581BB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459</w:t>
            </w:r>
          </w:p>
        </w:tc>
        <w:tc>
          <w:tcPr>
            <w:tcW w:w="4800" w:type="dxa"/>
            <w:shd w:val="clear" w:color="auto" w:fill="auto"/>
            <w:noWrap/>
            <w:vAlign w:val="center"/>
          </w:tcPr>
          <w:p w14:paraId="272C530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酪氨酸</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ign w:val="center"/>
          </w:tcPr>
          <w:p w14:paraId="6CAFC49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489</w:t>
            </w:r>
          </w:p>
        </w:tc>
        <w:tc>
          <w:tcPr>
            <w:tcW w:w="3388" w:type="dxa"/>
            <w:shd w:val="clear" w:color="auto" w:fill="auto"/>
            <w:noWrap/>
            <w:vAlign w:val="center"/>
          </w:tcPr>
          <w:p w14:paraId="6EE67A6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β-丙氨酸</w:t>
            </w:r>
            <w:r>
              <w:rPr>
                <w:rFonts w:hint="eastAsia" w:ascii="宋体" w:hAnsi="宋体" w:eastAsia="宋体" w:cs="宋体"/>
                <w:color w:val="auto"/>
                <w:kern w:val="0"/>
                <w:sz w:val="21"/>
                <w:szCs w:val="21"/>
                <w:highlight w:val="none"/>
                <w:lang w:eastAsia="zh-Hans" w:bidi="ar"/>
              </w:rPr>
              <w:t>（质谱法）</w:t>
            </w:r>
          </w:p>
        </w:tc>
      </w:tr>
      <w:tr w14:paraId="6D72C40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AD1674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460</w:t>
            </w:r>
          </w:p>
        </w:tc>
        <w:tc>
          <w:tcPr>
            <w:tcW w:w="4800" w:type="dxa"/>
            <w:shd w:val="clear" w:color="auto" w:fill="auto"/>
            <w:noWrap/>
            <w:vAlign w:val="center"/>
          </w:tcPr>
          <w:p w14:paraId="03BC1D3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α-氨基己二酸</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ign w:val="center"/>
          </w:tcPr>
          <w:p w14:paraId="751B526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490</w:t>
            </w:r>
          </w:p>
        </w:tc>
        <w:tc>
          <w:tcPr>
            <w:tcW w:w="3388" w:type="dxa"/>
            <w:shd w:val="clear" w:color="auto" w:fill="auto"/>
            <w:noWrap/>
            <w:vAlign w:val="center"/>
          </w:tcPr>
          <w:p w14:paraId="682EA11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鸟氨酸</w:t>
            </w:r>
            <w:r>
              <w:rPr>
                <w:rFonts w:hint="eastAsia" w:ascii="宋体" w:hAnsi="宋体" w:eastAsia="宋体" w:cs="宋体"/>
                <w:color w:val="auto"/>
                <w:kern w:val="0"/>
                <w:sz w:val="21"/>
                <w:szCs w:val="21"/>
                <w:highlight w:val="none"/>
                <w:lang w:eastAsia="zh-Hans" w:bidi="ar"/>
              </w:rPr>
              <w:t>（质谱法）</w:t>
            </w:r>
          </w:p>
        </w:tc>
      </w:tr>
      <w:tr w14:paraId="6418B46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6F5182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461</w:t>
            </w:r>
          </w:p>
        </w:tc>
        <w:tc>
          <w:tcPr>
            <w:tcW w:w="4800" w:type="dxa"/>
            <w:shd w:val="clear" w:color="auto" w:fill="auto"/>
            <w:noWrap/>
            <w:vAlign w:val="center"/>
          </w:tcPr>
          <w:p w14:paraId="79D3D4E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苏氨酸</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ign w:val="center"/>
          </w:tcPr>
          <w:p w14:paraId="192A769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491</w:t>
            </w:r>
          </w:p>
        </w:tc>
        <w:tc>
          <w:tcPr>
            <w:tcW w:w="3388" w:type="dxa"/>
            <w:shd w:val="clear" w:color="auto" w:fill="auto"/>
            <w:noWrap/>
            <w:vAlign w:val="center"/>
          </w:tcPr>
          <w:p w14:paraId="5E6A66E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瓜氨酸</w:t>
            </w:r>
            <w:r>
              <w:rPr>
                <w:rFonts w:hint="eastAsia" w:ascii="宋体" w:hAnsi="宋体" w:eastAsia="宋体" w:cs="宋体"/>
                <w:color w:val="auto"/>
                <w:kern w:val="0"/>
                <w:sz w:val="21"/>
                <w:szCs w:val="21"/>
                <w:highlight w:val="none"/>
                <w:lang w:eastAsia="zh-Hans" w:bidi="ar"/>
              </w:rPr>
              <w:t>（质谱法）</w:t>
            </w:r>
          </w:p>
        </w:tc>
      </w:tr>
      <w:tr w14:paraId="094BDA5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17BC088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462</w:t>
            </w:r>
          </w:p>
        </w:tc>
        <w:tc>
          <w:tcPr>
            <w:tcW w:w="4800" w:type="dxa"/>
            <w:shd w:val="clear" w:color="auto" w:fill="auto"/>
            <w:noWrap/>
            <w:vAlign w:val="center"/>
          </w:tcPr>
          <w:p w14:paraId="1ED2572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同型精氨酸</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ign w:val="center"/>
          </w:tcPr>
          <w:p w14:paraId="257868E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492</w:t>
            </w:r>
          </w:p>
        </w:tc>
        <w:tc>
          <w:tcPr>
            <w:tcW w:w="3388" w:type="dxa"/>
            <w:shd w:val="clear" w:color="auto" w:fill="auto"/>
            <w:noWrap/>
            <w:vAlign w:val="center"/>
          </w:tcPr>
          <w:p w14:paraId="09FBAF9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γ-氨基丁酸</w:t>
            </w:r>
            <w:r>
              <w:rPr>
                <w:rFonts w:hint="eastAsia" w:ascii="宋体" w:hAnsi="宋体" w:eastAsia="宋体" w:cs="宋体"/>
                <w:color w:val="auto"/>
                <w:kern w:val="0"/>
                <w:sz w:val="21"/>
                <w:szCs w:val="21"/>
                <w:highlight w:val="none"/>
                <w:lang w:eastAsia="zh-Hans" w:bidi="ar"/>
              </w:rPr>
              <w:t>（质谱法）</w:t>
            </w:r>
          </w:p>
        </w:tc>
      </w:tr>
      <w:tr w14:paraId="16E2029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1BBE072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463</w:t>
            </w:r>
          </w:p>
        </w:tc>
        <w:tc>
          <w:tcPr>
            <w:tcW w:w="4800" w:type="dxa"/>
            <w:shd w:val="clear" w:color="auto" w:fill="auto"/>
            <w:noWrap/>
            <w:vAlign w:val="center"/>
          </w:tcPr>
          <w:p w14:paraId="30DA55A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异亮氨酸</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ign w:val="center"/>
          </w:tcPr>
          <w:p w14:paraId="0F42391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493</w:t>
            </w:r>
          </w:p>
        </w:tc>
        <w:tc>
          <w:tcPr>
            <w:tcW w:w="3388" w:type="dxa"/>
            <w:shd w:val="clear" w:color="auto" w:fill="auto"/>
            <w:noWrap/>
            <w:vAlign w:val="center"/>
          </w:tcPr>
          <w:p w14:paraId="5B3F64E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脯氨酸</w:t>
            </w:r>
            <w:r>
              <w:rPr>
                <w:rFonts w:hint="eastAsia" w:ascii="宋体" w:hAnsi="宋体" w:eastAsia="宋体" w:cs="宋体"/>
                <w:color w:val="auto"/>
                <w:kern w:val="0"/>
                <w:sz w:val="21"/>
                <w:szCs w:val="21"/>
                <w:highlight w:val="none"/>
                <w:lang w:eastAsia="zh-Hans" w:bidi="ar"/>
              </w:rPr>
              <w:t>（质谱法）</w:t>
            </w:r>
          </w:p>
        </w:tc>
      </w:tr>
      <w:tr w14:paraId="7C8E2B8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5A3D9B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464</w:t>
            </w:r>
          </w:p>
        </w:tc>
        <w:tc>
          <w:tcPr>
            <w:tcW w:w="4800" w:type="dxa"/>
            <w:shd w:val="clear" w:color="auto" w:fill="auto"/>
            <w:noWrap/>
            <w:vAlign w:val="center"/>
          </w:tcPr>
          <w:p w14:paraId="69C3C8B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谷氨酸</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ign w:val="center"/>
          </w:tcPr>
          <w:p w14:paraId="715CC19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494</w:t>
            </w:r>
          </w:p>
        </w:tc>
        <w:tc>
          <w:tcPr>
            <w:tcW w:w="3388" w:type="dxa"/>
            <w:shd w:val="clear" w:color="auto" w:fill="auto"/>
            <w:noWrap/>
            <w:vAlign w:val="center"/>
          </w:tcPr>
          <w:p w14:paraId="758B7AB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组氨酸</w:t>
            </w:r>
            <w:r>
              <w:rPr>
                <w:rFonts w:hint="eastAsia" w:ascii="宋体" w:hAnsi="宋体" w:eastAsia="宋体" w:cs="宋体"/>
                <w:color w:val="auto"/>
                <w:kern w:val="0"/>
                <w:sz w:val="21"/>
                <w:szCs w:val="21"/>
                <w:highlight w:val="none"/>
                <w:lang w:eastAsia="zh-Hans" w:bidi="ar"/>
              </w:rPr>
              <w:t>（质谱法）</w:t>
            </w:r>
          </w:p>
        </w:tc>
      </w:tr>
      <w:tr w14:paraId="4C650FA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AC601B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465</w:t>
            </w:r>
          </w:p>
        </w:tc>
        <w:tc>
          <w:tcPr>
            <w:tcW w:w="4800" w:type="dxa"/>
            <w:shd w:val="clear" w:color="auto" w:fill="auto"/>
            <w:noWrap/>
            <w:vAlign w:val="center"/>
          </w:tcPr>
          <w:p w14:paraId="39CD6A1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同型脯氨酸</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ign w:val="center"/>
          </w:tcPr>
          <w:p w14:paraId="7F85B5E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495</w:t>
            </w:r>
          </w:p>
        </w:tc>
        <w:tc>
          <w:tcPr>
            <w:tcW w:w="3388" w:type="dxa"/>
            <w:shd w:val="clear" w:color="auto" w:fill="auto"/>
            <w:noWrap/>
            <w:vAlign w:val="center"/>
          </w:tcPr>
          <w:p w14:paraId="318BDAC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天门冬氨酸</w:t>
            </w:r>
            <w:r>
              <w:rPr>
                <w:rFonts w:hint="eastAsia" w:ascii="宋体" w:hAnsi="宋体" w:eastAsia="宋体" w:cs="宋体"/>
                <w:color w:val="auto"/>
                <w:kern w:val="0"/>
                <w:sz w:val="21"/>
                <w:szCs w:val="21"/>
                <w:highlight w:val="none"/>
                <w:lang w:eastAsia="zh-Hans" w:bidi="ar"/>
              </w:rPr>
              <w:t>（质谱法）</w:t>
            </w:r>
          </w:p>
        </w:tc>
      </w:tr>
      <w:tr w14:paraId="3A0671F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4D7840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466</w:t>
            </w:r>
          </w:p>
        </w:tc>
        <w:tc>
          <w:tcPr>
            <w:tcW w:w="4800" w:type="dxa"/>
            <w:shd w:val="clear" w:color="auto" w:fill="auto"/>
            <w:noWrap/>
            <w:vAlign w:val="center"/>
          </w:tcPr>
          <w:p w14:paraId="00BCADE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甘氨酸</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ign w:val="center"/>
          </w:tcPr>
          <w:p w14:paraId="68F4A89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496</w:t>
            </w:r>
          </w:p>
        </w:tc>
        <w:tc>
          <w:tcPr>
            <w:tcW w:w="3388" w:type="dxa"/>
            <w:shd w:val="clear" w:color="auto" w:fill="auto"/>
            <w:noWrap/>
            <w:vAlign w:val="center"/>
          </w:tcPr>
          <w:p w14:paraId="5142A67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色氨酸</w:t>
            </w:r>
            <w:r>
              <w:rPr>
                <w:rFonts w:hint="eastAsia" w:ascii="宋体" w:hAnsi="宋体" w:eastAsia="宋体" w:cs="宋体"/>
                <w:color w:val="auto"/>
                <w:kern w:val="0"/>
                <w:sz w:val="21"/>
                <w:szCs w:val="21"/>
                <w:highlight w:val="none"/>
                <w:lang w:eastAsia="zh-Hans" w:bidi="ar"/>
              </w:rPr>
              <w:t>（质谱法）</w:t>
            </w:r>
          </w:p>
        </w:tc>
      </w:tr>
      <w:tr w14:paraId="5BE434E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D61F55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467</w:t>
            </w:r>
          </w:p>
        </w:tc>
        <w:tc>
          <w:tcPr>
            <w:tcW w:w="4800" w:type="dxa"/>
            <w:shd w:val="clear" w:color="auto" w:fill="auto"/>
            <w:noWrap/>
            <w:vAlign w:val="center"/>
          </w:tcPr>
          <w:p w14:paraId="2B5B1B8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羟基脯氨酸</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ign w:val="center"/>
          </w:tcPr>
          <w:p w14:paraId="5959EB6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497</w:t>
            </w:r>
          </w:p>
        </w:tc>
        <w:tc>
          <w:tcPr>
            <w:tcW w:w="3388" w:type="dxa"/>
            <w:shd w:val="clear" w:color="auto" w:fill="auto"/>
            <w:noWrap/>
            <w:vAlign w:val="center"/>
          </w:tcPr>
          <w:p w14:paraId="04461C0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亮氨酸</w:t>
            </w:r>
            <w:r>
              <w:rPr>
                <w:rFonts w:hint="eastAsia" w:ascii="宋体" w:hAnsi="宋体" w:eastAsia="宋体" w:cs="宋体"/>
                <w:color w:val="auto"/>
                <w:kern w:val="0"/>
                <w:sz w:val="21"/>
                <w:szCs w:val="21"/>
                <w:highlight w:val="none"/>
                <w:lang w:eastAsia="zh-Hans" w:bidi="ar"/>
              </w:rPr>
              <w:t>（质谱法）</w:t>
            </w:r>
          </w:p>
        </w:tc>
      </w:tr>
      <w:tr w14:paraId="7A362E4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E67EFC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468</w:t>
            </w:r>
          </w:p>
        </w:tc>
        <w:tc>
          <w:tcPr>
            <w:tcW w:w="4800" w:type="dxa"/>
            <w:shd w:val="clear" w:color="auto" w:fill="auto"/>
            <w:noWrap/>
            <w:vAlign w:val="center"/>
          </w:tcPr>
          <w:p w14:paraId="583CE5C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3-甲基组氨酸</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ign w:val="center"/>
          </w:tcPr>
          <w:p w14:paraId="5BB43E6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498</w:t>
            </w:r>
          </w:p>
        </w:tc>
        <w:tc>
          <w:tcPr>
            <w:tcW w:w="3388" w:type="dxa"/>
            <w:shd w:val="clear" w:color="auto" w:fill="auto"/>
            <w:noWrap/>
            <w:vAlign w:val="center"/>
          </w:tcPr>
          <w:p w14:paraId="1E4426E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丝氨酸</w:t>
            </w:r>
            <w:r>
              <w:rPr>
                <w:rFonts w:hint="eastAsia" w:ascii="宋体" w:hAnsi="宋体" w:eastAsia="宋体" w:cs="宋体"/>
                <w:color w:val="auto"/>
                <w:kern w:val="0"/>
                <w:sz w:val="21"/>
                <w:szCs w:val="21"/>
                <w:highlight w:val="none"/>
                <w:lang w:eastAsia="zh-Hans" w:bidi="ar"/>
              </w:rPr>
              <w:t>（质谱法）</w:t>
            </w:r>
          </w:p>
        </w:tc>
      </w:tr>
      <w:tr w14:paraId="55EED5E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14C99C2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469</w:t>
            </w:r>
          </w:p>
        </w:tc>
        <w:tc>
          <w:tcPr>
            <w:tcW w:w="4800" w:type="dxa"/>
            <w:shd w:val="clear" w:color="auto" w:fill="auto"/>
            <w:noWrap/>
            <w:vAlign w:val="center"/>
          </w:tcPr>
          <w:p w14:paraId="462EE20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肌肽</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ign w:val="center"/>
          </w:tcPr>
          <w:p w14:paraId="770ED7E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500</w:t>
            </w:r>
          </w:p>
        </w:tc>
        <w:tc>
          <w:tcPr>
            <w:tcW w:w="3388" w:type="dxa"/>
            <w:shd w:val="clear" w:color="auto" w:fill="auto"/>
            <w:noWrap/>
            <w:vAlign w:val="center"/>
          </w:tcPr>
          <w:p w14:paraId="3F68DC4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6-氨基己酸</w:t>
            </w:r>
            <w:r>
              <w:rPr>
                <w:rFonts w:hint="eastAsia" w:ascii="宋体" w:hAnsi="宋体" w:eastAsia="宋体" w:cs="宋体"/>
                <w:color w:val="auto"/>
                <w:kern w:val="0"/>
                <w:sz w:val="21"/>
                <w:szCs w:val="21"/>
                <w:highlight w:val="none"/>
                <w:lang w:eastAsia="zh-Hans" w:bidi="ar"/>
              </w:rPr>
              <w:t>（质谱法）</w:t>
            </w:r>
          </w:p>
        </w:tc>
      </w:tr>
      <w:tr w14:paraId="7C01A9E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FD3001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470</w:t>
            </w:r>
          </w:p>
        </w:tc>
        <w:tc>
          <w:tcPr>
            <w:tcW w:w="4800" w:type="dxa"/>
            <w:shd w:val="clear" w:color="auto" w:fill="auto"/>
            <w:noWrap/>
            <w:vAlign w:val="center"/>
          </w:tcPr>
          <w:p w14:paraId="6234542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别异亮氨酸</w:t>
            </w:r>
            <w:r>
              <w:rPr>
                <w:rFonts w:hint="eastAsia" w:ascii="宋体" w:hAnsi="宋体" w:eastAsia="宋体" w:cs="宋体"/>
                <w:color w:val="auto"/>
                <w:kern w:val="0"/>
                <w:sz w:val="21"/>
                <w:szCs w:val="21"/>
                <w:highlight w:val="none"/>
                <w:lang w:eastAsia="zh-Hans" w:bidi="ar"/>
              </w:rPr>
              <w:t>（质谱法）</w:t>
            </w:r>
          </w:p>
        </w:tc>
        <w:tc>
          <w:tcPr>
            <w:tcW w:w="915" w:type="dxa"/>
            <w:shd w:val="clear" w:color="auto" w:fill="auto"/>
            <w:noWrap/>
            <w:vAlign w:val="center"/>
          </w:tcPr>
          <w:p w14:paraId="3C077BA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501</w:t>
            </w:r>
          </w:p>
        </w:tc>
        <w:tc>
          <w:tcPr>
            <w:tcW w:w="3388" w:type="dxa"/>
            <w:shd w:val="clear" w:color="auto" w:fill="auto"/>
            <w:noWrap/>
            <w:vAlign w:val="center"/>
          </w:tcPr>
          <w:p w14:paraId="2DFC94C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肌氨酸</w:t>
            </w:r>
            <w:r>
              <w:rPr>
                <w:rFonts w:hint="eastAsia" w:ascii="宋体" w:hAnsi="宋体" w:eastAsia="宋体" w:cs="宋体"/>
                <w:color w:val="auto"/>
                <w:kern w:val="0"/>
                <w:sz w:val="21"/>
                <w:szCs w:val="21"/>
                <w:highlight w:val="none"/>
                <w:lang w:eastAsia="zh-Hans" w:bidi="ar"/>
              </w:rPr>
              <w:t>（质谱法）</w:t>
            </w:r>
          </w:p>
        </w:tc>
      </w:tr>
      <w:tr w14:paraId="1D3D0A6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BDA3AF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471</w:t>
            </w:r>
          </w:p>
        </w:tc>
        <w:tc>
          <w:tcPr>
            <w:tcW w:w="4800" w:type="dxa"/>
            <w:shd w:val="clear" w:color="auto" w:fill="auto"/>
            <w:noWrap/>
            <w:vAlign w:val="center"/>
          </w:tcPr>
          <w:p w14:paraId="11ACECD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人类BRAF基因突变检测</w:t>
            </w:r>
          </w:p>
        </w:tc>
        <w:tc>
          <w:tcPr>
            <w:tcW w:w="915" w:type="dxa"/>
            <w:shd w:val="clear" w:color="auto" w:fill="auto"/>
            <w:noWrap/>
            <w:vAlign w:val="center"/>
          </w:tcPr>
          <w:p w14:paraId="1C560DA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502</w:t>
            </w:r>
          </w:p>
        </w:tc>
        <w:tc>
          <w:tcPr>
            <w:tcW w:w="3388" w:type="dxa"/>
            <w:shd w:val="clear" w:color="auto" w:fill="auto"/>
            <w:noWrap/>
            <w:vAlign w:val="center"/>
          </w:tcPr>
          <w:p w14:paraId="7E6DBA3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谷氨酰胺</w:t>
            </w:r>
            <w:r>
              <w:rPr>
                <w:rFonts w:hint="eastAsia" w:ascii="宋体" w:hAnsi="宋体" w:eastAsia="宋体" w:cs="宋体"/>
                <w:color w:val="auto"/>
                <w:kern w:val="0"/>
                <w:sz w:val="21"/>
                <w:szCs w:val="21"/>
                <w:highlight w:val="none"/>
                <w:lang w:eastAsia="zh-Hans" w:bidi="ar"/>
              </w:rPr>
              <w:t>（质谱法）</w:t>
            </w:r>
          </w:p>
        </w:tc>
      </w:tr>
      <w:tr w14:paraId="141DEDA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896ED5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472</w:t>
            </w:r>
          </w:p>
        </w:tc>
        <w:tc>
          <w:tcPr>
            <w:tcW w:w="4800" w:type="dxa"/>
            <w:shd w:val="clear" w:color="auto" w:fill="auto"/>
            <w:noWrap/>
            <w:vAlign w:val="center"/>
          </w:tcPr>
          <w:p w14:paraId="56C2721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PDGFR-α（伊马替尼、舒尼替尼）</w:t>
            </w:r>
          </w:p>
        </w:tc>
        <w:tc>
          <w:tcPr>
            <w:tcW w:w="915" w:type="dxa"/>
            <w:shd w:val="clear" w:color="auto" w:fill="auto"/>
            <w:noWrap/>
            <w:vAlign w:val="center"/>
          </w:tcPr>
          <w:p w14:paraId="6313F5C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503</w:t>
            </w:r>
          </w:p>
        </w:tc>
        <w:tc>
          <w:tcPr>
            <w:tcW w:w="3388" w:type="dxa"/>
            <w:shd w:val="clear" w:color="auto" w:fill="auto"/>
            <w:noWrap/>
            <w:vAlign w:val="center"/>
          </w:tcPr>
          <w:p w14:paraId="71FBE50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同型瓜氨酸</w:t>
            </w:r>
            <w:r>
              <w:rPr>
                <w:rFonts w:hint="eastAsia" w:ascii="宋体" w:hAnsi="宋体" w:eastAsia="宋体" w:cs="宋体"/>
                <w:color w:val="auto"/>
                <w:kern w:val="0"/>
                <w:sz w:val="21"/>
                <w:szCs w:val="21"/>
                <w:highlight w:val="none"/>
                <w:lang w:eastAsia="zh-Hans" w:bidi="ar"/>
              </w:rPr>
              <w:t>（质谱法）</w:t>
            </w:r>
          </w:p>
        </w:tc>
      </w:tr>
      <w:tr w14:paraId="184B068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934A76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473</w:t>
            </w:r>
          </w:p>
        </w:tc>
        <w:tc>
          <w:tcPr>
            <w:tcW w:w="4800" w:type="dxa"/>
            <w:shd w:val="clear" w:color="auto" w:fill="auto"/>
            <w:noWrap/>
            <w:vAlign w:val="center"/>
          </w:tcPr>
          <w:p w14:paraId="3A6420F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T、B、NK 免疫细胞初级监测</w:t>
            </w:r>
          </w:p>
        </w:tc>
        <w:tc>
          <w:tcPr>
            <w:tcW w:w="915" w:type="dxa"/>
            <w:shd w:val="clear" w:color="auto" w:fill="auto"/>
            <w:noWrap/>
            <w:vAlign w:val="center"/>
          </w:tcPr>
          <w:p w14:paraId="2A6529B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504</w:t>
            </w:r>
          </w:p>
        </w:tc>
        <w:tc>
          <w:tcPr>
            <w:tcW w:w="3388" w:type="dxa"/>
            <w:shd w:val="clear" w:color="auto" w:fill="auto"/>
            <w:noWrap/>
            <w:vAlign w:val="center"/>
          </w:tcPr>
          <w:p w14:paraId="7DB2A03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TORCH核酸检测</w:t>
            </w:r>
          </w:p>
        </w:tc>
      </w:tr>
      <w:tr w14:paraId="47D369E2">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C203D5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474</w:t>
            </w:r>
          </w:p>
        </w:tc>
        <w:tc>
          <w:tcPr>
            <w:tcW w:w="4800" w:type="dxa"/>
            <w:shd w:val="clear" w:color="auto" w:fill="auto"/>
            <w:noWrap/>
            <w:vAlign w:val="center"/>
          </w:tcPr>
          <w:p w14:paraId="4427022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淋巴细胞亚群测定</w:t>
            </w:r>
          </w:p>
        </w:tc>
        <w:tc>
          <w:tcPr>
            <w:tcW w:w="915" w:type="dxa"/>
            <w:shd w:val="clear" w:color="auto" w:fill="auto"/>
            <w:noWrap/>
            <w:vAlign w:val="center"/>
          </w:tcPr>
          <w:p w14:paraId="6721FFD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505</w:t>
            </w:r>
          </w:p>
        </w:tc>
        <w:tc>
          <w:tcPr>
            <w:tcW w:w="3388" w:type="dxa"/>
            <w:shd w:val="clear" w:color="auto" w:fill="auto"/>
            <w:noWrap/>
            <w:vAlign w:val="center"/>
          </w:tcPr>
          <w:p w14:paraId="53A646C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细胞DNA定量检测</w:t>
            </w:r>
          </w:p>
        </w:tc>
      </w:tr>
      <w:tr w14:paraId="3CC4D94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0156D4F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475</w:t>
            </w:r>
          </w:p>
        </w:tc>
        <w:tc>
          <w:tcPr>
            <w:tcW w:w="4800" w:type="dxa"/>
            <w:shd w:val="clear" w:color="auto" w:fill="auto"/>
            <w:noWrap/>
            <w:vAlign w:val="center"/>
          </w:tcPr>
          <w:p w14:paraId="74032C5E">
            <w:pPr>
              <w:widowControl/>
              <w:jc w:val="center"/>
              <w:textAlignment w:val="center"/>
              <w:rPr>
                <w:rFonts w:hint="eastAsia" w:ascii="宋体" w:hAnsi="宋体" w:eastAsia="宋体" w:cs="宋体"/>
                <w:color w:val="auto"/>
                <w:kern w:val="0"/>
                <w:sz w:val="21"/>
                <w:szCs w:val="21"/>
                <w:highlight w:val="none"/>
                <w:lang w:eastAsia="zh-Hans" w:bidi="ar"/>
              </w:rPr>
            </w:pPr>
            <w:r>
              <w:rPr>
                <w:rFonts w:hint="eastAsia" w:ascii="宋体" w:hAnsi="宋体" w:eastAsia="宋体" w:cs="宋体"/>
                <w:color w:val="auto"/>
                <w:kern w:val="0"/>
                <w:sz w:val="21"/>
                <w:szCs w:val="21"/>
                <w:highlight w:val="none"/>
                <w:lang w:eastAsia="zh-Hans" w:bidi="ar"/>
              </w:rPr>
              <w:t>宫颈癌二项检测</w:t>
            </w:r>
          </w:p>
        </w:tc>
        <w:tc>
          <w:tcPr>
            <w:tcW w:w="915" w:type="dxa"/>
            <w:shd w:val="clear" w:color="auto" w:fill="auto"/>
            <w:noWrap/>
            <w:vAlign w:val="center"/>
          </w:tcPr>
          <w:p w14:paraId="4807997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506</w:t>
            </w:r>
          </w:p>
        </w:tc>
        <w:tc>
          <w:tcPr>
            <w:tcW w:w="3388" w:type="dxa"/>
            <w:shd w:val="clear" w:color="auto" w:fill="auto"/>
            <w:noWrap/>
            <w:vAlign w:val="center"/>
          </w:tcPr>
          <w:p w14:paraId="4D439F6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Hans" w:bidi="ar"/>
              </w:rPr>
              <w:t>宫颈癌四项检测</w:t>
            </w:r>
          </w:p>
        </w:tc>
      </w:tr>
      <w:tr w14:paraId="7DDDFD9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E9EBC2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476</w:t>
            </w:r>
          </w:p>
        </w:tc>
        <w:tc>
          <w:tcPr>
            <w:tcW w:w="4800" w:type="dxa"/>
            <w:shd w:val="clear" w:color="auto" w:fill="auto"/>
            <w:noWrap/>
            <w:vAlign w:val="center"/>
          </w:tcPr>
          <w:p w14:paraId="1E3EFE2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Hans" w:bidi="ar"/>
              </w:rPr>
              <w:t>宫颈癌三项检测</w:t>
            </w:r>
          </w:p>
        </w:tc>
        <w:tc>
          <w:tcPr>
            <w:tcW w:w="915" w:type="dxa"/>
            <w:shd w:val="clear" w:color="auto" w:fill="auto"/>
            <w:noWrap/>
            <w:vAlign w:val="center"/>
          </w:tcPr>
          <w:p w14:paraId="3AE0F89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507</w:t>
            </w:r>
          </w:p>
        </w:tc>
        <w:tc>
          <w:tcPr>
            <w:tcW w:w="3388" w:type="dxa"/>
            <w:shd w:val="clear" w:color="auto" w:fill="auto"/>
            <w:noWrap/>
            <w:vAlign w:val="center"/>
          </w:tcPr>
          <w:p w14:paraId="393ECC6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Nup98/HOXD13融合基因定性检测</w:t>
            </w:r>
          </w:p>
        </w:tc>
      </w:tr>
      <w:tr w14:paraId="71F5CB5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EBF705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477</w:t>
            </w:r>
          </w:p>
        </w:tc>
        <w:tc>
          <w:tcPr>
            <w:tcW w:w="4800" w:type="dxa"/>
            <w:shd w:val="clear" w:color="auto" w:fill="auto"/>
            <w:noWrap/>
            <w:vAlign w:val="center"/>
          </w:tcPr>
          <w:p w14:paraId="36D7B95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AML预后24种基因突变</w:t>
            </w:r>
          </w:p>
        </w:tc>
        <w:tc>
          <w:tcPr>
            <w:tcW w:w="915" w:type="dxa"/>
            <w:shd w:val="clear" w:color="auto" w:fill="auto"/>
            <w:noWrap/>
            <w:vAlign w:val="center"/>
          </w:tcPr>
          <w:p w14:paraId="73AEF8D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508</w:t>
            </w:r>
          </w:p>
        </w:tc>
        <w:tc>
          <w:tcPr>
            <w:tcW w:w="3388" w:type="dxa"/>
            <w:shd w:val="clear" w:color="auto" w:fill="auto"/>
            <w:noWrap/>
            <w:vAlign w:val="center"/>
          </w:tcPr>
          <w:p w14:paraId="7C08820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TP53</w:t>
            </w:r>
            <w:r>
              <w:rPr>
                <w:rFonts w:hint="eastAsia" w:ascii="宋体" w:hAnsi="宋体" w:eastAsia="宋体" w:cs="宋体"/>
                <w:color w:val="auto"/>
                <w:kern w:val="0"/>
                <w:sz w:val="21"/>
                <w:szCs w:val="21"/>
                <w:highlight w:val="none"/>
                <w:lang w:eastAsia="zh-Hans" w:bidi="ar"/>
              </w:rPr>
              <w:t>基因检测</w:t>
            </w:r>
          </w:p>
        </w:tc>
      </w:tr>
      <w:tr w14:paraId="22C1F5A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71D01F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509</w:t>
            </w:r>
          </w:p>
        </w:tc>
        <w:tc>
          <w:tcPr>
            <w:tcW w:w="4800" w:type="dxa"/>
            <w:shd w:val="clear" w:color="auto" w:fill="auto"/>
            <w:noWrap/>
            <w:vAlign w:val="center"/>
          </w:tcPr>
          <w:p w14:paraId="28B28F3B">
            <w:pPr>
              <w:widowControl/>
              <w:jc w:val="center"/>
              <w:textAlignment w:val="center"/>
              <w:rPr>
                <w:rFonts w:hint="eastAsia" w:ascii="宋体" w:hAnsi="宋体" w:eastAsia="宋体" w:cs="宋体"/>
                <w:color w:val="auto"/>
                <w:kern w:val="0"/>
                <w:sz w:val="21"/>
                <w:szCs w:val="21"/>
                <w:highlight w:val="none"/>
                <w:lang w:eastAsia="zh-Hans" w:bidi="ar"/>
              </w:rPr>
            </w:pPr>
            <w:r>
              <w:rPr>
                <w:rFonts w:hint="eastAsia" w:ascii="宋体" w:hAnsi="宋体" w:eastAsia="宋体" w:cs="宋体"/>
                <w:color w:val="auto"/>
                <w:kern w:val="0"/>
                <w:sz w:val="21"/>
                <w:szCs w:val="21"/>
                <w:highlight w:val="none"/>
                <w:lang w:bidi="ar"/>
              </w:rPr>
              <w:t>ASXL1</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720ED06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539</w:t>
            </w:r>
          </w:p>
        </w:tc>
        <w:tc>
          <w:tcPr>
            <w:tcW w:w="3388" w:type="dxa"/>
            <w:shd w:val="clear" w:color="auto" w:fill="auto"/>
            <w:noWrap/>
            <w:vAlign w:val="center"/>
          </w:tcPr>
          <w:p w14:paraId="4BB4D17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U2AF1</w:t>
            </w:r>
            <w:r>
              <w:rPr>
                <w:rFonts w:hint="eastAsia" w:ascii="宋体" w:hAnsi="宋体" w:eastAsia="宋体" w:cs="宋体"/>
                <w:color w:val="auto"/>
                <w:kern w:val="0"/>
                <w:sz w:val="21"/>
                <w:szCs w:val="21"/>
                <w:highlight w:val="none"/>
                <w:lang w:eastAsia="zh-Hans" w:bidi="ar"/>
              </w:rPr>
              <w:t>基因检测</w:t>
            </w:r>
          </w:p>
        </w:tc>
      </w:tr>
      <w:tr w14:paraId="18F158A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58F2ED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510</w:t>
            </w:r>
          </w:p>
        </w:tc>
        <w:tc>
          <w:tcPr>
            <w:tcW w:w="4800" w:type="dxa"/>
            <w:shd w:val="clear" w:color="auto" w:fill="auto"/>
            <w:noWrap/>
            <w:vAlign w:val="center"/>
          </w:tcPr>
          <w:p w14:paraId="708C587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BCOR</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7077B4A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540</w:t>
            </w:r>
          </w:p>
        </w:tc>
        <w:tc>
          <w:tcPr>
            <w:tcW w:w="3388" w:type="dxa"/>
            <w:shd w:val="clear" w:color="auto" w:fill="auto"/>
            <w:noWrap/>
            <w:vAlign w:val="center"/>
          </w:tcPr>
          <w:p w14:paraId="6B12373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WT1</w:t>
            </w:r>
            <w:r>
              <w:rPr>
                <w:rFonts w:hint="eastAsia" w:ascii="宋体" w:hAnsi="宋体" w:eastAsia="宋体" w:cs="宋体"/>
                <w:color w:val="auto"/>
                <w:kern w:val="0"/>
                <w:sz w:val="21"/>
                <w:szCs w:val="21"/>
                <w:highlight w:val="none"/>
                <w:lang w:eastAsia="zh-Hans" w:bidi="ar"/>
              </w:rPr>
              <w:t>基因检测</w:t>
            </w:r>
          </w:p>
        </w:tc>
      </w:tr>
      <w:tr w14:paraId="5F31A92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92" w:type="dxa"/>
            <w:shd w:val="clear" w:color="auto" w:fill="auto"/>
            <w:noWrap w:val="0"/>
            <w:vAlign w:val="center"/>
          </w:tcPr>
          <w:p w14:paraId="7B44AF6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511</w:t>
            </w:r>
          </w:p>
        </w:tc>
        <w:tc>
          <w:tcPr>
            <w:tcW w:w="4800" w:type="dxa"/>
            <w:shd w:val="clear" w:color="auto" w:fill="auto"/>
            <w:noWrap/>
            <w:vAlign w:val="center"/>
          </w:tcPr>
          <w:p w14:paraId="0FCC960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CEBPA</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7EB2883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541</w:t>
            </w:r>
          </w:p>
        </w:tc>
        <w:tc>
          <w:tcPr>
            <w:tcW w:w="3388" w:type="dxa"/>
            <w:shd w:val="clear" w:color="auto" w:fill="auto"/>
            <w:noWrap/>
            <w:vAlign w:val="center"/>
          </w:tcPr>
          <w:p w14:paraId="475EBA3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ZRSR2</w:t>
            </w:r>
            <w:r>
              <w:rPr>
                <w:rFonts w:hint="eastAsia" w:ascii="宋体" w:hAnsi="宋体" w:eastAsia="宋体" w:cs="宋体"/>
                <w:color w:val="auto"/>
                <w:kern w:val="0"/>
                <w:sz w:val="21"/>
                <w:szCs w:val="21"/>
                <w:highlight w:val="none"/>
                <w:lang w:eastAsia="zh-Hans" w:bidi="ar"/>
              </w:rPr>
              <w:t>基因检测</w:t>
            </w:r>
          </w:p>
        </w:tc>
      </w:tr>
      <w:tr w14:paraId="4DEFA87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335104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512</w:t>
            </w:r>
          </w:p>
        </w:tc>
        <w:tc>
          <w:tcPr>
            <w:tcW w:w="4800" w:type="dxa"/>
            <w:shd w:val="clear" w:color="auto" w:fill="auto"/>
            <w:noWrap/>
            <w:vAlign w:val="center"/>
          </w:tcPr>
          <w:p w14:paraId="2DBF782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DNMT3A</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2FEFE6E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542</w:t>
            </w:r>
          </w:p>
        </w:tc>
        <w:tc>
          <w:tcPr>
            <w:tcW w:w="3388" w:type="dxa"/>
            <w:shd w:val="clear" w:color="auto" w:fill="auto"/>
            <w:noWrap/>
            <w:vAlign w:val="center"/>
          </w:tcPr>
          <w:p w14:paraId="40FE38D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PTEN</w:t>
            </w:r>
            <w:r>
              <w:rPr>
                <w:rFonts w:hint="eastAsia" w:ascii="宋体" w:hAnsi="宋体" w:eastAsia="宋体" w:cs="宋体"/>
                <w:color w:val="auto"/>
                <w:kern w:val="0"/>
                <w:sz w:val="21"/>
                <w:szCs w:val="21"/>
                <w:highlight w:val="none"/>
                <w:lang w:eastAsia="zh-Hans" w:bidi="ar"/>
              </w:rPr>
              <w:t>基因检测</w:t>
            </w:r>
          </w:p>
        </w:tc>
      </w:tr>
      <w:tr w14:paraId="529FF72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851C82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513</w:t>
            </w:r>
          </w:p>
        </w:tc>
        <w:tc>
          <w:tcPr>
            <w:tcW w:w="4800" w:type="dxa"/>
            <w:shd w:val="clear" w:color="auto" w:fill="auto"/>
            <w:noWrap/>
            <w:vAlign w:val="center"/>
          </w:tcPr>
          <w:p w14:paraId="2836801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EZH2</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5B60523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543</w:t>
            </w:r>
          </w:p>
        </w:tc>
        <w:tc>
          <w:tcPr>
            <w:tcW w:w="3388" w:type="dxa"/>
            <w:shd w:val="clear" w:color="auto" w:fill="auto"/>
            <w:noWrap/>
            <w:vAlign w:val="center"/>
          </w:tcPr>
          <w:p w14:paraId="5994E193">
            <w:pPr>
              <w:widowControl/>
              <w:jc w:val="center"/>
              <w:textAlignment w:val="center"/>
              <w:rPr>
                <w:rFonts w:hint="eastAsia" w:ascii="宋体" w:hAnsi="宋体" w:eastAsia="宋体" w:cs="宋体"/>
                <w:color w:val="auto"/>
                <w:kern w:val="0"/>
                <w:sz w:val="21"/>
                <w:szCs w:val="21"/>
                <w:highlight w:val="none"/>
                <w:lang w:eastAsia="zh-Hans" w:bidi="ar"/>
              </w:rPr>
            </w:pPr>
            <w:r>
              <w:rPr>
                <w:rFonts w:hint="eastAsia" w:ascii="宋体" w:hAnsi="宋体" w:eastAsia="宋体" w:cs="宋体"/>
                <w:color w:val="auto"/>
                <w:kern w:val="0"/>
                <w:sz w:val="21"/>
                <w:szCs w:val="21"/>
                <w:highlight w:val="none"/>
                <w:lang w:bidi="ar"/>
              </w:rPr>
              <w:t>dupMLL</w:t>
            </w:r>
            <w:r>
              <w:rPr>
                <w:rFonts w:hint="eastAsia" w:ascii="宋体" w:hAnsi="宋体" w:eastAsia="宋体" w:cs="宋体"/>
                <w:color w:val="auto"/>
                <w:kern w:val="0"/>
                <w:sz w:val="21"/>
                <w:szCs w:val="21"/>
                <w:highlight w:val="none"/>
                <w:lang w:eastAsia="zh-Hans" w:bidi="ar"/>
              </w:rPr>
              <w:t>基因检测</w:t>
            </w:r>
          </w:p>
        </w:tc>
      </w:tr>
      <w:tr w14:paraId="0376490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BAFA42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514</w:t>
            </w:r>
          </w:p>
        </w:tc>
        <w:tc>
          <w:tcPr>
            <w:tcW w:w="4800" w:type="dxa"/>
            <w:shd w:val="clear" w:color="auto" w:fill="auto"/>
            <w:noWrap/>
            <w:vAlign w:val="center"/>
          </w:tcPr>
          <w:p w14:paraId="46DF0EF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FLT3</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5B2571F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544</w:t>
            </w:r>
          </w:p>
        </w:tc>
        <w:tc>
          <w:tcPr>
            <w:tcW w:w="3388" w:type="dxa"/>
            <w:shd w:val="clear" w:color="auto" w:fill="auto"/>
            <w:noWrap/>
            <w:vAlign w:val="center"/>
          </w:tcPr>
          <w:p w14:paraId="34CA694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髓系血液疾病74种基因突变</w:t>
            </w:r>
          </w:p>
        </w:tc>
      </w:tr>
      <w:tr w14:paraId="6088164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EB45CE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515</w:t>
            </w:r>
          </w:p>
        </w:tc>
        <w:tc>
          <w:tcPr>
            <w:tcW w:w="4800" w:type="dxa"/>
            <w:shd w:val="clear" w:color="auto" w:fill="auto"/>
            <w:noWrap/>
            <w:vAlign w:val="center"/>
          </w:tcPr>
          <w:p w14:paraId="13DDE39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IDH1</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373CED2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545</w:t>
            </w:r>
          </w:p>
        </w:tc>
        <w:tc>
          <w:tcPr>
            <w:tcW w:w="3388" w:type="dxa"/>
            <w:shd w:val="clear" w:color="auto" w:fill="auto"/>
            <w:noWrap/>
            <w:vAlign w:val="center"/>
          </w:tcPr>
          <w:p w14:paraId="2B6812B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BCORL1</w:t>
            </w:r>
            <w:r>
              <w:rPr>
                <w:rFonts w:hint="eastAsia" w:ascii="宋体" w:hAnsi="宋体" w:eastAsia="宋体" w:cs="宋体"/>
                <w:color w:val="auto"/>
                <w:kern w:val="0"/>
                <w:sz w:val="21"/>
                <w:szCs w:val="21"/>
                <w:highlight w:val="none"/>
                <w:lang w:eastAsia="zh-Hans" w:bidi="ar"/>
              </w:rPr>
              <w:t>基因检测</w:t>
            </w:r>
          </w:p>
        </w:tc>
      </w:tr>
      <w:tr w14:paraId="1F9692E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ABF2AC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516</w:t>
            </w:r>
          </w:p>
        </w:tc>
        <w:tc>
          <w:tcPr>
            <w:tcW w:w="4800" w:type="dxa"/>
            <w:shd w:val="clear" w:color="auto" w:fill="auto"/>
            <w:noWrap/>
            <w:vAlign w:val="center"/>
          </w:tcPr>
          <w:p w14:paraId="5384BA2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IDH2</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4495820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546</w:t>
            </w:r>
          </w:p>
        </w:tc>
        <w:tc>
          <w:tcPr>
            <w:tcW w:w="3388" w:type="dxa"/>
            <w:shd w:val="clear" w:color="auto" w:fill="auto"/>
            <w:noWrap/>
            <w:vAlign w:val="center"/>
          </w:tcPr>
          <w:p w14:paraId="00C3568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CALR</w:t>
            </w:r>
            <w:r>
              <w:rPr>
                <w:rFonts w:hint="eastAsia" w:ascii="宋体" w:hAnsi="宋体" w:eastAsia="宋体" w:cs="宋体"/>
                <w:color w:val="auto"/>
                <w:kern w:val="0"/>
                <w:sz w:val="21"/>
                <w:szCs w:val="21"/>
                <w:highlight w:val="none"/>
                <w:lang w:eastAsia="zh-Hans" w:bidi="ar"/>
              </w:rPr>
              <w:t>基因检测</w:t>
            </w:r>
          </w:p>
        </w:tc>
      </w:tr>
      <w:tr w14:paraId="00D5F8D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5EB408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517</w:t>
            </w:r>
          </w:p>
        </w:tc>
        <w:tc>
          <w:tcPr>
            <w:tcW w:w="4800" w:type="dxa"/>
            <w:shd w:val="clear" w:color="auto" w:fill="auto"/>
            <w:noWrap/>
            <w:vAlign w:val="center"/>
          </w:tcPr>
          <w:p w14:paraId="243F06A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KIT</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1DF5EC3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547</w:t>
            </w:r>
          </w:p>
        </w:tc>
        <w:tc>
          <w:tcPr>
            <w:tcW w:w="3388" w:type="dxa"/>
            <w:shd w:val="clear" w:color="auto" w:fill="auto"/>
            <w:noWrap/>
            <w:vAlign w:val="center"/>
          </w:tcPr>
          <w:p w14:paraId="2BD59BA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CBL</w:t>
            </w:r>
            <w:r>
              <w:rPr>
                <w:rFonts w:hint="eastAsia" w:ascii="宋体" w:hAnsi="宋体" w:eastAsia="宋体" w:cs="宋体"/>
                <w:color w:val="auto"/>
                <w:kern w:val="0"/>
                <w:sz w:val="21"/>
                <w:szCs w:val="21"/>
                <w:highlight w:val="none"/>
                <w:lang w:eastAsia="zh-Hans" w:bidi="ar"/>
              </w:rPr>
              <w:t>基因检测</w:t>
            </w:r>
          </w:p>
        </w:tc>
      </w:tr>
      <w:tr w14:paraId="0D885DE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1971E06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518</w:t>
            </w:r>
          </w:p>
        </w:tc>
        <w:tc>
          <w:tcPr>
            <w:tcW w:w="4800" w:type="dxa"/>
            <w:shd w:val="clear" w:color="auto" w:fill="auto"/>
            <w:noWrap/>
            <w:vAlign w:val="center"/>
          </w:tcPr>
          <w:p w14:paraId="5F903BE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KRAS</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6247FEB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548</w:t>
            </w:r>
          </w:p>
        </w:tc>
        <w:tc>
          <w:tcPr>
            <w:tcW w:w="3388" w:type="dxa"/>
            <w:shd w:val="clear" w:color="auto" w:fill="auto"/>
            <w:noWrap/>
            <w:vAlign w:val="center"/>
          </w:tcPr>
          <w:p w14:paraId="64F1F5F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CEBPA</w:t>
            </w:r>
            <w:r>
              <w:rPr>
                <w:rFonts w:hint="eastAsia" w:ascii="宋体" w:hAnsi="宋体" w:eastAsia="宋体" w:cs="宋体"/>
                <w:color w:val="auto"/>
                <w:kern w:val="0"/>
                <w:sz w:val="21"/>
                <w:szCs w:val="21"/>
                <w:highlight w:val="none"/>
                <w:lang w:eastAsia="zh-Hans" w:bidi="ar"/>
              </w:rPr>
              <w:t>基因检测</w:t>
            </w:r>
          </w:p>
        </w:tc>
      </w:tr>
      <w:tr w14:paraId="27DE89F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6E968A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519</w:t>
            </w:r>
          </w:p>
        </w:tc>
        <w:tc>
          <w:tcPr>
            <w:tcW w:w="4800" w:type="dxa"/>
            <w:shd w:val="clear" w:color="auto" w:fill="auto"/>
            <w:noWrap/>
            <w:vAlign w:val="center"/>
          </w:tcPr>
          <w:p w14:paraId="70114BE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NPM1</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58B11DE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549</w:t>
            </w:r>
          </w:p>
        </w:tc>
        <w:tc>
          <w:tcPr>
            <w:tcW w:w="3388" w:type="dxa"/>
            <w:shd w:val="clear" w:color="auto" w:fill="auto"/>
            <w:noWrap/>
            <w:vAlign w:val="center"/>
          </w:tcPr>
          <w:p w14:paraId="1E5640F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CSF3R</w:t>
            </w:r>
            <w:r>
              <w:rPr>
                <w:rFonts w:hint="eastAsia" w:ascii="宋体" w:hAnsi="宋体" w:eastAsia="宋体" w:cs="宋体"/>
                <w:color w:val="auto"/>
                <w:kern w:val="0"/>
                <w:sz w:val="21"/>
                <w:szCs w:val="21"/>
                <w:highlight w:val="none"/>
                <w:lang w:eastAsia="zh-Hans" w:bidi="ar"/>
              </w:rPr>
              <w:t>基因检测</w:t>
            </w:r>
          </w:p>
        </w:tc>
      </w:tr>
      <w:tr w14:paraId="127C9142">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0DA02BC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520</w:t>
            </w:r>
          </w:p>
        </w:tc>
        <w:tc>
          <w:tcPr>
            <w:tcW w:w="4800" w:type="dxa"/>
            <w:shd w:val="clear" w:color="auto" w:fill="auto"/>
            <w:noWrap/>
            <w:vAlign w:val="center"/>
          </w:tcPr>
          <w:p w14:paraId="0494AB8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NRAS</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52D0368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550</w:t>
            </w:r>
          </w:p>
        </w:tc>
        <w:tc>
          <w:tcPr>
            <w:tcW w:w="3388" w:type="dxa"/>
            <w:shd w:val="clear" w:color="auto" w:fill="auto"/>
            <w:noWrap/>
            <w:vAlign w:val="center"/>
          </w:tcPr>
          <w:p w14:paraId="2B0759F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DNMT3A</w:t>
            </w:r>
            <w:r>
              <w:rPr>
                <w:rFonts w:hint="eastAsia" w:ascii="宋体" w:hAnsi="宋体" w:eastAsia="宋体" w:cs="宋体"/>
                <w:color w:val="auto"/>
                <w:kern w:val="0"/>
                <w:sz w:val="21"/>
                <w:szCs w:val="21"/>
                <w:highlight w:val="none"/>
                <w:lang w:eastAsia="zh-Hans" w:bidi="ar"/>
              </w:rPr>
              <w:t>基因检测</w:t>
            </w:r>
          </w:p>
        </w:tc>
      </w:tr>
      <w:tr w14:paraId="24C9D63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E87C52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521</w:t>
            </w:r>
          </w:p>
        </w:tc>
        <w:tc>
          <w:tcPr>
            <w:tcW w:w="4800" w:type="dxa"/>
            <w:shd w:val="clear" w:color="auto" w:fill="auto"/>
            <w:noWrap/>
            <w:vAlign w:val="center"/>
          </w:tcPr>
          <w:p w14:paraId="54EA369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RUNX1</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53E55E6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551</w:t>
            </w:r>
          </w:p>
        </w:tc>
        <w:tc>
          <w:tcPr>
            <w:tcW w:w="3388" w:type="dxa"/>
            <w:shd w:val="clear" w:color="auto" w:fill="auto"/>
            <w:noWrap/>
            <w:vAlign w:val="center"/>
          </w:tcPr>
          <w:p w14:paraId="2A1DBF2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ETV6</w:t>
            </w:r>
            <w:r>
              <w:rPr>
                <w:rFonts w:hint="eastAsia" w:ascii="宋体" w:hAnsi="宋体" w:eastAsia="宋体" w:cs="宋体"/>
                <w:color w:val="auto"/>
                <w:kern w:val="0"/>
                <w:sz w:val="21"/>
                <w:szCs w:val="21"/>
                <w:highlight w:val="none"/>
                <w:lang w:eastAsia="zh-Hans" w:bidi="ar"/>
              </w:rPr>
              <w:t>基因检测</w:t>
            </w:r>
          </w:p>
        </w:tc>
      </w:tr>
      <w:tr w14:paraId="077CBCE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0C91414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522</w:t>
            </w:r>
          </w:p>
        </w:tc>
        <w:tc>
          <w:tcPr>
            <w:tcW w:w="4800" w:type="dxa"/>
            <w:shd w:val="clear" w:color="auto" w:fill="auto"/>
            <w:noWrap/>
            <w:vAlign w:val="center"/>
          </w:tcPr>
          <w:p w14:paraId="365E964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SF3B1</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0AE1130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552</w:t>
            </w:r>
          </w:p>
        </w:tc>
        <w:tc>
          <w:tcPr>
            <w:tcW w:w="3388" w:type="dxa"/>
            <w:shd w:val="clear" w:color="auto" w:fill="auto"/>
            <w:noWrap/>
            <w:vAlign w:val="center"/>
          </w:tcPr>
          <w:p w14:paraId="1C82AE2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ETNK1</w:t>
            </w:r>
            <w:r>
              <w:rPr>
                <w:rFonts w:hint="eastAsia" w:ascii="宋体" w:hAnsi="宋体" w:eastAsia="宋体" w:cs="宋体"/>
                <w:color w:val="auto"/>
                <w:kern w:val="0"/>
                <w:sz w:val="21"/>
                <w:szCs w:val="21"/>
                <w:highlight w:val="none"/>
                <w:lang w:eastAsia="zh-Hans" w:bidi="ar"/>
              </w:rPr>
              <w:t>基因检测</w:t>
            </w:r>
          </w:p>
        </w:tc>
      </w:tr>
      <w:tr w14:paraId="23EAACF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0E8365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523</w:t>
            </w:r>
          </w:p>
        </w:tc>
        <w:tc>
          <w:tcPr>
            <w:tcW w:w="4800" w:type="dxa"/>
            <w:shd w:val="clear" w:color="auto" w:fill="auto"/>
            <w:noWrap/>
            <w:vAlign w:val="center"/>
          </w:tcPr>
          <w:p w14:paraId="499E4CD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PHF6</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4CEF3AE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553</w:t>
            </w:r>
          </w:p>
        </w:tc>
        <w:tc>
          <w:tcPr>
            <w:tcW w:w="3388" w:type="dxa"/>
            <w:shd w:val="clear" w:color="auto" w:fill="auto"/>
            <w:noWrap/>
            <w:vAlign w:val="center"/>
          </w:tcPr>
          <w:p w14:paraId="064CE5F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EZH2</w:t>
            </w:r>
            <w:r>
              <w:rPr>
                <w:rFonts w:hint="eastAsia" w:ascii="宋体" w:hAnsi="宋体" w:eastAsia="宋体" w:cs="宋体"/>
                <w:color w:val="auto"/>
                <w:kern w:val="0"/>
                <w:sz w:val="21"/>
                <w:szCs w:val="21"/>
                <w:highlight w:val="none"/>
                <w:lang w:eastAsia="zh-Hans" w:bidi="ar"/>
              </w:rPr>
              <w:t>基因检测</w:t>
            </w:r>
          </w:p>
        </w:tc>
      </w:tr>
      <w:tr w14:paraId="5FF6EAB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E5BC4A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524</w:t>
            </w:r>
          </w:p>
        </w:tc>
        <w:tc>
          <w:tcPr>
            <w:tcW w:w="4800" w:type="dxa"/>
            <w:shd w:val="clear" w:color="auto" w:fill="auto"/>
            <w:noWrap/>
            <w:vAlign w:val="center"/>
          </w:tcPr>
          <w:p w14:paraId="2BD80E9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STAG2</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1186D1C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554</w:t>
            </w:r>
          </w:p>
        </w:tc>
        <w:tc>
          <w:tcPr>
            <w:tcW w:w="3388" w:type="dxa"/>
            <w:shd w:val="clear" w:color="auto" w:fill="auto"/>
            <w:noWrap/>
            <w:vAlign w:val="center"/>
          </w:tcPr>
          <w:p w14:paraId="4CEEFBA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JAK2</w:t>
            </w:r>
            <w:r>
              <w:rPr>
                <w:rFonts w:hint="eastAsia" w:ascii="宋体" w:hAnsi="宋体" w:eastAsia="宋体" w:cs="宋体"/>
                <w:color w:val="auto"/>
                <w:kern w:val="0"/>
                <w:sz w:val="21"/>
                <w:szCs w:val="21"/>
                <w:highlight w:val="none"/>
                <w:lang w:eastAsia="zh-Hans" w:bidi="ar"/>
              </w:rPr>
              <w:t>基因检测</w:t>
            </w:r>
          </w:p>
        </w:tc>
      </w:tr>
      <w:tr w14:paraId="3A2FA50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E1B46D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525</w:t>
            </w:r>
          </w:p>
        </w:tc>
        <w:tc>
          <w:tcPr>
            <w:tcW w:w="4800" w:type="dxa"/>
            <w:shd w:val="clear" w:color="auto" w:fill="auto"/>
            <w:noWrap/>
            <w:vAlign w:val="center"/>
          </w:tcPr>
          <w:p w14:paraId="5513B13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SRSF2</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0AE994E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555</w:t>
            </w:r>
          </w:p>
        </w:tc>
        <w:tc>
          <w:tcPr>
            <w:tcW w:w="3388" w:type="dxa"/>
            <w:shd w:val="clear" w:color="auto" w:fill="auto"/>
            <w:noWrap/>
            <w:vAlign w:val="center"/>
          </w:tcPr>
          <w:p w14:paraId="5338659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MPL</w:t>
            </w:r>
            <w:r>
              <w:rPr>
                <w:rFonts w:hint="eastAsia" w:ascii="宋体" w:hAnsi="宋体" w:eastAsia="宋体" w:cs="宋体"/>
                <w:color w:val="auto"/>
                <w:kern w:val="0"/>
                <w:sz w:val="21"/>
                <w:szCs w:val="21"/>
                <w:highlight w:val="none"/>
                <w:lang w:eastAsia="zh-Hans" w:bidi="ar"/>
              </w:rPr>
              <w:t>基因检测</w:t>
            </w:r>
          </w:p>
        </w:tc>
      </w:tr>
      <w:tr w14:paraId="5F864AB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3E80E2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526</w:t>
            </w:r>
          </w:p>
        </w:tc>
        <w:tc>
          <w:tcPr>
            <w:tcW w:w="4800" w:type="dxa"/>
            <w:shd w:val="clear" w:color="auto" w:fill="auto"/>
            <w:noWrap/>
            <w:vAlign w:val="center"/>
          </w:tcPr>
          <w:p w14:paraId="4C93516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TET2</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3B075A9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556</w:t>
            </w:r>
          </w:p>
        </w:tc>
        <w:tc>
          <w:tcPr>
            <w:tcW w:w="3388" w:type="dxa"/>
            <w:shd w:val="clear" w:color="auto" w:fill="auto"/>
            <w:noWrap/>
            <w:vAlign w:val="center"/>
          </w:tcPr>
          <w:p w14:paraId="5226FEB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NF1</w:t>
            </w:r>
            <w:r>
              <w:rPr>
                <w:rFonts w:hint="eastAsia" w:ascii="宋体" w:hAnsi="宋体" w:eastAsia="宋体" w:cs="宋体"/>
                <w:color w:val="auto"/>
                <w:kern w:val="0"/>
                <w:sz w:val="21"/>
                <w:szCs w:val="21"/>
                <w:highlight w:val="none"/>
                <w:lang w:eastAsia="zh-Hans" w:bidi="ar"/>
              </w:rPr>
              <w:t>基因检测</w:t>
            </w:r>
          </w:p>
        </w:tc>
      </w:tr>
      <w:tr w14:paraId="3D311DE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CB3C93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527</w:t>
            </w:r>
          </w:p>
        </w:tc>
        <w:tc>
          <w:tcPr>
            <w:tcW w:w="4800" w:type="dxa"/>
            <w:shd w:val="clear" w:color="auto" w:fill="auto"/>
            <w:noWrap/>
            <w:vAlign w:val="center"/>
          </w:tcPr>
          <w:p w14:paraId="4F783C6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PIGA</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4483D87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557</w:t>
            </w:r>
          </w:p>
        </w:tc>
        <w:tc>
          <w:tcPr>
            <w:tcW w:w="3388" w:type="dxa"/>
            <w:shd w:val="clear" w:color="auto" w:fill="auto"/>
            <w:noWrap/>
            <w:vAlign w:val="center"/>
          </w:tcPr>
          <w:p w14:paraId="40609C0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PTPN11</w:t>
            </w:r>
            <w:r>
              <w:rPr>
                <w:rFonts w:hint="eastAsia" w:ascii="宋体" w:hAnsi="宋体" w:eastAsia="宋体" w:cs="宋体"/>
                <w:color w:val="auto"/>
                <w:kern w:val="0"/>
                <w:sz w:val="21"/>
                <w:szCs w:val="21"/>
                <w:highlight w:val="none"/>
                <w:lang w:eastAsia="zh-Hans" w:bidi="ar"/>
              </w:rPr>
              <w:t>基因检测</w:t>
            </w:r>
          </w:p>
        </w:tc>
      </w:tr>
      <w:tr w14:paraId="0F30648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22107D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528</w:t>
            </w:r>
          </w:p>
        </w:tc>
        <w:tc>
          <w:tcPr>
            <w:tcW w:w="4800" w:type="dxa"/>
            <w:shd w:val="clear" w:color="auto" w:fill="auto"/>
            <w:noWrap/>
            <w:vAlign w:val="center"/>
          </w:tcPr>
          <w:p w14:paraId="3E717047">
            <w:pPr>
              <w:widowControl/>
              <w:jc w:val="center"/>
              <w:textAlignment w:val="center"/>
              <w:rPr>
                <w:rFonts w:hint="eastAsia" w:ascii="宋体" w:hAnsi="宋体" w:eastAsia="宋体" w:cs="宋体"/>
                <w:color w:val="auto"/>
                <w:kern w:val="0"/>
                <w:sz w:val="21"/>
                <w:szCs w:val="21"/>
                <w:highlight w:val="none"/>
                <w:lang w:eastAsia="zh-Hans" w:bidi="ar"/>
              </w:rPr>
            </w:pPr>
            <w:r>
              <w:rPr>
                <w:rFonts w:hint="eastAsia" w:ascii="宋体" w:hAnsi="宋体" w:eastAsia="宋体" w:cs="宋体"/>
                <w:color w:val="auto"/>
                <w:kern w:val="0"/>
                <w:sz w:val="21"/>
                <w:szCs w:val="21"/>
                <w:highlight w:val="none"/>
                <w:lang w:bidi="ar"/>
              </w:rPr>
              <w:t>RUNX1</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0571FF0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558</w:t>
            </w:r>
          </w:p>
        </w:tc>
        <w:tc>
          <w:tcPr>
            <w:tcW w:w="3388" w:type="dxa"/>
            <w:shd w:val="clear" w:color="auto" w:fill="auto"/>
            <w:noWrap/>
            <w:vAlign w:val="center"/>
          </w:tcPr>
          <w:p w14:paraId="397A0BE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SETBP1</w:t>
            </w:r>
            <w:r>
              <w:rPr>
                <w:rFonts w:hint="eastAsia" w:ascii="宋体" w:hAnsi="宋体" w:eastAsia="宋体" w:cs="宋体"/>
                <w:color w:val="auto"/>
                <w:kern w:val="0"/>
                <w:sz w:val="21"/>
                <w:szCs w:val="21"/>
                <w:highlight w:val="none"/>
                <w:lang w:eastAsia="zh-Hans" w:bidi="ar"/>
              </w:rPr>
              <w:t>基因检测</w:t>
            </w:r>
          </w:p>
        </w:tc>
      </w:tr>
      <w:tr w14:paraId="5D43140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E59764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529</w:t>
            </w:r>
          </w:p>
        </w:tc>
        <w:tc>
          <w:tcPr>
            <w:tcW w:w="4800" w:type="dxa"/>
            <w:shd w:val="clear" w:color="auto" w:fill="auto"/>
            <w:noWrap/>
            <w:vAlign w:val="center"/>
          </w:tcPr>
          <w:p w14:paraId="00E3901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SF3B1</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315E695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559</w:t>
            </w:r>
          </w:p>
        </w:tc>
        <w:tc>
          <w:tcPr>
            <w:tcW w:w="3388" w:type="dxa"/>
            <w:shd w:val="clear" w:color="auto" w:fill="auto"/>
            <w:noWrap/>
            <w:vAlign w:val="center"/>
          </w:tcPr>
          <w:p w14:paraId="09A4D5D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SH2B3</w:t>
            </w:r>
            <w:r>
              <w:rPr>
                <w:rFonts w:hint="eastAsia" w:ascii="宋体" w:hAnsi="宋体" w:eastAsia="宋体" w:cs="宋体"/>
                <w:color w:val="auto"/>
                <w:kern w:val="0"/>
                <w:sz w:val="21"/>
                <w:szCs w:val="21"/>
                <w:highlight w:val="none"/>
                <w:lang w:eastAsia="zh-Hans" w:bidi="ar"/>
              </w:rPr>
              <w:t>基因检测</w:t>
            </w:r>
          </w:p>
        </w:tc>
      </w:tr>
      <w:tr w14:paraId="6794770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126F142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530</w:t>
            </w:r>
          </w:p>
        </w:tc>
        <w:tc>
          <w:tcPr>
            <w:tcW w:w="4800" w:type="dxa"/>
            <w:shd w:val="clear" w:color="auto" w:fill="auto"/>
            <w:noWrap/>
            <w:vAlign w:val="center"/>
          </w:tcPr>
          <w:p w14:paraId="4285778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ABL1</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13198AE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560</w:t>
            </w:r>
          </w:p>
        </w:tc>
        <w:tc>
          <w:tcPr>
            <w:tcW w:w="3388" w:type="dxa"/>
            <w:shd w:val="clear" w:color="auto" w:fill="auto"/>
            <w:noWrap/>
            <w:vAlign w:val="center"/>
          </w:tcPr>
          <w:p w14:paraId="00120DC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SRP72</w:t>
            </w:r>
            <w:r>
              <w:rPr>
                <w:rFonts w:hint="eastAsia" w:ascii="宋体" w:hAnsi="宋体" w:eastAsia="宋体" w:cs="宋体"/>
                <w:color w:val="auto"/>
                <w:kern w:val="0"/>
                <w:sz w:val="21"/>
                <w:szCs w:val="21"/>
                <w:highlight w:val="none"/>
                <w:lang w:eastAsia="zh-Hans" w:bidi="ar"/>
              </w:rPr>
              <w:t>基因检测</w:t>
            </w:r>
          </w:p>
        </w:tc>
      </w:tr>
      <w:tr w14:paraId="0330B09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10122D5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531</w:t>
            </w:r>
          </w:p>
        </w:tc>
        <w:tc>
          <w:tcPr>
            <w:tcW w:w="4800" w:type="dxa"/>
            <w:shd w:val="clear" w:color="auto" w:fill="auto"/>
            <w:noWrap/>
            <w:vAlign w:val="center"/>
          </w:tcPr>
          <w:p w14:paraId="2B716F0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JAK3</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155A468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561</w:t>
            </w:r>
          </w:p>
        </w:tc>
        <w:tc>
          <w:tcPr>
            <w:tcW w:w="3388" w:type="dxa"/>
            <w:shd w:val="clear" w:color="auto" w:fill="auto"/>
            <w:noWrap/>
            <w:vAlign w:val="center"/>
          </w:tcPr>
          <w:p w14:paraId="423B26A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DDX41</w:t>
            </w:r>
            <w:r>
              <w:rPr>
                <w:rFonts w:hint="eastAsia" w:ascii="宋体" w:hAnsi="宋体" w:eastAsia="宋体" w:cs="宋体"/>
                <w:color w:val="auto"/>
                <w:kern w:val="0"/>
                <w:sz w:val="21"/>
                <w:szCs w:val="21"/>
                <w:highlight w:val="none"/>
                <w:lang w:eastAsia="zh-Hans" w:bidi="ar"/>
              </w:rPr>
              <w:t>基因检测</w:t>
            </w:r>
          </w:p>
        </w:tc>
      </w:tr>
      <w:tr w14:paraId="7A2083D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2EB573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532</w:t>
            </w:r>
          </w:p>
        </w:tc>
        <w:tc>
          <w:tcPr>
            <w:tcW w:w="4800" w:type="dxa"/>
            <w:shd w:val="clear" w:color="auto" w:fill="auto"/>
            <w:noWrap/>
            <w:vAlign w:val="center"/>
          </w:tcPr>
          <w:p w14:paraId="6930C1C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ANKRD26</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0B3AB86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562</w:t>
            </w:r>
          </w:p>
        </w:tc>
        <w:tc>
          <w:tcPr>
            <w:tcW w:w="3388" w:type="dxa"/>
            <w:shd w:val="clear" w:color="auto" w:fill="auto"/>
            <w:noWrap/>
            <w:vAlign w:val="center"/>
          </w:tcPr>
          <w:p w14:paraId="7AA4C48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GATA2</w:t>
            </w:r>
            <w:r>
              <w:rPr>
                <w:rFonts w:hint="eastAsia" w:ascii="宋体" w:hAnsi="宋体" w:eastAsia="宋体" w:cs="宋体"/>
                <w:color w:val="auto"/>
                <w:kern w:val="0"/>
                <w:sz w:val="21"/>
                <w:szCs w:val="21"/>
                <w:highlight w:val="none"/>
                <w:lang w:eastAsia="zh-Hans" w:bidi="ar"/>
              </w:rPr>
              <w:t>基因检测</w:t>
            </w:r>
          </w:p>
        </w:tc>
      </w:tr>
      <w:tr w14:paraId="2AEDAE2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CFCB85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533</w:t>
            </w:r>
          </w:p>
        </w:tc>
        <w:tc>
          <w:tcPr>
            <w:tcW w:w="4800" w:type="dxa"/>
            <w:shd w:val="clear" w:color="auto" w:fill="auto"/>
            <w:noWrap/>
            <w:vAlign w:val="center"/>
          </w:tcPr>
          <w:p w14:paraId="141E288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CUX1</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1607D32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563</w:t>
            </w:r>
          </w:p>
        </w:tc>
        <w:tc>
          <w:tcPr>
            <w:tcW w:w="3388" w:type="dxa"/>
            <w:shd w:val="clear" w:color="auto" w:fill="auto"/>
            <w:noWrap/>
            <w:vAlign w:val="center"/>
          </w:tcPr>
          <w:p w14:paraId="70C3BDE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GATA1</w:t>
            </w:r>
            <w:r>
              <w:rPr>
                <w:rFonts w:hint="eastAsia" w:ascii="宋体" w:hAnsi="宋体" w:eastAsia="宋体" w:cs="宋体"/>
                <w:color w:val="auto"/>
                <w:kern w:val="0"/>
                <w:sz w:val="21"/>
                <w:szCs w:val="21"/>
                <w:highlight w:val="none"/>
                <w:lang w:eastAsia="zh-Hans" w:bidi="ar"/>
              </w:rPr>
              <w:t>基因检测</w:t>
            </w:r>
          </w:p>
        </w:tc>
      </w:tr>
      <w:tr w14:paraId="4FD61C1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D7AD91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534</w:t>
            </w:r>
          </w:p>
        </w:tc>
        <w:tc>
          <w:tcPr>
            <w:tcW w:w="4800" w:type="dxa"/>
            <w:shd w:val="clear" w:color="auto" w:fill="auto"/>
            <w:noWrap/>
            <w:vAlign w:val="center"/>
          </w:tcPr>
          <w:p w14:paraId="4159CF3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NFE2</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14A30DB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564</w:t>
            </w:r>
          </w:p>
        </w:tc>
        <w:tc>
          <w:tcPr>
            <w:tcW w:w="3388" w:type="dxa"/>
            <w:shd w:val="clear" w:color="auto" w:fill="auto"/>
            <w:noWrap/>
            <w:vAlign w:val="center"/>
          </w:tcPr>
          <w:p w14:paraId="4BBFC2E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PPM1D</w:t>
            </w:r>
            <w:r>
              <w:rPr>
                <w:rFonts w:hint="eastAsia" w:ascii="宋体" w:hAnsi="宋体" w:eastAsia="宋体" w:cs="宋体"/>
                <w:color w:val="auto"/>
                <w:kern w:val="0"/>
                <w:sz w:val="21"/>
                <w:szCs w:val="21"/>
                <w:highlight w:val="none"/>
                <w:lang w:eastAsia="zh-Hans" w:bidi="ar"/>
              </w:rPr>
              <w:t>基因检测</w:t>
            </w:r>
          </w:p>
        </w:tc>
      </w:tr>
      <w:tr w14:paraId="3E3C361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11608B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535</w:t>
            </w:r>
          </w:p>
        </w:tc>
        <w:tc>
          <w:tcPr>
            <w:tcW w:w="4800" w:type="dxa"/>
            <w:shd w:val="clear" w:color="auto" w:fill="auto"/>
            <w:noWrap/>
            <w:vAlign w:val="center"/>
          </w:tcPr>
          <w:p w14:paraId="53B2372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GSKIP</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5853B3E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565</w:t>
            </w:r>
          </w:p>
        </w:tc>
        <w:tc>
          <w:tcPr>
            <w:tcW w:w="3388" w:type="dxa"/>
            <w:shd w:val="clear" w:color="auto" w:fill="auto"/>
            <w:noWrap/>
            <w:vAlign w:val="center"/>
          </w:tcPr>
          <w:p w14:paraId="49774BA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SAMD9L</w:t>
            </w:r>
            <w:r>
              <w:rPr>
                <w:rFonts w:hint="eastAsia" w:ascii="宋体" w:hAnsi="宋体" w:eastAsia="宋体" w:cs="宋体"/>
                <w:color w:val="auto"/>
                <w:kern w:val="0"/>
                <w:sz w:val="21"/>
                <w:szCs w:val="21"/>
                <w:highlight w:val="none"/>
                <w:lang w:eastAsia="zh-Hans" w:bidi="ar"/>
              </w:rPr>
              <w:t>基因检测</w:t>
            </w:r>
          </w:p>
        </w:tc>
      </w:tr>
      <w:tr w14:paraId="5408F93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14C27B8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536</w:t>
            </w:r>
          </w:p>
        </w:tc>
        <w:tc>
          <w:tcPr>
            <w:tcW w:w="4800" w:type="dxa"/>
            <w:shd w:val="clear" w:color="auto" w:fill="auto"/>
            <w:noWrap/>
            <w:vAlign w:val="center"/>
          </w:tcPr>
          <w:p w14:paraId="606349C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SAMD9</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5CCE177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566</w:t>
            </w:r>
          </w:p>
        </w:tc>
        <w:tc>
          <w:tcPr>
            <w:tcW w:w="3388" w:type="dxa"/>
            <w:shd w:val="clear" w:color="auto" w:fill="auto"/>
            <w:noWrap/>
            <w:vAlign w:val="center"/>
          </w:tcPr>
          <w:p w14:paraId="08AE97D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STAT3</w:t>
            </w:r>
            <w:r>
              <w:rPr>
                <w:rFonts w:hint="eastAsia" w:ascii="宋体" w:hAnsi="宋体" w:eastAsia="宋体" w:cs="宋体"/>
                <w:color w:val="auto"/>
                <w:kern w:val="0"/>
                <w:sz w:val="21"/>
                <w:szCs w:val="21"/>
                <w:highlight w:val="none"/>
                <w:lang w:eastAsia="zh-Hans" w:bidi="ar"/>
              </w:rPr>
              <w:t>基因检测</w:t>
            </w:r>
          </w:p>
        </w:tc>
      </w:tr>
      <w:tr w14:paraId="537646D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030130E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537</w:t>
            </w:r>
          </w:p>
        </w:tc>
        <w:tc>
          <w:tcPr>
            <w:tcW w:w="4800" w:type="dxa"/>
            <w:shd w:val="clear" w:color="auto" w:fill="auto"/>
            <w:noWrap/>
            <w:vAlign w:val="center"/>
          </w:tcPr>
          <w:p w14:paraId="04DDA5A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JAK1</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4DAC46D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567</w:t>
            </w:r>
          </w:p>
        </w:tc>
        <w:tc>
          <w:tcPr>
            <w:tcW w:w="3388" w:type="dxa"/>
            <w:shd w:val="clear" w:color="auto" w:fill="auto"/>
            <w:noWrap/>
            <w:vAlign w:val="center"/>
          </w:tcPr>
          <w:p w14:paraId="5020169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NOTCH1</w:t>
            </w:r>
            <w:r>
              <w:rPr>
                <w:rFonts w:hint="eastAsia" w:ascii="宋体" w:hAnsi="宋体" w:eastAsia="宋体" w:cs="宋体"/>
                <w:color w:val="auto"/>
                <w:kern w:val="0"/>
                <w:sz w:val="21"/>
                <w:szCs w:val="21"/>
                <w:highlight w:val="none"/>
                <w:lang w:eastAsia="zh-Hans" w:bidi="ar"/>
              </w:rPr>
              <w:t>基因检测</w:t>
            </w:r>
          </w:p>
        </w:tc>
      </w:tr>
      <w:tr w14:paraId="614EFB3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10890E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538</w:t>
            </w:r>
          </w:p>
        </w:tc>
        <w:tc>
          <w:tcPr>
            <w:tcW w:w="4800" w:type="dxa"/>
            <w:shd w:val="clear" w:color="auto" w:fill="auto"/>
            <w:noWrap/>
            <w:vAlign w:val="center"/>
          </w:tcPr>
          <w:p w14:paraId="3DC2F7A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PDGFRA</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01F472E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568</w:t>
            </w:r>
          </w:p>
        </w:tc>
        <w:tc>
          <w:tcPr>
            <w:tcW w:w="3388" w:type="dxa"/>
            <w:shd w:val="clear" w:color="auto" w:fill="auto"/>
            <w:noWrap/>
            <w:vAlign w:val="center"/>
          </w:tcPr>
          <w:p w14:paraId="0693875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SUZ12</w:t>
            </w:r>
            <w:r>
              <w:rPr>
                <w:rFonts w:hint="eastAsia" w:ascii="宋体" w:hAnsi="宋体" w:eastAsia="宋体" w:cs="宋体"/>
                <w:color w:val="auto"/>
                <w:kern w:val="0"/>
                <w:sz w:val="21"/>
                <w:szCs w:val="21"/>
                <w:highlight w:val="none"/>
                <w:lang w:eastAsia="zh-Hans" w:bidi="ar"/>
              </w:rPr>
              <w:t>基因检测</w:t>
            </w:r>
          </w:p>
        </w:tc>
      </w:tr>
      <w:tr w14:paraId="40A5BE6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8428B5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569</w:t>
            </w:r>
          </w:p>
        </w:tc>
        <w:tc>
          <w:tcPr>
            <w:tcW w:w="4800" w:type="dxa"/>
            <w:shd w:val="clear" w:color="auto" w:fill="auto"/>
            <w:noWrap/>
            <w:vAlign w:val="center"/>
          </w:tcPr>
          <w:p w14:paraId="1A3CB26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ATM</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4BAFF99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596</w:t>
            </w:r>
          </w:p>
        </w:tc>
        <w:tc>
          <w:tcPr>
            <w:tcW w:w="3388" w:type="dxa"/>
            <w:shd w:val="clear" w:color="auto" w:fill="auto"/>
            <w:noWrap/>
            <w:vAlign w:val="center"/>
          </w:tcPr>
          <w:p w14:paraId="0A30AA8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BRAF</w:t>
            </w:r>
            <w:r>
              <w:rPr>
                <w:rFonts w:hint="eastAsia" w:ascii="宋体" w:hAnsi="宋体" w:eastAsia="宋体" w:cs="宋体"/>
                <w:color w:val="auto"/>
                <w:kern w:val="0"/>
                <w:sz w:val="21"/>
                <w:szCs w:val="21"/>
                <w:highlight w:val="none"/>
                <w:lang w:eastAsia="zh-Hans" w:bidi="ar"/>
              </w:rPr>
              <w:t>基因检测</w:t>
            </w:r>
          </w:p>
        </w:tc>
      </w:tr>
      <w:tr w14:paraId="3EB62E7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1D0FAE2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570</w:t>
            </w:r>
          </w:p>
        </w:tc>
        <w:tc>
          <w:tcPr>
            <w:tcW w:w="4800" w:type="dxa"/>
            <w:shd w:val="clear" w:color="auto" w:fill="auto"/>
            <w:noWrap/>
            <w:vAlign w:val="center"/>
          </w:tcPr>
          <w:p w14:paraId="780C0A0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CSMD1</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2935620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597</w:t>
            </w:r>
          </w:p>
        </w:tc>
        <w:tc>
          <w:tcPr>
            <w:tcW w:w="3388" w:type="dxa"/>
            <w:shd w:val="clear" w:color="auto" w:fill="auto"/>
            <w:noWrap/>
            <w:vAlign w:val="center"/>
          </w:tcPr>
          <w:p w14:paraId="3E3B69A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EP300</w:t>
            </w:r>
            <w:r>
              <w:rPr>
                <w:rFonts w:hint="eastAsia" w:ascii="宋体" w:hAnsi="宋体" w:eastAsia="宋体" w:cs="宋体"/>
                <w:color w:val="auto"/>
                <w:kern w:val="0"/>
                <w:sz w:val="21"/>
                <w:szCs w:val="21"/>
                <w:highlight w:val="none"/>
                <w:lang w:eastAsia="zh-Hans" w:bidi="ar"/>
              </w:rPr>
              <w:t>基因检测</w:t>
            </w:r>
          </w:p>
        </w:tc>
      </w:tr>
      <w:tr w14:paraId="15E90D5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BEDC77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571</w:t>
            </w:r>
          </w:p>
        </w:tc>
        <w:tc>
          <w:tcPr>
            <w:tcW w:w="4800" w:type="dxa"/>
            <w:shd w:val="clear" w:color="auto" w:fill="auto"/>
            <w:noWrap/>
            <w:vAlign w:val="center"/>
          </w:tcPr>
          <w:p w14:paraId="6F36B35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GNAS</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5507F3E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598</w:t>
            </w:r>
          </w:p>
        </w:tc>
        <w:tc>
          <w:tcPr>
            <w:tcW w:w="3388" w:type="dxa"/>
            <w:shd w:val="clear" w:color="auto" w:fill="auto"/>
            <w:noWrap/>
            <w:vAlign w:val="center"/>
          </w:tcPr>
          <w:p w14:paraId="3374BCC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IKZF1</w:t>
            </w:r>
            <w:r>
              <w:rPr>
                <w:rFonts w:hint="eastAsia" w:ascii="宋体" w:hAnsi="宋体" w:eastAsia="宋体" w:cs="宋体"/>
                <w:color w:val="auto"/>
                <w:kern w:val="0"/>
                <w:sz w:val="21"/>
                <w:szCs w:val="21"/>
                <w:highlight w:val="none"/>
                <w:lang w:eastAsia="zh-Hans" w:bidi="ar"/>
              </w:rPr>
              <w:t>基因检测</w:t>
            </w:r>
          </w:p>
        </w:tc>
      </w:tr>
      <w:tr w14:paraId="1D4C497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9A3F5E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572</w:t>
            </w:r>
          </w:p>
        </w:tc>
        <w:tc>
          <w:tcPr>
            <w:tcW w:w="4800" w:type="dxa"/>
            <w:shd w:val="clear" w:color="auto" w:fill="auto"/>
            <w:noWrap/>
            <w:vAlign w:val="center"/>
          </w:tcPr>
          <w:p w14:paraId="0F3AF41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RAD21</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1B32E5E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599</w:t>
            </w:r>
          </w:p>
        </w:tc>
        <w:tc>
          <w:tcPr>
            <w:tcW w:w="3388" w:type="dxa"/>
            <w:shd w:val="clear" w:color="auto" w:fill="auto"/>
            <w:noWrap/>
            <w:vAlign w:val="center"/>
          </w:tcPr>
          <w:p w14:paraId="2CB3046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SF1</w:t>
            </w:r>
            <w:r>
              <w:rPr>
                <w:rFonts w:hint="eastAsia" w:ascii="宋体" w:hAnsi="宋体" w:eastAsia="宋体" w:cs="宋体"/>
                <w:color w:val="auto"/>
                <w:kern w:val="0"/>
                <w:sz w:val="21"/>
                <w:szCs w:val="21"/>
                <w:highlight w:val="none"/>
                <w:lang w:eastAsia="zh-Hans" w:bidi="ar"/>
              </w:rPr>
              <w:t>基因检测</w:t>
            </w:r>
          </w:p>
        </w:tc>
      </w:tr>
      <w:tr w14:paraId="74F12C8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B8AB76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573</w:t>
            </w:r>
          </w:p>
        </w:tc>
        <w:tc>
          <w:tcPr>
            <w:tcW w:w="4800" w:type="dxa"/>
            <w:shd w:val="clear" w:color="auto" w:fill="auto"/>
            <w:noWrap/>
            <w:vAlign w:val="center"/>
          </w:tcPr>
          <w:p w14:paraId="60FCA96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SF3A1</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0C59FD5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600</w:t>
            </w:r>
          </w:p>
        </w:tc>
        <w:tc>
          <w:tcPr>
            <w:tcW w:w="3388" w:type="dxa"/>
            <w:shd w:val="clear" w:color="auto" w:fill="auto"/>
            <w:noWrap/>
            <w:vAlign w:val="center"/>
          </w:tcPr>
          <w:p w14:paraId="44ED159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SMC1A</w:t>
            </w:r>
            <w:r>
              <w:rPr>
                <w:rFonts w:hint="eastAsia" w:ascii="宋体" w:hAnsi="宋体" w:eastAsia="宋体" w:cs="宋体"/>
                <w:color w:val="auto"/>
                <w:kern w:val="0"/>
                <w:sz w:val="21"/>
                <w:szCs w:val="21"/>
                <w:highlight w:val="none"/>
                <w:lang w:eastAsia="zh-Hans" w:bidi="ar"/>
              </w:rPr>
              <w:t>基因检测</w:t>
            </w:r>
          </w:p>
        </w:tc>
      </w:tr>
      <w:tr w14:paraId="5500BEE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D9CB19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574</w:t>
            </w:r>
          </w:p>
        </w:tc>
        <w:tc>
          <w:tcPr>
            <w:tcW w:w="4800" w:type="dxa"/>
            <w:shd w:val="clear" w:color="auto" w:fill="auto"/>
            <w:noWrap/>
            <w:vAlign w:val="center"/>
          </w:tcPr>
          <w:p w14:paraId="17A3F79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SMC3</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11763B6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601</w:t>
            </w:r>
          </w:p>
        </w:tc>
        <w:tc>
          <w:tcPr>
            <w:tcW w:w="3388" w:type="dxa"/>
            <w:shd w:val="clear" w:color="auto" w:fill="auto"/>
            <w:noWrap/>
            <w:vAlign w:val="center"/>
          </w:tcPr>
          <w:p w14:paraId="643A80D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UZAF2</w:t>
            </w:r>
            <w:r>
              <w:rPr>
                <w:rFonts w:hint="eastAsia" w:ascii="宋体" w:hAnsi="宋体" w:eastAsia="宋体" w:cs="宋体"/>
                <w:color w:val="auto"/>
                <w:kern w:val="0"/>
                <w:sz w:val="21"/>
                <w:szCs w:val="21"/>
                <w:highlight w:val="none"/>
                <w:lang w:eastAsia="zh-Hans" w:bidi="ar"/>
              </w:rPr>
              <w:t>基因检测</w:t>
            </w:r>
          </w:p>
        </w:tc>
      </w:tr>
      <w:tr w14:paraId="48DC622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5E10E5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575</w:t>
            </w:r>
          </w:p>
        </w:tc>
        <w:tc>
          <w:tcPr>
            <w:tcW w:w="4800" w:type="dxa"/>
            <w:shd w:val="clear" w:color="auto" w:fill="auto"/>
            <w:noWrap/>
            <w:vAlign w:val="center"/>
          </w:tcPr>
          <w:p w14:paraId="7E4AD14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ASXL2</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3114A30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602</w:t>
            </w:r>
          </w:p>
        </w:tc>
        <w:tc>
          <w:tcPr>
            <w:tcW w:w="3388" w:type="dxa"/>
            <w:shd w:val="clear" w:color="auto" w:fill="auto"/>
            <w:noWrap/>
            <w:vAlign w:val="center"/>
          </w:tcPr>
          <w:p w14:paraId="70D7760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ZBTB7A</w:t>
            </w:r>
            <w:r>
              <w:rPr>
                <w:rFonts w:hint="eastAsia" w:ascii="宋体" w:hAnsi="宋体" w:eastAsia="宋体" w:cs="宋体"/>
                <w:color w:val="auto"/>
                <w:kern w:val="0"/>
                <w:sz w:val="21"/>
                <w:szCs w:val="21"/>
                <w:highlight w:val="none"/>
                <w:lang w:eastAsia="zh-Hans" w:bidi="ar"/>
              </w:rPr>
              <w:t>基因检测</w:t>
            </w:r>
          </w:p>
        </w:tc>
      </w:tr>
      <w:tr w14:paraId="7D049BD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4343E6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576</w:t>
            </w:r>
          </w:p>
        </w:tc>
        <w:tc>
          <w:tcPr>
            <w:tcW w:w="4800" w:type="dxa"/>
            <w:shd w:val="clear" w:color="auto" w:fill="auto"/>
            <w:noWrap/>
            <w:vAlign w:val="center"/>
          </w:tcPr>
          <w:p w14:paraId="0F10401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SETD2</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60B607D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603</w:t>
            </w:r>
          </w:p>
        </w:tc>
        <w:tc>
          <w:tcPr>
            <w:tcW w:w="3388" w:type="dxa"/>
            <w:shd w:val="clear" w:color="auto" w:fill="auto"/>
            <w:noWrap/>
            <w:vAlign w:val="center"/>
          </w:tcPr>
          <w:p w14:paraId="50F79CD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ATRX</w:t>
            </w:r>
            <w:r>
              <w:rPr>
                <w:rFonts w:hint="eastAsia" w:ascii="宋体" w:hAnsi="宋体" w:eastAsia="宋体" w:cs="宋体"/>
                <w:color w:val="auto"/>
                <w:kern w:val="0"/>
                <w:sz w:val="21"/>
                <w:szCs w:val="21"/>
                <w:highlight w:val="none"/>
                <w:lang w:eastAsia="zh-Hans" w:bidi="ar"/>
              </w:rPr>
              <w:t>基因检测</w:t>
            </w:r>
          </w:p>
        </w:tc>
      </w:tr>
      <w:tr w14:paraId="64D87BE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6474D9B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577</w:t>
            </w:r>
          </w:p>
        </w:tc>
        <w:tc>
          <w:tcPr>
            <w:tcW w:w="4800" w:type="dxa"/>
            <w:shd w:val="clear" w:color="auto" w:fill="auto"/>
            <w:noWrap/>
            <w:vAlign w:val="center"/>
          </w:tcPr>
          <w:p w14:paraId="709E668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KDM6A</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0F4C9C9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604</w:t>
            </w:r>
          </w:p>
        </w:tc>
        <w:tc>
          <w:tcPr>
            <w:tcW w:w="3388" w:type="dxa"/>
            <w:shd w:val="clear" w:color="auto" w:fill="auto"/>
            <w:noWrap/>
            <w:vAlign w:val="center"/>
          </w:tcPr>
          <w:p w14:paraId="4D6E561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USHZA</w:t>
            </w:r>
            <w:r>
              <w:rPr>
                <w:rFonts w:hint="eastAsia" w:ascii="宋体" w:hAnsi="宋体" w:eastAsia="宋体" w:cs="宋体"/>
                <w:color w:val="auto"/>
                <w:kern w:val="0"/>
                <w:sz w:val="21"/>
                <w:szCs w:val="21"/>
                <w:highlight w:val="none"/>
                <w:lang w:eastAsia="zh-Hans" w:bidi="ar"/>
              </w:rPr>
              <w:t>基因检测</w:t>
            </w:r>
          </w:p>
        </w:tc>
      </w:tr>
      <w:tr w14:paraId="5B55E75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2C8955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578</w:t>
            </w:r>
          </w:p>
        </w:tc>
        <w:tc>
          <w:tcPr>
            <w:tcW w:w="4800" w:type="dxa"/>
            <w:shd w:val="clear" w:color="auto" w:fill="auto"/>
            <w:noWrap/>
            <w:vAlign w:val="center"/>
          </w:tcPr>
          <w:p w14:paraId="4F9D593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MED12</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339BDCC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605</w:t>
            </w:r>
          </w:p>
        </w:tc>
        <w:tc>
          <w:tcPr>
            <w:tcW w:w="3388" w:type="dxa"/>
            <w:shd w:val="clear" w:color="auto" w:fill="auto"/>
            <w:noWrap/>
            <w:vAlign w:val="center"/>
          </w:tcPr>
          <w:p w14:paraId="0DB3990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TCF3/PBX1</w:t>
            </w:r>
            <w:r>
              <w:rPr>
                <w:rFonts w:hint="eastAsia" w:ascii="宋体" w:hAnsi="宋体" w:eastAsia="宋体" w:cs="宋体"/>
                <w:color w:val="auto"/>
                <w:kern w:val="0"/>
                <w:sz w:val="21"/>
                <w:szCs w:val="21"/>
                <w:highlight w:val="none"/>
                <w:lang w:eastAsia="zh-Hans" w:bidi="ar"/>
              </w:rPr>
              <w:t>基因检测</w:t>
            </w:r>
          </w:p>
        </w:tc>
      </w:tr>
      <w:tr w14:paraId="51CB2EB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981C43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579</w:t>
            </w:r>
          </w:p>
        </w:tc>
        <w:tc>
          <w:tcPr>
            <w:tcW w:w="4800" w:type="dxa"/>
            <w:shd w:val="clear" w:color="auto" w:fill="auto"/>
            <w:noWrap/>
            <w:vAlign w:val="center"/>
          </w:tcPr>
          <w:p w14:paraId="40CE3F9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ALL15种常见融合基因筛查</w:t>
            </w:r>
          </w:p>
        </w:tc>
        <w:tc>
          <w:tcPr>
            <w:tcW w:w="915" w:type="dxa"/>
            <w:shd w:val="clear" w:color="auto" w:fill="auto"/>
            <w:noWrap/>
            <w:vAlign w:val="center"/>
          </w:tcPr>
          <w:p w14:paraId="59120F5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606</w:t>
            </w:r>
          </w:p>
        </w:tc>
        <w:tc>
          <w:tcPr>
            <w:tcW w:w="3388" w:type="dxa"/>
            <w:shd w:val="clear" w:color="auto" w:fill="auto"/>
            <w:noWrap/>
            <w:vAlign w:val="center"/>
          </w:tcPr>
          <w:p w14:paraId="0B9E9A8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TEL/ ABL1</w:t>
            </w:r>
            <w:r>
              <w:rPr>
                <w:rFonts w:hint="eastAsia" w:ascii="宋体" w:hAnsi="宋体" w:eastAsia="宋体" w:cs="宋体"/>
                <w:color w:val="auto"/>
                <w:kern w:val="0"/>
                <w:sz w:val="21"/>
                <w:szCs w:val="21"/>
                <w:highlight w:val="none"/>
                <w:lang w:eastAsia="zh-Hans" w:bidi="ar"/>
              </w:rPr>
              <w:t>基因检测</w:t>
            </w:r>
          </w:p>
        </w:tc>
      </w:tr>
      <w:tr w14:paraId="46BA8E2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05F7AFB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580</w:t>
            </w:r>
          </w:p>
        </w:tc>
        <w:tc>
          <w:tcPr>
            <w:tcW w:w="4800" w:type="dxa"/>
            <w:shd w:val="clear" w:color="auto" w:fill="auto"/>
            <w:noWrap/>
            <w:vAlign w:val="center"/>
          </w:tcPr>
          <w:p w14:paraId="5B2F0E5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MLL/AFX</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7C23CC9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607</w:t>
            </w:r>
          </w:p>
        </w:tc>
        <w:tc>
          <w:tcPr>
            <w:tcW w:w="3388" w:type="dxa"/>
            <w:shd w:val="clear" w:color="auto" w:fill="auto"/>
            <w:noWrap/>
            <w:vAlign w:val="center"/>
          </w:tcPr>
          <w:p w14:paraId="20D3024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SIL/TAL1</w:t>
            </w:r>
            <w:r>
              <w:rPr>
                <w:rFonts w:hint="eastAsia" w:ascii="宋体" w:hAnsi="宋体" w:eastAsia="宋体" w:cs="宋体"/>
                <w:color w:val="auto"/>
                <w:kern w:val="0"/>
                <w:sz w:val="21"/>
                <w:szCs w:val="21"/>
                <w:highlight w:val="none"/>
                <w:lang w:eastAsia="zh-Hans" w:bidi="ar"/>
              </w:rPr>
              <w:t>基因检测</w:t>
            </w:r>
          </w:p>
        </w:tc>
      </w:tr>
      <w:tr w14:paraId="0C372F8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0EA7254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581</w:t>
            </w:r>
          </w:p>
        </w:tc>
        <w:tc>
          <w:tcPr>
            <w:tcW w:w="4800" w:type="dxa"/>
            <w:shd w:val="clear" w:color="auto" w:fill="auto"/>
            <w:noWrap/>
            <w:vAlign w:val="center"/>
          </w:tcPr>
          <w:p w14:paraId="3D150A8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MLL/AF1P</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71F3906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608</w:t>
            </w:r>
          </w:p>
        </w:tc>
        <w:tc>
          <w:tcPr>
            <w:tcW w:w="3388" w:type="dxa"/>
            <w:shd w:val="clear" w:color="auto" w:fill="auto"/>
            <w:noWrap/>
            <w:vAlign w:val="center"/>
          </w:tcPr>
          <w:p w14:paraId="366FB7A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BCR/ABL(p190)</w:t>
            </w:r>
            <w:r>
              <w:rPr>
                <w:rFonts w:hint="eastAsia" w:ascii="宋体" w:hAnsi="宋体" w:eastAsia="宋体" w:cs="宋体"/>
                <w:color w:val="auto"/>
                <w:kern w:val="0"/>
                <w:sz w:val="21"/>
                <w:szCs w:val="21"/>
                <w:highlight w:val="none"/>
                <w:lang w:eastAsia="zh-Hans" w:bidi="ar"/>
              </w:rPr>
              <w:t>基因检测</w:t>
            </w:r>
          </w:p>
        </w:tc>
      </w:tr>
      <w:tr w14:paraId="3E11C52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CB1BB5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582</w:t>
            </w:r>
          </w:p>
        </w:tc>
        <w:tc>
          <w:tcPr>
            <w:tcW w:w="4800" w:type="dxa"/>
            <w:shd w:val="clear" w:color="auto" w:fill="auto"/>
            <w:noWrap/>
            <w:vAlign w:val="center"/>
          </w:tcPr>
          <w:p w14:paraId="6E66FCB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MLL/AF4</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69B09AC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609</w:t>
            </w:r>
          </w:p>
        </w:tc>
        <w:tc>
          <w:tcPr>
            <w:tcW w:w="3388" w:type="dxa"/>
            <w:shd w:val="clear" w:color="auto" w:fill="auto"/>
            <w:noWrap/>
            <w:vAlign w:val="center"/>
          </w:tcPr>
          <w:p w14:paraId="6CA906A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E2A/HLF</w:t>
            </w:r>
            <w:r>
              <w:rPr>
                <w:rFonts w:hint="eastAsia" w:ascii="宋体" w:hAnsi="宋体" w:eastAsia="宋体" w:cs="宋体"/>
                <w:color w:val="auto"/>
                <w:kern w:val="0"/>
                <w:sz w:val="21"/>
                <w:szCs w:val="21"/>
                <w:highlight w:val="none"/>
                <w:lang w:eastAsia="zh-Hans" w:bidi="ar"/>
              </w:rPr>
              <w:t>基因检测</w:t>
            </w:r>
          </w:p>
        </w:tc>
      </w:tr>
      <w:tr w14:paraId="30FD17E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0D6D5D9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583</w:t>
            </w:r>
          </w:p>
        </w:tc>
        <w:tc>
          <w:tcPr>
            <w:tcW w:w="4800" w:type="dxa"/>
            <w:shd w:val="clear" w:color="auto" w:fill="auto"/>
            <w:noWrap/>
            <w:vAlign w:val="center"/>
          </w:tcPr>
          <w:p w14:paraId="5FD86DC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MLL/AF6</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470F1B0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610</w:t>
            </w:r>
          </w:p>
        </w:tc>
        <w:tc>
          <w:tcPr>
            <w:tcW w:w="3388" w:type="dxa"/>
            <w:shd w:val="clear" w:color="auto" w:fill="auto"/>
            <w:noWrap/>
            <w:vAlign w:val="center"/>
          </w:tcPr>
          <w:p w14:paraId="60366B5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HOX11</w:t>
            </w:r>
            <w:r>
              <w:rPr>
                <w:rFonts w:hint="eastAsia" w:ascii="宋体" w:hAnsi="宋体" w:eastAsia="宋体" w:cs="宋体"/>
                <w:color w:val="auto"/>
                <w:kern w:val="0"/>
                <w:sz w:val="21"/>
                <w:szCs w:val="21"/>
                <w:highlight w:val="none"/>
                <w:lang w:eastAsia="zh-Hans" w:bidi="ar"/>
              </w:rPr>
              <w:t>基因检测</w:t>
            </w:r>
          </w:p>
        </w:tc>
      </w:tr>
      <w:tr w14:paraId="0BE76A0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932263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584</w:t>
            </w:r>
          </w:p>
        </w:tc>
        <w:tc>
          <w:tcPr>
            <w:tcW w:w="4800" w:type="dxa"/>
            <w:shd w:val="clear" w:color="auto" w:fill="auto"/>
            <w:noWrap/>
            <w:vAlign w:val="center"/>
          </w:tcPr>
          <w:p w14:paraId="222D2F1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MLL/ENL</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769CFBE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611</w:t>
            </w:r>
          </w:p>
        </w:tc>
        <w:tc>
          <w:tcPr>
            <w:tcW w:w="3388" w:type="dxa"/>
            <w:shd w:val="clear" w:color="auto" w:fill="auto"/>
            <w:noWrap/>
            <w:vAlign w:val="center"/>
          </w:tcPr>
          <w:p w14:paraId="4B02E8C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IGH重排阳性套餐（IGH/MAFt(14;16)</w:t>
            </w:r>
          </w:p>
          <w:p w14:paraId="5192A61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IGH/MAFBt(14;20)</w:t>
            </w:r>
          </w:p>
          <w:p w14:paraId="0765C65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IGH/CCND1 t(11;14)</w:t>
            </w:r>
          </w:p>
          <w:p w14:paraId="0F8F0C3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IGH/FGFR3 t(4;14) </w:t>
            </w:r>
          </w:p>
          <w:p w14:paraId="26DC38C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IGH/CCND3 t(6;14) </w:t>
            </w:r>
          </w:p>
          <w:p w14:paraId="406C8CB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CD138磁珠富集）</w:t>
            </w:r>
          </w:p>
        </w:tc>
      </w:tr>
      <w:tr w14:paraId="5518AE7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AF385C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585</w:t>
            </w:r>
          </w:p>
        </w:tc>
        <w:tc>
          <w:tcPr>
            <w:tcW w:w="4800" w:type="dxa"/>
            <w:shd w:val="clear" w:color="auto" w:fill="auto"/>
            <w:noWrap/>
            <w:vAlign w:val="center"/>
          </w:tcPr>
          <w:p w14:paraId="76D0C5A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TEL/AML1</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190C53C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612</w:t>
            </w:r>
          </w:p>
        </w:tc>
        <w:tc>
          <w:tcPr>
            <w:tcW w:w="3388" w:type="dxa"/>
            <w:shd w:val="clear" w:color="auto" w:fill="auto"/>
            <w:noWrap/>
            <w:vAlign w:val="center"/>
          </w:tcPr>
          <w:p w14:paraId="32FCCFC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血液肿瘤全景式基因检测</w:t>
            </w:r>
          </w:p>
        </w:tc>
      </w:tr>
      <w:tr w14:paraId="2B62223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670784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586</w:t>
            </w:r>
          </w:p>
        </w:tc>
        <w:tc>
          <w:tcPr>
            <w:tcW w:w="4800" w:type="dxa"/>
            <w:shd w:val="clear" w:color="auto" w:fill="auto"/>
            <w:noWrap/>
            <w:vAlign w:val="center"/>
          </w:tcPr>
          <w:p w14:paraId="7C30908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dupMLL</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13DA202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613</w:t>
            </w:r>
          </w:p>
        </w:tc>
        <w:tc>
          <w:tcPr>
            <w:tcW w:w="3388" w:type="dxa"/>
            <w:shd w:val="clear" w:color="auto" w:fill="auto"/>
            <w:noWrap/>
            <w:vAlign w:val="center"/>
          </w:tcPr>
          <w:p w14:paraId="679580E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单项基因已知突变检测</w:t>
            </w:r>
          </w:p>
        </w:tc>
      </w:tr>
      <w:tr w14:paraId="70B3E86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3129BC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587</w:t>
            </w:r>
          </w:p>
        </w:tc>
        <w:tc>
          <w:tcPr>
            <w:tcW w:w="4800" w:type="dxa"/>
            <w:shd w:val="clear" w:color="auto" w:fill="auto"/>
            <w:noWrap/>
            <w:vAlign w:val="center"/>
          </w:tcPr>
          <w:p w14:paraId="07BE6D4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TLS/ERG</w:t>
            </w:r>
            <w:r>
              <w:rPr>
                <w:rFonts w:hint="eastAsia" w:ascii="宋体" w:hAnsi="宋体" w:eastAsia="宋体" w:cs="宋体"/>
                <w:color w:val="auto"/>
                <w:kern w:val="0"/>
                <w:sz w:val="21"/>
                <w:szCs w:val="21"/>
                <w:highlight w:val="none"/>
                <w:lang w:eastAsia="zh-Hans" w:bidi="ar"/>
              </w:rPr>
              <w:t>基因检测</w:t>
            </w:r>
          </w:p>
        </w:tc>
        <w:tc>
          <w:tcPr>
            <w:tcW w:w="915" w:type="dxa"/>
            <w:shd w:val="clear" w:color="auto" w:fill="auto"/>
            <w:noWrap/>
            <w:vAlign w:val="center"/>
          </w:tcPr>
          <w:p w14:paraId="53F5010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614</w:t>
            </w:r>
          </w:p>
        </w:tc>
        <w:tc>
          <w:tcPr>
            <w:tcW w:w="3388" w:type="dxa"/>
            <w:shd w:val="clear" w:color="auto" w:fill="auto"/>
            <w:noWrap/>
            <w:vAlign w:val="center"/>
          </w:tcPr>
          <w:p w14:paraId="496DDC0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DNMT3A基因已知突变</w:t>
            </w:r>
          </w:p>
        </w:tc>
      </w:tr>
      <w:tr w14:paraId="15A01BD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0F7D716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588</w:t>
            </w:r>
          </w:p>
        </w:tc>
        <w:tc>
          <w:tcPr>
            <w:tcW w:w="4800" w:type="dxa"/>
            <w:shd w:val="clear" w:color="auto" w:fill="auto"/>
            <w:noWrap/>
            <w:vAlign w:val="center"/>
          </w:tcPr>
          <w:p w14:paraId="174682F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BCOR基因已知突变</w:t>
            </w:r>
          </w:p>
        </w:tc>
        <w:tc>
          <w:tcPr>
            <w:tcW w:w="915" w:type="dxa"/>
            <w:shd w:val="clear" w:color="auto" w:fill="auto"/>
            <w:noWrap/>
            <w:vAlign w:val="center"/>
          </w:tcPr>
          <w:p w14:paraId="0FDD62E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615</w:t>
            </w:r>
          </w:p>
        </w:tc>
        <w:tc>
          <w:tcPr>
            <w:tcW w:w="3388" w:type="dxa"/>
            <w:shd w:val="clear" w:color="auto" w:fill="auto"/>
            <w:noWrap/>
            <w:vAlign w:val="center"/>
          </w:tcPr>
          <w:p w14:paraId="77A1988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ASXL1基因已知突变</w:t>
            </w:r>
          </w:p>
        </w:tc>
      </w:tr>
      <w:tr w14:paraId="565AD5B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CB686B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589</w:t>
            </w:r>
          </w:p>
        </w:tc>
        <w:tc>
          <w:tcPr>
            <w:tcW w:w="4800" w:type="dxa"/>
            <w:shd w:val="clear" w:color="auto" w:fill="auto"/>
            <w:noWrap/>
            <w:vAlign w:val="center"/>
          </w:tcPr>
          <w:p w14:paraId="6FF260B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乳腺癌95基因突变检测（ctDNA）</w:t>
            </w:r>
          </w:p>
        </w:tc>
        <w:tc>
          <w:tcPr>
            <w:tcW w:w="915" w:type="dxa"/>
            <w:shd w:val="clear" w:color="auto" w:fill="auto"/>
            <w:noWrap/>
            <w:vAlign w:val="center"/>
          </w:tcPr>
          <w:p w14:paraId="237D1CC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616</w:t>
            </w:r>
          </w:p>
        </w:tc>
        <w:tc>
          <w:tcPr>
            <w:tcW w:w="3388" w:type="dxa"/>
            <w:shd w:val="clear" w:color="auto" w:fill="auto"/>
            <w:noWrap/>
            <w:vAlign w:val="center"/>
          </w:tcPr>
          <w:p w14:paraId="6E87FF1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TET2基因已知突变</w:t>
            </w:r>
          </w:p>
        </w:tc>
      </w:tr>
      <w:tr w14:paraId="06E3F2E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13D0805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590</w:t>
            </w:r>
          </w:p>
        </w:tc>
        <w:tc>
          <w:tcPr>
            <w:tcW w:w="4800" w:type="dxa"/>
            <w:shd w:val="clear" w:color="auto" w:fill="auto"/>
            <w:noWrap/>
            <w:vAlign w:val="center"/>
          </w:tcPr>
          <w:p w14:paraId="22671A8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结直肠癌94基因突变检测（ctDNA）</w:t>
            </w:r>
          </w:p>
        </w:tc>
        <w:tc>
          <w:tcPr>
            <w:tcW w:w="915" w:type="dxa"/>
            <w:shd w:val="clear" w:color="auto" w:fill="auto"/>
            <w:noWrap/>
            <w:vAlign w:val="center"/>
          </w:tcPr>
          <w:p w14:paraId="352AB81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617</w:t>
            </w:r>
          </w:p>
        </w:tc>
        <w:tc>
          <w:tcPr>
            <w:tcW w:w="3388" w:type="dxa"/>
            <w:shd w:val="clear" w:color="auto" w:fill="auto"/>
            <w:noWrap/>
            <w:vAlign w:val="center"/>
          </w:tcPr>
          <w:p w14:paraId="17248BA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WT1基因已知突变</w:t>
            </w:r>
          </w:p>
        </w:tc>
      </w:tr>
      <w:tr w14:paraId="44E6B3E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92" w:type="dxa"/>
            <w:shd w:val="clear" w:color="auto" w:fill="auto"/>
            <w:noWrap w:val="0"/>
            <w:vAlign w:val="center"/>
          </w:tcPr>
          <w:p w14:paraId="746EBFA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591</w:t>
            </w:r>
          </w:p>
        </w:tc>
        <w:tc>
          <w:tcPr>
            <w:tcW w:w="4800" w:type="dxa"/>
            <w:shd w:val="clear" w:color="auto" w:fill="auto"/>
            <w:noWrap/>
            <w:vAlign w:val="center"/>
          </w:tcPr>
          <w:p w14:paraId="11E0215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甲状腺癌80基因突变检测（ctDNA）</w:t>
            </w:r>
          </w:p>
        </w:tc>
        <w:tc>
          <w:tcPr>
            <w:tcW w:w="915" w:type="dxa"/>
            <w:shd w:val="clear" w:color="auto" w:fill="auto"/>
            <w:noWrap/>
            <w:vAlign w:val="center"/>
          </w:tcPr>
          <w:p w14:paraId="59DE5B3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618</w:t>
            </w:r>
          </w:p>
        </w:tc>
        <w:tc>
          <w:tcPr>
            <w:tcW w:w="3388" w:type="dxa"/>
            <w:shd w:val="clear" w:color="auto" w:fill="auto"/>
            <w:noWrap/>
            <w:vAlign w:val="center"/>
          </w:tcPr>
          <w:p w14:paraId="655420F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KRAS基因已知突变</w:t>
            </w:r>
          </w:p>
        </w:tc>
      </w:tr>
      <w:tr w14:paraId="72C15D5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72AC0A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592</w:t>
            </w:r>
          </w:p>
        </w:tc>
        <w:tc>
          <w:tcPr>
            <w:tcW w:w="4800" w:type="dxa"/>
            <w:shd w:val="clear" w:color="auto" w:fill="auto"/>
            <w:noWrap/>
            <w:vAlign w:val="center"/>
          </w:tcPr>
          <w:p w14:paraId="5DE7EEB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妇科肿瘤97基因突变检测（ctDNA）</w:t>
            </w:r>
          </w:p>
        </w:tc>
        <w:tc>
          <w:tcPr>
            <w:tcW w:w="915" w:type="dxa"/>
            <w:shd w:val="clear" w:color="auto" w:fill="auto"/>
            <w:noWrap/>
            <w:vAlign w:val="center"/>
          </w:tcPr>
          <w:p w14:paraId="637F5D0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619</w:t>
            </w:r>
          </w:p>
        </w:tc>
        <w:tc>
          <w:tcPr>
            <w:tcW w:w="3388" w:type="dxa"/>
            <w:shd w:val="clear" w:color="auto" w:fill="auto"/>
            <w:noWrap/>
            <w:vAlign w:val="center"/>
          </w:tcPr>
          <w:p w14:paraId="64C1B16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CSF3R基因已知突变</w:t>
            </w:r>
          </w:p>
        </w:tc>
      </w:tr>
      <w:tr w14:paraId="535447C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F811D2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593</w:t>
            </w:r>
          </w:p>
        </w:tc>
        <w:tc>
          <w:tcPr>
            <w:tcW w:w="4800" w:type="dxa"/>
            <w:shd w:val="clear" w:color="auto" w:fill="auto"/>
            <w:noWrap/>
            <w:vAlign w:val="center"/>
          </w:tcPr>
          <w:p w14:paraId="36C6124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泌尿肿瘤107基因突变检测（ctDNA）</w:t>
            </w:r>
          </w:p>
        </w:tc>
        <w:tc>
          <w:tcPr>
            <w:tcW w:w="915" w:type="dxa"/>
            <w:shd w:val="clear" w:color="auto" w:fill="auto"/>
            <w:noWrap/>
            <w:vAlign w:val="center"/>
          </w:tcPr>
          <w:p w14:paraId="294B236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620</w:t>
            </w:r>
          </w:p>
        </w:tc>
        <w:tc>
          <w:tcPr>
            <w:tcW w:w="3388" w:type="dxa"/>
            <w:shd w:val="clear" w:color="auto" w:fill="auto"/>
            <w:noWrap/>
            <w:vAlign w:val="center"/>
          </w:tcPr>
          <w:p w14:paraId="0C8EBE6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TP53基因已知突变</w:t>
            </w:r>
          </w:p>
        </w:tc>
      </w:tr>
      <w:tr w14:paraId="5A77009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B55BDF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594</w:t>
            </w:r>
          </w:p>
        </w:tc>
        <w:tc>
          <w:tcPr>
            <w:tcW w:w="4800" w:type="dxa"/>
            <w:shd w:val="clear" w:color="auto" w:fill="auto"/>
            <w:noWrap/>
            <w:vAlign w:val="center"/>
          </w:tcPr>
          <w:p w14:paraId="102DFD1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消化道肿瘤123基因突变检测（ctDNA）</w:t>
            </w:r>
          </w:p>
        </w:tc>
        <w:tc>
          <w:tcPr>
            <w:tcW w:w="915" w:type="dxa"/>
            <w:shd w:val="clear" w:color="auto" w:fill="auto"/>
            <w:noWrap/>
            <w:vAlign w:val="center"/>
          </w:tcPr>
          <w:p w14:paraId="48AC1DA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621</w:t>
            </w:r>
          </w:p>
        </w:tc>
        <w:tc>
          <w:tcPr>
            <w:tcW w:w="3388" w:type="dxa"/>
            <w:shd w:val="clear" w:color="auto" w:fill="auto"/>
            <w:noWrap/>
            <w:vAlign w:val="center"/>
          </w:tcPr>
          <w:p w14:paraId="4568993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RUNX1基因已知突变</w:t>
            </w:r>
          </w:p>
        </w:tc>
      </w:tr>
      <w:tr w14:paraId="74FB375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2B4646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595</w:t>
            </w:r>
          </w:p>
        </w:tc>
        <w:tc>
          <w:tcPr>
            <w:tcW w:w="4800" w:type="dxa"/>
            <w:shd w:val="clear" w:color="auto" w:fill="auto"/>
            <w:noWrap/>
            <w:vAlign w:val="center"/>
          </w:tcPr>
          <w:p w14:paraId="14D0FC5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乳腺癌95基因突变检测（ctDNA）</w:t>
            </w:r>
          </w:p>
        </w:tc>
        <w:tc>
          <w:tcPr>
            <w:tcW w:w="915" w:type="dxa"/>
            <w:shd w:val="clear" w:color="auto" w:fill="auto"/>
            <w:noWrap/>
            <w:vAlign w:val="center"/>
          </w:tcPr>
          <w:p w14:paraId="7331CE3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623</w:t>
            </w:r>
          </w:p>
        </w:tc>
        <w:tc>
          <w:tcPr>
            <w:tcW w:w="3388" w:type="dxa"/>
            <w:shd w:val="clear" w:color="auto" w:fill="auto"/>
            <w:noWrap/>
            <w:vAlign w:val="center"/>
          </w:tcPr>
          <w:p w14:paraId="77F990A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STAG2已知突变</w:t>
            </w:r>
          </w:p>
        </w:tc>
      </w:tr>
      <w:tr w14:paraId="149B34A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86A370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624</w:t>
            </w:r>
          </w:p>
        </w:tc>
        <w:tc>
          <w:tcPr>
            <w:tcW w:w="4800" w:type="dxa"/>
            <w:shd w:val="clear" w:color="auto" w:fill="auto"/>
            <w:noWrap/>
            <w:vAlign w:val="center"/>
          </w:tcPr>
          <w:p w14:paraId="7FCF05EA">
            <w:pPr>
              <w:widowControl/>
              <w:jc w:val="center"/>
              <w:textAlignment w:val="center"/>
              <w:rPr>
                <w:rFonts w:hint="eastAsia" w:ascii="宋体" w:hAnsi="宋体" w:eastAsia="宋体" w:cs="宋体"/>
                <w:color w:val="auto"/>
                <w:kern w:val="0"/>
                <w:sz w:val="21"/>
                <w:szCs w:val="21"/>
                <w:highlight w:val="none"/>
                <w:lang w:eastAsia="zh-Hans" w:bidi="ar"/>
              </w:rPr>
            </w:pPr>
            <w:r>
              <w:rPr>
                <w:rFonts w:hint="eastAsia" w:ascii="宋体" w:hAnsi="宋体" w:eastAsia="宋体" w:cs="宋体"/>
                <w:color w:val="auto"/>
                <w:kern w:val="0"/>
                <w:sz w:val="21"/>
                <w:szCs w:val="21"/>
                <w:highlight w:val="none"/>
                <w:lang w:eastAsia="zh-Hans" w:bidi="ar"/>
              </w:rPr>
              <w:t>实体瘤169综合基因检测（血液）</w:t>
            </w:r>
          </w:p>
        </w:tc>
        <w:tc>
          <w:tcPr>
            <w:tcW w:w="915" w:type="dxa"/>
            <w:shd w:val="clear" w:color="auto" w:fill="auto"/>
            <w:noWrap/>
            <w:vAlign w:val="center"/>
          </w:tcPr>
          <w:p w14:paraId="0D8D076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642</w:t>
            </w:r>
          </w:p>
        </w:tc>
        <w:tc>
          <w:tcPr>
            <w:tcW w:w="3388" w:type="dxa"/>
            <w:shd w:val="clear" w:color="auto" w:fill="auto"/>
            <w:noWrap/>
            <w:vAlign w:val="center"/>
          </w:tcPr>
          <w:p w14:paraId="6B75BB9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Hans" w:bidi="ar"/>
              </w:rPr>
              <w:t>实体瘤611全景基因检测动态检测（血液）</w:t>
            </w:r>
          </w:p>
        </w:tc>
      </w:tr>
      <w:tr w14:paraId="554A4F2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1B82483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625</w:t>
            </w:r>
          </w:p>
        </w:tc>
        <w:tc>
          <w:tcPr>
            <w:tcW w:w="4800" w:type="dxa"/>
            <w:shd w:val="clear" w:color="auto" w:fill="auto"/>
            <w:noWrap/>
            <w:vAlign w:val="center"/>
          </w:tcPr>
          <w:p w14:paraId="446C6F2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Hans" w:bidi="ar"/>
              </w:rPr>
              <w:t>实体瘤611全景基因检测（血液）</w:t>
            </w:r>
          </w:p>
        </w:tc>
        <w:tc>
          <w:tcPr>
            <w:tcW w:w="915" w:type="dxa"/>
            <w:shd w:val="clear" w:color="auto" w:fill="auto"/>
            <w:noWrap/>
            <w:vAlign w:val="center"/>
          </w:tcPr>
          <w:p w14:paraId="044DB68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643</w:t>
            </w:r>
          </w:p>
        </w:tc>
        <w:tc>
          <w:tcPr>
            <w:tcW w:w="3388" w:type="dxa"/>
            <w:shd w:val="clear" w:color="auto" w:fill="auto"/>
            <w:noWrap/>
            <w:vAlign w:val="center"/>
          </w:tcPr>
          <w:p w14:paraId="7BF5E07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免疫力套餐</w:t>
            </w:r>
          </w:p>
        </w:tc>
      </w:tr>
      <w:tr w14:paraId="05B1EEA2">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92E5F6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626</w:t>
            </w:r>
          </w:p>
        </w:tc>
        <w:tc>
          <w:tcPr>
            <w:tcW w:w="4800" w:type="dxa"/>
            <w:shd w:val="clear" w:color="auto" w:fill="auto"/>
            <w:noWrap/>
            <w:vAlign w:val="center"/>
          </w:tcPr>
          <w:p w14:paraId="2D82A256">
            <w:pPr>
              <w:widowControl/>
              <w:jc w:val="center"/>
              <w:textAlignment w:val="center"/>
              <w:rPr>
                <w:rFonts w:hint="eastAsia" w:ascii="宋体" w:hAnsi="宋体" w:eastAsia="宋体" w:cs="宋体"/>
                <w:color w:val="auto"/>
                <w:kern w:val="0"/>
                <w:sz w:val="21"/>
                <w:szCs w:val="21"/>
                <w:highlight w:val="none"/>
                <w:lang w:eastAsia="zh-Hans" w:bidi="ar"/>
              </w:rPr>
            </w:pPr>
            <w:r>
              <w:rPr>
                <w:rFonts w:hint="eastAsia" w:ascii="宋体" w:hAnsi="宋体" w:eastAsia="宋体" w:cs="宋体"/>
                <w:color w:val="auto"/>
                <w:kern w:val="0"/>
                <w:sz w:val="21"/>
                <w:szCs w:val="21"/>
                <w:highlight w:val="none"/>
                <w:lang w:bidi="ar"/>
              </w:rPr>
              <w:t>P53抑癌基因</w:t>
            </w:r>
          </w:p>
        </w:tc>
        <w:tc>
          <w:tcPr>
            <w:tcW w:w="915" w:type="dxa"/>
            <w:shd w:val="clear" w:color="auto" w:fill="auto"/>
            <w:noWrap/>
            <w:vAlign w:val="center"/>
          </w:tcPr>
          <w:p w14:paraId="5C231E6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644</w:t>
            </w:r>
          </w:p>
        </w:tc>
        <w:tc>
          <w:tcPr>
            <w:tcW w:w="3388" w:type="dxa"/>
            <w:shd w:val="clear" w:color="auto" w:fill="auto"/>
            <w:noWrap/>
            <w:vAlign w:val="center"/>
          </w:tcPr>
          <w:p w14:paraId="68EC28D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美容护肤营养12项</w:t>
            </w:r>
          </w:p>
        </w:tc>
      </w:tr>
      <w:tr w14:paraId="3B6BEB1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3F68F0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627</w:t>
            </w:r>
          </w:p>
        </w:tc>
        <w:tc>
          <w:tcPr>
            <w:tcW w:w="4800" w:type="dxa"/>
            <w:shd w:val="clear" w:color="auto" w:fill="auto"/>
            <w:noWrap/>
            <w:vAlign w:val="center"/>
          </w:tcPr>
          <w:p w14:paraId="3A75357F">
            <w:pPr>
              <w:widowControl/>
              <w:jc w:val="center"/>
              <w:textAlignment w:val="center"/>
              <w:rPr>
                <w:rFonts w:hint="eastAsia" w:ascii="宋体" w:hAnsi="宋体" w:eastAsia="宋体" w:cs="宋体"/>
                <w:color w:val="auto"/>
                <w:kern w:val="0"/>
                <w:sz w:val="21"/>
                <w:szCs w:val="21"/>
                <w:highlight w:val="none"/>
                <w:lang w:eastAsia="zh-Hans" w:bidi="ar"/>
              </w:rPr>
            </w:pPr>
            <w:r>
              <w:rPr>
                <w:rFonts w:hint="eastAsia" w:ascii="宋体" w:hAnsi="宋体" w:eastAsia="宋体" w:cs="宋体"/>
                <w:color w:val="auto"/>
                <w:kern w:val="0"/>
                <w:sz w:val="21"/>
                <w:szCs w:val="21"/>
                <w:highlight w:val="none"/>
                <w:lang w:bidi="ar"/>
              </w:rPr>
              <w:t>BRCA+</w:t>
            </w:r>
          </w:p>
        </w:tc>
        <w:tc>
          <w:tcPr>
            <w:tcW w:w="915" w:type="dxa"/>
            <w:shd w:val="clear" w:color="auto" w:fill="auto"/>
            <w:noWrap/>
            <w:vAlign w:val="center"/>
          </w:tcPr>
          <w:p w14:paraId="3075146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645</w:t>
            </w:r>
          </w:p>
        </w:tc>
        <w:tc>
          <w:tcPr>
            <w:tcW w:w="3388" w:type="dxa"/>
            <w:shd w:val="clear" w:color="auto" w:fill="auto"/>
            <w:noWrap/>
            <w:vAlign w:val="center"/>
          </w:tcPr>
          <w:p w14:paraId="0DE355D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新经典升级套餐</w:t>
            </w:r>
          </w:p>
        </w:tc>
      </w:tr>
      <w:tr w14:paraId="3879215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4E65DC3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628</w:t>
            </w:r>
          </w:p>
        </w:tc>
        <w:tc>
          <w:tcPr>
            <w:tcW w:w="4800" w:type="dxa"/>
            <w:shd w:val="clear" w:color="auto" w:fill="auto"/>
            <w:noWrap/>
            <w:vAlign w:val="center"/>
          </w:tcPr>
          <w:p w14:paraId="47A401EE">
            <w:pPr>
              <w:widowControl/>
              <w:jc w:val="center"/>
              <w:textAlignment w:val="center"/>
              <w:rPr>
                <w:rFonts w:hint="eastAsia" w:ascii="宋体" w:hAnsi="宋体" w:eastAsia="宋体" w:cs="宋体"/>
                <w:color w:val="auto"/>
                <w:kern w:val="0"/>
                <w:sz w:val="21"/>
                <w:szCs w:val="21"/>
                <w:highlight w:val="none"/>
                <w:lang w:eastAsia="zh-Hans" w:bidi="ar"/>
              </w:rPr>
            </w:pPr>
            <w:r>
              <w:rPr>
                <w:rFonts w:hint="eastAsia" w:ascii="宋体" w:hAnsi="宋体" w:eastAsia="宋体" w:cs="宋体"/>
                <w:color w:val="auto"/>
                <w:kern w:val="0"/>
                <w:sz w:val="21"/>
                <w:szCs w:val="21"/>
                <w:highlight w:val="none"/>
                <w:lang w:bidi="ar"/>
              </w:rPr>
              <w:t>全基因检测</w:t>
            </w:r>
          </w:p>
        </w:tc>
        <w:tc>
          <w:tcPr>
            <w:tcW w:w="915" w:type="dxa"/>
            <w:shd w:val="clear" w:color="auto" w:fill="auto"/>
            <w:noWrap/>
            <w:vAlign w:val="center"/>
          </w:tcPr>
          <w:p w14:paraId="4B55BA6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646</w:t>
            </w:r>
          </w:p>
        </w:tc>
        <w:tc>
          <w:tcPr>
            <w:tcW w:w="3388" w:type="dxa"/>
            <w:shd w:val="clear" w:color="auto" w:fill="auto"/>
            <w:noWrap/>
            <w:vAlign w:val="center"/>
          </w:tcPr>
          <w:p w14:paraId="6F474EF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BRCA遗传性乳腺癌、卵巢癌基因检测</w:t>
            </w:r>
          </w:p>
        </w:tc>
      </w:tr>
      <w:tr w14:paraId="487741F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2B8AFDE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629</w:t>
            </w:r>
          </w:p>
        </w:tc>
        <w:tc>
          <w:tcPr>
            <w:tcW w:w="4800" w:type="dxa"/>
            <w:shd w:val="clear" w:color="auto" w:fill="auto"/>
            <w:noWrap/>
            <w:vAlign w:val="center"/>
          </w:tcPr>
          <w:p w14:paraId="655C6D0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脑脊液寡克隆全套</w:t>
            </w:r>
          </w:p>
        </w:tc>
        <w:tc>
          <w:tcPr>
            <w:tcW w:w="915" w:type="dxa"/>
            <w:shd w:val="clear" w:color="auto" w:fill="auto"/>
            <w:noWrap/>
            <w:vAlign w:val="center"/>
          </w:tcPr>
          <w:p w14:paraId="5771CAE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647</w:t>
            </w:r>
          </w:p>
        </w:tc>
        <w:tc>
          <w:tcPr>
            <w:tcW w:w="3388" w:type="dxa"/>
            <w:shd w:val="clear" w:color="auto" w:fill="auto"/>
            <w:noWrap/>
            <w:vAlign w:val="center"/>
          </w:tcPr>
          <w:p w14:paraId="03D47C0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中枢神经脱髓鞘3项</w:t>
            </w:r>
          </w:p>
        </w:tc>
      </w:tr>
      <w:tr w14:paraId="51EB231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AC0221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630</w:t>
            </w:r>
          </w:p>
        </w:tc>
        <w:tc>
          <w:tcPr>
            <w:tcW w:w="4800" w:type="dxa"/>
            <w:shd w:val="clear" w:color="auto" w:fill="auto"/>
            <w:noWrap/>
            <w:vAlign w:val="center"/>
          </w:tcPr>
          <w:p w14:paraId="7F7C35A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自身免疫性脑炎6项</w:t>
            </w:r>
          </w:p>
        </w:tc>
        <w:tc>
          <w:tcPr>
            <w:tcW w:w="915" w:type="dxa"/>
            <w:shd w:val="clear" w:color="auto" w:fill="auto"/>
            <w:noWrap/>
            <w:vAlign w:val="center"/>
          </w:tcPr>
          <w:p w14:paraId="3F3D095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648</w:t>
            </w:r>
          </w:p>
        </w:tc>
        <w:tc>
          <w:tcPr>
            <w:tcW w:w="3388" w:type="dxa"/>
            <w:shd w:val="clear" w:color="auto" w:fill="auto"/>
            <w:noWrap/>
            <w:vAlign w:val="center"/>
          </w:tcPr>
          <w:p w14:paraId="0E8B581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中枢神经脱髓鞘6项</w:t>
            </w:r>
          </w:p>
        </w:tc>
      </w:tr>
      <w:tr w14:paraId="12E009E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AAD921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631</w:t>
            </w:r>
          </w:p>
        </w:tc>
        <w:tc>
          <w:tcPr>
            <w:tcW w:w="4800" w:type="dxa"/>
            <w:shd w:val="clear" w:color="auto" w:fill="auto"/>
            <w:noWrap/>
            <w:vAlign w:val="center"/>
          </w:tcPr>
          <w:p w14:paraId="36CE0C1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自身免疫性脑炎12项</w:t>
            </w:r>
          </w:p>
        </w:tc>
        <w:tc>
          <w:tcPr>
            <w:tcW w:w="915" w:type="dxa"/>
            <w:shd w:val="clear" w:color="auto" w:fill="auto"/>
            <w:noWrap/>
            <w:vAlign w:val="center"/>
          </w:tcPr>
          <w:p w14:paraId="57D6127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649</w:t>
            </w:r>
          </w:p>
        </w:tc>
        <w:tc>
          <w:tcPr>
            <w:tcW w:w="3388" w:type="dxa"/>
            <w:shd w:val="clear" w:color="auto" w:fill="auto"/>
            <w:noWrap/>
            <w:vAlign w:val="center"/>
          </w:tcPr>
          <w:p w14:paraId="7FDDA25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神经节苷脂25项抗体检测</w:t>
            </w:r>
          </w:p>
        </w:tc>
      </w:tr>
      <w:tr w14:paraId="216E098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B8C572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632</w:t>
            </w:r>
          </w:p>
        </w:tc>
        <w:tc>
          <w:tcPr>
            <w:tcW w:w="4800" w:type="dxa"/>
            <w:shd w:val="clear" w:color="auto" w:fill="auto"/>
            <w:noWrap/>
            <w:vAlign w:val="center"/>
          </w:tcPr>
          <w:p w14:paraId="09C849C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自身免疫性脑炎18项</w:t>
            </w:r>
          </w:p>
        </w:tc>
        <w:tc>
          <w:tcPr>
            <w:tcW w:w="915" w:type="dxa"/>
            <w:shd w:val="clear" w:color="auto" w:fill="auto"/>
            <w:noWrap/>
            <w:vAlign w:val="center"/>
          </w:tcPr>
          <w:p w14:paraId="77A5766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650</w:t>
            </w:r>
          </w:p>
        </w:tc>
        <w:tc>
          <w:tcPr>
            <w:tcW w:w="3388" w:type="dxa"/>
            <w:shd w:val="clear" w:color="auto" w:fill="auto"/>
            <w:noWrap/>
            <w:vAlign w:val="center"/>
          </w:tcPr>
          <w:p w14:paraId="2BC8529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周围神经病30项抗体检测</w:t>
            </w:r>
          </w:p>
        </w:tc>
      </w:tr>
      <w:tr w14:paraId="6A1C9EA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182FBD0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633</w:t>
            </w:r>
          </w:p>
        </w:tc>
        <w:tc>
          <w:tcPr>
            <w:tcW w:w="4800" w:type="dxa"/>
            <w:shd w:val="clear" w:color="auto" w:fill="auto"/>
            <w:noWrap/>
            <w:vAlign w:val="center"/>
          </w:tcPr>
          <w:p w14:paraId="60242BE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副肿瘤综合征抗体14项</w:t>
            </w:r>
          </w:p>
        </w:tc>
        <w:tc>
          <w:tcPr>
            <w:tcW w:w="915" w:type="dxa"/>
            <w:shd w:val="clear" w:color="auto" w:fill="auto"/>
            <w:noWrap/>
            <w:vAlign w:val="center"/>
          </w:tcPr>
          <w:p w14:paraId="726EA4E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651</w:t>
            </w:r>
          </w:p>
        </w:tc>
        <w:tc>
          <w:tcPr>
            <w:tcW w:w="3388" w:type="dxa"/>
            <w:shd w:val="clear" w:color="auto" w:fill="auto"/>
            <w:noWrap/>
            <w:vAlign w:val="center"/>
          </w:tcPr>
          <w:p w14:paraId="1737023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重症肌无力9项抗体检测</w:t>
            </w:r>
          </w:p>
        </w:tc>
      </w:tr>
      <w:tr w14:paraId="08123B32">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3131B6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634</w:t>
            </w:r>
          </w:p>
        </w:tc>
        <w:tc>
          <w:tcPr>
            <w:tcW w:w="4800" w:type="dxa"/>
            <w:shd w:val="clear" w:color="auto" w:fill="auto"/>
            <w:noWrap/>
            <w:vAlign w:val="center"/>
          </w:tcPr>
          <w:p w14:paraId="23CCA53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副肿瘤综合征抗体17项</w:t>
            </w:r>
          </w:p>
        </w:tc>
        <w:tc>
          <w:tcPr>
            <w:tcW w:w="915" w:type="dxa"/>
            <w:shd w:val="clear" w:color="auto" w:fill="auto"/>
            <w:noWrap/>
            <w:vAlign w:val="center"/>
          </w:tcPr>
          <w:p w14:paraId="51834B7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652</w:t>
            </w:r>
          </w:p>
        </w:tc>
        <w:tc>
          <w:tcPr>
            <w:tcW w:w="3388" w:type="dxa"/>
            <w:shd w:val="clear" w:color="auto" w:fill="auto"/>
            <w:noWrap/>
            <w:vAlign w:val="center"/>
          </w:tcPr>
          <w:p w14:paraId="35AA7E6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中枢神经脱髓鞘3项</w:t>
            </w:r>
          </w:p>
        </w:tc>
      </w:tr>
      <w:tr w14:paraId="3B8E33A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5AA7A6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635</w:t>
            </w:r>
          </w:p>
        </w:tc>
        <w:tc>
          <w:tcPr>
            <w:tcW w:w="4800" w:type="dxa"/>
            <w:shd w:val="clear" w:color="auto" w:fill="auto"/>
            <w:noWrap/>
            <w:vAlign w:val="center"/>
          </w:tcPr>
          <w:p w14:paraId="5C4A15B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小脑炎抗体谱23项</w:t>
            </w:r>
          </w:p>
        </w:tc>
        <w:tc>
          <w:tcPr>
            <w:tcW w:w="915" w:type="dxa"/>
            <w:shd w:val="clear" w:color="auto" w:fill="auto"/>
            <w:noWrap/>
            <w:vAlign w:val="center"/>
          </w:tcPr>
          <w:p w14:paraId="0144F2B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653</w:t>
            </w:r>
          </w:p>
        </w:tc>
        <w:tc>
          <w:tcPr>
            <w:tcW w:w="3388" w:type="dxa"/>
            <w:shd w:val="clear" w:color="auto" w:fill="auto"/>
            <w:noWrap/>
            <w:vAlign w:val="center"/>
          </w:tcPr>
          <w:p w14:paraId="38AF8AD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中枢神经脱髓鞘6项</w:t>
            </w:r>
          </w:p>
        </w:tc>
      </w:tr>
      <w:tr w14:paraId="4EF9837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727BFD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636</w:t>
            </w:r>
          </w:p>
        </w:tc>
        <w:tc>
          <w:tcPr>
            <w:tcW w:w="4800" w:type="dxa"/>
            <w:shd w:val="clear" w:color="auto" w:fill="auto"/>
            <w:noWrap/>
            <w:vAlign w:val="center"/>
          </w:tcPr>
          <w:p w14:paraId="243B7D5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血小板无力症</w:t>
            </w:r>
          </w:p>
        </w:tc>
        <w:tc>
          <w:tcPr>
            <w:tcW w:w="915" w:type="dxa"/>
            <w:shd w:val="clear" w:color="auto" w:fill="auto"/>
            <w:noWrap/>
            <w:vAlign w:val="center"/>
          </w:tcPr>
          <w:p w14:paraId="6A78E4D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654</w:t>
            </w:r>
          </w:p>
        </w:tc>
        <w:tc>
          <w:tcPr>
            <w:tcW w:w="3388" w:type="dxa"/>
            <w:shd w:val="clear" w:color="auto" w:fill="auto"/>
            <w:noWrap/>
            <w:vAlign w:val="center"/>
          </w:tcPr>
          <w:p w14:paraId="33420D1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尿液有机酸分析</w:t>
            </w:r>
          </w:p>
        </w:tc>
      </w:tr>
      <w:tr w14:paraId="12BB3E4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71DDF3A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637</w:t>
            </w:r>
          </w:p>
        </w:tc>
        <w:tc>
          <w:tcPr>
            <w:tcW w:w="4800" w:type="dxa"/>
            <w:shd w:val="clear" w:color="auto" w:fill="auto"/>
            <w:noWrap/>
            <w:vAlign w:val="center"/>
          </w:tcPr>
          <w:p w14:paraId="1004455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精子DNA碎片指数(DFI)</w:t>
            </w:r>
          </w:p>
        </w:tc>
        <w:tc>
          <w:tcPr>
            <w:tcW w:w="915" w:type="dxa"/>
            <w:shd w:val="clear" w:color="auto" w:fill="auto"/>
            <w:noWrap/>
            <w:vAlign w:val="center"/>
          </w:tcPr>
          <w:p w14:paraId="6AED8C8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655</w:t>
            </w:r>
          </w:p>
        </w:tc>
        <w:tc>
          <w:tcPr>
            <w:tcW w:w="3388" w:type="dxa"/>
            <w:shd w:val="clear" w:color="auto" w:fill="auto"/>
            <w:noWrap/>
            <w:vAlign w:val="center"/>
          </w:tcPr>
          <w:p w14:paraId="74AC5C6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PML/RAR(Bcr1)定量</w:t>
            </w:r>
          </w:p>
        </w:tc>
      </w:tr>
      <w:tr w14:paraId="3C5AA46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362C49F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638</w:t>
            </w:r>
          </w:p>
        </w:tc>
        <w:tc>
          <w:tcPr>
            <w:tcW w:w="4800" w:type="dxa"/>
            <w:shd w:val="clear" w:color="auto" w:fill="auto"/>
            <w:noWrap/>
            <w:vAlign w:val="center"/>
          </w:tcPr>
          <w:p w14:paraId="47B7EAE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C-kit基因突变检测</w:t>
            </w:r>
          </w:p>
        </w:tc>
        <w:tc>
          <w:tcPr>
            <w:tcW w:w="915" w:type="dxa"/>
            <w:shd w:val="clear" w:color="auto" w:fill="auto"/>
            <w:noWrap/>
            <w:vAlign w:val="center"/>
          </w:tcPr>
          <w:p w14:paraId="6E0706B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656</w:t>
            </w:r>
          </w:p>
        </w:tc>
        <w:tc>
          <w:tcPr>
            <w:tcW w:w="3388" w:type="dxa"/>
            <w:shd w:val="clear" w:color="auto" w:fill="auto"/>
            <w:noWrap/>
            <w:vAlign w:val="center"/>
          </w:tcPr>
          <w:p w14:paraId="33EF0BA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TPMT基因分型(4SNPs、SNE)</w:t>
            </w:r>
          </w:p>
        </w:tc>
      </w:tr>
      <w:tr w14:paraId="3DF9F48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0431044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639</w:t>
            </w:r>
          </w:p>
        </w:tc>
        <w:tc>
          <w:tcPr>
            <w:tcW w:w="4800" w:type="dxa"/>
            <w:shd w:val="clear" w:color="auto" w:fill="auto"/>
            <w:noWrap/>
            <w:vAlign w:val="center"/>
          </w:tcPr>
          <w:p w14:paraId="6E1C859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SRY基因片段分析(CE)</w:t>
            </w:r>
          </w:p>
        </w:tc>
        <w:tc>
          <w:tcPr>
            <w:tcW w:w="915" w:type="dxa"/>
            <w:shd w:val="clear" w:color="auto" w:fill="auto"/>
            <w:noWrap/>
            <w:vAlign w:val="center"/>
          </w:tcPr>
          <w:p w14:paraId="226FB85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657</w:t>
            </w:r>
          </w:p>
        </w:tc>
        <w:tc>
          <w:tcPr>
            <w:tcW w:w="3388" w:type="dxa"/>
            <w:shd w:val="clear" w:color="auto" w:fill="auto"/>
            <w:noWrap/>
            <w:vAlign w:val="center"/>
          </w:tcPr>
          <w:p w14:paraId="2794B197">
            <w:pPr>
              <w:widowControl/>
              <w:jc w:val="center"/>
              <w:textAlignment w:val="center"/>
              <w:rPr>
                <w:rFonts w:hint="eastAsia" w:ascii="宋体" w:hAnsi="宋体" w:eastAsia="宋体" w:cs="宋体"/>
                <w:color w:val="auto"/>
                <w:kern w:val="0"/>
                <w:sz w:val="21"/>
                <w:szCs w:val="21"/>
                <w:highlight w:val="none"/>
                <w:lang w:eastAsia="zh-Hans" w:bidi="ar"/>
              </w:rPr>
            </w:pPr>
            <w:r>
              <w:rPr>
                <w:rFonts w:hint="eastAsia" w:ascii="宋体" w:hAnsi="宋体" w:eastAsia="宋体" w:cs="宋体"/>
                <w:color w:val="auto"/>
                <w:kern w:val="0"/>
                <w:sz w:val="21"/>
                <w:szCs w:val="21"/>
                <w:highlight w:val="none"/>
                <w:lang w:bidi="ar"/>
              </w:rPr>
              <w:t>他克莫司/普乐可复</w:t>
            </w:r>
            <w:r>
              <w:rPr>
                <w:rFonts w:hint="eastAsia" w:ascii="宋体" w:hAnsi="宋体" w:eastAsia="宋体" w:cs="宋体"/>
                <w:color w:val="auto"/>
                <w:kern w:val="0"/>
                <w:sz w:val="21"/>
                <w:szCs w:val="21"/>
                <w:highlight w:val="none"/>
                <w:lang w:eastAsia="zh-Hans" w:bidi="ar"/>
              </w:rPr>
              <w:t>（质谱法）</w:t>
            </w:r>
          </w:p>
        </w:tc>
      </w:tr>
      <w:tr w14:paraId="6231C532">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09A00D3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640</w:t>
            </w:r>
          </w:p>
        </w:tc>
        <w:tc>
          <w:tcPr>
            <w:tcW w:w="4800" w:type="dxa"/>
            <w:shd w:val="clear" w:color="auto" w:fill="auto"/>
            <w:noWrap/>
            <w:vAlign w:val="center"/>
          </w:tcPr>
          <w:p w14:paraId="40F5D91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PML/RAR(Bcr2</w:t>
            </w:r>
            <w:r>
              <w:rPr>
                <w:rFonts w:hint="eastAsia" w:ascii="宋体" w:hAnsi="宋体" w:eastAsia="宋体" w:cs="宋体"/>
                <w:color w:val="auto"/>
                <w:kern w:val="0"/>
                <w:sz w:val="21"/>
                <w:szCs w:val="21"/>
                <w:highlight w:val="none"/>
                <w:lang w:eastAsia="zh-Hans" w:bidi="ar"/>
              </w:rPr>
              <w:t>）</w:t>
            </w:r>
            <w:r>
              <w:rPr>
                <w:rFonts w:hint="eastAsia" w:ascii="宋体" w:hAnsi="宋体" w:eastAsia="宋体" w:cs="宋体"/>
                <w:color w:val="auto"/>
                <w:kern w:val="0"/>
                <w:sz w:val="21"/>
                <w:szCs w:val="21"/>
                <w:highlight w:val="none"/>
                <w:lang w:bidi="ar"/>
              </w:rPr>
              <w:t>定量</w:t>
            </w:r>
          </w:p>
        </w:tc>
        <w:tc>
          <w:tcPr>
            <w:tcW w:w="915" w:type="dxa"/>
            <w:shd w:val="clear" w:color="auto" w:fill="auto"/>
            <w:noWrap/>
            <w:vAlign w:val="center"/>
          </w:tcPr>
          <w:p w14:paraId="3CBE7BB1">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w:t>
            </w:r>
          </w:p>
        </w:tc>
        <w:tc>
          <w:tcPr>
            <w:tcW w:w="3388" w:type="dxa"/>
            <w:shd w:val="clear" w:color="auto" w:fill="auto"/>
            <w:noWrap/>
            <w:vAlign w:val="center"/>
          </w:tcPr>
          <w:p w14:paraId="649BA124">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w:t>
            </w:r>
          </w:p>
        </w:tc>
      </w:tr>
      <w:tr w14:paraId="7D66003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2" w:type="dxa"/>
            <w:shd w:val="clear" w:color="auto" w:fill="auto"/>
            <w:noWrap w:val="0"/>
            <w:vAlign w:val="center"/>
          </w:tcPr>
          <w:p w14:paraId="59D3280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641</w:t>
            </w:r>
          </w:p>
        </w:tc>
        <w:tc>
          <w:tcPr>
            <w:tcW w:w="4800" w:type="dxa"/>
            <w:shd w:val="clear" w:color="auto" w:fill="auto"/>
            <w:noWrap/>
            <w:vAlign w:val="center"/>
          </w:tcPr>
          <w:p w14:paraId="1EC3CD0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PML/RAR(Bcr3)定量</w:t>
            </w:r>
          </w:p>
        </w:tc>
        <w:tc>
          <w:tcPr>
            <w:tcW w:w="915" w:type="dxa"/>
            <w:shd w:val="clear" w:color="auto" w:fill="auto"/>
            <w:noWrap/>
            <w:vAlign w:val="center"/>
          </w:tcPr>
          <w:p w14:paraId="72A8702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w:t>
            </w:r>
          </w:p>
        </w:tc>
        <w:tc>
          <w:tcPr>
            <w:tcW w:w="3388" w:type="dxa"/>
            <w:shd w:val="clear" w:color="auto" w:fill="auto"/>
            <w:noWrap/>
            <w:vAlign w:val="center"/>
          </w:tcPr>
          <w:p w14:paraId="1DB9F61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w:t>
            </w:r>
          </w:p>
        </w:tc>
      </w:tr>
    </w:tbl>
    <w:p w14:paraId="44E75321">
      <w:pPr>
        <w:pStyle w:val="2"/>
        <w:rPr>
          <w:rFonts w:hint="eastAsia" w:asciiTheme="majorEastAsia" w:hAnsiTheme="majorEastAsia" w:eastAsiaTheme="majorEastAsia" w:cstheme="majorEastAsia"/>
          <w:color w:val="auto"/>
          <w:sz w:val="24"/>
          <w:szCs w:val="24"/>
          <w:highlight w:val="none"/>
          <w:lang w:val="en-US" w:eastAsia="zh-CN"/>
        </w:rPr>
      </w:pPr>
    </w:p>
    <w:p w14:paraId="3E9FF99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p>
    <w:p w14:paraId="5132D65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br w:type="page"/>
      </w:r>
    </w:p>
    <w:p w14:paraId="7EE6F427">
      <w:pPr>
        <w:numPr>
          <w:ilvl w:val="0"/>
          <w:numId w:val="0"/>
        </w:numPr>
        <w:rPr>
          <w:rFonts w:ascii="宋体" w:hAnsi="宋体" w:cs="宋体"/>
          <w:b/>
          <w:color w:val="auto"/>
          <w:sz w:val="24"/>
          <w:highlight w:val="none"/>
        </w:rPr>
      </w:pPr>
      <w:r>
        <w:rPr>
          <w:rFonts w:hint="eastAsia" w:ascii="宋体" w:hAnsi="宋体" w:cs="宋体"/>
          <w:b/>
          <w:color w:val="auto"/>
          <w:sz w:val="24"/>
          <w:highlight w:val="none"/>
        </w:rPr>
        <w:t>二、商务需求</w:t>
      </w:r>
    </w:p>
    <w:tbl>
      <w:tblPr>
        <w:tblStyle w:val="64"/>
        <w:tblW w:w="9189"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892"/>
        <w:gridCol w:w="7297"/>
      </w:tblGrid>
      <w:tr w14:paraId="68F6836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trPr>
        <w:tc>
          <w:tcPr>
            <w:tcW w:w="1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1C97FF">
            <w:pPr>
              <w:pStyle w:val="876"/>
              <w:spacing w:line="360" w:lineRule="exact"/>
              <w:contextualSpacing/>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★服务期限</w:t>
            </w:r>
          </w:p>
        </w:tc>
        <w:tc>
          <w:tcPr>
            <w:tcW w:w="72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8933F80">
            <w:pPr>
              <w:pStyle w:val="876"/>
              <w:adjustRightInd w:val="0"/>
              <w:snapToGrid w:val="0"/>
              <w:spacing w:line="360" w:lineRule="auto"/>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自合同签订之日起1年。</w:t>
            </w:r>
          </w:p>
        </w:tc>
      </w:tr>
      <w:tr w14:paraId="6E75D56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trPr>
        <w:tc>
          <w:tcPr>
            <w:tcW w:w="1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7A2F84">
            <w:pPr>
              <w:pStyle w:val="876"/>
              <w:spacing w:line="360" w:lineRule="exact"/>
              <w:contextualSpacing/>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★履约保证金</w:t>
            </w:r>
          </w:p>
        </w:tc>
        <w:tc>
          <w:tcPr>
            <w:tcW w:w="72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C1DF8F4">
            <w:pPr>
              <w:pStyle w:val="876"/>
              <w:adjustRightInd w:val="0"/>
              <w:snapToGrid w:val="0"/>
              <w:spacing w:line="360" w:lineRule="auto"/>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不收取。</w:t>
            </w:r>
          </w:p>
        </w:tc>
      </w:tr>
      <w:tr w14:paraId="3027656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 w:hRule="atLeast"/>
        </w:trPr>
        <w:tc>
          <w:tcPr>
            <w:tcW w:w="1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6079F8">
            <w:pPr>
              <w:pStyle w:val="876"/>
              <w:spacing w:line="360" w:lineRule="exact"/>
              <w:contextualSpacing/>
              <w:jc w:val="center"/>
              <w:rPr>
                <w:rFonts w:ascii="宋体" w:hAnsi="宋体" w:eastAsia="宋体" w:cs="宋体"/>
                <w:color w:val="auto"/>
                <w:sz w:val="24"/>
                <w:szCs w:val="24"/>
                <w:highlight w:val="none"/>
                <w:lang w:val="zh-TW" w:eastAsia="zh-TW"/>
              </w:rPr>
            </w:pPr>
            <w:r>
              <w:rPr>
                <w:rFonts w:hint="eastAsia" w:ascii="宋体" w:hAnsi="宋体" w:eastAsia="宋体" w:cs="宋体"/>
                <w:bCs/>
                <w:color w:val="auto"/>
                <w:sz w:val="24"/>
                <w:highlight w:val="none"/>
              </w:rPr>
              <w:t>★</w:t>
            </w:r>
            <w:r>
              <w:rPr>
                <w:rFonts w:hint="eastAsia" w:ascii="宋体" w:hAnsi="宋体" w:eastAsia="宋体" w:cs="宋体"/>
                <w:color w:val="auto"/>
                <w:sz w:val="24"/>
                <w:szCs w:val="24"/>
                <w:highlight w:val="none"/>
                <w:lang w:val="zh-TW" w:eastAsia="zh-TW"/>
              </w:rPr>
              <w:t>付款条件</w:t>
            </w:r>
          </w:p>
        </w:tc>
        <w:tc>
          <w:tcPr>
            <w:tcW w:w="72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D6CFE94">
            <w:pPr>
              <w:pStyle w:val="876"/>
              <w:adjustRightInd w:val="0"/>
              <w:snapToGrid w:val="0"/>
              <w:spacing w:line="360" w:lineRule="auto"/>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（一）适用中小型企业：</w:t>
            </w:r>
          </w:p>
          <w:p w14:paraId="1A2D8FB0">
            <w:pPr>
              <w:pStyle w:val="876"/>
              <w:adjustRightInd w:val="0"/>
              <w:snapToGrid w:val="0"/>
              <w:spacing w:line="360" w:lineRule="auto"/>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①合同生效并具备实施条件后7个工作日内，采购人</w:t>
            </w:r>
            <w:r>
              <w:rPr>
                <w:rFonts w:hint="eastAsia" w:ascii="宋体" w:hAnsi="宋体" w:eastAsia="宋体" w:cs="宋体"/>
                <w:color w:val="auto"/>
                <w:sz w:val="24"/>
                <w:szCs w:val="24"/>
                <w:highlight w:val="none"/>
                <w:lang w:val="en-US" w:eastAsia="zh-CN"/>
              </w:rPr>
              <w:t>向中标人</w:t>
            </w:r>
            <w:r>
              <w:rPr>
                <w:rFonts w:hint="eastAsia" w:ascii="宋体" w:hAnsi="宋体" w:eastAsia="宋体" w:cs="宋体"/>
                <w:color w:val="auto"/>
                <w:sz w:val="24"/>
                <w:szCs w:val="24"/>
                <w:highlight w:val="none"/>
                <w:lang w:eastAsia="zh-CN"/>
              </w:rPr>
              <w:t>支付合同价的</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lang w:eastAsia="zh-CN"/>
              </w:rPr>
              <w:t>%作为预付款，</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lang w:eastAsia="zh-CN"/>
              </w:rPr>
              <w:t>于合同签订前书面承诺放弃预付款或降低预付款支付比例的，可不适用本条款且具体支付方式由双方在合同中自行约定。</w:t>
            </w:r>
          </w:p>
          <w:p w14:paraId="1DEDD4CD">
            <w:pPr>
              <w:pStyle w:val="876"/>
              <w:adjustRightInd w:val="0"/>
              <w:snapToGrid w:val="0"/>
              <w:spacing w:line="360" w:lineRule="auto"/>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②按季度结算，每季度</w:t>
            </w:r>
            <w:r>
              <w:rPr>
                <w:rFonts w:hint="eastAsia" w:ascii="宋体" w:hAnsi="宋体" w:eastAsia="宋体" w:cs="宋体"/>
                <w:color w:val="auto"/>
                <w:sz w:val="24"/>
                <w:szCs w:val="24"/>
                <w:highlight w:val="none"/>
                <w:lang w:val="en-US" w:eastAsia="zh-CN"/>
              </w:rPr>
              <w:t>结束并核对检测数量后，采购人在收到中标人提供的发票后7个工作日内支付服务费（先从预付款中扣除）</w:t>
            </w:r>
            <w:r>
              <w:rPr>
                <w:rFonts w:hint="eastAsia" w:ascii="宋体" w:hAnsi="宋体" w:eastAsia="宋体" w:cs="宋体"/>
                <w:color w:val="auto"/>
                <w:sz w:val="24"/>
                <w:szCs w:val="24"/>
                <w:highlight w:val="none"/>
                <w:lang w:eastAsia="zh-CN"/>
              </w:rPr>
              <w:t>。</w:t>
            </w:r>
          </w:p>
          <w:p w14:paraId="4F3342E0">
            <w:pPr>
              <w:pStyle w:val="876"/>
              <w:adjustRightInd w:val="0"/>
              <w:snapToGrid w:val="0"/>
              <w:spacing w:line="360" w:lineRule="auto"/>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（二）适用大型企业：</w:t>
            </w:r>
            <w:r>
              <w:rPr>
                <w:rFonts w:hint="eastAsia" w:ascii="宋体" w:hAnsi="宋体" w:eastAsia="宋体" w:cs="宋体"/>
                <w:color w:val="auto"/>
                <w:sz w:val="24"/>
                <w:szCs w:val="24"/>
                <w:highlight w:val="none"/>
                <w:lang w:eastAsia="zh-CN"/>
              </w:rPr>
              <w:t>按季度结算，每季度</w:t>
            </w:r>
            <w:r>
              <w:rPr>
                <w:rFonts w:hint="eastAsia" w:ascii="宋体" w:hAnsi="宋体" w:eastAsia="宋体" w:cs="宋体"/>
                <w:color w:val="auto"/>
                <w:sz w:val="24"/>
                <w:szCs w:val="24"/>
                <w:highlight w:val="none"/>
                <w:lang w:val="en-US" w:eastAsia="zh-CN"/>
              </w:rPr>
              <w:t>结束并核对检测数量后，采购人在收到中标人提供的发票后7个工作日内支付服务费。</w:t>
            </w:r>
          </w:p>
        </w:tc>
      </w:tr>
      <w:tr w14:paraId="0652343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trPr>
        <w:tc>
          <w:tcPr>
            <w:tcW w:w="1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EA9ABC">
            <w:pPr>
              <w:snapToGrid w:val="0"/>
              <w:spacing w:line="360" w:lineRule="auto"/>
              <w:jc w:val="cente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color w:val="auto"/>
                <w:sz w:val="24"/>
                <w:highlight w:val="none"/>
              </w:rPr>
              <w:t>最高限价</w:t>
            </w:r>
          </w:p>
        </w:tc>
        <w:tc>
          <w:tcPr>
            <w:tcW w:w="72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9FE9E5">
            <w:pPr>
              <w:snapToGrid w:val="0"/>
              <w:spacing w:line="360" w:lineRule="auto"/>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服务比例最高限价：40%，报价超过最高限价的作无效标处理。</w:t>
            </w:r>
          </w:p>
          <w:p w14:paraId="0A80C839">
            <w:pPr>
              <w:snapToGrid w:val="0"/>
              <w:spacing w:line="360" w:lineRule="auto"/>
              <w:rPr>
                <w:rFonts w:ascii="宋体" w:hAnsi="宋体" w:cs="宋体"/>
                <w:color w:val="auto"/>
                <w:sz w:val="24"/>
                <w:highlight w:val="none"/>
              </w:rPr>
            </w:pPr>
            <w:r>
              <w:rPr>
                <w:rFonts w:hint="eastAsia" w:ascii="宋体" w:hAnsi="宋体" w:cs="宋体"/>
                <w:b w:val="0"/>
                <w:bCs w:val="0"/>
                <w:color w:val="auto"/>
                <w:sz w:val="24"/>
                <w:highlight w:val="none"/>
                <w:lang w:val="en-US" w:eastAsia="zh-CN"/>
              </w:rPr>
              <w:t>说明：投标人在</w:t>
            </w:r>
            <w:r>
              <w:rPr>
                <w:rFonts w:hint="eastAsia" w:ascii="宋体" w:hAnsi="宋体" w:cs="宋体"/>
                <w:b w:val="0"/>
                <w:bCs w:val="0"/>
                <w:color w:val="auto"/>
                <w:kern w:val="0"/>
                <w:sz w:val="24"/>
                <w:highlight w:val="none"/>
                <w:lang w:val="en-US" w:eastAsia="zh-CN"/>
              </w:rPr>
              <w:t>医院执行的浙江省医疗服务价格（如宁波市另有规定的，从其规定）</w:t>
            </w:r>
            <w:r>
              <w:rPr>
                <w:rFonts w:hint="eastAsia" w:ascii="宋体" w:hAnsi="宋体" w:cs="宋体"/>
                <w:b w:val="0"/>
                <w:bCs w:val="0"/>
                <w:color w:val="auto"/>
                <w:sz w:val="24"/>
                <w:highlight w:val="none"/>
              </w:rPr>
              <w:t>基准上</w:t>
            </w:r>
            <w:r>
              <w:rPr>
                <w:rFonts w:hint="eastAsia" w:ascii="宋体" w:hAnsi="宋体" w:cs="宋体"/>
                <w:b w:val="0"/>
                <w:bCs w:val="0"/>
                <w:color w:val="auto"/>
                <w:sz w:val="24"/>
                <w:highlight w:val="none"/>
                <w:lang w:val="en-US" w:eastAsia="zh-CN"/>
              </w:rPr>
              <w:t>进行报价，</w:t>
            </w:r>
            <w:r>
              <w:rPr>
                <w:rFonts w:hint="eastAsia" w:ascii="宋体" w:hAnsi="宋体" w:cs="宋体"/>
                <w:b w:val="0"/>
                <w:bCs w:val="0"/>
                <w:color w:val="auto"/>
                <w:sz w:val="24"/>
                <w:highlight w:val="none"/>
              </w:rPr>
              <w:t>所报服务比例</w:t>
            </w:r>
            <w:r>
              <w:rPr>
                <w:rFonts w:hint="eastAsia" w:ascii="宋体" w:hAnsi="宋体" w:cs="宋体"/>
                <w:b w:val="0"/>
                <w:bCs w:val="0"/>
                <w:color w:val="auto"/>
                <w:sz w:val="24"/>
                <w:highlight w:val="none"/>
                <w:lang w:val="en-US" w:eastAsia="zh-CN"/>
              </w:rPr>
              <w:t>应</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40</w:t>
            </w:r>
            <w:r>
              <w:rPr>
                <w:rFonts w:hint="eastAsia" w:ascii="宋体" w:hAnsi="宋体" w:cs="宋体"/>
                <w:b w:val="0"/>
                <w:bCs w:val="0"/>
                <w:color w:val="auto"/>
                <w:sz w:val="24"/>
                <w:highlight w:val="none"/>
              </w:rPr>
              <w:t>%。</w:t>
            </w:r>
          </w:p>
        </w:tc>
      </w:tr>
    </w:tbl>
    <w:p w14:paraId="51B6A6DD">
      <w:pPr>
        <w:spacing w:line="360" w:lineRule="auto"/>
        <w:rPr>
          <w:rFonts w:ascii="宋体" w:hAnsi="宋体" w:cs="宋体"/>
          <w:b/>
          <w:bCs/>
          <w:color w:val="auto"/>
          <w:szCs w:val="21"/>
          <w:highlight w:val="none"/>
        </w:rPr>
      </w:pPr>
    </w:p>
    <w:p w14:paraId="26898CAE">
      <w:pPr>
        <w:rPr>
          <w:rFonts w:ascii="宋体" w:hAnsi="宋体" w:cs="宋体"/>
          <w:b/>
          <w:color w:val="auto"/>
          <w:sz w:val="36"/>
          <w:szCs w:val="36"/>
          <w:highlight w:val="none"/>
        </w:rPr>
      </w:pPr>
      <w:bookmarkStart w:id="62" w:name="_Toc22878"/>
      <w:bookmarkStart w:id="63" w:name="_Toc22578"/>
      <w:r>
        <w:rPr>
          <w:rFonts w:hint="eastAsia" w:ascii="宋体" w:hAnsi="宋体" w:cs="宋体"/>
          <w:b/>
          <w:color w:val="auto"/>
          <w:sz w:val="36"/>
          <w:szCs w:val="36"/>
          <w:highlight w:val="none"/>
        </w:rPr>
        <w:br w:type="page"/>
      </w:r>
    </w:p>
    <w:p w14:paraId="22D37115">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64" w:name="_Toc184313306"/>
      <w:bookmarkEnd w:id="64"/>
      <w:bookmarkStart w:id="65" w:name="_Toc184308107"/>
      <w:bookmarkEnd w:id="65"/>
      <w:bookmarkStart w:id="66" w:name="_Toc184308075"/>
      <w:bookmarkEnd w:id="66"/>
      <w:bookmarkStart w:id="67" w:name="_Toc184310324"/>
      <w:bookmarkEnd w:id="67"/>
      <w:bookmarkStart w:id="68" w:name="_Toc184314411"/>
      <w:bookmarkEnd w:id="68"/>
      <w:bookmarkStart w:id="69" w:name="_Toc184312116"/>
      <w:bookmarkEnd w:id="69"/>
      <w:bookmarkStart w:id="70" w:name="_Toc184312136"/>
      <w:bookmarkEnd w:id="70"/>
      <w:bookmarkStart w:id="71" w:name="_Toc184312076"/>
      <w:bookmarkEnd w:id="71"/>
      <w:bookmarkStart w:id="72" w:name="_Toc184310296"/>
      <w:bookmarkEnd w:id="72"/>
      <w:bookmarkStart w:id="73" w:name="_Toc184314465"/>
      <w:bookmarkEnd w:id="73"/>
      <w:bookmarkStart w:id="74" w:name="_Toc184308043"/>
      <w:bookmarkEnd w:id="74"/>
      <w:bookmarkStart w:id="75" w:name="_Toc184310283"/>
      <w:bookmarkEnd w:id="75"/>
      <w:bookmarkStart w:id="76" w:name="_Toc184314445"/>
      <w:bookmarkEnd w:id="76"/>
      <w:bookmarkStart w:id="77" w:name="_Toc184310335"/>
      <w:bookmarkEnd w:id="77"/>
      <w:bookmarkStart w:id="78" w:name="_Toc184314468"/>
      <w:bookmarkEnd w:id="78"/>
      <w:bookmarkStart w:id="79" w:name="_Toc184308054"/>
      <w:bookmarkEnd w:id="79"/>
      <w:bookmarkStart w:id="80" w:name="_Toc184310319"/>
      <w:bookmarkEnd w:id="80"/>
      <w:bookmarkStart w:id="81" w:name="_Toc184310297"/>
      <w:bookmarkEnd w:id="81"/>
      <w:bookmarkStart w:id="82" w:name="_Toc184310328"/>
      <w:bookmarkEnd w:id="82"/>
      <w:bookmarkStart w:id="83" w:name="_Toc184308064"/>
      <w:bookmarkEnd w:id="83"/>
      <w:bookmarkStart w:id="84" w:name="_Toc184310312"/>
      <w:bookmarkEnd w:id="84"/>
      <w:bookmarkStart w:id="85" w:name="_Toc184312096"/>
      <w:bookmarkEnd w:id="85"/>
      <w:bookmarkStart w:id="86" w:name="_Toc184313260"/>
      <w:bookmarkEnd w:id="86"/>
      <w:bookmarkStart w:id="87" w:name="_Toc184313261"/>
      <w:bookmarkEnd w:id="87"/>
      <w:bookmarkStart w:id="88" w:name="_Toc184312071"/>
      <w:bookmarkEnd w:id="88"/>
      <w:bookmarkStart w:id="89" w:name="_Toc184310275"/>
      <w:bookmarkEnd w:id="89"/>
      <w:bookmarkStart w:id="90" w:name="_Toc184308098"/>
      <w:bookmarkEnd w:id="90"/>
      <w:bookmarkStart w:id="91" w:name="_Toc184310310"/>
      <w:bookmarkEnd w:id="91"/>
      <w:bookmarkStart w:id="92" w:name="_Toc184313270"/>
      <w:bookmarkEnd w:id="92"/>
      <w:bookmarkStart w:id="93" w:name="_Toc184312075"/>
      <w:bookmarkEnd w:id="93"/>
      <w:bookmarkStart w:id="94" w:name="_Toc184314463"/>
      <w:bookmarkEnd w:id="94"/>
      <w:bookmarkStart w:id="95" w:name="_Toc184308091"/>
      <w:bookmarkEnd w:id="95"/>
      <w:bookmarkStart w:id="96" w:name="_Toc184314451"/>
      <w:bookmarkEnd w:id="96"/>
      <w:bookmarkStart w:id="97" w:name="_Toc184308038"/>
      <w:bookmarkEnd w:id="97"/>
      <w:bookmarkStart w:id="98" w:name="_Toc184312103"/>
      <w:bookmarkEnd w:id="98"/>
      <w:bookmarkStart w:id="99" w:name="_Toc184310325"/>
      <w:bookmarkEnd w:id="99"/>
      <w:bookmarkStart w:id="100" w:name="_Toc184312109"/>
      <w:bookmarkEnd w:id="100"/>
      <w:bookmarkStart w:id="101" w:name="_Toc184313241"/>
      <w:bookmarkEnd w:id="101"/>
      <w:bookmarkStart w:id="102" w:name="_Toc184308037"/>
      <w:bookmarkEnd w:id="102"/>
      <w:bookmarkStart w:id="103" w:name="_Toc184312100"/>
      <w:bookmarkEnd w:id="103"/>
      <w:bookmarkStart w:id="104" w:name="_Toc184308089"/>
      <w:bookmarkEnd w:id="104"/>
      <w:bookmarkStart w:id="105" w:name="_Toc184312072"/>
      <w:bookmarkEnd w:id="105"/>
      <w:bookmarkStart w:id="106" w:name="_Toc184314448"/>
      <w:bookmarkEnd w:id="106"/>
      <w:bookmarkStart w:id="107" w:name="_Toc184314430"/>
      <w:bookmarkEnd w:id="107"/>
      <w:bookmarkStart w:id="108" w:name="_Toc184313251"/>
      <w:bookmarkEnd w:id="108"/>
      <w:bookmarkStart w:id="109" w:name="_Toc184312138"/>
      <w:bookmarkEnd w:id="109"/>
      <w:bookmarkStart w:id="110" w:name="_Toc184312132"/>
      <w:bookmarkEnd w:id="110"/>
      <w:bookmarkStart w:id="111" w:name="_Toc184310342"/>
      <w:bookmarkEnd w:id="111"/>
      <w:bookmarkStart w:id="112" w:name="_Toc184312112"/>
      <w:bookmarkEnd w:id="112"/>
      <w:bookmarkStart w:id="113" w:name="_Toc184313249"/>
      <w:bookmarkEnd w:id="113"/>
      <w:bookmarkStart w:id="114" w:name="_Toc184310274"/>
      <w:bookmarkEnd w:id="114"/>
      <w:bookmarkStart w:id="115" w:name="_Toc184310307"/>
      <w:bookmarkEnd w:id="115"/>
      <w:bookmarkStart w:id="116" w:name="_Toc184313243"/>
      <w:bookmarkEnd w:id="116"/>
      <w:bookmarkStart w:id="117" w:name="_Toc184312069"/>
      <w:bookmarkEnd w:id="117"/>
      <w:bookmarkStart w:id="118" w:name="_Toc184310290"/>
      <w:bookmarkEnd w:id="118"/>
      <w:bookmarkStart w:id="119" w:name="_Toc184308095"/>
      <w:bookmarkEnd w:id="119"/>
      <w:bookmarkStart w:id="120" w:name="_Toc184314466"/>
      <w:bookmarkEnd w:id="120"/>
      <w:bookmarkStart w:id="121" w:name="_Toc184314473"/>
      <w:bookmarkEnd w:id="121"/>
      <w:bookmarkStart w:id="122" w:name="_Toc184313245"/>
      <w:bookmarkEnd w:id="122"/>
      <w:bookmarkStart w:id="123" w:name="_Toc184308078"/>
      <w:bookmarkEnd w:id="123"/>
      <w:bookmarkStart w:id="124" w:name="_Toc184308101"/>
      <w:bookmarkEnd w:id="124"/>
      <w:bookmarkStart w:id="125" w:name="_Toc184313300"/>
      <w:bookmarkEnd w:id="125"/>
      <w:bookmarkStart w:id="126" w:name="_Toc184313295"/>
      <w:bookmarkEnd w:id="126"/>
      <w:bookmarkStart w:id="127" w:name="_Toc184312106"/>
      <w:bookmarkEnd w:id="127"/>
      <w:bookmarkStart w:id="128" w:name="_Toc184308104"/>
      <w:bookmarkEnd w:id="128"/>
      <w:bookmarkStart w:id="129" w:name="_Toc184308080"/>
      <w:bookmarkEnd w:id="129"/>
      <w:bookmarkStart w:id="130" w:name="_Toc184314476"/>
      <w:bookmarkEnd w:id="130"/>
      <w:bookmarkStart w:id="131" w:name="_Toc184310333"/>
      <w:bookmarkEnd w:id="131"/>
      <w:bookmarkStart w:id="132" w:name="_Toc184308058"/>
      <w:bookmarkEnd w:id="132"/>
      <w:bookmarkStart w:id="133" w:name="_Toc184310288"/>
      <w:bookmarkEnd w:id="133"/>
      <w:bookmarkStart w:id="134" w:name="_Toc184312068"/>
      <w:bookmarkEnd w:id="134"/>
      <w:bookmarkStart w:id="135" w:name="_Toc184310295"/>
      <w:bookmarkEnd w:id="135"/>
      <w:bookmarkStart w:id="136" w:name="_Toc184313299"/>
      <w:bookmarkEnd w:id="136"/>
      <w:bookmarkStart w:id="137" w:name="_Toc184314447"/>
      <w:bookmarkEnd w:id="137"/>
      <w:bookmarkStart w:id="138" w:name="_Toc184314436"/>
      <w:bookmarkEnd w:id="138"/>
      <w:bookmarkStart w:id="139" w:name="_Toc184308093"/>
      <w:bookmarkEnd w:id="139"/>
      <w:bookmarkStart w:id="140" w:name="_Toc184314416"/>
      <w:bookmarkEnd w:id="140"/>
      <w:bookmarkStart w:id="141" w:name="_Toc184313276"/>
      <w:bookmarkEnd w:id="141"/>
      <w:bookmarkStart w:id="142" w:name="_Toc184308068"/>
      <w:bookmarkEnd w:id="142"/>
      <w:bookmarkStart w:id="143" w:name="_Toc184312125"/>
      <w:bookmarkEnd w:id="143"/>
      <w:bookmarkStart w:id="144" w:name="_Toc184308052"/>
      <w:bookmarkEnd w:id="144"/>
      <w:bookmarkStart w:id="145" w:name="_Toc184308048"/>
      <w:bookmarkEnd w:id="145"/>
      <w:bookmarkStart w:id="146" w:name="_Toc184312087"/>
      <w:bookmarkEnd w:id="146"/>
      <w:bookmarkStart w:id="147" w:name="_Toc184313274"/>
      <w:bookmarkEnd w:id="147"/>
      <w:bookmarkStart w:id="148" w:name="_Toc184313273"/>
      <w:bookmarkEnd w:id="148"/>
      <w:bookmarkStart w:id="149" w:name="_Toc184314477"/>
      <w:bookmarkEnd w:id="149"/>
      <w:bookmarkStart w:id="150" w:name="_Toc184310279"/>
      <w:bookmarkEnd w:id="150"/>
      <w:bookmarkStart w:id="151" w:name="_Toc184313275"/>
      <w:bookmarkEnd w:id="151"/>
      <w:bookmarkStart w:id="152" w:name="_Toc184308103"/>
      <w:bookmarkEnd w:id="152"/>
      <w:bookmarkStart w:id="153" w:name="_Toc184313307"/>
      <w:bookmarkEnd w:id="153"/>
      <w:bookmarkStart w:id="154" w:name="_Toc184313277"/>
      <w:bookmarkEnd w:id="154"/>
      <w:bookmarkStart w:id="155" w:name="_Toc184312127"/>
      <w:bookmarkEnd w:id="155"/>
      <w:bookmarkStart w:id="156" w:name="_Toc184312073"/>
      <w:bookmarkEnd w:id="156"/>
      <w:bookmarkStart w:id="157" w:name="_Toc184313279"/>
      <w:bookmarkEnd w:id="157"/>
      <w:bookmarkStart w:id="158" w:name="_Toc184312077"/>
      <w:bookmarkEnd w:id="158"/>
      <w:bookmarkStart w:id="159" w:name="_Toc184313267"/>
      <w:bookmarkEnd w:id="159"/>
      <w:bookmarkStart w:id="160" w:name="_Toc184312074"/>
      <w:bookmarkEnd w:id="160"/>
      <w:bookmarkStart w:id="161" w:name="_Toc184313296"/>
      <w:bookmarkEnd w:id="161"/>
      <w:bookmarkStart w:id="162" w:name="_Toc184314471"/>
      <w:bookmarkEnd w:id="162"/>
      <w:bookmarkStart w:id="163" w:name="_Toc184314417"/>
      <w:bookmarkEnd w:id="163"/>
      <w:bookmarkStart w:id="164" w:name="_Toc184314414"/>
      <w:bookmarkEnd w:id="164"/>
      <w:bookmarkStart w:id="165" w:name="_Toc184313289"/>
      <w:bookmarkEnd w:id="165"/>
      <w:bookmarkStart w:id="166" w:name="_Toc184312107"/>
      <w:bookmarkEnd w:id="166"/>
      <w:bookmarkStart w:id="167" w:name="_Toc184313292"/>
      <w:bookmarkEnd w:id="167"/>
      <w:bookmarkStart w:id="168" w:name="_Toc184310311"/>
      <w:bookmarkEnd w:id="168"/>
      <w:bookmarkStart w:id="169" w:name="_Toc184310305"/>
      <w:bookmarkEnd w:id="169"/>
      <w:bookmarkStart w:id="170" w:name="_Toc184312086"/>
      <w:bookmarkEnd w:id="170"/>
      <w:bookmarkStart w:id="171" w:name="_Toc184314441"/>
      <w:bookmarkEnd w:id="171"/>
      <w:bookmarkStart w:id="172" w:name="_Toc184313252"/>
      <w:bookmarkEnd w:id="172"/>
      <w:bookmarkStart w:id="173" w:name="_Toc184312104"/>
      <w:bookmarkEnd w:id="173"/>
      <w:bookmarkStart w:id="174" w:name="_Toc184312095"/>
      <w:bookmarkEnd w:id="174"/>
      <w:bookmarkStart w:id="175" w:name="_Toc184313303"/>
      <w:bookmarkEnd w:id="175"/>
      <w:bookmarkStart w:id="176" w:name="_Toc184312070"/>
      <w:bookmarkEnd w:id="176"/>
      <w:bookmarkStart w:id="177" w:name="_Toc184313250"/>
      <w:bookmarkEnd w:id="177"/>
      <w:bookmarkStart w:id="178" w:name="_Toc184310316"/>
      <w:bookmarkEnd w:id="178"/>
      <w:bookmarkStart w:id="179" w:name="_Toc184308053"/>
      <w:bookmarkEnd w:id="179"/>
      <w:bookmarkStart w:id="180" w:name="_Toc184310323"/>
      <w:bookmarkEnd w:id="180"/>
      <w:bookmarkStart w:id="181" w:name="_Toc184312130"/>
      <w:bookmarkEnd w:id="181"/>
      <w:bookmarkStart w:id="182" w:name="_Toc184312090"/>
      <w:bookmarkEnd w:id="182"/>
      <w:bookmarkStart w:id="183" w:name="_Toc184313281"/>
      <w:bookmarkEnd w:id="183"/>
      <w:bookmarkStart w:id="184" w:name="_Toc184310326"/>
      <w:bookmarkEnd w:id="184"/>
      <w:bookmarkStart w:id="185" w:name="_Toc184313278"/>
      <w:bookmarkEnd w:id="185"/>
      <w:bookmarkStart w:id="186" w:name="_Toc184313287"/>
      <w:bookmarkEnd w:id="186"/>
      <w:bookmarkStart w:id="187" w:name="_Toc184308044"/>
      <w:bookmarkEnd w:id="187"/>
      <w:bookmarkStart w:id="188" w:name="_Toc184308102"/>
      <w:bookmarkEnd w:id="188"/>
      <w:bookmarkStart w:id="189" w:name="_Toc184314460"/>
      <w:bookmarkEnd w:id="189"/>
      <w:bookmarkStart w:id="190" w:name="_Toc184308083"/>
      <w:bookmarkEnd w:id="190"/>
      <w:bookmarkStart w:id="191" w:name="_Toc184312085"/>
      <w:bookmarkEnd w:id="191"/>
      <w:bookmarkStart w:id="192" w:name="_Toc184314443"/>
      <w:bookmarkEnd w:id="192"/>
      <w:bookmarkStart w:id="193" w:name="_Toc184310343"/>
      <w:bookmarkEnd w:id="193"/>
      <w:bookmarkStart w:id="194" w:name="_Toc184312124"/>
      <w:bookmarkEnd w:id="194"/>
      <w:bookmarkStart w:id="195" w:name="_Toc184314437"/>
      <w:bookmarkEnd w:id="195"/>
      <w:bookmarkStart w:id="196" w:name="_Toc184310318"/>
      <w:bookmarkEnd w:id="196"/>
      <w:bookmarkStart w:id="197" w:name="_Toc184312126"/>
      <w:bookmarkEnd w:id="197"/>
      <w:bookmarkStart w:id="198" w:name="_Toc184308067"/>
      <w:bookmarkEnd w:id="198"/>
      <w:bookmarkStart w:id="199" w:name="_Toc184310313"/>
      <w:bookmarkEnd w:id="199"/>
      <w:bookmarkStart w:id="200" w:name="_Toc184308073"/>
      <w:bookmarkEnd w:id="200"/>
      <w:bookmarkStart w:id="201" w:name="_Toc184314481"/>
      <w:bookmarkEnd w:id="201"/>
      <w:bookmarkStart w:id="202" w:name="_Toc184312113"/>
      <w:bookmarkEnd w:id="202"/>
      <w:bookmarkStart w:id="203" w:name="_Toc184313286"/>
      <w:bookmarkEnd w:id="203"/>
      <w:bookmarkStart w:id="204" w:name="_Toc184313264"/>
      <w:bookmarkEnd w:id="204"/>
      <w:bookmarkStart w:id="205" w:name="_Toc184308094"/>
      <w:bookmarkEnd w:id="205"/>
      <w:bookmarkStart w:id="206" w:name="_Toc184308045"/>
      <w:bookmarkEnd w:id="206"/>
      <w:bookmarkStart w:id="207" w:name="_Toc184308070"/>
      <w:bookmarkEnd w:id="207"/>
      <w:bookmarkStart w:id="208" w:name="_Toc184313255"/>
      <w:bookmarkEnd w:id="208"/>
      <w:bookmarkStart w:id="209" w:name="_Toc184313257"/>
      <w:bookmarkEnd w:id="209"/>
      <w:bookmarkStart w:id="210" w:name="_Toc184310306"/>
      <w:bookmarkEnd w:id="210"/>
      <w:bookmarkStart w:id="211" w:name="_Toc184312117"/>
      <w:bookmarkEnd w:id="211"/>
      <w:bookmarkStart w:id="212" w:name="_Toc184314444"/>
      <w:bookmarkEnd w:id="212"/>
      <w:bookmarkStart w:id="213" w:name="_Toc184312080"/>
      <w:bookmarkEnd w:id="213"/>
      <w:bookmarkStart w:id="214" w:name="_Toc184308040"/>
      <w:bookmarkEnd w:id="214"/>
      <w:bookmarkStart w:id="215" w:name="_Toc184308066"/>
      <w:bookmarkEnd w:id="215"/>
      <w:bookmarkStart w:id="216" w:name="_Toc184314433"/>
      <w:bookmarkEnd w:id="216"/>
      <w:bookmarkStart w:id="217" w:name="_Toc184308042"/>
      <w:bookmarkEnd w:id="217"/>
      <w:bookmarkStart w:id="218" w:name="_Toc184312084"/>
      <w:bookmarkEnd w:id="218"/>
      <w:bookmarkStart w:id="219" w:name="_Toc184313258"/>
      <w:bookmarkEnd w:id="219"/>
      <w:bookmarkStart w:id="220" w:name="_Toc184308108"/>
      <w:bookmarkEnd w:id="220"/>
      <w:bookmarkStart w:id="221" w:name="_Toc184312108"/>
      <w:bookmarkEnd w:id="221"/>
      <w:bookmarkStart w:id="222" w:name="_Toc184310314"/>
      <w:bookmarkEnd w:id="222"/>
      <w:bookmarkStart w:id="223" w:name="_Toc184314474"/>
      <w:bookmarkEnd w:id="223"/>
      <w:bookmarkStart w:id="224" w:name="_Toc184313280"/>
      <w:bookmarkEnd w:id="224"/>
      <w:bookmarkStart w:id="225" w:name="_Toc184312118"/>
      <w:bookmarkEnd w:id="225"/>
      <w:bookmarkStart w:id="226" w:name="_Toc184313304"/>
      <w:bookmarkEnd w:id="226"/>
      <w:bookmarkStart w:id="227" w:name="_Toc184313284"/>
      <w:bookmarkEnd w:id="227"/>
      <w:bookmarkStart w:id="228" w:name="_Toc184314455"/>
      <w:bookmarkEnd w:id="228"/>
      <w:bookmarkStart w:id="229" w:name="_Toc184314456"/>
      <w:bookmarkEnd w:id="229"/>
      <w:bookmarkStart w:id="230" w:name="_Toc184314439"/>
      <w:bookmarkEnd w:id="230"/>
      <w:bookmarkStart w:id="231" w:name="_Toc184314470"/>
      <w:bookmarkEnd w:id="231"/>
      <w:bookmarkStart w:id="232" w:name="_Toc184310317"/>
      <w:bookmarkEnd w:id="232"/>
      <w:bookmarkStart w:id="233" w:name="_Toc184310277"/>
      <w:bookmarkEnd w:id="233"/>
      <w:bookmarkStart w:id="234" w:name="_Toc184310273"/>
      <w:bookmarkEnd w:id="234"/>
      <w:bookmarkStart w:id="235" w:name="_Toc184314453"/>
      <w:bookmarkEnd w:id="235"/>
      <w:bookmarkStart w:id="236" w:name="_Toc184310291"/>
      <w:bookmarkEnd w:id="236"/>
      <w:bookmarkStart w:id="237" w:name="_Toc184313253"/>
      <w:bookmarkEnd w:id="237"/>
      <w:bookmarkStart w:id="238" w:name="_Toc184310334"/>
      <w:bookmarkEnd w:id="238"/>
      <w:bookmarkStart w:id="239" w:name="_Toc184308082"/>
      <w:bookmarkEnd w:id="239"/>
      <w:bookmarkStart w:id="240" w:name="_Toc184314438"/>
      <w:bookmarkEnd w:id="240"/>
      <w:bookmarkStart w:id="241" w:name="_Toc184314426"/>
      <w:bookmarkEnd w:id="241"/>
      <w:bookmarkStart w:id="242" w:name="_Toc184314454"/>
      <w:bookmarkEnd w:id="242"/>
      <w:bookmarkStart w:id="243" w:name="_Toc184310284"/>
      <w:bookmarkEnd w:id="243"/>
      <w:bookmarkStart w:id="244" w:name="_Toc184310331"/>
      <w:bookmarkEnd w:id="244"/>
      <w:bookmarkStart w:id="245" w:name="_Toc184313256"/>
      <w:bookmarkEnd w:id="245"/>
      <w:bookmarkStart w:id="246" w:name="_Toc184314434"/>
      <w:bookmarkEnd w:id="246"/>
      <w:bookmarkStart w:id="247" w:name="_Toc184314467"/>
      <w:bookmarkEnd w:id="247"/>
      <w:bookmarkStart w:id="248" w:name="_Toc184308077"/>
      <w:bookmarkEnd w:id="248"/>
      <w:bookmarkStart w:id="249" w:name="_Toc184314422"/>
      <w:bookmarkEnd w:id="249"/>
      <w:bookmarkStart w:id="250" w:name="_Toc184310289"/>
      <w:bookmarkEnd w:id="250"/>
      <w:bookmarkStart w:id="251" w:name="_Toc184312119"/>
      <w:bookmarkEnd w:id="251"/>
      <w:bookmarkStart w:id="252" w:name="_Toc184313271"/>
      <w:bookmarkEnd w:id="252"/>
      <w:bookmarkStart w:id="253" w:name="_Toc184312067"/>
      <w:bookmarkEnd w:id="253"/>
      <w:bookmarkStart w:id="254" w:name="_Toc184310320"/>
      <w:bookmarkEnd w:id="254"/>
      <w:bookmarkStart w:id="255" w:name="_Toc184312083"/>
      <w:bookmarkEnd w:id="255"/>
      <w:bookmarkStart w:id="256" w:name="_Toc184313288"/>
      <w:bookmarkEnd w:id="256"/>
      <w:bookmarkStart w:id="257" w:name="_Toc184310322"/>
      <w:bookmarkEnd w:id="257"/>
      <w:bookmarkStart w:id="258" w:name="_Toc184313265"/>
      <w:bookmarkEnd w:id="258"/>
      <w:bookmarkStart w:id="259" w:name="_Toc184314475"/>
      <w:bookmarkEnd w:id="259"/>
      <w:bookmarkStart w:id="260" w:name="_Toc184314450"/>
      <w:bookmarkEnd w:id="260"/>
      <w:bookmarkStart w:id="261" w:name="_Toc184308096"/>
      <w:bookmarkEnd w:id="261"/>
      <w:bookmarkStart w:id="262" w:name="_Toc184310309"/>
      <w:bookmarkEnd w:id="262"/>
      <w:bookmarkStart w:id="263" w:name="_Toc184310280"/>
      <w:bookmarkEnd w:id="263"/>
      <w:bookmarkStart w:id="264" w:name="_Toc184314425"/>
      <w:bookmarkEnd w:id="264"/>
      <w:bookmarkStart w:id="265" w:name="_Toc184314464"/>
      <w:bookmarkEnd w:id="265"/>
      <w:bookmarkStart w:id="266" w:name="_Toc184312131"/>
      <w:bookmarkEnd w:id="266"/>
      <w:bookmarkStart w:id="267" w:name="_Toc184310337"/>
      <w:bookmarkEnd w:id="267"/>
      <w:bookmarkStart w:id="268" w:name="_Toc184312089"/>
      <w:bookmarkEnd w:id="268"/>
      <w:bookmarkStart w:id="269" w:name="_Toc184314480"/>
      <w:bookmarkEnd w:id="269"/>
      <w:bookmarkStart w:id="270" w:name="_Toc184310303"/>
      <w:bookmarkEnd w:id="270"/>
      <w:bookmarkStart w:id="271" w:name="_Toc184312123"/>
      <w:bookmarkEnd w:id="271"/>
      <w:bookmarkStart w:id="272" w:name="_Toc184313240"/>
      <w:bookmarkEnd w:id="272"/>
      <w:bookmarkStart w:id="273" w:name="_Toc184313282"/>
      <w:bookmarkEnd w:id="273"/>
      <w:bookmarkStart w:id="274" w:name="_Toc184314420"/>
      <w:bookmarkEnd w:id="274"/>
      <w:bookmarkStart w:id="275" w:name="_Toc184312110"/>
      <w:bookmarkEnd w:id="275"/>
      <w:bookmarkStart w:id="276" w:name="_Toc184308041"/>
      <w:bookmarkEnd w:id="276"/>
      <w:bookmarkStart w:id="277" w:name="_Toc184308076"/>
      <w:bookmarkEnd w:id="277"/>
      <w:bookmarkStart w:id="278" w:name="_Toc184314419"/>
      <w:bookmarkEnd w:id="278"/>
      <w:bookmarkStart w:id="279" w:name="_Toc184313283"/>
      <w:bookmarkEnd w:id="279"/>
      <w:bookmarkStart w:id="280" w:name="_Toc184312111"/>
      <w:bookmarkEnd w:id="280"/>
      <w:bookmarkStart w:id="281" w:name="_Toc184312091"/>
      <w:bookmarkEnd w:id="281"/>
      <w:bookmarkStart w:id="282" w:name="_Toc184313262"/>
      <w:bookmarkEnd w:id="282"/>
      <w:bookmarkStart w:id="283" w:name="_Toc184310321"/>
      <w:bookmarkEnd w:id="283"/>
      <w:bookmarkStart w:id="284" w:name="_Toc184313269"/>
      <w:bookmarkEnd w:id="284"/>
      <w:bookmarkStart w:id="285" w:name="_Toc184313272"/>
      <w:bookmarkEnd w:id="285"/>
      <w:bookmarkStart w:id="286" w:name="_Toc184310327"/>
      <w:bookmarkEnd w:id="286"/>
      <w:bookmarkStart w:id="287" w:name="_Toc184308065"/>
      <w:bookmarkEnd w:id="287"/>
      <w:bookmarkStart w:id="288" w:name="_Toc184310298"/>
      <w:bookmarkEnd w:id="288"/>
      <w:bookmarkStart w:id="289" w:name="_Toc184313242"/>
      <w:bookmarkEnd w:id="289"/>
      <w:bookmarkStart w:id="290" w:name="_Toc184312135"/>
      <w:bookmarkEnd w:id="290"/>
      <w:bookmarkStart w:id="291" w:name="_Toc184313263"/>
      <w:bookmarkEnd w:id="291"/>
      <w:bookmarkStart w:id="292" w:name="_Toc184314462"/>
      <w:bookmarkEnd w:id="292"/>
      <w:bookmarkStart w:id="293" w:name="_Toc184310281"/>
      <w:bookmarkEnd w:id="293"/>
      <w:bookmarkStart w:id="294" w:name="_Toc184308105"/>
      <w:bookmarkEnd w:id="294"/>
      <w:bookmarkStart w:id="295" w:name="_Toc184312078"/>
      <w:bookmarkEnd w:id="295"/>
      <w:bookmarkStart w:id="296" w:name="_Toc184314461"/>
      <w:bookmarkEnd w:id="296"/>
      <w:bookmarkStart w:id="297" w:name="_Toc184313298"/>
      <w:bookmarkEnd w:id="297"/>
      <w:bookmarkStart w:id="298" w:name="_Toc184310278"/>
      <w:bookmarkEnd w:id="298"/>
      <w:bookmarkStart w:id="299" w:name="_Toc184312101"/>
      <w:bookmarkEnd w:id="299"/>
      <w:bookmarkStart w:id="300" w:name="_Toc184310294"/>
      <w:bookmarkEnd w:id="300"/>
      <w:bookmarkStart w:id="301" w:name="_Toc184314428"/>
      <w:bookmarkEnd w:id="301"/>
      <w:bookmarkStart w:id="302" w:name="_Toc184308063"/>
      <w:bookmarkEnd w:id="302"/>
      <w:bookmarkStart w:id="303" w:name="_Toc184312114"/>
      <w:bookmarkEnd w:id="303"/>
      <w:bookmarkStart w:id="304" w:name="_Toc184314413"/>
      <w:bookmarkEnd w:id="304"/>
      <w:bookmarkStart w:id="305" w:name="_Toc184310301"/>
      <w:bookmarkEnd w:id="305"/>
      <w:bookmarkStart w:id="306" w:name="_Toc184313309"/>
      <w:bookmarkEnd w:id="306"/>
      <w:bookmarkStart w:id="307" w:name="_Toc184308046"/>
      <w:bookmarkEnd w:id="307"/>
      <w:bookmarkStart w:id="308" w:name="_Toc184308074"/>
      <w:bookmarkEnd w:id="308"/>
      <w:bookmarkStart w:id="309" w:name="_Toc184313244"/>
      <w:bookmarkEnd w:id="309"/>
      <w:bookmarkStart w:id="310" w:name="_Toc184312120"/>
      <w:bookmarkEnd w:id="310"/>
      <w:bookmarkStart w:id="311" w:name="_Toc184310338"/>
      <w:bookmarkEnd w:id="311"/>
      <w:bookmarkStart w:id="312" w:name="_Toc184314427"/>
      <w:bookmarkEnd w:id="312"/>
      <w:bookmarkStart w:id="313" w:name="_Toc184314412"/>
      <w:bookmarkEnd w:id="313"/>
      <w:bookmarkStart w:id="314" w:name="_Toc184310293"/>
      <w:bookmarkEnd w:id="314"/>
      <w:bookmarkStart w:id="315" w:name="_Toc184310299"/>
      <w:bookmarkEnd w:id="315"/>
      <w:bookmarkStart w:id="316" w:name="_Toc184313301"/>
      <w:bookmarkEnd w:id="316"/>
      <w:bookmarkStart w:id="317" w:name="_Toc184308088"/>
      <w:bookmarkEnd w:id="317"/>
      <w:bookmarkStart w:id="318" w:name="_Toc184313246"/>
      <w:bookmarkEnd w:id="318"/>
      <w:bookmarkStart w:id="319" w:name="_Toc184312105"/>
      <w:bookmarkEnd w:id="319"/>
      <w:bookmarkStart w:id="320" w:name="_Toc184310287"/>
      <w:bookmarkEnd w:id="320"/>
      <w:bookmarkStart w:id="321" w:name="_Toc184308039"/>
      <w:bookmarkEnd w:id="321"/>
      <w:bookmarkStart w:id="322" w:name="_Toc184308060"/>
      <w:bookmarkEnd w:id="322"/>
      <w:bookmarkStart w:id="323" w:name="_Toc184313259"/>
      <w:bookmarkEnd w:id="323"/>
      <w:bookmarkStart w:id="324" w:name="_Toc184313248"/>
      <w:bookmarkEnd w:id="324"/>
      <w:bookmarkStart w:id="325" w:name="_Toc184312092"/>
      <w:bookmarkEnd w:id="325"/>
      <w:bookmarkStart w:id="326" w:name="_Toc184310286"/>
      <w:bookmarkEnd w:id="326"/>
      <w:bookmarkStart w:id="327" w:name="_Toc184313266"/>
      <w:bookmarkEnd w:id="327"/>
      <w:bookmarkStart w:id="328" w:name="_Toc184308106"/>
      <w:bookmarkEnd w:id="328"/>
      <w:bookmarkStart w:id="329" w:name="_Toc184314449"/>
      <w:bookmarkEnd w:id="329"/>
      <w:bookmarkStart w:id="330" w:name="_Toc184313247"/>
      <w:bookmarkEnd w:id="330"/>
      <w:bookmarkStart w:id="331" w:name="_Toc184310300"/>
      <w:bookmarkEnd w:id="331"/>
      <w:bookmarkStart w:id="332" w:name="_Toc184314472"/>
      <w:bookmarkEnd w:id="332"/>
      <w:bookmarkStart w:id="333" w:name="_Toc184314469"/>
      <w:bookmarkEnd w:id="333"/>
      <w:bookmarkStart w:id="334" w:name="_Toc184310315"/>
      <w:bookmarkEnd w:id="334"/>
      <w:bookmarkStart w:id="335" w:name="_Toc184308092"/>
      <w:bookmarkEnd w:id="335"/>
      <w:bookmarkStart w:id="336" w:name="_Toc184310344"/>
      <w:bookmarkEnd w:id="336"/>
      <w:bookmarkStart w:id="337" w:name="_Toc184313268"/>
      <w:bookmarkEnd w:id="337"/>
      <w:bookmarkStart w:id="338" w:name="_Toc184308059"/>
      <w:bookmarkEnd w:id="338"/>
      <w:bookmarkStart w:id="339" w:name="_Toc184310276"/>
      <w:bookmarkEnd w:id="339"/>
      <w:bookmarkStart w:id="340" w:name="_Toc184313285"/>
      <w:bookmarkEnd w:id="340"/>
      <w:bookmarkStart w:id="341" w:name="_Toc184310272"/>
      <w:bookmarkEnd w:id="341"/>
      <w:bookmarkStart w:id="342" w:name="_Toc184312134"/>
      <w:bookmarkEnd w:id="342"/>
      <w:bookmarkStart w:id="343" w:name="_Toc184312094"/>
      <w:bookmarkEnd w:id="343"/>
      <w:bookmarkStart w:id="344" w:name="_Toc184308072"/>
      <w:bookmarkEnd w:id="344"/>
      <w:bookmarkStart w:id="345" w:name="_Toc184314421"/>
      <w:bookmarkEnd w:id="345"/>
      <w:bookmarkStart w:id="346" w:name="_Toc184313297"/>
      <w:bookmarkEnd w:id="346"/>
      <w:bookmarkStart w:id="347" w:name="_Toc184308049"/>
      <w:bookmarkEnd w:id="347"/>
      <w:bookmarkStart w:id="348" w:name="_Toc184314431"/>
      <w:bookmarkEnd w:id="348"/>
      <w:bookmarkStart w:id="349" w:name="_Toc184313305"/>
      <w:bookmarkEnd w:id="349"/>
      <w:bookmarkStart w:id="350" w:name="_Toc184313294"/>
      <w:bookmarkEnd w:id="350"/>
      <w:bookmarkStart w:id="351" w:name="_Toc184310330"/>
      <w:bookmarkEnd w:id="351"/>
      <w:bookmarkStart w:id="352" w:name="_Toc184312098"/>
      <w:bookmarkEnd w:id="352"/>
      <w:bookmarkStart w:id="353" w:name="_Toc184312081"/>
      <w:bookmarkEnd w:id="353"/>
      <w:bookmarkStart w:id="354" w:name="_Toc184313238"/>
      <w:bookmarkEnd w:id="354"/>
      <w:bookmarkStart w:id="355" w:name="_Toc184313293"/>
      <w:bookmarkEnd w:id="355"/>
      <w:bookmarkStart w:id="356" w:name="_Toc184308090"/>
      <w:bookmarkEnd w:id="356"/>
      <w:bookmarkStart w:id="357" w:name="_Toc184313239"/>
      <w:bookmarkEnd w:id="357"/>
      <w:bookmarkStart w:id="358" w:name="_Toc184313302"/>
      <w:bookmarkEnd w:id="358"/>
      <w:bookmarkStart w:id="359" w:name="_Toc184313310"/>
      <w:bookmarkEnd w:id="359"/>
      <w:bookmarkStart w:id="360" w:name="_Toc184310341"/>
      <w:bookmarkEnd w:id="360"/>
      <w:bookmarkStart w:id="361" w:name="_Toc184314424"/>
      <w:bookmarkEnd w:id="361"/>
      <w:bookmarkStart w:id="362" w:name="_Toc184312128"/>
      <w:bookmarkEnd w:id="362"/>
      <w:bookmarkStart w:id="363" w:name="_Toc184314429"/>
      <w:bookmarkEnd w:id="363"/>
      <w:bookmarkStart w:id="364" w:name="_Toc184314423"/>
      <w:bookmarkEnd w:id="364"/>
      <w:bookmarkStart w:id="365" w:name="_Toc184314459"/>
      <w:bookmarkEnd w:id="365"/>
      <w:bookmarkStart w:id="366" w:name="_Toc184310340"/>
      <w:bookmarkEnd w:id="366"/>
      <w:bookmarkStart w:id="367" w:name="_Toc184310304"/>
      <w:bookmarkEnd w:id="367"/>
      <w:bookmarkStart w:id="368" w:name="_Toc184310308"/>
      <w:bookmarkEnd w:id="368"/>
      <w:bookmarkStart w:id="369" w:name="_Toc184314446"/>
      <w:bookmarkEnd w:id="369"/>
      <w:bookmarkStart w:id="370" w:name="_Toc184308087"/>
      <w:bookmarkEnd w:id="370"/>
      <w:bookmarkStart w:id="371" w:name="_Toc184308081"/>
      <w:bookmarkEnd w:id="371"/>
      <w:bookmarkStart w:id="372" w:name="_Toc184314479"/>
      <w:bookmarkEnd w:id="372"/>
      <w:bookmarkStart w:id="373" w:name="_Toc184312082"/>
      <w:bookmarkEnd w:id="373"/>
      <w:bookmarkStart w:id="374" w:name="_Toc184308071"/>
      <w:bookmarkEnd w:id="374"/>
      <w:bookmarkStart w:id="375" w:name="_Toc184308051"/>
      <w:bookmarkEnd w:id="375"/>
      <w:bookmarkStart w:id="376" w:name="_Toc184314418"/>
      <w:bookmarkEnd w:id="376"/>
      <w:bookmarkStart w:id="377" w:name="_Toc184314442"/>
      <w:bookmarkEnd w:id="377"/>
      <w:bookmarkStart w:id="378" w:name="_Toc184312121"/>
      <w:bookmarkEnd w:id="378"/>
      <w:bookmarkStart w:id="379" w:name="_Toc184308097"/>
      <w:bookmarkEnd w:id="379"/>
      <w:bookmarkStart w:id="380" w:name="_Toc184312088"/>
      <w:bookmarkEnd w:id="380"/>
      <w:bookmarkStart w:id="381" w:name="_Toc184314435"/>
      <w:bookmarkEnd w:id="381"/>
      <w:bookmarkStart w:id="382" w:name="_Toc184313290"/>
      <w:bookmarkEnd w:id="382"/>
      <w:bookmarkStart w:id="383" w:name="_Toc184308069"/>
      <w:bookmarkEnd w:id="383"/>
      <w:bookmarkStart w:id="384" w:name="_Toc184312097"/>
      <w:bookmarkEnd w:id="384"/>
      <w:bookmarkStart w:id="385" w:name="_Toc184310339"/>
      <w:bookmarkEnd w:id="385"/>
      <w:bookmarkStart w:id="386" w:name="_Toc184313291"/>
      <w:bookmarkEnd w:id="386"/>
      <w:bookmarkStart w:id="387" w:name="_Toc184313308"/>
      <w:bookmarkEnd w:id="387"/>
      <w:bookmarkStart w:id="388" w:name="_Toc184310285"/>
      <w:bookmarkEnd w:id="388"/>
      <w:bookmarkStart w:id="389" w:name="_Toc184314452"/>
      <w:bookmarkEnd w:id="389"/>
      <w:bookmarkStart w:id="390" w:name="_Toc184312115"/>
      <w:bookmarkEnd w:id="390"/>
      <w:bookmarkStart w:id="391" w:name="_Toc184308057"/>
      <w:bookmarkEnd w:id="391"/>
      <w:bookmarkStart w:id="392" w:name="_Toc184312139"/>
      <w:bookmarkEnd w:id="392"/>
      <w:bookmarkStart w:id="393" w:name="_Toc184313254"/>
      <w:bookmarkEnd w:id="393"/>
      <w:bookmarkStart w:id="394" w:name="_Toc184308061"/>
      <w:bookmarkEnd w:id="394"/>
      <w:bookmarkStart w:id="395" w:name="_Toc184308047"/>
      <w:bookmarkEnd w:id="395"/>
      <w:bookmarkStart w:id="396" w:name="_Toc184310302"/>
      <w:bookmarkEnd w:id="396"/>
      <w:bookmarkStart w:id="397" w:name="_Toc184312133"/>
      <w:bookmarkEnd w:id="397"/>
      <w:bookmarkStart w:id="398" w:name="_Toc184310329"/>
      <w:bookmarkEnd w:id="398"/>
      <w:bookmarkStart w:id="399" w:name="_Toc184312129"/>
      <w:bookmarkEnd w:id="399"/>
      <w:bookmarkStart w:id="400" w:name="_Toc184312099"/>
      <w:bookmarkEnd w:id="400"/>
      <w:bookmarkStart w:id="401" w:name="_Toc184308062"/>
      <w:bookmarkEnd w:id="401"/>
      <w:bookmarkStart w:id="402" w:name="_Toc184312102"/>
      <w:bookmarkEnd w:id="402"/>
      <w:bookmarkStart w:id="403" w:name="_Toc184314478"/>
      <w:bookmarkEnd w:id="403"/>
      <w:bookmarkStart w:id="404" w:name="_Toc184312079"/>
      <w:bookmarkEnd w:id="404"/>
      <w:bookmarkStart w:id="405" w:name="_Toc184310282"/>
      <w:bookmarkEnd w:id="405"/>
      <w:bookmarkStart w:id="406" w:name="_Toc184314440"/>
      <w:bookmarkEnd w:id="406"/>
      <w:bookmarkStart w:id="407" w:name="_Toc184314458"/>
      <w:bookmarkEnd w:id="407"/>
      <w:bookmarkStart w:id="408" w:name="_Toc184308100"/>
      <w:bookmarkEnd w:id="408"/>
      <w:bookmarkStart w:id="409" w:name="_Toc184308085"/>
      <w:bookmarkEnd w:id="409"/>
      <w:bookmarkStart w:id="410" w:name="_Toc184310336"/>
      <w:bookmarkEnd w:id="410"/>
      <w:bookmarkStart w:id="411" w:name="_Toc184310332"/>
      <w:bookmarkEnd w:id="411"/>
      <w:bookmarkStart w:id="412" w:name="_Toc184312122"/>
      <w:bookmarkEnd w:id="412"/>
      <w:bookmarkStart w:id="413" w:name="_Toc184308079"/>
      <w:bookmarkEnd w:id="413"/>
      <w:bookmarkStart w:id="414" w:name="_Toc184312093"/>
      <w:bookmarkEnd w:id="414"/>
      <w:bookmarkStart w:id="415" w:name="_Toc184308084"/>
      <w:bookmarkEnd w:id="415"/>
      <w:bookmarkStart w:id="416" w:name="_Toc184314432"/>
      <w:bookmarkEnd w:id="416"/>
      <w:bookmarkStart w:id="417" w:name="_Toc184308099"/>
      <w:bookmarkEnd w:id="417"/>
      <w:bookmarkStart w:id="418" w:name="_Toc184314482"/>
      <w:bookmarkEnd w:id="418"/>
      <w:bookmarkStart w:id="419" w:name="_Toc184308050"/>
      <w:bookmarkEnd w:id="419"/>
      <w:bookmarkStart w:id="420" w:name="_Toc184310292"/>
      <w:bookmarkEnd w:id="420"/>
      <w:bookmarkStart w:id="421" w:name="_Toc184314410"/>
      <w:bookmarkEnd w:id="421"/>
      <w:bookmarkStart w:id="422" w:name="_Toc184308055"/>
      <w:bookmarkEnd w:id="422"/>
      <w:bookmarkStart w:id="423" w:name="_Toc184308086"/>
      <w:bookmarkEnd w:id="423"/>
      <w:bookmarkStart w:id="424" w:name="_Toc184308056"/>
      <w:bookmarkEnd w:id="424"/>
      <w:bookmarkStart w:id="425" w:name="_Toc184312137"/>
      <w:bookmarkEnd w:id="425"/>
      <w:bookmarkStart w:id="426" w:name="_Toc184314457"/>
      <w:bookmarkEnd w:id="426"/>
      <w:bookmarkStart w:id="427" w:name="_Toc184314415"/>
      <w:bookmarkEnd w:id="427"/>
      <w:bookmarkStart w:id="428" w:name="_Toc184308036"/>
      <w:bookmarkEnd w:id="428"/>
      <w:r>
        <w:rPr>
          <w:rFonts w:hint="eastAsia" w:ascii="宋体" w:hAnsi="宋体" w:cs="宋体"/>
          <w:b/>
          <w:color w:val="auto"/>
          <w:sz w:val="36"/>
          <w:szCs w:val="36"/>
          <w:highlight w:val="none"/>
        </w:rPr>
        <w:t>评标办法</w:t>
      </w:r>
      <w:bookmarkEnd w:id="62"/>
      <w:bookmarkEnd w:id="63"/>
    </w:p>
    <w:p w14:paraId="5192A68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评标办法前附表</w:t>
      </w:r>
    </w:p>
    <w:tbl>
      <w:tblPr>
        <w:tblStyle w:val="64"/>
        <w:tblW w:w="985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75"/>
        <w:gridCol w:w="1224"/>
        <w:gridCol w:w="6516"/>
        <w:gridCol w:w="1140"/>
      </w:tblGrid>
      <w:tr w14:paraId="5FDE94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tblHeader/>
          <w:jc w:val="center"/>
        </w:trPr>
        <w:tc>
          <w:tcPr>
            <w:tcW w:w="975" w:type="dxa"/>
            <w:tcBorders>
              <w:tl2br w:val="nil"/>
              <w:tr2bl w:val="nil"/>
            </w:tcBorders>
            <w:noWrap w:val="0"/>
            <w:vAlign w:val="center"/>
          </w:tcPr>
          <w:p w14:paraId="15A92EEF">
            <w:pPr>
              <w:keepNext w:val="0"/>
              <w:keepLines w:val="0"/>
              <w:pageBreakBefore w:val="0"/>
              <w:kinsoku/>
              <w:wordWrap/>
              <w:overflowPunct/>
              <w:topLinePunct w:val="0"/>
              <w:bidi w:val="0"/>
              <w:spacing w:beforeAutospacing="0" w:afterAutospacing="0" w:line="240" w:lineRule="auto"/>
              <w:ind w:right="0" w:rightChars="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bCs/>
                <w:color w:val="auto"/>
                <w:kern w:val="0"/>
                <w:sz w:val="24"/>
                <w:szCs w:val="24"/>
                <w:highlight w:val="none"/>
              </w:rPr>
              <w:t>项目</w:t>
            </w:r>
          </w:p>
        </w:tc>
        <w:tc>
          <w:tcPr>
            <w:tcW w:w="7740" w:type="dxa"/>
            <w:gridSpan w:val="2"/>
            <w:tcBorders>
              <w:tl2br w:val="nil"/>
              <w:tr2bl w:val="nil"/>
            </w:tcBorders>
            <w:noWrap w:val="0"/>
            <w:vAlign w:val="center"/>
          </w:tcPr>
          <w:p w14:paraId="5071BDC3">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评审内容</w:t>
            </w:r>
          </w:p>
        </w:tc>
        <w:tc>
          <w:tcPr>
            <w:tcW w:w="1140" w:type="dxa"/>
            <w:tcBorders>
              <w:tl2br w:val="nil"/>
              <w:tr2bl w:val="nil"/>
            </w:tcBorders>
            <w:noWrap w:val="0"/>
            <w:vAlign w:val="center"/>
          </w:tcPr>
          <w:p w14:paraId="15A7E89E">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备注</w:t>
            </w:r>
          </w:p>
        </w:tc>
      </w:tr>
      <w:tr w14:paraId="1CC9F3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19" w:hRule="atLeast"/>
          <w:jc w:val="center"/>
        </w:trPr>
        <w:tc>
          <w:tcPr>
            <w:tcW w:w="975" w:type="dxa"/>
            <w:tcBorders>
              <w:tl2br w:val="nil"/>
              <w:tr2bl w:val="nil"/>
            </w:tcBorders>
            <w:noWrap w:val="0"/>
            <w:vAlign w:val="center"/>
          </w:tcPr>
          <w:p w14:paraId="600CE0D3">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价</w:t>
            </w:r>
          </w:p>
          <w:p w14:paraId="60A4959C">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格</w:t>
            </w:r>
          </w:p>
          <w:p w14:paraId="54436469">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分</w:t>
            </w:r>
          </w:p>
          <w:p w14:paraId="75416950">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10</w:t>
            </w:r>
            <w:r>
              <w:rPr>
                <w:rFonts w:hint="eastAsia" w:ascii="宋体" w:hAnsi="宋体" w:eastAsia="宋体" w:cs="宋体"/>
                <w:b w:val="0"/>
                <w:bCs w:val="0"/>
                <w:color w:val="auto"/>
                <w:kern w:val="0"/>
                <w:sz w:val="24"/>
                <w:szCs w:val="24"/>
                <w:highlight w:val="none"/>
              </w:rPr>
              <w:t>分</w:t>
            </w:r>
          </w:p>
        </w:tc>
        <w:tc>
          <w:tcPr>
            <w:tcW w:w="7740" w:type="dxa"/>
            <w:gridSpan w:val="2"/>
            <w:tcBorders>
              <w:tl2br w:val="nil"/>
              <w:tr2bl w:val="nil"/>
            </w:tcBorders>
            <w:noWrap w:val="0"/>
            <w:vAlign w:val="center"/>
          </w:tcPr>
          <w:p w14:paraId="002406C4">
            <w:pPr>
              <w:keepNext w:val="0"/>
              <w:keepLines w:val="0"/>
              <w:pageBreakBefore w:val="0"/>
              <w:widowControl/>
              <w:tabs>
                <w:tab w:val="left" w:pos="0"/>
              </w:tabs>
              <w:kinsoku/>
              <w:wordWrap/>
              <w:overflowPunct/>
              <w:topLinePunct w:val="0"/>
              <w:bidi w:val="0"/>
              <w:adjustRightInd w:val="0"/>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Cs/>
                <w:color w:val="auto"/>
                <w:kern w:val="0"/>
                <w:sz w:val="24"/>
                <w:szCs w:val="24"/>
                <w:highlight w:val="none"/>
              </w:rPr>
              <w:t>参与评审的价格=</w:t>
            </w:r>
            <w:r>
              <w:rPr>
                <w:rFonts w:hint="eastAsia" w:ascii="宋体" w:hAnsi="宋体" w:cs="宋体"/>
                <w:bCs/>
                <w:color w:val="auto"/>
                <w:kern w:val="0"/>
                <w:sz w:val="24"/>
                <w:szCs w:val="24"/>
                <w:highlight w:val="none"/>
                <w:lang w:val="en-US" w:eastAsia="zh-CN"/>
              </w:rPr>
              <w:t>服务比例</w:t>
            </w:r>
            <w:r>
              <w:rPr>
                <w:rFonts w:hint="eastAsia" w:ascii="宋体" w:hAnsi="宋体" w:eastAsia="宋体" w:cs="宋体"/>
                <w:bCs/>
                <w:color w:val="auto"/>
                <w:kern w:val="0"/>
                <w:sz w:val="24"/>
                <w:szCs w:val="24"/>
                <w:highlight w:val="none"/>
              </w:rPr>
              <w:t>投标报价-小微企业价格扣除优惠值（如有）。</w:t>
            </w:r>
          </w:p>
          <w:p w14:paraId="1E1C43DB">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基准价=满足招标文件要求且最低的参与评审的价格</w:t>
            </w:r>
          </w:p>
          <w:p w14:paraId="2A97DB67">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基准价得分为满分</w:t>
            </w:r>
            <w:r>
              <w:rPr>
                <w:rFonts w:hint="eastAsia" w:ascii="宋体" w:hAnsi="宋体" w:eastAsia="宋体" w:cs="宋体"/>
                <w:b w:val="0"/>
                <w:bCs w:val="0"/>
                <w:color w:val="auto"/>
                <w:kern w:val="0"/>
                <w:sz w:val="24"/>
                <w:szCs w:val="24"/>
                <w:highlight w:val="none"/>
                <w:lang w:val="en-US" w:eastAsia="zh-CN"/>
              </w:rPr>
              <w:t>10</w:t>
            </w:r>
            <w:r>
              <w:rPr>
                <w:rFonts w:hint="eastAsia" w:ascii="宋体" w:hAnsi="宋体" w:eastAsia="宋体" w:cs="宋体"/>
                <w:b w:val="0"/>
                <w:bCs w:val="0"/>
                <w:color w:val="auto"/>
                <w:kern w:val="0"/>
                <w:sz w:val="24"/>
                <w:szCs w:val="24"/>
                <w:highlight w:val="none"/>
              </w:rPr>
              <w:t>分。</w:t>
            </w:r>
          </w:p>
          <w:p w14:paraId="06951777">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投标报价得分=(评标基准价/参与评审的价格)×</w:t>
            </w:r>
            <w:r>
              <w:rPr>
                <w:rFonts w:hint="eastAsia" w:ascii="宋体" w:hAnsi="宋体" w:eastAsia="宋体" w:cs="宋体"/>
                <w:b w:val="0"/>
                <w:bCs w:val="0"/>
                <w:color w:val="auto"/>
                <w:kern w:val="0"/>
                <w:sz w:val="24"/>
                <w:szCs w:val="24"/>
                <w:highlight w:val="none"/>
                <w:lang w:val="en-US" w:eastAsia="zh-CN"/>
              </w:rPr>
              <w:t>10</w:t>
            </w:r>
            <w:r>
              <w:rPr>
                <w:rFonts w:hint="eastAsia" w:ascii="宋体" w:hAnsi="宋体" w:eastAsia="宋体" w:cs="宋体"/>
                <w:b w:val="0"/>
                <w:bCs w:val="0"/>
                <w:color w:val="auto"/>
                <w:kern w:val="0"/>
                <w:sz w:val="24"/>
                <w:szCs w:val="24"/>
                <w:highlight w:val="none"/>
              </w:rPr>
              <w:t>×100%</w:t>
            </w:r>
          </w:p>
          <w:p w14:paraId="4F12D441">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sz w:val="24"/>
                <w:szCs w:val="24"/>
                <w:highlight w:val="none"/>
              </w:rPr>
              <w:t>注：价格得分小数点后保留2位小数，第3位小数四舍五入。</w:t>
            </w:r>
          </w:p>
        </w:tc>
        <w:tc>
          <w:tcPr>
            <w:tcW w:w="1140" w:type="dxa"/>
            <w:tcBorders>
              <w:tl2br w:val="nil"/>
              <w:tr2bl w:val="nil"/>
            </w:tcBorders>
            <w:noWrap w:val="0"/>
            <w:vAlign w:val="center"/>
          </w:tcPr>
          <w:p w14:paraId="5614F629">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客观分</w:t>
            </w:r>
          </w:p>
        </w:tc>
      </w:tr>
      <w:tr w14:paraId="46E901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5" w:type="dxa"/>
            <w:vMerge w:val="restart"/>
            <w:tcBorders>
              <w:tl2br w:val="nil"/>
              <w:tr2bl w:val="nil"/>
            </w:tcBorders>
            <w:noWrap w:val="0"/>
            <w:vAlign w:val="center"/>
          </w:tcPr>
          <w:p w14:paraId="659C4882">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技</w:t>
            </w:r>
          </w:p>
          <w:p w14:paraId="59B7480B">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术</w:t>
            </w:r>
          </w:p>
          <w:p w14:paraId="5710CD80">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分</w:t>
            </w:r>
          </w:p>
          <w:p w14:paraId="6741F84A">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90</w:t>
            </w:r>
            <w:r>
              <w:rPr>
                <w:rFonts w:hint="eastAsia" w:ascii="宋体" w:hAnsi="宋体" w:eastAsia="宋体" w:cs="宋体"/>
                <w:b w:val="0"/>
                <w:bCs w:val="0"/>
                <w:color w:val="auto"/>
                <w:kern w:val="0"/>
                <w:sz w:val="24"/>
                <w:szCs w:val="24"/>
                <w:highlight w:val="none"/>
              </w:rPr>
              <w:t>分</w:t>
            </w:r>
          </w:p>
        </w:tc>
        <w:tc>
          <w:tcPr>
            <w:tcW w:w="7740" w:type="dxa"/>
            <w:gridSpan w:val="2"/>
            <w:tcBorders>
              <w:tl2br w:val="nil"/>
              <w:tr2bl w:val="nil"/>
            </w:tcBorders>
            <w:noWrap w:val="0"/>
            <w:vAlign w:val="center"/>
          </w:tcPr>
          <w:p w14:paraId="2C20D13E">
            <w:pPr>
              <w:keepNext w:val="0"/>
              <w:keepLines w:val="0"/>
              <w:pageBreakBefore w:val="0"/>
              <w:widowControl/>
              <w:kinsoku/>
              <w:wordWrap/>
              <w:overflowPunct/>
              <w:topLinePunct w:val="0"/>
              <w:autoSpaceDE w:val="0"/>
              <w:autoSpaceDN w:val="0"/>
              <w:bidi w:val="0"/>
              <w:adjustRightInd w:val="0"/>
              <w:snapToGrid w:val="0"/>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采购</w:t>
            </w:r>
            <w:r>
              <w:rPr>
                <w:rFonts w:hint="eastAsia" w:ascii="宋体" w:hAnsi="宋体" w:eastAsia="宋体" w:cs="宋体"/>
                <w:b/>
                <w:bCs/>
                <w:color w:val="auto"/>
                <w:kern w:val="0"/>
                <w:sz w:val="24"/>
                <w:szCs w:val="24"/>
                <w:highlight w:val="none"/>
              </w:rPr>
              <w:t>需求响应情况（</w:t>
            </w:r>
            <w:r>
              <w:rPr>
                <w:rFonts w:hint="eastAsia" w:ascii="宋体" w:hAnsi="宋体" w:eastAsia="宋体" w:cs="宋体"/>
                <w:b/>
                <w:bCs/>
                <w:color w:val="auto"/>
                <w:kern w:val="0"/>
                <w:sz w:val="24"/>
                <w:szCs w:val="24"/>
                <w:highlight w:val="none"/>
                <w:lang w:val="en-US" w:eastAsia="zh-CN"/>
              </w:rPr>
              <w:t>34</w:t>
            </w:r>
            <w:r>
              <w:rPr>
                <w:rFonts w:hint="eastAsia" w:ascii="宋体" w:hAnsi="宋体" w:eastAsia="宋体" w:cs="宋体"/>
                <w:b/>
                <w:bCs/>
                <w:color w:val="auto"/>
                <w:kern w:val="0"/>
                <w:sz w:val="24"/>
                <w:szCs w:val="24"/>
                <w:highlight w:val="none"/>
              </w:rPr>
              <w:t>分）：</w:t>
            </w:r>
            <w:r>
              <w:rPr>
                <w:rFonts w:hint="eastAsia" w:ascii="宋体" w:hAnsi="宋体" w:eastAsia="宋体" w:cs="宋体"/>
                <w:b w:val="0"/>
                <w:bCs w:val="0"/>
                <w:color w:val="auto"/>
                <w:kern w:val="0"/>
                <w:sz w:val="24"/>
                <w:szCs w:val="24"/>
                <w:highlight w:val="none"/>
                <w:lang w:val="en-US" w:eastAsia="zh-CN"/>
              </w:rPr>
              <w:t>投标人完全响应招标文件《第三部分 采购需求》“一、采购需求/</w:t>
            </w:r>
            <w:r>
              <w:rPr>
                <w:rFonts w:hint="eastAsia" w:asciiTheme="majorEastAsia" w:hAnsiTheme="majorEastAsia" w:eastAsiaTheme="majorEastAsia" w:cstheme="majorEastAsia"/>
                <w:b/>
                <w:bCs/>
                <w:color w:val="auto"/>
                <w:sz w:val="24"/>
                <w:szCs w:val="24"/>
                <w:highlight w:val="none"/>
                <w:lang w:val="en-US" w:eastAsia="zh-CN"/>
              </w:rPr>
              <w:t>1、服务要求</w:t>
            </w:r>
            <w:r>
              <w:rPr>
                <w:rFonts w:hint="eastAsia" w:ascii="宋体" w:hAnsi="宋体" w:eastAsia="宋体" w:cs="宋体"/>
                <w:b w:val="0"/>
                <w:bCs w:val="0"/>
                <w:color w:val="auto"/>
                <w:kern w:val="0"/>
                <w:sz w:val="24"/>
                <w:szCs w:val="24"/>
                <w:highlight w:val="none"/>
                <w:lang w:val="en-US" w:eastAsia="zh-CN"/>
              </w:rPr>
              <w:t>”中所有条款要求的得34分，每负偏离1条未标注“★”或未标注“▲”条款的扣2</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eastAsia="zh-CN"/>
              </w:rPr>
              <w:t>分，每负偏离1条标注“▲”条款的扣5分，</w:t>
            </w:r>
            <w:r>
              <w:rPr>
                <w:rFonts w:hint="eastAsia" w:ascii="宋体" w:hAnsi="宋体" w:eastAsia="宋体" w:cs="宋体"/>
                <w:b w:val="0"/>
                <w:bCs w:val="0"/>
                <w:color w:val="auto"/>
                <w:kern w:val="0"/>
                <w:sz w:val="24"/>
                <w:szCs w:val="24"/>
                <w:highlight w:val="none"/>
                <w:lang w:eastAsia="zh-CN"/>
              </w:rPr>
              <w:t>当扣减至0分（或以下）时，该</w:t>
            </w:r>
            <w:r>
              <w:rPr>
                <w:rFonts w:hint="eastAsia" w:ascii="宋体" w:hAnsi="宋体" w:eastAsia="宋体" w:cs="宋体"/>
                <w:b w:val="0"/>
                <w:bCs w:val="0"/>
                <w:color w:val="auto"/>
                <w:kern w:val="0"/>
                <w:sz w:val="24"/>
                <w:szCs w:val="24"/>
                <w:highlight w:val="none"/>
                <w:lang w:val="en-US" w:eastAsia="zh-CN"/>
              </w:rPr>
              <w:t>投标人的投标文件</w:t>
            </w:r>
            <w:r>
              <w:rPr>
                <w:rFonts w:hint="eastAsia" w:ascii="宋体" w:hAnsi="宋体" w:eastAsia="宋体" w:cs="宋体"/>
                <w:b w:val="0"/>
                <w:bCs w:val="0"/>
                <w:color w:val="auto"/>
                <w:kern w:val="0"/>
                <w:sz w:val="24"/>
                <w:szCs w:val="24"/>
                <w:highlight w:val="none"/>
                <w:lang w:eastAsia="zh-CN"/>
              </w:rPr>
              <w:t>将被拒绝，其</w:t>
            </w:r>
            <w:r>
              <w:rPr>
                <w:rFonts w:hint="eastAsia" w:ascii="宋体" w:hAnsi="宋体" w:eastAsia="宋体" w:cs="宋体"/>
                <w:b w:val="0"/>
                <w:bCs w:val="0"/>
                <w:color w:val="auto"/>
                <w:kern w:val="0"/>
                <w:sz w:val="24"/>
                <w:szCs w:val="24"/>
                <w:highlight w:val="none"/>
                <w:lang w:val="en-US" w:eastAsia="zh-CN"/>
              </w:rPr>
              <w:t>投标文件</w:t>
            </w:r>
            <w:r>
              <w:rPr>
                <w:rFonts w:hint="eastAsia" w:ascii="宋体" w:hAnsi="宋体" w:eastAsia="宋体" w:cs="宋体"/>
                <w:b w:val="0"/>
                <w:bCs w:val="0"/>
                <w:color w:val="auto"/>
                <w:kern w:val="0"/>
                <w:sz w:val="24"/>
                <w:szCs w:val="24"/>
                <w:highlight w:val="none"/>
                <w:lang w:eastAsia="zh-CN"/>
              </w:rPr>
              <w:t>作无效标处理。</w:t>
            </w:r>
          </w:p>
        </w:tc>
        <w:tc>
          <w:tcPr>
            <w:tcW w:w="1140" w:type="dxa"/>
            <w:tcBorders>
              <w:tl2br w:val="nil"/>
              <w:tr2bl w:val="nil"/>
            </w:tcBorders>
            <w:noWrap w:val="0"/>
            <w:vAlign w:val="center"/>
          </w:tcPr>
          <w:p w14:paraId="126D92FB">
            <w:pPr>
              <w:keepNext w:val="0"/>
              <w:keepLines w:val="0"/>
              <w:pageBreakBefore w:val="0"/>
              <w:widowControl/>
              <w:kinsoku/>
              <w:wordWrap/>
              <w:overflowPunct/>
              <w:topLinePunct w:val="0"/>
              <w:bidi w:val="0"/>
              <w:adjustRightInd/>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客观分</w:t>
            </w:r>
          </w:p>
        </w:tc>
      </w:tr>
      <w:tr w14:paraId="6CDCCB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38" w:hRule="atLeast"/>
          <w:jc w:val="center"/>
        </w:trPr>
        <w:tc>
          <w:tcPr>
            <w:tcW w:w="975" w:type="dxa"/>
            <w:vMerge w:val="continue"/>
            <w:tcBorders>
              <w:tl2br w:val="nil"/>
              <w:tr2bl w:val="nil"/>
            </w:tcBorders>
            <w:noWrap w:val="0"/>
            <w:vAlign w:val="center"/>
          </w:tcPr>
          <w:p w14:paraId="350C0DB6">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p>
        </w:tc>
        <w:tc>
          <w:tcPr>
            <w:tcW w:w="1224" w:type="dxa"/>
            <w:tcBorders>
              <w:tl2br w:val="nil"/>
              <w:tr2bl w:val="nil"/>
            </w:tcBorders>
            <w:noWrap w:val="0"/>
            <w:vAlign w:val="center"/>
          </w:tcPr>
          <w:p w14:paraId="3E86152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总体服务方案（5分）</w:t>
            </w:r>
          </w:p>
        </w:tc>
        <w:tc>
          <w:tcPr>
            <w:tcW w:w="6516" w:type="dxa"/>
            <w:tcBorders>
              <w:tl2br w:val="nil"/>
              <w:tr2bl w:val="nil"/>
            </w:tcBorders>
            <w:noWrap w:val="0"/>
            <w:vAlign w:val="center"/>
          </w:tcPr>
          <w:p w14:paraId="18B72EB8">
            <w:pPr>
              <w:numPr>
                <w:ilvl w:val="0"/>
                <w:numId w:val="0"/>
              </w:numPr>
              <w:spacing w:line="300" w:lineRule="exac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根据投标人针对本项目提出的具体工作方法和总体服务方案等进行评议：</w:t>
            </w:r>
          </w:p>
          <w:p w14:paraId="74FC4ED2">
            <w:pPr>
              <w:numPr>
                <w:ilvl w:val="0"/>
                <w:numId w:val="0"/>
              </w:numPr>
              <w:spacing w:line="300" w:lineRule="exact"/>
              <w:rPr>
                <w:rFonts w:hint="eastAsia" w:ascii="宋体" w:hAnsi="宋体" w:cs="宋体"/>
                <w:b w:val="0"/>
                <w:bCs w:val="0"/>
                <w:color w:val="auto"/>
                <w:sz w:val="24"/>
                <w:szCs w:val="24"/>
                <w:highlight w:val="none"/>
                <w:lang w:val="en-US" w:eastAsia="zh-Hans"/>
              </w:rPr>
            </w:pPr>
            <w:r>
              <w:rPr>
                <w:rFonts w:hint="eastAsia" w:ascii="宋体" w:hAnsi="宋体" w:cs="宋体"/>
                <w:b w:val="0"/>
                <w:bCs w:val="0"/>
                <w:color w:val="auto"/>
                <w:sz w:val="24"/>
                <w:szCs w:val="24"/>
                <w:highlight w:val="none"/>
                <w:lang w:val="en-US" w:eastAsia="zh-CN"/>
              </w:rPr>
              <w:t>总体服务方案及工作方法</w:t>
            </w:r>
            <w:r>
              <w:rPr>
                <w:rFonts w:hint="eastAsia" w:ascii="宋体" w:hAnsi="宋体" w:cs="宋体"/>
                <w:b w:val="0"/>
                <w:bCs w:val="0"/>
                <w:color w:val="auto"/>
                <w:sz w:val="24"/>
                <w:szCs w:val="24"/>
                <w:highlight w:val="none"/>
                <w:lang w:val="en-US" w:eastAsia="zh-Hans"/>
              </w:rPr>
              <w:t>切合实际，</w:t>
            </w:r>
            <w:r>
              <w:rPr>
                <w:rFonts w:hint="eastAsia" w:ascii="宋体" w:hAnsi="宋体" w:cs="宋体"/>
                <w:b w:val="0"/>
                <w:bCs w:val="0"/>
                <w:color w:val="auto"/>
                <w:sz w:val="24"/>
                <w:szCs w:val="24"/>
                <w:highlight w:val="none"/>
                <w:lang w:val="en-US" w:eastAsia="zh-CN"/>
              </w:rPr>
              <w:t>目标清晰</w:t>
            </w:r>
            <w:r>
              <w:rPr>
                <w:rFonts w:hint="eastAsia" w:ascii="宋体" w:hAnsi="宋体" w:cs="宋体"/>
                <w:b w:val="0"/>
                <w:bCs w:val="0"/>
                <w:color w:val="auto"/>
                <w:sz w:val="24"/>
                <w:szCs w:val="24"/>
                <w:highlight w:val="none"/>
                <w:lang w:val="en-US" w:eastAsia="zh-Hans"/>
              </w:rPr>
              <w:t>，操作性强的得5分；</w:t>
            </w:r>
          </w:p>
          <w:p w14:paraId="695E44CF">
            <w:pPr>
              <w:numPr>
                <w:ilvl w:val="0"/>
                <w:numId w:val="0"/>
              </w:numPr>
              <w:spacing w:line="300" w:lineRule="exact"/>
              <w:rPr>
                <w:rFonts w:hint="eastAsia" w:ascii="宋体" w:hAnsi="宋体" w:cs="宋体"/>
                <w:b w:val="0"/>
                <w:bCs w:val="0"/>
                <w:color w:val="auto"/>
                <w:sz w:val="24"/>
                <w:szCs w:val="24"/>
                <w:highlight w:val="none"/>
                <w:lang w:val="en-US" w:eastAsia="zh-Hans"/>
              </w:rPr>
            </w:pPr>
            <w:r>
              <w:rPr>
                <w:rFonts w:hint="eastAsia" w:ascii="宋体" w:hAnsi="宋体" w:cs="宋体"/>
                <w:b w:val="0"/>
                <w:bCs w:val="0"/>
                <w:color w:val="auto"/>
                <w:sz w:val="24"/>
                <w:szCs w:val="24"/>
                <w:highlight w:val="none"/>
                <w:lang w:val="en-US" w:eastAsia="zh-CN"/>
              </w:rPr>
              <w:t>总体服务方案及工作方法</w:t>
            </w:r>
            <w:r>
              <w:rPr>
                <w:rFonts w:hint="eastAsia" w:ascii="宋体" w:hAnsi="宋体" w:cs="宋体"/>
                <w:b w:val="0"/>
                <w:bCs w:val="0"/>
                <w:color w:val="auto"/>
                <w:sz w:val="24"/>
                <w:szCs w:val="24"/>
                <w:highlight w:val="none"/>
                <w:lang w:val="en-US" w:eastAsia="zh-Hans"/>
              </w:rPr>
              <w:t>尚切合实际，</w:t>
            </w:r>
            <w:r>
              <w:rPr>
                <w:rFonts w:hint="eastAsia" w:ascii="宋体" w:hAnsi="宋体" w:cs="宋体"/>
                <w:b w:val="0"/>
                <w:bCs w:val="0"/>
                <w:color w:val="auto"/>
                <w:sz w:val="24"/>
                <w:szCs w:val="24"/>
                <w:highlight w:val="none"/>
                <w:lang w:val="en-US" w:eastAsia="zh-CN"/>
              </w:rPr>
              <w:t>目标较清晰</w:t>
            </w:r>
            <w:r>
              <w:rPr>
                <w:rFonts w:hint="eastAsia" w:ascii="宋体" w:hAnsi="宋体" w:cs="宋体"/>
                <w:b w:val="0"/>
                <w:bCs w:val="0"/>
                <w:color w:val="auto"/>
                <w:sz w:val="24"/>
                <w:szCs w:val="24"/>
                <w:highlight w:val="none"/>
                <w:lang w:val="en-US" w:eastAsia="zh-Hans"/>
              </w:rPr>
              <w:t>，操作性</w:t>
            </w:r>
            <w:r>
              <w:rPr>
                <w:rFonts w:hint="eastAsia" w:ascii="宋体" w:hAnsi="宋体" w:cs="宋体"/>
                <w:b w:val="0"/>
                <w:bCs w:val="0"/>
                <w:color w:val="auto"/>
                <w:sz w:val="24"/>
                <w:szCs w:val="24"/>
                <w:highlight w:val="none"/>
                <w:lang w:val="en-US" w:eastAsia="zh-CN"/>
              </w:rPr>
              <w:t>较</w:t>
            </w:r>
            <w:r>
              <w:rPr>
                <w:rFonts w:hint="eastAsia" w:ascii="宋体" w:hAnsi="宋体" w:cs="宋体"/>
                <w:b w:val="0"/>
                <w:bCs w:val="0"/>
                <w:color w:val="auto"/>
                <w:sz w:val="24"/>
                <w:szCs w:val="24"/>
                <w:highlight w:val="none"/>
                <w:lang w:val="en-US" w:eastAsia="zh-Hans"/>
              </w:rPr>
              <w:t>强的得</w:t>
            </w: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Hans"/>
              </w:rPr>
              <w:t>分；</w:t>
            </w:r>
          </w:p>
          <w:p w14:paraId="079E0003">
            <w:pPr>
              <w:numPr>
                <w:ilvl w:val="0"/>
                <w:numId w:val="0"/>
              </w:numPr>
              <w:spacing w:line="30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总体服务方案及工作方法</w:t>
            </w:r>
            <w:r>
              <w:rPr>
                <w:rFonts w:hint="eastAsia" w:ascii="宋体" w:hAnsi="宋体" w:cs="宋体"/>
                <w:b w:val="0"/>
                <w:bCs w:val="0"/>
                <w:color w:val="auto"/>
                <w:sz w:val="24"/>
                <w:szCs w:val="24"/>
                <w:highlight w:val="none"/>
                <w:lang w:val="en-US" w:eastAsia="zh-Hans"/>
              </w:rPr>
              <w:t>方案</w:t>
            </w:r>
            <w:r>
              <w:rPr>
                <w:rFonts w:hint="eastAsia" w:ascii="宋体" w:hAnsi="宋体" w:cs="宋体"/>
                <w:b w:val="0"/>
                <w:bCs w:val="0"/>
                <w:color w:val="auto"/>
                <w:sz w:val="24"/>
                <w:szCs w:val="24"/>
                <w:highlight w:val="none"/>
                <w:lang w:val="en-US" w:eastAsia="zh-CN"/>
              </w:rPr>
              <w:t>不够</w:t>
            </w:r>
            <w:r>
              <w:rPr>
                <w:rFonts w:hint="eastAsia" w:ascii="宋体" w:hAnsi="宋体" w:cs="宋体"/>
                <w:b w:val="0"/>
                <w:bCs w:val="0"/>
                <w:color w:val="auto"/>
                <w:sz w:val="24"/>
                <w:szCs w:val="24"/>
                <w:highlight w:val="none"/>
                <w:lang w:val="en-US" w:eastAsia="zh-Hans"/>
              </w:rPr>
              <w:t>切合实际，操作性</w:t>
            </w:r>
            <w:r>
              <w:rPr>
                <w:rFonts w:hint="eastAsia" w:ascii="宋体" w:hAnsi="宋体" w:cs="宋体"/>
                <w:b w:val="0"/>
                <w:bCs w:val="0"/>
                <w:color w:val="auto"/>
                <w:sz w:val="24"/>
                <w:szCs w:val="24"/>
                <w:highlight w:val="none"/>
                <w:lang w:val="en-US" w:eastAsia="zh-CN"/>
              </w:rPr>
              <w:t>欠缺</w:t>
            </w:r>
            <w:r>
              <w:rPr>
                <w:rFonts w:hint="eastAsia" w:ascii="宋体" w:hAnsi="宋体" w:cs="宋体"/>
                <w:b w:val="0"/>
                <w:bCs w:val="0"/>
                <w:color w:val="auto"/>
                <w:sz w:val="24"/>
                <w:szCs w:val="24"/>
                <w:highlight w:val="none"/>
                <w:lang w:val="en-US" w:eastAsia="zh-Hans"/>
              </w:rPr>
              <w:t>的得</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Hans"/>
              </w:rPr>
              <w:t>分</w:t>
            </w:r>
            <w:r>
              <w:rPr>
                <w:rFonts w:hint="eastAsia" w:ascii="宋体" w:hAnsi="宋体" w:cs="宋体"/>
                <w:b w:val="0"/>
                <w:bCs w:val="0"/>
                <w:color w:val="auto"/>
                <w:sz w:val="24"/>
                <w:szCs w:val="24"/>
                <w:highlight w:val="none"/>
                <w:lang w:val="en-US" w:eastAsia="zh-CN"/>
              </w:rPr>
              <w:t>；</w:t>
            </w:r>
          </w:p>
          <w:p w14:paraId="36CF6E53">
            <w:pPr>
              <w:numPr>
                <w:ilvl w:val="0"/>
                <w:numId w:val="0"/>
              </w:numPr>
              <w:spacing w:line="300" w:lineRule="exact"/>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未提供相关内容的不得分。</w:t>
            </w:r>
          </w:p>
        </w:tc>
        <w:tc>
          <w:tcPr>
            <w:tcW w:w="1140" w:type="dxa"/>
            <w:tcBorders>
              <w:tl2br w:val="nil"/>
              <w:tr2bl w:val="nil"/>
            </w:tcBorders>
            <w:noWrap w:val="0"/>
            <w:vAlign w:val="center"/>
          </w:tcPr>
          <w:p w14:paraId="6D4CA7D4">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主观分</w:t>
            </w:r>
          </w:p>
        </w:tc>
      </w:tr>
      <w:tr w14:paraId="700683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38" w:hRule="atLeast"/>
          <w:jc w:val="center"/>
        </w:trPr>
        <w:tc>
          <w:tcPr>
            <w:tcW w:w="975" w:type="dxa"/>
            <w:vMerge w:val="continue"/>
            <w:tcBorders>
              <w:tl2br w:val="nil"/>
              <w:tr2bl w:val="nil"/>
            </w:tcBorders>
            <w:noWrap w:val="0"/>
            <w:vAlign w:val="center"/>
          </w:tcPr>
          <w:p w14:paraId="6CE812C6">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p>
        </w:tc>
        <w:tc>
          <w:tcPr>
            <w:tcW w:w="1224" w:type="dxa"/>
            <w:tcBorders>
              <w:tl2br w:val="nil"/>
              <w:tr2bl w:val="nil"/>
            </w:tcBorders>
            <w:noWrap w:val="0"/>
            <w:vAlign w:val="center"/>
          </w:tcPr>
          <w:p w14:paraId="7559340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项目管理措施（5分）</w:t>
            </w:r>
          </w:p>
        </w:tc>
        <w:tc>
          <w:tcPr>
            <w:tcW w:w="6516" w:type="dxa"/>
            <w:tcBorders>
              <w:tl2br w:val="nil"/>
              <w:tr2bl w:val="nil"/>
            </w:tcBorders>
            <w:noWrap w:val="0"/>
            <w:vAlign w:val="center"/>
          </w:tcPr>
          <w:p w14:paraId="0A02A0AE">
            <w:pPr>
              <w:numPr>
                <w:ilvl w:val="0"/>
                <w:numId w:val="0"/>
              </w:numPr>
              <w:spacing w:line="300" w:lineRule="exac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根据投标人提供的针对本项目的具体管理措施包括管理制度、操作规程、考核办法、维护文档管理等内容进行评议：</w:t>
            </w:r>
          </w:p>
          <w:p w14:paraId="65C6F406">
            <w:pPr>
              <w:numPr>
                <w:ilvl w:val="0"/>
                <w:numId w:val="0"/>
              </w:numPr>
              <w:spacing w:line="30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项目管理措施合理、严谨，职责清晰，内容完整，具有较强的可操作性的得5分；</w:t>
            </w:r>
          </w:p>
          <w:p w14:paraId="33C9C80D">
            <w:pPr>
              <w:numPr>
                <w:ilvl w:val="0"/>
                <w:numId w:val="0"/>
              </w:numPr>
              <w:spacing w:line="30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项目管理措施比较合理，职责较清晰，内容比较完整，可操作性较强的得3分；</w:t>
            </w:r>
          </w:p>
          <w:p w14:paraId="1F83DE33">
            <w:pPr>
              <w:numPr>
                <w:ilvl w:val="0"/>
                <w:numId w:val="0"/>
              </w:numPr>
              <w:spacing w:line="30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项目管理措施不够合理，职责不太明确，内容尚完整的得1分；</w:t>
            </w:r>
          </w:p>
          <w:p w14:paraId="12C433A3">
            <w:pPr>
              <w:numPr>
                <w:ilvl w:val="0"/>
                <w:numId w:val="0"/>
              </w:numPr>
              <w:spacing w:line="30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未提供相关内容的不得分。</w:t>
            </w:r>
          </w:p>
        </w:tc>
        <w:tc>
          <w:tcPr>
            <w:tcW w:w="1140" w:type="dxa"/>
            <w:tcBorders>
              <w:tl2br w:val="nil"/>
              <w:tr2bl w:val="nil"/>
            </w:tcBorders>
            <w:noWrap w:val="0"/>
            <w:vAlign w:val="center"/>
          </w:tcPr>
          <w:p w14:paraId="1985411D">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主观分</w:t>
            </w:r>
          </w:p>
        </w:tc>
      </w:tr>
      <w:tr w14:paraId="2CDBB1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38" w:hRule="atLeast"/>
          <w:jc w:val="center"/>
        </w:trPr>
        <w:tc>
          <w:tcPr>
            <w:tcW w:w="975" w:type="dxa"/>
            <w:vMerge w:val="continue"/>
            <w:tcBorders>
              <w:tl2br w:val="nil"/>
              <w:tr2bl w:val="nil"/>
            </w:tcBorders>
            <w:noWrap w:val="0"/>
            <w:vAlign w:val="center"/>
          </w:tcPr>
          <w:p w14:paraId="33E5054C">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p>
        </w:tc>
        <w:tc>
          <w:tcPr>
            <w:tcW w:w="1224" w:type="dxa"/>
            <w:tcBorders>
              <w:tl2br w:val="nil"/>
              <w:tr2bl w:val="nil"/>
            </w:tcBorders>
            <w:shd w:val="clear" w:color="auto" w:fill="auto"/>
            <w:noWrap w:val="0"/>
            <w:vAlign w:val="center"/>
          </w:tcPr>
          <w:p w14:paraId="7B85B6D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数据对接方案</w:t>
            </w:r>
          </w:p>
          <w:p w14:paraId="46219EA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（5分）</w:t>
            </w:r>
          </w:p>
        </w:tc>
        <w:tc>
          <w:tcPr>
            <w:tcW w:w="6516" w:type="dxa"/>
            <w:tcBorders>
              <w:tl2br w:val="nil"/>
              <w:tr2bl w:val="nil"/>
            </w:tcBorders>
            <w:shd w:val="clear" w:color="auto" w:fill="auto"/>
            <w:noWrap w:val="0"/>
            <w:vAlign w:val="center"/>
          </w:tcPr>
          <w:p w14:paraId="3ACF787E">
            <w:pPr>
              <w:numPr>
                <w:ilvl w:val="0"/>
                <w:numId w:val="0"/>
              </w:numPr>
              <w:spacing w:line="300" w:lineRule="exact"/>
              <w:ind w:leftChars="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根据投标人提供的数据对接方案评议包括从检测结果传递的及时性，</w:t>
            </w:r>
            <w:r>
              <w:rPr>
                <w:rFonts w:hint="eastAsia" w:ascii="宋体" w:hAnsi="宋体" w:cs="宋体"/>
                <w:b/>
                <w:bCs/>
                <w:color w:val="auto"/>
                <w:sz w:val="24"/>
                <w:szCs w:val="24"/>
                <w:highlight w:val="none"/>
                <w:lang w:val="en-US" w:eastAsia="zh-Hans"/>
              </w:rPr>
              <w:t>信息传输一致性验证方案；</w:t>
            </w:r>
            <w:r>
              <w:rPr>
                <w:rFonts w:hint="eastAsia" w:ascii="宋体" w:hAnsi="宋体" w:cs="宋体"/>
                <w:b/>
                <w:bCs/>
                <w:color w:val="auto"/>
                <w:sz w:val="24"/>
                <w:szCs w:val="24"/>
                <w:highlight w:val="none"/>
                <w:lang w:val="en-US" w:eastAsia="zh-CN"/>
              </w:rPr>
              <w:t>能否实现无纸化传输检测结果，检测数据查询、传输方案是否完善进行评议：</w:t>
            </w:r>
          </w:p>
          <w:p w14:paraId="3A4E55A3">
            <w:pPr>
              <w:numPr>
                <w:ilvl w:val="0"/>
                <w:numId w:val="0"/>
              </w:numPr>
              <w:spacing w:line="300" w:lineRule="exact"/>
              <w:ind w:leftChars="0"/>
              <w:rPr>
                <w:rFonts w:hint="eastAsia" w:ascii="宋体" w:hAnsi="宋体" w:cs="宋体"/>
                <w:b w:val="0"/>
                <w:bCs w:val="0"/>
                <w:color w:val="auto"/>
                <w:sz w:val="24"/>
                <w:szCs w:val="24"/>
                <w:highlight w:val="none"/>
                <w:lang w:val="en-US" w:eastAsia="zh-Hans"/>
              </w:rPr>
            </w:pPr>
            <w:r>
              <w:rPr>
                <w:rFonts w:hint="eastAsia" w:ascii="宋体" w:hAnsi="宋体" w:cs="宋体"/>
                <w:b w:val="0"/>
                <w:bCs w:val="0"/>
                <w:color w:val="auto"/>
                <w:sz w:val="24"/>
                <w:szCs w:val="24"/>
                <w:highlight w:val="none"/>
                <w:lang w:val="en-US" w:eastAsia="zh-CN"/>
              </w:rPr>
              <w:t>数据对接方案内容详细</w:t>
            </w:r>
            <w:r>
              <w:rPr>
                <w:rFonts w:hint="eastAsia" w:ascii="宋体" w:hAnsi="宋体" w:cs="宋体"/>
                <w:b w:val="0"/>
                <w:bCs w:val="0"/>
                <w:color w:val="auto"/>
                <w:sz w:val="24"/>
                <w:szCs w:val="24"/>
                <w:highlight w:val="none"/>
                <w:lang w:val="en-US" w:eastAsia="zh-Hans"/>
              </w:rPr>
              <w:t>，</w:t>
            </w:r>
            <w:r>
              <w:rPr>
                <w:rFonts w:hint="eastAsia" w:ascii="宋体" w:hAnsi="宋体" w:cs="宋体"/>
                <w:b w:val="0"/>
                <w:bCs w:val="0"/>
                <w:color w:val="auto"/>
                <w:sz w:val="24"/>
                <w:szCs w:val="24"/>
                <w:highlight w:val="none"/>
                <w:lang w:val="en-US" w:eastAsia="zh-CN"/>
              </w:rPr>
              <w:t>结果传递及时，能实现无纸化传输检测结果、检测数据查询便捷</w:t>
            </w:r>
            <w:r>
              <w:rPr>
                <w:rFonts w:hint="eastAsia" w:ascii="宋体" w:hAnsi="宋体" w:cs="宋体"/>
                <w:b w:val="0"/>
                <w:bCs w:val="0"/>
                <w:color w:val="auto"/>
                <w:sz w:val="24"/>
                <w:szCs w:val="24"/>
                <w:highlight w:val="none"/>
                <w:lang w:val="en-US" w:eastAsia="zh-Hans"/>
              </w:rPr>
              <w:t>的得5分；</w:t>
            </w:r>
          </w:p>
          <w:p w14:paraId="5A89F7C6">
            <w:pPr>
              <w:numPr>
                <w:ilvl w:val="0"/>
                <w:numId w:val="0"/>
              </w:numPr>
              <w:spacing w:line="300" w:lineRule="exact"/>
              <w:ind w:leftChars="0"/>
              <w:rPr>
                <w:rFonts w:hint="eastAsia" w:ascii="宋体" w:hAnsi="宋体" w:cs="宋体"/>
                <w:b w:val="0"/>
                <w:bCs w:val="0"/>
                <w:color w:val="auto"/>
                <w:sz w:val="24"/>
                <w:szCs w:val="24"/>
                <w:highlight w:val="none"/>
                <w:lang w:val="en-US" w:eastAsia="zh-Hans"/>
              </w:rPr>
            </w:pPr>
            <w:r>
              <w:rPr>
                <w:rFonts w:hint="eastAsia" w:ascii="宋体" w:hAnsi="宋体" w:cs="宋体"/>
                <w:b w:val="0"/>
                <w:bCs w:val="0"/>
                <w:color w:val="auto"/>
                <w:sz w:val="24"/>
                <w:szCs w:val="24"/>
                <w:highlight w:val="none"/>
                <w:lang w:val="en-US" w:eastAsia="zh-CN"/>
              </w:rPr>
              <w:t>数据对接方案内容合理</w:t>
            </w:r>
            <w:r>
              <w:rPr>
                <w:rFonts w:hint="eastAsia" w:ascii="宋体" w:hAnsi="宋体" w:cs="宋体"/>
                <w:b w:val="0"/>
                <w:bCs w:val="0"/>
                <w:color w:val="auto"/>
                <w:sz w:val="24"/>
                <w:szCs w:val="24"/>
                <w:highlight w:val="none"/>
                <w:lang w:val="en-US" w:eastAsia="zh-Hans"/>
              </w:rPr>
              <w:t>，</w:t>
            </w:r>
            <w:r>
              <w:rPr>
                <w:rFonts w:hint="eastAsia" w:ascii="宋体" w:hAnsi="宋体" w:cs="宋体"/>
                <w:b w:val="0"/>
                <w:bCs w:val="0"/>
                <w:color w:val="auto"/>
                <w:sz w:val="24"/>
                <w:szCs w:val="24"/>
                <w:highlight w:val="none"/>
                <w:lang w:val="en-US" w:eastAsia="zh-CN"/>
              </w:rPr>
              <w:t>基本能满足采购人需求</w:t>
            </w:r>
            <w:r>
              <w:rPr>
                <w:rFonts w:hint="eastAsia" w:ascii="宋体" w:hAnsi="宋体" w:cs="宋体"/>
                <w:b w:val="0"/>
                <w:bCs w:val="0"/>
                <w:color w:val="auto"/>
                <w:sz w:val="24"/>
                <w:szCs w:val="24"/>
                <w:highlight w:val="none"/>
                <w:lang w:val="en-US" w:eastAsia="zh-Hans"/>
              </w:rPr>
              <w:t>的得</w:t>
            </w: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Hans"/>
              </w:rPr>
              <w:t>分；</w:t>
            </w:r>
          </w:p>
          <w:p w14:paraId="30694202">
            <w:pPr>
              <w:numPr>
                <w:ilvl w:val="0"/>
                <w:numId w:val="0"/>
              </w:numPr>
              <w:spacing w:line="300" w:lineRule="exact"/>
              <w:ind w:leftChars="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数据对接方案内容简单</w:t>
            </w:r>
            <w:r>
              <w:rPr>
                <w:rFonts w:hint="eastAsia" w:ascii="宋体" w:hAnsi="宋体" w:cs="宋体"/>
                <w:b w:val="0"/>
                <w:bCs w:val="0"/>
                <w:color w:val="auto"/>
                <w:sz w:val="24"/>
                <w:szCs w:val="24"/>
                <w:highlight w:val="none"/>
                <w:lang w:val="en-US" w:eastAsia="zh-Hans"/>
              </w:rPr>
              <w:t>，操作性</w:t>
            </w:r>
            <w:r>
              <w:rPr>
                <w:rFonts w:hint="eastAsia" w:ascii="宋体" w:hAnsi="宋体" w:cs="宋体"/>
                <w:b w:val="0"/>
                <w:bCs w:val="0"/>
                <w:color w:val="auto"/>
                <w:sz w:val="24"/>
                <w:szCs w:val="24"/>
                <w:highlight w:val="none"/>
                <w:lang w:val="en-US" w:eastAsia="zh-CN"/>
              </w:rPr>
              <w:t>欠缺</w:t>
            </w:r>
            <w:r>
              <w:rPr>
                <w:rFonts w:hint="eastAsia" w:ascii="宋体" w:hAnsi="宋体" w:cs="宋体"/>
                <w:b w:val="0"/>
                <w:bCs w:val="0"/>
                <w:color w:val="auto"/>
                <w:sz w:val="24"/>
                <w:szCs w:val="24"/>
                <w:highlight w:val="none"/>
                <w:lang w:val="en-US" w:eastAsia="zh-Hans"/>
              </w:rPr>
              <w:t>的得</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Hans"/>
              </w:rPr>
              <w:t>分</w:t>
            </w:r>
            <w:r>
              <w:rPr>
                <w:rFonts w:hint="eastAsia" w:ascii="宋体" w:hAnsi="宋体" w:cs="宋体"/>
                <w:b w:val="0"/>
                <w:bCs w:val="0"/>
                <w:color w:val="auto"/>
                <w:sz w:val="24"/>
                <w:szCs w:val="24"/>
                <w:highlight w:val="none"/>
                <w:lang w:val="en-US" w:eastAsia="zh-CN"/>
              </w:rPr>
              <w:t>；</w:t>
            </w:r>
          </w:p>
          <w:p w14:paraId="32B5B31F">
            <w:pPr>
              <w:numPr>
                <w:ilvl w:val="0"/>
                <w:numId w:val="0"/>
              </w:numPr>
              <w:spacing w:line="300" w:lineRule="exact"/>
              <w:ind w:left="0" w:leftChars="0" w:firstLine="0" w:firstLineChars="0"/>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sz w:val="24"/>
                <w:szCs w:val="24"/>
                <w:highlight w:val="none"/>
                <w:lang w:val="en-US" w:eastAsia="zh-CN"/>
              </w:rPr>
              <w:t>未提供相关内容的不得分。</w:t>
            </w:r>
          </w:p>
        </w:tc>
        <w:tc>
          <w:tcPr>
            <w:tcW w:w="1140" w:type="dxa"/>
            <w:tcBorders>
              <w:tl2br w:val="nil"/>
              <w:tr2bl w:val="nil"/>
            </w:tcBorders>
            <w:noWrap w:val="0"/>
            <w:vAlign w:val="center"/>
          </w:tcPr>
          <w:p w14:paraId="7B762913">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主观分</w:t>
            </w:r>
          </w:p>
        </w:tc>
      </w:tr>
      <w:tr w14:paraId="0EA04A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95" w:hRule="atLeast"/>
          <w:jc w:val="center"/>
        </w:trPr>
        <w:tc>
          <w:tcPr>
            <w:tcW w:w="975" w:type="dxa"/>
            <w:vMerge w:val="continue"/>
            <w:tcBorders>
              <w:tl2br w:val="nil"/>
              <w:tr2bl w:val="nil"/>
            </w:tcBorders>
            <w:noWrap w:val="0"/>
            <w:vAlign w:val="center"/>
          </w:tcPr>
          <w:p w14:paraId="750A17B1">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p>
        </w:tc>
        <w:tc>
          <w:tcPr>
            <w:tcW w:w="1224" w:type="dxa"/>
            <w:tcBorders>
              <w:tl2br w:val="nil"/>
              <w:tr2bl w:val="nil"/>
            </w:tcBorders>
            <w:shd w:val="clear" w:color="auto" w:fill="auto"/>
            <w:noWrap w:val="0"/>
            <w:vAlign w:val="center"/>
          </w:tcPr>
          <w:p w14:paraId="251FC39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数据分析及产出质量方案（5分）</w:t>
            </w:r>
          </w:p>
        </w:tc>
        <w:tc>
          <w:tcPr>
            <w:tcW w:w="6516" w:type="dxa"/>
            <w:tcBorders>
              <w:tl2br w:val="nil"/>
              <w:tr2bl w:val="nil"/>
            </w:tcBorders>
            <w:shd w:val="clear" w:color="auto" w:fill="auto"/>
            <w:noWrap w:val="0"/>
            <w:vAlign w:val="center"/>
          </w:tcPr>
          <w:p w14:paraId="0D6362A2">
            <w:pPr>
              <w:numPr>
                <w:ilvl w:val="0"/>
                <w:numId w:val="0"/>
              </w:numPr>
              <w:spacing w:line="300" w:lineRule="exact"/>
              <w:ind w:left="0" w:leftChars="0" w:firstLine="0" w:firstLineChars="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根据投标人提供的个性化数据分析服务方案、数据产出质量方案进行评议：</w:t>
            </w:r>
          </w:p>
          <w:p w14:paraId="012A3434">
            <w:pPr>
              <w:numPr>
                <w:ilvl w:val="0"/>
                <w:numId w:val="0"/>
              </w:numPr>
              <w:spacing w:line="300" w:lineRule="exact"/>
              <w:ind w:left="0" w:leftChars="0" w:firstLine="0" w:firstLineChars="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方案描述详细，分析全面，切实可行的得5分；</w:t>
            </w:r>
          </w:p>
          <w:p w14:paraId="2AF22AE3">
            <w:pPr>
              <w:numPr>
                <w:ilvl w:val="0"/>
                <w:numId w:val="0"/>
              </w:numPr>
              <w:spacing w:line="300" w:lineRule="exact"/>
              <w:ind w:left="0" w:leftChars="0" w:firstLine="0" w:firstLineChars="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方案描述不够详细，分析不够全面的得3分；</w:t>
            </w:r>
          </w:p>
          <w:p w14:paraId="7D307E45">
            <w:pPr>
              <w:numPr>
                <w:ilvl w:val="0"/>
                <w:numId w:val="0"/>
              </w:numPr>
              <w:spacing w:line="300" w:lineRule="exact"/>
              <w:ind w:left="0" w:leftChars="0" w:firstLine="0" w:firstLineChars="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方案描述简单，无针对性内容的得1分；</w:t>
            </w:r>
          </w:p>
          <w:p w14:paraId="586E6FBA">
            <w:pPr>
              <w:numPr>
                <w:ilvl w:val="0"/>
                <w:numId w:val="0"/>
              </w:numPr>
              <w:spacing w:line="300" w:lineRule="exact"/>
              <w:ind w:left="0" w:leftChars="0" w:firstLine="0" w:firstLineChars="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未提供相关内容的不得分。</w:t>
            </w:r>
          </w:p>
        </w:tc>
        <w:tc>
          <w:tcPr>
            <w:tcW w:w="1140" w:type="dxa"/>
            <w:tcBorders>
              <w:tl2br w:val="nil"/>
              <w:tr2bl w:val="nil"/>
            </w:tcBorders>
            <w:noWrap w:val="0"/>
            <w:vAlign w:val="center"/>
          </w:tcPr>
          <w:p w14:paraId="4A8CE781">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主观分</w:t>
            </w:r>
          </w:p>
        </w:tc>
      </w:tr>
      <w:tr w14:paraId="1B446A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5" w:type="dxa"/>
            <w:vMerge w:val="continue"/>
            <w:tcBorders>
              <w:tl2br w:val="nil"/>
              <w:tr2bl w:val="nil"/>
            </w:tcBorders>
            <w:noWrap w:val="0"/>
            <w:vAlign w:val="center"/>
          </w:tcPr>
          <w:p w14:paraId="21748ACC">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p>
        </w:tc>
        <w:tc>
          <w:tcPr>
            <w:tcW w:w="1224" w:type="dxa"/>
            <w:tcBorders>
              <w:tl2br w:val="nil"/>
              <w:tr2bl w:val="nil"/>
            </w:tcBorders>
            <w:noWrap w:val="0"/>
            <w:vAlign w:val="center"/>
          </w:tcPr>
          <w:p w14:paraId="36246A0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检测仪器设备配备方案（5分）</w:t>
            </w:r>
          </w:p>
        </w:tc>
        <w:tc>
          <w:tcPr>
            <w:tcW w:w="6516" w:type="dxa"/>
            <w:tcBorders>
              <w:tl2br w:val="nil"/>
              <w:tr2bl w:val="nil"/>
            </w:tcBorders>
            <w:shd w:val="clear" w:color="auto" w:fill="auto"/>
            <w:noWrap w:val="0"/>
            <w:vAlign w:val="center"/>
          </w:tcPr>
          <w:p w14:paraId="39CAF9D0">
            <w:pPr>
              <w:keepNext w:val="0"/>
              <w:keepLines w:val="0"/>
              <w:pageBreakBefore w:val="0"/>
              <w:widowControl/>
              <w:numPr>
                <w:ilvl w:val="0"/>
                <w:numId w:val="0"/>
              </w:numPr>
              <w:suppressLineNumbers w:val="0"/>
              <w:kinsoku/>
              <w:wordWrap/>
              <w:overflowPunct/>
              <w:topLinePunct w:val="0"/>
              <w:bidi w:val="0"/>
              <w:spacing w:before="0" w:beforeAutospacing="0" w:after="0" w:afterAutospacing="0" w:line="240" w:lineRule="auto"/>
              <w:ind w:right="0" w:right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根据投标人拟投入本项目服务的相关的仪器设备情况评价，包括仪器设备的种类、型号、主要技术规格等进行评议：</w:t>
            </w:r>
          </w:p>
          <w:p w14:paraId="089D38DD">
            <w:pPr>
              <w:keepNext w:val="0"/>
              <w:keepLines w:val="0"/>
              <w:pageBreakBefore w:val="0"/>
              <w:widowControl/>
              <w:numPr>
                <w:ilvl w:val="0"/>
                <w:numId w:val="0"/>
              </w:numPr>
              <w:suppressLineNumbers w:val="0"/>
              <w:kinsoku/>
              <w:wordWrap/>
              <w:overflowPunct/>
              <w:topLinePunct w:val="0"/>
              <w:bidi w:val="0"/>
              <w:spacing w:before="0" w:beforeAutospacing="0" w:after="0" w:afterAutospacing="0" w:line="240" w:lineRule="auto"/>
              <w:ind w:right="0" w:right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检测仪器设备品种丰富、技术性能能够满足检测需求的得5分；</w:t>
            </w:r>
          </w:p>
          <w:p w14:paraId="5C02F0F3">
            <w:pPr>
              <w:keepNext w:val="0"/>
              <w:keepLines w:val="0"/>
              <w:pageBreakBefore w:val="0"/>
              <w:widowControl/>
              <w:numPr>
                <w:ilvl w:val="0"/>
                <w:numId w:val="0"/>
              </w:numPr>
              <w:suppressLineNumbers w:val="0"/>
              <w:kinsoku/>
              <w:wordWrap/>
              <w:overflowPunct/>
              <w:topLinePunct w:val="0"/>
              <w:bidi w:val="0"/>
              <w:spacing w:before="0" w:beforeAutospacing="0" w:after="0" w:afterAutospacing="0" w:line="240" w:lineRule="auto"/>
              <w:ind w:right="0" w:right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检测仪器设备品种较丰富、技术性能基本满足检测需求的得3分；</w:t>
            </w:r>
          </w:p>
          <w:p w14:paraId="3D9EED13">
            <w:pPr>
              <w:keepNext w:val="0"/>
              <w:keepLines w:val="0"/>
              <w:pageBreakBefore w:val="0"/>
              <w:widowControl/>
              <w:numPr>
                <w:ilvl w:val="0"/>
                <w:numId w:val="0"/>
              </w:numPr>
              <w:suppressLineNumbers w:val="0"/>
              <w:kinsoku/>
              <w:wordWrap/>
              <w:overflowPunct/>
              <w:topLinePunct w:val="0"/>
              <w:bidi w:val="0"/>
              <w:spacing w:before="0" w:beforeAutospacing="0" w:after="0" w:afterAutospacing="0" w:line="240" w:lineRule="auto"/>
              <w:ind w:right="0" w:right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检测仪器设备品种不够丰富、检测效果一般的得1分；</w:t>
            </w:r>
          </w:p>
          <w:p w14:paraId="746D20C1">
            <w:pPr>
              <w:keepNext w:val="0"/>
              <w:keepLines w:val="0"/>
              <w:pageBreakBefore w:val="0"/>
              <w:widowControl/>
              <w:numPr>
                <w:ilvl w:val="0"/>
                <w:numId w:val="0"/>
              </w:numPr>
              <w:suppressLineNumbers w:val="0"/>
              <w:kinsoku/>
              <w:wordWrap/>
              <w:overflowPunct/>
              <w:topLinePunct w:val="0"/>
              <w:bidi w:val="0"/>
              <w:spacing w:before="0" w:beforeAutospacing="0" w:after="0" w:afterAutospacing="0" w:line="240" w:lineRule="auto"/>
              <w:ind w:right="0" w:right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未提供相关内容的不得分。</w:t>
            </w:r>
          </w:p>
          <w:p w14:paraId="06F15F4E">
            <w:pPr>
              <w:keepNext w:val="0"/>
              <w:keepLines w:val="0"/>
              <w:pageBreakBefore w:val="0"/>
              <w:widowControl/>
              <w:numPr>
                <w:ilvl w:val="0"/>
                <w:numId w:val="0"/>
              </w:numPr>
              <w:suppressLineNumbers w:val="0"/>
              <w:kinsoku/>
              <w:wordWrap/>
              <w:overflowPunct/>
              <w:topLinePunct w:val="0"/>
              <w:bidi w:val="0"/>
              <w:spacing w:before="0" w:beforeAutospacing="0" w:after="0" w:afterAutospacing="0" w:line="240" w:lineRule="auto"/>
              <w:ind w:right="0" w:right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（投标文件中提供设备配置清单、设备清晰图片及设备的技术参数）</w:t>
            </w:r>
          </w:p>
        </w:tc>
        <w:tc>
          <w:tcPr>
            <w:tcW w:w="1140" w:type="dxa"/>
            <w:tcBorders>
              <w:tl2br w:val="nil"/>
              <w:tr2bl w:val="nil"/>
            </w:tcBorders>
            <w:noWrap w:val="0"/>
            <w:vAlign w:val="center"/>
          </w:tcPr>
          <w:p w14:paraId="007D2171">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主观分</w:t>
            </w:r>
          </w:p>
        </w:tc>
      </w:tr>
      <w:tr w14:paraId="7B1C1F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3" w:hRule="atLeast"/>
          <w:jc w:val="center"/>
        </w:trPr>
        <w:tc>
          <w:tcPr>
            <w:tcW w:w="975" w:type="dxa"/>
            <w:vMerge w:val="continue"/>
            <w:tcBorders>
              <w:tl2br w:val="nil"/>
              <w:tr2bl w:val="nil"/>
            </w:tcBorders>
            <w:noWrap w:val="0"/>
            <w:vAlign w:val="center"/>
          </w:tcPr>
          <w:p w14:paraId="3902B942">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p>
        </w:tc>
        <w:tc>
          <w:tcPr>
            <w:tcW w:w="1224" w:type="dxa"/>
            <w:tcBorders>
              <w:tl2br w:val="nil"/>
              <w:tr2bl w:val="nil"/>
            </w:tcBorders>
            <w:noWrap w:val="0"/>
            <w:vAlign w:val="center"/>
          </w:tcPr>
          <w:p w14:paraId="5490861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cs="宋体"/>
                <w:b/>
                <w:bCs/>
                <w:color w:val="auto"/>
                <w:sz w:val="24"/>
                <w:szCs w:val="24"/>
                <w:highlight w:val="none"/>
                <w:lang w:val="en-US" w:eastAsia="zh-CN"/>
              </w:rPr>
              <w:t>实验室质量控制方案（5分）</w:t>
            </w:r>
          </w:p>
        </w:tc>
        <w:tc>
          <w:tcPr>
            <w:tcW w:w="6516" w:type="dxa"/>
            <w:tcBorders>
              <w:tl2br w:val="nil"/>
              <w:tr2bl w:val="nil"/>
            </w:tcBorders>
            <w:noWrap w:val="0"/>
            <w:vAlign w:val="center"/>
          </w:tcPr>
          <w:p w14:paraId="67BA86CB">
            <w:pPr>
              <w:numPr>
                <w:ilvl w:val="0"/>
                <w:numId w:val="0"/>
              </w:numPr>
              <w:spacing w:line="30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根据投标人提供的针对本项目实验室质量控制方案进行评议：</w:t>
            </w:r>
          </w:p>
          <w:p w14:paraId="20611EBB">
            <w:pPr>
              <w:numPr>
                <w:ilvl w:val="0"/>
                <w:numId w:val="0"/>
              </w:numPr>
              <w:spacing w:line="30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方案完整、科学、合理、可行的得5分；</w:t>
            </w:r>
          </w:p>
          <w:p w14:paraId="39738B0E">
            <w:pPr>
              <w:numPr>
                <w:ilvl w:val="0"/>
                <w:numId w:val="0"/>
              </w:numPr>
              <w:spacing w:line="30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方案基本能满足招标需求的得3分；</w:t>
            </w:r>
          </w:p>
          <w:p w14:paraId="0FF705C4">
            <w:pPr>
              <w:numPr>
                <w:ilvl w:val="0"/>
                <w:numId w:val="0"/>
              </w:numPr>
              <w:spacing w:line="30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方案存在缺陷，无法满足招标需求的得1分。</w:t>
            </w:r>
          </w:p>
          <w:p w14:paraId="18B9F2C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未提供相关内容的不得分</w:t>
            </w:r>
            <w:r>
              <w:rPr>
                <w:rFonts w:hint="eastAsia" w:ascii="宋体" w:hAnsi="宋体" w:eastAsia="宋体" w:cs="宋体"/>
                <w:b w:val="0"/>
                <w:bCs w:val="0"/>
                <w:color w:val="auto"/>
                <w:sz w:val="24"/>
                <w:szCs w:val="24"/>
                <w:highlight w:val="none"/>
              </w:rPr>
              <w:t>。</w:t>
            </w:r>
          </w:p>
        </w:tc>
        <w:tc>
          <w:tcPr>
            <w:tcW w:w="1140" w:type="dxa"/>
            <w:tcBorders>
              <w:tl2br w:val="nil"/>
              <w:tr2bl w:val="nil"/>
            </w:tcBorders>
            <w:noWrap w:val="0"/>
            <w:vAlign w:val="center"/>
          </w:tcPr>
          <w:p w14:paraId="373E66F4">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主观分</w:t>
            </w:r>
          </w:p>
        </w:tc>
      </w:tr>
      <w:tr w14:paraId="7C454A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19" w:hRule="atLeast"/>
          <w:jc w:val="center"/>
        </w:trPr>
        <w:tc>
          <w:tcPr>
            <w:tcW w:w="975" w:type="dxa"/>
            <w:vMerge w:val="continue"/>
            <w:tcBorders>
              <w:tl2br w:val="nil"/>
              <w:tr2bl w:val="nil"/>
            </w:tcBorders>
            <w:noWrap w:val="0"/>
            <w:vAlign w:val="center"/>
          </w:tcPr>
          <w:p w14:paraId="5F2337B7">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p>
        </w:tc>
        <w:tc>
          <w:tcPr>
            <w:tcW w:w="1224" w:type="dxa"/>
            <w:tcBorders>
              <w:tl2br w:val="nil"/>
              <w:tr2bl w:val="nil"/>
            </w:tcBorders>
            <w:noWrap w:val="0"/>
            <w:vAlign w:val="center"/>
          </w:tcPr>
          <w:p w14:paraId="5F5AAA0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bCs/>
                <w:color w:val="auto"/>
                <w:sz w:val="24"/>
                <w:szCs w:val="24"/>
                <w:highlight w:val="none"/>
                <w:lang w:val="en-US" w:eastAsia="zh-CN"/>
              </w:rPr>
              <w:t>紧急标本检测方案（5分）</w:t>
            </w:r>
          </w:p>
        </w:tc>
        <w:tc>
          <w:tcPr>
            <w:tcW w:w="6516" w:type="dxa"/>
            <w:tcBorders>
              <w:tl2br w:val="nil"/>
              <w:tr2bl w:val="nil"/>
            </w:tcBorders>
            <w:noWrap w:val="0"/>
            <w:vAlign w:val="center"/>
          </w:tcPr>
          <w:p w14:paraId="58C820EC">
            <w:pPr>
              <w:spacing w:line="30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根据投标人提供的紧急标本的检测方案（包括响应时间的快慢、报告出具的时效承诺）进行评议：</w:t>
            </w:r>
          </w:p>
          <w:p w14:paraId="2987C5E5">
            <w:pPr>
              <w:spacing w:line="30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方案完整、科学、合理、可行，响应时间快，出具报告时间短的得5分；</w:t>
            </w:r>
          </w:p>
          <w:p w14:paraId="165BFC82">
            <w:pPr>
              <w:spacing w:line="30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响应时间、出具报告时间基本能满足招标需求的得3分；</w:t>
            </w:r>
          </w:p>
          <w:p w14:paraId="0DFEFF99">
            <w:pPr>
              <w:spacing w:line="30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响应时间、出具报告时间存在缺陷，无法满足招标需求的得1分；</w:t>
            </w:r>
          </w:p>
          <w:p w14:paraId="757331BF">
            <w:pPr>
              <w:keepNext w:val="0"/>
              <w:keepLines w:val="0"/>
              <w:pageBreakBefore w:val="0"/>
              <w:widowControl/>
              <w:numPr>
                <w:ilvl w:val="0"/>
                <w:numId w:val="0"/>
              </w:numPr>
              <w:suppressLineNumbers w:val="0"/>
              <w:kinsoku/>
              <w:wordWrap/>
              <w:overflowPunct/>
              <w:topLinePunct w:val="0"/>
              <w:bidi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未提供相关内容的不得分</w:t>
            </w:r>
            <w:r>
              <w:rPr>
                <w:rFonts w:hint="eastAsia" w:ascii="宋体" w:hAnsi="宋体" w:eastAsia="宋体" w:cs="宋体"/>
                <w:b w:val="0"/>
                <w:bCs w:val="0"/>
                <w:color w:val="auto"/>
                <w:sz w:val="24"/>
                <w:szCs w:val="24"/>
                <w:highlight w:val="none"/>
              </w:rPr>
              <w:t>。</w:t>
            </w:r>
          </w:p>
        </w:tc>
        <w:tc>
          <w:tcPr>
            <w:tcW w:w="1140" w:type="dxa"/>
            <w:tcBorders>
              <w:tl2br w:val="nil"/>
              <w:tr2bl w:val="nil"/>
            </w:tcBorders>
            <w:noWrap w:val="0"/>
            <w:vAlign w:val="center"/>
          </w:tcPr>
          <w:p w14:paraId="4ABB61E7">
            <w:pPr>
              <w:keepNext w:val="0"/>
              <w:keepLines w:val="0"/>
              <w:pageBreakBefore w:val="0"/>
              <w:widowControl/>
              <w:kinsoku/>
              <w:wordWrap/>
              <w:overflowPunct/>
              <w:topLinePunct w:val="0"/>
              <w:bidi w:val="0"/>
              <w:adjustRightInd/>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主观分</w:t>
            </w:r>
          </w:p>
        </w:tc>
      </w:tr>
      <w:tr w14:paraId="68902F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20" w:hRule="atLeast"/>
          <w:jc w:val="center"/>
        </w:trPr>
        <w:tc>
          <w:tcPr>
            <w:tcW w:w="975" w:type="dxa"/>
            <w:vMerge w:val="continue"/>
            <w:tcBorders>
              <w:tl2br w:val="nil"/>
              <w:tr2bl w:val="nil"/>
            </w:tcBorders>
            <w:noWrap w:val="0"/>
            <w:vAlign w:val="center"/>
          </w:tcPr>
          <w:p w14:paraId="5C46EE23">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p>
        </w:tc>
        <w:tc>
          <w:tcPr>
            <w:tcW w:w="1224" w:type="dxa"/>
            <w:tcBorders>
              <w:tl2br w:val="nil"/>
              <w:tr2bl w:val="nil"/>
            </w:tcBorders>
            <w:noWrap w:val="0"/>
            <w:vAlign w:val="center"/>
          </w:tcPr>
          <w:p w14:paraId="5904A6D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cs="宋体"/>
                <w:b/>
                <w:bCs/>
                <w:color w:val="auto"/>
                <w:sz w:val="24"/>
                <w:szCs w:val="24"/>
                <w:highlight w:val="none"/>
                <w:lang w:val="en-US" w:eastAsia="zh-CN"/>
              </w:rPr>
              <w:t>冷链物流方案（5分）</w:t>
            </w:r>
          </w:p>
        </w:tc>
        <w:tc>
          <w:tcPr>
            <w:tcW w:w="6516" w:type="dxa"/>
            <w:tcBorders>
              <w:tl2br w:val="nil"/>
              <w:tr2bl w:val="nil"/>
            </w:tcBorders>
            <w:noWrap w:val="0"/>
            <w:vAlign w:val="center"/>
          </w:tcPr>
          <w:p w14:paraId="02936122">
            <w:pPr>
              <w:numPr>
                <w:ilvl w:val="0"/>
                <w:numId w:val="0"/>
              </w:numPr>
              <w:spacing w:line="300" w:lineRule="exact"/>
              <w:ind w:leftChars="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根据投标人提供的冷链物流方案，包括物流人员安排，车辆安排，路线接收安排，质量保障，温控措施，应急方案等情况进行评议：</w:t>
            </w:r>
          </w:p>
          <w:p w14:paraId="16532958">
            <w:pPr>
              <w:numPr>
                <w:ilvl w:val="0"/>
                <w:numId w:val="0"/>
              </w:numPr>
              <w:spacing w:line="300" w:lineRule="exact"/>
              <w:ind w:leftChars="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方案考虑充分，措施有效的得5分；</w:t>
            </w:r>
          </w:p>
          <w:p w14:paraId="2A49305E">
            <w:pPr>
              <w:numPr>
                <w:ilvl w:val="0"/>
                <w:numId w:val="0"/>
              </w:numPr>
              <w:spacing w:line="300" w:lineRule="exact"/>
              <w:ind w:leftChars="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方案合理，措施一般的得3分；</w:t>
            </w:r>
          </w:p>
          <w:p w14:paraId="132A846E">
            <w:pPr>
              <w:numPr>
                <w:ilvl w:val="0"/>
                <w:numId w:val="0"/>
              </w:numPr>
              <w:spacing w:line="300" w:lineRule="exact"/>
              <w:ind w:leftChars="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方案考虑不够充分，措施无效的得1分；</w:t>
            </w:r>
          </w:p>
          <w:p w14:paraId="2283FF3C">
            <w:pPr>
              <w:keepNext w:val="0"/>
              <w:keepLines w:val="0"/>
              <w:pageBreakBefore w:val="0"/>
              <w:widowControl/>
              <w:numPr>
                <w:ilvl w:val="0"/>
                <w:numId w:val="0"/>
              </w:numPr>
              <w:suppressLineNumbers w:val="0"/>
              <w:kinsoku/>
              <w:wordWrap/>
              <w:overflowPunct/>
              <w:topLinePunct w:val="0"/>
              <w:bidi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未提供相关内容的不得分</w:t>
            </w:r>
            <w:r>
              <w:rPr>
                <w:rFonts w:hint="eastAsia" w:ascii="宋体" w:hAnsi="宋体" w:eastAsia="宋体" w:cs="宋体"/>
                <w:b w:val="0"/>
                <w:bCs w:val="0"/>
                <w:color w:val="auto"/>
                <w:sz w:val="24"/>
                <w:szCs w:val="24"/>
                <w:highlight w:val="none"/>
              </w:rPr>
              <w:t>。</w:t>
            </w:r>
          </w:p>
        </w:tc>
        <w:tc>
          <w:tcPr>
            <w:tcW w:w="1140" w:type="dxa"/>
            <w:tcBorders>
              <w:tl2br w:val="nil"/>
              <w:tr2bl w:val="nil"/>
            </w:tcBorders>
            <w:noWrap w:val="0"/>
            <w:vAlign w:val="center"/>
          </w:tcPr>
          <w:p w14:paraId="239A4207">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主观分</w:t>
            </w:r>
          </w:p>
        </w:tc>
      </w:tr>
      <w:tr w14:paraId="5E8856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14" w:hRule="atLeast"/>
          <w:jc w:val="center"/>
        </w:trPr>
        <w:tc>
          <w:tcPr>
            <w:tcW w:w="975" w:type="dxa"/>
            <w:vMerge w:val="continue"/>
            <w:tcBorders>
              <w:tl2br w:val="nil"/>
              <w:tr2bl w:val="nil"/>
            </w:tcBorders>
            <w:noWrap w:val="0"/>
            <w:vAlign w:val="center"/>
          </w:tcPr>
          <w:p w14:paraId="435D4B4B">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p>
        </w:tc>
        <w:tc>
          <w:tcPr>
            <w:tcW w:w="1224" w:type="dxa"/>
            <w:tcBorders>
              <w:tl2br w:val="nil"/>
              <w:tr2bl w:val="nil"/>
            </w:tcBorders>
            <w:noWrap w:val="0"/>
            <w:vAlign w:val="center"/>
          </w:tcPr>
          <w:p w14:paraId="7882DC6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sz w:val="24"/>
                <w:szCs w:val="24"/>
                <w:highlight w:val="none"/>
                <w:lang w:val="en-US" w:eastAsia="zh-CN"/>
              </w:rPr>
              <w:t>增值服务（5分）</w:t>
            </w:r>
          </w:p>
        </w:tc>
        <w:tc>
          <w:tcPr>
            <w:tcW w:w="6516" w:type="dxa"/>
            <w:tcBorders>
              <w:tl2br w:val="nil"/>
              <w:tr2bl w:val="nil"/>
            </w:tcBorders>
            <w:noWrap w:val="0"/>
            <w:vAlign w:val="center"/>
          </w:tcPr>
          <w:p w14:paraId="3E018728">
            <w:pPr>
              <w:spacing w:line="3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对</w:t>
            </w:r>
            <w:r>
              <w:rPr>
                <w:rFonts w:hint="eastAsia" w:ascii="宋体" w:hAnsi="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提供的其他有利于医院检验长足发展的增值服务进行评议：</w:t>
            </w:r>
          </w:p>
          <w:p w14:paraId="7F5F5CC2">
            <w:pPr>
              <w:spacing w:line="3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增值服务具有实际意义</w:t>
            </w:r>
            <w:r>
              <w:rPr>
                <w:rFonts w:hint="eastAsia" w:ascii="宋体" w:hAnsi="宋体" w:eastAsia="宋体" w:cs="宋体"/>
                <w:b w:val="0"/>
                <w:bCs w:val="0"/>
                <w:color w:val="auto"/>
                <w:sz w:val="24"/>
                <w:szCs w:val="24"/>
                <w:highlight w:val="none"/>
                <w:lang w:val="en-US" w:eastAsia="zh-CN"/>
              </w:rPr>
              <w:t>和针对性</w:t>
            </w:r>
            <w:r>
              <w:rPr>
                <w:rFonts w:hint="eastAsia" w:ascii="宋体" w:hAnsi="宋体" w:eastAsia="宋体" w:cs="宋体"/>
                <w:b w:val="0"/>
                <w:bCs w:val="0"/>
                <w:color w:val="auto"/>
                <w:sz w:val="24"/>
                <w:szCs w:val="24"/>
                <w:highlight w:val="none"/>
              </w:rPr>
              <w:t>，且合理可行的得5分；</w:t>
            </w:r>
          </w:p>
          <w:p w14:paraId="2E6B9DD9">
            <w:pPr>
              <w:spacing w:line="3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增值服务有一定的意义的得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p w14:paraId="552817E4">
            <w:pPr>
              <w:spacing w:line="300" w:lineRule="exact"/>
              <w:rPr>
                <w:rFonts w:hint="eastAsia" w:ascii="宋体" w:hAnsi="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增值服务基本没有实际意义的得1分</w:t>
            </w:r>
            <w:r>
              <w:rPr>
                <w:rFonts w:hint="eastAsia" w:ascii="宋体" w:hAnsi="宋体" w:cs="宋体"/>
                <w:b w:val="0"/>
                <w:bCs w:val="0"/>
                <w:color w:val="auto"/>
                <w:sz w:val="24"/>
                <w:szCs w:val="24"/>
                <w:highlight w:val="none"/>
                <w:lang w:eastAsia="zh-CN"/>
              </w:rPr>
              <w:t>；</w:t>
            </w:r>
          </w:p>
          <w:p w14:paraId="39318ACC">
            <w:pPr>
              <w:keepNext w:val="0"/>
              <w:keepLines w:val="0"/>
              <w:pageBreakBefore w:val="0"/>
              <w:widowControl/>
              <w:suppressLineNumbers w:val="0"/>
              <w:kinsoku/>
              <w:wordWrap/>
              <w:overflowPunct/>
              <w:topLinePunct w:val="0"/>
              <w:bidi w:val="0"/>
              <w:spacing w:before="0" w:beforeAutospacing="0" w:after="0" w:afterAutospacing="0" w:line="240" w:lineRule="auto"/>
              <w:ind w:left="0" w:right="0" w:righ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未提供相关内容的不得分。</w:t>
            </w:r>
          </w:p>
        </w:tc>
        <w:tc>
          <w:tcPr>
            <w:tcW w:w="1140" w:type="dxa"/>
            <w:tcBorders>
              <w:tl2br w:val="nil"/>
              <w:tr2bl w:val="nil"/>
            </w:tcBorders>
            <w:noWrap w:val="0"/>
            <w:vAlign w:val="center"/>
          </w:tcPr>
          <w:p w14:paraId="399273DE">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主观分</w:t>
            </w:r>
          </w:p>
        </w:tc>
      </w:tr>
      <w:tr w14:paraId="219340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14" w:hRule="atLeast"/>
          <w:jc w:val="center"/>
        </w:trPr>
        <w:tc>
          <w:tcPr>
            <w:tcW w:w="975" w:type="dxa"/>
            <w:vMerge w:val="continue"/>
            <w:tcBorders>
              <w:tl2br w:val="nil"/>
              <w:tr2bl w:val="nil"/>
            </w:tcBorders>
            <w:noWrap w:val="0"/>
            <w:vAlign w:val="center"/>
          </w:tcPr>
          <w:p w14:paraId="16245180">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p>
        </w:tc>
        <w:tc>
          <w:tcPr>
            <w:tcW w:w="1224" w:type="dxa"/>
            <w:tcBorders>
              <w:tl2br w:val="nil"/>
              <w:tr2bl w:val="nil"/>
            </w:tcBorders>
            <w:noWrap w:val="0"/>
            <w:vAlign w:val="center"/>
          </w:tcPr>
          <w:p w14:paraId="2D311B3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保密方案（5分）</w:t>
            </w:r>
          </w:p>
        </w:tc>
        <w:tc>
          <w:tcPr>
            <w:tcW w:w="6516" w:type="dxa"/>
            <w:tcBorders>
              <w:tl2br w:val="nil"/>
              <w:tr2bl w:val="nil"/>
            </w:tcBorders>
            <w:shd w:val="clear" w:color="auto" w:fill="auto"/>
            <w:noWrap w:val="0"/>
            <w:vAlign w:val="center"/>
          </w:tcPr>
          <w:p w14:paraId="5A86718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根据投标人提供的保密方案包括文件资料的管理、保存和安全保密措施、送检标本及检测结果等相关资料保密的措施进行评议：</w:t>
            </w:r>
          </w:p>
          <w:p w14:paraId="6EAD6C2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措施方案描述详细，分析全面，切实可行的得5分；</w:t>
            </w:r>
          </w:p>
          <w:p w14:paraId="1CF407C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措施方案描述不够详细，分析不够全面的得3分；</w:t>
            </w:r>
          </w:p>
          <w:p w14:paraId="3963B25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措施方案描述简单，无针对性内容的得1分；</w:t>
            </w:r>
          </w:p>
          <w:p w14:paraId="17D139F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未提供相关内容的不得分。</w:t>
            </w:r>
          </w:p>
        </w:tc>
        <w:tc>
          <w:tcPr>
            <w:tcW w:w="1140" w:type="dxa"/>
            <w:tcBorders>
              <w:tl2br w:val="nil"/>
              <w:tr2bl w:val="nil"/>
            </w:tcBorders>
            <w:noWrap w:val="0"/>
            <w:vAlign w:val="center"/>
          </w:tcPr>
          <w:p w14:paraId="77BA7E52">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主观分</w:t>
            </w:r>
          </w:p>
        </w:tc>
      </w:tr>
      <w:tr w14:paraId="2B344D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jc w:val="center"/>
        </w:trPr>
        <w:tc>
          <w:tcPr>
            <w:tcW w:w="975" w:type="dxa"/>
            <w:vMerge w:val="continue"/>
            <w:tcBorders>
              <w:tl2br w:val="nil"/>
              <w:tr2bl w:val="nil"/>
            </w:tcBorders>
            <w:noWrap w:val="0"/>
            <w:vAlign w:val="center"/>
          </w:tcPr>
          <w:p w14:paraId="6B27A617">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p>
        </w:tc>
        <w:tc>
          <w:tcPr>
            <w:tcW w:w="1224" w:type="dxa"/>
            <w:tcBorders>
              <w:tl2br w:val="nil"/>
              <w:tr2bl w:val="nil"/>
            </w:tcBorders>
            <w:noWrap w:val="0"/>
            <w:vAlign w:val="center"/>
          </w:tcPr>
          <w:p w14:paraId="4B2B359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b/>
                <w:color w:val="auto"/>
                <w:sz w:val="24"/>
                <w:szCs w:val="24"/>
                <w:highlight w:val="none"/>
              </w:rPr>
              <w:t>拟投入的实验室团队人员</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5分</w:t>
            </w:r>
            <w:r>
              <w:rPr>
                <w:rFonts w:hint="eastAsia" w:ascii="宋体" w:hAnsi="宋体"/>
                <w:b/>
                <w:color w:val="auto"/>
                <w:sz w:val="24"/>
                <w:szCs w:val="24"/>
                <w:highlight w:val="none"/>
                <w:lang w:eastAsia="zh-CN"/>
              </w:rPr>
              <w:t>）</w:t>
            </w:r>
          </w:p>
        </w:tc>
        <w:tc>
          <w:tcPr>
            <w:tcW w:w="6516" w:type="dxa"/>
            <w:tcBorders>
              <w:tl2br w:val="nil"/>
              <w:tr2bl w:val="nil"/>
            </w:tcBorders>
            <w:noWrap w:val="0"/>
            <w:vAlign w:val="center"/>
          </w:tcPr>
          <w:p w14:paraId="29C68551">
            <w:pPr>
              <w:numPr>
                <w:ilvl w:val="0"/>
                <w:numId w:val="0"/>
              </w:numPr>
              <w:spacing w:line="300" w:lineRule="exact"/>
              <w:ind w:left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对</w:t>
            </w:r>
            <w:r>
              <w:rPr>
                <w:rFonts w:hint="eastAsia" w:ascii="宋体" w:hAnsi="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lang w:val="en-US" w:eastAsia="zh-CN"/>
              </w:rPr>
              <w:t>提供的拟投入的实验室团队人员</w:t>
            </w:r>
            <w:r>
              <w:rPr>
                <w:rFonts w:hint="eastAsia" w:ascii="宋体" w:hAnsi="宋体" w:cs="宋体"/>
                <w:b w:val="0"/>
                <w:bCs w:val="0"/>
                <w:color w:val="auto"/>
                <w:sz w:val="24"/>
                <w:szCs w:val="24"/>
                <w:highlight w:val="none"/>
                <w:lang w:val="en-US" w:eastAsia="zh-CN"/>
              </w:rPr>
              <w:t>（包括人员配置是否合理可行，技术力量是否具有针对性）</w:t>
            </w:r>
            <w:r>
              <w:rPr>
                <w:rFonts w:hint="eastAsia" w:ascii="宋体" w:hAnsi="宋体" w:eastAsia="宋体" w:cs="宋体"/>
                <w:b w:val="0"/>
                <w:bCs w:val="0"/>
                <w:color w:val="auto"/>
                <w:sz w:val="24"/>
                <w:szCs w:val="24"/>
                <w:highlight w:val="none"/>
                <w:lang w:val="en-US" w:eastAsia="zh-CN"/>
              </w:rPr>
              <w:t>进行评议：</w:t>
            </w:r>
          </w:p>
          <w:p w14:paraId="06E1CB76">
            <w:pPr>
              <w:numPr>
                <w:ilvl w:val="0"/>
                <w:numId w:val="0"/>
              </w:numPr>
              <w:spacing w:line="300" w:lineRule="exact"/>
              <w:ind w:left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项目团队配置合理，技术力量具有针对性的得5分；</w:t>
            </w:r>
          </w:p>
          <w:p w14:paraId="6A9CC5C9">
            <w:pPr>
              <w:numPr>
                <w:ilvl w:val="0"/>
                <w:numId w:val="0"/>
              </w:numPr>
              <w:spacing w:line="300" w:lineRule="exact"/>
              <w:ind w:left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项目团队配置基本合理、但略有不足，技术力量针对性不强的得3分；</w:t>
            </w:r>
          </w:p>
          <w:p w14:paraId="5C2A0AFB">
            <w:pPr>
              <w:numPr>
                <w:ilvl w:val="0"/>
                <w:numId w:val="0"/>
              </w:numPr>
              <w:spacing w:line="300" w:lineRule="exact"/>
              <w:ind w:left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项目团队配置不合理，技术力量无针对性的得1分；</w:t>
            </w:r>
          </w:p>
          <w:p w14:paraId="464C1C8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未提供相关内容的不得分</w:t>
            </w:r>
            <w:r>
              <w:rPr>
                <w:rFonts w:hint="eastAsia" w:ascii="宋体" w:hAnsi="宋体" w:eastAsia="宋体" w:cs="宋体"/>
                <w:b w:val="0"/>
                <w:bCs w:val="0"/>
                <w:color w:val="auto"/>
                <w:sz w:val="24"/>
                <w:szCs w:val="24"/>
                <w:highlight w:val="none"/>
              </w:rPr>
              <w:t>。</w:t>
            </w:r>
          </w:p>
        </w:tc>
        <w:tc>
          <w:tcPr>
            <w:tcW w:w="1140" w:type="dxa"/>
            <w:tcBorders>
              <w:tl2br w:val="nil"/>
              <w:tr2bl w:val="nil"/>
            </w:tcBorders>
            <w:noWrap w:val="0"/>
            <w:vAlign w:val="center"/>
          </w:tcPr>
          <w:p w14:paraId="3F89397E">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主观分</w:t>
            </w:r>
          </w:p>
        </w:tc>
      </w:tr>
      <w:tr w14:paraId="2F9119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4" w:hRule="atLeast"/>
          <w:jc w:val="center"/>
        </w:trPr>
        <w:tc>
          <w:tcPr>
            <w:tcW w:w="975" w:type="dxa"/>
            <w:vMerge w:val="continue"/>
            <w:tcBorders>
              <w:tl2br w:val="nil"/>
              <w:tr2bl w:val="nil"/>
            </w:tcBorders>
            <w:noWrap w:val="0"/>
            <w:vAlign w:val="center"/>
          </w:tcPr>
          <w:p w14:paraId="2D5EDA6C">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bCs/>
                <w:color w:val="auto"/>
                <w:kern w:val="0"/>
                <w:sz w:val="24"/>
                <w:szCs w:val="24"/>
                <w:highlight w:val="none"/>
              </w:rPr>
            </w:pPr>
          </w:p>
        </w:tc>
        <w:tc>
          <w:tcPr>
            <w:tcW w:w="1224" w:type="dxa"/>
            <w:tcBorders>
              <w:tl2br w:val="nil"/>
              <w:tr2bl w:val="nil"/>
            </w:tcBorders>
            <w:noWrap w:val="0"/>
            <w:vAlign w:val="center"/>
          </w:tcPr>
          <w:p w14:paraId="0C6AE980">
            <w:pPr>
              <w:keepNext w:val="0"/>
              <w:keepLines w:val="0"/>
              <w:pageBreakBefore w:val="0"/>
              <w:widowControl/>
              <w:kinsoku/>
              <w:wordWrap/>
              <w:overflowPunct/>
              <w:topLinePunct w:val="0"/>
              <w:autoSpaceDE w:val="0"/>
              <w:autoSpaceDN w:val="0"/>
              <w:bidi w:val="0"/>
              <w:adjustRightInd w:val="0"/>
              <w:snapToGrid w:val="0"/>
              <w:spacing w:beforeAutospacing="0" w:afterAutospacing="0" w:line="240" w:lineRule="auto"/>
              <w:ind w:right="0" w:right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业绩</w:t>
            </w:r>
          </w:p>
          <w:p w14:paraId="50DFF199">
            <w:pPr>
              <w:keepNext w:val="0"/>
              <w:keepLines w:val="0"/>
              <w:pageBreakBefore w:val="0"/>
              <w:widowControl/>
              <w:kinsoku/>
              <w:wordWrap/>
              <w:overflowPunct/>
              <w:topLinePunct w:val="0"/>
              <w:autoSpaceDE w:val="0"/>
              <w:autoSpaceDN w:val="0"/>
              <w:bidi w:val="0"/>
              <w:adjustRightInd w:val="0"/>
              <w:snapToGri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分）</w:t>
            </w:r>
          </w:p>
        </w:tc>
        <w:tc>
          <w:tcPr>
            <w:tcW w:w="6516" w:type="dxa"/>
            <w:tcBorders>
              <w:tl2br w:val="nil"/>
              <w:tr2bl w:val="nil"/>
            </w:tcBorders>
            <w:noWrap w:val="0"/>
            <w:vAlign w:val="top"/>
          </w:tcPr>
          <w:p w14:paraId="6A1ACDE5">
            <w:pPr>
              <w:keepNext w:val="0"/>
              <w:keepLines w:val="0"/>
              <w:pageBreakBefore w:val="0"/>
              <w:widowControl/>
              <w:kinsoku/>
              <w:wordWrap/>
              <w:overflowPunct/>
              <w:topLinePunct w:val="0"/>
              <w:autoSpaceDE w:val="0"/>
              <w:autoSpaceDN w:val="0"/>
              <w:bidi w:val="0"/>
              <w:adjustRightInd w:val="0"/>
              <w:snapToGrid w:val="0"/>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b w:val="0"/>
                <w:bCs w:val="0"/>
                <w:color w:val="auto"/>
                <w:kern w:val="0"/>
                <w:sz w:val="24"/>
                <w:szCs w:val="24"/>
                <w:highlight w:val="none"/>
              </w:rPr>
              <w:t>自20</w:t>
            </w:r>
            <w:r>
              <w:rPr>
                <w:rFonts w:hint="eastAsia" w:ascii="宋体" w:hAnsi="宋体" w:eastAsia="宋体" w:cs="宋体"/>
                <w:b w:val="0"/>
                <w:bCs w:val="0"/>
                <w:color w:val="auto"/>
                <w:kern w:val="0"/>
                <w:sz w:val="24"/>
                <w:szCs w:val="24"/>
                <w:highlight w:val="none"/>
                <w:lang w:val="en-US" w:eastAsia="zh-CN"/>
              </w:rPr>
              <w:t>22</w:t>
            </w:r>
            <w:r>
              <w:rPr>
                <w:rFonts w:hint="eastAsia" w:ascii="宋体" w:hAnsi="宋体" w:eastAsia="宋体" w:cs="宋体"/>
                <w:b w:val="0"/>
                <w:bCs w:val="0"/>
                <w:color w:val="auto"/>
                <w:kern w:val="0"/>
                <w:sz w:val="24"/>
                <w:szCs w:val="24"/>
                <w:highlight w:val="none"/>
              </w:rPr>
              <w:t>年1月1日至今（以合同签订时间为准），</w:t>
            </w:r>
            <w:r>
              <w:rPr>
                <w:rFonts w:hint="eastAsia" w:ascii="宋体" w:hAnsi="宋体" w:eastAsia="宋体" w:cs="宋体"/>
                <w:b w:val="0"/>
                <w:bCs w:val="0"/>
                <w:color w:val="auto"/>
                <w:kern w:val="0"/>
                <w:sz w:val="24"/>
                <w:szCs w:val="24"/>
                <w:highlight w:val="none"/>
                <w:lang w:val="en-US" w:eastAsia="zh-CN"/>
              </w:rPr>
              <w:t>投标人</w:t>
            </w:r>
            <w:r>
              <w:rPr>
                <w:rFonts w:hint="eastAsia" w:ascii="宋体" w:hAnsi="宋体" w:eastAsia="宋体" w:cs="宋体"/>
                <w:b w:val="0"/>
                <w:bCs w:val="0"/>
                <w:color w:val="auto"/>
                <w:kern w:val="0"/>
                <w:sz w:val="24"/>
                <w:szCs w:val="24"/>
                <w:highlight w:val="none"/>
                <w:lang w:bidi="ar"/>
              </w:rPr>
              <w:t>具有</w:t>
            </w:r>
            <w:r>
              <w:rPr>
                <w:rFonts w:hint="eastAsia" w:ascii="宋体" w:hAnsi="宋体" w:eastAsia="宋体" w:cs="宋体"/>
                <w:b w:val="0"/>
                <w:bCs w:val="0"/>
                <w:color w:val="auto"/>
                <w:kern w:val="0"/>
                <w:sz w:val="24"/>
                <w:szCs w:val="24"/>
                <w:highlight w:val="none"/>
                <w:lang w:val="en-US" w:eastAsia="zh-CN" w:bidi="ar"/>
              </w:rPr>
              <w:t>同类项目</w:t>
            </w:r>
            <w:r>
              <w:rPr>
                <w:rFonts w:hint="eastAsia" w:ascii="宋体" w:hAnsi="宋体" w:eastAsia="宋体" w:cs="宋体"/>
                <w:b w:val="0"/>
                <w:bCs w:val="0"/>
                <w:color w:val="auto"/>
                <w:kern w:val="0"/>
                <w:sz w:val="24"/>
                <w:szCs w:val="24"/>
                <w:highlight w:val="none"/>
                <w:lang w:bidi="ar"/>
              </w:rPr>
              <w:t>业绩，每提供1个</w:t>
            </w:r>
            <w:r>
              <w:rPr>
                <w:rFonts w:hint="eastAsia" w:ascii="宋体" w:hAnsi="宋体" w:eastAsia="宋体" w:cs="宋体"/>
                <w:b w:val="0"/>
                <w:bCs w:val="0"/>
                <w:color w:val="auto"/>
                <w:kern w:val="0"/>
                <w:sz w:val="24"/>
                <w:szCs w:val="24"/>
                <w:highlight w:val="none"/>
                <w:lang w:val="en-US" w:eastAsia="zh-CN" w:bidi="ar"/>
              </w:rPr>
              <w:t>有效业绩</w:t>
            </w:r>
            <w:r>
              <w:rPr>
                <w:rFonts w:hint="eastAsia" w:ascii="宋体" w:hAnsi="宋体" w:eastAsia="宋体" w:cs="宋体"/>
                <w:b w:val="0"/>
                <w:bCs w:val="0"/>
                <w:color w:val="auto"/>
                <w:kern w:val="0"/>
                <w:sz w:val="24"/>
                <w:szCs w:val="24"/>
                <w:highlight w:val="none"/>
                <w:lang w:bidi="ar"/>
              </w:rPr>
              <w:t>得</w:t>
            </w:r>
            <w:r>
              <w:rPr>
                <w:rFonts w:hint="eastAsia" w:ascii="宋体" w:hAnsi="宋体" w:eastAsia="宋体" w:cs="宋体"/>
                <w:b w:val="0"/>
                <w:bCs w:val="0"/>
                <w:color w:val="auto"/>
                <w:kern w:val="0"/>
                <w:sz w:val="24"/>
                <w:szCs w:val="24"/>
                <w:highlight w:val="none"/>
                <w:lang w:val="en-US" w:eastAsia="zh-CN" w:bidi="ar"/>
              </w:rPr>
              <w:t>0.5</w:t>
            </w:r>
            <w:r>
              <w:rPr>
                <w:rFonts w:hint="eastAsia" w:ascii="宋体" w:hAnsi="宋体" w:eastAsia="宋体" w:cs="宋体"/>
                <w:b w:val="0"/>
                <w:bCs w:val="0"/>
                <w:color w:val="auto"/>
                <w:kern w:val="0"/>
                <w:sz w:val="24"/>
                <w:szCs w:val="24"/>
                <w:highlight w:val="none"/>
                <w:lang w:bidi="ar"/>
              </w:rPr>
              <w:t>分，最高得</w:t>
            </w:r>
            <w:r>
              <w:rPr>
                <w:rFonts w:hint="eastAsia" w:ascii="宋体" w:hAnsi="宋体" w:eastAsia="宋体" w:cs="宋体"/>
                <w:b w:val="0"/>
                <w:bCs w:val="0"/>
                <w:color w:val="auto"/>
                <w:kern w:val="0"/>
                <w:sz w:val="24"/>
                <w:szCs w:val="24"/>
                <w:highlight w:val="none"/>
                <w:lang w:val="en-US" w:eastAsia="zh-CN" w:bidi="ar"/>
              </w:rPr>
              <w:t>1</w:t>
            </w:r>
            <w:r>
              <w:rPr>
                <w:rFonts w:hint="eastAsia" w:ascii="宋体" w:hAnsi="宋体" w:eastAsia="宋体" w:cs="宋体"/>
                <w:b w:val="0"/>
                <w:bCs w:val="0"/>
                <w:color w:val="auto"/>
                <w:kern w:val="0"/>
                <w:sz w:val="24"/>
                <w:szCs w:val="24"/>
                <w:highlight w:val="none"/>
                <w:lang w:bidi="ar"/>
              </w:rPr>
              <w:t>分</w:t>
            </w:r>
            <w:r>
              <w:rPr>
                <w:rFonts w:hint="eastAsia" w:ascii="宋体" w:hAnsi="宋体" w:eastAsia="宋体" w:cs="宋体"/>
                <w:b w:val="0"/>
                <w:bCs w:val="0"/>
                <w:color w:val="auto"/>
                <w:kern w:val="0"/>
                <w:sz w:val="24"/>
                <w:szCs w:val="24"/>
                <w:highlight w:val="none"/>
                <w:lang w:eastAsia="zh-CN" w:bidi="ar"/>
              </w:rPr>
              <w:t>。</w:t>
            </w:r>
          </w:p>
          <w:p w14:paraId="51636C51">
            <w:pPr>
              <w:keepNext w:val="0"/>
              <w:keepLines w:val="0"/>
              <w:pageBreakBefore w:val="0"/>
              <w:widowControl/>
              <w:kinsoku/>
              <w:wordWrap/>
              <w:overflowPunct/>
              <w:topLinePunct w:val="0"/>
              <w:autoSpaceDE w:val="0"/>
              <w:autoSpaceDN w:val="0"/>
              <w:bidi w:val="0"/>
              <w:adjustRightInd w:val="0"/>
              <w:snapToGrid w:val="0"/>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备注：</w:t>
            </w:r>
            <w:r>
              <w:rPr>
                <w:rFonts w:hint="eastAsia" w:ascii="宋体" w:hAnsi="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rPr>
              <w:t>投标文件中提供合同</w:t>
            </w:r>
            <w:r>
              <w:rPr>
                <w:rFonts w:hint="eastAsia" w:ascii="宋体" w:hAnsi="宋体" w:eastAsia="宋体" w:cs="宋体"/>
                <w:b w:val="0"/>
                <w:bCs w:val="0"/>
                <w:color w:val="auto"/>
                <w:kern w:val="0"/>
                <w:sz w:val="24"/>
                <w:szCs w:val="24"/>
                <w:highlight w:val="none"/>
                <w:lang w:val="en-US" w:eastAsia="zh-CN"/>
              </w:rPr>
              <w:t>扫描</w:t>
            </w:r>
            <w:r>
              <w:rPr>
                <w:rFonts w:hint="eastAsia" w:ascii="宋体" w:hAnsi="宋体" w:eastAsia="宋体" w:cs="宋体"/>
                <w:b w:val="0"/>
                <w:bCs w:val="0"/>
                <w:color w:val="auto"/>
                <w:kern w:val="0"/>
                <w:sz w:val="24"/>
                <w:szCs w:val="24"/>
                <w:highlight w:val="none"/>
              </w:rPr>
              <w:t>件</w:t>
            </w:r>
            <w:r>
              <w:rPr>
                <w:rFonts w:hint="eastAsia" w:ascii="宋体" w:hAnsi="宋体" w:eastAsia="宋体" w:cs="宋体"/>
                <w:b w:val="0"/>
                <w:bCs w:val="0"/>
                <w:color w:val="auto"/>
                <w:kern w:val="0"/>
                <w:sz w:val="24"/>
                <w:szCs w:val="24"/>
                <w:highlight w:val="none"/>
                <w:lang w:val="en-US" w:eastAsia="zh-CN"/>
              </w:rPr>
              <w:t>加盖公章，未提供或未加盖公章的均不得分。（2）联合体投标的，联合体各方分别提供与联合体协议中规定的分工内容相应的业绩证明材料，业绩数量以提供材料较少的一方为准。</w:t>
            </w:r>
          </w:p>
        </w:tc>
        <w:tc>
          <w:tcPr>
            <w:tcW w:w="1140" w:type="dxa"/>
            <w:tcBorders>
              <w:tl2br w:val="nil"/>
              <w:tr2bl w:val="nil"/>
            </w:tcBorders>
            <w:noWrap w:val="0"/>
            <w:vAlign w:val="center"/>
          </w:tcPr>
          <w:p w14:paraId="573BC562">
            <w:pPr>
              <w:keepNext w:val="0"/>
              <w:keepLines w:val="0"/>
              <w:pageBreakBefore w:val="0"/>
              <w:widowControl/>
              <w:kinsoku/>
              <w:wordWrap/>
              <w:overflowPunct/>
              <w:topLinePunct w:val="0"/>
              <w:bidi w:val="0"/>
              <w:adjustRightInd/>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客观分</w:t>
            </w:r>
          </w:p>
        </w:tc>
      </w:tr>
    </w:tbl>
    <w:p w14:paraId="1A70D080">
      <w:pPr>
        <w:rPr>
          <w:rFonts w:ascii="宋体" w:hAnsi="宋体" w:cs="宋体"/>
          <w:b/>
          <w:color w:val="auto"/>
          <w:szCs w:val="21"/>
          <w:highlight w:val="none"/>
        </w:rPr>
      </w:pPr>
    </w:p>
    <w:p w14:paraId="6981235B">
      <w:pPr>
        <w:snapToGrid w:val="0"/>
        <w:rPr>
          <w:rFonts w:ascii="宋体" w:hAnsi="宋体" w:cs="宋体"/>
          <w:color w:val="auto"/>
          <w:szCs w:val="21"/>
          <w:highlight w:val="none"/>
        </w:rPr>
      </w:pPr>
      <w:r>
        <w:rPr>
          <w:rFonts w:hint="eastAsia" w:ascii="宋体" w:hAnsi="宋体" w:cs="宋体"/>
          <w:b/>
          <w:color w:val="auto"/>
          <w:szCs w:val="21"/>
          <w:highlight w:val="none"/>
        </w:rPr>
        <w:t xml:space="preserve">备注：（1）投标人编制投标文件（商务技术文件部分）时，建议按此目录（序号和内容）提供评标标准相应的商务技术资料。（2）评委在上表设定的分值范围内打分(四舍五入保留两位小数)，平均分值计算四舍五入保留两位小数点。 </w:t>
      </w:r>
      <w:r>
        <w:rPr>
          <w:rFonts w:hint="eastAsia" w:ascii="宋体" w:hAnsi="宋体" w:cs="宋体"/>
          <w:color w:val="auto"/>
          <w:szCs w:val="21"/>
          <w:highlight w:val="none"/>
        </w:rPr>
        <w:t> </w:t>
      </w:r>
    </w:p>
    <w:p w14:paraId="752F43ED">
      <w:pPr>
        <w:rPr>
          <w:rFonts w:ascii="宋体" w:hAnsi="宋体" w:cs="宋体"/>
          <w:b/>
          <w:color w:val="auto"/>
          <w:sz w:val="24"/>
          <w:highlight w:val="none"/>
        </w:rPr>
      </w:pPr>
      <w:bookmarkStart w:id="429" w:name="_Toc22860"/>
      <w:r>
        <w:rPr>
          <w:rFonts w:hint="eastAsia" w:ascii="宋体" w:hAnsi="宋体" w:cs="宋体"/>
          <w:b/>
          <w:color w:val="auto"/>
          <w:sz w:val="24"/>
          <w:highlight w:val="none"/>
        </w:rPr>
        <w:br w:type="page"/>
      </w:r>
    </w:p>
    <w:p w14:paraId="34E28A71">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一、评标方法</w:t>
      </w:r>
      <w:bookmarkEnd w:id="429"/>
    </w:p>
    <w:p w14:paraId="42F8F5EC">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AB32804">
      <w:pPr>
        <w:spacing w:line="360" w:lineRule="auto"/>
        <w:outlineLvl w:val="1"/>
        <w:rPr>
          <w:rFonts w:ascii="宋体" w:hAnsi="宋体" w:cs="宋体"/>
          <w:b/>
          <w:color w:val="auto"/>
          <w:sz w:val="24"/>
          <w:highlight w:val="none"/>
        </w:rPr>
      </w:pPr>
      <w:bookmarkStart w:id="430" w:name="_Toc29389"/>
      <w:r>
        <w:rPr>
          <w:rFonts w:hint="eastAsia" w:ascii="宋体" w:hAnsi="宋体" w:cs="宋体"/>
          <w:b/>
          <w:color w:val="auto"/>
          <w:sz w:val="24"/>
          <w:highlight w:val="none"/>
        </w:rPr>
        <w:t>二、评标标准</w:t>
      </w:r>
      <w:bookmarkEnd w:id="430"/>
    </w:p>
    <w:p w14:paraId="05F2852A">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535C6A9">
      <w:pPr>
        <w:spacing w:line="360" w:lineRule="auto"/>
        <w:outlineLvl w:val="1"/>
        <w:rPr>
          <w:rFonts w:ascii="宋体" w:hAnsi="宋体" w:cs="宋体"/>
          <w:b/>
          <w:color w:val="auto"/>
          <w:sz w:val="24"/>
          <w:highlight w:val="none"/>
        </w:rPr>
      </w:pPr>
      <w:bookmarkStart w:id="431" w:name="_Toc1306"/>
      <w:r>
        <w:rPr>
          <w:rFonts w:hint="eastAsia" w:ascii="宋体" w:hAnsi="宋体" w:cs="宋体"/>
          <w:b/>
          <w:color w:val="auto"/>
          <w:sz w:val="24"/>
          <w:highlight w:val="none"/>
        </w:rPr>
        <w:t>三、评标程序</w:t>
      </w:r>
      <w:bookmarkEnd w:id="431"/>
    </w:p>
    <w:p w14:paraId="6688A91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04A2C8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B40F09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AF0B7EE">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7B37190">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40DBD7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1CB46CC">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A3F5A8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1835DF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CCB8FE2">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6702D4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DBDCD0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C93104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29D815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E56700E">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r>
        <w:rPr>
          <w:rFonts w:hint="eastAsia" w:ascii="宋体" w:hAnsi="宋体" w:cs="宋体"/>
          <w:b/>
          <w:bCs/>
          <w:color w:val="auto"/>
          <w:kern w:val="0"/>
          <w:sz w:val="24"/>
          <w:highlight w:val="none"/>
        </w:rPr>
        <w:t>中标候选人数量：</w:t>
      </w:r>
      <w:r>
        <w:rPr>
          <w:rFonts w:hint="eastAsia" w:ascii="宋体" w:hAnsi="宋体" w:cs="宋体"/>
          <w:color w:val="auto"/>
          <w:kern w:val="0"/>
          <w:sz w:val="24"/>
          <w:highlight w:val="none"/>
        </w:rPr>
        <w:t>有效投标供应商数量等于3家时，中标候选人数量为1家；有效投标供应商数量等于4家时，中标候选人数量为2家；有效投标供应商数量大于等于5家时，中标候选人数量为3家。</w:t>
      </w:r>
    </w:p>
    <w:p w14:paraId="06E61E82">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C978F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289534C">
      <w:pPr>
        <w:spacing w:line="360" w:lineRule="auto"/>
        <w:outlineLvl w:val="1"/>
        <w:rPr>
          <w:rFonts w:ascii="宋体" w:hAnsi="宋体" w:cs="宋体"/>
          <w:b/>
          <w:color w:val="auto"/>
          <w:sz w:val="24"/>
          <w:highlight w:val="none"/>
        </w:rPr>
      </w:pPr>
      <w:bookmarkStart w:id="432" w:name="_Toc29108"/>
      <w:r>
        <w:rPr>
          <w:rFonts w:hint="eastAsia" w:ascii="宋体" w:hAnsi="宋体" w:cs="宋体"/>
          <w:b/>
          <w:color w:val="auto"/>
          <w:sz w:val="24"/>
          <w:highlight w:val="none"/>
        </w:rPr>
        <w:t>四、评标中的其他事项</w:t>
      </w:r>
      <w:bookmarkEnd w:id="432"/>
    </w:p>
    <w:p w14:paraId="3071B4EF">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A644F34">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4A90B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89AC6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8AE651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4.2.3投标文件含有采购人不能接受的附加条件的；</w:t>
      </w:r>
    </w:p>
    <w:p w14:paraId="6025EA5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4.2.4投标文件中承诺的投标有效期少于招标文件中载明的投标有效期的；</w:t>
      </w:r>
    </w:p>
    <w:p w14:paraId="6DADFCB0">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4.2.5投标文件出现不是唯一的、有选择性投标报价的;</w:t>
      </w:r>
    </w:p>
    <w:p w14:paraId="158B5A9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4.2.6投标报价超过招标文件中规定的预算金额或者最高限价的;</w:t>
      </w:r>
    </w:p>
    <w:p w14:paraId="235A267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4.2.7报价明显低于其他通过符合性审查投标人的报价，有可能影响产品质量或者不能诚信履约的，未能按要求提供书面说明或者提交相关证明材料，不能证明其报价合理性的;</w:t>
      </w:r>
    </w:p>
    <w:p w14:paraId="6548B2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14:paraId="0EB39E9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4.2.9投标人提供虚假材料投标的；</w:t>
      </w:r>
    </w:p>
    <w:p w14:paraId="6F3BF7DA">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4.2.10投标人有恶意串通、妨碍其他投标人的竞争行为、损害采购人或者其他投标人的合法权益情形的；</w:t>
      </w:r>
    </w:p>
    <w:p w14:paraId="53FFF6B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4.2.11投标人仅提交备份投标文件，未在电子交易平台传输递交投标文件的，投标无效；</w:t>
      </w:r>
    </w:p>
    <w:p w14:paraId="3135B36F">
      <w:pPr>
        <w:pStyle w:val="6"/>
        <w:ind w:left="862" w:leftChars="205"/>
        <w:rPr>
          <w:rFonts w:ascii="宋体" w:hAnsi="宋体" w:eastAsia="宋体" w:cs="宋体"/>
          <w:b w:val="0"/>
          <w:bCs w:val="0"/>
          <w:color w:val="auto"/>
          <w:kern w:val="0"/>
          <w:sz w:val="24"/>
          <w:szCs w:val="24"/>
          <w:highlight w:val="none"/>
          <w:lang w:val="en-US"/>
        </w:rPr>
      </w:pPr>
      <w:bookmarkStart w:id="433" w:name="_Toc16784"/>
      <w:r>
        <w:rPr>
          <w:rFonts w:hint="eastAsia" w:ascii="宋体" w:hAnsi="宋体" w:eastAsia="宋体" w:cs="宋体"/>
          <w:b w:val="0"/>
          <w:bCs w:val="0"/>
          <w:color w:val="auto"/>
          <w:kern w:val="0"/>
          <w:sz w:val="24"/>
          <w:szCs w:val="24"/>
          <w:highlight w:val="none"/>
          <w:lang w:val="en-US"/>
        </w:rPr>
        <w:t>4.2.12 投标文件不满足招标文件的其它实质性要求的；</w:t>
      </w:r>
      <w:bookmarkEnd w:id="433"/>
    </w:p>
    <w:p w14:paraId="0CD09BE5">
      <w:pPr>
        <w:spacing w:line="360" w:lineRule="auto"/>
        <w:ind w:firstLine="480" w:firstLineChars="200"/>
        <w:rPr>
          <w:color w:val="auto"/>
          <w:highlight w:val="none"/>
        </w:rPr>
      </w:pPr>
      <w:r>
        <w:rPr>
          <w:rFonts w:hint="eastAsia" w:ascii="宋体" w:hAnsi="宋体" w:cs="宋体"/>
          <w:color w:val="auto"/>
          <w:kern w:val="0"/>
          <w:sz w:val="24"/>
          <w:highlight w:val="none"/>
        </w:rPr>
        <w:t>4.2.13不同投标人的投标文件出自同一终端设备或在相同Internet主机分配地址（相同IP地址）网上报名投标的作无效标处理。</w:t>
      </w:r>
    </w:p>
    <w:p w14:paraId="731CF6B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32A7E49A">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D995987">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9E814F4">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04E70A42">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AA73871">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31AB042F">
      <w:pPr>
        <w:pStyle w:val="26"/>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51C5AB9E">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CFB87EC">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D9A1926">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67CC92C">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EBAD22E">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FC66B3B">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7533009">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61"/>
    <w:p w14:paraId="4DA03177">
      <w:pPr>
        <w:rPr>
          <w:color w:val="auto"/>
          <w:highlight w:val="none"/>
        </w:rPr>
      </w:pPr>
      <w:bookmarkStart w:id="434" w:name="第五部分"/>
      <w:bookmarkStart w:id="435" w:name="_Toc86217003"/>
      <w:r>
        <w:rPr>
          <w:color w:val="auto"/>
          <w:highlight w:val="none"/>
        </w:rPr>
        <w:br w:type="page"/>
      </w:r>
    </w:p>
    <w:p w14:paraId="4C92268B">
      <w:pPr>
        <w:numPr>
          <w:ilvl w:val="0"/>
          <w:numId w:val="2"/>
        </w:numPr>
        <w:spacing w:line="360" w:lineRule="auto"/>
        <w:jc w:val="center"/>
        <w:outlineLvl w:val="0"/>
        <w:rPr>
          <w:rFonts w:ascii="宋体" w:hAnsi="宋体" w:cs="宋体"/>
          <w:b/>
          <w:color w:val="auto"/>
          <w:sz w:val="36"/>
          <w:szCs w:val="36"/>
          <w:highlight w:val="none"/>
        </w:rPr>
      </w:pPr>
      <w:bookmarkStart w:id="436" w:name="_Toc20593"/>
      <w:bookmarkStart w:id="437" w:name="_Toc12957"/>
      <w:r>
        <w:rPr>
          <w:rFonts w:hint="eastAsia" w:ascii="宋体" w:hAnsi="宋体" w:cs="宋体"/>
          <w:b/>
          <w:color w:val="auto"/>
          <w:sz w:val="36"/>
          <w:szCs w:val="36"/>
          <w:highlight w:val="none"/>
        </w:rPr>
        <w:t>拟签订的合同文本</w:t>
      </w:r>
      <w:bookmarkEnd w:id="436"/>
      <w:bookmarkEnd w:id="437"/>
    </w:p>
    <w:p w14:paraId="61F98345">
      <w:pPr>
        <w:spacing w:line="720" w:lineRule="auto"/>
        <w:jc w:val="center"/>
        <w:rPr>
          <w:b/>
          <w:color w:val="auto"/>
          <w:sz w:val="28"/>
          <w:szCs w:val="28"/>
          <w:highlight w:val="none"/>
        </w:rPr>
      </w:pPr>
      <w:r>
        <w:rPr>
          <w:rFonts w:hint="eastAsia"/>
          <w:b/>
          <w:color w:val="auto"/>
          <w:sz w:val="28"/>
          <w:szCs w:val="28"/>
          <w:highlight w:val="none"/>
        </w:rPr>
        <w:t>合同协议书</w:t>
      </w:r>
    </w:p>
    <w:p w14:paraId="0CD0FC40">
      <w:pPr>
        <w:spacing w:line="42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项目编号：</w:t>
      </w:r>
      <w:r>
        <w:rPr>
          <w:rFonts w:hint="eastAsia" w:ascii="宋体" w:hAnsi="宋体" w:eastAsia="宋体" w:cs="宋体"/>
          <w:color w:val="auto"/>
          <w:sz w:val="24"/>
          <w:szCs w:val="24"/>
          <w:highlight w:val="none"/>
          <w:u w:val="single"/>
        </w:rPr>
        <w:t xml:space="preserve">                 </w:t>
      </w:r>
    </w:p>
    <w:p w14:paraId="2B8B9DFC">
      <w:pPr>
        <w:spacing w:line="420" w:lineRule="exact"/>
        <w:rPr>
          <w:rFonts w:hint="eastAsia" w:ascii="宋体" w:hAnsi="宋体" w:eastAsia="宋体" w:cs="宋体"/>
          <w:color w:val="auto"/>
          <w:sz w:val="24"/>
          <w:szCs w:val="24"/>
          <w:highlight w:val="none"/>
        </w:rPr>
      </w:pPr>
    </w:p>
    <w:p w14:paraId="17106B17">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w:t>
      </w:r>
    </w:p>
    <w:p w14:paraId="7DFC7FEE">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p>
    <w:p w14:paraId="547441FA">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1D9C2E6">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甲、乙双方根据</w:t>
      </w:r>
      <w:r>
        <w:rPr>
          <w:rFonts w:hint="eastAsia" w:ascii="宋体" w:hAnsi="宋体" w:eastAsia="宋体" w:cs="宋体"/>
          <w:color w:val="auto"/>
          <w:sz w:val="24"/>
          <w:szCs w:val="24"/>
          <w:highlight w:val="none"/>
          <w:u w:val="single"/>
        </w:rPr>
        <w:t xml:space="preserve">                政府采购项目</w:t>
      </w:r>
      <w:r>
        <w:rPr>
          <w:rFonts w:hint="eastAsia" w:ascii="宋体" w:hAnsi="宋体" w:eastAsia="宋体" w:cs="宋体"/>
          <w:color w:val="auto"/>
          <w:sz w:val="24"/>
          <w:szCs w:val="24"/>
          <w:highlight w:val="none"/>
        </w:rPr>
        <w:t>的招标结果，签署本合同。</w:t>
      </w:r>
    </w:p>
    <w:p w14:paraId="2369C668">
      <w:pPr>
        <w:spacing w:line="420" w:lineRule="exact"/>
        <w:rPr>
          <w:rFonts w:hint="eastAsia" w:ascii="宋体" w:hAnsi="宋体" w:eastAsia="宋体" w:cs="宋体"/>
          <w:color w:val="auto"/>
          <w:sz w:val="24"/>
          <w:szCs w:val="24"/>
          <w:highlight w:val="none"/>
        </w:rPr>
      </w:pPr>
    </w:p>
    <w:p w14:paraId="44419759">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一、服务内容</w:t>
      </w:r>
    </w:p>
    <w:p w14:paraId="36195FD8">
      <w:pPr>
        <w:spacing w:line="420" w:lineRule="exact"/>
        <w:rPr>
          <w:rFonts w:hint="eastAsia" w:ascii="宋体" w:hAnsi="宋体" w:eastAsia="宋体" w:cs="宋体"/>
          <w:color w:val="auto"/>
          <w:sz w:val="24"/>
          <w:szCs w:val="24"/>
          <w:highlight w:val="none"/>
        </w:rPr>
      </w:pPr>
    </w:p>
    <w:p w14:paraId="41B440C4">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二、合同金额</w:t>
      </w:r>
    </w:p>
    <w:p w14:paraId="22A1F5AD">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本合同金额为（大写）：_____________元（￥_______________元）人民币。</w:t>
      </w:r>
    </w:p>
    <w:p w14:paraId="08D8C21D">
      <w:pPr>
        <w:spacing w:line="420" w:lineRule="exact"/>
        <w:rPr>
          <w:rFonts w:hint="eastAsia" w:ascii="宋体" w:hAnsi="宋体" w:eastAsia="宋体" w:cs="宋体"/>
          <w:color w:val="auto"/>
          <w:sz w:val="24"/>
          <w:szCs w:val="24"/>
          <w:highlight w:val="none"/>
        </w:rPr>
      </w:pPr>
    </w:p>
    <w:p w14:paraId="41372049">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三、技术资料</w:t>
      </w:r>
    </w:p>
    <w:p w14:paraId="555743F4">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1.乙方应按采购文件规定的时间向甲方提供有关技术资料。</w:t>
      </w:r>
    </w:p>
    <w:p w14:paraId="3E47BF8D">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0EE114D">
      <w:pPr>
        <w:spacing w:line="420" w:lineRule="exact"/>
        <w:rPr>
          <w:rFonts w:hint="eastAsia" w:ascii="宋体" w:hAnsi="宋体" w:eastAsia="宋体" w:cs="宋体"/>
          <w:color w:val="auto"/>
          <w:sz w:val="24"/>
          <w:szCs w:val="24"/>
          <w:highlight w:val="none"/>
        </w:rPr>
      </w:pPr>
    </w:p>
    <w:p w14:paraId="688F5046">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四、知识产权</w:t>
      </w:r>
    </w:p>
    <w:p w14:paraId="20A8FF5F">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乙方应保证提供服务过程中不会侵犯任何第三方的知识产权。</w:t>
      </w:r>
    </w:p>
    <w:p w14:paraId="7BAB893B">
      <w:pPr>
        <w:spacing w:line="420" w:lineRule="exact"/>
        <w:rPr>
          <w:rFonts w:hint="eastAsia" w:ascii="宋体" w:hAnsi="宋体" w:eastAsia="宋体" w:cs="宋体"/>
          <w:color w:val="auto"/>
          <w:sz w:val="24"/>
          <w:szCs w:val="24"/>
          <w:highlight w:val="none"/>
        </w:rPr>
      </w:pPr>
    </w:p>
    <w:p w14:paraId="6AA2DFC9">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五、履约保证金（如有）</w:t>
      </w:r>
    </w:p>
    <w:p w14:paraId="43C34BCD">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乙方交纳人民币</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元作为本合同的履约保证金。</w:t>
      </w:r>
    </w:p>
    <w:p w14:paraId="2C45468A">
      <w:pPr>
        <w:spacing w:line="420" w:lineRule="exact"/>
        <w:rPr>
          <w:rFonts w:hint="eastAsia" w:ascii="宋体" w:hAnsi="宋体" w:eastAsia="宋体" w:cs="宋体"/>
          <w:color w:val="auto"/>
          <w:sz w:val="24"/>
          <w:szCs w:val="24"/>
          <w:highlight w:val="none"/>
        </w:rPr>
      </w:pPr>
    </w:p>
    <w:p w14:paraId="5474B186">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六、转包或分包</w:t>
      </w:r>
    </w:p>
    <w:p w14:paraId="507FD24C">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1.本合同范围的服务，应由乙方直接供应，不得转让他人供应；</w:t>
      </w:r>
    </w:p>
    <w:p w14:paraId="121D1975">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除非得到甲方的书面同意，乙方不得将本合同范围的服务全部或部分分包给他人供应；</w:t>
      </w:r>
    </w:p>
    <w:p w14:paraId="6536A299">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3.如有转让和未经甲方同意的分包行为，甲方有权解除合同，没收履约保证金并追究乙方的违约责任。</w:t>
      </w:r>
    </w:p>
    <w:p w14:paraId="44709908">
      <w:pPr>
        <w:spacing w:line="420" w:lineRule="exact"/>
        <w:rPr>
          <w:rFonts w:hint="eastAsia" w:ascii="宋体" w:hAnsi="宋体" w:eastAsia="宋体" w:cs="宋体"/>
          <w:color w:val="auto"/>
          <w:sz w:val="24"/>
          <w:szCs w:val="24"/>
          <w:highlight w:val="none"/>
        </w:rPr>
      </w:pPr>
    </w:p>
    <w:p w14:paraId="06CE04B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、合同履行时间、履行地点</w:t>
      </w:r>
    </w:p>
    <w:p w14:paraId="63B2E39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履行时间：</w:t>
      </w:r>
    </w:p>
    <w:p w14:paraId="59E76B0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履行地点：</w:t>
      </w:r>
    </w:p>
    <w:p w14:paraId="6464DB15">
      <w:pPr>
        <w:spacing w:line="420" w:lineRule="exact"/>
        <w:rPr>
          <w:rFonts w:hint="eastAsia" w:ascii="宋体" w:hAnsi="宋体" w:eastAsia="宋体" w:cs="宋体"/>
          <w:color w:val="auto"/>
          <w:sz w:val="24"/>
          <w:szCs w:val="24"/>
          <w:highlight w:val="none"/>
        </w:rPr>
      </w:pPr>
    </w:p>
    <w:p w14:paraId="6B31E48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、款项支付</w:t>
      </w:r>
    </w:p>
    <w:p w14:paraId="23CD079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付款方式：</w:t>
      </w:r>
    </w:p>
    <w:p w14:paraId="1D2DF84A">
      <w:pPr>
        <w:spacing w:line="420" w:lineRule="exact"/>
        <w:rPr>
          <w:rFonts w:hint="eastAsia" w:ascii="宋体" w:hAnsi="宋体" w:eastAsia="宋体" w:cs="宋体"/>
          <w:color w:val="auto"/>
          <w:sz w:val="24"/>
          <w:szCs w:val="24"/>
          <w:highlight w:val="none"/>
        </w:rPr>
      </w:pPr>
    </w:p>
    <w:p w14:paraId="2F315EA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、税费</w:t>
      </w:r>
    </w:p>
    <w:p w14:paraId="311E333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3D09F64B">
      <w:pPr>
        <w:spacing w:line="420" w:lineRule="exact"/>
        <w:rPr>
          <w:rFonts w:hint="eastAsia" w:ascii="宋体" w:hAnsi="宋体" w:eastAsia="宋体" w:cs="宋体"/>
          <w:color w:val="auto"/>
          <w:sz w:val="24"/>
          <w:szCs w:val="24"/>
          <w:highlight w:val="none"/>
        </w:rPr>
      </w:pPr>
    </w:p>
    <w:p w14:paraId="2A4333A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十、质量保证及后续服务</w:t>
      </w:r>
    </w:p>
    <w:p w14:paraId="1032FBE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1．乙方应按采购文件规定向甲方提供服务。</w:t>
      </w:r>
    </w:p>
    <w:p w14:paraId="35855DD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2．乙方提供的服务成果在服务质量保证期内发生故障，乙方应负责免费提供后续服务。对达不到要求者，根据实际情况，经双方协商，可按以下办法处理：</w:t>
      </w:r>
    </w:p>
    <w:p w14:paraId="7FB7141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⑴重做：由乙方承担所发生的全部费用。</w:t>
      </w:r>
    </w:p>
    <w:p w14:paraId="11DB8A4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⑵贬值处理：由甲乙双方合议定价。</w:t>
      </w:r>
    </w:p>
    <w:p w14:paraId="634DE35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⑶解除合同。</w:t>
      </w:r>
    </w:p>
    <w:p w14:paraId="2A7E1EE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如在使用过程中发生问题，乙方在接到甲方通知后在△小时内到达甲方现场。</w:t>
      </w:r>
    </w:p>
    <w:p w14:paraId="41A3778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4．在服务质量保证期内，乙方应对出现的质量及安全问题负责处理解决并承担</w:t>
      </w:r>
    </w:p>
    <w:p w14:paraId="0E72513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一切费用。</w:t>
      </w:r>
    </w:p>
    <w:p w14:paraId="25E71C6C">
      <w:pPr>
        <w:spacing w:line="420" w:lineRule="exact"/>
        <w:rPr>
          <w:rFonts w:hint="eastAsia" w:ascii="宋体" w:hAnsi="宋体" w:eastAsia="宋体" w:cs="宋体"/>
          <w:color w:val="auto"/>
          <w:sz w:val="24"/>
          <w:szCs w:val="24"/>
          <w:highlight w:val="none"/>
        </w:rPr>
      </w:pPr>
    </w:p>
    <w:p w14:paraId="0E2F6C9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、违约责任</w:t>
      </w:r>
    </w:p>
    <w:p w14:paraId="06B4394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1．甲方无正当理由拒收接受服务的，甲方向乙方偿付合同款项百分之五作为违约金。</w:t>
      </w:r>
    </w:p>
    <w:p w14:paraId="7EF2E03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甲方无故逾期验收和办理款项支付手续的,甲方应按逾期付款总额每日万分之五向乙方支付违约金。</w:t>
      </w:r>
    </w:p>
    <w:p w14:paraId="7124004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63026BE6">
      <w:pPr>
        <w:spacing w:line="420" w:lineRule="exact"/>
        <w:rPr>
          <w:rFonts w:hint="eastAsia" w:ascii="宋体" w:hAnsi="宋体" w:eastAsia="宋体" w:cs="宋体"/>
          <w:color w:val="auto"/>
          <w:sz w:val="24"/>
          <w:szCs w:val="24"/>
          <w:highlight w:val="none"/>
        </w:rPr>
      </w:pPr>
    </w:p>
    <w:p w14:paraId="597931E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、不可抗力事件处理</w:t>
      </w:r>
    </w:p>
    <w:p w14:paraId="4269478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65B3ABF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631AABD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3．不可抗力事件延续120天以上，双方应通过友好协商，确定是否继续履行合同。</w:t>
      </w:r>
    </w:p>
    <w:p w14:paraId="1949DCBE">
      <w:pPr>
        <w:spacing w:line="420" w:lineRule="exact"/>
        <w:rPr>
          <w:rFonts w:hint="eastAsia" w:ascii="宋体" w:hAnsi="宋体" w:eastAsia="宋体" w:cs="宋体"/>
          <w:color w:val="auto"/>
          <w:sz w:val="24"/>
          <w:szCs w:val="24"/>
          <w:highlight w:val="none"/>
        </w:rPr>
      </w:pPr>
    </w:p>
    <w:p w14:paraId="78EB4F5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、诉讼</w:t>
      </w:r>
    </w:p>
    <w:p w14:paraId="415A481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双方在执行合同中所发生的一切争议，应通过协商解决。如协商不成，可向甲方所在地法院起诉。</w:t>
      </w:r>
    </w:p>
    <w:p w14:paraId="7377F3E6">
      <w:pPr>
        <w:spacing w:line="420" w:lineRule="exact"/>
        <w:rPr>
          <w:rFonts w:hint="eastAsia" w:ascii="宋体" w:hAnsi="宋体" w:eastAsia="宋体" w:cs="宋体"/>
          <w:color w:val="auto"/>
          <w:sz w:val="24"/>
          <w:szCs w:val="24"/>
          <w:highlight w:val="none"/>
        </w:rPr>
      </w:pPr>
    </w:p>
    <w:p w14:paraId="48C3289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、合同生效及其它</w:t>
      </w:r>
    </w:p>
    <w:p w14:paraId="5F6E58F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1．合同经双方法定代表人或授权代表签字并加盖单位公章后生效。</w:t>
      </w:r>
    </w:p>
    <w:p w14:paraId="6FD85F8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2．合同执行中涉及采购资金和采购内容修改或补充的，须经财政部门审批，并签</w:t>
      </w:r>
      <w:r>
        <w:rPr>
          <w:rFonts w:hint="eastAsia" w:ascii="宋体" w:hAnsi="宋体" w:cs="宋体"/>
          <w:color w:val="auto"/>
          <w:sz w:val="24"/>
          <w:szCs w:val="24"/>
          <w:highlight w:val="none"/>
          <w:lang w:val="en-US" w:eastAsia="zh-CN"/>
        </w:rPr>
        <w:t>订</w:t>
      </w:r>
      <w:r>
        <w:rPr>
          <w:rFonts w:hint="eastAsia" w:ascii="宋体" w:hAnsi="宋体" w:eastAsia="宋体" w:cs="宋体"/>
          <w:color w:val="auto"/>
          <w:sz w:val="24"/>
          <w:szCs w:val="24"/>
          <w:highlight w:val="none"/>
        </w:rPr>
        <w:t>书面补充协议报政府采购监督管理部门备案，方可作为主合同不可分割的一部分。</w:t>
      </w:r>
    </w:p>
    <w:p w14:paraId="0DBD621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3．本合同未尽事宜，遵照《民法典》有关条文执行。</w:t>
      </w:r>
    </w:p>
    <w:p w14:paraId="2E757DC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4．本合同正本一式</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份，具有同等法律效力，甲乙双方各执</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份，(用途)。</w:t>
      </w:r>
    </w:p>
    <w:p w14:paraId="3FB41F11">
      <w:pPr>
        <w:spacing w:line="420" w:lineRule="exact"/>
        <w:ind w:firstLine="240" w:firstLineChars="100"/>
        <w:rPr>
          <w:rFonts w:hint="eastAsia" w:ascii="宋体" w:hAnsi="宋体" w:eastAsia="宋体" w:cs="宋体"/>
          <w:color w:val="auto"/>
          <w:sz w:val="24"/>
          <w:szCs w:val="24"/>
          <w:highlight w:val="none"/>
        </w:rPr>
      </w:pPr>
    </w:p>
    <w:p w14:paraId="6D1A81CD">
      <w:pPr>
        <w:pStyle w:val="459"/>
        <w:spacing w:before="120" w:after="120"/>
        <w:rPr>
          <w:rFonts w:hint="eastAsia" w:ascii="宋体" w:hAnsi="宋体" w:eastAsia="宋体" w:cs="宋体"/>
          <w:color w:val="auto"/>
          <w:sz w:val="24"/>
          <w:szCs w:val="24"/>
          <w:highlight w:val="none"/>
        </w:rPr>
      </w:pPr>
    </w:p>
    <w:p w14:paraId="62E5FB39">
      <w:pPr>
        <w:pStyle w:val="26"/>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乙方： </w:t>
      </w:r>
    </w:p>
    <w:p w14:paraId="3467826E">
      <w:pPr>
        <w:pStyle w:val="26"/>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地址： </w:t>
      </w:r>
    </w:p>
    <w:p w14:paraId="27EB8740">
      <w:pPr>
        <w:pStyle w:val="26"/>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法定（授权）代表人：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法定（授权）代表人：</w:t>
      </w:r>
    </w:p>
    <w:p w14:paraId="22A4603B">
      <w:pPr>
        <w:pStyle w:val="26"/>
        <w:spacing w:line="360" w:lineRule="auto"/>
        <w:ind w:firstLine="0"/>
        <w:rPr>
          <w:rFonts w:hint="eastAsia" w:ascii="宋体" w:hAnsi="宋体"/>
          <w:color w:val="auto"/>
          <w:sz w:val="24"/>
          <w:szCs w:val="24"/>
          <w:highlight w:val="none"/>
        </w:rPr>
      </w:pPr>
      <w:r>
        <w:rPr>
          <w:rFonts w:hint="eastAsia" w:ascii="宋体" w:hAnsi="宋体" w:eastAsia="宋体" w:cs="宋体"/>
          <w:color w:val="auto"/>
          <w:sz w:val="24"/>
          <w:szCs w:val="24"/>
          <w:highlight w:val="none"/>
        </w:rPr>
        <w:t xml:space="preserve">日期：      年  月  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      年  月  日</w:t>
      </w:r>
    </w:p>
    <w:p w14:paraId="14B70BC0">
      <w:pPr>
        <w:pStyle w:val="3"/>
        <w:ind w:firstLine="0"/>
        <w:rPr>
          <w:color w:val="auto"/>
          <w:highlight w:val="none"/>
        </w:rPr>
      </w:pPr>
    </w:p>
    <w:p w14:paraId="02C8891B">
      <w:pPr>
        <w:rPr>
          <w:rFonts w:ascii="宋体" w:hAnsi="宋体" w:cs="宋体"/>
          <w:b/>
          <w:color w:val="auto"/>
          <w:sz w:val="36"/>
          <w:szCs w:val="20"/>
          <w:highlight w:val="none"/>
        </w:rPr>
      </w:pPr>
      <w:bookmarkStart w:id="438" w:name="_Toc12182"/>
      <w:bookmarkStart w:id="439" w:name="_Toc14949"/>
      <w:r>
        <w:rPr>
          <w:rFonts w:hint="eastAsia" w:ascii="宋体" w:hAnsi="宋体" w:cs="宋体"/>
          <w:b/>
          <w:color w:val="auto"/>
          <w:sz w:val="36"/>
          <w:szCs w:val="20"/>
          <w:highlight w:val="none"/>
        </w:rPr>
        <w:br w:type="page"/>
      </w:r>
    </w:p>
    <w:p w14:paraId="3E3E3C0B">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34"/>
      <w:r>
        <w:rPr>
          <w:rFonts w:hint="eastAsia" w:ascii="宋体" w:hAnsi="宋体" w:cs="宋体"/>
          <w:b/>
          <w:color w:val="auto"/>
          <w:sz w:val="36"/>
          <w:szCs w:val="20"/>
          <w:highlight w:val="none"/>
        </w:rPr>
        <w:t xml:space="preserve"> </w:t>
      </w:r>
      <w:bookmarkEnd w:id="435"/>
      <w:r>
        <w:rPr>
          <w:rFonts w:hint="eastAsia" w:ascii="宋体" w:hAnsi="宋体" w:cs="宋体"/>
          <w:b/>
          <w:color w:val="auto"/>
          <w:sz w:val="36"/>
          <w:szCs w:val="20"/>
          <w:highlight w:val="none"/>
        </w:rPr>
        <w:t>应提交的有关格式范例</w:t>
      </w:r>
      <w:bookmarkEnd w:id="438"/>
      <w:bookmarkEnd w:id="439"/>
    </w:p>
    <w:p w14:paraId="28A21034">
      <w:pPr>
        <w:spacing w:line="360" w:lineRule="auto"/>
        <w:jc w:val="center"/>
        <w:rPr>
          <w:rFonts w:ascii="宋体" w:hAnsi="宋体" w:cs="宋体"/>
          <w:b/>
          <w:color w:val="auto"/>
          <w:kern w:val="0"/>
          <w:sz w:val="36"/>
          <w:szCs w:val="36"/>
          <w:highlight w:val="none"/>
        </w:rPr>
      </w:pPr>
    </w:p>
    <w:p w14:paraId="06E23794">
      <w:pPr>
        <w:spacing w:line="360" w:lineRule="auto"/>
        <w:jc w:val="center"/>
        <w:outlineLvl w:val="1"/>
        <w:rPr>
          <w:rFonts w:ascii="宋体" w:hAnsi="宋体" w:cs="宋体"/>
          <w:b/>
          <w:color w:val="auto"/>
          <w:kern w:val="0"/>
          <w:sz w:val="36"/>
          <w:szCs w:val="36"/>
          <w:highlight w:val="none"/>
        </w:rPr>
      </w:pPr>
      <w:bookmarkStart w:id="440" w:name="_Toc29848"/>
      <w:r>
        <w:rPr>
          <w:rFonts w:hint="eastAsia" w:ascii="宋体" w:hAnsi="宋体" w:cs="宋体"/>
          <w:b/>
          <w:color w:val="auto"/>
          <w:kern w:val="0"/>
          <w:sz w:val="36"/>
          <w:szCs w:val="36"/>
          <w:highlight w:val="none"/>
        </w:rPr>
        <w:t>资格文件部分</w:t>
      </w:r>
      <w:bookmarkEnd w:id="440"/>
    </w:p>
    <w:p w14:paraId="7ECED93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一、有效的企业法人营业执照（或事业法人登记证）、其他组织（个体工商户）的营业执照或者民办非企业单位登记证书 </w:t>
      </w:r>
    </w:p>
    <w:p w14:paraId="6779DC40">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28C5EB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二、符合参加政府采购活动应当具备的一般条件的承诺函</w:t>
      </w:r>
    </w:p>
    <w:p w14:paraId="6D020D57">
      <w:pPr>
        <w:snapToGrid w:val="0"/>
        <w:spacing w:line="360" w:lineRule="auto"/>
        <w:rPr>
          <w:rFonts w:ascii="宋体" w:hAnsi="宋体" w:cs="宋体"/>
          <w:color w:val="auto"/>
          <w:sz w:val="24"/>
          <w:highlight w:val="none"/>
        </w:rPr>
      </w:pPr>
    </w:p>
    <w:p w14:paraId="7F19EA0A">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7458AA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宁波市北仑区人民医院标本检测外送项目（特殊检验）</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项目编号：CBNB-20251049-BL004G</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政府采购活动，郑重承诺：</w:t>
      </w:r>
    </w:p>
    <w:p w14:paraId="4C4ACF8E">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071E7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496AA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E1B99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B6924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6DEE7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6AA36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05C67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645416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F2B2E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20274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1076C89">
      <w:pPr>
        <w:snapToGrid w:val="0"/>
        <w:spacing w:line="360" w:lineRule="auto"/>
        <w:ind w:firstLine="5520" w:firstLineChars="2300"/>
        <w:rPr>
          <w:rFonts w:ascii="宋体" w:hAnsi="宋体" w:cs="宋体"/>
          <w:color w:val="auto"/>
          <w:kern w:val="0"/>
          <w:sz w:val="24"/>
          <w:highlight w:val="none"/>
          <w:lang w:val="zh-CN"/>
        </w:rPr>
      </w:pPr>
    </w:p>
    <w:p w14:paraId="60263C96">
      <w:pPr>
        <w:snapToGrid w:val="0"/>
        <w:spacing w:line="360" w:lineRule="auto"/>
        <w:ind w:firstLine="5520" w:firstLineChars="2300"/>
        <w:rPr>
          <w:rFonts w:ascii="宋体" w:hAnsi="宋体" w:cs="宋体"/>
          <w:color w:val="auto"/>
          <w:kern w:val="0"/>
          <w:sz w:val="24"/>
          <w:highlight w:val="none"/>
          <w:lang w:val="zh-CN"/>
        </w:rPr>
      </w:pPr>
    </w:p>
    <w:p w14:paraId="1C9A8F96">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rPr>
        <w:t>电子签章</w:t>
      </w:r>
      <w:r>
        <w:rPr>
          <w:rFonts w:hint="eastAsia" w:ascii="宋体" w:hAnsi="宋体" w:cs="宋体"/>
          <w:color w:val="auto"/>
          <w:kern w:val="0"/>
          <w:sz w:val="24"/>
          <w:highlight w:val="none"/>
          <w:lang w:val="zh-CN"/>
        </w:rPr>
        <w:t>)：</w:t>
      </w:r>
    </w:p>
    <w:p w14:paraId="4A05779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7381080">
      <w:pPr>
        <w:snapToGrid w:val="0"/>
        <w:spacing w:line="360" w:lineRule="auto"/>
        <w:ind w:right="480"/>
        <w:jc w:val="center"/>
        <w:rPr>
          <w:rFonts w:ascii="宋体" w:hAnsi="宋体" w:cs="宋体"/>
          <w:b/>
          <w:color w:val="auto"/>
          <w:kern w:val="0"/>
          <w:sz w:val="32"/>
          <w:szCs w:val="32"/>
          <w:highlight w:val="none"/>
        </w:rPr>
      </w:pPr>
    </w:p>
    <w:p w14:paraId="7757D416">
      <w:pPr>
        <w:snapToGrid w:val="0"/>
        <w:spacing w:line="360" w:lineRule="auto"/>
        <w:ind w:right="480"/>
        <w:jc w:val="center"/>
        <w:rPr>
          <w:rFonts w:ascii="宋体" w:hAnsi="宋体" w:cs="宋体"/>
          <w:b/>
          <w:color w:val="auto"/>
          <w:kern w:val="0"/>
          <w:sz w:val="32"/>
          <w:szCs w:val="32"/>
          <w:highlight w:val="none"/>
        </w:rPr>
      </w:pPr>
    </w:p>
    <w:p w14:paraId="1F1A45C8">
      <w:pPr>
        <w:snapToGrid w:val="0"/>
        <w:spacing w:line="360" w:lineRule="auto"/>
        <w:ind w:right="480"/>
        <w:jc w:val="center"/>
        <w:rPr>
          <w:rFonts w:ascii="宋体" w:hAnsi="宋体" w:cs="宋体"/>
          <w:b/>
          <w:color w:val="auto"/>
          <w:kern w:val="0"/>
          <w:sz w:val="32"/>
          <w:szCs w:val="32"/>
          <w:highlight w:val="none"/>
        </w:rPr>
      </w:pPr>
    </w:p>
    <w:p w14:paraId="0C44DF50">
      <w:pPr>
        <w:rPr>
          <w:rFonts w:ascii="宋体" w:hAnsi="宋体" w:cs="宋体"/>
          <w:color w:val="auto"/>
          <w:highlight w:val="none"/>
        </w:rPr>
      </w:pPr>
    </w:p>
    <w:p w14:paraId="79188CE1">
      <w:pPr>
        <w:snapToGrid w:val="0"/>
        <w:spacing w:line="360" w:lineRule="auto"/>
        <w:ind w:right="480"/>
        <w:jc w:val="center"/>
        <w:rPr>
          <w:rFonts w:ascii="宋体" w:hAnsi="宋体" w:cs="宋体"/>
          <w:b/>
          <w:color w:val="auto"/>
          <w:kern w:val="0"/>
          <w:sz w:val="32"/>
          <w:szCs w:val="32"/>
          <w:highlight w:val="none"/>
        </w:rPr>
      </w:pPr>
    </w:p>
    <w:p w14:paraId="05A1169D">
      <w:pPr>
        <w:snapToGrid w:val="0"/>
        <w:spacing w:line="360" w:lineRule="auto"/>
        <w:ind w:right="480"/>
        <w:jc w:val="center"/>
        <w:rPr>
          <w:rFonts w:ascii="宋体" w:hAnsi="宋体" w:cs="宋体"/>
          <w:b/>
          <w:color w:val="auto"/>
          <w:kern w:val="0"/>
          <w:sz w:val="32"/>
          <w:szCs w:val="32"/>
          <w:highlight w:val="none"/>
        </w:rPr>
      </w:pPr>
    </w:p>
    <w:p w14:paraId="5BE39F8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三、联合协议（如适用）</w:t>
      </w:r>
    </w:p>
    <w:p w14:paraId="7ED7259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[以联合体形式投标的，提供联合协议（附件3）；本项目不接受联合体投标或者投标人不以联合体形式投标的，则不需要提供]</w:t>
      </w:r>
    </w:p>
    <w:p w14:paraId="3D2F750F">
      <w:pPr>
        <w:snapToGrid w:val="0"/>
        <w:spacing w:line="360" w:lineRule="auto"/>
        <w:ind w:right="480"/>
        <w:jc w:val="center"/>
        <w:rPr>
          <w:rFonts w:ascii="宋体" w:hAnsi="宋体" w:cs="宋体"/>
          <w:b/>
          <w:color w:val="auto"/>
          <w:kern w:val="0"/>
          <w:sz w:val="32"/>
          <w:szCs w:val="32"/>
          <w:highlight w:val="none"/>
        </w:rPr>
      </w:pPr>
    </w:p>
    <w:p w14:paraId="4F8182A5">
      <w:pPr>
        <w:snapToGrid w:val="0"/>
        <w:spacing w:line="360" w:lineRule="auto"/>
        <w:ind w:right="480"/>
        <w:jc w:val="center"/>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四、落实政府采购政策需满足的资格要求</w:t>
      </w:r>
      <w:r>
        <w:rPr>
          <w:rFonts w:hint="eastAsia" w:ascii="宋体" w:hAnsi="宋体" w:cs="宋体"/>
          <w:b/>
          <w:color w:val="auto"/>
          <w:kern w:val="0"/>
          <w:sz w:val="32"/>
          <w:szCs w:val="32"/>
          <w:highlight w:val="none"/>
          <w:lang w:eastAsia="zh-CN"/>
        </w:rPr>
        <w:t>（</w:t>
      </w:r>
      <w:r>
        <w:rPr>
          <w:rFonts w:hint="eastAsia" w:ascii="宋体" w:hAnsi="宋体" w:cs="宋体"/>
          <w:b/>
          <w:color w:val="auto"/>
          <w:kern w:val="0"/>
          <w:sz w:val="32"/>
          <w:szCs w:val="32"/>
          <w:highlight w:val="none"/>
          <w:lang w:val="en-US" w:eastAsia="zh-CN"/>
        </w:rPr>
        <w:t>本项目不适用</w:t>
      </w:r>
      <w:r>
        <w:rPr>
          <w:rFonts w:hint="eastAsia" w:ascii="宋体" w:hAnsi="宋体" w:cs="宋体"/>
          <w:b/>
          <w:color w:val="auto"/>
          <w:kern w:val="0"/>
          <w:sz w:val="32"/>
          <w:szCs w:val="32"/>
          <w:highlight w:val="none"/>
          <w:lang w:eastAsia="zh-CN"/>
        </w:rPr>
        <w:t>）</w:t>
      </w:r>
    </w:p>
    <w:p w14:paraId="0996833A">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FFB95A0">
      <w:pPr>
        <w:snapToGrid w:val="0"/>
        <w:spacing w:before="50" w:after="50" w:line="360" w:lineRule="auto"/>
        <w:ind w:firstLine="470" w:firstLineChars="196"/>
        <w:jc w:val="left"/>
        <w:rPr>
          <w:rFonts w:ascii="宋体" w:hAnsi="宋体" w:cs="宋体"/>
          <w:bCs/>
          <w:color w:val="auto"/>
          <w:sz w:val="24"/>
          <w:highlight w:val="none"/>
        </w:rPr>
      </w:pPr>
      <w:r>
        <w:rPr>
          <w:rFonts w:hint="eastAsia" w:ascii="宋体" w:hAnsi="宋体" w:cs="宋体"/>
          <w:bCs/>
          <w:color w:val="auto"/>
          <w:sz w:val="24"/>
          <w:highlight w:val="none"/>
        </w:rPr>
        <w:t xml:space="preserve">A.专门面向中小企业，货物全部由符合政策要求的中小企业（或小微企业）制造的，提供相应的中小企业声明函（附件5）。 </w:t>
      </w:r>
    </w:p>
    <w:p w14:paraId="10A42EBD">
      <w:pPr>
        <w:widowControl/>
        <w:spacing w:line="360" w:lineRule="auto"/>
        <w:ind w:firstLine="480"/>
        <w:jc w:val="left"/>
        <w:rPr>
          <w:rFonts w:ascii="宋体" w:hAnsi="宋体" w:cs="宋体"/>
          <w:bCs/>
          <w:color w:val="auto"/>
          <w:sz w:val="24"/>
          <w:highlight w:val="none"/>
        </w:rPr>
      </w:pPr>
    </w:p>
    <w:p w14:paraId="3F41FDC8">
      <w:pPr>
        <w:widowControl/>
        <w:spacing w:line="360" w:lineRule="auto"/>
        <w:ind w:firstLine="470" w:firstLineChars="196"/>
        <w:jc w:val="left"/>
        <w:rPr>
          <w:rFonts w:ascii="宋体" w:hAnsi="宋体" w:cs="宋体"/>
          <w:bCs/>
          <w:color w:val="auto"/>
          <w:sz w:val="24"/>
          <w:highlight w:val="none"/>
        </w:rPr>
      </w:pPr>
      <w:r>
        <w:rPr>
          <w:rFonts w:hint="eastAsia" w:ascii="宋体" w:hAnsi="宋体" w:cs="宋体"/>
          <w:bCs/>
          <w:color w:val="auto"/>
          <w:sz w:val="24"/>
          <w:highlight w:val="none"/>
        </w:rPr>
        <w:t>B.要求以联合体形式参加的，提供联合协议（附件3）和中小企业声明函（附件5），联合协议中中小企业合同金额应当达到招标公告载明的比例；如果供应商本身提供所有标的均由中小企业制造的，</w:t>
      </w:r>
      <w:r>
        <w:rPr>
          <w:rFonts w:hint="eastAsia" w:ascii="宋体" w:hAnsi="宋体" w:cs="宋体"/>
          <w:bCs/>
          <w:color w:val="auto"/>
          <w:spacing w:val="8"/>
          <w:kern w:val="0"/>
          <w:sz w:val="24"/>
          <w:highlight w:val="none"/>
        </w:rPr>
        <w:t>并相应达到了前述比例要求，</w:t>
      </w:r>
      <w:r>
        <w:rPr>
          <w:rFonts w:hint="eastAsia" w:ascii="宋体" w:hAnsi="宋体" w:cs="宋体"/>
          <w:bCs/>
          <w:color w:val="auto"/>
          <w:sz w:val="24"/>
          <w:highlight w:val="none"/>
        </w:rPr>
        <w:t>视同符合了资格条件，无需再与其他中小企业组成联合体参加政府采购活动，无需提供联合协议。</w:t>
      </w:r>
    </w:p>
    <w:p w14:paraId="3C722560">
      <w:pPr>
        <w:snapToGrid w:val="0"/>
        <w:spacing w:before="50" w:after="50" w:line="360" w:lineRule="auto"/>
        <w:jc w:val="center"/>
        <w:rPr>
          <w:rFonts w:ascii="宋体" w:hAnsi="宋体" w:cs="宋体"/>
          <w:bCs/>
          <w:color w:val="auto"/>
          <w:sz w:val="24"/>
          <w:highlight w:val="none"/>
        </w:rPr>
      </w:pPr>
      <w:r>
        <w:rPr>
          <w:rFonts w:hint="eastAsia" w:ascii="宋体" w:hAnsi="宋体" w:cs="宋体"/>
          <w:bCs/>
          <w:color w:val="auto"/>
          <w:sz w:val="24"/>
          <w:highlight w:val="none"/>
        </w:rPr>
        <w:t xml:space="preserve">    </w:t>
      </w:r>
    </w:p>
    <w:p w14:paraId="474ECEF4">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C、要求合同分包的，提供分包意向协议（附件4）和中小企业声明函（附件5），分包意向协议中中小企业合同金额应当达到招标公告载明的比例；如果供应商本身提供所有标的均由中小企业制造的，</w:t>
      </w:r>
      <w:r>
        <w:rPr>
          <w:rFonts w:hint="eastAsia" w:ascii="宋体" w:hAnsi="宋体" w:cs="宋体"/>
          <w:bCs/>
          <w:color w:val="auto"/>
          <w:spacing w:val="8"/>
          <w:kern w:val="0"/>
          <w:sz w:val="24"/>
          <w:highlight w:val="none"/>
        </w:rPr>
        <w:t>并相应达到了前述比例要求，</w:t>
      </w:r>
      <w:r>
        <w:rPr>
          <w:rFonts w:hint="eastAsia" w:ascii="宋体" w:hAnsi="宋体" w:cs="宋体"/>
          <w:bCs/>
          <w:color w:val="auto"/>
          <w:sz w:val="24"/>
          <w:highlight w:val="none"/>
        </w:rPr>
        <w:t>视同符合了资格条件，无需再向中小企业分包，无需提供分包意向协议。</w:t>
      </w:r>
    </w:p>
    <w:p w14:paraId="78155B6D">
      <w:pPr>
        <w:widowControl/>
        <w:spacing w:line="360" w:lineRule="auto"/>
        <w:ind w:left="150"/>
        <w:jc w:val="center"/>
        <w:rPr>
          <w:rFonts w:ascii="宋体" w:hAnsi="宋体" w:cs="宋体"/>
          <w:b/>
          <w:color w:val="auto"/>
          <w:kern w:val="0"/>
          <w:sz w:val="32"/>
          <w:szCs w:val="32"/>
          <w:highlight w:val="none"/>
        </w:rPr>
      </w:pPr>
    </w:p>
    <w:p w14:paraId="565DB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五、本项目的特定资格要求</w:t>
      </w:r>
    </w:p>
    <w:p w14:paraId="2CA10BD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A4C4889">
      <w:pPr>
        <w:rPr>
          <w:rFonts w:ascii="宋体" w:hAnsi="宋体" w:cs="宋体"/>
          <w:color w:val="auto"/>
          <w:highlight w:val="none"/>
        </w:rPr>
      </w:pPr>
    </w:p>
    <w:p w14:paraId="6D51327E">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业务专用章使用说明函</w:t>
      </w:r>
    </w:p>
    <w:p w14:paraId="17380D80">
      <w:pPr>
        <w:pStyle w:val="63"/>
        <w:ind w:left="840" w:leftChars="400" w:firstLine="0" w:firstLineChars="0"/>
        <w:jc w:val="center"/>
        <w:rPr>
          <w:bCs/>
          <w:color w:val="auto"/>
          <w:highlight w:val="none"/>
        </w:rPr>
      </w:pPr>
      <w:r>
        <w:rPr>
          <w:rFonts w:hint="eastAsia" w:cs="宋体"/>
          <w:bCs/>
          <w:color w:val="auto"/>
          <w:sz w:val="24"/>
          <w:highlight w:val="none"/>
        </w:rPr>
        <w:t>[如适用，提供业务专用章使用说明函（附件2）]</w:t>
      </w:r>
    </w:p>
    <w:p w14:paraId="27B5D254">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5F9AE8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C11F65">
      <w:pPr>
        <w:snapToGrid w:val="0"/>
        <w:spacing w:line="360" w:lineRule="auto"/>
        <w:jc w:val="center"/>
        <w:rPr>
          <w:rFonts w:ascii="宋体" w:hAnsi="宋体" w:cs="宋体"/>
          <w:b/>
          <w:color w:val="auto"/>
          <w:kern w:val="0"/>
          <w:sz w:val="32"/>
          <w:szCs w:val="32"/>
          <w:highlight w:val="none"/>
          <w:lang w:val="zh-CN"/>
        </w:rPr>
      </w:pPr>
    </w:p>
    <w:p w14:paraId="7B708A08">
      <w:pPr>
        <w:numPr>
          <w:ilvl w:val="0"/>
          <w:numId w:val="4"/>
        </w:numPr>
        <w:jc w:val="left"/>
        <w:rPr>
          <w:b/>
          <w:bCs/>
          <w:color w:val="auto"/>
          <w:sz w:val="32"/>
          <w:szCs w:val="32"/>
          <w:highlight w:val="none"/>
        </w:rPr>
      </w:pPr>
      <w:bookmarkStart w:id="441" w:name="_Toc2704"/>
      <w:r>
        <w:rPr>
          <w:rFonts w:hint="eastAsia"/>
          <w:b/>
          <w:bCs/>
          <w:color w:val="auto"/>
          <w:sz w:val="32"/>
          <w:szCs w:val="32"/>
          <w:highlight w:val="none"/>
        </w:rPr>
        <w:t>投标函</w:t>
      </w:r>
      <w:bookmarkEnd w:id="441"/>
    </w:p>
    <w:p w14:paraId="51C5DBDB">
      <w:pPr>
        <w:pStyle w:val="63"/>
        <w:ind w:left="840" w:leftChars="400" w:firstLine="0" w:firstLineChars="0"/>
        <w:rPr>
          <w:color w:val="auto"/>
          <w:highlight w:val="none"/>
        </w:rPr>
      </w:pPr>
    </w:p>
    <w:p w14:paraId="79C20534">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14:paraId="27410E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宁波市北仑区人民医院标本检测外送项目（特殊检验）</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项目编号：CBNB-20251049-BL004G</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招标的有关活动，并对此项目进行投标。为此：</w:t>
      </w:r>
    </w:p>
    <w:p w14:paraId="2F85D540">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BDBF78D">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1171865">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98E9AFC">
      <w:pPr>
        <w:adjustRightInd/>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62143D2E">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0D53046">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31857307">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E88489E">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9ACFD9A">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734D0B9">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DA72C26">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4C8D50E">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6B13CCF">
      <w:pPr>
        <w:spacing w:line="360" w:lineRule="auto"/>
        <w:ind w:firstLine="3840" w:firstLineChars="1600"/>
        <w:rPr>
          <w:rFonts w:ascii="宋体" w:hAnsi="宋体" w:cs="宋体"/>
          <w:color w:val="auto"/>
          <w:sz w:val="24"/>
          <w:highlight w:val="none"/>
        </w:rPr>
      </w:pPr>
    </w:p>
    <w:p w14:paraId="35D34B65">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 xml:space="preserve">投标人名称（电子签章）：                          </w:t>
      </w:r>
    </w:p>
    <w:p w14:paraId="4966913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5F09783">
      <w:pPr>
        <w:snapToGrid w:val="0"/>
        <w:spacing w:line="360" w:lineRule="auto"/>
        <w:ind w:left="420" w:leftChars="200" w:firstLine="4200" w:firstLineChars="1750"/>
        <w:rPr>
          <w:rFonts w:ascii="宋体" w:hAnsi="宋体" w:cs="宋体"/>
          <w:color w:val="auto"/>
          <w:kern w:val="0"/>
          <w:sz w:val="24"/>
          <w:highlight w:val="none"/>
          <w:u w:val="single"/>
        </w:rPr>
      </w:pPr>
    </w:p>
    <w:p w14:paraId="0093EAB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B3BAA3">
      <w:pPr>
        <w:rPr>
          <w:color w:val="auto"/>
          <w:highlight w:val="none"/>
          <w:lang w:val="en-US"/>
        </w:rPr>
      </w:pPr>
      <w:r>
        <w:rPr>
          <w:rFonts w:hint="eastAsia" w:ascii="宋体" w:hAnsi="宋体" w:cs="宋体"/>
          <w:b/>
          <w:color w:val="auto"/>
          <w:kern w:val="0"/>
          <w:sz w:val="32"/>
          <w:szCs w:val="32"/>
          <w:highlight w:val="none"/>
        </w:rPr>
        <w:br w:type="page"/>
      </w:r>
    </w:p>
    <w:p w14:paraId="06180C2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78446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20EE1FB">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0F327A3">
      <w:pPr>
        <w:spacing w:line="360" w:lineRule="auto"/>
        <w:rPr>
          <w:rFonts w:ascii="宋体" w:hAnsi="宋体" w:cs="宋体"/>
          <w:color w:val="auto"/>
          <w:sz w:val="24"/>
          <w:highlight w:val="none"/>
          <w:u w:val="single"/>
        </w:rPr>
      </w:pPr>
    </w:p>
    <w:p w14:paraId="73A018E1">
      <w:pPr>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p>
    <w:p w14:paraId="79E6D6D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宁波市北仑区人民医院标本检测外送项目（特殊检验）</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项目编号：CBNB-20251049-BL004G</w:t>
      </w:r>
      <w:r>
        <w:rPr>
          <w:rFonts w:hint="eastAsia" w:ascii="宋体" w:hAnsi="宋体" w:cs="宋体"/>
          <w:color w:val="auto"/>
          <w:sz w:val="24"/>
          <w:highlight w:val="none"/>
          <w:u w:val="single"/>
          <w:lang w:eastAsia="zh-CN"/>
        </w:rPr>
        <w:t>）</w:t>
      </w:r>
      <w:r>
        <w:rPr>
          <w:rFonts w:hint="eastAsia" w:ascii="宋体" w:hAnsi="宋体" w:cs="宋体"/>
          <w:color w:val="auto"/>
          <w:kern w:val="0"/>
          <w:sz w:val="24"/>
          <w:highlight w:val="none"/>
          <w:lang w:val="zh-CN"/>
        </w:rPr>
        <w:t>政府采购投标的一切事项，其法律后果由我方承担。</w:t>
      </w:r>
    </w:p>
    <w:p w14:paraId="4CC417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49466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431CEF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sz w:val="24"/>
          <w:highlight w:val="none"/>
        </w:rPr>
        <w:t xml:space="preserve">（电子签章）：  </w:t>
      </w:r>
    </w:p>
    <w:p w14:paraId="0E9CE98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B4F886">
      <w:pPr>
        <w:autoSpaceDE w:val="0"/>
        <w:autoSpaceDN w:val="0"/>
        <w:spacing w:line="360" w:lineRule="auto"/>
        <w:jc w:val="center"/>
        <w:rPr>
          <w:rFonts w:hint="eastAsia" w:ascii="宋体" w:hAnsi="宋体" w:cs="宋体"/>
          <w:b/>
          <w:color w:val="auto"/>
          <w:kern w:val="0"/>
          <w:sz w:val="24"/>
          <w:szCs w:val="24"/>
          <w:highlight w:val="none"/>
          <w:lang w:val="zh-CN"/>
        </w:rPr>
      </w:pPr>
    </w:p>
    <w:p w14:paraId="22933C6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lang w:val="en-US" w:eastAsia="zh-CN"/>
        </w:rPr>
        <w:t>法定代表人</w:t>
      </w:r>
      <w:r>
        <w:rPr>
          <w:rFonts w:hint="eastAsia" w:cs="仿宋_GB2312" w:asciiTheme="minorEastAsia" w:hAnsiTheme="minorEastAsia" w:eastAsiaTheme="minorEastAsia"/>
          <w:b/>
          <w:color w:val="auto"/>
          <w:sz w:val="30"/>
          <w:szCs w:val="30"/>
          <w:highlight w:val="none"/>
        </w:rPr>
        <w:t>的身份证（</w:t>
      </w:r>
      <w:r>
        <w:rPr>
          <w:rFonts w:hint="eastAsia" w:cs="仿宋_GB2312" w:asciiTheme="minorEastAsia" w:hAnsiTheme="minorEastAsia" w:eastAsiaTheme="minorEastAsia"/>
          <w:b/>
          <w:color w:val="auto"/>
          <w:sz w:val="30"/>
          <w:szCs w:val="30"/>
          <w:highlight w:val="none"/>
          <w:lang w:val="en-US" w:eastAsia="zh-CN"/>
        </w:rPr>
        <w:t>扫描件</w:t>
      </w:r>
      <w:r>
        <w:rPr>
          <w:rFonts w:hint="eastAsia" w:cs="仿宋_GB2312" w:asciiTheme="minorEastAsia" w:hAnsiTheme="minorEastAsia" w:eastAsiaTheme="minorEastAsia"/>
          <w:b/>
          <w:color w:val="auto"/>
          <w:sz w:val="30"/>
          <w:szCs w:val="30"/>
          <w:highlight w:val="none"/>
        </w:rPr>
        <w:t>）</w:t>
      </w:r>
    </w:p>
    <w:p w14:paraId="5E1E7D17">
      <w:pPr>
        <w:pStyle w:val="14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法定代表人</w:t>
      </w:r>
      <w:r>
        <w:rPr>
          <w:rFonts w:hint="eastAsia" w:asciiTheme="minorEastAsia" w:hAnsiTheme="minorEastAsia" w:eastAsiaTheme="minorEastAsia"/>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218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jc w:val="center"/>
        </w:trPr>
        <w:tc>
          <w:tcPr>
            <w:tcW w:w="9207" w:type="dxa"/>
            <w:shd w:val="clear" w:color="auto" w:fill="auto"/>
          </w:tcPr>
          <w:p w14:paraId="6A264710">
            <w:pPr>
              <w:pStyle w:val="14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704B78D9">
            <w:pPr>
              <w:pStyle w:val="149"/>
              <w:spacing w:line="360" w:lineRule="auto"/>
              <w:rPr>
                <w:rFonts w:asciiTheme="minorEastAsia" w:hAnsiTheme="minorEastAsia" w:eastAsiaTheme="minorEastAsia"/>
                <w:bCs/>
                <w:color w:val="auto"/>
                <w:sz w:val="24"/>
                <w:highlight w:val="none"/>
              </w:rPr>
            </w:pPr>
          </w:p>
        </w:tc>
      </w:tr>
    </w:tbl>
    <w:p w14:paraId="5FBBAAD5">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30894D6A">
      <w:pPr>
        <w:snapToGrid w:val="0"/>
        <w:spacing w:line="360" w:lineRule="auto"/>
        <w:rPr>
          <w:rFonts w:ascii="宋体" w:hAnsi="宋体" w:cs="宋体"/>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 xml:space="preserve">（电子签章）：  </w:t>
      </w:r>
    </w:p>
    <w:p w14:paraId="57BD7368">
      <w:pPr>
        <w:widowControl/>
        <w:adjustRightInd/>
        <w:jc w:val="left"/>
        <w:rPr>
          <w:rFonts w:cs="仿宋_GB2312" w:asciiTheme="minorEastAsia" w:hAnsiTheme="minorEastAsia" w:eastAsiaTheme="minorEastAsia"/>
          <w:b/>
          <w:color w:val="auto"/>
          <w:kern w:val="0"/>
          <w:sz w:val="32"/>
          <w:szCs w:val="32"/>
          <w:highlight w:val="none"/>
          <w:lang w:val="zh-CN"/>
        </w:rPr>
      </w:pPr>
      <w:r>
        <w:rPr>
          <w:rFonts w:hint="eastAsia" w:ascii="宋体" w:hAnsi="宋体" w:cs="宋体"/>
          <w:color w:val="auto"/>
          <w:kern w:val="0"/>
          <w:sz w:val="24"/>
          <w:highlight w:val="none"/>
          <w:lang w:val="zh-CN"/>
        </w:rPr>
        <w:t xml:space="preserve">                                                 签发日期：  年  月   日</w:t>
      </w:r>
    </w:p>
    <w:p w14:paraId="548165BB">
      <w:pPr>
        <w:widowControl/>
        <w:adjustRightInd/>
        <w:jc w:val="left"/>
        <w:rPr>
          <w:rFonts w:cs="仿宋_GB2312" w:asciiTheme="minorEastAsia" w:hAnsiTheme="minorEastAsia" w:eastAsiaTheme="minorEastAsia"/>
          <w:b/>
          <w:color w:val="auto"/>
          <w:kern w:val="0"/>
          <w:sz w:val="32"/>
          <w:szCs w:val="32"/>
          <w:highlight w:val="none"/>
          <w:lang w:val="zh-CN"/>
        </w:rPr>
      </w:pPr>
    </w:p>
    <w:p w14:paraId="5E23A55B">
      <w:pPr>
        <w:autoSpaceDE w:val="0"/>
        <w:autoSpaceDN w:val="0"/>
        <w:spacing w:line="360" w:lineRule="auto"/>
        <w:jc w:val="center"/>
        <w:rPr>
          <w:rFonts w:cs="仿宋_GB2312" w:asciiTheme="minorEastAsia" w:hAnsiTheme="minorEastAsia" w:eastAsiaTheme="minorEastAsia"/>
          <w:b/>
          <w:color w:val="auto"/>
          <w:sz w:val="30"/>
          <w:szCs w:val="30"/>
          <w:highlight w:val="none"/>
        </w:rPr>
      </w:pPr>
    </w:p>
    <w:p w14:paraId="7EEFE9FC">
      <w:pPr>
        <w:pStyle w:val="2"/>
        <w:rPr>
          <w:rFonts w:cs="仿宋_GB2312" w:asciiTheme="minorEastAsia" w:hAnsiTheme="minorEastAsia" w:eastAsiaTheme="minorEastAsia"/>
          <w:b/>
          <w:color w:val="auto"/>
          <w:sz w:val="30"/>
          <w:szCs w:val="30"/>
          <w:highlight w:val="none"/>
        </w:rPr>
      </w:pPr>
    </w:p>
    <w:p w14:paraId="70DB6A23">
      <w:pPr>
        <w:pStyle w:val="969"/>
        <w:rPr>
          <w:color w:val="auto"/>
          <w:highlight w:val="none"/>
        </w:rPr>
      </w:pPr>
    </w:p>
    <w:p w14:paraId="1E6E0CA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w:t>
      </w:r>
      <w:r>
        <w:rPr>
          <w:rFonts w:hint="eastAsia" w:cs="仿宋_GB2312" w:asciiTheme="minorEastAsia" w:hAnsiTheme="minorEastAsia" w:eastAsiaTheme="minorEastAsia"/>
          <w:b/>
          <w:color w:val="auto"/>
          <w:sz w:val="30"/>
          <w:szCs w:val="30"/>
          <w:highlight w:val="none"/>
          <w:lang w:val="en-US" w:eastAsia="zh-CN"/>
        </w:rPr>
        <w:t>扫描件</w:t>
      </w:r>
      <w:r>
        <w:rPr>
          <w:rFonts w:hint="eastAsia" w:cs="仿宋_GB2312" w:asciiTheme="minorEastAsia" w:hAnsiTheme="minorEastAsia" w:eastAsiaTheme="minorEastAsia"/>
          <w:b/>
          <w:color w:val="auto"/>
          <w:sz w:val="30"/>
          <w:szCs w:val="30"/>
          <w:highlight w:val="none"/>
        </w:rPr>
        <w:t>）</w:t>
      </w:r>
    </w:p>
    <w:p w14:paraId="0E8355E2">
      <w:pPr>
        <w:pStyle w:val="14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4A8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9207" w:type="dxa"/>
            <w:shd w:val="clear" w:color="auto" w:fill="auto"/>
          </w:tcPr>
          <w:p w14:paraId="5F5DC26D">
            <w:pPr>
              <w:pStyle w:val="14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757A6578">
            <w:pPr>
              <w:pStyle w:val="149"/>
              <w:spacing w:line="360" w:lineRule="auto"/>
              <w:rPr>
                <w:rFonts w:asciiTheme="minorEastAsia" w:hAnsiTheme="minorEastAsia" w:eastAsiaTheme="minorEastAsia"/>
                <w:bCs/>
                <w:color w:val="auto"/>
                <w:sz w:val="24"/>
                <w:highlight w:val="none"/>
              </w:rPr>
            </w:pPr>
          </w:p>
        </w:tc>
      </w:tr>
    </w:tbl>
    <w:p w14:paraId="61D246EA">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49B6466A">
      <w:pPr>
        <w:snapToGrid w:val="0"/>
        <w:spacing w:line="360" w:lineRule="auto"/>
        <w:rPr>
          <w:rFonts w:ascii="宋体" w:hAnsi="宋体" w:cs="宋体"/>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 xml:space="preserve">（电子签章）：  </w:t>
      </w:r>
    </w:p>
    <w:p w14:paraId="0BCEF056">
      <w:pPr>
        <w:spacing w:line="360" w:lineRule="auto"/>
        <w:jc w:val="center"/>
        <w:rPr>
          <w:rFonts w:cs="仿宋_GB2312" w:asciiTheme="minorEastAsia" w:hAnsiTheme="minorEastAsia" w:eastAsiaTheme="minorEastAsia"/>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1C944C2">
      <w:pPr>
        <w:pStyle w:val="459"/>
        <w:rPr>
          <w:rFonts w:hint="eastAsia" w:ascii="宋体" w:hAnsi="宋体" w:cs="宋体"/>
          <w:b/>
          <w:color w:val="auto"/>
          <w:kern w:val="0"/>
          <w:sz w:val="24"/>
          <w:szCs w:val="24"/>
          <w:highlight w:val="none"/>
          <w:lang w:val="zh-CN"/>
        </w:rPr>
      </w:pPr>
    </w:p>
    <w:p w14:paraId="61A63932">
      <w:pPr>
        <w:rPr>
          <w:rFonts w:hint="eastAsia" w:ascii="宋体" w:hAnsi="宋体" w:cs="宋体"/>
          <w:b/>
          <w:color w:val="auto"/>
          <w:kern w:val="0"/>
          <w:sz w:val="24"/>
          <w:szCs w:val="24"/>
          <w:highlight w:val="none"/>
          <w:lang w:val="zh-CN"/>
        </w:rPr>
      </w:pPr>
    </w:p>
    <w:p w14:paraId="71DF4AE1">
      <w:pPr>
        <w:pStyle w:val="459"/>
        <w:rPr>
          <w:rFonts w:hint="eastAsia"/>
          <w:color w:val="auto"/>
          <w:highlight w:val="none"/>
          <w:lang w:val="zh-CN"/>
        </w:rPr>
      </w:pPr>
    </w:p>
    <w:p w14:paraId="62C3E4F7">
      <w:pPr>
        <w:autoSpaceDE w:val="0"/>
        <w:autoSpaceDN w:val="0"/>
        <w:spacing w:line="360" w:lineRule="auto"/>
        <w:jc w:val="center"/>
        <w:rPr>
          <w:rFonts w:ascii="宋体" w:hAnsi="宋体" w:cs="宋体"/>
          <w:b/>
          <w:color w:val="auto"/>
          <w:sz w:val="24"/>
          <w:szCs w:val="24"/>
          <w:highlight w:val="none"/>
        </w:rPr>
      </w:pPr>
      <w:r>
        <w:rPr>
          <w:rFonts w:hint="eastAsia" w:ascii="宋体" w:hAnsi="宋体" w:cs="宋体"/>
          <w:b/>
          <w:color w:val="auto"/>
          <w:kern w:val="0"/>
          <w:sz w:val="24"/>
          <w:szCs w:val="24"/>
          <w:highlight w:val="none"/>
          <w:lang w:val="zh-CN"/>
        </w:rPr>
        <w:t>法定代表人、单位负责人或自然人本人</w:t>
      </w:r>
      <w:r>
        <w:rPr>
          <w:rFonts w:hint="eastAsia" w:ascii="宋体" w:hAnsi="宋体" w:cs="宋体"/>
          <w:b/>
          <w:color w:val="auto"/>
          <w:sz w:val="24"/>
          <w:szCs w:val="24"/>
          <w:highlight w:val="none"/>
        </w:rPr>
        <w:t>的身份证明</w:t>
      </w:r>
    </w:p>
    <w:p w14:paraId="63ED8FB0">
      <w:pPr>
        <w:autoSpaceDE w:val="0"/>
        <w:autoSpaceDN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（适用于法定代表人、单位负责人或者自然人本人代表投标人参加投标）</w:t>
      </w:r>
    </w:p>
    <w:p w14:paraId="7527A0B4">
      <w:pPr>
        <w:pStyle w:val="149"/>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C21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9207" w:type="dxa"/>
          </w:tcPr>
          <w:p w14:paraId="78F4B21B">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7FDD23F">
            <w:pPr>
              <w:pStyle w:val="149"/>
              <w:adjustRightInd w:val="0"/>
              <w:spacing w:line="360" w:lineRule="auto"/>
              <w:rPr>
                <w:rFonts w:hAnsi="宋体" w:cs="宋体"/>
                <w:bCs/>
                <w:color w:val="auto"/>
                <w:sz w:val="24"/>
                <w:highlight w:val="none"/>
              </w:rPr>
            </w:pPr>
          </w:p>
        </w:tc>
      </w:tr>
    </w:tbl>
    <w:p w14:paraId="4AFF32B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D87C43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sz w:val="24"/>
          <w:highlight w:val="none"/>
        </w:rPr>
        <w:t>电子签章</w:t>
      </w:r>
      <w:r>
        <w:rPr>
          <w:rFonts w:hint="eastAsia" w:ascii="宋体" w:hAnsi="宋体" w:cs="宋体"/>
          <w:color w:val="auto"/>
          <w:kern w:val="0"/>
          <w:sz w:val="24"/>
          <w:highlight w:val="none"/>
          <w:lang w:val="zh-CN"/>
        </w:rPr>
        <w:t xml:space="preserve">)：                              </w:t>
      </w:r>
    </w:p>
    <w:p w14:paraId="417B124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日期：  年  月  日</w:t>
      </w:r>
    </w:p>
    <w:p w14:paraId="00240FDE">
      <w:pPr>
        <w:rPr>
          <w:rFonts w:ascii="宋体" w:hAnsi="宋体" w:cs="宋体"/>
          <w:b/>
          <w:color w:val="auto"/>
          <w:kern w:val="0"/>
          <w:sz w:val="32"/>
          <w:szCs w:val="32"/>
          <w:highlight w:val="none"/>
        </w:rPr>
      </w:pPr>
    </w:p>
    <w:p w14:paraId="1DEEE36F">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三、分包意向协议（如适用）</w:t>
      </w:r>
    </w:p>
    <w:p w14:paraId="780B2C0C">
      <w:pPr>
        <w:widowControl/>
        <w:spacing w:line="360" w:lineRule="auto"/>
        <w:ind w:firstLine="120" w:firstLineChars="50"/>
        <w:jc w:val="left"/>
        <w:rPr>
          <w:rFonts w:ascii="宋体" w:hAnsi="宋体" w:cs="宋体"/>
          <w:color w:val="auto"/>
          <w:sz w:val="24"/>
          <w:highlight w:val="none"/>
        </w:rPr>
      </w:pPr>
      <w:bookmarkStart w:id="442"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中标后以分包方式履行合同的，提供分包意向协议(附件4</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42"/>
    <w:p w14:paraId="27D5EB4C">
      <w:pPr>
        <w:snapToGrid w:val="0"/>
        <w:spacing w:line="360" w:lineRule="auto"/>
        <w:rPr>
          <w:rFonts w:ascii="宋体" w:hAnsi="宋体" w:cs="宋体"/>
          <w:color w:val="auto"/>
          <w:kern w:val="0"/>
          <w:sz w:val="24"/>
          <w:highlight w:val="none"/>
        </w:rPr>
      </w:pPr>
    </w:p>
    <w:p w14:paraId="5EF0336B">
      <w:pPr>
        <w:jc w:val="center"/>
        <w:rPr>
          <w:rFonts w:ascii="宋体" w:hAnsi="宋体" w:cs="宋体"/>
          <w:b/>
          <w:color w:val="auto"/>
          <w:kern w:val="0"/>
          <w:sz w:val="32"/>
          <w:szCs w:val="32"/>
          <w:highlight w:val="none"/>
        </w:rPr>
      </w:pPr>
    </w:p>
    <w:p w14:paraId="4A18B91F">
      <w:pPr>
        <w:pStyle w:val="6"/>
        <w:rPr>
          <w:color w:val="auto"/>
          <w:highlight w:val="none"/>
          <w:lang w:val="en-US"/>
        </w:rPr>
      </w:pPr>
    </w:p>
    <w:p w14:paraId="40F17064">
      <w:pPr>
        <w:jc w:val="center"/>
        <w:rPr>
          <w:rFonts w:ascii="宋体" w:hAnsi="宋体" w:cs="宋体"/>
          <w:b/>
          <w:color w:val="auto"/>
          <w:kern w:val="0"/>
          <w:sz w:val="32"/>
          <w:szCs w:val="32"/>
          <w:highlight w:val="none"/>
        </w:rPr>
      </w:pPr>
    </w:p>
    <w:p w14:paraId="03D1EB0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E7B8D4E">
      <w:pPr>
        <w:jc w:val="center"/>
        <w:rPr>
          <w:rFonts w:ascii="宋体" w:hAnsi="宋体" w:cs="宋体"/>
          <w:b/>
          <w:color w:val="auto"/>
          <w:kern w:val="0"/>
          <w:sz w:val="32"/>
          <w:szCs w:val="32"/>
          <w:highlight w:val="none"/>
        </w:rPr>
      </w:pPr>
    </w:p>
    <w:tbl>
      <w:tblPr>
        <w:tblStyle w:val="64"/>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525"/>
        <w:gridCol w:w="3323"/>
        <w:gridCol w:w="2250"/>
      </w:tblGrid>
      <w:tr w14:paraId="0D8D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3" w:type="dxa"/>
            <w:vAlign w:val="center"/>
          </w:tcPr>
          <w:p w14:paraId="5698F41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525" w:type="dxa"/>
            <w:vAlign w:val="center"/>
          </w:tcPr>
          <w:p w14:paraId="4682D02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323" w:type="dxa"/>
            <w:vAlign w:val="center"/>
          </w:tcPr>
          <w:p w14:paraId="7A5EA84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2250" w:type="dxa"/>
            <w:vAlign w:val="center"/>
          </w:tcPr>
          <w:p w14:paraId="1BAF4E9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375032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E52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73" w:type="dxa"/>
            <w:vAlign w:val="center"/>
          </w:tcPr>
          <w:p w14:paraId="55246414">
            <w:pPr>
              <w:jc w:val="center"/>
              <w:rPr>
                <w:rFonts w:ascii="宋体" w:hAnsi="宋体" w:cs="宋体"/>
                <w:color w:val="auto"/>
                <w:sz w:val="24"/>
                <w:highlight w:val="none"/>
              </w:rPr>
            </w:pPr>
            <w:r>
              <w:rPr>
                <w:rFonts w:hint="eastAsia" w:ascii="宋体" w:hAnsi="宋体" w:cs="宋体"/>
                <w:color w:val="auto"/>
                <w:sz w:val="24"/>
                <w:highlight w:val="none"/>
              </w:rPr>
              <w:t>1</w:t>
            </w:r>
          </w:p>
        </w:tc>
        <w:tc>
          <w:tcPr>
            <w:tcW w:w="3525" w:type="dxa"/>
            <w:vAlign w:val="center"/>
          </w:tcPr>
          <w:p w14:paraId="3A657273">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323" w:type="dxa"/>
            <w:vAlign w:val="center"/>
          </w:tcPr>
          <w:p w14:paraId="08201A92">
            <w:pPr>
              <w:spacing w:line="360" w:lineRule="auto"/>
              <w:rPr>
                <w:rFonts w:ascii="宋体" w:hAnsi="宋体" w:cs="宋体"/>
                <w:color w:val="auto"/>
                <w:sz w:val="24"/>
                <w:highlight w:val="none"/>
              </w:rPr>
            </w:pPr>
            <w:r>
              <w:rPr>
                <w:rFonts w:hint="eastAsia" w:ascii="宋体" w:hAnsi="宋体" w:cs="宋体"/>
                <w:color w:val="auto"/>
                <w:sz w:val="24"/>
                <w:highlight w:val="none"/>
              </w:rPr>
              <w:t>需要使用电子签章或者签字盖章的投标文件的组成部分</w:t>
            </w:r>
          </w:p>
        </w:tc>
        <w:tc>
          <w:tcPr>
            <w:tcW w:w="2250" w:type="dxa"/>
            <w:vAlign w:val="center"/>
          </w:tcPr>
          <w:p w14:paraId="4B737EAA">
            <w:pPr>
              <w:jc w:val="center"/>
              <w:rPr>
                <w:rFonts w:ascii="宋体" w:hAnsi="宋体" w:cs="宋体"/>
                <w:color w:val="auto"/>
                <w:highlight w:val="none"/>
              </w:rPr>
            </w:pPr>
            <w:r>
              <w:rPr>
                <w:rFonts w:hint="eastAsia" w:hAnsi="宋体"/>
                <w:color w:val="auto"/>
                <w:sz w:val="24"/>
                <w:highlight w:val="none"/>
              </w:rPr>
              <w:t>见投标文件需要签字盖章的各页。</w:t>
            </w:r>
          </w:p>
        </w:tc>
      </w:tr>
      <w:tr w14:paraId="4058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70A345FF">
            <w:pPr>
              <w:jc w:val="center"/>
              <w:rPr>
                <w:rFonts w:ascii="宋体" w:hAnsi="宋体" w:cs="宋体"/>
                <w:color w:val="auto"/>
                <w:sz w:val="24"/>
                <w:highlight w:val="none"/>
              </w:rPr>
            </w:pPr>
            <w:r>
              <w:rPr>
                <w:rFonts w:hint="eastAsia" w:ascii="宋体" w:hAnsi="宋体" w:cs="宋体"/>
                <w:color w:val="auto"/>
                <w:sz w:val="24"/>
                <w:highlight w:val="none"/>
              </w:rPr>
              <w:t>2</w:t>
            </w:r>
          </w:p>
        </w:tc>
        <w:tc>
          <w:tcPr>
            <w:tcW w:w="3525" w:type="dxa"/>
            <w:vAlign w:val="center"/>
          </w:tcPr>
          <w:p w14:paraId="00C2F0C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323" w:type="dxa"/>
            <w:vAlign w:val="center"/>
          </w:tcPr>
          <w:p w14:paraId="6B793498">
            <w:pPr>
              <w:spacing w:line="360" w:lineRule="auto"/>
              <w:rPr>
                <w:rFonts w:ascii="宋体" w:hAnsi="宋体" w:cs="宋体"/>
                <w:color w:val="auto"/>
                <w:sz w:val="24"/>
                <w:highlight w:val="none"/>
              </w:rPr>
            </w:pPr>
            <w:r>
              <w:rPr>
                <w:rFonts w:hint="eastAsia" w:ascii="宋体" w:hAnsi="宋体" w:cs="宋体"/>
                <w:color w:val="auto"/>
                <w:sz w:val="24"/>
                <w:highlight w:val="none"/>
              </w:rPr>
              <w:t>投标函</w:t>
            </w:r>
          </w:p>
        </w:tc>
        <w:tc>
          <w:tcPr>
            <w:tcW w:w="2250" w:type="dxa"/>
            <w:vAlign w:val="center"/>
          </w:tcPr>
          <w:p w14:paraId="02D74D3A">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F6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0FA415C8">
            <w:pPr>
              <w:jc w:val="center"/>
              <w:rPr>
                <w:rFonts w:ascii="宋体" w:hAnsi="宋体" w:cs="宋体"/>
                <w:color w:val="auto"/>
                <w:sz w:val="24"/>
                <w:highlight w:val="none"/>
              </w:rPr>
            </w:pPr>
            <w:r>
              <w:rPr>
                <w:rFonts w:hint="eastAsia" w:ascii="宋体" w:hAnsi="宋体" w:cs="宋体"/>
                <w:color w:val="auto"/>
                <w:sz w:val="24"/>
                <w:highlight w:val="none"/>
              </w:rPr>
              <w:t>3</w:t>
            </w:r>
          </w:p>
        </w:tc>
        <w:tc>
          <w:tcPr>
            <w:tcW w:w="3525" w:type="dxa"/>
            <w:vAlign w:val="center"/>
          </w:tcPr>
          <w:p w14:paraId="254A4B0C">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323" w:type="dxa"/>
            <w:vAlign w:val="center"/>
          </w:tcPr>
          <w:p w14:paraId="7D49D8B0">
            <w:pPr>
              <w:spacing w:line="360" w:lineRule="auto"/>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w:t>
            </w:r>
            <w:r>
              <w:rPr>
                <w:rFonts w:hint="eastAsia" w:ascii="宋体" w:hAnsi="宋体" w:cs="宋体"/>
                <w:bCs/>
                <w:color w:val="auto"/>
                <w:szCs w:val="21"/>
                <w:highlight w:val="none"/>
              </w:rPr>
              <w:t>★</w:t>
            </w:r>
            <w:r>
              <w:rPr>
                <w:rFonts w:hint="eastAsia" w:ascii="宋体" w:hAnsi="宋体" w:cs="宋体"/>
                <w:color w:val="auto"/>
                <w:kern w:val="0"/>
                <w:sz w:val="24"/>
                <w:highlight w:val="none"/>
              </w:rPr>
              <w:t>” 系指实质性要求条款，招标文件无其它实质性要求的，无需提供）</w:t>
            </w:r>
          </w:p>
        </w:tc>
        <w:tc>
          <w:tcPr>
            <w:tcW w:w="2250" w:type="dxa"/>
            <w:vAlign w:val="center"/>
          </w:tcPr>
          <w:p w14:paraId="6A52999E">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9BE5F4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4E0A3F7">
      <w:pPr>
        <w:jc w:val="center"/>
        <w:rPr>
          <w:rFonts w:ascii="宋体" w:hAnsi="宋体" w:cs="宋体"/>
          <w:b/>
          <w:color w:val="auto"/>
          <w:kern w:val="0"/>
          <w:sz w:val="32"/>
          <w:szCs w:val="32"/>
          <w:highlight w:val="none"/>
        </w:rPr>
      </w:pPr>
    </w:p>
    <w:p w14:paraId="6A5BE0B6">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4CDB39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w:t>
      </w:r>
      <w:r>
        <w:rPr>
          <w:rFonts w:hint="eastAsia" w:ascii="宋体" w:hAnsi="宋体" w:cs="宋体"/>
          <w:b/>
          <w:color w:val="auto"/>
          <w:kern w:val="0"/>
          <w:sz w:val="32"/>
          <w:szCs w:val="32"/>
          <w:highlight w:val="none"/>
          <w:lang w:val="zh-CN"/>
        </w:rPr>
        <w:t>政府采购供应商廉洁自律承诺书</w:t>
      </w:r>
    </w:p>
    <w:p w14:paraId="1AA9358A">
      <w:pPr>
        <w:snapToGrid w:val="0"/>
        <w:spacing w:line="360" w:lineRule="auto"/>
        <w:rPr>
          <w:rFonts w:ascii="宋体" w:hAnsi="宋体" w:cs="宋体"/>
          <w:color w:val="auto"/>
          <w:sz w:val="24"/>
          <w:highlight w:val="none"/>
        </w:rPr>
      </w:pPr>
    </w:p>
    <w:p w14:paraId="26644BAD">
      <w:pPr>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p>
    <w:p w14:paraId="1CC5B56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8B1A2A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0B2244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1AF44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642198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FC94F3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7962AD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32FD4A7">
      <w:pPr>
        <w:autoSpaceDE w:val="0"/>
        <w:autoSpaceDN w:val="0"/>
        <w:spacing w:line="360" w:lineRule="auto"/>
        <w:ind w:left="481" w:leftChars="229"/>
        <w:jc w:val="left"/>
        <w:rPr>
          <w:rFonts w:ascii="宋体" w:hAnsi="宋体" w:cs="宋体"/>
          <w:color w:val="auto"/>
          <w:kern w:val="0"/>
          <w:sz w:val="24"/>
          <w:highlight w:val="none"/>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r>
        <w:rPr>
          <w:rFonts w:hint="eastAsia" w:ascii="宋体" w:hAnsi="宋体" w:cs="宋体"/>
          <w:color w:val="auto"/>
          <w:kern w:val="0"/>
          <w:sz w:val="24"/>
          <w:highlight w:val="none"/>
        </w:rPr>
        <w:t>法》、</w:t>
      </w:r>
    </w:p>
    <w:p w14:paraId="109FE71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A67E5F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3B2C333">
      <w:pPr>
        <w:autoSpaceDE w:val="0"/>
        <w:autoSpaceDN w:val="0"/>
        <w:spacing w:line="360" w:lineRule="auto"/>
        <w:ind w:left="2"/>
        <w:jc w:val="left"/>
        <w:rPr>
          <w:rFonts w:ascii="宋体" w:hAnsi="宋体" w:cs="宋体"/>
          <w:color w:val="auto"/>
          <w:kern w:val="0"/>
          <w:sz w:val="24"/>
          <w:highlight w:val="none"/>
          <w:lang w:val="zh-CN"/>
        </w:rPr>
      </w:pPr>
    </w:p>
    <w:p w14:paraId="266464DE">
      <w:pPr>
        <w:autoSpaceDE w:val="0"/>
        <w:autoSpaceDN w:val="0"/>
        <w:spacing w:line="360" w:lineRule="auto"/>
        <w:ind w:left="2"/>
        <w:jc w:val="left"/>
        <w:rPr>
          <w:rFonts w:ascii="宋体" w:hAnsi="宋体" w:cs="宋体"/>
          <w:color w:val="auto"/>
          <w:kern w:val="0"/>
          <w:sz w:val="24"/>
          <w:highlight w:val="none"/>
          <w:lang w:val="zh-CN"/>
        </w:rPr>
      </w:pPr>
    </w:p>
    <w:p w14:paraId="6857BFBF">
      <w:pPr>
        <w:autoSpaceDE w:val="0"/>
        <w:autoSpaceDN w:val="0"/>
        <w:spacing w:line="360" w:lineRule="auto"/>
        <w:ind w:left="2"/>
        <w:jc w:val="left"/>
        <w:rPr>
          <w:rFonts w:ascii="宋体" w:hAnsi="宋体" w:cs="宋体"/>
          <w:color w:val="auto"/>
          <w:kern w:val="0"/>
          <w:sz w:val="24"/>
          <w:highlight w:val="none"/>
          <w:lang w:val="zh-CN"/>
        </w:rPr>
      </w:pPr>
    </w:p>
    <w:p w14:paraId="70E68679">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电子签章</w:t>
      </w:r>
      <w:r>
        <w:rPr>
          <w:rFonts w:hint="eastAsia" w:ascii="宋体" w:hAnsi="宋体" w:cs="宋体"/>
          <w:color w:val="auto"/>
          <w:kern w:val="0"/>
          <w:sz w:val="24"/>
          <w:highlight w:val="none"/>
          <w:lang w:val="zh-CN"/>
        </w:rPr>
        <w:t xml:space="preserve">)：                                                                                                                                                                                                               </w:t>
      </w:r>
    </w:p>
    <w:p w14:paraId="67BB3E6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D446008">
      <w:pPr>
        <w:spacing w:line="360" w:lineRule="auto"/>
        <w:jc w:val="center"/>
        <w:rPr>
          <w:rFonts w:ascii="宋体" w:hAnsi="宋体" w:cs="宋体"/>
          <w:b/>
          <w:bCs/>
          <w:color w:val="auto"/>
          <w:sz w:val="24"/>
          <w:highlight w:val="none"/>
        </w:rPr>
      </w:pPr>
    </w:p>
    <w:p w14:paraId="5B3B3DF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0B7846F">
      <w:pPr>
        <w:rPr>
          <w:rFonts w:ascii="宋体" w:hAnsi="宋体" w:cs="宋体"/>
          <w:b/>
          <w:bCs/>
          <w:color w:val="auto"/>
          <w:sz w:val="24"/>
          <w:highlight w:val="none"/>
        </w:rPr>
      </w:pPr>
      <w:r>
        <w:rPr>
          <w:rFonts w:ascii="宋体" w:hAnsi="宋体" w:cs="宋体"/>
          <w:b/>
          <w:bCs/>
          <w:color w:val="auto"/>
          <w:sz w:val="24"/>
          <w:highlight w:val="none"/>
        </w:rPr>
        <w:br w:type="page"/>
      </w:r>
    </w:p>
    <w:p w14:paraId="66BD2532">
      <w:pPr>
        <w:jc w:val="center"/>
        <w:rPr>
          <w:rFonts w:ascii="宋体" w:hAnsi="宋体" w:cs="宋体"/>
          <w:b/>
          <w:color w:val="auto"/>
          <w:kern w:val="0"/>
          <w:sz w:val="32"/>
          <w:szCs w:val="32"/>
          <w:highlight w:val="none"/>
        </w:rPr>
      </w:pPr>
    </w:p>
    <w:p w14:paraId="621DE9C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六、投标标的清单（不适用）</w:t>
      </w:r>
    </w:p>
    <w:tbl>
      <w:tblPr>
        <w:tblStyle w:val="64"/>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33"/>
        <w:gridCol w:w="1305"/>
        <w:gridCol w:w="2011"/>
        <w:gridCol w:w="1777"/>
      </w:tblGrid>
      <w:tr w14:paraId="43507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6E25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AEB28A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33" w:type="dxa"/>
            <w:tcBorders>
              <w:top w:val="single" w:color="auto" w:sz="4" w:space="0"/>
              <w:left w:val="single" w:color="auto" w:sz="4" w:space="0"/>
              <w:bottom w:val="single" w:color="auto" w:sz="4" w:space="0"/>
              <w:right w:val="single" w:color="auto" w:sz="4" w:space="0"/>
            </w:tcBorders>
            <w:vAlign w:val="center"/>
          </w:tcPr>
          <w:p w14:paraId="6D52B0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305" w:type="dxa"/>
            <w:tcBorders>
              <w:top w:val="single" w:color="auto" w:sz="4" w:space="0"/>
              <w:left w:val="single" w:color="auto" w:sz="4" w:space="0"/>
              <w:bottom w:val="single" w:color="auto" w:sz="4" w:space="0"/>
              <w:right w:val="single" w:color="auto" w:sz="4" w:space="0"/>
            </w:tcBorders>
            <w:vAlign w:val="center"/>
          </w:tcPr>
          <w:p w14:paraId="0A61EBE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011" w:type="dxa"/>
            <w:tcBorders>
              <w:top w:val="single" w:color="auto" w:sz="4" w:space="0"/>
              <w:left w:val="single" w:color="auto" w:sz="4" w:space="0"/>
              <w:bottom w:val="single" w:color="auto" w:sz="4" w:space="0"/>
              <w:right w:val="single" w:color="auto" w:sz="4" w:space="0"/>
            </w:tcBorders>
            <w:vAlign w:val="center"/>
          </w:tcPr>
          <w:p w14:paraId="7BB4B1B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777" w:type="dxa"/>
            <w:tcBorders>
              <w:top w:val="single" w:color="auto" w:sz="4" w:space="0"/>
              <w:left w:val="single" w:color="auto" w:sz="4" w:space="0"/>
              <w:bottom w:val="single" w:color="auto" w:sz="4" w:space="0"/>
              <w:right w:val="single" w:color="auto" w:sz="4" w:space="0"/>
            </w:tcBorders>
            <w:vAlign w:val="center"/>
          </w:tcPr>
          <w:p w14:paraId="4382379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3A0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7D66B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7BC76CB">
            <w:pPr>
              <w:snapToGrid w:val="0"/>
              <w:spacing w:line="360" w:lineRule="auto"/>
              <w:jc w:val="center"/>
              <w:rPr>
                <w:rFonts w:ascii="宋体" w:hAnsi="宋体" w:cs="宋体"/>
                <w:color w:val="auto"/>
                <w:sz w:val="24"/>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75F5A6EE">
            <w:pPr>
              <w:snapToGrid w:val="0"/>
              <w:spacing w:line="360" w:lineRule="auto"/>
              <w:jc w:val="center"/>
              <w:rPr>
                <w:rFonts w:ascii="宋体" w:hAnsi="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6719B6E5">
            <w:pPr>
              <w:snapToGrid w:val="0"/>
              <w:spacing w:line="360" w:lineRule="auto"/>
              <w:jc w:val="center"/>
              <w:rPr>
                <w:rFonts w:ascii="宋体" w:hAnsi="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0014FB63">
            <w:pPr>
              <w:spacing w:line="360" w:lineRule="auto"/>
              <w:jc w:val="center"/>
              <w:rPr>
                <w:rFonts w:ascii="宋体" w:hAnsi="宋体" w:cs="宋体"/>
                <w:color w:val="auto"/>
                <w:sz w:val="24"/>
                <w:highlight w:val="none"/>
              </w:rPr>
            </w:pPr>
          </w:p>
        </w:tc>
        <w:tc>
          <w:tcPr>
            <w:tcW w:w="1777" w:type="dxa"/>
            <w:tcBorders>
              <w:top w:val="single" w:color="auto" w:sz="4" w:space="0"/>
              <w:left w:val="single" w:color="auto" w:sz="4" w:space="0"/>
              <w:bottom w:val="single" w:color="auto" w:sz="4" w:space="0"/>
              <w:right w:val="single" w:color="auto" w:sz="4" w:space="0"/>
            </w:tcBorders>
            <w:vAlign w:val="center"/>
          </w:tcPr>
          <w:p w14:paraId="375DCFD2">
            <w:pPr>
              <w:spacing w:line="360" w:lineRule="auto"/>
              <w:jc w:val="center"/>
              <w:rPr>
                <w:rFonts w:ascii="宋体" w:hAnsi="宋体" w:cs="宋体"/>
                <w:color w:val="auto"/>
                <w:sz w:val="24"/>
                <w:highlight w:val="none"/>
              </w:rPr>
            </w:pPr>
          </w:p>
        </w:tc>
      </w:tr>
      <w:tr w14:paraId="1E632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5D08F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6AF8B71">
            <w:pPr>
              <w:snapToGrid w:val="0"/>
              <w:spacing w:line="360" w:lineRule="auto"/>
              <w:jc w:val="center"/>
              <w:rPr>
                <w:rFonts w:ascii="宋体" w:hAnsi="宋体" w:cs="宋体"/>
                <w:color w:val="auto"/>
                <w:sz w:val="24"/>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07622F8E">
            <w:pPr>
              <w:snapToGrid w:val="0"/>
              <w:spacing w:line="360" w:lineRule="auto"/>
              <w:jc w:val="center"/>
              <w:rPr>
                <w:rFonts w:ascii="宋体" w:hAnsi="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6155F7AC">
            <w:pPr>
              <w:snapToGrid w:val="0"/>
              <w:spacing w:line="360" w:lineRule="auto"/>
              <w:jc w:val="center"/>
              <w:rPr>
                <w:rFonts w:ascii="宋体" w:hAnsi="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758056F1">
            <w:pPr>
              <w:spacing w:line="360" w:lineRule="auto"/>
              <w:jc w:val="center"/>
              <w:rPr>
                <w:rFonts w:ascii="宋体" w:hAnsi="宋体" w:cs="宋体"/>
                <w:color w:val="auto"/>
                <w:sz w:val="24"/>
                <w:highlight w:val="none"/>
              </w:rPr>
            </w:pPr>
          </w:p>
        </w:tc>
        <w:tc>
          <w:tcPr>
            <w:tcW w:w="1777" w:type="dxa"/>
            <w:tcBorders>
              <w:top w:val="single" w:color="auto" w:sz="4" w:space="0"/>
              <w:left w:val="single" w:color="auto" w:sz="4" w:space="0"/>
              <w:bottom w:val="single" w:color="auto" w:sz="4" w:space="0"/>
              <w:right w:val="single" w:color="auto" w:sz="4" w:space="0"/>
            </w:tcBorders>
            <w:vAlign w:val="center"/>
          </w:tcPr>
          <w:p w14:paraId="38CCE108">
            <w:pPr>
              <w:spacing w:line="360" w:lineRule="auto"/>
              <w:jc w:val="center"/>
              <w:rPr>
                <w:rFonts w:ascii="宋体" w:hAnsi="宋体" w:cs="宋体"/>
                <w:color w:val="auto"/>
                <w:sz w:val="24"/>
                <w:highlight w:val="none"/>
              </w:rPr>
            </w:pPr>
          </w:p>
        </w:tc>
      </w:tr>
      <w:tr w14:paraId="0D26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BEA93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E63FBAB">
            <w:pPr>
              <w:snapToGrid w:val="0"/>
              <w:spacing w:line="360" w:lineRule="auto"/>
              <w:jc w:val="center"/>
              <w:rPr>
                <w:rFonts w:ascii="宋体" w:hAnsi="宋体" w:cs="宋体"/>
                <w:color w:val="auto"/>
                <w:sz w:val="24"/>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6F8F23BD">
            <w:pPr>
              <w:snapToGrid w:val="0"/>
              <w:spacing w:line="360" w:lineRule="auto"/>
              <w:jc w:val="center"/>
              <w:rPr>
                <w:rFonts w:ascii="宋体" w:hAnsi="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087A6C4D">
            <w:pPr>
              <w:snapToGrid w:val="0"/>
              <w:spacing w:line="360" w:lineRule="auto"/>
              <w:jc w:val="center"/>
              <w:rPr>
                <w:rFonts w:ascii="宋体" w:hAnsi="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405A7320">
            <w:pPr>
              <w:spacing w:line="360" w:lineRule="auto"/>
              <w:jc w:val="center"/>
              <w:rPr>
                <w:rFonts w:ascii="宋体" w:hAnsi="宋体" w:cs="宋体"/>
                <w:color w:val="auto"/>
                <w:sz w:val="24"/>
                <w:highlight w:val="none"/>
              </w:rPr>
            </w:pPr>
          </w:p>
        </w:tc>
        <w:tc>
          <w:tcPr>
            <w:tcW w:w="1777" w:type="dxa"/>
            <w:tcBorders>
              <w:top w:val="single" w:color="auto" w:sz="4" w:space="0"/>
              <w:left w:val="single" w:color="auto" w:sz="4" w:space="0"/>
              <w:bottom w:val="single" w:color="auto" w:sz="4" w:space="0"/>
              <w:right w:val="single" w:color="auto" w:sz="4" w:space="0"/>
            </w:tcBorders>
            <w:vAlign w:val="center"/>
          </w:tcPr>
          <w:p w14:paraId="6FB24174">
            <w:pPr>
              <w:spacing w:line="360" w:lineRule="auto"/>
              <w:jc w:val="center"/>
              <w:rPr>
                <w:rFonts w:ascii="宋体" w:hAnsi="宋体" w:cs="宋体"/>
                <w:color w:val="auto"/>
                <w:sz w:val="24"/>
                <w:highlight w:val="none"/>
              </w:rPr>
            </w:pPr>
          </w:p>
        </w:tc>
      </w:tr>
    </w:tbl>
    <w:p w14:paraId="6033587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8B7C96">
      <w:pPr>
        <w:jc w:val="center"/>
        <w:rPr>
          <w:rFonts w:ascii="宋体" w:hAnsi="宋体" w:cs="宋体"/>
          <w:b/>
          <w:color w:val="auto"/>
          <w:kern w:val="0"/>
          <w:sz w:val="32"/>
          <w:szCs w:val="32"/>
          <w:highlight w:val="none"/>
        </w:rPr>
      </w:pPr>
    </w:p>
    <w:p w14:paraId="539CDF24">
      <w:pPr>
        <w:jc w:val="center"/>
        <w:rPr>
          <w:rFonts w:ascii="宋体" w:hAnsi="宋体" w:cs="宋体"/>
          <w:b/>
          <w:color w:val="auto"/>
          <w:kern w:val="0"/>
          <w:sz w:val="32"/>
          <w:szCs w:val="32"/>
          <w:highlight w:val="none"/>
        </w:rPr>
      </w:pPr>
    </w:p>
    <w:p w14:paraId="35AD44F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00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3328"/>
        <w:gridCol w:w="3287"/>
        <w:gridCol w:w="1425"/>
      </w:tblGrid>
      <w:tr w14:paraId="0F0E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0" w:type="dxa"/>
          </w:tcPr>
          <w:p w14:paraId="4B744FE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328" w:type="dxa"/>
          </w:tcPr>
          <w:p w14:paraId="25524834">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287" w:type="dxa"/>
          </w:tcPr>
          <w:p w14:paraId="13267F2F">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425" w:type="dxa"/>
          </w:tcPr>
          <w:p w14:paraId="707C837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98D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109135F6">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328" w:type="dxa"/>
          </w:tcPr>
          <w:p w14:paraId="3F0505A7">
            <w:pPr>
              <w:jc w:val="center"/>
              <w:rPr>
                <w:rFonts w:ascii="宋体" w:hAnsi="宋体" w:cs="宋体"/>
                <w:b/>
                <w:color w:val="auto"/>
                <w:kern w:val="0"/>
                <w:sz w:val="32"/>
                <w:szCs w:val="32"/>
                <w:highlight w:val="none"/>
              </w:rPr>
            </w:pPr>
          </w:p>
        </w:tc>
        <w:tc>
          <w:tcPr>
            <w:tcW w:w="3287" w:type="dxa"/>
          </w:tcPr>
          <w:p w14:paraId="6C37F1C4">
            <w:pPr>
              <w:jc w:val="center"/>
              <w:rPr>
                <w:rFonts w:ascii="宋体" w:hAnsi="宋体" w:cs="宋体"/>
                <w:b/>
                <w:color w:val="auto"/>
                <w:kern w:val="0"/>
                <w:sz w:val="32"/>
                <w:szCs w:val="32"/>
                <w:highlight w:val="none"/>
              </w:rPr>
            </w:pPr>
          </w:p>
        </w:tc>
        <w:tc>
          <w:tcPr>
            <w:tcW w:w="1425" w:type="dxa"/>
          </w:tcPr>
          <w:p w14:paraId="3FABAECB">
            <w:pPr>
              <w:jc w:val="center"/>
              <w:rPr>
                <w:rFonts w:ascii="宋体" w:hAnsi="宋体" w:cs="宋体"/>
                <w:b/>
                <w:color w:val="auto"/>
                <w:kern w:val="0"/>
                <w:sz w:val="32"/>
                <w:szCs w:val="32"/>
                <w:highlight w:val="none"/>
              </w:rPr>
            </w:pPr>
          </w:p>
        </w:tc>
      </w:tr>
      <w:tr w14:paraId="5FE1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6314E4A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328" w:type="dxa"/>
          </w:tcPr>
          <w:p w14:paraId="75CD8696">
            <w:pPr>
              <w:jc w:val="center"/>
              <w:rPr>
                <w:rFonts w:ascii="宋体" w:hAnsi="宋体" w:cs="宋体"/>
                <w:b/>
                <w:color w:val="auto"/>
                <w:kern w:val="0"/>
                <w:sz w:val="32"/>
                <w:szCs w:val="32"/>
                <w:highlight w:val="none"/>
              </w:rPr>
            </w:pPr>
          </w:p>
        </w:tc>
        <w:tc>
          <w:tcPr>
            <w:tcW w:w="3287" w:type="dxa"/>
          </w:tcPr>
          <w:p w14:paraId="7B5F2EED">
            <w:pPr>
              <w:jc w:val="center"/>
              <w:rPr>
                <w:rFonts w:ascii="宋体" w:hAnsi="宋体" w:cs="宋体"/>
                <w:b/>
                <w:color w:val="auto"/>
                <w:kern w:val="0"/>
                <w:sz w:val="32"/>
                <w:szCs w:val="32"/>
                <w:highlight w:val="none"/>
              </w:rPr>
            </w:pPr>
          </w:p>
        </w:tc>
        <w:tc>
          <w:tcPr>
            <w:tcW w:w="1425" w:type="dxa"/>
          </w:tcPr>
          <w:p w14:paraId="27623896">
            <w:pPr>
              <w:jc w:val="center"/>
              <w:rPr>
                <w:rFonts w:ascii="宋体" w:hAnsi="宋体" w:cs="宋体"/>
                <w:b/>
                <w:color w:val="auto"/>
                <w:kern w:val="0"/>
                <w:sz w:val="32"/>
                <w:szCs w:val="32"/>
                <w:highlight w:val="none"/>
              </w:rPr>
            </w:pPr>
          </w:p>
        </w:tc>
      </w:tr>
      <w:tr w14:paraId="5989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71D276A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328" w:type="dxa"/>
          </w:tcPr>
          <w:p w14:paraId="46733239">
            <w:pPr>
              <w:jc w:val="center"/>
              <w:rPr>
                <w:rFonts w:ascii="宋体" w:hAnsi="宋体" w:cs="宋体"/>
                <w:b/>
                <w:color w:val="auto"/>
                <w:kern w:val="0"/>
                <w:sz w:val="32"/>
                <w:szCs w:val="32"/>
                <w:highlight w:val="none"/>
              </w:rPr>
            </w:pPr>
          </w:p>
        </w:tc>
        <w:tc>
          <w:tcPr>
            <w:tcW w:w="3287" w:type="dxa"/>
          </w:tcPr>
          <w:p w14:paraId="215CA186">
            <w:pPr>
              <w:jc w:val="center"/>
              <w:rPr>
                <w:rFonts w:ascii="宋体" w:hAnsi="宋体" w:cs="宋体"/>
                <w:b/>
                <w:color w:val="auto"/>
                <w:kern w:val="0"/>
                <w:sz w:val="32"/>
                <w:szCs w:val="32"/>
                <w:highlight w:val="none"/>
              </w:rPr>
            </w:pPr>
          </w:p>
        </w:tc>
        <w:tc>
          <w:tcPr>
            <w:tcW w:w="1425" w:type="dxa"/>
          </w:tcPr>
          <w:p w14:paraId="61B4DF31">
            <w:pPr>
              <w:jc w:val="center"/>
              <w:rPr>
                <w:rFonts w:ascii="宋体" w:hAnsi="宋体" w:cs="宋体"/>
                <w:b/>
                <w:color w:val="auto"/>
                <w:kern w:val="0"/>
                <w:sz w:val="32"/>
                <w:szCs w:val="32"/>
                <w:highlight w:val="none"/>
              </w:rPr>
            </w:pPr>
          </w:p>
        </w:tc>
      </w:tr>
    </w:tbl>
    <w:p w14:paraId="2BD939AA">
      <w:pPr>
        <w:jc w:val="center"/>
        <w:rPr>
          <w:rFonts w:ascii="宋体" w:hAnsi="宋体" w:cs="宋体"/>
          <w:b/>
          <w:color w:val="auto"/>
          <w:kern w:val="0"/>
          <w:sz w:val="32"/>
          <w:szCs w:val="32"/>
          <w:highlight w:val="none"/>
        </w:rPr>
      </w:pPr>
    </w:p>
    <w:p w14:paraId="28F9856B">
      <w:p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『编制说明』：</w:t>
      </w:r>
    </w:p>
    <w:p w14:paraId="33E01416">
      <w:pPr>
        <w:numPr>
          <w:ilvl w:val="0"/>
          <w:numId w:val="5"/>
        </w:num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投标人需按“第三部分  采购需求”中各项要求（包含技术需求及商务、其他要求）对应,在本表中如实填写具体响应(有技术参数的提供响应的技术参数)，未按要求填写的，有可能作负偏离处理。</w:t>
      </w:r>
    </w:p>
    <w:p w14:paraId="37C56FAD">
      <w:pPr>
        <w:numPr>
          <w:ilvl w:val="0"/>
          <w:numId w:val="5"/>
        </w:num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偏离说明是指对招标文件要求存在不同之处的解释说明。偏离系指：正偏离（高于采购需求）、负偏离（低于采购需求）、无偏离（满足采购需求）</w:t>
      </w:r>
    </w:p>
    <w:p w14:paraId="76769091">
      <w:pPr>
        <w:widowControl/>
        <w:spacing w:line="360" w:lineRule="auto"/>
        <w:jc w:val="left"/>
        <w:rPr>
          <w:rFonts w:ascii="宋体" w:hAnsi="宋体" w:cs="宋体"/>
          <w:b/>
          <w:bCs/>
          <w:color w:val="auto"/>
          <w:highlight w:val="none"/>
        </w:rPr>
      </w:pPr>
      <w:r>
        <w:rPr>
          <w:rFonts w:hint="eastAsia" w:ascii="宋体" w:hAnsi="宋体" w:cs="宋体"/>
          <w:b/>
          <w:bCs/>
          <w:color w:val="auto"/>
          <w:szCs w:val="21"/>
          <w:highlight w:val="none"/>
        </w:rPr>
        <w:t>3、技术指标若有要求供应商提供相应佐证材料的，供应商未提供相应佐证材料或者供应商的响应承诺与其佐证材料不一致的，评审小组会将以不利于供应商的内容为准进行评审（负偏离）。</w:t>
      </w:r>
    </w:p>
    <w:p w14:paraId="56EE7463">
      <w:pPr>
        <w:pStyle w:val="63"/>
        <w:ind w:firstLine="420"/>
        <w:rPr>
          <w:color w:val="auto"/>
          <w:highlight w:val="none"/>
        </w:rPr>
      </w:pPr>
    </w:p>
    <w:p w14:paraId="39020AD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6A283F8">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E0DE311">
      <w:pPr>
        <w:pStyle w:val="2"/>
        <w:rPr>
          <w:color w:val="auto"/>
          <w:highlight w:val="none"/>
          <w:lang w:val="en-US"/>
        </w:rPr>
        <w:sectPr>
          <w:headerReference r:id="rId7" w:type="default"/>
          <w:footerReference r:id="rId8" w:type="default"/>
          <w:pgSz w:w="11905" w:h="16838"/>
          <w:pgMar w:top="1474" w:right="1417" w:bottom="1247" w:left="1417" w:header="851" w:footer="850" w:gutter="0"/>
          <w:pgBorders>
            <w:top w:val="none" w:sz="0" w:space="0"/>
            <w:left w:val="none" w:sz="0" w:space="0"/>
            <w:bottom w:val="none" w:sz="0" w:space="0"/>
            <w:right w:val="none" w:sz="0" w:space="0"/>
          </w:pgBorders>
          <w:cols w:space="0" w:num="1"/>
          <w:rtlGutter w:val="0"/>
          <w:docGrid w:linePitch="312" w:charSpace="0"/>
        </w:sectPr>
      </w:pPr>
    </w:p>
    <w:p w14:paraId="0A8886E3">
      <w:pPr>
        <w:snapToGrid w:val="0"/>
        <w:spacing w:line="360" w:lineRule="auto"/>
        <w:ind w:firstLine="964" w:firstLineChars="400"/>
        <w:jc w:val="center"/>
        <w:rPr>
          <w:rFonts w:ascii="宋体" w:hAnsi="宋体" w:cs="宋体"/>
          <w:b/>
          <w:bCs/>
          <w:color w:val="auto"/>
          <w:sz w:val="24"/>
          <w:highlight w:val="none"/>
        </w:rPr>
      </w:pPr>
    </w:p>
    <w:p w14:paraId="515014F3">
      <w:pPr>
        <w:rPr>
          <w:rFonts w:ascii="宋体" w:hAnsi="宋体" w:cs="宋体"/>
          <w:b/>
          <w:color w:val="auto"/>
          <w:kern w:val="0"/>
          <w:sz w:val="32"/>
          <w:szCs w:val="32"/>
          <w:highlight w:val="none"/>
        </w:rPr>
      </w:pPr>
    </w:p>
    <w:p w14:paraId="4ECED648">
      <w:pPr>
        <w:jc w:val="center"/>
        <w:rPr>
          <w:rFonts w:ascii="宋体" w:hAnsi="宋体" w:cs="宋体"/>
          <w:color w:val="auto"/>
          <w:highlight w:val="none"/>
        </w:rPr>
      </w:pPr>
      <w:r>
        <w:rPr>
          <w:rFonts w:hint="eastAsia" w:ascii="宋体" w:hAnsi="宋体" w:cs="宋体"/>
          <w:b/>
          <w:color w:val="auto"/>
          <w:kern w:val="0"/>
          <w:sz w:val="32"/>
          <w:szCs w:val="32"/>
          <w:highlight w:val="none"/>
        </w:rPr>
        <w:t>八、评标标准相应的商务技术资料</w:t>
      </w:r>
    </w:p>
    <w:p w14:paraId="269AA918">
      <w:pPr>
        <w:snapToGrid w:val="0"/>
        <w:spacing w:line="360" w:lineRule="auto"/>
        <w:ind w:firstLine="960" w:firstLineChars="400"/>
        <w:rPr>
          <w:rFonts w:ascii="宋体" w:hAnsi="宋体" w:cs="宋体"/>
          <w:color w:val="auto"/>
          <w:sz w:val="24"/>
          <w:highlight w:val="none"/>
        </w:rPr>
      </w:pPr>
    </w:p>
    <w:p w14:paraId="4D9ADA07">
      <w:pPr>
        <w:snapToGrid w:val="0"/>
        <w:spacing w:line="360" w:lineRule="auto"/>
        <w:ind w:firstLine="960" w:firstLineChars="4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zh-CN" w:eastAsia="zh-CN"/>
        </w:rPr>
        <w:t>（8-1）</w:t>
      </w:r>
      <w:r>
        <w:rPr>
          <w:rFonts w:hint="eastAsia" w:ascii="宋体" w:hAnsi="宋体" w:cs="宋体"/>
          <w:b w:val="0"/>
          <w:bCs w:val="0"/>
          <w:color w:val="auto"/>
          <w:sz w:val="24"/>
          <w:highlight w:val="none"/>
          <w:lang w:val="en-US" w:eastAsia="zh-CN"/>
        </w:rPr>
        <w:t>总体服务方案；</w:t>
      </w:r>
    </w:p>
    <w:p w14:paraId="31BB7E82">
      <w:pPr>
        <w:snapToGrid w:val="0"/>
        <w:spacing w:line="360" w:lineRule="auto"/>
        <w:ind w:firstLine="960" w:firstLineChars="4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zh-CN" w:eastAsia="zh-CN"/>
        </w:rPr>
        <w:t>（8-2）</w:t>
      </w:r>
      <w:r>
        <w:rPr>
          <w:rFonts w:hint="eastAsia" w:ascii="宋体" w:hAnsi="宋体" w:cs="宋体"/>
          <w:b w:val="0"/>
          <w:bCs w:val="0"/>
          <w:color w:val="auto"/>
          <w:sz w:val="24"/>
          <w:highlight w:val="none"/>
          <w:lang w:val="en-US" w:eastAsia="zh-CN"/>
        </w:rPr>
        <w:t>项目管理措施；</w:t>
      </w:r>
    </w:p>
    <w:p w14:paraId="23D65D3C">
      <w:pPr>
        <w:snapToGrid w:val="0"/>
        <w:spacing w:line="360" w:lineRule="auto"/>
        <w:ind w:firstLine="960" w:firstLineChars="4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zh-CN" w:eastAsia="zh-CN"/>
        </w:rPr>
        <w:t>（8-3）</w:t>
      </w:r>
      <w:r>
        <w:rPr>
          <w:rFonts w:hint="eastAsia" w:ascii="宋体" w:hAnsi="宋体" w:cs="宋体"/>
          <w:b w:val="0"/>
          <w:bCs w:val="0"/>
          <w:color w:val="auto"/>
          <w:sz w:val="24"/>
          <w:highlight w:val="none"/>
          <w:lang w:val="en-US" w:eastAsia="zh-CN"/>
        </w:rPr>
        <w:t>数据对接方案；</w:t>
      </w:r>
    </w:p>
    <w:p w14:paraId="7280EF4B">
      <w:pPr>
        <w:snapToGrid w:val="0"/>
        <w:spacing w:line="360" w:lineRule="auto"/>
        <w:ind w:firstLine="960" w:firstLineChars="4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zh-CN" w:eastAsia="zh-CN"/>
        </w:rPr>
        <w:t>（8-</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lang w:val="zh-CN" w:eastAsia="zh-CN"/>
        </w:rPr>
        <w:t>）</w:t>
      </w:r>
      <w:r>
        <w:rPr>
          <w:rFonts w:hint="eastAsia" w:ascii="宋体" w:hAnsi="宋体" w:cs="宋体"/>
          <w:b w:val="0"/>
          <w:bCs w:val="0"/>
          <w:color w:val="auto"/>
          <w:sz w:val="24"/>
          <w:szCs w:val="24"/>
          <w:highlight w:val="none"/>
          <w:lang w:val="en-US" w:eastAsia="zh-CN"/>
        </w:rPr>
        <w:t>数据分析及产出质量方案</w:t>
      </w:r>
      <w:r>
        <w:rPr>
          <w:rFonts w:hint="eastAsia" w:ascii="宋体" w:hAnsi="宋体" w:cs="宋体"/>
          <w:b w:val="0"/>
          <w:bCs w:val="0"/>
          <w:color w:val="auto"/>
          <w:sz w:val="24"/>
          <w:highlight w:val="none"/>
          <w:lang w:val="en-US" w:eastAsia="zh-CN"/>
        </w:rPr>
        <w:t>；</w:t>
      </w:r>
    </w:p>
    <w:p w14:paraId="4B69BED8">
      <w:pPr>
        <w:snapToGrid w:val="0"/>
        <w:spacing w:line="360" w:lineRule="auto"/>
        <w:ind w:firstLine="960" w:firstLineChars="400"/>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zh-CN" w:eastAsia="zh-CN"/>
        </w:rPr>
        <w:t>（8</w:t>
      </w:r>
      <w:r>
        <w:rPr>
          <w:rFonts w:hint="eastAsia" w:ascii="宋体" w:hAnsi="宋体" w:eastAsia="宋体" w:cs="宋体"/>
          <w:b w:val="0"/>
          <w:bCs w:val="0"/>
          <w:color w:val="auto"/>
          <w:sz w:val="24"/>
          <w:highlight w:val="none"/>
          <w:lang w:val="zh-CN" w:eastAsia="zh-CN"/>
        </w:rPr>
        <w:t>-</w:t>
      </w:r>
      <w:r>
        <w:rPr>
          <w:rFonts w:hint="eastAsia" w:ascii="宋体" w:hAnsi="宋体" w:eastAsia="宋体" w:cs="宋体"/>
          <w:b w:val="0"/>
          <w:bCs w:val="0"/>
          <w:color w:val="auto"/>
          <w:sz w:val="24"/>
          <w:highlight w:val="none"/>
          <w:lang w:val="en-US" w:eastAsia="zh-CN"/>
        </w:rPr>
        <w:t>5）检测仪器设备配备方案</w:t>
      </w:r>
      <w:r>
        <w:rPr>
          <w:rFonts w:hint="eastAsia" w:ascii="宋体" w:hAnsi="宋体" w:cs="宋体"/>
          <w:b w:val="0"/>
          <w:bCs w:val="0"/>
          <w:color w:val="auto"/>
          <w:sz w:val="24"/>
          <w:highlight w:val="none"/>
          <w:lang w:val="en-US" w:eastAsia="zh-CN"/>
        </w:rPr>
        <w:t>、设备配置清单、</w:t>
      </w:r>
      <w:r>
        <w:rPr>
          <w:rFonts w:hint="eastAsia" w:ascii="宋体" w:hAnsi="宋体" w:eastAsia="宋体" w:cs="宋体"/>
          <w:b w:val="0"/>
          <w:bCs w:val="0"/>
          <w:color w:val="auto"/>
          <w:kern w:val="2"/>
          <w:sz w:val="24"/>
          <w:szCs w:val="24"/>
          <w:highlight w:val="none"/>
          <w:lang w:val="en-US" w:eastAsia="zh-CN" w:bidi="ar-SA"/>
        </w:rPr>
        <w:t>设备清晰图片及设备的技术参数</w:t>
      </w:r>
      <w:r>
        <w:rPr>
          <w:rFonts w:hint="eastAsia" w:ascii="宋体" w:hAnsi="宋体" w:eastAsia="宋体" w:cs="宋体"/>
          <w:b w:val="0"/>
          <w:bCs w:val="0"/>
          <w:color w:val="auto"/>
          <w:sz w:val="24"/>
          <w:highlight w:val="none"/>
          <w:lang w:val="en-US" w:eastAsia="zh-CN"/>
        </w:rPr>
        <w:t>；</w:t>
      </w:r>
    </w:p>
    <w:p w14:paraId="79B2081E">
      <w:pPr>
        <w:snapToGrid w:val="0"/>
        <w:spacing w:line="360" w:lineRule="auto"/>
        <w:ind w:firstLine="960" w:firstLineChars="400"/>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zh-CN"/>
        </w:rPr>
        <w:t>（8-</w:t>
      </w:r>
      <w:r>
        <w:rPr>
          <w:rFonts w:hint="eastAsia" w:ascii="宋体" w:hAnsi="宋体" w:eastAsia="宋体" w:cs="宋体"/>
          <w:b w:val="0"/>
          <w:bCs w:val="0"/>
          <w:color w:val="auto"/>
          <w:sz w:val="24"/>
          <w:highlight w:val="none"/>
          <w:lang w:val="en-US" w:eastAsia="zh-CN"/>
        </w:rPr>
        <w:t>6</w:t>
      </w:r>
      <w:r>
        <w:rPr>
          <w:rFonts w:hint="eastAsia" w:ascii="宋体" w:hAnsi="宋体" w:eastAsia="宋体" w:cs="宋体"/>
          <w:b w:val="0"/>
          <w:bCs w:val="0"/>
          <w:color w:val="auto"/>
          <w:sz w:val="24"/>
          <w:highlight w:val="none"/>
          <w:lang w:val="zh-CN" w:eastAsia="zh-CN"/>
        </w:rPr>
        <w:t>）</w:t>
      </w:r>
      <w:r>
        <w:rPr>
          <w:rFonts w:hint="eastAsia" w:ascii="宋体" w:hAnsi="宋体" w:cs="宋体"/>
          <w:b w:val="0"/>
          <w:bCs w:val="0"/>
          <w:color w:val="auto"/>
          <w:sz w:val="24"/>
          <w:szCs w:val="24"/>
          <w:highlight w:val="none"/>
          <w:lang w:val="en-US" w:eastAsia="zh-CN"/>
        </w:rPr>
        <w:t>实验室质量控制方案</w:t>
      </w:r>
      <w:r>
        <w:rPr>
          <w:rFonts w:hint="eastAsia" w:ascii="宋体" w:hAnsi="宋体" w:eastAsia="宋体" w:cs="宋体"/>
          <w:b w:val="0"/>
          <w:bCs w:val="0"/>
          <w:color w:val="auto"/>
          <w:sz w:val="24"/>
          <w:highlight w:val="none"/>
          <w:lang w:val="en-US" w:eastAsia="zh-CN"/>
        </w:rPr>
        <w:t>；</w:t>
      </w:r>
    </w:p>
    <w:p w14:paraId="0071D8BF">
      <w:pPr>
        <w:snapToGrid w:val="0"/>
        <w:spacing w:line="360" w:lineRule="auto"/>
        <w:ind w:firstLine="960" w:firstLineChars="4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（8-</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zh-CN" w:eastAsia="zh-CN"/>
        </w:rPr>
        <w:t>）紧急标本检测方案</w:t>
      </w:r>
      <w:r>
        <w:rPr>
          <w:rFonts w:hint="eastAsia" w:ascii="宋体" w:hAnsi="宋体" w:eastAsia="宋体" w:cs="宋体"/>
          <w:b w:val="0"/>
          <w:bCs w:val="0"/>
          <w:color w:val="auto"/>
          <w:sz w:val="24"/>
          <w:highlight w:val="none"/>
          <w:lang w:val="en-US" w:eastAsia="zh-CN"/>
        </w:rPr>
        <w:t>；</w:t>
      </w:r>
    </w:p>
    <w:p w14:paraId="4C763710">
      <w:pPr>
        <w:snapToGrid w:val="0"/>
        <w:spacing w:line="360" w:lineRule="auto"/>
        <w:ind w:firstLine="960" w:firstLineChars="4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zh-CN" w:eastAsia="zh-CN"/>
        </w:rPr>
        <w:t>（8-</w:t>
      </w:r>
      <w:r>
        <w:rPr>
          <w:rFonts w:hint="eastAsia" w:ascii="宋体" w:hAnsi="宋体" w:cs="宋体"/>
          <w:b w:val="0"/>
          <w:bCs w:val="0"/>
          <w:color w:val="auto"/>
          <w:sz w:val="24"/>
          <w:highlight w:val="none"/>
          <w:lang w:val="en-US" w:eastAsia="zh-CN"/>
        </w:rPr>
        <w:t>8</w:t>
      </w:r>
      <w:r>
        <w:rPr>
          <w:rFonts w:hint="eastAsia" w:ascii="宋体" w:hAnsi="宋体" w:cs="宋体"/>
          <w:b w:val="0"/>
          <w:bCs w:val="0"/>
          <w:color w:val="auto"/>
          <w:sz w:val="24"/>
          <w:highlight w:val="none"/>
          <w:lang w:val="zh-CN" w:eastAsia="zh-CN"/>
        </w:rPr>
        <w:t>）冷链物流方案</w:t>
      </w:r>
      <w:r>
        <w:rPr>
          <w:rFonts w:hint="eastAsia" w:ascii="宋体" w:hAnsi="宋体" w:cs="宋体"/>
          <w:b w:val="0"/>
          <w:bCs w:val="0"/>
          <w:color w:val="auto"/>
          <w:sz w:val="24"/>
          <w:highlight w:val="none"/>
          <w:lang w:val="en-US" w:eastAsia="zh-CN"/>
        </w:rPr>
        <w:t>；</w:t>
      </w:r>
    </w:p>
    <w:p w14:paraId="5D99B723">
      <w:pPr>
        <w:snapToGrid w:val="0"/>
        <w:spacing w:line="360" w:lineRule="auto"/>
        <w:ind w:firstLine="960" w:firstLineChars="400"/>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zh-CN"/>
        </w:rPr>
        <w:t>（8-</w:t>
      </w:r>
      <w:r>
        <w:rPr>
          <w:rFonts w:hint="eastAsia" w:ascii="宋体" w:hAnsi="宋体" w:eastAsia="宋体" w:cs="宋体"/>
          <w:b w:val="0"/>
          <w:bCs w:val="0"/>
          <w:color w:val="auto"/>
          <w:sz w:val="24"/>
          <w:highlight w:val="none"/>
          <w:lang w:val="en-US" w:eastAsia="zh-CN"/>
        </w:rPr>
        <w:t>9</w:t>
      </w:r>
      <w:r>
        <w:rPr>
          <w:rFonts w:hint="eastAsia" w:ascii="宋体" w:hAnsi="宋体" w:eastAsia="宋体" w:cs="宋体"/>
          <w:b w:val="0"/>
          <w:bCs w:val="0"/>
          <w:color w:val="auto"/>
          <w:sz w:val="24"/>
          <w:highlight w:val="none"/>
          <w:lang w:val="zh-CN" w:eastAsia="zh-CN"/>
        </w:rPr>
        <w:t>）</w:t>
      </w:r>
      <w:r>
        <w:rPr>
          <w:rFonts w:hint="eastAsia" w:ascii="宋体" w:hAnsi="宋体" w:cs="宋体"/>
          <w:b w:val="0"/>
          <w:bCs w:val="0"/>
          <w:color w:val="auto"/>
          <w:sz w:val="24"/>
          <w:highlight w:val="none"/>
          <w:lang w:val="en-US" w:eastAsia="zh-CN"/>
        </w:rPr>
        <w:t>增值服务</w:t>
      </w:r>
      <w:r>
        <w:rPr>
          <w:rFonts w:hint="eastAsia" w:ascii="宋体" w:hAnsi="宋体" w:eastAsia="宋体" w:cs="宋体"/>
          <w:b w:val="0"/>
          <w:bCs w:val="0"/>
          <w:color w:val="auto"/>
          <w:sz w:val="24"/>
          <w:highlight w:val="none"/>
          <w:lang w:val="zh-CN" w:eastAsia="zh-CN"/>
        </w:rPr>
        <w:t>；</w:t>
      </w:r>
    </w:p>
    <w:p w14:paraId="43E1894A">
      <w:pPr>
        <w:snapToGrid w:val="0"/>
        <w:spacing w:line="360" w:lineRule="auto"/>
        <w:ind w:firstLine="960" w:firstLineChars="4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（8-</w:t>
      </w:r>
      <w:r>
        <w:rPr>
          <w:rFonts w:hint="eastAsia" w:ascii="宋体" w:hAnsi="宋体" w:eastAsia="宋体" w:cs="宋体"/>
          <w:b w:val="0"/>
          <w:bCs w:val="0"/>
          <w:color w:val="auto"/>
          <w:sz w:val="24"/>
          <w:highlight w:val="none"/>
          <w:lang w:val="en-US" w:eastAsia="zh-CN"/>
        </w:rPr>
        <w:t>10</w:t>
      </w:r>
      <w:r>
        <w:rPr>
          <w:rFonts w:hint="eastAsia" w:ascii="宋体" w:hAnsi="宋体" w:eastAsia="宋体" w:cs="宋体"/>
          <w:b w:val="0"/>
          <w:bCs w:val="0"/>
          <w:color w:val="auto"/>
          <w:sz w:val="24"/>
          <w:highlight w:val="none"/>
          <w:lang w:val="zh-CN" w:eastAsia="zh-CN"/>
        </w:rPr>
        <w:t>）</w:t>
      </w:r>
      <w:r>
        <w:rPr>
          <w:rFonts w:hint="eastAsia" w:ascii="宋体" w:hAnsi="宋体" w:cs="宋体"/>
          <w:b w:val="0"/>
          <w:bCs w:val="0"/>
          <w:color w:val="auto"/>
          <w:sz w:val="24"/>
          <w:highlight w:val="none"/>
          <w:lang w:val="en-US" w:eastAsia="zh-CN"/>
        </w:rPr>
        <w:t>保密</w:t>
      </w:r>
      <w:r>
        <w:rPr>
          <w:rFonts w:hint="eastAsia" w:ascii="宋体" w:hAnsi="宋体" w:eastAsia="宋体" w:cs="宋体"/>
          <w:b w:val="0"/>
          <w:bCs w:val="0"/>
          <w:color w:val="auto"/>
          <w:sz w:val="24"/>
          <w:highlight w:val="none"/>
          <w:lang w:val="en-US" w:eastAsia="zh-CN"/>
        </w:rPr>
        <w:t>方案；</w:t>
      </w:r>
    </w:p>
    <w:p w14:paraId="1F4A2BCF">
      <w:pPr>
        <w:snapToGrid w:val="0"/>
        <w:spacing w:line="360" w:lineRule="auto"/>
        <w:ind w:firstLine="960" w:firstLineChars="400"/>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zh-CN"/>
        </w:rPr>
        <w:t>（</w:t>
      </w:r>
      <w:r>
        <w:rPr>
          <w:rFonts w:hint="eastAsia" w:ascii="宋体" w:hAnsi="宋体" w:eastAsia="宋体" w:cs="宋体"/>
          <w:b w:val="0"/>
          <w:bCs w:val="0"/>
          <w:color w:val="auto"/>
          <w:sz w:val="24"/>
          <w:highlight w:val="none"/>
          <w:lang w:val="en-US" w:eastAsia="zh-CN"/>
        </w:rPr>
        <w:t>8-11</w:t>
      </w:r>
      <w:r>
        <w:rPr>
          <w:rFonts w:hint="eastAsia" w:ascii="宋体" w:hAnsi="宋体" w:eastAsia="宋体" w:cs="宋体"/>
          <w:b w:val="0"/>
          <w:bCs w:val="0"/>
          <w:color w:val="auto"/>
          <w:sz w:val="24"/>
          <w:highlight w:val="none"/>
          <w:lang w:val="zh-CN" w:eastAsia="zh-CN"/>
        </w:rPr>
        <w:t>）拟投入的实验室团队人员</w:t>
      </w:r>
      <w:r>
        <w:rPr>
          <w:rFonts w:hint="eastAsia" w:ascii="宋体" w:hAnsi="宋体" w:cs="宋体"/>
          <w:b w:val="0"/>
          <w:bCs w:val="0"/>
          <w:color w:val="auto"/>
          <w:sz w:val="24"/>
          <w:highlight w:val="none"/>
          <w:lang w:val="zh-CN" w:eastAsia="zh-CN"/>
        </w:rPr>
        <w:t>；</w:t>
      </w:r>
    </w:p>
    <w:p w14:paraId="52B84385">
      <w:pPr>
        <w:snapToGrid w:val="0"/>
        <w:spacing w:line="360" w:lineRule="auto"/>
        <w:ind w:firstLine="960" w:firstLineChars="4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w:t>
      </w:r>
      <w:r>
        <w:rPr>
          <w:rFonts w:hint="eastAsia" w:ascii="宋体" w:hAnsi="宋体" w:eastAsia="宋体" w:cs="宋体"/>
          <w:b w:val="0"/>
          <w:bCs w:val="0"/>
          <w:color w:val="auto"/>
          <w:sz w:val="24"/>
          <w:highlight w:val="none"/>
          <w:lang w:val="en-US" w:eastAsia="zh-CN"/>
        </w:rPr>
        <w:t>8-1</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val="zh-CN" w:eastAsia="zh-CN"/>
        </w:rPr>
        <w:t>）业绩一览表</w:t>
      </w:r>
      <w:r>
        <w:rPr>
          <w:rFonts w:hint="eastAsia" w:ascii="宋体" w:hAnsi="宋体" w:eastAsia="宋体" w:cs="宋体"/>
          <w:b w:val="0"/>
          <w:bCs w:val="0"/>
          <w:color w:val="auto"/>
          <w:sz w:val="24"/>
          <w:highlight w:val="none"/>
          <w:lang w:val="en-US" w:eastAsia="zh-CN"/>
        </w:rPr>
        <w:t>及合同扫描件</w:t>
      </w:r>
      <w:r>
        <w:rPr>
          <w:rFonts w:hint="eastAsia" w:ascii="宋体" w:hAnsi="宋体" w:cs="宋体"/>
          <w:b w:val="0"/>
          <w:bCs w:val="0"/>
          <w:color w:val="auto"/>
          <w:sz w:val="24"/>
          <w:highlight w:val="none"/>
          <w:lang w:val="en-US" w:eastAsia="zh-CN"/>
        </w:rPr>
        <w:t>加盖公章（如有请提供）</w:t>
      </w:r>
      <w:r>
        <w:rPr>
          <w:rFonts w:hint="eastAsia" w:ascii="宋体" w:hAnsi="宋体" w:eastAsia="宋体" w:cs="宋体"/>
          <w:b w:val="0"/>
          <w:bCs w:val="0"/>
          <w:color w:val="auto"/>
          <w:sz w:val="24"/>
          <w:highlight w:val="none"/>
          <w:lang w:val="en-US" w:eastAsia="zh-CN"/>
        </w:rPr>
        <w:t>；</w:t>
      </w:r>
    </w:p>
    <w:p w14:paraId="71B5E0BA">
      <w:pPr>
        <w:pStyle w:val="3"/>
        <w:ind w:firstLine="840" w:firstLineChars="400"/>
        <w:rPr>
          <w:rFonts w:hint="eastAsia"/>
          <w:color w:val="auto"/>
          <w:highlight w:val="none"/>
          <w:lang w:val="zh-CN"/>
        </w:rPr>
      </w:pPr>
    </w:p>
    <w:p w14:paraId="4EDA91E2">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2325A73A">
      <w:pPr>
        <w:snapToGrid w:val="0"/>
        <w:spacing w:line="360" w:lineRule="auto"/>
        <w:ind w:firstLine="964" w:firstLineChars="400"/>
        <w:jc w:val="center"/>
        <w:rPr>
          <w:rFonts w:ascii="宋体" w:hAnsi="宋体" w:cs="宋体"/>
          <w:b/>
          <w:bCs/>
          <w:color w:val="auto"/>
          <w:sz w:val="24"/>
          <w:highlight w:val="none"/>
        </w:rPr>
      </w:pPr>
      <w:r>
        <w:rPr>
          <w:rFonts w:hint="eastAsia" w:ascii="宋体" w:hAnsi="宋体" w:cs="宋体"/>
          <w:b/>
          <w:bCs/>
          <w:color w:val="auto"/>
          <w:sz w:val="24"/>
          <w:highlight w:val="none"/>
        </w:rPr>
        <w:t>业绩一览表</w:t>
      </w:r>
    </w:p>
    <w:tbl>
      <w:tblPr>
        <w:tblStyle w:val="64"/>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14:paraId="3BA89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48F95A35">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365" w:type="dxa"/>
            <w:tcBorders>
              <w:top w:val="single" w:color="auto" w:sz="4" w:space="0"/>
              <w:left w:val="single" w:color="auto" w:sz="4" w:space="0"/>
              <w:bottom w:val="single" w:color="auto" w:sz="4" w:space="0"/>
              <w:right w:val="single" w:color="auto" w:sz="4" w:space="0"/>
            </w:tcBorders>
            <w:vAlign w:val="center"/>
          </w:tcPr>
          <w:p w14:paraId="1D3851E0">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采购单位</w:t>
            </w:r>
          </w:p>
        </w:tc>
        <w:tc>
          <w:tcPr>
            <w:tcW w:w="1297" w:type="dxa"/>
            <w:tcBorders>
              <w:top w:val="single" w:color="auto" w:sz="4" w:space="0"/>
              <w:left w:val="single" w:color="auto" w:sz="4" w:space="0"/>
              <w:right w:val="single" w:color="auto" w:sz="4" w:space="0"/>
            </w:tcBorders>
            <w:vAlign w:val="center"/>
          </w:tcPr>
          <w:p w14:paraId="4AFEB224">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57255D61">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合同金额</w:t>
            </w:r>
          </w:p>
          <w:p w14:paraId="3F851F49">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28233A0F">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5EBA3D11">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合同签订时间</w:t>
            </w:r>
          </w:p>
        </w:tc>
      </w:tr>
      <w:tr w14:paraId="684B0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1B6ADDC8">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65" w:type="dxa"/>
            <w:tcBorders>
              <w:top w:val="single" w:color="auto" w:sz="4" w:space="0"/>
              <w:left w:val="single" w:color="auto" w:sz="4" w:space="0"/>
              <w:bottom w:val="single" w:color="auto" w:sz="4" w:space="0"/>
              <w:right w:val="single" w:color="auto" w:sz="4" w:space="0"/>
            </w:tcBorders>
            <w:vAlign w:val="center"/>
          </w:tcPr>
          <w:p w14:paraId="5EF74DDD">
            <w:pPr>
              <w:spacing w:line="360" w:lineRule="exact"/>
              <w:jc w:val="left"/>
              <w:rPr>
                <w:rFonts w:ascii="宋体" w:hAnsi="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7202B398">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24085807">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45B8831">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6DD33E7E">
            <w:pPr>
              <w:spacing w:line="360" w:lineRule="exact"/>
              <w:jc w:val="left"/>
              <w:rPr>
                <w:rFonts w:ascii="宋体" w:hAnsi="宋体" w:cs="宋体"/>
                <w:color w:val="auto"/>
                <w:kern w:val="0"/>
                <w:sz w:val="24"/>
                <w:highlight w:val="none"/>
              </w:rPr>
            </w:pPr>
          </w:p>
        </w:tc>
      </w:tr>
      <w:tr w14:paraId="63037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59D1C340">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65" w:type="dxa"/>
            <w:tcBorders>
              <w:top w:val="single" w:color="auto" w:sz="4" w:space="0"/>
              <w:left w:val="single" w:color="auto" w:sz="4" w:space="0"/>
              <w:bottom w:val="single" w:color="auto" w:sz="4" w:space="0"/>
              <w:right w:val="single" w:color="auto" w:sz="4" w:space="0"/>
            </w:tcBorders>
            <w:vAlign w:val="center"/>
          </w:tcPr>
          <w:p w14:paraId="743BD696">
            <w:pPr>
              <w:spacing w:line="360" w:lineRule="exact"/>
              <w:jc w:val="left"/>
              <w:rPr>
                <w:rFonts w:ascii="宋体" w:hAnsi="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14EF5389">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53D2892D">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587A865">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2B1365BA">
            <w:pPr>
              <w:spacing w:line="360" w:lineRule="exact"/>
              <w:jc w:val="left"/>
              <w:rPr>
                <w:rFonts w:ascii="宋体" w:hAnsi="宋体" w:cs="宋体"/>
                <w:color w:val="auto"/>
                <w:kern w:val="0"/>
                <w:sz w:val="24"/>
                <w:highlight w:val="none"/>
              </w:rPr>
            </w:pPr>
          </w:p>
        </w:tc>
      </w:tr>
      <w:tr w14:paraId="7CFB1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7D9B44BE">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65" w:type="dxa"/>
            <w:tcBorders>
              <w:top w:val="single" w:color="auto" w:sz="4" w:space="0"/>
              <w:left w:val="single" w:color="auto" w:sz="4" w:space="0"/>
              <w:bottom w:val="single" w:color="auto" w:sz="4" w:space="0"/>
              <w:right w:val="single" w:color="auto" w:sz="4" w:space="0"/>
            </w:tcBorders>
            <w:vAlign w:val="center"/>
          </w:tcPr>
          <w:p w14:paraId="33DE2E95">
            <w:pPr>
              <w:spacing w:line="360" w:lineRule="exact"/>
              <w:jc w:val="left"/>
              <w:rPr>
                <w:rFonts w:ascii="宋体" w:hAnsi="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09E1EA76">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5FEEE1CA">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55332AB">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2142F9FA">
            <w:pPr>
              <w:spacing w:line="360" w:lineRule="exact"/>
              <w:jc w:val="left"/>
              <w:rPr>
                <w:rFonts w:ascii="宋体" w:hAnsi="宋体" w:cs="宋体"/>
                <w:color w:val="auto"/>
                <w:kern w:val="0"/>
                <w:sz w:val="24"/>
                <w:highlight w:val="none"/>
              </w:rPr>
            </w:pPr>
          </w:p>
        </w:tc>
      </w:tr>
      <w:tr w14:paraId="12697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4F879254">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65" w:type="dxa"/>
            <w:tcBorders>
              <w:top w:val="single" w:color="auto" w:sz="4" w:space="0"/>
              <w:left w:val="single" w:color="auto" w:sz="4" w:space="0"/>
              <w:bottom w:val="single" w:color="auto" w:sz="4" w:space="0"/>
              <w:right w:val="single" w:color="auto" w:sz="4" w:space="0"/>
            </w:tcBorders>
            <w:vAlign w:val="center"/>
          </w:tcPr>
          <w:p w14:paraId="34D0B46A">
            <w:pPr>
              <w:spacing w:line="360" w:lineRule="exact"/>
              <w:jc w:val="left"/>
              <w:rPr>
                <w:rFonts w:ascii="宋体" w:hAnsi="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7A634C39">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34CEEACA">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3649B456">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F41B90D">
            <w:pPr>
              <w:spacing w:line="360" w:lineRule="exact"/>
              <w:jc w:val="left"/>
              <w:rPr>
                <w:rFonts w:ascii="宋体" w:hAnsi="宋体" w:cs="宋体"/>
                <w:color w:val="auto"/>
                <w:kern w:val="0"/>
                <w:sz w:val="24"/>
                <w:highlight w:val="none"/>
              </w:rPr>
            </w:pPr>
          </w:p>
        </w:tc>
      </w:tr>
      <w:tr w14:paraId="30B40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79C09E94">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65" w:type="dxa"/>
            <w:tcBorders>
              <w:top w:val="single" w:color="auto" w:sz="4" w:space="0"/>
              <w:left w:val="single" w:color="auto" w:sz="4" w:space="0"/>
              <w:bottom w:val="single" w:color="auto" w:sz="4" w:space="0"/>
              <w:right w:val="single" w:color="auto" w:sz="4" w:space="0"/>
            </w:tcBorders>
            <w:vAlign w:val="center"/>
          </w:tcPr>
          <w:p w14:paraId="611812EE">
            <w:pPr>
              <w:spacing w:line="360" w:lineRule="exact"/>
              <w:jc w:val="left"/>
              <w:rPr>
                <w:rFonts w:ascii="宋体" w:hAnsi="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43857793">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5435EA9C">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6A85047C">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02AB4E42">
            <w:pPr>
              <w:spacing w:line="360" w:lineRule="exact"/>
              <w:jc w:val="left"/>
              <w:rPr>
                <w:rFonts w:ascii="宋体" w:hAnsi="宋体" w:cs="宋体"/>
                <w:color w:val="auto"/>
                <w:kern w:val="0"/>
                <w:sz w:val="24"/>
                <w:highlight w:val="none"/>
              </w:rPr>
            </w:pPr>
          </w:p>
        </w:tc>
      </w:tr>
    </w:tbl>
    <w:p w14:paraId="0875BA52">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附合同</w:t>
      </w:r>
      <w:r>
        <w:rPr>
          <w:rFonts w:hint="eastAsia" w:ascii="宋体" w:hAnsi="宋体" w:cs="宋体"/>
          <w:color w:val="auto"/>
          <w:kern w:val="0"/>
          <w:sz w:val="24"/>
          <w:highlight w:val="none"/>
          <w:lang w:val="en-US" w:eastAsia="zh-CN"/>
        </w:rPr>
        <w:t>扫描件</w:t>
      </w:r>
      <w:r>
        <w:rPr>
          <w:rFonts w:hint="eastAsia" w:ascii="宋体" w:hAnsi="宋体" w:cs="宋体"/>
          <w:color w:val="auto"/>
          <w:kern w:val="0"/>
          <w:sz w:val="24"/>
          <w:highlight w:val="none"/>
        </w:rPr>
        <w:t>加盖公章</w:t>
      </w:r>
    </w:p>
    <w:p w14:paraId="6FA15B13">
      <w:pPr>
        <w:spacing w:line="360" w:lineRule="auto"/>
        <w:ind w:firstLine="480" w:firstLineChars="200"/>
        <w:jc w:val="left"/>
        <w:rPr>
          <w:rFonts w:ascii="宋体" w:hAnsi="宋体" w:cs="宋体"/>
          <w:color w:val="auto"/>
          <w:kern w:val="0"/>
          <w:sz w:val="24"/>
          <w:highlight w:val="none"/>
          <w:lang w:val="zh-CN"/>
        </w:rPr>
      </w:pPr>
    </w:p>
    <w:p w14:paraId="10494CD4">
      <w:pPr>
        <w:spacing w:line="360" w:lineRule="auto"/>
        <w:ind w:firstLine="480" w:firstLineChars="200"/>
        <w:jc w:val="left"/>
        <w:rPr>
          <w:rFonts w:ascii="宋体" w:hAnsi="宋体" w:cs="宋体"/>
          <w:color w:val="auto"/>
          <w:kern w:val="0"/>
          <w:sz w:val="24"/>
          <w:highlight w:val="none"/>
          <w:lang w:val="zh-CN"/>
        </w:rPr>
      </w:pPr>
    </w:p>
    <w:p w14:paraId="7D43B37C">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电子签章</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 xml:space="preserve">         </w:t>
      </w:r>
    </w:p>
    <w:p w14:paraId="161A175C">
      <w:pPr>
        <w:pStyle w:val="26"/>
        <w:rPr>
          <w:color w:val="auto"/>
          <w:highlight w:val="none"/>
        </w:rPr>
      </w:pPr>
      <w:r>
        <w:rPr>
          <w:rFonts w:hint="eastAsia" w:cs="宋体"/>
          <w:color w:val="auto"/>
          <w:kern w:val="0"/>
          <w:highlight w:val="none"/>
        </w:rPr>
        <w:t>日  期：</w:t>
      </w:r>
    </w:p>
    <w:p w14:paraId="779B14A5">
      <w:pPr>
        <w:pStyle w:val="26"/>
        <w:ind w:firstLine="482"/>
        <w:rPr>
          <w:b/>
          <w:bCs/>
          <w:color w:val="auto"/>
          <w:highlight w:val="none"/>
        </w:rPr>
      </w:pPr>
    </w:p>
    <w:p w14:paraId="0520DFBB">
      <w:pPr>
        <w:pStyle w:val="26"/>
        <w:rPr>
          <w:color w:val="auto"/>
          <w:highlight w:val="none"/>
        </w:rPr>
      </w:pPr>
    </w:p>
    <w:p w14:paraId="31079BE1">
      <w:pPr>
        <w:rPr>
          <w:rFonts w:ascii="宋体" w:hAnsi="宋体" w:cs="宋体"/>
          <w:b/>
          <w:bCs/>
          <w:color w:val="auto"/>
          <w:sz w:val="24"/>
          <w:highlight w:val="none"/>
        </w:rPr>
      </w:pPr>
      <w:r>
        <w:rPr>
          <w:rFonts w:hint="eastAsia" w:ascii="宋体" w:hAnsi="宋体" w:cs="宋体"/>
          <w:b/>
          <w:bCs/>
          <w:color w:val="auto"/>
          <w:sz w:val="24"/>
          <w:highlight w:val="none"/>
        </w:rPr>
        <w:br w:type="page"/>
      </w:r>
    </w:p>
    <w:p w14:paraId="3F2AD627">
      <w:pPr>
        <w:jc w:val="center"/>
        <w:rPr>
          <w:b/>
          <w:bCs/>
          <w:color w:val="auto"/>
          <w:sz w:val="36"/>
          <w:szCs w:val="36"/>
          <w:highlight w:val="none"/>
        </w:rPr>
      </w:pPr>
      <w:bookmarkStart w:id="443" w:name="_Toc16712"/>
    </w:p>
    <w:p w14:paraId="33709B3D">
      <w:pPr>
        <w:jc w:val="center"/>
        <w:rPr>
          <w:b/>
          <w:bCs/>
          <w:color w:val="auto"/>
          <w:sz w:val="36"/>
          <w:szCs w:val="36"/>
          <w:highlight w:val="none"/>
        </w:rPr>
      </w:pPr>
      <w:r>
        <w:rPr>
          <w:rFonts w:hint="eastAsia"/>
          <w:b/>
          <w:bCs/>
          <w:color w:val="auto"/>
          <w:sz w:val="36"/>
          <w:szCs w:val="36"/>
          <w:highlight w:val="none"/>
        </w:rPr>
        <w:t>报价文件部分</w:t>
      </w:r>
      <w:bookmarkEnd w:id="443"/>
    </w:p>
    <w:p w14:paraId="64D36864">
      <w:pPr>
        <w:spacing w:line="360" w:lineRule="auto"/>
        <w:jc w:val="center"/>
        <w:outlineLvl w:val="0"/>
        <w:rPr>
          <w:rFonts w:ascii="宋体" w:hAnsi="宋体" w:cs="宋体"/>
          <w:b/>
          <w:color w:val="auto"/>
          <w:kern w:val="0"/>
          <w:sz w:val="36"/>
          <w:szCs w:val="36"/>
          <w:highlight w:val="none"/>
        </w:rPr>
      </w:pPr>
      <w:bookmarkStart w:id="444" w:name="_Toc31513"/>
    </w:p>
    <w:bookmarkEnd w:id="444"/>
    <w:p w14:paraId="6D0B30F0">
      <w:pPr>
        <w:jc w:val="center"/>
        <w:rPr>
          <w:b/>
          <w:bCs/>
          <w:color w:val="auto"/>
          <w:sz w:val="30"/>
          <w:szCs w:val="30"/>
          <w:highlight w:val="none"/>
        </w:rPr>
      </w:pPr>
      <w:bookmarkStart w:id="445" w:name="_Toc21159"/>
      <w:r>
        <w:rPr>
          <w:rFonts w:hint="eastAsia"/>
          <w:b/>
          <w:bCs/>
          <w:color w:val="auto"/>
          <w:sz w:val="30"/>
          <w:szCs w:val="30"/>
          <w:highlight w:val="none"/>
        </w:rPr>
        <w:t>一、开标一览表</w:t>
      </w:r>
      <w:bookmarkEnd w:id="445"/>
    </w:p>
    <w:p w14:paraId="013B4098">
      <w:pPr>
        <w:spacing w:after="120" w:afterLines="50" w:line="540" w:lineRule="exact"/>
        <w:ind w:right="25" w:rightChars="12"/>
        <w:rPr>
          <w:rFonts w:ascii="宋体" w:hAnsi="宋体" w:cs="宋体"/>
          <w:color w:val="auto"/>
          <w:sz w:val="24"/>
          <w:highlight w:val="none"/>
        </w:rPr>
      </w:pPr>
    </w:p>
    <w:tbl>
      <w:tblPr>
        <w:tblStyle w:val="6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2312"/>
        <w:gridCol w:w="3104"/>
        <w:gridCol w:w="3104"/>
      </w:tblGrid>
      <w:tr w14:paraId="0E1A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411" w:type="pct"/>
            <w:vAlign w:val="center"/>
          </w:tcPr>
          <w:p w14:paraId="6B5765DB">
            <w:pPr>
              <w:spacing w:line="500" w:lineRule="exact"/>
              <w:ind w:right="25" w:rightChars="12"/>
              <w:jc w:val="center"/>
              <w:rPr>
                <w:rFonts w:ascii="宋体" w:hAnsi="宋体" w:cs="宋体"/>
                <w:b/>
                <w:color w:val="auto"/>
                <w:sz w:val="24"/>
                <w:highlight w:val="none"/>
              </w:rPr>
            </w:pPr>
            <w:r>
              <w:rPr>
                <w:rFonts w:hint="eastAsia" w:ascii="宋体" w:hAnsi="宋体" w:cs="宋体"/>
                <w:b/>
                <w:color w:val="auto"/>
                <w:sz w:val="24"/>
                <w:highlight w:val="none"/>
              </w:rPr>
              <w:t>标项号</w:t>
            </w:r>
          </w:p>
        </w:tc>
        <w:tc>
          <w:tcPr>
            <w:tcW w:w="1245" w:type="pct"/>
            <w:vAlign w:val="center"/>
          </w:tcPr>
          <w:p w14:paraId="1DB46753">
            <w:pPr>
              <w:spacing w:line="500" w:lineRule="exact"/>
              <w:ind w:left="297" w:right="25" w:rightChars="12"/>
              <w:jc w:val="center"/>
              <w:rPr>
                <w:rFonts w:ascii="宋体" w:hAnsi="宋体" w:cs="宋体"/>
                <w:b/>
                <w:color w:val="auto"/>
                <w:sz w:val="24"/>
                <w:highlight w:val="none"/>
              </w:rPr>
            </w:pPr>
            <w:r>
              <w:rPr>
                <w:rFonts w:hint="eastAsia" w:ascii="宋体" w:hAnsi="宋体" w:cs="宋体"/>
                <w:b/>
                <w:color w:val="auto"/>
                <w:sz w:val="24"/>
                <w:highlight w:val="none"/>
              </w:rPr>
              <w:t>采购内容</w:t>
            </w:r>
          </w:p>
        </w:tc>
        <w:tc>
          <w:tcPr>
            <w:tcW w:w="1671" w:type="pct"/>
            <w:vAlign w:val="center"/>
          </w:tcPr>
          <w:p w14:paraId="37084213">
            <w:pPr>
              <w:spacing w:line="500" w:lineRule="exact"/>
              <w:ind w:right="25" w:rightChars="12"/>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服务比例</w:t>
            </w:r>
            <w:r>
              <w:rPr>
                <w:rFonts w:hint="eastAsia" w:ascii="宋体" w:hAnsi="宋体" w:cs="宋体"/>
                <w:b/>
                <w:color w:val="auto"/>
                <w:sz w:val="24"/>
                <w:highlight w:val="none"/>
              </w:rPr>
              <w:t>投标</w:t>
            </w:r>
            <w:r>
              <w:rPr>
                <w:rFonts w:hint="eastAsia" w:ascii="宋体" w:hAnsi="宋体" w:cs="宋体"/>
                <w:b/>
                <w:color w:val="auto"/>
                <w:sz w:val="24"/>
                <w:highlight w:val="none"/>
                <w:lang w:val="en-US" w:eastAsia="zh-CN"/>
              </w:rPr>
              <w:t>报价</w:t>
            </w:r>
          </w:p>
        </w:tc>
        <w:tc>
          <w:tcPr>
            <w:tcW w:w="1671" w:type="pct"/>
            <w:vAlign w:val="center"/>
          </w:tcPr>
          <w:p w14:paraId="178A3CDC">
            <w:pPr>
              <w:spacing w:line="500" w:lineRule="exact"/>
              <w:ind w:right="25" w:rightChars="12"/>
              <w:jc w:val="center"/>
              <w:rPr>
                <w:rFonts w:hint="default" w:ascii="宋体" w:hAnsi="宋体" w:cs="宋体"/>
                <w:b/>
                <w:color w:val="auto"/>
                <w:sz w:val="24"/>
                <w:highlight w:val="none"/>
                <w:lang w:val="en-US"/>
              </w:rPr>
            </w:pPr>
            <w:r>
              <w:rPr>
                <w:rFonts w:hint="eastAsia" w:ascii="宋体" w:hAnsi="宋体" w:cs="宋体"/>
                <w:b/>
                <w:color w:val="auto"/>
                <w:sz w:val="24"/>
                <w:highlight w:val="none"/>
                <w:lang w:val="en-US" w:eastAsia="zh-CN"/>
              </w:rPr>
              <w:t>服务期限</w:t>
            </w:r>
          </w:p>
        </w:tc>
      </w:tr>
      <w:tr w14:paraId="43AFF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411" w:type="pct"/>
            <w:vAlign w:val="center"/>
          </w:tcPr>
          <w:p w14:paraId="78A845B9">
            <w:pPr>
              <w:spacing w:line="500" w:lineRule="exact"/>
              <w:ind w:right="25" w:rightChars="12"/>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245" w:type="pct"/>
            <w:vAlign w:val="center"/>
          </w:tcPr>
          <w:p w14:paraId="33DDC092">
            <w:pPr>
              <w:spacing w:line="500" w:lineRule="exact"/>
              <w:ind w:right="25" w:rightChars="12"/>
              <w:jc w:val="center"/>
              <w:rPr>
                <w:rFonts w:hint="default" w:ascii="宋体" w:hAnsi="宋体" w:eastAsia="宋体" w:cs="宋体"/>
                <w:color w:val="auto"/>
                <w:sz w:val="24"/>
                <w:highlight w:val="none"/>
                <w:lang w:val="en-US" w:eastAsia="zh-CN"/>
              </w:rPr>
            </w:pPr>
          </w:p>
        </w:tc>
        <w:tc>
          <w:tcPr>
            <w:tcW w:w="1671" w:type="pct"/>
            <w:vAlign w:val="center"/>
          </w:tcPr>
          <w:p w14:paraId="1AFE9653">
            <w:pPr>
              <w:spacing w:line="500" w:lineRule="exact"/>
              <w:ind w:right="25" w:rightChars="12"/>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__________%</w:t>
            </w:r>
          </w:p>
        </w:tc>
        <w:tc>
          <w:tcPr>
            <w:tcW w:w="1671" w:type="pct"/>
            <w:vAlign w:val="center"/>
          </w:tcPr>
          <w:p w14:paraId="45FF3D58">
            <w:pPr>
              <w:spacing w:line="500" w:lineRule="exact"/>
              <w:ind w:right="25" w:rightChars="12"/>
              <w:jc w:val="center"/>
              <w:rPr>
                <w:rFonts w:ascii="宋体" w:hAnsi="宋体" w:cs="宋体"/>
                <w:color w:val="auto"/>
                <w:sz w:val="24"/>
                <w:highlight w:val="none"/>
              </w:rPr>
            </w:pPr>
          </w:p>
        </w:tc>
      </w:tr>
    </w:tbl>
    <w:p w14:paraId="2FB7D67B">
      <w:pPr>
        <w:snapToGrid w:val="0"/>
        <w:spacing w:before="50" w:after="50"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13B784D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注: 报价一经涂改，应在涂改处加盖单位公章或者由法定代表人或授权委托人签字或盖章，否则其投标作无效标处理。</w:t>
      </w:r>
    </w:p>
    <w:p w14:paraId="20566B37">
      <w:pPr>
        <w:snapToGrid w:val="0"/>
        <w:spacing w:line="360" w:lineRule="auto"/>
        <w:ind w:left="-21" w:leftChars="-72" w:right="-817" w:rightChars="-389" w:hanging="130" w:hangingChars="62"/>
        <w:rPr>
          <w:rFonts w:ascii="宋体" w:hAnsi="宋体" w:cs="宋体"/>
          <w:color w:val="auto"/>
          <w:szCs w:val="21"/>
          <w:highlight w:val="none"/>
        </w:rPr>
      </w:pPr>
    </w:p>
    <w:p w14:paraId="31B3910C">
      <w:pPr>
        <w:snapToGrid w:val="0"/>
        <w:spacing w:line="360" w:lineRule="auto"/>
        <w:ind w:left="-21" w:leftChars="-72" w:right="-817" w:rightChars="-389" w:hanging="130" w:hangingChars="62"/>
        <w:rPr>
          <w:rFonts w:ascii="宋体" w:hAnsi="宋体" w:cs="宋体"/>
          <w:color w:val="auto"/>
          <w:szCs w:val="21"/>
          <w:highlight w:val="none"/>
        </w:rPr>
      </w:pPr>
    </w:p>
    <w:p w14:paraId="18F0A3C9">
      <w:pPr>
        <w:pStyle w:val="34"/>
        <w:tabs>
          <w:tab w:val="left" w:pos="2472"/>
        </w:tabs>
        <w:snapToGrid w:val="0"/>
        <w:spacing w:line="360" w:lineRule="auto"/>
        <w:jc w:val="left"/>
        <w:rPr>
          <w:rFonts w:hAnsi="宋体" w:cs="宋体"/>
          <w:color w:val="auto"/>
          <w:highlight w:val="none"/>
        </w:rPr>
      </w:pPr>
      <w:r>
        <w:rPr>
          <w:rFonts w:hint="eastAsia" w:hAnsi="宋体" w:cs="宋体"/>
          <w:color w:val="auto"/>
          <w:highlight w:val="none"/>
        </w:rPr>
        <w:t>投标人名称(电子签章):___________________</w:t>
      </w:r>
    </w:p>
    <w:p w14:paraId="0593462A">
      <w:pPr>
        <w:pStyle w:val="34"/>
        <w:tabs>
          <w:tab w:val="left" w:pos="2472"/>
        </w:tabs>
        <w:snapToGrid w:val="0"/>
        <w:spacing w:line="360" w:lineRule="auto"/>
        <w:jc w:val="left"/>
        <w:rPr>
          <w:rFonts w:hAnsi="宋体" w:cs="宋体"/>
          <w:color w:val="auto"/>
          <w:highlight w:val="none"/>
        </w:rPr>
      </w:pPr>
      <w:r>
        <w:rPr>
          <w:rFonts w:hint="eastAsia" w:hAnsi="宋体" w:cs="宋体"/>
          <w:color w:val="auto"/>
          <w:highlight w:val="none"/>
        </w:rPr>
        <w:t xml:space="preserve">                </w:t>
      </w:r>
    </w:p>
    <w:p w14:paraId="53D6BA46">
      <w:pPr>
        <w:pStyle w:val="34"/>
        <w:snapToGrid w:val="0"/>
        <w:spacing w:before="295" w:after="295"/>
        <w:rPr>
          <w:rFonts w:hAnsi="宋体" w:cs="宋体"/>
          <w:color w:val="auto"/>
          <w:highlight w:val="none"/>
        </w:rPr>
      </w:pPr>
      <w:r>
        <w:rPr>
          <w:rFonts w:hint="eastAsia" w:hAnsi="宋体" w:cs="宋体"/>
          <w:color w:val="auto"/>
          <w:highlight w:val="none"/>
        </w:rPr>
        <w:t>日期:_____年___月___日</w:t>
      </w:r>
    </w:p>
    <w:p w14:paraId="4B852EB2">
      <w:pPr>
        <w:rPr>
          <w:rFonts w:hAnsi="宋体" w:cs="宋体"/>
          <w:color w:val="auto"/>
          <w:szCs w:val="21"/>
          <w:highlight w:val="none"/>
        </w:rPr>
      </w:pPr>
      <w:r>
        <w:rPr>
          <w:rFonts w:hint="eastAsia" w:hAnsi="宋体" w:cs="宋体"/>
          <w:color w:val="auto"/>
          <w:szCs w:val="21"/>
          <w:highlight w:val="none"/>
        </w:rPr>
        <w:br w:type="page"/>
      </w:r>
    </w:p>
    <w:p w14:paraId="33FE131F">
      <w:pPr>
        <w:pStyle w:val="694"/>
        <w:ind w:firstLine="0"/>
        <w:jc w:val="center"/>
        <w:rPr>
          <w:b/>
          <w:bCs/>
          <w:color w:val="auto"/>
          <w:sz w:val="32"/>
          <w:szCs w:val="32"/>
          <w:highlight w:val="none"/>
        </w:rPr>
      </w:pPr>
      <w:bookmarkStart w:id="446" w:name="_Toc8239"/>
      <w:r>
        <w:rPr>
          <w:rFonts w:hint="eastAsia"/>
          <w:b/>
          <w:bCs/>
          <w:color w:val="auto"/>
          <w:sz w:val="32"/>
          <w:szCs w:val="32"/>
          <w:highlight w:val="none"/>
          <w:lang w:val="en-US" w:eastAsia="zh-CN"/>
        </w:rPr>
        <w:t>二</w:t>
      </w:r>
      <w:r>
        <w:rPr>
          <w:rFonts w:hint="eastAsia"/>
          <w:b/>
          <w:bCs/>
          <w:color w:val="auto"/>
          <w:sz w:val="32"/>
          <w:szCs w:val="32"/>
          <w:highlight w:val="none"/>
        </w:rPr>
        <w:t>、中小企业声明函</w:t>
      </w:r>
      <w:bookmarkEnd w:id="446"/>
    </w:p>
    <w:p w14:paraId="3F7A365D">
      <w:pPr>
        <w:pStyle w:val="694"/>
        <w:ind w:firstLine="0"/>
        <w:jc w:val="both"/>
        <w:rPr>
          <w:b/>
          <w:bCs/>
          <w:color w:val="auto"/>
          <w:sz w:val="32"/>
          <w:szCs w:val="32"/>
          <w:highlight w:val="none"/>
        </w:rPr>
      </w:pPr>
    </w:p>
    <w:p w14:paraId="3873C8F2">
      <w:pPr>
        <w:widowControl/>
        <w:spacing w:line="360" w:lineRule="auto"/>
        <w:ind w:firstLine="120" w:firstLineChars="50"/>
        <w:jc w:val="center"/>
        <w:rPr>
          <w:rFonts w:ascii="宋体" w:hAnsi="宋体" w:cs="宋体"/>
          <w:b/>
          <w:color w:val="auto"/>
          <w:sz w:val="24"/>
          <w:highlight w:val="none"/>
        </w:rPr>
      </w:pPr>
      <w:r>
        <w:rPr>
          <w:rFonts w:hint="eastAsia" w:ascii="宋体" w:hAnsi="宋体" w:cs="宋体"/>
          <w:b/>
          <w:color w:val="auto"/>
          <w:sz w:val="24"/>
          <w:highlight w:val="none"/>
        </w:rPr>
        <w:t>提供中小企业声明函（格式见附件5）。</w:t>
      </w:r>
    </w:p>
    <w:p w14:paraId="38E8BA75">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1871D1AE">
      <w:pPr>
        <w:spacing w:line="360" w:lineRule="auto"/>
        <w:ind w:right="420" w:firstLine="3614" w:firstLineChars="1000"/>
        <w:rPr>
          <w:rFonts w:ascii="宋体" w:hAnsi="宋体" w:cs="宋体"/>
          <w:b/>
          <w:color w:val="auto"/>
          <w:kern w:val="0"/>
          <w:sz w:val="36"/>
          <w:szCs w:val="36"/>
          <w:highlight w:val="none"/>
        </w:rPr>
      </w:pPr>
    </w:p>
    <w:p w14:paraId="7A76FAB9">
      <w:pPr>
        <w:spacing w:line="360" w:lineRule="auto"/>
        <w:ind w:right="420" w:firstLine="3614" w:firstLineChars="1000"/>
        <w:rPr>
          <w:rFonts w:ascii="宋体" w:hAnsi="宋体" w:cs="宋体"/>
          <w:b/>
          <w:color w:val="auto"/>
          <w:kern w:val="0"/>
          <w:sz w:val="36"/>
          <w:szCs w:val="36"/>
          <w:highlight w:val="none"/>
        </w:rPr>
      </w:pPr>
    </w:p>
    <w:p w14:paraId="2FF99FA8">
      <w:pPr>
        <w:spacing w:line="360" w:lineRule="auto"/>
        <w:ind w:right="420" w:firstLine="3614" w:firstLineChars="1000"/>
        <w:rPr>
          <w:rFonts w:ascii="宋体" w:hAnsi="宋体" w:cs="宋体"/>
          <w:b/>
          <w:color w:val="auto"/>
          <w:kern w:val="0"/>
          <w:sz w:val="36"/>
          <w:szCs w:val="36"/>
          <w:highlight w:val="none"/>
        </w:rPr>
      </w:pPr>
    </w:p>
    <w:p w14:paraId="34621E79">
      <w:pPr>
        <w:spacing w:line="360" w:lineRule="auto"/>
        <w:ind w:right="420" w:firstLine="3614" w:firstLineChars="1000"/>
        <w:rPr>
          <w:rFonts w:ascii="宋体" w:hAnsi="宋体" w:cs="宋体"/>
          <w:b/>
          <w:color w:val="auto"/>
          <w:kern w:val="0"/>
          <w:sz w:val="36"/>
          <w:szCs w:val="36"/>
          <w:highlight w:val="none"/>
        </w:rPr>
      </w:pPr>
    </w:p>
    <w:p w14:paraId="7B967887">
      <w:pPr>
        <w:spacing w:line="360" w:lineRule="auto"/>
        <w:ind w:right="420" w:firstLine="3614" w:firstLineChars="1000"/>
        <w:rPr>
          <w:rFonts w:ascii="宋体" w:hAnsi="宋体" w:cs="宋体"/>
          <w:b/>
          <w:color w:val="auto"/>
          <w:kern w:val="0"/>
          <w:sz w:val="36"/>
          <w:szCs w:val="36"/>
          <w:highlight w:val="none"/>
        </w:rPr>
      </w:pPr>
    </w:p>
    <w:p w14:paraId="751CDF37">
      <w:pPr>
        <w:spacing w:line="360" w:lineRule="auto"/>
        <w:ind w:right="420" w:firstLine="3614" w:firstLineChars="1000"/>
        <w:rPr>
          <w:rFonts w:ascii="宋体" w:hAnsi="宋体" w:cs="宋体"/>
          <w:b/>
          <w:color w:val="auto"/>
          <w:kern w:val="0"/>
          <w:sz w:val="36"/>
          <w:szCs w:val="36"/>
          <w:highlight w:val="none"/>
        </w:rPr>
      </w:pPr>
    </w:p>
    <w:p w14:paraId="2BBB5431">
      <w:pPr>
        <w:spacing w:line="360" w:lineRule="auto"/>
        <w:ind w:right="420" w:firstLine="3614" w:firstLineChars="1000"/>
        <w:rPr>
          <w:rFonts w:ascii="宋体" w:hAnsi="宋体" w:cs="宋体"/>
          <w:b/>
          <w:color w:val="auto"/>
          <w:kern w:val="0"/>
          <w:sz w:val="36"/>
          <w:szCs w:val="36"/>
          <w:highlight w:val="none"/>
        </w:rPr>
      </w:pPr>
    </w:p>
    <w:p w14:paraId="6BD5D60E">
      <w:pPr>
        <w:spacing w:line="360" w:lineRule="auto"/>
        <w:ind w:right="420" w:firstLine="3614" w:firstLineChars="1000"/>
        <w:rPr>
          <w:rFonts w:ascii="宋体" w:hAnsi="宋体" w:cs="宋体"/>
          <w:b/>
          <w:color w:val="auto"/>
          <w:kern w:val="0"/>
          <w:sz w:val="36"/>
          <w:szCs w:val="36"/>
          <w:highlight w:val="none"/>
        </w:rPr>
      </w:pPr>
    </w:p>
    <w:p w14:paraId="06A4ED69">
      <w:pPr>
        <w:spacing w:line="360" w:lineRule="auto"/>
        <w:ind w:right="420" w:firstLine="3614" w:firstLineChars="1000"/>
        <w:rPr>
          <w:rFonts w:ascii="宋体" w:hAnsi="宋体" w:cs="宋体"/>
          <w:b/>
          <w:color w:val="auto"/>
          <w:kern w:val="0"/>
          <w:sz w:val="36"/>
          <w:szCs w:val="36"/>
          <w:highlight w:val="none"/>
        </w:rPr>
      </w:pPr>
    </w:p>
    <w:p w14:paraId="13877FBA">
      <w:pPr>
        <w:spacing w:line="360" w:lineRule="auto"/>
        <w:ind w:right="420" w:firstLine="3614" w:firstLineChars="1000"/>
        <w:rPr>
          <w:rFonts w:ascii="宋体" w:hAnsi="宋体" w:cs="宋体"/>
          <w:b/>
          <w:color w:val="auto"/>
          <w:kern w:val="0"/>
          <w:sz w:val="36"/>
          <w:szCs w:val="36"/>
          <w:highlight w:val="none"/>
        </w:rPr>
      </w:pPr>
    </w:p>
    <w:p w14:paraId="3159526A">
      <w:pPr>
        <w:spacing w:line="360" w:lineRule="auto"/>
        <w:ind w:right="420" w:firstLine="3614" w:firstLineChars="1000"/>
        <w:rPr>
          <w:rFonts w:ascii="宋体" w:hAnsi="宋体" w:cs="宋体"/>
          <w:b/>
          <w:color w:val="auto"/>
          <w:kern w:val="0"/>
          <w:sz w:val="36"/>
          <w:szCs w:val="36"/>
          <w:highlight w:val="none"/>
        </w:rPr>
      </w:pPr>
    </w:p>
    <w:p w14:paraId="716F3792">
      <w:pPr>
        <w:spacing w:line="360" w:lineRule="auto"/>
        <w:ind w:right="420" w:firstLine="3614" w:firstLineChars="1000"/>
        <w:rPr>
          <w:rFonts w:ascii="宋体" w:hAnsi="宋体" w:cs="宋体"/>
          <w:b/>
          <w:color w:val="auto"/>
          <w:kern w:val="0"/>
          <w:sz w:val="36"/>
          <w:szCs w:val="36"/>
          <w:highlight w:val="none"/>
        </w:rPr>
      </w:pPr>
    </w:p>
    <w:p w14:paraId="25B07A86">
      <w:pPr>
        <w:spacing w:line="360" w:lineRule="auto"/>
        <w:ind w:right="420" w:firstLine="3614" w:firstLineChars="1000"/>
        <w:rPr>
          <w:rFonts w:ascii="宋体" w:hAnsi="宋体" w:cs="宋体"/>
          <w:b/>
          <w:color w:val="auto"/>
          <w:kern w:val="0"/>
          <w:sz w:val="36"/>
          <w:szCs w:val="36"/>
          <w:highlight w:val="none"/>
        </w:rPr>
      </w:pPr>
    </w:p>
    <w:p w14:paraId="122E74EC">
      <w:pPr>
        <w:spacing w:line="360" w:lineRule="auto"/>
        <w:ind w:right="420" w:firstLine="3614" w:firstLineChars="1000"/>
        <w:rPr>
          <w:rFonts w:ascii="宋体" w:hAnsi="宋体" w:cs="宋体"/>
          <w:b/>
          <w:color w:val="auto"/>
          <w:kern w:val="0"/>
          <w:sz w:val="36"/>
          <w:szCs w:val="36"/>
          <w:highlight w:val="none"/>
        </w:rPr>
      </w:pPr>
    </w:p>
    <w:p w14:paraId="54D0AB1F">
      <w:pPr>
        <w:spacing w:line="360" w:lineRule="auto"/>
        <w:ind w:right="420" w:firstLine="3614" w:firstLineChars="1000"/>
        <w:rPr>
          <w:rFonts w:ascii="宋体" w:hAnsi="宋体" w:cs="宋体"/>
          <w:b/>
          <w:color w:val="auto"/>
          <w:kern w:val="0"/>
          <w:sz w:val="36"/>
          <w:szCs w:val="36"/>
          <w:highlight w:val="none"/>
        </w:rPr>
      </w:pPr>
    </w:p>
    <w:p w14:paraId="4668CD7A">
      <w:pPr>
        <w:spacing w:line="360" w:lineRule="auto"/>
        <w:ind w:right="420" w:firstLine="3614" w:firstLineChars="1000"/>
        <w:rPr>
          <w:rFonts w:ascii="宋体" w:hAnsi="宋体" w:cs="宋体"/>
          <w:b/>
          <w:color w:val="auto"/>
          <w:kern w:val="0"/>
          <w:sz w:val="36"/>
          <w:szCs w:val="36"/>
          <w:highlight w:val="none"/>
        </w:rPr>
      </w:pPr>
    </w:p>
    <w:p w14:paraId="5373F328">
      <w:pPr>
        <w:rPr>
          <w:b/>
          <w:bCs/>
          <w:color w:val="auto"/>
          <w:sz w:val="44"/>
          <w:szCs w:val="44"/>
          <w:highlight w:val="none"/>
        </w:rPr>
      </w:pPr>
      <w:bookmarkStart w:id="447" w:name="_Toc20847"/>
      <w:bookmarkStart w:id="448" w:name="_Toc465665161"/>
      <w:r>
        <w:rPr>
          <w:rFonts w:hint="eastAsia"/>
          <w:b/>
          <w:bCs/>
          <w:color w:val="auto"/>
          <w:sz w:val="44"/>
          <w:szCs w:val="44"/>
          <w:highlight w:val="none"/>
        </w:rPr>
        <w:br w:type="page"/>
      </w:r>
    </w:p>
    <w:p w14:paraId="1904D31B">
      <w:pPr>
        <w:jc w:val="center"/>
        <w:rPr>
          <w:b/>
          <w:bCs/>
          <w:color w:val="auto"/>
          <w:sz w:val="44"/>
          <w:szCs w:val="44"/>
          <w:highlight w:val="none"/>
        </w:rPr>
      </w:pPr>
      <w:r>
        <w:rPr>
          <w:rFonts w:hint="eastAsia"/>
          <w:b/>
          <w:bCs/>
          <w:color w:val="auto"/>
          <w:sz w:val="44"/>
          <w:szCs w:val="44"/>
          <w:highlight w:val="none"/>
        </w:rPr>
        <w:t>附件</w:t>
      </w:r>
      <w:bookmarkEnd w:id="447"/>
      <w:bookmarkEnd w:id="448"/>
    </w:p>
    <w:p w14:paraId="268581A0">
      <w:pPr>
        <w:spacing w:line="360" w:lineRule="auto"/>
        <w:rPr>
          <w:rFonts w:ascii="宋体" w:hAnsi="宋体" w:cs="宋体"/>
          <w:b/>
          <w:color w:val="auto"/>
          <w:spacing w:val="6"/>
          <w:sz w:val="32"/>
          <w:szCs w:val="32"/>
          <w:highlight w:val="none"/>
        </w:rPr>
      </w:pPr>
    </w:p>
    <w:p w14:paraId="716C3AF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FA9F2C">
      <w:pPr>
        <w:spacing w:line="360" w:lineRule="auto"/>
        <w:jc w:val="center"/>
        <w:rPr>
          <w:rFonts w:ascii="宋体" w:hAnsi="宋体" w:cs="宋体"/>
          <w:b/>
          <w:color w:val="auto"/>
          <w:spacing w:val="6"/>
          <w:sz w:val="32"/>
          <w:szCs w:val="32"/>
          <w:highlight w:val="none"/>
        </w:rPr>
      </w:pPr>
      <w:bookmarkStart w:id="449" w:name="OLE_LINK13"/>
      <w:bookmarkStart w:id="450" w:name="OLE_LINK14"/>
      <w:r>
        <w:rPr>
          <w:rFonts w:hint="eastAsia" w:ascii="宋体" w:hAnsi="宋体" w:cs="宋体"/>
          <w:b/>
          <w:color w:val="auto"/>
          <w:spacing w:val="6"/>
          <w:sz w:val="32"/>
          <w:szCs w:val="32"/>
          <w:highlight w:val="none"/>
        </w:rPr>
        <w:t>残疾人福利性单位声明函</w:t>
      </w:r>
    </w:p>
    <w:bookmarkEnd w:id="449"/>
    <w:bookmarkEnd w:id="450"/>
    <w:p w14:paraId="566A1178">
      <w:pPr>
        <w:spacing w:line="360" w:lineRule="auto"/>
        <w:rPr>
          <w:rFonts w:ascii="宋体" w:hAnsi="宋体" w:cs="宋体"/>
          <w:b/>
          <w:color w:val="auto"/>
          <w:spacing w:val="6"/>
          <w:sz w:val="30"/>
          <w:szCs w:val="30"/>
          <w:highlight w:val="none"/>
        </w:rPr>
      </w:pPr>
    </w:p>
    <w:p w14:paraId="64344F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w:t>
      </w:r>
      <w:r>
        <w:rPr>
          <w:rFonts w:hint="eastAsia" w:ascii="宋体" w:hAnsi="宋体" w:cs="宋体"/>
          <w:color w:val="auto"/>
          <w:sz w:val="24"/>
          <w:highlight w:val="none"/>
          <w:u w:val="single"/>
        </w:rPr>
        <w:t>宁波市北仑区人民医院标本检测外送项目（特殊检验）</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项目编号：CBNB-20251049-BL004G</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1ACAD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552D661">
      <w:pPr>
        <w:spacing w:line="360" w:lineRule="auto"/>
        <w:ind w:firstLine="480" w:firstLineChars="200"/>
        <w:rPr>
          <w:rFonts w:ascii="宋体" w:hAnsi="宋体" w:cs="宋体"/>
          <w:color w:val="auto"/>
          <w:sz w:val="24"/>
          <w:highlight w:val="none"/>
        </w:rPr>
      </w:pPr>
    </w:p>
    <w:p w14:paraId="3575686C">
      <w:pPr>
        <w:spacing w:line="360" w:lineRule="auto"/>
        <w:ind w:firstLine="480" w:firstLineChars="200"/>
        <w:rPr>
          <w:rFonts w:ascii="宋体" w:hAnsi="宋体" w:cs="宋体"/>
          <w:color w:val="auto"/>
          <w:sz w:val="24"/>
          <w:highlight w:val="none"/>
        </w:rPr>
      </w:pPr>
    </w:p>
    <w:p w14:paraId="1588391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rPr>
        <w:t>电子盖章</w:t>
      </w:r>
      <w:r>
        <w:rPr>
          <w:rFonts w:hint="eastAsia" w:ascii="宋体" w:hAnsi="宋体" w:cs="宋体"/>
          <w:color w:val="auto"/>
          <w:kern w:val="0"/>
          <w:sz w:val="24"/>
          <w:highlight w:val="none"/>
          <w:lang w:val="zh-CN"/>
        </w:rPr>
        <w:t>）：</w:t>
      </w:r>
    </w:p>
    <w:p w14:paraId="4EA9D50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8DCF067">
      <w:pPr>
        <w:spacing w:line="360" w:lineRule="auto"/>
        <w:ind w:firstLine="480" w:firstLineChars="200"/>
        <w:rPr>
          <w:rFonts w:ascii="宋体" w:hAnsi="宋体" w:cs="宋体"/>
          <w:color w:val="auto"/>
          <w:sz w:val="24"/>
          <w:highlight w:val="none"/>
        </w:rPr>
      </w:pPr>
    </w:p>
    <w:p w14:paraId="47015F58">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备注：享受政府采购支持政策的残疾人福利性单位应当同时满足以下条件：</w:t>
      </w:r>
    </w:p>
    <w:p w14:paraId="2D7E6C94">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（一）安置的残疾人占本单位在职职工人数的比例不低于25%（含25%），并且安置的残疾人人数不少于10人（含10人）；</w:t>
      </w:r>
    </w:p>
    <w:p w14:paraId="1FF9D6A6">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（二）依法与安置的每位残疾人签订了一年以上（含一年）的劳动合同或服务协议；</w:t>
      </w:r>
    </w:p>
    <w:p w14:paraId="059569B5">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（三）为安置的每位残疾人按月足额缴纳了基本养老保险、基本医疗保险、失业保险、工伤保险和生育保险等社会保险费；</w:t>
      </w:r>
    </w:p>
    <w:p w14:paraId="287B56E8">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（四）通过银行等金融机构向安置的每位残疾人，按月支付了不低于单位所在区县适用的经省级人民政府批准的月最低工资标准的工资；</w:t>
      </w:r>
    </w:p>
    <w:p w14:paraId="572933A1">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（五）提供本单位制造的货物、承担的工程或者服务（以下简称产品），或者提供其他残疾人福利性单位制造的货物（不包括使用非残疾人福利性单位注册商标的货物）。</w:t>
      </w:r>
    </w:p>
    <w:p w14:paraId="5052645B">
      <w:pPr>
        <w:spacing w:line="360" w:lineRule="auto"/>
        <w:ind w:firstLine="360" w:firstLineChars="200"/>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9E94BCE">
      <w:pPr>
        <w:spacing w:line="360" w:lineRule="auto"/>
        <w:ind w:firstLine="420" w:firstLineChars="200"/>
        <w:rPr>
          <w:rFonts w:ascii="宋体" w:hAnsi="宋体" w:cs="宋体"/>
          <w:color w:val="auto"/>
          <w:highlight w:val="none"/>
        </w:rPr>
      </w:pPr>
    </w:p>
    <w:p w14:paraId="2FDB41DB">
      <w:pPr>
        <w:spacing w:line="360" w:lineRule="auto"/>
        <w:ind w:firstLine="420" w:firstLineChars="200"/>
        <w:rPr>
          <w:rFonts w:ascii="宋体" w:hAnsi="宋体" w:cs="宋体"/>
          <w:color w:val="auto"/>
          <w:highlight w:val="none"/>
        </w:rPr>
      </w:pPr>
    </w:p>
    <w:p w14:paraId="492E4F8B">
      <w:pPr>
        <w:spacing w:line="360" w:lineRule="auto"/>
        <w:ind w:firstLine="420" w:firstLineChars="200"/>
        <w:rPr>
          <w:rFonts w:ascii="宋体" w:hAnsi="宋体" w:cs="宋体"/>
          <w:color w:val="auto"/>
          <w:highlight w:val="none"/>
        </w:rPr>
      </w:pPr>
    </w:p>
    <w:p w14:paraId="672E68D4">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附件2：</w:t>
      </w:r>
      <w:r>
        <w:rPr>
          <w:rFonts w:hint="eastAsia" w:ascii="宋体" w:hAnsi="宋体" w:cs="宋体"/>
          <w:b/>
          <w:bCs/>
          <w:color w:val="auto"/>
          <w:sz w:val="32"/>
          <w:szCs w:val="32"/>
          <w:highlight w:val="none"/>
        </w:rPr>
        <w:t>业务专用章使用说明函</w:t>
      </w:r>
    </w:p>
    <w:p w14:paraId="4C2B852A">
      <w:pPr>
        <w:spacing w:line="360" w:lineRule="auto"/>
        <w:rPr>
          <w:rFonts w:ascii="宋体" w:hAnsi="宋体" w:cs="宋体"/>
          <w:color w:val="auto"/>
          <w:sz w:val="24"/>
          <w:highlight w:val="none"/>
          <w:u w:val="single"/>
        </w:rPr>
      </w:pPr>
    </w:p>
    <w:p w14:paraId="5D5AAC6A">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1DD542E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宁波市北仑区人民医院标本检测外送项目（特殊检验）</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项目编号：CBNB-20251049-BL004G</w:t>
      </w:r>
      <w:r>
        <w:rPr>
          <w:rFonts w:hint="eastAsia" w:ascii="宋体" w:hAnsi="宋体" w:cs="宋体"/>
          <w:color w:val="auto"/>
          <w:sz w:val="24"/>
          <w:highlight w:val="none"/>
          <w:u w:val="single"/>
          <w:lang w:eastAsia="zh-CN"/>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AC306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C91102B">
      <w:pPr>
        <w:spacing w:line="360" w:lineRule="auto"/>
        <w:ind w:firstLine="494"/>
        <w:rPr>
          <w:rFonts w:ascii="宋体" w:hAnsi="宋体" w:cs="宋体"/>
          <w:color w:val="auto"/>
          <w:sz w:val="24"/>
          <w:highlight w:val="none"/>
        </w:rPr>
      </w:pPr>
    </w:p>
    <w:p w14:paraId="7BF09680">
      <w:pPr>
        <w:spacing w:line="360" w:lineRule="auto"/>
        <w:ind w:firstLine="494"/>
        <w:rPr>
          <w:rFonts w:ascii="宋体" w:hAnsi="宋体" w:cs="宋体"/>
          <w:color w:val="auto"/>
          <w:sz w:val="24"/>
          <w:highlight w:val="none"/>
        </w:rPr>
      </w:pPr>
    </w:p>
    <w:p w14:paraId="326BFBAF">
      <w:pPr>
        <w:spacing w:line="360" w:lineRule="auto"/>
        <w:ind w:firstLine="494"/>
        <w:rPr>
          <w:rFonts w:ascii="宋体" w:hAnsi="宋体" w:cs="宋体"/>
          <w:color w:val="auto"/>
          <w:sz w:val="24"/>
          <w:highlight w:val="none"/>
        </w:rPr>
      </w:pPr>
    </w:p>
    <w:p w14:paraId="377F2657">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投标单位（电子签章）：</w:t>
      </w:r>
    </w:p>
    <w:p w14:paraId="2B2374D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99C11A">
      <w:pPr>
        <w:rPr>
          <w:rFonts w:ascii="宋体" w:hAnsi="宋体" w:cs="宋体"/>
          <w:color w:val="auto"/>
          <w:sz w:val="24"/>
          <w:highlight w:val="none"/>
        </w:rPr>
      </w:pPr>
      <w:r>
        <w:rPr>
          <w:rFonts w:hint="eastAsia" w:ascii="宋体" w:hAnsi="宋体" w:cs="宋体"/>
          <w:b/>
          <w:bCs/>
          <w:color w:val="auto"/>
          <w:sz w:val="24"/>
          <w:highlight w:val="none"/>
        </w:rPr>
        <w:t>附：</w:t>
      </w:r>
    </w:p>
    <w:p w14:paraId="7158A486">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132EDDA2">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132EDDA2">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04F15A4">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04F15A4">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15908FDD">
      <w:pPr>
        <w:autoSpaceDE w:val="0"/>
        <w:autoSpaceDN w:val="0"/>
        <w:jc w:val="center"/>
        <w:rPr>
          <w:rFonts w:ascii="宋体" w:hAnsi="宋体" w:cs="宋体"/>
          <w:b/>
          <w:color w:val="auto"/>
          <w:spacing w:val="6"/>
          <w:sz w:val="32"/>
          <w:szCs w:val="32"/>
          <w:highlight w:val="none"/>
        </w:rPr>
      </w:pPr>
    </w:p>
    <w:p w14:paraId="735F31B5">
      <w:pPr>
        <w:autoSpaceDE w:val="0"/>
        <w:autoSpaceDN w:val="0"/>
        <w:jc w:val="center"/>
        <w:rPr>
          <w:rFonts w:ascii="宋体" w:hAnsi="宋体" w:cs="宋体"/>
          <w:b/>
          <w:color w:val="auto"/>
          <w:spacing w:val="6"/>
          <w:sz w:val="32"/>
          <w:szCs w:val="32"/>
          <w:highlight w:val="none"/>
        </w:rPr>
      </w:pPr>
    </w:p>
    <w:p w14:paraId="28380E00">
      <w:pPr>
        <w:autoSpaceDE w:val="0"/>
        <w:autoSpaceDN w:val="0"/>
        <w:jc w:val="center"/>
        <w:rPr>
          <w:rFonts w:ascii="宋体" w:hAnsi="宋体" w:cs="宋体"/>
          <w:b/>
          <w:color w:val="auto"/>
          <w:spacing w:val="6"/>
          <w:sz w:val="32"/>
          <w:szCs w:val="32"/>
          <w:highlight w:val="none"/>
        </w:rPr>
      </w:pPr>
    </w:p>
    <w:p w14:paraId="52B3EBD0">
      <w:pPr>
        <w:autoSpaceDE w:val="0"/>
        <w:autoSpaceDN w:val="0"/>
        <w:jc w:val="center"/>
        <w:rPr>
          <w:rFonts w:ascii="宋体" w:hAnsi="宋体" w:cs="宋体"/>
          <w:b/>
          <w:color w:val="auto"/>
          <w:spacing w:val="6"/>
          <w:sz w:val="32"/>
          <w:szCs w:val="32"/>
          <w:highlight w:val="none"/>
        </w:rPr>
      </w:pPr>
    </w:p>
    <w:p w14:paraId="5014006F">
      <w:pPr>
        <w:autoSpaceDE w:val="0"/>
        <w:autoSpaceDN w:val="0"/>
        <w:jc w:val="center"/>
        <w:rPr>
          <w:rFonts w:ascii="宋体" w:hAnsi="宋体" w:cs="宋体"/>
          <w:b/>
          <w:color w:val="auto"/>
          <w:spacing w:val="6"/>
          <w:sz w:val="32"/>
          <w:szCs w:val="32"/>
          <w:highlight w:val="none"/>
        </w:rPr>
      </w:pPr>
    </w:p>
    <w:p w14:paraId="32880EFC">
      <w:pPr>
        <w:autoSpaceDE w:val="0"/>
        <w:autoSpaceDN w:val="0"/>
        <w:jc w:val="center"/>
        <w:rPr>
          <w:rFonts w:ascii="宋体" w:hAnsi="宋体" w:cs="宋体"/>
          <w:b/>
          <w:color w:val="auto"/>
          <w:spacing w:val="6"/>
          <w:sz w:val="32"/>
          <w:szCs w:val="32"/>
          <w:highlight w:val="none"/>
        </w:rPr>
      </w:pPr>
    </w:p>
    <w:p w14:paraId="06B21E85">
      <w:pPr>
        <w:autoSpaceDE w:val="0"/>
        <w:autoSpaceDN w:val="0"/>
        <w:jc w:val="center"/>
        <w:rPr>
          <w:rFonts w:ascii="宋体" w:hAnsi="宋体" w:cs="宋体"/>
          <w:b/>
          <w:color w:val="auto"/>
          <w:spacing w:val="6"/>
          <w:sz w:val="32"/>
          <w:szCs w:val="32"/>
          <w:highlight w:val="none"/>
        </w:rPr>
      </w:pPr>
    </w:p>
    <w:p w14:paraId="31394FEB">
      <w:pPr>
        <w:autoSpaceDE w:val="0"/>
        <w:autoSpaceDN w:val="0"/>
        <w:jc w:val="center"/>
        <w:rPr>
          <w:rFonts w:ascii="宋体" w:hAnsi="宋体" w:cs="宋体"/>
          <w:b/>
          <w:color w:val="auto"/>
          <w:spacing w:val="6"/>
          <w:sz w:val="32"/>
          <w:szCs w:val="32"/>
          <w:highlight w:val="none"/>
        </w:rPr>
      </w:pPr>
    </w:p>
    <w:p w14:paraId="0868881A">
      <w:pPr>
        <w:autoSpaceDE w:val="0"/>
        <w:autoSpaceDN w:val="0"/>
        <w:jc w:val="center"/>
        <w:rPr>
          <w:rFonts w:ascii="宋体" w:hAnsi="宋体" w:cs="宋体"/>
          <w:b/>
          <w:color w:val="auto"/>
          <w:spacing w:val="6"/>
          <w:sz w:val="32"/>
          <w:szCs w:val="32"/>
          <w:highlight w:val="none"/>
        </w:rPr>
      </w:pPr>
    </w:p>
    <w:p w14:paraId="5DA94D87">
      <w:pPr>
        <w:autoSpaceDE w:val="0"/>
        <w:autoSpaceDN w:val="0"/>
        <w:jc w:val="center"/>
        <w:rPr>
          <w:rFonts w:ascii="宋体" w:hAnsi="宋体" w:cs="宋体"/>
          <w:b/>
          <w:color w:val="auto"/>
          <w:spacing w:val="6"/>
          <w:sz w:val="32"/>
          <w:szCs w:val="32"/>
          <w:highlight w:val="none"/>
        </w:rPr>
      </w:pPr>
    </w:p>
    <w:p w14:paraId="26A6A892">
      <w:pPr>
        <w:autoSpaceDE w:val="0"/>
        <w:autoSpaceDN w:val="0"/>
        <w:jc w:val="center"/>
        <w:rPr>
          <w:rFonts w:ascii="宋体" w:hAnsi="宋体" w:cs="宋体"/>
          <w:b/>
          <w:color w:val="auto"/>
          <w:spacing w:val="6"/>
          <w:sz w:val="32"/>
          <w:szCs w:val="32"/>
          <w:highlight w:val="none"/>
        </w:rPr>
      </w:pPr>
    </w:p>
    <w:p w14:paraId="5A79FFD0">
      <w:pPr>
        <w:autoSpaceDE w:val="0"/>
        <w:autoSpaceDN w:val="0"/>
        <w:jc w:val="center"/>
        <w:rPr>
          <w:rFonts w:ascii="宋体" w:hAnsi="宋体" w:cs="宋体"/>
          <w:b/>
          <w:color w:val="auto"/>
          <w:spacing w:val="6"/>
          <w:sz w:val="32"/>
          <w:szCs w:val="32"/>
          <w:highlight w:val="none"/>
        </w:rPr>
      </w:pPr>
    </w:p>
    <w:p w14:paraId="15B24813">
      <w:pPr>
        <w:autoSpaceDE w:val="0"/>
        <w:autoSpaceDN w:val="0"/>
        <w:jc w:val="center"/>
        <w:rPr>
          <w:rFonts w:ascii="宋体" w:hAnsi="宋体" w:cs="宋体"/>
          <w:b/>
          <w:color w:val="auto"/>
          <w:spacing w:val="6"/>
          <w:sz w:val="32"/>
          <w:szCs w:val="32"/>
          <w:highlight w:val="none"/>
        </w:rPr>
      </w:pPr>
    </w:p>
    <w:p w14:paraId="6918C4BD">
      <w:pPr>
        <w:autoSpaceDE w:val="0"/>
        <w:autoSpaceDN w:val="0"/>
        <w:jc w:val="center"/>
        <w:rPr>
          <w:rFonts w:ascii="宋体" w:hAnsi="宋体" w:cs="宋体"/>
          <w:b/>
          <w:color w:val="auto"/>
          <w:spacing w:val="6"/>
          <w:sz w:val="32"/>
          <w:szCs w:val="32"/>
          <w:highlight w:val="none"/>
        </w:rPr>
      </w:pPr>
    </w:p>
    <w:p w14:paraId="7255F05C">
      <w:pPr>
        <w:autoSpaceDE w:val="0"/>
        <w:autoSpaceDN w:val="0"/>
        <w:jc w:val="both"/>
        <w:rPr>
          <w:rFonts w:ascii="宋体" w:hAnsi="宋体" w:cs="宋体"/>
          <w:b/>
          <w:color w:val="auto"/>
          <w:spacing w:val="6"/>
          <w:sz w:val="32"/>
          <w:szCs w:val="32"/>
          <w:highlight w:val="none"/>
        </w:rPr>
      </w:pPr>
    </w:p>
    <w:p w14:paraId="370930C9">
      <w:pPr>
        <w:rPr>
          <w:b/>
          <w:bCs/>
          <w:color w:val="auto"/>
          <w:sz w:val="32"/>
          <w:szCs w:val="32"/>
          <w:highlight w:val="none"/>
        </w:rPr>
      </w:pPr>
      <w:bookmarkStart w:id="451" w:name="_Toc27865"/>
      <w:r>
        <w:rPr>
          <w:rFonts w:hint="eastAsia"/>
          <w:b/>
          <w:bCs/>
          <w:color w:val="auto"/>
          <w:sz w:val="32"/>
          <w:szCs w:val="32"/>
          <w:highlight w:val="none"/>
        </w:rPr>
        <w:br w:type="page"/>
      </w:r>
    </w:p>
    <w:p w14:paraId="671662A4">
      <w:pPr>
        <w:jc w:val="center"/>
        <w:rPr>
          <w:b/>
          <w:bCs/>
          <w:color w:val="auto"/>
          <w:sz w:val="32"/>
          <w:szCs w:val="32"/>
          <w:highlight w:val="none"/>
        </w:rPr>
      </w:pPr>
      <w:r>
        <w:rPr>
          <w:rFonts w:hint="eastAsia"/>
          <w:b/>
          <w:bCs/>
          <w:color w:val="auto"/>
          <w:sz w:val="32"/>
          <w:szCs w:val="32"/>
          <w:highlight w:val="none"/>
        </w:rPr>
        <w:t>附件3：联合协议</w:t>
      </w:r>
      <w:bookmarkEnd w:id="451"/>
      <w:r>
        <w:rPr>
          <w:rFonts w:hint="eastAsia"/>
          <w:b/>
          <w:bCs/>
          <w:color w:val="auto"/>
          <w:sz w:val="32"/>
          <w:szCs w:val="32"/>
          <w:highlight w:val="none"/>
        </w:rPr>
        <w:t>（如适用）</w:t>
      </w:r>
    </w:p>
    <w:p w14:paraId="126997B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1BA70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u w:val="single"/>
        </w:rPr>
        <w:t>宁波市北仑区人民医院标本检测外送项目（特殊检验）</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项目编号：CBNB-20251049-BL004G</w:t>
      </w:r>
      <w:r>
        <w:rPr>
          <w:rFonts w:hint="eastAsia" w:ascii="宋体" w:hAnsi="宋体" w:cs="宋体"/>
          <w:color w:val="auto"/>
          <w:sz w:val="24"/>
          <w:highlight w:val="none"/>
          <w:u w:val="single"/>
          <w:lang w:eastAsia="zh-CN"/>
        </w:rPr>
        <w:t>）</w:t>
      </w:r>
      <w:r>
        <w:rPr>
          <w:rFonts w:hint="eastAsia" w:ascii="宋体" w:hAnsi="宋体" w:cs="宋体"/>
          <w:color w:val="auto"/>
          <w:kern w:val="0"/>
          <w:sz w:val="24"/>
          <w:highlight w:val="none"/>
          <w:lang w:val="zh-CN"/>
        </w:rPr>
        <w:t xml:space="preserve">投标。 </w:t>
      </w:r>
    </w:p>
    <w:p w14:paraId="242BEB7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8F63C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E7A56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91E1737">
      <w:pPr>
        <w:snapToGrid w:val="0"/>
        <w:spacing w:line="360" w:lineRule="auto"/>
        <w:ind w:firstLine="576"/>
        <w:rPr>
          <w:rFonts w:ascii="宋体" w:hAnsi="宋体" w:cs="宋体"/>
          <w:color w:val="auto"/>
          <w:kern w:val="0"/>
          <w:sz w:val="24"/>
          <w:highlight w:val="none"/>
          <w:lang w:val="zh-CN"/>
        </w:rPr>
      </w:pPr>
      <w:bookmarkStart w:id="452"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4D0EC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62D6E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52"/>
    <w:p w14:paraId="695B3A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76B82DB">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w:t>
      </w:r>
      <w:r>
        <w:rPr>
          <w:rFonts w:hint="eastAsia" w:ascii="宋体" w:hAnsi="宋体" w:cs="宋体"/>
          <w:color w:val="auto"/>
          <w:kern w:val="0"/>
          <w:sz w:val="24"/>
          <w:highlight w:val="none"/>
          <w:lang w:val="en-US" w:eastAsia="zh-CN"/>
        </w:rPr>
        <w:t>服务</w:t>
      </w:r>
      <w:r>
        <w:rPr>
          <w:rFonts w:hint="eastAsia" w:ascii="宋体" w:hAnsi="宋体" w:cs="宋体"/>
          <w:color w:val="auto"/>
          <w:kern w:val="0"/>
          <w:sz w:val="24"/>
          <w:highlight w:val="none"/>
        </w:rPr>
        <w:t>由小微企业</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76A561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7AA3584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53A40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BA453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46FDD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6016DB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BB6CD2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hint="eastAsia" w:ascii="宋体" w:hAnsi="宋体" w:cs="宋体"/>
          <w:color w:val="auto"/>
          <w:kern w:val="0"/>
          <w:sz w:val="24"/>
          <w:highlight w:val="none"/>
          <w:lang w:val="en-US" w:eastAsia="zh-CN"/>
        </w:rPr>
        <w:t>电子签章/公章）</w:t>
      </w:r>
      <w:r>
        <w:rPr>
          <w:rFonts w:hint="eastAsia" w:ascii="宋体" w:hAnsi="宋体" w:cs="宋体"/>
          <w:color w:val="auto"/>
          <w:kern w:val="0"/>
          <w:sz w:val="24"/>
          <w:highlight w:val="none"/>
          <w:lang w:val="zh-CN"/>
        </w:rPr>
        <w:t>：</w:t>
      </w:r>
    </w:p>
    <w:p w14:paraId="7556321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hint="eastAsia" w:ascii="宋体" w:hAnsi="宋体" w:cs="宋体"/>
          <w:color w:val="auto"/>
          <w:kern w:val="0"/>
          <w:sz w:val="24"/>
          <w:highlight w:val="none"/>
          <w:lang w:val="en-US" w:eastAsia="zh-CN"/>
        </w:rPr>
        <w:t>电子签章/公章）</w:t>
      </w:r>
      <w:r>
        <w:rPr>
          <w:rFonts w:hint="eastAsia" w:ascii="宋体" w:hAnsi="宋体" w:cs="宋体"/>
          <w:color w:val="auto"/>
          <w:kern w:val="0"/>
          <w:sz w:val="24"/>
          <w:highlight w:val="none"/>
          <w:lang w:val="zh-CN"/>
        </w:rPr>
        <w:t>：</w:t>
      </w:r>
    </w:p>
    <w:p w14:paraId="6383306C">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FD868EB">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C8083F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B052F83">
      <w:pPr>
        <w:autoSpaceDE w:val="0"/>
        <w:autoSpaceDN w:val="0"/>
        <w:jc w:val="center"/>
        <w:rPr>
          <w:rFonts w:ascii="宋体" w:hAnsi="宋体" w:cs="宋体"/>
          <w:b/>
          <w:color w:val="auto"/>
          <w:spacing w:val="6"/>
          <w:sz w:val="32"/>
          <w:szCs w:val="32"/>
          <w:highlight w:val="none"/>
        </w:rPr>
      </w:pPr>
    </w:p>
    <w:p w14:paraId="25FF1FE5">
      <w:pPr>
        <w:autoSpaceDE w:val="0"/>
        <w:autoSpaceDN w:val="0"/>
        <w:jc w:val="center"/>
        <w:rPr>
          <w:rFonts w:ascii="宋体" w:hAnsi="宋体" w:cs="宋体"/>
          <w:b/>
          <w:color w:val="auto"/>
          <w:spacing w:val="6"/>
          <w:sz w:val="32"/>
          <w:szCs w:val="32"/>
          <w:highlight w:val="none"/>
        </w:rPr>
      </w:pPr>
    </w:p>
    <w:p w14:paraId="40DDFB0B">
      <w:pPr>
        <w:autoSpaceDE w:val="0"/>
        <w:autoSpaceDN w:val="0"/>
        <w:jc w:val="center"/>
        <w:rPr>
          <w:rFonts w:ascii="宋体" w:hAnsi="宋体" w:cs="宋体"/>
          <w:b/>
          <w:color w:val="auto"/>
          <w:spacing w:val="6"/>
          <w:sz w:val="32"/>
          <w:szCs w:val="32"/>
          <w:highlight w:val="none"/>
        </w:rPr>
      </w:pPr>
    </w:p>
    <w:p w14:paraId="60D3B903">
      <w:pPr>
        <w:autoSpaceDE w:val="0"/>
        <w:autoSpaceDN w:val="0"/>
        <w:jc w:val="center"/>
        <w:rPr>
          <w:rFonts w:ascii="宋体" w:hAnsi="宋体" w:cs="宋体"/>
          <w:b/>
          <w:color w:val="auto"/>
          <w:spacing w:val="6"/>
          <w:sz w:val="32"/>
          <w:szCs w:val="32"/>
          <w:highlight w:val="none"/>
        </w:rPr>
      </w:pPr>
    </w:p>
    <w:p w14:paraId="397CA812">
      <w:pPr>
        <w:autoSpaceDE w:val="0"/>
        <w:autoSpaceDN w:val="0"/>
        <w:jc w:val="center"/>
        <w:rPr>
          <w:rFonts w:ascii="宋体" w:hAnsi="宋体" w:cs="宋体"/>
          <w:b/>
          <w:color w:val="auto"/>
          <w:spacing w:val="6"/>
          <w:sz w:val="32"/>
          <w:szCs w:val="32"/>
          <w:highlight w:val="none"/>
        </w:rPr>
      </w:pPr>
    </w:p>
    <w:p w14:paraId="16EABB46">
      <w:pPr>
        <w:autoSpaceDE w:val="0"/>
        <w:autoSpaceDN w:val="0"/>
        <w:jc w:val="center"/>
        <w:rPr>
          <w:rFonts w:ascii="宋体" w:hAnsi="宋体" w:cs="宋体"/>
          <w:b/>
          <w:color w:val="auto"/>
          <w:spacing w:val="6"/>
          <w:sz w:val="32"/>
          <w:szCs w:val="32"/>
          <w:highlight w:val="none"/>
        </w:rPr>
      </w:pPr>
    </w:p>
    <w:p w14:paraId="1F0D6F3F">
      <w:pPr>
        <w:autoSpaceDE w:val="0"/>
        <w:autoSpaceDN w:val="0"/>
        <w:jc w:val="center"/>
        <w:rPr>
          <w:rFonts w:ascii="宋体" w:hAnsi="宋体" w:cs="宋体"/>
          <w:b/>
          <w:color w:val="auto"/>
          <w:spacing w:val="6"/>
          <w:sz w:val="32"/>
          <w:szCs w:val="32"/>
          <w:highlight w:val="none"/>
        </w:rPr>
      </w:pPr>
    </w:p>
    <w:p w14:paraId="69EE7CB1">
      <w:pPr>
        <w:autoSpaceDE w:val="0"/>
        <w:autoSpaceDN w:val="0"/>
        <w:jc w:val="center"/>
        <w:rPr>
          <w:rFonts w:ascii="宋体" w:hAnsi="宋体" w:cs="宋体"/>
          <w:b/>
          <w:color w:val="auto"/>
          <w:spacing w:val="6"/>
          <w:sz w:val="32"/>
          <w:szCs w:val="32"/>
          <w:highlight w:val="none"/>
        </w:rPr>
      </w:pPr>
    </w:p>
    <w:p w14:paraId="4B700E58">
      <w:pPr>
        <w:autoSpaceDE w:val="0"/>
        <w:autoSpaceDN w:val="0"/>
        <w:jc w:val="center"/>
        <w:rPr>
          <w:rFonts w:ascii="宋体" w:hAnsi="宋体" w:cs="宋体"/>
          <w:b/>
          <w:color w:val="auto"/>
          <w:spacing w:val="6"/>
          <w:sz w:val="32"/>
          <w:szCs w:val="32"/>
          <w:highlight w:val="none"/>
        </w:rPr>
      </w:pPr>
    </w:p>
    <w:p w14:paraId="3CCCE0A7">
      <w:pPr>
        <w:autoSpaceDE w:val="0"/>
        <w:autoSpaceDN w:val="0"/>
        <w:jc w:val="center"/>
        <w:rPr>
          <w:rFonts w:ascii="宋体" w:hAnsi="宋体" w:cs="宋体"/>
          <w:b/>
          <w:color w:val="auto"/>
          <w:spacing w:val="6"/>
          <w:sz w:val="32"/>
          <w:szCs w:val="32"/>
          <w:highlight w:val="none"/>
        </w:rPr>
      </w:pPr>
    </w:p>
    <w:p w14:paraId="23BE61E1">
      <w:pPr>
        <w:autoSpaceDE w:val="0"/>
        <w:autoSpaceDN w:val="0"/>
        <w:jc w:val="center"/>
        <w:rPr>
          <w:rFonts w:ascii="宋体" w:hAnsi="宋体" w:cs="宋体"/>
          <w:b/>
          <w:color w:val="auto"/>
          <w:spacing w:val="6"/>
          <w:sz w:val="32"/>
          <w:szCs w:val="32"/>
          <w:highlight w:val="none"/>
        </w:rPr>
      </w:pPr>
    </w:p>
    <w:p w14:paraId="1A5824F7">
      <w:pPr>
        <w:autoSpaceDE w:val="0"/>
        <w:autoSpaceDN w:val="0"/>
        <w:jc w:val="center"/>
        <w:rPr>
          <w:rFonts w:ascii="宋体" w:hAnsi="宋体" w:cs="宋体"/>
          <w:b/>
          <w:color w:val="auto"/>
          <w:spacing w:val="6"/>
          <w:sz w:val="32"/>
          <w:szCs w:val="32"/>
          <w:highlight w:val="none"/>
        </w:rPr>
      </w:pPr>
    </w:p>
    <w:p w14:paraId="2D5DB364">
      <w:pPr>
        <w:autoSpaceDE w:val="0"/>
        <w:autoSpaceDN w:val="0"/>
        <w:jc w:val="center"/>
        <w:rPr>
          <w:rFonts w:ascii="宋体" w:hAnsi="宋体" w:cs="宋体"/>
          <w:b/>
          <w:color w:val="auto"/>
          <w:spacing w:val="6"/>
          <w:sz w:val="32"/>
          <w:szCs w:val="32"/>
          <w:highlight w:val="none"/>
        </w:rPr>
      </w:pPr>
    </w:p>
    <w:p w14:paraId="2F765472">
      <w:pPr>
        <w:autoSpaceDE w:val="0"/>
        <w:autoSpaceDN w:val="0"/>
        <w:jc w:val="center"/>
        <w:rPr>
          <w:rFonts w:ascii="宋体" w:hAnsi="宋体" w:cs="宋体"/>
          <w:b/>
          <w:color w:val="auto"/>
          <w:spacing w:val="6"/>
          <w:sz w:val="32"/>
          <w:szCs w:val="32"/>
          <w:highlight w:val="none"/>
        </w:rPr>
      </w:pPr>
    </w:p>
    <w:p w14:paraId="6B1B0479">
      <w:pPr>
        <w:autoSpaceDE w:val="0"/>
        <w:autoSpaceDN w:val="0"/>
        <w:jc w:val="center"/>
        <w:rPr>
          <w:rFonts w:ascii="宋体" w:hAnsi="宋体" w:cs="宋体"/>
          <w:b/>
          <w:color w:val="auto"/>
          <w:spacing w:val="6"/>
          <w:sz w:val="32"/>
          <w:szCs w:val="32"/>
          <w:highlight w:val="none"/>
        </w:rPr>
      </w:pPr>
    </w:p>
    <w:p w14:paraId="06B51547">
      <w:pPr>
        <w:autoSpaceDE w:val="0"/>
        <w:autoSpaceDN w:val="0"/>
        <w:jc w:val="center"/>
        <w:rPr>
          <w:rFonts w:ascii="宋体" w:hAnsi="宋体" w:cs="宋体"/>
          <w:b/>
          <w:color w:val="auto"/>
          <w:spacing w:val="6"/>
          <w:sz w:val="32"/>
          <w:szCs w:val="32"/>
          <w:highlight w:val="none"/>
        </w:rPr>
      </w:pPr>
    </w:p>
    <w:p w14:paraId="745557CA">
      <w:pPr>
        <w:autoSpaceDE w:val="0"/>
        <w:autoSpaceDN w:val="0"/>
        <w:jc w:val="center"/>
        <w:rPr>
          <w:rFonts w:ascii="宋体" w:hAnsi="宋体" w:cs="宋体"/>
          <w:b/>
          <w:color w:val="auto"/>
          <w:spacing w:val="6"/>
          <w:sz w:val="32"/>
          <w:szCs w:val="32"/>
          <w:highlight w:val="none"/>
        </w:rPr>
      </w:pPr>
    </w:p>
    <w:p w14:paraId="3985E03F">
      <w:pPr>
        <w:autoSpaceDE w:val="0"/>
        <w:autoSpaceDN w:val="0"/>
        <w:jc w:val="center"/>
        <w:rPr>
          <w:rFonts w:ascii="宋体" w:hAnsi="宋体" w:cs="宋体"/>
          <w:b/>
          <w:color w:val="auto"/>
          <w:spacing w:val="6"/>
          <w:sz w:val="32"/>
          <w:szCs w:val="32"/>
          <w:highlight w:val="none"/>
        </w:rPr>
      </w:pPr>
    </w:p>
    <w:p w14:paraId="2D7AF9D5">
      <w:pPr>
        <w:autoSpaceDE w:val="0"/>
        <w:autoSpaceDN w:val="0"/>
        <w:jc w:val="center"/>
        <w:rPr>
          <w:rFonts w:ascii="宋体" w:hAnsi="宋体" w:cs="宋体"/>
          <w:b/>
          <w:color w:val="auto"/>
          <w:spacing w:val="6"/>
          <w:sz w:val="32"/>
          <w:szCs w:val="32"/>
          <w:highlight w:val="none"/>
        </w:rPr>
      </w:pPr>
    </w:p>
    <w:p w14:paraId="7FE06ABE">
      <w:pPr>
        <w:autoSpaceDE w:val="0"/>
        <w:autoSpaceDN w:val="0"/>
        <w:jc w:val="center"/>
        <w:rPr>
          <w:rFonts w:ascii="宋体" w:hAnsi="宋体" w:cs="宋体"/>
          <w:b/>
          <w:color w:val="auto"/>
          <w:spacing w:val="6"/>
          <w:sz w:val="32"/>
          <w:szCs w:val="32"/>
          <w:highlight w:val="none"/>
        </w:rPr>
      </w:pPr>
    </w:p>
    <w:p w14:paraId="7BEFDA05">
      <w:pPr>
        <w:autoSpaceDE w:val="0"/>
        <w:autoSpaceDN w:val="0"/>
        <w:jc w:val="center"/>
        <w:rPr>
          <w:rFonts w:ascii="宋体" w:hAnsi="宋体" w:cs="宋体"/>
          <w:b/>
          <w:color w:val="auto"/>
          <w:spacing w:val="6"/>
          <w:sz w:val="32"/>
          <w:szCs w:val="32"/>
          <w:highlight w:val="none"/>
        </w:rPr>
      </w:pPr>
    </w:p>
    <w:p w14:paraId="05940485">
      <w:pPr>
        <w:autoSpaceDE w:val="0"/>
        <w:autoSpaceDN w:val="0"/>
        <w:jc w:val="center"/>
        <w:rPr>
          <w:rFonts w:ascii="宋体" w:hAnsi="宋体" w:cs="宋体"/>
          <w:b/>
          <w:color w:val="auto"/>
          <w:spacing w:val="6"/>
          <w:sz w:val="32"/>
          <w:szCs w:val="32"/>
          <w:highlight w:val="none"/>
        </w:rPr>
      </w:pPr>
    </w:p>
    <w:p w14:paraId="09F03240">
      <w:pPr>
        <w:autoSpaceDE w:val="0"/>
        <w:autoSpaceDN w:val="0"/>
        <w:jc w:val="center"/>
        <w:rPr>
          <w:rFonts w:ascii="宋体" w:hAnsi="宋体" w:cs="宋体"/>
          <w:b/>
          <w:color w:val="auto"/>
          <w:spacing w:val="6"/>
          <w:sz w:val="32"/>
          <w:szCs w:val="32"/>
          <w:highlight w:val="none"/>
        </w:rPr>
      </w:pPr>
    </w:p>
    <w:p w14:paraId="5B1B1202">
      <w:pPr>
        <w:autoSpaceDE w:val="0"/>
        <w:autoSpaceDN w:val="0"/>
        <w:jc w:val="center"/>
        <w:rPr>
          <w:rFonts w:ascii="宋体" w:hAnsi="宋体" w:cs="宋体"/>
          <w:b/>
          <w:color w:val="auto"/>
          <w:spacing w:val="6"/>
          <w:sz w:val="32"/>
          <w:szCs w:val="32"/>
          <w:highlight w:val="none"/>
        </w:rPr>
      </w:pPr>
    </w:p>
    <w:p w14:paraId="17350F8D">
      <w:pPr>
        <w:autoSpaceDE w:val="0"/>
        <w:autoSpaceDN w:val="0"/>
        <w:jc w:val="center"/>
        <w:rPr>
          <w:rFonts w:ascii="宋体" w:hAnsi="宋体" w:cs="宋体"/>
          <w:b/>
          <w:color w:val="auto"/>
          <w:spacing w:val="6"/>
          <w:sz w:val="32"/>
          <w:szCs w:val="32"/>
          <w:highlight w:val="none"/>
        </w:rPr>
      </w:pPr>
    </w:p>
    <w:p w14:paraId="2134A181">
      <w:pP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31027262">
      <w:pPr>
        <w:jc w:val="center"/>
        <w:rPr>
          <w:b/>
          <w:bCs/>
          <w:color w:val="auto"/>
          <w:sz w:val="32"/>
          <w:szCs w:val="32"/>
          <w:highlight w:val="none"/>
        </w:rPr>
      </w:pPr>
      <w:bookmarkStart w:id="453" w:name="_Toc22286"/>
      <w:r>
        <w:rPr>
          <w:rFonts w:hint="eastAsia"/>
          <w:b/>
          <w:bCs/>
          <w:color w:val="auto"/>
          <w:sz w:val="32"/>
          <w:szCs w:val="32"/>
          <w:highlight w:val="none"/>
        </w:rPr>
        <w:t>附件4：分包意向协议</w:t>
      </w:r>
      <w:bookmarkEnd w:id="453"/>
      <w:r>
        <w:rPr>
          <w:rFonts w:hint="eastAsia"/>
          <w:b/>
          <w:bCs/>
          <w:color w:val="auto"/>
          <w:sz w:val="32"/>
          <w:szCs w:val="32"/>
          <w:highlight w:val="none"/>
        </w:rPr>
        <w:t>（如适用）</w:t>
      </w:r>
    </w:p>
    <w:p w14:paraId="47E74B09">
      <w:pPr>
        <w:widowControl/>
        <w:spacing w:line="360" w:lineRule="auto"/>
        <w:ind w:firstLine="120" w:firstLineChars="50"/>
        <w:jc w:val="left"/>
        <w:rPr>
          <w:rFonts w:ascii="宋体" w:hAnsi="宋体" w:cs="宋体"/>
          <w:b/>
          <w:bCs/>
          <w:color w:val="auto"/>
          <w:sz w:val="24"/>
          <w:highlight w:val="none"/>
        </w:rPr>
      </w:pPr>
      <w:bookmarkStart w:id="454" w:name="_Toc3460"/>
      <w:r>
        <w:rPr>
          <w:rFonts w:hint="eastAsia" w:ascii="宋体" w:hAnsi="宋体" w:cs="宋体"/>
          <w:b/>
          <w:bCs/>
          <w:color w:val="auto"/>
          <w:sz w:val="24"/>
          <w:highlight w:val="none"/>
        </w:rPr>
        <w:t>（中标后以分包方式履行合同的，提供分包意向协议；采购人不同意分包或者投标人中标后不以分包方式履行合同的，则不需要提供。）</w:t>
      </w:r>
    </w:p>
    <w:p w14:paraId="600C25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rPr>
        <w:t>宁波市北仑区人民医院标本检测外送项目（特殊检验）</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项目编号：CBNB-20251049-BL004G</w:t>
      </w:r>
      <w:r>
        <w:rPr>
          <w:rFonts w:hint="eastAsia" w:ascii="宋体" w:hAnsi="宋体" w:cs="宋体"/>
          <w:color w:val="auto"/>
          <w:sz w:val="24"/>
          <w:highlight w:val="none"/>
          <w:u w:val="single"/>
          <w:lang w:eastAsia="zh-CN"/>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637F1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BE819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DC0317E">
      <w:pPr>
        <w:pStyle w:val="6"/>
        <w:ind w:left="664" w:leftChars="316" w:firstLine="229" w:firstLineChars="95"/>
        <w:rPr>
          <w:rFonts w:ascii="宋体" w:hAnsi="宋体" w:eastAsia="宋体" w:cs="宋体"/>
          <w:color w:val="auto"/>
          <w:kern w:val="0"/>
          <w:sz w:val="24"/>
          <w:szCs w:val="24"/>
          <w:highlight w:val="none"/>
        </w:rPr>
      </w:pPr>
      <w:bookmarkStart w:id="455" w:name="_Toc17735"/>
      <w:r>
        <w:rPr>
          <w:rFonts w:hint="eastAsia" w:ascii="宋体" w:hAnsi="宋体" w:eastAsia="宋体" w:cs="宋体"/>
          <w:color w:val="auto"/>
          <w:kern w:val="0"/>
          <w:sz w:val="24"/>
          <w:szCs w:val="24"/>
          <w:highlight w:val="none"/>
        </w:rPr>
        <w:t>……</w:t>
      </w:r>
      <w:bookmarkEnd w:id="455"/>
    </w:p>
    <w:p w14:paraId="793671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13D43A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w:t>
      </w:r>
      <w:r>
        <w:rPr>
          <w:rFonts w:hint="eastAsia" w:ascii="宋体" w:hAnsi="宋体" w:cs="宋体"/>
          <w:color w:val="auto"/>
          <w:kern w:val="0"/>
          <w:sz w:val="24"/>
          <w:highlight w:val="none"/>
          <w:u w:val="single"/>
          <w:lang w:val="en-US" w:eastAsia="zh-CN"/>
        </w:rPr>
        <w:t>服务</w:t>
      </w:r>
      <w:r>
        <w:rPr>
          <w:rFonts w:hint="eastAsia" w:ascii="宋体" w:hAnsi="宋体" w:cs="宋体"/>
          <w:color w:val="auto"/>
          <w:kern w:val="0"/>
          <w:sz w:val="24"/>
          <w:highlight w:val="none"/>
          <w:u w:val="single"/>
        </w:rPr>
        <w:t>全部由小微企业</w:t>
      </w:r>
      <w:r>
        <w:rPr>
          <w:rFonts w:hint="eastAsia" w:ascii="宋体" w:hAnsi="宋体" w:cs="宋体"/>
          <w:color w:val="auto"/>
          <w:kern w:val="0"/>
          <w:sz w:val="24"/>
          <w:highlight w:val="none"/>
          <w:u w:val="single"/>
          <w:lang w:val="en-US" w:eastAsia="zh-CN"/>
        </w:rPr>
        <w:t>提供</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BF63E1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5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56"/>
    </w:p>
    <w:p w14:paraId="0E424E22">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309F39B">
      <w:pPr>
        <w:snapToGrid w:val="0"/>
        <w:spacing w:line="24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AE44D31">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E10683F">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9BAEC7D">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F6699D4">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157BF8F">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BFBF55E">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0CE39D1">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4B0C62B">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1038DB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kern w:val="0"/>
          <w:sz w:val="24"/>
          <w:highlight w:val="none"/>
          <w:lang w:val="en-US" w:eastAsia="zh-CN"/>
        </w:rPr>
        <w:t>电子签章</w:t>
      </w:r>
      <w:r>
        <w:rPr>
          <w:rFonts w:hint="eastAsia" w:ascii="宋体" w:hAnsi="宋体" w:cs="宋体"/>
          <w:color w:val="auto"/>
          <w:kern w:val="0"/>
          <w:sz w:val="24"/>
          <w:highlight w:val="none"/>
          <w:lang w:val="zh-CN"/>
        </w:rPr>
        <w:t>)：</w:t>
      </w:r>
    </w:p>
    <w:p w14:paraId="0BD93F23">
      <w:pPr>
        <w:snapToGrid w:val="0"/>
        <w:spacing w:line="360" w:lineRule="auto"/>
        <w:ind w:left="5746" w:leftChars="2736" w:firstLine="0" w:firstLineChars="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r>
        <w:rPr>
          <w:rFonts w:hint="eastAsia" w:ascii="宋体" w:hAnsi="宋体" w:cs="宋体"/>
          <w:color w:val="auto"/>
          <w:kern w:val="0"/>
          <w:sz w:val="24"/>
          <w:highlight w:val="none"/>
          <w:lang w:val="en-US" w:eastAsia="zh-CN"/>
        </w:rPr>
        <w:t>电子签章</w:t>
      </w:r>
      <w:r>
        <w:rPr>
          <w:rFonts w:hint="eastAsia" w:ascii="宋体" w:hAnsi="宋体" w:cs="宋体"/>
          <w:color w:val="auto"/>
          <w:kern w:val="0"/>
          <w:sz w:val="24"/>
          <w:highlight w:val="none"/>
          <w:lang w:val="zh-CN"/>
        </w:rPr>
        <w:t>)：</w:t>
      </w:r>
    </w:p>
    <w:p w14:paraId="36B474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AE6B83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5EFCB05">
      <w:pPr>
        <w:spacing w:line="360" w:lineRule="auto"/>
        <w:ind w:right="420"/>
        <w:rPr>
          <w:rFonts w:ascii="宋体" w:hAnsi="宋体" w:cs="宋体"/>
          <w:b/>
          <w:color w:val="auto"/>
          <w:spacing w:val="6"/>
          <w:sz w:val="32"/>
          <w:szCs w:val="32"/>
          <w:highlight w:val="none"/>
        </w:rPr>
      </w:pPr>
      <w:r>
        <w:rPr>
          <w:rFonts w:hint="eastAsia" w:ascii="宋体" w:hAnsi="宋体" w:cs="宋体"/>
          <w:color w:val="auto"/>
          <w:sz w:val="24"/>
          <w:highlight w:val="none"/>
        </w:rPr>
        <w:t>注：按本格式和要求提供。</w:t>
      </w:r>
    </w:p>
    <w:p w14:paraId="2780A4C3">
      <w:pPr>
        <w:jc w:val="center"/>
        <w:rPr>
          <w:b/>
          <w:bCs/>
          <w:color w:val="auto"/>
          <w:sz w:val="32"/>
          <w:szCs w:val="32"/>
          <w:highlight w:val="none"/>
        </w:rPr>
      </w:pPr>
      <w:r>
        <w:rPr>
          <w:rFonts w:hint="eastAsia"/>
          <w:b/>
          <w:bCs/>
          <w:color w:val="auto"/>
          <w:sz w:val="32"/>
          <w:szCs w:val="32"/>
          <w:highlight w:val="none"/>
        </w:rPr>
        <w:t>附件5：中小企业声明函</w:t>
      </w:r>
      <w:bookmarkEnd w:id="454"/>
    </w:p>
    <w:p w14:paraId="0F8AB244">
      <w:pPr>
        <w:spacing w:line="360" w:lineRule="auto"/>
        <w:jc w:val="center"/>
        <w:rPr>
          <w:rFonts w:ascii="宋体" w:hAnsi="宋体" w:cs="宋体"/>
          <w:color w:val="auto"/>
          <w:sz w:val="24"/>
          <w:highlight w:val="none"/>
          <w:u w:val="single"/>
        </w:rPr>
      </w:pPr>
    </w:p>
    <w:p w14:paraId="7022E5AE">
      <w:pPr>
        <w:jc w:val="center"/>
        <w:rPr>
          <w:rFonts w:ascii="宋体" w:cs="宋体"/>
          <w:b/>
          <w:color w:val="auto"/>
          <w:kern w:val="0"/>
          <w:sz w:val="32"/>
          <w:szCs w:val="32"/>
          <w:highlight w:val="none"/>
        </w:rPr>
      </w:pPr>
      <w:r>
        <w:rPr>
          <w:rFonts w:hint="eastAsia" w:ascii="宋体" w:cs="宋体"/>
          <w:b/>
          <w:color w:val="auto"/>
          <w:kern w:val="0"/>
          <w:sz w:val="32"/>
          <w:szCs w:val="32"/>
          <w:highlight w:val="none"/>
        </w:rPr>
        <w:t>中小企业声明函（服务）</w:t>
      </w:r>
    </w:p>
    <w:p w14:paraId="3436678B">
      <w:pPr>
        <w:jc w:val="center"/>
        <w:rPr>
          <w:rFonts w:ascii="宋体" w:cs="宋体"/>
          <w:b/>
          <w:color w:val="auto"/>
          <w:kern w:val="0"/>
          <w:sz w:val="28"/>
          <w:szCs w:val="28"/>
          <w:highlight w:val="none"/>
        </w:rPr>
      </w:pPr>
    </w:p>
    <w:p w14:paraId="3022F313">
      <w:pPr>
        <w:snapToGrid w:val="0"/>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宁波市北仑区人民医院标本检测外送项目（特殊检验）</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项目编号：CBNB-20251049-BL004G</w:t>
      </w:r>
      <w:r>
        <w:rPr>
          <w:rFonts w:hint="eastAsia" w:ascii="宋体" w:hAnsi="宋体" w:cs="宋体"/>
          <w:color w:val="auto"/>
          <w:sz w:val="24"/>
          <w:highlight w:val="none"/>
          <w:u w:val="single"/>
          <w:lang w:eastAsia="zh-CN"/>
        </w:rPr>
        <w:t>）</w:t>
      </w:r>
      <w:r>
        <w:rPr>
          <w:rFonts w:hint="eastAsia" w:ascii="宋体" w:hAnsi="宋体" w:cs="宋体"/>
          <w:bCs/>
          <w:color w:val="auto"/>
          <w:sz w:val="24"/>
          <w:highlight w:val="none"/>
        </w:rPr>
        <w:t>采购活动，服务全部由符合政策要求的中小企业承接。相关企业（含联合体中的中小企业、签订分包意向协议的中小企业）的具体情况如下：</w:t>
      </w:r>
    </w:p>
    <w:p w14:paraId="1344FB26">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u w:val="single"/>
        </w:rPr>
        <w:t>标本检测外送（特殊检验）</w:t>
      </w:r>
      <w:r>
        <w:rPr>
          <w:rFonts w:hint="eastAsia" w:ascii="宋体" w:hAnsi="宋体" w:cs="宋体"/>
          <w:bCs/>
          <w:color w:val="auto"/>
          <w:sz w:val="24"/>
          <w:highlight w:val="none"/>
        </w:rPr>
        <w:t>，</w:t>
      </w:r>
      <w:r>
        <w:rPr>
          <w:rFonts w:hint="eastAsia" w:ascii="宋体" w:hAnsi="宋体" w:cs="宋体"/>
          <w:bCs/>
          <w:color w:val="auto"/>
          <w:sz w:val="24"/>
          <w:highlight w:val="none"/>
          <w:u w:val="none"/>
        </w:rPr>
        <w:t>属于</w:t>
      </w:r>
      <w:r>
        <w:rPr>
          <w:rFonts w:hint="eastAsia" w:ascii="宋体" w:hAnsi="宋体" w:cs="宋体"/>
          <w:bCs/>
          <w:color w:val="auto"/>
          <w:sz w:val="24"/>
          <w:highlight w:val="none"/>
          <w:u w:val="single"/>
          <w:lang w:val="en-US" w:eastAsia="zh-CN"/>
        </w:rPr>
        <w:t>其他未列明行业</w:t>
      </w:r>
      <w:r>
        <w:rPr>
          <w:rFonts w:hint="eastAsia" w:ascii="宋体" w:hAnsi="宋体" w:cs="宋体"/>
          <w:bCs/>
          <w:color w:val="auto"/>
          <w:sz w:val="24"/>
          <w:highlight w:val="none"/>
        </w:rPr>
        <w:t>；承接企业为</w:t>
      </w:r>
      <w:r>
        <w:rPr>
          <w:rFonts w:hint="eastAsia" w:ascii="宋体" w:hAnsi="宋体" w:cs="宋体"/>
          <w:bCs/>
          <w:color w:val="auto"/>
          <w:sz w:val="24"/>
          <w:highlight w:val="none"/>
          <w:u w:val="single"/>
        </w:rPr>
        <w:t xml:space="preserve">（企业名称）            </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万元，属于</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r>
        <w:rPr>
          <w:rFonts w:hint="eastAsia" w:ascii="宋体" w:hAnsi="宋体" w:cs="宋体"/>
          <w:bCs/>
          <w:color w:val="auto"/>
          <w:sz w:val="24"/>
          <w:highlight w:val="none"/>
          <w:u w:val="single"/>
        </w:rPr>
        <w:t>中型企业</w:t>
      </w:r>
      <w:r>
        <w:rPr>
          <w:rFonts w:hint="eastAsia" w:ascii="宋体" w:hAnsi="宋体" w:cs="宋体"/>
          <w:bCs/>
          <w:color w:val="auto"/>
          <w:sz w:val="24"/>
          <w:highlight w:val="none"/>
        </w:rPr>
        <w:t>、</w:t>
      </w:r>
      <w:r>
        <w:rPr>
          <w:rFonts w:hint="eastAsia" w:ascii="宋体" w:hAnsi="宋体" w:cs="宋体"/>
          <w:bCs/>
          <w:color w:val="auto"/>
          <w:sz w:val="24"/>
          <w:highlight w:val="none"/>
          <w:u w:val="single"/>
        </w:rPr>
        <w:t>小型企业</w:t>
      </w:r>
      <w:r>
        <w:rPr>
          <w:rFonts w:hint="eastAsia" w:ascii="宋体" w:hAnsi="宋体" w:cs="宋体"/>
          <w:bCs/>
          <w:color w:val="auto"/>
          <w:sz w:val="24"/>
          <w:highlight w:val="none"/>
        </w:rPr>
        <w:t>、</w:t>
      </w:r>
      <w:r>
        <w:rPr>
          <w:rFonts w:hint="eastAsia" w:ascii="宋体" w:hAnsi="宋体" w:cs="宋体"/>
          <w:bCs/>
          <w:color w:val="auto"/>
          <w:sz w:val="24"/>
          <w:highlight w:val="none"/>
          <w:u w:val="single"/>
        </w:rPr>
        <w:t>微型企业</w:t>
      </w:r>
      <w:r>
        <w:rPr>
          <w:rFonts w:hint="eastAsia" w:ascii="宋体" w:hAnsi="宋体" w:cs="宋体"/>
          <w:bCs/>
          <w:color w:val="auto"/>
          <w:sz w:val="24"/>
          <w:highlight w:val="none"/>
        </w:rPr>
        <w:t>）；</w:t>
      </w:r>
    </w:p>
    <w:p w14:paraId="25136CAC">
      <w:pPr>
        <w:snapToGrid w:val="0"/>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14:paraId="2A7F7AC5">
      <w:pPr>
        <w:snapToGrid w:val="0"/>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本企业对上述声明内容的真实性负责。如有虚假，将依法承担相应责任。</w:t>
      </w:r>
    </w:p>
    <w:p w14:paraId="6D80F87A">
      <w:pPr>
        <w:snapToGrid w:val="0"/>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 xml:space="preserve">                       </w:t>
      </w:r>
    </w:p>
    <w:p w14:paraId="526A4815">
      <w:pPr>
        <w:snapToGrid w:val="0"/>
        <w:spacing w:line="360" w:lineRule="auto"/>
        <w:ind w:firstLine="3600" w:firstLineChars="1500"/>
        <w:rPr>
          <w:rFonts w:ascii="宋体" w:hAnsi="宋体" w:cs="宋体"/>
          <w:bCs/>
          <w:color w:val="auto"/>
          <w:sz w:val="24"/>
          <w:highlight w:val="none"/>
        </w:rPr>
      </w:pPr>
      <w:r>
        <w:rPr>
          <w:rFonts w:hint="eastAsia" w:ascii="宋体" w:hAnsi="宋体" w:cs="宋体"/>
          <w:bCs/>
          <w:color w:val="auto"/>
          <w:sz w:val="24"/>
          <w:highlight w:val="none"/>
        </w:rPr>
        <w:t xml:space="preserve"> 企业名称（盖章）：</w:t>
      </w:r>
    </w:p>
    <w:p w14:paraId="18CA94F1">
      <w:pPr>
        <w:snapToGrid w:val="0"/>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 xml:space="preserve">                        日期：</w:t>
      </w:r>
    </w:p>
    <w:p w14:paraId="3593E4A6">
      <w:pPr>
        <w:spacing w:line="500" w:lineRule="exact"/>
        <w:rPr>
          <w:rFonts w:ascii="仿宋" w:hAnsi="仿宋" w:eastAsia="仿宋"/>
          <w:color w:val="auto"/>
          <w:sz w:val="32"/>
          <w:szCs w:val="32"/>
          <w:highlight w:val="none"/>
          <w:u w:val="single"/>
        </w:rPr>
      </w:pPr>
    </w:p>
    <w:p w14:paraId="693F4EFE">
      <w:pPr>
        <w:spacing w:line="500" w:lineRule="exact"/>
        <w:rPr>
          <w:rFonts w:ascii="仿宋" w:hAnsi="仿宋" w:eastAsia="仿宋"/>
          <w:color w:val="auto"/>
          <w:sz w:val="32"/>
          <w:szCs w:val="32"/>
          <w:highlight w:val="none"/>
          <w:u w:val="single"/>
        </w:rPr>
      </w:pPr>
    </w:p>
    <w:p w14:paraId="463287C2">
      <w:pPr>
        <w:snapToGrid w:val="0"/>
        <w:spacing w:line="360" w:lineRule="auto"/>
        <w:rPr>
          <w:rFonts w:hint="eastAsia" w:ascii="宋体" w:hAnsi="宋体" w:cs="宋体"/>
          <w:b/>
          <w:bCs w:val="0"/>
          <w:color w:val="auto"/>
          <w:szCs w:val="21"/>
          <w:highlight w:val="none"/>
        </w:rPr>
      </w:pPr>
      <w:r>
        <w:rPr>
          <w:rFonts w:hint="eastAsia" w:ascii="宋体" w:hAnsi="宋体" w:cs="宋体"/>
          <w:b/>
          <w:bCs w:val="0"/>
          <w:color w:val="auto"/>
          <w:szCs w:val="21"/>
          <w:highlight w:val="none"/>
        </w:rPr>
        <w:t>1.从业人员、营业收入、资产总额填报上一年度数据，无上一年度数据的新成立企业可不填报。</w:t>
      </w:r>
    </w:p>
    <w:p w14:paraId="70F50339">
      <w:pPr>
        <w:snapToGrid w:val="0"/>
        <w:spacing w:line="360" w:lineRule="auto"/>
        <w:rPr>
          <w:rFonts w:hint="eastAsia" w:ascii="宋体" w:hAnsi="宋体" w:eastAsia="宋体" w:cs="宋体"/>
          <w:b/>
          <w:bCs w:val="0"/>
          <w:color w:val="auto"/>
          <w:szCs w:val="21"/>
          <w:highlight w:val="none"/>
        </w:rPr>
      </w:pPr>
      <w:r>
        <w:rPr>
          <w:rFonts w:hint="eastAsia" w:ascii="宋体" w:hAnsi="宋体" w:cs="宋体"/>
          <w:b/>
          <w:bCs w:val="0"/>
          <w:color w:val="auto"/>
          <w:szCs w:val="21"/>
          <w:highlight w:val="none"/>
        </w:rPr>
        <w:t>2.</w:t>
      </w:r>
      <w:r>
        <w:rPr>
          <w:rFonts w:hint="eastAsia" w:ascii="宋体" w:hAnsi="宋体" w:eastAsia="宋体" w:cs="宋体"/>
          <w:b/>
          <w:bCs w:val="0"/>
          <w:color w:val="auto"/>
          <w:szCs w:val="21"/>
          <w:highlight w:val="none"/>
          <w:lang w:val="en-US"/>
        </w:rPr>
        <w:t xml:space="preserve">其他未列明行业。从业人员300人以下的为中小微型企业。其中，从业人员100人及以上的为中型企业；从业人员10人及以上的为小型企业；从业人员10人以下的为微型企业。 </w:t>
      </w:r>
    </w:p>
    <w:p w14:paraId="33B03C37">
      <w:pPr>
        <w:snapToGrid w:val="0"/>
        <w:spacing w:line="360" w:lineRule="auto"/>
        <w:rPr>
          <w:rFonts w:hint="eastAsia" w:ascii="宋体" w:hAnsi="宋体" w:cs="宋体"/>
          <w:bCs/>
          <w:color w:val="auto"/>
          <w:szCs w:val="21"/>
          <w:highlight w:val="none"/>
        </w:rPr>
      </w:pPr>
    </w:p>
    <w:p w14:paraId="2469A335">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风险提示：</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3A48D674">
      <w:pPr>
        <w:snapToGrid w:val="0"/>
        <w:spacing w:line="360" w:lineRule="auto"/>
        <w:rPr>
          <w:rFonts w:ascii="宋体" w:hAnsi="宋体" w:cs="宋体"/>
          <w:color w:val="auto"/>
          <w:kern w:val="0"/>
          <w:szCs w:val="21"/>
          <w:highlight w:val="none"/>
        </w:rPr>
      </w:pPr>
      <w:r>
        <w:rPr>
          <w:rFonts w:hint="eastAsia" w:ascii="宋体" w:hAnsi="宋体" w:cs="宋体"/>
          <w:bCs/>
          <w:color w:val="auto"/>
          <w:szCs w:val="21"/>
          <w:highlight w:val="none"/>
        </w:rPr>
        <w:t>注：适用小微企业政策的请提供，未提供的不享受小微企业政策。</w:t>
      </w:r>
    </w:p>
    <w:p w14:paraId="39C2AF76">
      <w:pPr>
        <w:spacing w:line="360" w:lineRule="auto"/>
        <w:jc w:val="center"/>
        <w:rPr>
          <w:rFonts w:ascii="宋体" w:hAnsi="宋体" w:cs="宋体"/>
          <w:b/>
          <w:color w:val="auto"/>
          <w:sz w:val="32"/>
          <w:szCs w:val="32"/>
          <w:highlight w:val="none"/>
        </w:rPr>
      </w:pPr>
    </w:p>
    <w:sectPr>
      <w:headerReference r:id="rId10" w:type="first"/>
      <w:footerReference r:id="rId13" w:type="first"/>
      <w:headerReference r:id="rId9" w:type="default"/>
      <w:footerReference r:id="rId11" w:type="default"/>
      <w:footerReference r:id="rId12" w:type="even"/>
      <w:pgSz w:w="11905" w:h="16838"/>
      <w:pgMar w:top="1474" w:right="1417" w:bottom="1247" w:left="1417" w:header="851" w:footer="850"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D4369">
    <w:pPr>
      <w:pStyle w:val="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FD790D">
                          <w:pPr>
                            <w:pStyle w:val="4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4FD790D">
                    <w:pPr>
                      <w:pStyle w:val="4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ADC05">
    <w:pPr>
      <w:pStyle w:val="4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8908A0">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78908A0">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E41D8">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94DBF">
                          <w:pPr>
                            <w:pStyle w:val="4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FB94DBF">
                    <w:pPr>
                      <w:pStyle w:val="4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C4715">
    <w:pPr>
      <w:pStyle w:val="41"/>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C22769">
                          <w:pPr>
                            <w:pStyle w:val="4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4C22769">
                    <w:pPr>
                      <w:pStyle w:val="4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0F0F0">
    <w:pPr>
      <w:pStyle w:val="41"/>
      <w:framePr w:wrap="around" w:vAnchor="text" w:hAnchor="margin" w:xAlign="right" w:y="1"/>
      <w:rPr>
        <w:rStyle w:val="74"/>
      </w:rPr>
    </w:pPr>
    <w:r>
      <w:fldChar w:fldCharType="begin"/>
    </w:r>
    <w:r>
      <w:rPr>
        <w:rStyle w:val="74"/>
      </w:rPr>
      <w:instrText xml:space="preserve">PAGE  </w:instrText>
    </w:r>
    <w:r>
      <w:fldChar w:fldCharType="end"/>
    </w:r>
  </w:p>
  <w:p w14:paraId="5BAD8680">
    <w:pPr>
      <w:pStyle w:val="4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D8AE0">
    <w:pPr>
      <w:pStyle w:val="41"/>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F6D38">
                          <w:pPr>
                            <w:pStyle w:val="4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66AF6D38">
                    <w:pPr>
                      <w:pStyle w:val="4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608BF">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AACEE">
    <w:pPr>
      <w:pStyle w:val="43"/>
      <w:pBdr>
        <w:bottom w:val="none" w:color="auto" w:sz="0" w:space="1"/>
      </w:pBd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AF813">
    <w:pPr>
      <w:pStyle w:val="43"/>
      <w:pBdr>
        <w:bottom w:val="none" w:color="auto" w:sz="0" w:space="1"/>
      </w:pBdr>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9856A">
    <w:pPr>
      <w:pStyle w:val="43"/>
      <w:pBdr>
        <w:bottom w:val="none" w:color="auto" w:sz="0" w:space="1"/>
      </w:pBdr>
      <w:jc w:val="right"/>
      <w:rPr>
        <w:rFonts w:ascii="仿宋_GB2312" w:eastAsia="仿宋_GB2312"/>
        <w:b/>
        <w:i/>
        <w:iCs/>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0096D">
    <w:pPr>
      <w:pStyle w:val="43"/>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C7F9"/>
    <w:multiLevelType w:val="singleLevel"/>
    <w:tmpl w:val="9726C7F9"/>
    <w:lvl w:ilvl="0" w:tentative="0">
      <w:start w:val="5"/>
      <w:numFmt w:val="chineseCounting"/>
      <w:suff w:val="space"/>
      <w:lvlText w:val="第%1部分"/>
      <w:lvlJc w:val="left"/>
      <w:rPr>
        <w:rFonts w:hint="eastAsia"/>
      </w:rPr>
    </w:lvl>
  </w:abstractNum>
  <w:abstractNum w:abstractNumId="1">
    <w:nsid w:val="E596B22D"/>
    <w:multiLevelType w:val="singleLevel"/>
    <w:tmpl w:val="E596B22D"/>
    <w:lvl w:ilvl="0" w:tentative="0">
      <w:start w:val="6"/>
      <w:numFmt w:val="chineseCounting"/>
      <w:suff w:val="nothing"/>
      <w:lvlText w:val="%1、"/>
      <w:lvlJc w:val="left"/>
      <w:rPr>
        <w:rFonts w:hint="eastAsia"/>
      </w:rPr>
    </w:lvl>
  </w:abstractNum>
  <w:abstractNum w:abstractNumId="2">
    <w:nsid w:val="F5E80F08"/>
    <w:multiLevelType w:val="singleLevel"/>
    <w:tmpl w:val="F5E80F08"/>
    <w:lvl w:ilvl="0" w:tentative="0">
      <w:start w:val="23"/>
      <w:numFmt w:val="decimal"/>
      <w:suff w:val="space"/>
      <w:lvlText w:val="%1."/>
      <w:lvlJc w:val="left"/>
    </w:lvl>
  </w:abstractNum>
  <w:abstractNum w:abstractNumId="3">
    <w:nsid w:val="0D43D065"/>
    <w:multiLevelType w:val="singleLevel"/>
    <w:tmpl w:val="0D43D065"/>
    <w:lvl w:ilvl="0" w:tentative="0">
      <w:start w:val="1"/>
      <w:numFmt w:val="chineseCounting"/>
      <w:suff w:val="nothing"/>
      <w:lvlText w:val="%1、"/>
      <w:lvlJc w:val="left"/>
      <w:pPr>
        <w:ind w:left="3360"/>
      </w:pPr>
      <w:rPr>
        <w:rFonts w:hint="eastAsia"/>
      </w:rPr>
    </w:lvl>
  </w:abstractNum>
  <w:abstractNum w:abstractNumId="4">
    <w:nsid w:val="3B500D3E"/>
    <w:multiLevelType w:val="singleLevel"/>
    <w:tmpl w:val="3B500D3E"/>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DU5NGYxMTI0OGI2YjA3MGJkNWJmYzJmNzNiOD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1996"/>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D67"/>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7A"/>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0C5"/>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27F09"/>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5275"/>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0609"/>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192"/>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3F3B"/>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0F58"/>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B7BB6"/>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4CF"/>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B58"/>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15"/>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9BB"/>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2E96"/>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1EC2"/>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19B"/>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BC2"/>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D6B73"/>
    <w:rsid w:val="011F6449"/>
    <w:rsid w:val="01236AFB"/>
    <w:rsid w:val="019F7441"/>
    <w:rsid w:val="01B37585"/>
    <w:rsid w:val="01D55165"/>
    <w:rsid w:val="01DF6BF8"/>
    <w:rsid w:val="01EC2C57"/>
    <w:rsid w:val="023D7C26"/>
    <w:rsid w:val="0250663C"/>
    <w:rsid w:val="025F0711"/>
    <w:rsid w:val="026B2E25"/>
    <w:rsid w:val="02824D4D"/>
    <w:rsid w:val="028E3199"/>
    <w:rsid w:val="02B17AA1"/>
    <w:rsid w:val="02DC4B10"/>
    <w:rsid w:val="02DD76CE"/>
    <w:rsid w:val="02F2136E"/>
    <w:rsid w:val="02F36323"/>
    <w:rsid w:val="02F5619C"/>
    <w:rsid w:val="0326446A"/>
    <w:rsid w:val="032D5555"/>
    <w:rsid w:val="036634D2"/>
    <w:rsid w:val="03772E0C"/>
    <w:rsid w:val="03807DCC"/>
    <w:rsid w:val="03977C08"/>
    <w:rsid w:val="03C12BF4"/>
    <w:rsid w:val="03CB2A7D"/>
    <w:rsid w:val="03DD35E4"/>
    <w:rsid w:val="03F659CC"/>
    <w:rsid w:val="04076900"/>
    <w:rsid w:val="041A5A3B"/>
    <w:rsid w:val="042311BA"/>
    <w:rsid w:val="042B157A"/>
    <w:rsid w:val="045E39DC"/>
    <w:rsid w:val="048F763B"/>
    <w:rsid w:val="049F330E"/>
    <w:rsid w:val="04AA775C"/>
    <w:rsid w:val="04AF1889"/>
    <w:rsid w:val="04F66F48"/>
    <w:rsid w:val="05251E14"/>
    <w:rsid w:val="05684DD5"/>
    <w:rsid w:val="05842FE2"/>
    <w:rsid w:val="05A16594"/>
    <w:rsid w:val="05A7762D"/>
    <w:rsid w:val="05D4686F"/>
    <w:rsid w:val="060E2E9D"/>
    <w:rsid w:val="060E5941"/>
    <w:rsid w:val="06110FAF"/>
    <w:rsid w:val="06493CA7"/>
    <w:rsid w:val="065A6178"/>
    <w:rsid w:val="066F1CF3"/>
    <w:rsid w:val="06930BB8"/>
    <w:rsid w:val="06BD60A6"/>
    <w:rsid w:val="06C831BB"/>
    <w:rsid w:val="070A6C9E"/>
    <w:rsid w:val="071858B2"/>
    <w:rsid w:val="07245D42"/>
    <w:rsid w:val="07264C62"/>
    <w:rsid w:val="07361D96"/>
    <w:rsid w:val="07524BBB"/>
    <w:rsid w:val="0779354C"/>
    <w:rsid w:val="07D11486"/>
    <w:rsid w:val="07E37F3A"/>
    <w:rsid w:val="08061376"/>
    <w:rsid w:val="08452D77"/>
    <w:rsid w:val="086401F8"/>
    <w:rsid w:val="08751CAA"/>
    <w:rsid w:val="087E4C40"/>
    <w:rsid w:val="08A1141E"/>
    <w:rsid w:val="08A871D0"/>
    <w:rsid w:val="08C77EDE"/>
    <w:rsid w:val="08D179A2"/>
    <w:rsid w:val="08D66AD6"/>
    <w:rsid w:val="08DA33A3"/>
    <w:rsid w:val="08E80F13"/>
    <w:rsid w:val="09335624"/>
    <w:rsid w:val="0944690F"/>
    <w:rsid w:val="09535675"/>
    <w:rsid w:val="095F057D"/>
    <w:rsid w:val="09642282"/>
    <w:rsid w:val="09733572"/>
    <w:rsid w:val="0974583A"/>
    <w:rsid w:val="09772C16"/>
    <w:rsid w:val="098353B5"/>
    <w:rsid w:val="099A1030"/>
    <w:rsid w:val="09A92330"/>
    <w:rsid w:val="09B06B87"/>
    <w:rsid w:val="09C13146"/>
    <w:rsid w:val="09DC45F2"/>
    <w:rsid w:val="09E04166"/>
    <w:rsid w:val="0A1C0718"/>
    <w:rsid w:val="0A3E7710"/>
    <w:rsid w:val="0A5B7E63"/>
    <w:rsid w:val="0A631A57"/>
    <w:rsid w:val="0AA374A5"/>
    <w:rsid w:val="0AAB7649"/>
    <w:rsid w:val="0AB35169"/>
    <w:rsid w:val="0ABC5606"/>
    <w:rsid w:val="0AC2231C"/>
    <w:rsid w:val="0B1E1CDD"/>
    <w:rsid w:val="0B30404E"/>
    <w:rsid w:val="0B4C6C14"/>
    <w:rsid w:val="0B547599"/>
    <w:rsid w:val="0B575693"/>
    <w:rsid w:val="0B631A88"/>
    <w:rsid w:val="0B683D45"/>
    <w:rsid w:val="0B7F3F11"/>
    <w:rsid w:val="0B884417"/>
    <w:rsid w:val="0BA4375D"/>
    <w:rsid w:val="0BEE69CD"/>
    <w:rsid w:val="0BF6188C"/>
    <w:rsid w:val="0BF67658"/>
    <w:rsid w:val="0BF73C91"/>
    <w:rsid w:val="0BF8699B"/>
    <w:rsid w:val="0C170175"/>
    <w:rsid w:val="0C1E1FC0"/>
    <w:rsid w:val="0C4164BA"/>
    <w:rsid w:val="0C571A41"/>
    <w:rsid w:val="0C5B233E"/>
    <w:rsid w:val="0C5C1171"/>
    <w:rsid w:val="0C5E1CBC"/>
    <w:rsid w:val="0C615B50"/>
    <w:rsid w:val="0C6630E7"/>
    <w:rsid w:val="0C8445DA"/>
    <w:rsid w:val="0C87121B"/>
    <w:rsid w:val="0CA520B2"/>
    <w:rsid w:val="0CC007F7"/>
    <w:rsid w:val="0CC617AC"/>
    <w:rsid w:val="0CD01471"/>
    <w:rsid w:val="0CD90FF1"/>
    <w:rsid w:val="0CE618DF"/>
    <w:rsid w:val="0CFE707A"/>
    <w:rsid w:val="0D063BDA"/>
    <w:rsid w:val="0D08375F"/>
    <w:rsid w:val="0D0A5704"/>
    <w:rsid w:val="0D184CFB"/>
    <w:rsid w:val="0D4A7419"/>
    <w:rsid w:val="0D4B03DD"/>
    <w:rsid w:val="0D50643D"/>
    <w:rsid w:val="0D827401"/>
    <w:rsid w:val="0D84094E"/>
    <w:rsid w:val="0D8A00E9"/>
    <w:rsid w:val="0D8D589E"/>
    <w:rsid w:val="0DA01C73"/>
    <w:rsid w:val="0DA111EB"/>
    <w:rsid w:val="0DD63300"/>
    <w:rsid w:val="0DE21F87"/>
    <w:rsid w:val="0DE47FA6"/>
    <w:rsid w:val="0DF50604"/>
    <w:rsid w:val="0DF702FE"/>
    <w:rsid w:val="0E060E51"/>
    <w:rsid w:val="0E5604B2"/>
    <w:rsid w:val="0E6D5D79"/>
    <w:rsid w:val="0E907C1D"/>
    <w:rsid w:val="0E9D0089"/>
    <w:rsid w:val="0EB803EE"/>
    <w:rsid w:val="0EF94D4B"/>
    <w:rsid w:val="0F4958DC"/>
    <w:rsid w:val="0F515DF7"/>
    <w:rsid w:val="0F596BA8"/>
    <w:rsid w:val="0F6248D2"/>
    <w:rsid w:val="0F693536"/>
    <w:rsid w:val="0F7B0511"/>
    <w:rsid w:val="0F7B76D9"/>
    <w:rsid w:val="0F816ACD"/>
    <w:rsid w:val="0F833462"/>
    <w:rsid w:val="0F9832DB"/>
    <w:rsid w:val="0FBF3FD2"/>
    <w:rsid w:val="0FBF7FF3"/>
    <w:rsid w:val="0FC908B0"/>
    <w:rsid w:val="0FCE5613"/>
    <w:rsid w:val="0FDE284E"/>
    <w:rsid w:val="101E2C79"/>
    <w:rsid w:val="105F1059"/>
    <w:rsid w:val="10601B53"/>
    <w:rsid w:val="10646583"/>
    <w:rsid w:val="107D4B15"/>
    <w:rsid w:val="108A3C80"/>
    <w:rsid w:val="10C26171"/>
    <w:rsid w:val="10F31E50"/>
    <w:rsid w:val="10F33360"/>
    <w:rsid w:val="10FC16EA"/>
    <w:rsid w:val="110F1D40"/>
    <w:rsid w:val="11266F33"/>
    <w:rsid w:val="11507751"/>
    <w:rsid w:val="1162599E"/>
    <w:rsid w:val="118963A1"/>
    <w:rsid w:val="118F1DEA"/>
    <w:rsid w:val="11BC24C2"/>
    <w:rsid w:val="11BC3956"/>
    <w:rsid w:val="11C6522A"/>
    <w:rsid w:val="11E104CC"/>
    <w:rsid w:val="11E20309"/>
    <w:rsid w:val="11EC1D1D"/>
    <w:rsid w:val="12040CA9"/>
    <w:rsid w:val="12255233"/>
    <w:rsid w:val="12530213"/>
    <w:rsid w:val="1265440D"/>
    <w:rsid w:val="127723A9"/>
    <w:rsid w:val="12862074"/>
    <w:rsid w:val="12883966"/>
    <w:rsid w:val="129E45B4"/>
    <w:rsid w:val="12D81596"/>
    <w:rsid w:val="12E61BD1"/>
    <w:rsid w:val="1301270F"/>
    <w:rsid w:val="13072A44"/>
    <w:rsid w:val="13291EB0"/>
    <w:rsid w:val="1332653D"/>
    <w:rsid w:val="133E70C5"/>
    <w:rsid w:val="134834E2"/>
    <w:rsid w:val="135F4BE2"/>
    <w:rsid w:val="137B2A7B"/>
    <w:rsid w:val="13955E87"/>
    <w:rsid w:val="139B1A0A"/>
    <w:rsid w:val="139D25C7"/>
    <w:rsid w:val="13A20753"/>
    <w:rsid w:val="13BF3CE4"/>
    <w:rsid w:val="141008D8"/>
    <w:rsid w:val="14125FE6"/>
    <w:rsid w:val="146D271E"/>
    <w:rsid w:val="14982588"/>
    <w:rsid w:val="149A5AD9"/>
    <w:rsid w:val="14A7619D"/>
    <w:rsid w:val="150536C3"/>
    <w:rsid w:val="150613FD"/>
    <w:rsid w:val="150C1963"/>
    <w:rsid w:val="151447A0"/>
    <w:rsid w:val="15434404"/>
    <w:rsid w:val="154A6454"/>
    <w:rsid w:val="15720D94"/>
    <w:rsid w:val="15762120"/>
    <w:rsid w:val="16A8729C"/>
    <w:rsid w:val="16B33777"/>
    <w:rsid w:val="16BC70A7"/>
    <w:rsid w:val="16C6339E"/>
    <w:rsid w:val="170C21A6"/>
    <w:rsid w:val="1714795E"/>
    <w:rsid w:val="172F2D79"/>
    <w:rsid w:val="17557BEF"/>
    <w:rsid w:val="178A5777"/>
    <w:rsid w:val="17D1049D"/>
    <w:rsid w:val="17D349C1"/>
    <w:rsid w:val="18244F26"/>
    <w:rsid w:val="182D03D8"/>
    <w:rsid w:val="1830729E"/>
    <w:rsid w:val="1870062C"/>
    <w:rsid w:val="18817102"/>
    <w:rsid w:val="18830A15"/>
    <w:rsid w:val="18852B28"/>
    <w:rsid w:val="188B5321"/>
    <w:rsid w:val="1898330E"/>
    <w:rsid w:val="18AE2F08"/>
    <w:rsid w:val="197B2D25"/>
    <w:rsid w:val="19932372"/>
    <w:rsid w:val="19A20DD5"/>
    <w:rsid w:val="19AE03F1"/>
    <w:rsid w:val="1A071A03"/>
    <w:rsid w:val="1A1F16AE"/>
    <w:rsid w:val="1A3B5C77"/>
    <w:rsid w:val="1A6C3968"/>
    <w:rsid w:val="1A8F4728"/>
    <w:rsid w:val="1A984BAD"/>
    <w:rsid w:val="1AB8220E"/>
    <w:rsid w:val="1AE4166C"/>
    <w:rsid w:val="1AF06CFB"/>
    <w:rsid w:val="1AF11B8D"/>
    <w:rsid w:val="1B11359C"/>
    <w:rsid w:val="1B2776FF"/>
    <w:rsid w:val="1B2A271F"/>
    <w:rsid w:val="1B530544"/>
    <w:rsid w:val="1B713184"/>
    <w:rsid w:val="1B86304B"/>
    <w:rsid w:val="1BA209CF"/>
    <w:rsid w:val="1BAC241F"/>
    <w:rsid w:val="1BB4777D"/>
    <w:rsid w:val="1BD75AB8"/>
    <w:rsid w:val="1C0459C2"/>
    <w:rsid w:val="1C1737F0"/>
    <w:rsid w:val="1C1B3B4A"/>
    <w:rsid w:val="1C5A33AF"/>
    <w:rsid w:val="1C88086E"/>
    <w:rsid w:val="1CE7157E"/>
    <w:rsid w:val="1D0D0C8C"/>
    <w:rsid w:val="1D266CE1"/>
    <w:rsid w:val="1D3963AF"/>
    <w:rsid w:val="1D3A1AFC"/>
    <w:rsid w:val="1D3D55C7"/>
    <w:rsid w:val="1D4A31E4"/>
    <w:rsid w:val="1D4A664D"/>
    <w:rsid w:val="1D6A673C"/>
    <w:rsid w:val="1D6D3EEF"/>
    <w:rsid w:val="1D9247AE"/>
    <w:rsid w:val="1DA61329"/>
    <w:rsid w:val="1DB567EC"/>
    <w:rsid w:val="1DCC1345"/>
    <w:rsid w:val="1DEE6419"/>
    <w:rsid w:val="1DF51A98"/>
    <w:rsid w:val="1E051CD9"/>
    <w:rsid w:val="1E3D060F"/>
    <w:rsid w:val="1E3F7D2E"/>
    <w:rsid w:val="1E4134E4"/>
    <w:rsid w:val="1E5062B3"/>
    <w:rsid w:val="1E523514"/>
    <w:rsid w:val="1E6C2AF8"/>
    <w:rsid w:val="1E714A66"/>
    <w:rsid w:val="1E802593"/>
    <w:rsid w:val="1E8B6156"/>
    <w:rsid w:val="1EA176BE"/>
    <w:rsid w:val="1EA703CC"/>
    <w:rsid w:val="1EAD11F7"/>
    <w:rsid w:val="1EB7330C"/>
    <w:rsid w:val="1EDC2C27"/>
    <w:rsid w:val="1F0A0FF3"/>
    <w:rsid w:val="1F5771FF"/>
    <w:rsid w:val="1F744118"/>
    <w:rsid w:val="1F9910C0"/>
    <w:rsid w:val="1FA41A90"/>
    <w:rsid w:val="1FB87851"/>
    <w:rsid w:val="1FBE2977"/>
    <w:rsid w:val="1FD52574"/>
    <w:rsid w:val="1FE63BE8"/>
    <w:rsid w:val="1FE868A9"/>
    <w:rsid w:val="20034907"/>
    <w:rsid w:val="20173E4B"/>
    <w:rsid w:val="20320828"/>
    <w:rsid w:val="204E48BC"/>
    <w:rsid w:val="208921B3"/>
    <w:rsid w:val="20973DEB"/>
    <w:rsid w:val="20A63D96"/>
    <w:rsid w:val="20B26522"/>
    <w:rsid w:val="20B44310"/>
    <w:rsid w:val="20F47A6D"/>
    <w:rsid w:val="211116EB"/>
    <w:rsid w:val="216133FC"/>
    <w:rsid w:val="21D56769"/>
    <w:rsid w:val="21E52EF3"/>
    <w:rsid w:val="21FB5D7B"/>
    <w:rsid w:val="22015E94"/>
    <w:rsid w:val="220B1C3D"/>
    <w:rsid w:val="22196E8D"/>
    <w:rsid w:val="221D1D20"/>
    <w:rsid w:val="2229724F"/>
    <w:rsid w:val="22334A87"/>
    <w:rsid w:val="225B2CCF"/>
    <w:rsid w:val="22A2702D"/>
    <w:rsid w:val="22BE6801"/>
    <w:rsid w:val="22CD0415"/>
    <w:rsid w:val="22E95145"/>
    <w:rsid w:val="22FF657D"/>
    <w:rsid w:val="2302564C"/>
    <w:rsid w:val="230B2CB7"/>
    <w:rsid w:val="23111551"/>
    <w:rsid w:val="233500BF"/>
    <w:rsid w:val="23377FF7"/>
    <w:rsid w:val="2368378F"/>
    <w:rsid w:val="236B425F"/>
    <w:rsid w:val="23836192"/>
    <w:rsid w:val="23901F29"/>
    <w:rsid w:val="239C0061"/>
    <w:rsid w:val="23B908A4"/>
    <w:rsid w:val="23CA4F53"/>
    <w:rsid w:val="23E95BEF"/>
    <w:rsid w:val="23E96F21"/>
    <w:rsid w:val="23FD0064"/>
    <w:rsid w:val="24243ABF"/>
    <w:rsid w:val="245375B0"/>
    <w:rsid w:val="24642C0A"/>
    <w:rsid w:val="24970DA1"/>
    <w:rsid w:val="24B22173"/>
    <w:rsid w:val="24B95AD9"/>
    <w:rsid w:val="24BE24DA"/>
    <w:rsid w:val="24CF5825"/>
    <w:rsid w:val="24D663E6"/>
    <w:rsid w:val="24D77F2B"/>
    <w:rsid w:val="2585779A"/>
    <w:rsid w:val="258B00E2"/>
    <w:rsid w:val="25A416A2"/>
    <w:rsid w:val="25A917A6"/>
    <w:rsid w:val="25B6013B"/>
    <w:rsid w:val="25BE27CC"/>
    <w:rsid w:val="25F74A5C"/>
    <w:rsid w:val="26075651"/>
    <w:rsid w:val="2628662C"/>
    <w:rsid w:val="262D45DE"/>
    <w:rsid w:val="26871DC8"/>
    <w:rsid w:val="26A53EF9"/>
    <w:rsid w:val="26A94201"/>
    <w:rsid w:val="26AC274F"/>
    <w:rsid w:val="26AE40F6"/>
    <w:rsid w:val="26AE6CBB"/>
    <w:rsid w:val="26C54491"/>
    <w:rsid w:val="27044A29"/>
    <w:rsid w:val="271550A2"/>
    <w:rsid w:val="271C7216"/>
    <w:rsid w:val="271D34C8"/>
    <w:rsid w:val="27372229"/>
    <w:rsid w:val="273F7692"/>
    <w:rsid w:val="276142BF"/>
    <w:rsid w:val="27783712"/>
    <w:rsid w:val="278E7D82"/>
    <w:rsid w:val="27907362"/>
    <w:rsid w:val="27AB268C"/>
    <w:rsid w:val="27C543F8"/>
    <w:rsid w:val="27D31084"/>
    <w:rsid w:val="280451E0"/>
    <w:rsid w:val="28320C0D"/>
    <w:rsid w:val="28333E1D"/>
    <w:rsid w:val="28454BD6"/>
    <w:rsid w:val="28455253"/>
    <w:rsid w:val="28551971"/>
    <w:rsid w:val="285B1C53"/>
    <w:rsid w:val="286D7392"/>
    <w:rsid w:val="289F7086"/>
    <w:rsid w:val="28C32028"/>
    <w:rsid w:val="28CC490F"/>
    <w:rsid w:val="28DE40AA"/>
    <w:rsid w:val="28E90F62"/>
    <w:rsid w:val="292439B7"/>
    <w:rsid w:val="29345E77"/>
    <w:rsid w:val="294C65AD"/>
    <w:rsid w:val="29806583"/>
    <w:rsid w:val="298B3C4C"/>
    <w:rsid w:val="29B42C36"/>
    <w:rsid w:val="29EA524C"/>
    <w:rsid w:val="29F26D24"/>
    <w:rsid w:val="2A15033F"/>
    <w:rsid w:val="2A1662C1"/>
    <w:rsid w:val="2A1C7367"/>
    <w:rsid w:val="2A2815FA"/>
    <w:rsid w:val="2A2A0122"/>
    <w:rsid w:val="2A48258A"/>
    <w:rsid w:val="2A6D6092"/>
    <w:rsid w:val="2A7D76B4"/>
    <w:rsid w:val="2AC01A0D"/>
    <w:rsid w:val="2B09293F"/>
    <w:rsid w:val="2B1D7A62"/>
    <w:rsid w:val="2B20195C"/>
    <w:rsid w:val="2B437463"/>
    <w:rsid w:val="2B7807EE"/>
    <w:rsid w:val="2BA50BF7"/>
    <w:rsid w:val="2BBF00EC"/>
    <w:rsid w:val="2BC37CFD"/>
    <w:rsid w:val="2BD5237F"/>
    <w:rsid w:val="2BE536CE"/>
    <w:rsid w:val="2BE5638C"/>
    <w:rsid w:val="2BE758D9"/>
    <w:rsid w:val="2BF346BB"/>
    <w:rsid w:val="2BFE6CED"/>
    <w:rsid w:val="2C09049E"/>
    <w:rsid w:val="2C0A653C"/>
    <w:rsid w:val="2C191F85"/>
    <w:rsid w:val="2C3F6EC9"/>
    <w:rsid w:val="2C5B3CA9"/>
    <w:rsid w:val="2CE82D6F"/>
    <w:rsid w:val="2CF1073B"/>
    <w:rsid w:val="2D052664"/>
    <w:rsid w:val="2D0B1745"/>
    <w:rsid w:val="2D343236"/>
    <w:rsid w:val="2D575011"/>
    <w:rsid w:val="2D5A6691"/>
    <w:rsid w:val="2D5B014B"/>
    <w:rsid w:val="2D5D78D1"/>
    <w:rsid w:val="2D6D38A5"/>
    <w:rsid w:val="2DB423C9"/>
    <w:rsid w:val="2DBD4B32"/>
    <w:rsid w:val="2DCF1088"/>
    <w:rsid w:val="2DD15014"/>
    <w:rsid w:val="2DEE1C87"/>
    <w:rsid w:val="2DF72DE4"/>
    <w:rsid w:val="2DFE597F"/>
    <w:rsid w:val="2E0220AF"/>
    <w:rsid w:val="2E1A39AF"/>
    <w:rsid w:val="2E3330F9"/>
    <w:rsid w:val="2E4B082A"/>
    <w:rsid w:val="2E5D4E86"/>
    <w:rsid w:val="2E5D790B"/>
    <w:rsid w:val="2E9A3C18"/>
    <w:rsid w:val="2EBB0FEE"/>
    <w:rsid w:val="2EC63002"/>
    <w:rsid w:val="2F0A6B38"/>
    <w:rsid w:val="2F633E2C"/>
    <w:rsid w:val="2F7366F2"/>
    <w:rsid w:val="2F946CCB"/>
    <w:rsid w:val="2F9E23BE"/>
    <w:rsid w:val="2FD25781"/>
    <w:rsid w:val="2FDC745C"/>
    <w:rsid w:val="2FFD7934"/>
    <w:rsid w:val="301275D0"/>
    <w:rsid w:val="30733ACD"/>
    <w:rsid w:val="308C3862"/>
    <w:rsid w:val="309379D8"/>
    <w:rsid w:val="30A270F7"/>
    <w:rsid w:val="30AB012D"/>
    <w:rsid w:val="30DC0597"/>
    <w:rsid w:val="30DF1478"/>
    <w:rsid w:val="30EC586F"/>
    <w:rsid w:val="31045716"/>
    <w:rsid w:val="31484D84"/>
    <w:rsid w:val="31540198"/>
    <w:rsid w:val="3183186B"/>
    <w:rsid w:val="319C6071"/>
    <w:rsid w:val="31AC537E"/>
    <w:rsid w:val="31E3679B"/>
    <w:rsid w:val="31E732FD"/>
    <w:rsid w:val="32517576"/>
    <w:rsid w:val="328D7756"/>
    <w:rsid w:val="32B23C2D"/>
    <w:rsid w:val="32BE5C2C"/>
    <w:rsid w:val="32CD7542"/>
    <w:rsid w:val="32FB6478"/>
    <w:rsid w:val="33263B3F"/>
    <w:rsid w:val="336963EB"/>
    <w:rsid w:val="33810A0F"/>
    <w:rsid w:val="33816EEB"/>
    <w:rsid w:val="33925AD0"/>
    <w:rsid w:val="33D87628"/>
    <w:rsid w:val="33EB55CD"/>
    <w:rsid w:val="33EC4C02"/>
    <w:rsid w:val="340D2360"/>
    <w:rsid w:val="3410665D"/>
    <w:rsid w:val="34211214"/>
    <w:rsid w:val="342E63AB"/>
    <w:rsid w:val="34340B78"/>
    <w:rsid w:val="34950E68"/>
    <w:rsid w:val="34986E94"/>
    <w:rsid w:val="349D0BF0"/>
    <w:rsid w:val="34AF62C9"/>
    <w:rsid w:val="34CB4388"/>
    <w:rsid w:val="34FA6E12"/>
    <w:rsid w:val="3528662F"/>
    <w:rsid w:val="3548033E"/>
    <w:rsid w:val="354D7158"/>
    <w:rsid w:val="35595DBB"/>
    <w:rsid w:val="358D5588"/>
    <w:rsid w:val="35E45E4B"/>
    <w:rsid w:val="35F94ECD"/>
    <w:rsid w:val="35FF6287"/>
    <w:rsid w:val="36070CBD"/>
    <w:rsid w:val="36304469"/>
    <w:rsid w:val="363A3B40"/>
    <w:rsid w:val="365302AE"/>
    <w:rsid w:val="36607A0A"/>
    <w:rsid w:val="366E227C"/>
    <w:rsid w:val="366F2E0D"/>
    <w:rsid w:val="367B6A5C"/>
    <w:rsid w:val="36A56352"/>
    <w:rsid w:val="36A74ADA"/>
    <w:rsid w:val="36AD60D5"/>
    <w:rsid w:val="36B224F9"/>
    <w:rsid w:val="36C11399"/>
    <w:rsid w:val="36DD1ABC"/>
    <w:rsid w:val="36EC0CC9"/>
    <w:rsid w:val="373F410B"/>
    <w:rsid w:val="37632CC9"/>
    <w:rsid w:val="37AA7D4E"/>
    <w:rsid w:val="37E7582E"/>
    <w:rsid w:val="37EC250A"/>
    <w:rsid w:val="37EE7094"/>
    <w:rsid w:val="38296C89"/>
    <w:rsid w:val="383002EB"/>
    <w:rsid w:val="38586797"/>
    <w:rsid w:val="385D15DF"/>
    <w:rsid w:val="386D1D8B"/>
    <w:rsid w:val="388B46F7"/>
    <w:rsid w:val="38BC0149"/>
    <w:rsid w:val="38D46327"/>
    <w:rsid w:val="38D87D1C"/>
    <w:rsid w:val="39636459"/>
    <w:rsid w:val="396B7F6C"/>
    <w:rsid w:val="39B142B9"/>
    <w:rsid w:val="39B2402C"/>
    <w:rsid w:val="39B417A9"/>
    <w:rsid w:val="39C608ED"/>
    <w:rsid w:val="39E47A3D"/>
    <w:rsid w:val="39FC5695"/>
    <w:rsid w:val="3A006D8E"/>
    <w:rsid w:val="3A085499"/>
    <w:rsid w:val="3A3651E5"/>
    <w:rsid w:val="3A744481"/>
    <w:rsid w:val="3A7E7A4E"/>
    <w:rsid w:val="3A8C7BEF"/>
    <w:rsid w:val="3A906246"/>
    <w:rsid w:val="3B103F10"/>
    <w:rsid w:val="3B1918E3"/>
    <w:rsid w:val="3B2349B7"/>
    <w:rsid w:val="3B616CFF"/>
    <w:rsid w:val="3B6259F6"/>
    <w:rsid w:val="3B976654"/>
    <w:rsid w:val="3BA43EEC"/>
    <w:rsid w:val="3BC01EFC"/>
    <w:rsid w:val="3BCA786A"/>
    <w:rsid w:val="3BD31E2F"/>
    <w:rsid w:val="3BE42827"/>
    <w:rsid w:val="3BF15831"/>
    <w:rsid w:val="3BF15873"/>
    <w:rsid w:val="3BFF79DD"/>
    <w:rsid w:val="3C105946"/>
    <w:rsid w:val="3C2C537B"/>
    <w:rsid w:val="3C2E473C"/>
    <w:rsid w:val="3C471448"/>
    <w:rsid w:val="3C49026A"/>
    <w:rsid w:val="3C5F759A"/>
    <w:rsid w:val="3C6C525A"/>
    <w:rsid w:val="3CA75181"/>
    <w:rsid w:val="3CCE23CB"/>
    <w:rsid w:val="3CD17D17"/>
    <w:rsid w:val="3CE40C04"/>
    <w:rsid w:val="3D095D87"/>
    <w:rsid w:val="3D3C7F39"/>
    <w:rsid w:val="3D440F09"/>
    <w:rsid w:val="3D4504A0"/>
    <w:rsid w:val="3D584147"/>
    <w:rsid w:val="3D8734BB"/>
    <w:rsid w:val="3D9A11D4"/>
    <w:rsid w:val="3DA16D89"/>
    <w:rsid w:val="3DA364BE"/>
    <w:rsid w:val="3DE041CB"/>
    <w:rsid w:val="3E0D48F6"/>
    <w:rsid w:val="3E1868B4"/>
    <w:rsid w:val="3E377251"/>
    <w:rsid w:val="3E42664B"/>
    <w:rsid w:val="3E5A7334"/>
    <w:rsid w:val="3E7109A9"/>
    <w:rsid w:val="3E750A7A"/>
    <w:rsid w:val="3E7B5D6B"/>
    <w:rsid w:val="3E843E66"/>
    <w:rsid w:val="3E8F51FE"/>
    <w:rsid w:val="3E926F87"/>
    <w:rsid w:val="3E9A59DE"/>
    <w:rsid w:val="3EAF4836"/>
    <w:rsid w:val="3EC33DFA"/>
    <w:rsid w:val="3EEC611C"/>
    <w:rsid w:val="3EEF0E2E"/>
    <w:rsid w:val="3EF56568"/>
    <w:rsid w:val="3F060E16"/>
    <w:rsid w:val="3F1D1096"/>
    <w:rsid w:val="3F2F0234"/>
    <w:rsid w:val="3F4759C4"/>
    <w:rsid w:val="3F6363FE"/>
    <w:rsid w:val="3F6414DE"/>
    <w:rsid w:val="3F670307"/>
    <w:rsid w:val="3F756B8F"/>
    <w:rsid w:val="3F95482B"/>
    <w:rsid w:val="3F9945FF"/>
    <w:rsid w:val="3FC715CE"/>
    <w:rsid w:val="3FE16B9F"/>
    <w:rsid w:val="40045C0D"/>
    <w:rsid w:val="4019356B"/>
    <w:rsid w:val="40221D7A"/>
    <w:rsid w:val="40592157"/>
    <w:rsid w:val="406E1CAE"/>
    <w:rsid w:val="409775EA"/>
    <w:rsid w:val="40A0133A"/>
    <w:rsid w:val="40C31A53"/>
    <w:rsid w:val="40F1625F"/>
    <w:rsid w:val="40FF545D"/>
    <w:rsid w:val="410067C8"/>
    <w:rsid w:val="410718EA"/>
    <w:rsid w:val="411C7BAE"/>
    <w:rsid w:val="41302EBB"/>
    <w:rsid w:val="418459FB"/>
    <w:rsid w:val="418F0D2A"/>
    <w:rsid w:val="419A1B3F"/>
    <w:rsid w:val="41A118EB"/>
    <w:rsid w:val="41C25D13"/>
    <w:rsid w:val="41D01505"/>
    <w:rsid w:val="41DD7E31"/>
    <w:rsid w:val="41F6339B"/>
    <w:rsid w:val="42021CC8"/>
    <w:rsid w:val="42250FE1"/>
    <w:rsid w:val="422E79CE"/>
    <w:rsid w:val="42474939"/>
    <w:rsid w:val="424C3C57"/>
    <w:rsid w:val="42613FF3"/>
    <w:rsid w:val="42660D96"/>
    <w:rsid w:val="427C7EC8"/>
    <w:rsid w:val="428667D2"/>
    <w:rsid w:val="42CD1CE0"/>
    <w:rsid w:val="42E1381E"/>
    <w:rsid w:val="42ED6459"/>
    <w:rsid w:val="42FE58DD"/>
    <w:rsid w:val="43174B3D"/>
    <w:rsid w:val="431A627B"/>
    <w:rsid w:val="434B790E"/>
    <w:rsid w:val="4360274F"/>
    <w:rsid w:val="438533CB"/>
    <w:rsid w:val="43977AB6"/>
    <w:rsid w:val="43A3342B"/>
    <w:rsid w:val="43C77C27"/>
    <w:rsid w:val="43DE09EE"/>
    <w:rsid w:val="44002FAD"/>
    <w:rsid w:val="449101DD"/>
    <w:rsid w:val="449663BD"/>
    <w:rsid w:val="44D636C6"/>
    <w:rsid w:val="44DE1391"/>
    <w:rsid w:val="451B225C"/>
    <w:rsid w:val="452410C9"/>
    <w:rsid w:val="45317DFB"/>
    <w:rsid w:val="456D3CE4"/>
    <w:rsid w:val="4579042C"/>
    <w:rsid w:val="457F0571"/>
    <w:rsid w:val="45851176"/>
    <w:rsid w:val="458F382B"/>
    <w:rsid w:val="45A01918"/>
    <w:rsid w:val="45BE507A"/>
    <w:rsid w:val="45C63B94"/>
    <w:rsid w:val="460E7DA5"/>
    <w:rsid w:val="462C3A25"/>
    <w:rsid w:val="46422483"/>
    <w:rsid w:val="465054AF"/>
    <w:rsid w:val="4659254A"/>
    <w:rsid w:val="465B0637"/>
    <w:rsid w:val="465E3F0D"/>
    <w:rsid w:val="466A16E6"/>
    <w:rsid w:val="467F145A"/>
    <w:rsid w:val="46893F2B"/>
    <w:rsid w:val="46C4686E"/>
    <w:rsid w:val="46F838C8"/>
    <w:rsid w:val="474444BA"/>
    <w:rsid w:val="47517D3A"/>
    <w:rsid w:val="477B778F"/>
    <w:rsid w:val="477C7B9D"/>
    <w:rsid w:val="478203EC"/>
    <w:rsid w:val="479A7419"/>
    <w:rsid w:val="47AD3020"/>
    <w:rsid w:val="47B025FA"/>
    <w:rsid w:val="47C90B25"/>
    <w:rsid w:val="47F83F98"/>
    <w:rsid w:val="4809698F"/>
    <w:rsid w:val="480C231E"/>
    <w:rsid w:val="4811697D"/>
    <w:rsid w:val="48383CC7"/>
    <w:rsid w:val="486D4A20"/>
    <w:rsid w:val="487A3E25"/>
    <w:rsid w:val="488979A3"/>
    <w:rsid w:val="488B5503"/>
    <w:rsid w:val="48937E21"/>
    <w:rsid w:val="489A0361"/>
    <w:rsid w:val="48B94FF3"/>
    <w:rsid w:val="48D21567"/>
    <w:rsid w:val="48E12201"/>
    <w:rsid w:val="48E37AAB"/>
    <w:rsid w:val="48FD4B4C"/>
    <w:rsid w:val="490A68E0"/>
    <w:rsid w:val="491055FE"/>
    <w:rsid w:val="49242907"/>
    <w:rsid w:val="495F5B3E"/>
    <w:rsid w:val="4966204E"/>
    <w:rsid w:val="496F77D7"/>
    <w:rsid w:val="497654FD"/>
    <w:rsid w:val="49B00A5E"/>
    <w:rsid w:val="49B64211"/>
    <w:rsid w:val="49F6167F"/>
    <w:rsid w:val="4A064FA0"/>
    <w:rsid w:val="4A16615C"/>
    <w:rsid w:val="4A2E473D"/>
    <w:rsid w:val="4A421E6C"/>
    <w:rsid w:val="4A4424D7"/>
    <w:rsid w:val="4A6D67B0"/>
    <w:rsid w:val="4A6D6E2B"/>
    <w:rsid w:val="4A8810AE"/>
    <w:rsid w:val="4AB82D0F"/>
    <w:rsid w:val="4AC0562C"/>
    <w:rsid w:val="4ACD758E"/>
    <w:rsid w:val="4AEB7664"/>
    <w:rsid w:val="4AF41157"/>
    <w:rsid w:val="4AFD7C19"/>
    <w:rsid w:val="4B0567D1"/>
    <w:rsid w:val="4B0A1C6E"/>
    <w:rsid w:val="4B1405DC"/>
    <w:rsid w:val="4B236AAE"/>
    <w:rsid w:val="4B4F5D43"/>
    <w:rsid w:val="4B707271"/>
    <w:rsid w:val="4B9739F7"/>
    <w:rsid w:val="4BE85FBF"/>
    <w:rsid w:val="4BEE2503"/>
    <w:rsid w:val="4C121C6C"/>
    <w:rsid w:val="4C245A30"/>
    <w:rsid w:val="4C5A5CCD"/>
    <w:rsid w:val="4C5C2EBE"/>
    <w:rsid w:val="4C607846"/>
    <w:rsid w:val="4C753C6F"/>
    <w:rsid w:val="4CB6685F"/>
    <w:rsid w:val="4CC367FE"/>
    <w:rsid w:val="4CC456E9"/>
    <w:rsid w:val="4CE0596C"/>
    <w:rsid w:val="4CE75EFE"/>
    <w:rsid w:val="4D077F3C"/>
    <w:rsid w:val="4D123355"/>
    <w:rsid w:val="4D2A3B31"/>
    <w:rsid w:val="4D312C52"/>
    <w:rsid w:val="4D8114AA"/>
    <w:rsid w:val="4D905305"/>
    <w:rsid w:val="4D964A72"/>
    <w:rsid w:val="4D9C1254"/>
    <w:rsid w:val="4DC35474"/>
    <w:rsid w:val="4DD437AE"/>
    <w:rsid w:val="4DFF48C8"/>
    <w:rsid w:val="4E3E2CA6"/>
    <w:rsid w:val="4E793892"/>
    <w:rsid w:val="4E800872"/>
    <w:rsid w:val="4E8A451F"/>
    <w:rsid w:val="4EAB3480"/>
    <w:rsid w:val="4EC569ED"/>
    <w:rsid w:val="4ED50EA1"/>
    <w:rsid w:val="4EE73F38"/>
    <w:rsid w:val="4EEC050C"/>
    <w:rsid w:val="4F104EC3"/>
    <w:rsid w:val="4F254237"/>
    <w:rsid w:val="4F47354A"/>
    <w:rsid w:val="4F6C4AC7"/>
    <w:rsid w:val="4F83437E"/>
    <w:rsid w:val="4F87118C"/>
    <w:rsid w:val="4F911C54"/>
    <w:rsid w:val="4FB25807"/>
    <w:rsid w:val="4FB6552F"/>
    <w:rsid w:val="4FC844FF"/>
    <w:rsid w:val="4FE625E0"/>
    <w:rsid w:val="4FF83E26"/>
    <w:rsid w:val="5021480F"/>
    <w:rsid w:val="50962ECB"/>
    <w:rsid w:val="509B2C02"/>
    <w:rsid w:val="50A42E38"/>
    <w:rsid w:val="50A4577F"/>
    <w:rsid w:val="50B73D1F"/>
    <w:rsid w:val="50BD5BC9"/>
    <w:rsid w:val="50C11EEE"/>
    <w:rsid w:val="50E97CFC"/>
    <w:rsid w:val="50F736A5"/>
    <w:rsid w:val="50FA4028"/>
    <w:rsid w:val="510D65B7"/>
    <w:rsid w:val="511157AB"/>
    <w:rsid w:val="51173130"/>
    <w:rsid w:val="5142540C"/>
    <w:rsid w:val="518832C8"/>
    <w:rsid w:val="519D3C50"/>
    <w:rsid w:val="51A0432A"/>
    <w:rsid w:val="51A86090"/>
    <w:rsid w:val="51B7396D"/>
    <w:rsid w:val="51FF1C91"/>
    <w:rsid w:val="522E4CC3"/>
    <w:rsid w:val="5244713B"/>
    <w:rsid w:val="52615633"/>
    <w:rsid w:val="526A39E9"/>
    <w:rsid w:val="526F4DE4"/>
    <w:rsid w:val="527E5CE1"/>
    <w:rsid w:val="527F76EB"/>
    <w:rsid w:val="52925A3C"/>
    <w:rsid w:val="52977FD4"/>
    <w:rsid w:val="52A25790"/>
    <w:rsid w:val="52A96B6F"/>
    <w:rsid w:val="52B24F04"/>
    <w:rsid w:val="52B45975"/>
    <w:rsid w:val="52C253CE"/>
    <w:rsid w:val="52D81E54"/>
    <w:rsid w:val="52D94AA4"/>
    <w:rsid w:val="52DA5108"/>
    <w:rsid w:val="52EA3A62"/>
    <w:rsid w:val="52F50BB8"/>
    <w:rsid w:val="53097272"/>
    <w:rsid w:val="531427E9"/>
    <w:rsid w:val="53507BCF"/>
    <w:rsid w:val="53544462"/>
    <w:rsid w:val="53865B77"/>
    <w:rsid w:val="5397158E"/>
    <w:rsid w:val="53C5485D"/>
    <w:rsid w:val="54013861"/>
    <w:rsid w:val="541F7E14"/>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B6E97"/>
    <w:rsid w:val="560F12D1"/>
    <w:rsid w:val="5649430D"/>
    <w:rsid w:val="566B6D1E"/>
    <w:rsid w:val="57032A2C"/>
    <w:rsid w:val="570F5219"/>
    <w:rsid w:val="575D12B5"/>
    <w:rsid w:val="57610A87"/>
    <w:rsid w:val="577B1140"/>
    <w:rsid w:val="577B7F21"/>
    <w:rsid w:val="577E3A1C"/>
    <w:rsid w:val="577F181B"/>
    <w:rsid w:val="578942F7"/>
    <w:rsid w:val="57921984"/>
    <w:rsid w:val="579737F0"/>
    <w:rsid w:val="57A66C3F"/>
    <w:rsid w:val="57AB7B30"/>
    <w:rsid w:val="57AF5251"/>
    <w:rsid w:val="57B26373"/>
    <w:rsid w:val="57B63F04"/>
    <w:rsid w:val="57CD20C2"/>
    <w:rsid w:val="57D675AB"/>
    <w:rsid w:val="57D73717"/>
    <w:rsid w:val="57D95FDD"/>
    <w:rsid w:val="58832E16"/>
    <w:rsid w:val="58917D2F"/>
    <w:rsid w:val="5894085C"/>
    <w:rsid w:val="58AE4F0C"/>
    <w:rsid w:val="58B85899"/>
    <w:rsid w:val="58C05D90"/>
    <w:rsid w:val="58E363A9"/>
    <w:rsid w:val="59066352"/>
    <w:rsid w:val="59166304"/>
    <w:rsid w:val="595263FD"/>
    <w:rsid w:val="595E1678"/>
    <w:rsid w:val="596D5BD4"/>
    <w:rsid w:val="597E3DD8"/>
    <w:rsid w:val="59917398"/>
    <w:rsid w:val="59D6612D"/>
    <w:rsid w:val="59E33A83"/>
    <w:rsid w:val="59F80043"/>
    <w:rsid w:val="5A09252F"/>
    <w:rsid w:val="5A0B2778"/>
    <w:rsid w:val="5A2A7C7B"/>
    <w:rsid w:val="5A3E2560"/>
    <w:rsid w:val="5A4411FB"/>
    <w:rsid w:val="5A4A4B31"/>
    <w:rsid w:val="5A5D3B6E"/>
    <w:rsid w:val="5A637A76"/>
    <w:rsid w:val="5A6D33BA"/>
    <w:rsid w:val="5A792B1F"/>
    <w:rsid w:val="5A874767"/>
    <w:rsid w:val="5AA85BE2"/>
    <w:rsid w:val="5AAD6F28"/>
    <w:rsid w:val="5AD63A24"/>
    <w:rsid w:val="5AFF1A90"/>
    <w:rsid w:val="5B2E1A1D"/>
    <w:rsid w:val="5B4A1CB5"/>
    <w:rsid w:val="5B843A1C"/>
    <w:rsid w:val="5B873E3F"/>
    <w:rsid w:val="5BDF44D5"/>
    <w:rsid w:val="5C02690E"/>
    <w:rsid w:val="5C196DA7"/>
    <w:rsid w:val="5C2A048C"/>
    <w:rsid w:val="5C435E21"/>
    <w:rsid w:val="5C80234E"/>
    <w:rsid w:val="5C8A680C"/>
    <w:rsid w:val="5CA035DF"/>
    <w:rsid w:val="5CA14138"/>
    <w:rsid w:val="5D0C4701"/>
    <w:rsid w:val="5D0F0395"/>
    <w:rsid w:val="5D1527FA"/>
    <w:rsid w:val="5D221076"/>
    <w:rsid w:val="5D397964"/>
    <w:rsid w:val="5D597720"/>
    <w:rsid w:val="5D5A391C"/>
    <w:rsid w:val="5D5F10C0"/>
    <w:rsid w:val="5D891B7B"/>
    <w:rsid w:val="5D920C30"/>
    <w:rsid w:val="5DAD38EE"/>
    <w:rsid w:val="5DB16269"/>
    <w:rsid w:val="5DB85AE5"/>
    <w:rsid w:val="5E006862"/>
    <w:rsid w:val="5E0207B9"/>
    <w:rsid w:val="5E1834A1"/>
    <w:rsid w:val="5E261785"/>
    <w:rsid w:val="5E4A7017"/>
    <w:rsid w:val="5E4B7C64"/>
    <w:rsid w:val="5E552BBA"/>
    <w:rsid w:val="5E611C10"/>
    <w:rsid w:val="5E7A0F3F"/>
    <w:rsid w:val="5EC11E59"/>
    <w:rsid w:val="5EFC7377"/>
    <w:rsid w:val="5F06174D"/>
    <w:rsid w:val="5F287061"/>
    <w:rsid w:val="5F3A3602"/>
    <w:rsid w:val="5F45733B"/>
    <w:rsid w:val="5F6277C6"/>
    <w:rsid w:val="5F6D0B1D"/>
    <w:rsid w:val="5F8D0B82"/>
    <w:rsid w:val="5FCC5339"/>
    <w:rsid w:val="5FE34A5B"/>
    <w:rsid w:val="5FFE1E36"/>
    <w:rsid w:val="60232584"/>
    <w:rsid w:val="607330CE"/>
    <w:rsid w:val="60825176"/>
    <w:rsid w:val="608F65EA"/>
    <w:rsid w:val="609F2AC4"/>
    <w:rsid w:val="60A64EAA"/>
    <w:rsid w:val="60E70688"/>
    <w:rsid w:val="60FA2EE8"/>
    <w:rsid w:val="61054A27"/>
    <w:rsid w:val="610A52BC"/>
    <w:rsid w:val="61150FCA"/>
    <w:rsid w:val="611A5DFE"/>
    <w:rsid w:val="611D2366"/>
    <w:rsid w:val="612A23C1"/>
    <w:rsid w:val="61421856"/>
    <w:rsid w:val="615227C4"/>
    <w:rsid w:val="61573A1C"/>
    <w:rsid w:val="615B5B9D"/>
    <w:rsid w:val="61654E3F"/>
    <w:rsid w:val="6182292A"/>
    <w:rsid w:val="619F7F92"/>
    <w:rsid w:val="61E81EE3"/>
    <w:rsid w:val="61F94C26"/>
    <w:rsid w:val="62000E56"/>
    <w:rsid w:val="621B5160"/>
    <w:rsid w:val="624F3E49"/>
    <w:rsid w:val="62632286"/>
    <w:rsid w:val="627E4805"/>
    <w:rsid w:val="62885958"/>
    <w:rsid w:val="62BD3AAC"/>
    <w:rsid w:val="62D42564"/>
    <w:rsid w:val="62D47A8F"/>
    <w:rsid w:val="62F40B65"/>
    <w:rsid w:val="62FC2CFE"/>
    <w:rsid w:val="63024505"/>
    <w:rsid w:val="630E6E75"/>
    <w:rsid w:val="631808D5"/>
    <w:rsid w:val="635600A5"/>
    <w:rsid w:val="635B1DB5"/>
    <w:rsid w:val="63711FED"/>
    <w:rsid w:val="63765901"/>
    <w:rsid w:val="63880DDC"/>
    <w:rsid w:val="638D750D"/>
    <w:rsid w:val="63AC6CC0"/>
    <w:rsid w:val="63AD0A3D"/>
    <w:rsid w:val="63BE484B"/>
    <w:rsid w:val="64055776"/>
    <w:rsid w:val="640A1EDC"/>
    <w:rsid w:val="641B4F98"/>
    <w:rsid w:val="64240056"/>
    <w:rsid w:val="643E143A"/>
    <w:rsid w:val="64491666"/>
    <w:rsid w:val="6458256F"/>
    <w:rsid w:val="64853F32"/>
    <w:rsid w:val="648B6EEF"/>
    <w:rsid w:val="64C158BF"/>
    <w:rsid w:val="64CD1605"/>
    <w:rsid w:val="64CE2EAA"/>
    <w:rsid w:val="653C3090"/>
    <w:rsid w:val="65854376"/>
    <w:rsid w:val="658767BE"/>
    <w:rsid w:val="65892531"/>
    <w:rsid w:val="659C47D8"/>
    <w:rsid w:val="65A40F87"/>
    <w:rsid w:val="65BE3902"/>
    <w:rsid w:val="65C23955"/>
    <w:rsid w:val="65C54610"/>
    <w:rsid w:val="65C672A9"/>
    <w:rsid w:val="65CC1539"/>
    <w:rsid w:val="66195831"/>
    <w:rsid w:val="662E75B1"/>
    <w:rsid w:val="66342C2E"/>
    <w:rsid w:val="663E784C"/>
    <w:rsid w:val="664452C4"/>
    <w:rsid w:val="6660164E"/>
    <w:rsid w:val="667524A1"/>
    <w:rsid w:val="668B6A45"/>
    <w:rsid w:val="669B1168"/>
    <w:rsid w:val="66B23906"/>
    <w:rsid w:val="66E86699"/>
    <w:rsid w:val="66FA19DE"/>
    <w:rsid w:val="671372D5"/>
    <w:rsid w:val="672F3F24"/>
    <w:rsid w:val="673E055F"/>
    <w:rsid w:val="67551CE3"/>
    <w:rsid w:val="67777CD5"/>
    <w:rsid w:val="67A22552"/>
    <w:rsid w:val="67B02053"/>
    <w:rsid w:val="67B22DCC"/>
    <w:rsid w:val="67BE71AA"/>
    <w:rsid w:val="67D90273"/>
    <w:rsid w:val="67DB698C"/>
    <w:rsid w:val="67DE5875"/>
    <w:rsid w:val="67E55852"/>
    <w:rsid w:val="67EB1AB4"/>
    <w:rsid w:val="67FA1285"/>
    <w:rsid w:val="681B6091"/>
    <w:rsid w:val="68551F4F"/>
    <w:rsid w:val="687C10C9"/>
    <w:rsid w:val="68840C16"/>
    <w:rsid w:val="68876EFB"/>
    <w:rsid w:val="68884654"/>
    <w:rsid w:val="689F444F"/>
    <w:rsid w:val="68B96DBB"/>
    <w:rsid w:val="68CA2805"/>
    <w:rsid w:val="68E00250"/>
    <w:rsid w:val="68E937A3"/>
    <w:rsid w:val="691555DA"/>
    <w:rsid w:val="693E15D3"/>
    <w:rsid w:val="69623E63"/>
    <w:rsid w:val="69627681"/>
    <w:rsid w:val="6977531D"/>
    <w:rsid w:val="69C15E0F"/>
    <w:rsid w:val="69CC2BFF"/>
    <w:rsid w:val="69FD55B8"/>
    <w:rsid w:val="6A0B1C62"/>
    <w:rsid w:val="6A2406C8"/>
    <w:rsid w:val="6A5505B6"/>
    <w:rsid w:val="6A69091A"/>
    <w:rsid w:val="6A826D0C"/>
    <w:rsid w:val="6A907028"/>
    <w:rsid w:val="6ADC2325"/>
    <w:rsid w:val="6ADE0BD1"/>
    <w:rsid w:val="6AE96859"/>
    <w:rsid w:val="6B147746"/>
    <w:rsid w:val="6B24787C"/>
    <w:rsid w:val="6B573233"/>
    <w:rsid w:val="6B5B6274"/>
    <w:rsid w:val="6B71025C"/>
    <w:rsid w:val="6B7F31B3"/>
    <w:rsid w:val="6B935D53"/>
    <w:rsid w:val="6BC946AA"/>
    <w:rsid w:val="6C196F71"/>
    <w:rsid w:val="6C226FCB"/>
    <w:rsid w:val="6C23202A"/>
    <w:rsid w:val="6C2602CA"/>
    <w:rsid w:val="6C31226F"/>
    <w:rsid w:val="6C552F0B"/>
    <w:rsid w:val="6C5D2F7C"/>
    <w:rsid w:val="6C604C93"/>
    <w:rsid w:val="6C8C67B7"/>
    <w:rsid w:val="6C9142B9"/>
    <w:rsid w:val="6C9D744C"/>
    <w:rsid w:val="6D167928"/>
    <w:rsid w:val="6D26299B"/>
    <w:rsid w:val="6D287196"/>
    <w:rsid w:val="6D4772EC"/>
    <w:rsid w:val="6D5D6613"/>
    <w:rsid w:val="6D8620A6"/>
    <w:rsid w:val="6D9078AF"/>
    <w:rsid w:val="6DAA3FEF"/>
    <w:rsid w:val="6DC0172B"/>
    <w:rsid w:val="6DCB690C"/>
    <w:rsid w:val="6DD41A5B"/>
    <w:rsid w:val="6DF43C2E"/>
    <w:rsid w:val="6DF51CA3"/>
    <w:rsid w:val="6E0732C3"/>
    <w:rsid w:val="6E5A255E"/>
    <w:rsid w:val="6E7A7F0B"/>
    <w:rsid w:val="6E8335BD"/>
    <w:rsid w:val="6E8E12EF"/>
    <w:rsid w:val="6E972936"/>
    <w:rsid w:val="6EC66EAA"/>
    <w:rsid w:val="6EC72862"/>
    <w:rsid w:val="6ED446C5"/>
    <w:rsid w:val="6F1E43C5"/>
    <w:rsid w:val="6F2A7D94"/>
    <w:rsid w:val="6F8331F1"/>
    <w:rsid w:val="6FAE1A09"/>
    <w:rsid w:val="6FB344DE"/>
    <w:rsid w:val="6FD75BF8"/>
    <w:rsid w:val="702F116D"/>
    <w:rsid w:val="70626FA0"/>
    <w:rsid w:val="707723D0"/>
    <w:rsid w:val="70A628A5"/>
    <w:rsid w:val="70DC2853"/>
    <w:rsid w:val="70F5661B"/>
    <w:rsid w:val="71360107"/>
    <w:rsid w:val="713B688E"/>
    <w:rsid w:val="71715E92"/>
    <w:rsid w:val="717F6C52"/>
    <w:rsid w:val="71C0067F"/>
    <w:rsid w:val="71D43752"/>
    <w:rsid w:val="71F1796A"/>
    <w:rsid w:val="72154626"/>
    <w:rsid w:val="72163347"/>
    <w:rsid w:val="72262B5D"/>
    <w:rsid w:val="72283FF7"/>
    <w:rsid w:val="722E287E"/>
    <w:rsid w:val="722E7212"/>
    <w:rsid w:val="722E73AC"/>
    <w:rsid w:val="723A0474"/>
    <w:rsid w:val="725923E4"/>
    <w:rsid w:val="728006BC"/>
    <w:rsid w:val="72864BF7"/>
    <w:rsid w:val="729023FC"/>
    <w:rsid w:val="72C505D3"/>
    <w:rsid w:val="72DA5137"/>
    <w:rsid w:val="732B25B2"/>
    <w:rsid w:val="733A0C17"/>
    <w:rsid w:val="736554B6"/>
    <w:rsid w:val="73C0646E"/>
    <w:rsid w:val="74015934"/>
    <w:rsid w:val="742222F5"/>
    <w:rsid w:val="74476126"/>
    <w:rsid w:val="744B521A"/>
    <w:rsid w:val="74706664"/>
    <w:rsid w:val="747F3682"/>
    <w:rsid w:val="74876886"/>
    <w:rsid w:val="749C4185"/>
    <w:rsid w:val="75067759"/>
    <w:rsid w:val="752E6DCD"/>
    <w:rsid w:val="7551380D"/>
    <w:rsid w:val="75600BE5"/>
    <w:rsid w:val="7564475C"/>
    <w:rsid w:val="75662603"/>
    <w:rsid w:val="7583797F"/>
    <w:rsid w:val="75D20F1D"/>
    <w:rsid w:val="75DA2C18"/>
    <w:rsid w:val="75F54412"/>
    <w:rsid w:val="761D08E0"/>
    <w:rsid w:val="765D347C"/>
    <w:rsid w:val="76826699"/>
    <w:rsid w:val="76A170A8"/>
    <w:rsid w:val="76C73713"/>
    <w:rsid w:val="76C87133"/>
    <w:rsid w:val="76CD08D5"/>
    <w:rsid w:val="76D3618F"/>
    <w:rsid w:val="76DB4B92"/>
    <w:rsid w:val="77052AA4"/>
    <w:rsid w:val="77136511"/>
    <w:rsid w:val="77340A39"/>
    <w:rsid w:val="77351FD0"/>
    <w:rsid w:val="77472422"/>
    <w:rsid w:val="777F31F2"/>
    <w:rsid w:val="77D1700D"/>
    <w:rsid w:val="77E369E1"/>
    <w:rsid w:val="77EC04CC"/>
    <w:rsid w:val="783C132D"/>
    <w:rsid w:val="78775729"/>
    <w:rsid w:val="787E6B6B"/>
    <w:rsid w:val="788832AD"/>
    <w:rsid w:val="78A42DB0"/>
    <w:rsid w:val="78A656AB"/>
    <w:rsid w:val="78A924DA"/>
    <w:rsid w:val="78B2245C"/>
    <w:rsid w:val="78E172CC"/>
    <w:rsid w:val="78E21F60"/>
    <w:rsid w:val="78EA1D1F"/>
    <w:rsid w:val="78FA09E4"/>
    <w:rsid w:val="7904172F"/>
    <w:rsid w:val="79075A38"/>
    <w:rsid w:val="790F7E27"/>
    <w:rsid w:val="792A231A"/>
    <w:rsid w:val="79316829"/>
    <w:rsid w:val="797E66A9"/>
    <w:rsid w:val="798518A4"/>
    <w:rsid w:val="79A97383"/>
    <w:rsid w:val="79E0418E"/>
    <w:rsid w:val="79E27E8B"/>
    <w:rsid w:val="79F850CE"/>
    <w:rsid w:val="79FD443C"/>
    <w:rsid w:val="7A1D1975"/>
    <w:rsid w:val="7A282137"/>
    <w:rsid w:val="7A3E5150"/>
    <w:rsid w:val="7A4670D6"/>
    <w:rsid w:val="7A4F4A5A"/>
    <w:rsid w:val="7A534B63"/>
    <w:rsid w:val="7A615382"/>
    <w:rsid w:val="7A67303B"/>
    <w:rsid w:val="7AAB1D04"/>
    <w:rsid w:val="7AB80583"/>
    <w:rsid w:val="7ABA4368"/>
    <w:rsid w:val="7AD05746"/>
    <w:rsid w:val="7B257FFD"/>
    <w:rsid w:val="7B343476"/>
    <w:rsid w:val="7B5A2978"/>
    <w:rsid w:val="7B5A7E4C"/>
    <w:rsid w:val="7B667AF9"/>
    <w:rsid w:val="7B7268E6"/>
    <w:rsid w:val="7B7468F8"/>
    <w:rsid w:val="7BDB45A7"/>
    <w:rsid w:val="7BEE0103"/>
    <w:rsid w:val="7BF90F0F"/>
    <w:rsid w:val="7C0A0FE4"/>
    <w:rsid w:val="7C0C65A0"/>
    <w:rsid w:val="7C254906"/>
    <w:rsid w:val="7C590818"/>
    <w:rsid w:val="7C651E12"/>
    <w:rsid w:val="7C7C10F6"/>
    <w:rsid w:val="7C853BEA"/>
    <w:rsid w:val="7C881368"/>
    <w:rsid w:val="7CE27788"/>
    <w:rsid w:val="7D0C32F1"/>
    <w:rsid w:val="7D0F408D"/>
    <w:rsid w:val="7D2F0C1E"/>
    <w:rsid w:val="7D491C6C"/>
    <w:rsid w:val="7D520560"/>
    <w:rsid w:val="7D5429C0"/>
    <w:rsid w:val="7D6E6D43"/>
    <w:rsid w:val="7D9365DF"/>
    <w:rsid w:val="7DB57A34"/>
    <w:rsid w:val="7DC6485A"/>
    <w:rsid w:val="7DC7444F"/>
    <w:rsid w:val="7DE44A64"/>
    <w:rsid w:val="7DE60973"/>
    <w:rsid w:val="7DEC75C0"/>
    <w:rsid w:val="7DEF0916"/>
    <w:rsid w:val="7E1D3512"/>
    <w:rsid w:val="7E1E5218"/>
    <w:rsid w:val="7E9A4E1F"/>
    <w:rsid w:val="7EA7723A"/>
    <w:rsid w:val="7EB361E0"/>
    <w:rsid w:val="7EB81432"/>
    <w:rsid w:val="7EE53E9B"/>
    <w:rsid w:val="7EF065CA"/>
    <w:rsid w:val="7EF56FBB"/>
    <w:rsid w:val="7F0768EB"/>
    <w:rsid w:val="7F143BEC"/>
    <w:rsid w:val="7F715AF2"/>
    <w:rsid w:val="7F886E69"/>
    <w:rsid w:val="7FA42800"/>
    <w:rsid w:val="7FF961D8"/>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0"/>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1"/>
    <w:next w:val="4"/>
    <w:link w:val="321"/>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8">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2"/>
    <w:qFormat/>
    <w:uiPriority w:val="0"/>
    <w:pPr>
      <w:shd w:val="clear" w:color="auto" w:fill="000080"/>
    </w:p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仿宋_GB2312" w:eastAsia="仿宋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next w:val="44"/>
    <w:link w:val="392"/>
    <w:qFormat/>
    <w:uiPriority w:val="99"/>
    <w:pPr>
      <w:pBdr>
        <w:bottom w:val="single" w:color="auto" w:sz="6" w:space="1"/>
      </w:pBdr>
      <w:tabs>
        <w:tab w:val="center" w:pos="4153"/>
        <w:tab w:val="right" w:pos="8306"/>
      </w:tabs>
      <w:snapToGrid w:val="0"/>
      <w:jc w:val="center"/>
    </w:pPr>
    <w:rPr>
      <w:sz w:val="18"/>
      <w:szCs w:val="18"/>
    </w:rPr>
  </w:style>
  <w:style w:type="paragraph" w:customStyle="1" w:styleId="4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5">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8"/>
    <w:link w:val="310"/>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96"/>
    <w:qFormat/>
    <w:uiPriority w:val="0"/>
    <w:rPr>
      <w:b/>
      <w:bCs/>
    </w:rPr>
  </w:style>
  <w:style w:type="paragraph" w:styleId="63">
    <w:name w:val="Body Text First Indent 2"/>
    <w:basedOn w:val="26"/>
    <w:next w:val="1"/>
    <w:link w:val="121"/>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表格文字"/>
    <w:basedOn w:val="1"/>
    <w:next w:val="2"/>
    <w:qFormat/>
    <w:uiPriority w:val="0"/>
    <w:pPr>
      <w:adjustRightInd/>
      <w:ind w:firstLine="200" w:firstLineChars="200"/>
    </w:pPr>
    <w:rPr>
      <w:rFonts w:ascii="Arial" w:hAnsi="Arial"/>
      <w:spacing w:val="-5"/>
      <w:kern w:val="0"/>
      <w:sz w:val="24"/>
      <w:szCs w:val="20"/>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3"/>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50"/>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1"/>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6"/>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4"/>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8"/>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1"/>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9"/>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9"/>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basedOn w:val="7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10"/>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3"/>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9"/>
    <w:qFormat/>
    <w:uiPriority w:val="0"/>
    <w:rPr>
      <w:rFonts w:ascii="黑体" w:hAnsi="Courier New" w:eastAsia="黑体"/>
    </w:rPr>
  </w:style>
  <w:style w:type="character" w:customStyle="1" w:styleId="302">
    <w:name w:val="正文文本 2 Char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9"/>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2"/>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3"/>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7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3"/>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9"/>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4"/>
    <w:qFormat/>
    <w:uiPriority w:val="0"/>
    <w:rPr>
      <w:kern w:val="2"/>
      <w:sz w:val="21"/>
    </w:rPr>
  </w:style>
  <w:style w:type="character" w:customStyle="1" w:styleId="331">
    <w:name w:val="font31"/>
    <w:basedOn w:val="7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2"/>
    <w:qFormat/>
    <w:uiPriority w:val="0"/>
    <w:rPr>
      <w:kern w:val="2"/>
      <w:sz w:val="21"/>
      <w:szCs w:val="24"/>
    </w:rPr>
  </w:style>
  <w:style w:type="character" w:customStyle="1" w:styleId="345">
    <w:name w:val="签名 Char"/>
    <w:link w:val="45"/>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3"/>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rFonts w:ascii="Times New Roman" w:hAnsi="Times New Roman" w:eastAsia="宋体"/>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9"/>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34"/>
    <w:next w:val="1"/>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0"/>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9"/>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5"/>
    <w:qFormat/>
    <w:uiPriority w:val="0"/>
    <w:pPr>
      <w:tabs>
        <w:tab w:val="left" w:pos="840"/>
      </w:tabs>
      <w:adjustRightInd/>
      <w:ind w:left="840" w:hanging="420"/>
    </w:pPr>
  </w:style>
  <w:style w:type="paragraph" w:customStyle="1" w:styleId="625">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9"/>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7"/>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44"/>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1"/>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0"/>
    <w:next w:val="1"/>
    <w:qFormat/>
    <w:uiPriority w:val="0"/>
    <w:pPr>
      <w:tabs>
        <w:tab w:val="left" w:pos="1080"/>
      </w:tabs>
      <w:ind w:left="1080" w:hanging="1080"/>
    </w:pPr>
  </w:style>
  <w:style w:type="paragraph" w:customStyle="1" w:styleId="895">
    <w:name w:val="数字标题1"/>
    <w:basedOn w:val="5"/>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WPSOffice手动目录 1"/>
    <w:qFormat/>
    <w:uiPriority w:val="0"/>
    <w:rPr>
      <w:rFonts w:ascii="Times New Roman" w:hAnsi="Times New Roman" w:eastAsia="宋体" w:cs="Times New Roman"/>
      <w:lang w:val="en-US" w:eastAsia="zh-CN" w:bidi="ar-SA"/>
    </w:rPr>
  </w:style>
  <w:style w:type="paragraph" w:customStyle="1" w:styleId="96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6">
    <w:name w:val="NormalCharacter"/>
    <w:qFormat/>
    <w:uiPriority w:val="0"/>
  </w:style>
  <w:style w:type="paragraph" w:customStyle="1" w:styleId="967">
    <w:name w:val="p18"/>
    <w:basedOn w:val="1"/>
    <w:qFormat/>
    <w:uiPriority w:val="0"/>
    <w:pPr>
      <w:widowControl/>
    </w:pPr>
    <w:rPr>
      <w:kern w:val="0"/>
      <w:sz w:val="24"/>
    </w:rPr>
  </w:style>
  <w:style w:type="character" w:customStyle="1" w:styleId="968">
    <w:name w:val="flname8"/>
    <w:qFormat/>
    <w:uiPriority w:val="99"/>
    <w:rPr>
      <w:rFonts w:hint="default" w:ascii="Times New Roman" w:hAnsi="Times New Roman" w:cs="Times New Roman"/>
    </w:rPr>
  </w:style>
  <w:style w:type="paragraph" w:customStyle="1" w:styleId="969">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13465</Words>
  <Characters>14635</Characters>
  <Lines>46</Lines>
  <Paragraphs>63</Paragraphs>
  <TotalTime>0</TotalTime>
  <ScaleCrop>false</ScaleCrop>
  <LinksUpToDate>false</LinksUpToDate>
  <CharactersWithSpaces>15015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DELL</dc:creator>
  <cp:lastModifiedBy>BigBearΨ熊﹏</cp:lastModifiedBy>
  <cp:lastPrinted>2024-12-17T10:01:00Z</cp:lastPrinted>
  <dcterms:modified xsi:type="dcterms:W3CDTF">2025-01-24T02:32:43Z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25EF531068B14C0D9A32DCA34D81F112</vt:lpwstr>
  </property>
  <property fmtid="{D5CDD505-2E9C-101B-9397-08002B2CF9AE}" pid="5" name="KSOTemplateDocerSaveRecord">
    <vt:lpwstr>eyJoZGlkIjoiODAxODcyYWIxMmZlMWY5MDRjYmIyYTIyOGY2MGIxMWEiLCJ1c2VySWQiOiIyNTM4NzI1MzQifQ==</vt:lpwstr>
  </property>
</Properties>
</file>