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9C02B">
      <w:pPr>
        <w:adjustRightInd/>
        <w:spacing w:line="360" w:lineRule="auto"/>
        <w:jc w:val="center"/>
        <w:rPr>
          <w:rFonts w:hint="eastAsia" w:ascii="宋体" w:hAnsi="宋体" w:cs="宋体"/>
          <w:color w:val="auto"/>
          <w:sz w:val="48"/>
          <w:szCs w:val="48"/>
          <w:highlight w:val="none"/>
        </w:rPr>
      </w:pPr>
    </w:p>
    <w:p w14:paraId="11B5CC1F">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宁波市海曙区卫健</w:t>
      </w:r>
    </w:p>
    <w:p w14:paraId="386C09E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系统民生工程信息化改造项目</w:t>
      </w:r>
    </w:p>
    <w:p w14:paraId="47DFF9D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5D4DB8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3A693E6">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编号:2024NBHSWT366</w:t>
      </w:r>
    </w:p>
    <w:p w14:paraId="43EEF12D">
      <w:pPr>
        <w:spacing w:line="360" w:lineRule="auto"/>
        <w:jc w:val="center"/>
        <w:rPr>
          <w:rFonts w:ascii="宋体" w:hAnsi="宋体" w:cs="宋体"/>
          <w:color w:val="auto"/>
          <w:sz w:val="24"/>
          <w:highlight w:val="none"/>
        </w:rPr>
      </w:pPr>
    </w:p>
    <w:p w14:paraId="21503273">
      <w:pPr>
        <w:pStyle w:val="2"/>
        <w:rPr>
          <w:rFonts w:ascii="宋体" w:hAnsi="宋体" w:cs="宋体"/>
          <w:color w:val="auto"/>
          <w:sz w:val="24"/>
          <w:highlight w:val="none"/>
        </w:rPr>
      </w:pPr>
    </w:p>
    <w:p w14:paraId="744CCAF0">
      <w:pPr>
        <w:pStyle w:val="3"/>
        <w:rPr>
          <w:rFonts w:ascii="宋体" w:hAnsi="宋体" w:cs="宋体"/>
          <w:color w:val="auto"/>
          <w:sz w:val="24"/>
          <w:highlight w:val="none"/>
        </w:rPr>
      </w:pPr>
    </w:p>
    <w:p w14:paraId="4F7CD103">
      <w:pPr>
        <w:pStyle w:val="4"/>
        <w:rPr>
          <w:rFonts w:ascii="宋体" w:hAnsi="宋体" w:cs="宋体"/>
          <w:color w:val="auto"/>
          <w:sz w:val="24"/>
          <w:highlight w:val="none"/>
        </w:rPr>
      </w:pPr>
    </w:p>
    <w:p w14:paraId="2022C331">
      <w:pPr>
        <w:pStyle w:val="5"/>
        <w:rPr>
          <w:color w:val="auto"/>
          <w:highlight w:val="none"/>
        </w:rPr>
      </w:pPr>
    </w:p>
    <w:p w14:paraId="717026B5">
      <w:pPr>
        <w:spacing w:line="360" w:lineRule="auto"/>
        <w:rPr>
          <w:rFonts w:ascii="宋体" w:hAnsi="宋体" w:cs="宋体"/>
          <w:color w:val="auto"/>
          <w:sz w:val="32"/>
          <w:szCs w:val="32"/>
          <w:highlight w:val="none"/>
        </w:rPr>
      </w:pPr>
    </w:p>
    <w:p w14:paraId="0D177DCF">
      <w:pPr>
        <w:spacing w:line="360" w:lineRule="auto"/>
        <w:jc w:val="left"/>
        <w:rPr>
          <w:rFonts w:ascii="宋体" w:hAnsi="宋体" w:cs="宋体"/>
          <w:bCs/>
          <w:color w:val="auto"/>
          <w:sz w:val="24"/>
          <w:szCs w:val="24"/>
          <w:highlight w:val="none"/>
        </w:rPr>
      </w:pPr>
      <w:r>
        <w:rPr>
          <w:rFonts w:hint="eastAsia" w:ascii="宋体" w:hAnsi="宋体" w:cs="宋体"/>
          <w:b/>
          <w:bCs w:val="0"/>
          <w:color w:val="auto"/>
          <w:sz w:val="24"/>
          <w:szCs w:val="24"/>
          <w:highlight w:val="none"/>
        </w:rPr>
        <w:t>采购人：</w:t>
      </w:r>
      <w:r>
        <w:rPr>
          <w:rFonts w:hint="eastAsia" w:ascii="宋体" w:hAnsi="宋体" w:cs="宋体"/>
          <w:bCs/>
          <w:color w:val="auto"/>
          <w:sz w:val="24"/>
          <w:szCs w:val="24"/>
          <w:highlight w:val="none"/>
          <w:lang w:val="en-US" w:eastAsia="zh-CN"/>
        </w:rPr>
        <w:t>宁波市海曙区人民医院医联体（</w:t>
      </w:r>
      <w:r>
        <w:rPr>
          <w:rFonts w:hint="eastAsia" w:ascii="宋体" w:hAnsi="宋体" w:cs="宋体"/>
          <w:bCs/>
          <w:color w:val="auto"/>
          <w:sz w:val="24"/>
          <w:szCs w:val="24"/>
          <w:highlight w:val="none"/>
        </w:rPr>
        <w:t>宁波市海曙区段塘街道社区卫生服务中心、宁波市海曙区章水镇卫生院、宁波市海曙区鄞江镇中心卫生院</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宁波市海曙区白云街道社区卫生服务中心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宁波市海曙区洞桥镇卫生院</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宁波市海曙区石碶街道社区卫生服务中心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宁波市海曙区龙观乡卫生院</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宁波市海曙区月湖街道社区卫生服务中心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宁波市海曙区江厦街道社区卫生服务中心</w:t>
      </w:r>
      <w:r>
        <w:rPr>
          <w:rFonts w:hint="eastAsia" w:ascii="宋体" w:hAnsi="宋体" w:cs="宋体"/>
          <w:bCs/>
          <w:color w:val="auto"/>
          <w:sz w:val="24"/>
          <w:szCs w:val="24"/>
          <w:highlight w:val="none"/>
          <w:lang w:val="en-US" w:eastAsia="zh-CN"/>
        </w:rPr>
        <w:t>）</w:t>
      </w:r>
    </w:p>
    <w:p w14:paraId="5414D07A">
      <w:pPr>
        <w:spacing w:line="360" w:lineRule="auto"/>
        <w:jc w:val="left"/>
        <w:rPr>
          <w:rFonts w:hint="eastAsia" w:ascii="宋体" w:hAnsi="宋体" w:cs="宋体"/>
          <w:b/>
          <w:bCs w:val="0"/>
          <w:color w:val="auto"/>
          <w:sz w:val="24"/>
          <w:szCs w:val="24"/>
          <w:highlight w:val="none"/>
        </w:rPr>
      </w:pPr>
      <w:bookmarkStart w:id="0" w:name="_Toc2466"/>
      <w:r>
        <w:rPr>
          <w:rFonts w:hint="eastAsia" w:ascii="宋体" w:hAnsi="宋体" w:cs="宋体"/>
          <w:bCs/>
          <w:color w:val="auto"/>
          <w:sz w:val="24"/>
          <w:szCs w:val="24"/>
          <w:highlight w:val="none"/>
        </w:rPr>
        <w:t>宁波市海曙区第三医院</w:t>
      </w:r>
      <w:r>
        <w:rPr>
          <w:rFonts w:hint="eastAsia" w:ascii="宋体" w:hAnsi="宋体" w:cs="宋体"/>
          <w:bCs/>
          <w:color w:val="auto"/>
          <w:sz w:val="24"/>
          <w:szCs w:val="24"/>
          <w:highlight w:val="none"/>
          <w:lang w:val="en-US" w:eastAsia="zh-CN"/>
        </w:rPr>
        <w:t>及其医联体（</w:t>
      </w:r>
      <w:r>
        <w:rPr>
          <w:rFonts w:hint="eastAsia" w:ascii="宋体" w:hAnsi="宋体" w:cs="宋体"/>
          <w:bCs/>
          <w:color w:val="auto"/>
          <w:sz w:val="24"/>
          <w:szCs w:val="24"/>
          <w:highlight w:val="none"/>
        </w:rPr>
        <w:t>宁波市海曙区西门</w:t>
      </w:r>
      <w:r>
        <w:rPr>
          <w:rFonts w:hint="eastAsia" w:ascii="宋体" w:hAnsi="宋体" w:cs="宋体"/>
          <w:bCs/>
          <w:color w:val="auto"/>
          <w:sz w:val="24"/>
          <w:szCs w:val="24"/>
          <w:highlight w:val="none"/>
          <w:lang w:val="en-US" w:eastAsia="zh-CN"/>
        </w:rPr>
        <w:t>望春</w:t>
      </w:r>
      <w:r>
        <w:rPr>
          <w:rFonts w:hint="eastAsia" w:ascii="宋体" w:hAnsi="宋体" w:cs="宋体"/>
          <w:bCs/>
          <w:color w:val="auto"/>
          <w:sz w:val="24"/>
          <w:szCs w:val="24"/>
          <w:highlight w:val="none"/>
        </w:rPr>
        <w:t>社区卫生服务中心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宁波市海曙区南门街道社区卫生服务中心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宁波市海曙区横街镇卫生院</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宁波市海曙区鼓楼街道社区卫生服务中心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宁波市海曙区古林镇卫生院</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宁波市海曙区高桥镇卫生院</w:t>
      </w:r>
      <w:r>
        <w:rPr>
          <w:rFonts w:hint="eastAsia" w:ascii="宋体" w:hAnsi="宋体" w:cs="宋体"/>
          <w:bCs/>
          <w:color w:val="auto"/>
          <w:sz w:val="24"/>
          <w:szCs w:val="24"/>
          <w:highlight w:val="none"/>
          <w:lang w:val="en-US" w:eastAsia="zh-CN"/>
        </w:rPr>
        <w:t>）</w:t>
      </w:r>
    </w:p>
    <w:p w14:paraId="09938D62">
      <w:pPr>
        <w:spacing w:line="360" w:lineRule="auto"/>
        <w:jc w:val="left"/>
        <w:rPr>
          <w:rFonts w:ascii="宋体" w:hAnsi="宋体" w:cs="宋体"/>
          <w:bCs/>
          <w:color w:val="auto"/>
          <w:sz w:val="24"/>
          <w:szCs w:val="24"/>
          <w:highlight w:val="none"/>
        </w:rPr>
      </w:pPr>
      <w:r>
        <w:rPr>
          <w:rFonts w:hint="eastAsia" w:ascii="宋体" w:hAnsi="宋体" w:cs="宋体"/>
          <w:b/>
          <w:bCs w:val="0"/>
          <w:color w:val="auto"/>
          <w:sz w:val="24"/>
          <w:szCs w:val="24"/>
          <w:highlight w:val="none"/>
        </w:rPr>
        <w:t>采购代理机构：</w:t>
      </w:r>
      <w:r>
        <w:rPr>
          <w:rFonts w:hint="eastAsia" w:ascii="宋体" w:hAnsi="宋体" w:cs="宋体"/>
          <w:bCs/>
          <w:color w:val="auto"/>
          <w:sz w:val="24"/>
          <w:szCs w:val="24"/>
          <w:highlight w:val="none"/>
        </w:rPr>
        <w:t>宁波中基国际招标有限公司</w:t>
      </w:r>
      <w:bookmarkEnd w:id="0"/>
    </w:p>
    <w:p w14:paraId="7591DFC1">
      <w:pPr>
        <w:spacing w:line="360" w:lineRule="auto"/>
        <w:jc w:val="center"/>
        <w:rPr>
          <w:rFonts w:ascii="宋体" w:hAnsi="宋体" w:cs="宋体"/>
          <w:bCs/>
          <w:color w:val="auto"/>
          <w:sz w:val="32"/>
          <w:szCs w:val="32"/>
          <w:highlight w:val="none"/>
        </w:rPr>
      </w:pPr>
    </w:p>
    <w:p w14:paraId="2600B06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14:paraId="28E5EB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592C90F9">
      <w:pPr>
        <w:spacing w:line="360" w:lineRule="auto"/>
        <w:rPr>
          <w:rFonts w:ascii="宋体" w:hAnsi="宋体" w:cs="宋体"/>
          <w:color w:val="auto"/>
          <w:sz w:val="32"/>
          <w:szCs w:val="32"/>
          <w:highlight w:val="none"/>
        </w:rPr>
      </w:pPr>
    </w:p>
    <w:sdt>
      <w:sdtPr>
        <w:rPr>
          <w:rFonts w:ascii="宋体" w:hAnsi="宋体"/>
          <w:color w:val="auto"/>
          <w:sz w:val="48"/>
          <w:szCs w:val="48"/>
          <w:highlight w:val="none"/>
        </w:rPr>
        <w:id w:val="147476114"/>
        <w:docPartObj>
          <w:docPartGallery w:val="Table of Contents"/>
          <w:docPartUnique/>
        </w:docPartObj>
      </w:sdtPr>
      <w:sdtEndPr>
        <w:rPr>
          <w:rFonts w:ascii="宋体" w:hAnsi="宋体"/>
          <w:color w:val="auto"/>
          <w:sz w:val="48"/>
          <w:szCs w:val="48"/>
          <w:highlight w:val="none"/>
        </w:rPr>
      </w:sdtEndPr>
      <w:sdtContent>
        <w:p w14:paraId="2ED5D460">
          <w:pPr>
            <w:jc w:val="center"/>
            <w:rPr>
              <w:rFonts w:ascii="宋体" w:hAnsi="宋体"/>
              <w:color w:val="auto"/>
              <w:sz w:val="48"/>
              <w:szCs w:val="48"/>
              <w:highlight w:val="none"/>
            </w:rPr>
          </w:pPr>
          <w:r>
            <w:rPr>
              <w:rFonts w:ascii="宋体" w:hAnsi="宋体"/>
              <w:color w:val="auto"/>
              <w:sz w:val="48"/>
              <w:szCs w:val="48"/>
              <w:highlight w:val="none"/>
            </w:rPr>
            <w:t>目录</w:t>
          </w:r>
        </w:p>
        <w:p w14:paraId="0074E2E1">
          <w:pPr>
            <w:pStyle w:val="63"/>
            <w:ind w:firstLine="960"/>
            <w:rPr>
              <w:color w:val="auto"/>
              <w:sz w:val="48"/>
              <w:szCs w:val="48"/>
              <w:highlight w:val="none"/>
            </w:rPr>
          </w:pPr>
        </w:p>
        <w:p w14:paraId="7383D1D3">
          <w:pPr>
            <w:rPr>
              <w:color w:val="auto"/>
              <w:highlight w:val="none"/>
            </w:rPr>
          </w:pPr>
        </w:p>
        <w:p w14:paraId="42ED3474">
          <w:pPr>
            <w:pStyle w:val="46"/>
            <w:tabs>
              <w:tab w:val="right" w:leader="dot" w:pos="9070"/>
            </w:tabs>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"_Toc32263"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_Toc32263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D103C94">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"_Toc1745"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_Toc1745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73D6199">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"_Toc9424"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6A20FEC">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7473A73">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_Toc12957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0D270B8">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"_Toc12182"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6BFAFCF">
          <w:pPr>
            <w:spacing w:line="600" w:lineRule="exact"/>
            <w:rPr>
              <w:color w:val="auto"/>
              <w:highlight w:val="none"/>
            </w:rPr>
          </w:pPr>
          <w:r>
            <w:rPr>
              <w:rFonts w:hint="eastAsia" w:ascii="宋体" w:hAnsi="宋体" w:cs="宋体"/>
              <w:color w:val="auto"/>
              <w:sz w:val="28"/>
              <w:szCs w:val="28"/>
              <w:highlight w:val="none"/>
            </w:rPr>
            <w:fldChar w:fldCharType="end"/>
          </w:r>
        </w:p>
      </w:sdtContent>
    </w:sdt>
    <w:p w14:paraId="74E00994">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0BF111FB">
      <w:pPr>
        <w:spacing w:line="360" w:lineRule="auto"/>
        <w:ind w:firstLine="549" w:firstLineChars="229"/>
        <w:rPr>
          <w:rFonts w:ascii="宋体" w:hAnsi="宋体" w:cs="宋体"/>
          <w:color w:val="auto"/>
          <w:sz w:val="24"/>
          <w:highlight w:val="none"/>
        </w:rPr>
      </w:pPr>
    </w:p>
    <w:p w14:paraId="794B98F4">
      <w:pPr>
        <w:spacing w:line="360" w:lineRule="auto"/>
        <w:ind w:firstLine="549" w:firstLineChars="229"/>
        <w:rPr>
          <w:rFonts w:ascii="宋体" w:hAnsi="宋体" w:cs="宋体"/>
          <w:color w:val="auto"/>
          <w:sz w:val="24"/>
          <w:highlight w:val="none"/>
        </w:rPr>
      </w:pPr>
    </w:p>
    <w:p w14:paraId="76D3ECC3">
      <w:pPr>
        <w:spacing w:line="360" w:lineRule="auto"/>
        <w:ind w:firstLine="549" w:firstLineChars="229"/>
        <w:rPr>
          <w:rFonts w:ascii="宋体" w:hAnsi="宋体" w:cs="宋体"/>
          <w:color w:val="auto"/>
          <w:sz w:val="24"/>
          <w:highlight w:val="none"/>
        </w:rPr>
      </w:pPr>
    </w:p>
    <w:p w14:paraId="5F79F9EC">
      <w:pPr>
        <w:spacing w:line="360" w:lineRule="auto"/>
        <w:ind w:firstLine="549" w:firstLineChars="229"/>
        <w:rPr>
          <w:rFonts w:ascii="宋体" w:hAnsi="宋体" w:cs="宋体"/>
          <w:color w:val="auto"/>
          <w:sz w:val="24"/>
          <w:highlight w:val="none"/>
        </w:rPr>
      </w:pPr>
    </w:p>
    <w:p w14:paraId="39849B47">
      <w:pPr>
        <w:spacing w:line="360" w:lineRule="auto"/>
        <w:ind w:firstLine="549" w:firstLineChars="229"/>
        <w:rPr>
          <w:rFonts w:ascii="宋体" w:hAnsi="宋体" w:cs="宋体"/>
          <w:color w:val="auto"/>
          <w:sz w:val="24"/>
          <w:highlight w:val="none"/>
        </w:rPr>
      </w:pPr>
    </w:p>
    <w:p w14:paraId="59CBDD2B">
      <w:pPr>
        <w:spacing w:line="360" w:lineRule="auto"/>
        <w:ind w:firstLine="549" w:firstLineChars="229"/>
        <w:rPr>
          <w:rFonts w:ascii="宋体" w:hAnsi="宋体" w:cs="宋体"/>
          <w:color w:val="auto"/>
          <w:sz w:val="24"/>
          <w:highlight w:val="none"/>
        </w:rPr>
      </w:pPr>
    </w:p>
    <w:p w14:paraId="27DE52D7">
      <w:pPr>
        <w:spacing w:line="360" w:lineRule="auto"/>
        <w:ind w:firstLine="549" w:firstLineChars="229"/>
        <w:rPr>
          <w:rFonts w:ascii="宋体" w:hAnsi="宋体" w:cs="宋体"/>
          <w:color w:val="auto"/>
          <w:sz w:val="24"/>
          <w:highlight w:val="none"/>
        </w:rPr>
      </w:pPr>
    </w:p>
    <w:p w14:paraId="20C2B245">
      <w:pPr>
        <w:spacing w:line="360" w:lineRule="auto"/>
        <w:ind w:firstLine="549" w:firstLineChars="229"/>
        <w:rPr>
          <w:rFonts w:ascii="宋体" w:hAnsi="宋体" w:cs="宋体"/>
          <w:color w:val="auto"/>
          <w:sz w:val="24"/>
          <w:highlight w:val="none"/>
        </w:rPr>
      </w:pPr>
    </w:p>
    <w:p w14:paraId="1A168227">
      <w:pPr>
        <w:spacing w:line="360" w:lineRule="auto"/>
        <w:ind w:firstLine="549" w:firstLineChars="229"/>
        <w:rPr>
          <w:rFonts w:ascii="宋体" w:hAnsi="宋体" w:cs="宋体"/>
          <w:color w:val="auto"/>
          <w:sz w:val="24"/>
          <w:highlight w:val="none"/>
        </w:rPr>
      </w:pPr>
    </w:p>
    <w:p w14:paraId="6483D5D9">
      <w:pPr>
        <w:spacing w:line="360" w:lineRule="auto"/>
        <w:ind w:firstLine="549" w:firstLineChars="229"/>
        <w:rPr>
          <w:rFonts w:ascii="宋体" w:hAnsi="宋体" w:cs="宋体"/>
          <w:color w:val="auto"/>
          <w:sz w:val="24"/>
          <w:highlight w:val="none"/>
        </w:rPr>
      </w:pPr>
    </w:p>
    <w:p w14:paraId="39538219">
      <w:pPr>
        <w:spacing w:line="360" w:lineRule="auto"/>
        <w:ind w:firstLine="549" w:firstLineChars="229"/>
        <w:rPr>
          <w:rFonts w:ascii="宋体" w:hAnsi="宋体" w:cs="宋体"/>
          <w:color w:val="auto"/>
          <w:sz w:val="24"/>
          <w:highlight w:val="none"/>
        </w:rPr>
      </w:pPr>
    </w:p>
    <w:p w14:paraId="44347721">
      <w:pPr>
        <w:spacing w:line="360" w:lineRule="auto"/>
        <w:ind w:firstLine="549" w:firstLineChars="229"/>
        <w:rPr>
          <w:rFonts w:ascii="宋体" w:hAnsi="宋体" w:cs="宋体"/>
          <w:color w:val="auto"/>
          <w:sz w:val="24"/>
          <w:highlight w:val="none"/>
        </w:rPr>
      </w:pPr>
    </w:p>
    <w:p w14:paraId="3A7C05F8">
      <w:pPr>
        <w:spacing w:line="360" w:lineRule="auto"/>
        <w:rPr>
          <w:rFonts w:ascii="宋体" w:hAnsi="宋体" w:cs="宋体"/>
          <w:color w:val="auto"/>
          <w:sz w:val="24"/>
          <w:highlight w:val="none"/>
        </w:rPr>
      </w:pPr>
    </w:p>
    <w:p w14:paraId="68624E5C">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8647"/>
      <w:bookmarkEnd w:id="5"/>
      <w:bookmarkStart w:id="6" w:name="_Hlt74729822"/>
      <w:bookmarkEnd w:id="6"/>
      <w:bookmarkStart w:id="7" w:name="_Hlt74707423"/>
      <w:bookmarkEnd w:id="7"/>
      <w:bookmarkStart w:id="8" w:name="_Hlt74649545"/>
      <w:bookmarkEnd w:id="8"/>
      <w:bookmarkStart w:id="9" w:name="_Toc15656"/>
      <w:bookmarkStart w:id="10" w:name="_Toc32263"/>
      <w:bookmarkStart w:id="11" w:name="第二部分"/>
      <w:bookmarkStart w:id="12" w:name="_Toc91899870"/>
      <w:bookmarkStart w:id="13" w:name="_Toc91899871"/>
      <w:r>
        <w:rPr>
          <w:rStyle w:val="283"/>
          <w:rFonts w:hint="eastAsia"/>
          <w:color w:val="auto"/>
          <w:highlight w:val="none"/>
        </w:rPr>
        <w:t>第一部分招标公告</w:t>
      </w:r>
      <w:bookmarkEnd w:id="9"/>
      <w:bookmarkEnd w:id="10"/>
    </w:p>
    <w:p w14:paraId="05B124B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D08284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olor w:val="auto"/>
          <w:sz w:val="24"/>
          <w:highlight w:val="none"/>
          <w:u w:val="single"/>
        </w:rPr>
        <w:t>宁波市海曙区卫健系统民生工程信息化改造项目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"https://www.zcygov.cn/）获取（下载）招标文件，并于2023年6月%20%20日09点00分00秒"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w:t>
      </w:r>
      <w:r>
        <w:rPr>
          <w:rStyle w:val="78"/>
          <w:rFonts w:hint="eastAsia" w:cs="Times New Roman" w:asciiTheme="minorEastAsia" w:hAnsiTheme="minorEastAsia" w:eastAsiaTheme="minorEastAsia"/>
          <w:snapToGrid/>
          <w:color w:val="auto"/>
          <w:kern w:val="2"/>
          <w:sz w:val="24"/>
          <w:szCs w:val="24"/>
          <w:highlight w:val="none"/>
          <w:lang w:val="en-US" w:eastAsia="zh-CN"/>
        </w:rPr>
        <w:t>4</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9</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24</w:t>
      </w:r>
      <w:r>
        <w:rPr>
          <w:rStyle w:val="78"/>
          <w:rFonts w:hint="eastAsia" w:cs="Times New Roman" w:asciiTheme="minorEastAsia" w:hAnsiTheme="minorEastAsia" w:eastAsiaTheme="minorEastAsia"/>
          <w:snapToGrid/>
          <w:color w:val="auto"/>
          <w:kern w:val="2"/>
          <w:sz w:val="24"/>
          <w:szCs w:val="24"/>
          <w:highlight w:val="none"/>
        </w:rPr>
        <w:t>日</w:t>
      </w:r>
      <w:r>
        <w:rPr>
          <w:rStyle w:val="78"/>
          <w:rFonts w:hint="eastAsia" w:cs="Times New Roman" w:asciiTheme="minorEastAsia" w:hAnsiTheme="minorEastAsia" w:eastAsiaTheme="minorEastAsia"/>
          <w:snapToGrid/>
          <w:color w:val="auto"/>
          <w:kern w:val="2"/>
          <w:sz w:val="24"/>
          <w:szCs w:val="24"/>
          <w:highlight w:val="none"/>
          <w:lang w:val="en-US" w:eastAsia="zh-CN"/>
        </w:rPr>
        <w:t>14</w:t>
      </w:r>
      <w:r>
        <w:rPr>
          <w:rStyle w:val="78"/>
          <w:rFonts w:hint="eastAsia" w:cs="Times New Roman" w:asciiTheme="minorEastAsia" w:hAnsiTheme="minorEastAsia" w:eastAsiaTheme="minorEastAsia"/>
          <w:snapToGrid/>
          <w:color w:val="auto"/>
          <w:kern w:val="2"/>
          <w:sz w:val="24"/>
          <w:szCs w:val="24"/>
          <w:highlight w:val="none"/>
        </w:rPr>
        <w:t>点00分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6F64AD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C51C5D5">
      <w:pPr>
        <w:spacing w:line="360" w:lineRule="auto"/>
        <w:outlineLvl w:val="1"/>
        <w:rPr>
          <w:rFonts w:hint="default" w:ascii="宋体" w:hAnsi="宋体" w:eastAsia="宋体" w:cs="宋体"/>
          <w:color w:val="auto"/>
          <w:sz w:val="24"/>
          <w:highlight w:val="none"/>
          <w:lang w:val="en-US" w:eastAsia="zh-CN"/>
        </w:rPr>
      </w:pPr>
      <w:bookmarkStart w:id="14" w:name="_Toc23734"/>
      <w:r>
        <w:rPr>
          <w:rFonts w:hint="eastAsia" w:ascii="宋体" w:hAnsi="宋体" w:cs="宋体"/>
          <w:b/>
          <w:color w:val="auto"/>
          <w:sz w:val="24"/>
          <w:highlight w:val="none"/>
        </w:rPr>
        <w:t>项目编号：</w:t>
      </w:r>
      <w:bookmarkEnd w:id="14"/>
      <w:r>
        <w:rPr>
          <w:rFonts w:ascii="宋体" w:hAnsi="宋体" w:eastAsia="宋体" w:cs="宋体"/>
          <w:color w:val="auto"/>
          <w:sz w:val="24"/>
          <w:szCs w:val="24"/>
          <w:highlight w:val="none"/>
        </w:rPr>
        <w:t>2024NBHSWT366</w:t>
      </w:r>
    </w:p>
    <w:p w14:paraId="71BDFF1F">
      <w:pPr>
        <w:spacing w:line="360" w:lineRule="auto"/>
        <w:rPr>
          <w:rFonts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olor w:val="auto"/>
          <w:sz w:val="24"/>
          <w:highlight w:val="none"/>
          <w:u w:val="none"/>
        </w:rPr>
        <w:t>宁波市海曙区卫健系统民生工程信息化改造项目</w:t>
      </w:r>
    </w:p>
    <w:p w14:paraId="05440E37">
      <w:pPr>
        <w:spacing w:line="360" w:lineRule="auto"/>
        <w:rPr>
          <w:rFonts w:ascii="宋体" w:hAnsi="宋体" w:cs="宋体"/>
          <w:b w:val="0"/>
          <w:bCs/>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 xml:space="preserve">2149000.00 </w:t>
      </w:r>
    </w:p>
    <w:p w14:paraId="1ACD1F15">
      <w:pPr>
        <w:spacing w:line="360" w:lineRule="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 xml:space="preserve">1962000.00 </w:t>
      </w:r>
    </w:p>
    <w:p w14:paraId="506CA101">
      <w:pPr>
        <w:spacing w:line="360" w:lineRule="auto"/>
        <w:ind w:firstLine="480" w:firstLineChars="200"/>
        <w:rPr>
          <w:rFonts w:asciiTheme="minorEastAsia" w:hAnsiTheme="minorEastAsia" w:eastAsiaTheme="minorEastAsia"/>
          <w:color w:val="auto"/>
          <w:sz w:val="24"/>
          <w:highlight w:val="none"/>
        </w:rPr>
      </w:pPr>
    </w:p>
    <w:p w14:paraId="77C410A6">
      <w:pPr>
        <w:spacing w:line="360" w:lineRule="auto"/>
        <w:ind w:firstLine="480" w:firstLineChars="200"/>
        <w:rPr>
          <w:rFonts w:ascii="宋体" w:hAnsi="宋体" w:cs="宋体"/>
          <w:bCs/>
          <w:color w:val="auto"/>
          <w:sz w:val="24"/>
          <w:highlight w:val="none"/>
        </w:rPr>
      </w:pPr>
      <w:r>
        <w:rPr>
          <w:rFonts w:hint="eastAsia" w:asciiTheme="minorEastAsia" w:hAnsiTheme="minorEastAsia" w:eastAsiaTheme="minorEastAsia"/>
          <w:color w:val="auto"/>
          <w:sz w:val="24"/>
          <w:highlight w:val="none"/>
        </w:rPr>
        <w:t>标项</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w:t>
      </w:r>
      <w:r>
        <w:rPr>
          <w:rFonts w:hint="eastAsia" w:ascii="宋体" w:hAnsi="宋体"/>
          <w:color w:val="auto"/>
          <w:sz w:val="24"/>
          <w:highlight w:val="none"/>
          <w:u w:val="none"/>
        </w:rPr>
        <w:t>宁波市海曙区卫健系统民生工程信息化改造</w:t>
      </w:r>
    </w:p>
    <w:p w14:paraId="28F972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项</w:t>
      </w:r>
    </w:p>
    <w:p w14:paraId="61A064E3">
      <w:pPr>
        <w:spacing w:line="360" w:lineRule="auto"/>
        <w:ind w:firstLine="480" w:firstLineChars="200"/>
        <w:rPr>
          <w:rFonts w:hint="default" w:ascii="宋体" w:hAnsi="宋体" w:cs="宋体"/>
          <w:color w:val="auto"/>
          <w:sz w:val="24"/>
          <w:highlight w:val="none"/>
          <w:lang w:val="en-US"/>
        </w:rPr>
      </w:pPr>
      <w:r>
        <w:rPr>
          <w:rFonts w:hint="eastAsia" w:asciiTheme="minorEastAsia" w:hAnsiTheme="minorEastAsia" w:eastAsiaTheme="minorEastAsia"/>
          <w:color w:val="auto"/>
          <w:sz w:val="24"/>
          <w:highlight w:val="none"/>
        </w:rPr>
        <w:t>预算金额（元）:</w:t>
      </w:r>
      <w:r>
        <w:rPr>
          <w:rFonts w:hint="eastAsia" w:ascii="宋体" w:hAnsi="宋体" w:cs="宋体"/>
          <w:bCs/>
          <w:color w:val="auto"/>
          <w:sz w:val="24"/>
          <w:highlight w:val="none"/>
          <w:lang w:val="en-US" w:eastAsia="zh-CN"/>
        </w:rPr>
        <w:t xml:space="preserve"> 2149000.00</w:t>
      </w:r>
    </w:p>
    <w:p w14:paraId="58DBF73A">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简要规格描述或项目基本概况介绍、用途：通过海曙区肝病防控系统、两慢病管理系统、肺癌筛查系统升级等系统建设，为患者提供先进的、便捷的、有温度的医疗服务，实现医院高效、科学、人性化运转，从而带动医院医疗和公共卫生全面发展</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p>
    <w:p w14:paraId="28FAF3AC">
      <w:pPr>
        <w:pStyle w:val="1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snapToGrid/>
          <w:color w:val="auto"/>
          <w:kern w:val="2"/>
          <w:sz w:val="24"/>
          <w:szCs w:val="24"/>
          <w:highlight w:val="none"/>
        </w:rPr>
        <w:t>备注：无。</w:t>
      </w:r>
      <w:bookmarkStart w:id="15" w:name="_Toc27797"/>
    </w:p>
    <w:p w14:paraId="7AA2B60D">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bookmarkEnd w:id="15"/>
      <w:r>
        <w:rPr>
          <w:rFonts w:hint="eastAsia" w:ascii="宋体" w:hAnsi="宋体" w:cs="宋体"/>
          <w:color w:val="auto"/>
          <w:highlight w:val="none"/>
        </w:rPr>
        <w:t xml:space="preserve">自合同签订生效后开始至双方合同义务完全履行后截止。 </w:t>
      </w:r>
    </w:p>
    <w:p w14:paraId="3DDEEDBE">
      <w:pPr>
        <w:pStyle w:val="19"/>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w:t>
      </w:r>
    </w:p>
    <w:p w14:paraId="7FC7A394">
      <w:pPr>
        <w:spacing w:line="360" w:lineRule="auto"/>
        <w:outlineLvl w:val="1"/>
        <w:rPr>
          <w:rFonts w:ascii="宋体" w:hAnsi="宋体" w:cs="宋体"/>
          <w:b/>
          <w:color w:val="auto"/>
          <w:sz w:val="24"/>
          <w:highlight w:val="none"/>
        </w:rPr>
      </w:pPr>
      <w:bookmarkStart w:id="16" w:name="_Toc23184"/>
      <w:r>
        <w:rPr>
          <w:rFonts w:hint="eastAsia" w:ascii="宋体" w:hAnsi="宋体" w:cs="宋体"/>
          <w:b/>
          <w:color w:val="auto"/>
          <w:sz w:val="24"/>
          <w:highlight w:val="none"/>
        </w:rPr>
        <w:t>二、</w:t>
      </w:r>
      <w:bookmarkStart w:id="17" w:name="_Hlk101132948"/>
      <w:r>
        <w:rPr>
          <w:rFonts w:hint="eastAsia" w:ascii="宋体" w:hAnsi="宋体" w:cs="宋体"/>
          <w:b/>
          <w:color w:val="auto"/>
          <w:sz w:val="24"/>
          <w:highlight w:val="none"/>
        </w:rPr>
        <w:t>申请人的资格要求</w:t>
      </w:r>
      <w:bookmarkEnd w:id="17"/>
      <w:r>
        <w:rPr>
          <w:rFonts w:hint="eastAsia" w:ascii="宋体" w:hAnsi="宋体" w:cs="宋体"/>
          <w:b/>
          <w:color w:val="auto"/>
          <w:sz w:val="24"/>
          <w:highlight w:val="none"/>
        </w:rPr>
        <w:t>：</w:t>
      </w:r>
      <w:bookmarkEnd w:id="16"/>
    </w:p>
    <w:p w14:paraId="7339E66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color w:val="auto"/>
          <w:sz w:val="24"/>
          <w:highlight w:val="none"/>
        </w:rPr>
        <w:t>重大税收违法失信主体</w:t>
      </w:r>
      <w:r>
        <w:rPr>
          <w:rFonts w:hint="eastAsia" w:ascii="宋体" w:hAnsi="宋体" w:cs="宋体"/>
          <w:snapToGrid w:val="0"/>
          <w:color w:val="auto"/>
          <w:kern w:val="28"/>
          <w:sz w:val="24"/>
          <w:szCs w:val="20"/>
          <w:highlight w:val="none"/>
        </w:rPr>
        <w:t>、政府采购严重违法失信行为记录名单；</w:t>
      </w:r>
    </w:p>
    <w:p w14:paraId="40F6AEA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snapToGrid w:val="0"/>
          <w:color w:val="auto"/>
          <w:kern w:val="28"/>
          <w:sz w:val="24"/>
          <w:szCs w:val="20"/>
          <w:highlight w:val="none"/>
        </w:rPr>
        <w:t>。</w:t>
      </w:r>
    </w:p>
    <w:p w14:paraId="7A7ECD2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.本项目的特定资格要求：无；</w:t>
      </w:r>
    </w:p>
    <w:p w14:paraId="7F149D5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082EF67B">
      <w:pPr>
        <w:spacing w:line="360" w:lineRule="auto"/>
        <w:outlineLvl w:val="1"/>
        <w:rPr>
          <w:rFonts w:ascii="宋体" w:hAnsi="宋体" w:cs="宋体"/>
          <w:b/>
          <w:color w:val="auto"/>
          <w:sz w:val="24"/>
          <w:highlight w:val="none"/>
        </w:rPr>
      </w:pPr>
      <w:bookmarkStart w:id="18" w:name="_Toc15435"/>
      <w:r>
        <w:rPr>
          <w:rFonts w:hint="eastAsia" w:ascii="宋体" w:hAnsi="宋体" w:cs="宋体"/>
          <w:b/>
          <w:color w:val="auto"/>
          <w:sz w:val="24"/>
          <w:highlight w:val="none"/>
        </w:rPr>
        <w:t>三、获取招标文件</w:t>
      </w:r>
      <w:bookmarkEnd w:id="18"/>
    </w:p>
    <w:p w14:paraId="5319D68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3561B6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405BA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投标人登录政采云平台https://www.zcygov.cn/在线申请获取采购文件（进入“项目采购”应用，在获取采购文件菜单中选择项目，申请获取采购文件）。 </w:t>
      </w:r>
    </w:p>
    <w:p w14:paraId="68A4E9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23F313A">
      <w:pPr>
        <w:spacing w:line="360" w:lineRule="auto"/>
        <w:outlineLvl w:val="1"/>
        <w:rPr>
          <w:rFonts w:ascii="宋体" w:hAnsi="宋体" w:cs="宋体"/>
          <w:b/>
          <w:color w:val="auto"/>
          <w:sz w:val="24"/>
          <w:highlight w:val="none"/>
        </w:rPr>
      </w:pPr>
      <w:bookmarkStart w:id="19" w:name="_Toc18115"/>
      <w:r>
        <w:rPr>
          <w:rFonts w:hint="eastAsia" w:ascii="宋体" w:hAnsi="宋体" w:cs="宋体"/>
          <w:b/>
          <w:color w:val="auto"/>
          <w:sz w:val="24"/>
          <w:highlight w:val="none"/>
        </w:rPr>
        <w:t>四、提交投标文件截止时间、开标时间和地点</w:t>
      </w:r>
      <w:bookmarkEnd w:id="19"/>
    </w:p>
    <w:p w14:paraId="0BEFF4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8"/>
          <w:rFonts w:hint="eastAsia" w:cs="Times New Roman" w:asciiTheme="minorEastAsia" w:hAnsiTheme="minorEastAsia" w:eastAsiaTheme="minorEastAsia"/>
          <w:snapToGrid/>
          <w:color w:val="auto"/>
          <w:kern w:val="2"/>
          <w:sz w:val="24"/>
          <w:szCs w:val="24"/>
          <w:highlight w:val="none"/>
          <w:u w:val="single"/>
        </w:rPr>
        <w:t>202</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4</w:t>
      </w:r>
      <w:r>
        <w:rPr>
          <w:rStyle w:val="78"/>
          <w:rFonts w:cs="Times New Roman" w:asciiTheme="minorEastAsia" w:hAnsiTheme="minorEastAsia" w:eastAsiaTheme="minorEastAsia"/>
          <w:snapToGrid/>
          <w:color w:val="auto"/>
          <w:kern w:val="2"/>
          <w:sz w:val="24"/>
          <w:szCs w:val="24"/>
          <w:highlight w:val="none"/>
          <w:u w:val="single"/>
        </w:rPr>
        <w:t>年</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8"/>
          <w:rFonts w:hint="eastAsia" w:cs="Times New Roman" w:asciiTheme="minorEastAsia" w:hAnsiTheme="minorEastAsia" w:eastAsiaTheme="minorEastAsia"/>
          <w:snapToGrid/>
          <w:color w:val="auto"/>
          <w:kern w:val="2"/>
          <w:sz w:val="24"/>
          <w:szCs w:val="24"/>
          <w:highlight w:val="none"/>
          <w:u w:val="single"/>
        </w:rPr>
        <w:t>月</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24</w:t>
      </w:r>
      <w:r>
        <w:rPr>
          <w:rStyle w:val="78"/>
          <w:rFonts w:hint="eastAsia" w:cs="Times New Roman" w:asciiTheme="minorEastAsia" w:hAnsiTheme="minorEastAsia" w:eastAsiaTheme="minorEastAsia"/>
          <w:snapToGrid/>
          <w:color w:val="auto"/>
          <w:kern w:val="2"/>
          <w:sz w:val="24"/>
          <w:szCs w:val="24"/>
          <w:highlight w:val="none"/>
          <w:u w:val="single"/>
        </w:rPr>
        <w:t>日</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8"/>
          <w:rFonts w:hint="eastAsia" w:cs="Times New Roman" w:asciiTheme="minorEastAsia" w:hAnsiTheme="minorEastAsia" w:eastAsiaTheme="minorEastAsia"/>
          <w:snapToGrid/>
          <w:color w:val="auto"/>
          <w:kern w:val="2"/>
          <w:sz w:val="24"/>
          <w:szCs w:val="24"/>
          <w:highlight w:val="none"/>
          <w:u w:val="single"/>
        </w:rPr>
        <w:t>点00分</w:t>
      </w:r>
      <w:r>
        <w:rPr>
          <w:rStyle w:val="78"/>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066F4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 政采云平台（https://www.zcygov.cn/）</w:t>
      </w:r>
    </w:p>
    <w:p w14:paraId="695B95C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8"/>
          <w:rFonts w:hint="eastAsia" w:cs="Times New Roman" w:asciiTheme="minorEastAsia" w:hAnsiTheme="minorEastAsia" w:eastAsiaTheme="minorEastAsia"/>
          <w:snapToGrid/>
          <w:color w:val="auto"/>
          <w:kern w:val="2"/>
          <w:sz w:val="24"/>
          <w:szCs w:val="24"/>
          <w:highlight w:val="none"/>
          <w:u w:val="single"/>
        </w:rPr>
        <w:t>202</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4</w:t>
      </w:r>
      <w:r>
        <w:rPr>
          <w:rStyle w:val="78"/>
          <w:rFonts w:cs="Times New Roman" w:asciiTheme="minorEastAsia" w:hAnsiTheme="minorEastAsia" w:eastAsiaTheme="minorEastAsia"/>
          <w:snapToGrid/>
          <w:color w:val="auto"/>
          <w:kern w:val="2"/>
          <w:sz w:val="24"/>
          <w:szCs w:val="24"/>
          <w:highlight w:val="none"/>
          <w:u w:val="single"/>
        </w:rPr>
        <w:t>年</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8"/>
          <w:rFonts w:hint="eastAsia" w:cs="Times New Roman" w:asciiTheme="minorEastAsia" w:hAnsiTheme="minorEastAsia" w:eastAsiaTheme="minorEastAsia"/>
          <w:snapToGrid/>
          <w:color w:val="auto"/>
          <w:kern w:val="2"/>
          <w:sz w:val="24"/>
          <w:szCs w:val="24"/>
          <w:highlight w:val="none"/>
          <w:u w:val="single"/>
        </w:rPr>
        <w:t>月</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24</w:t>
      </w:r>
      <w:r>
        <w:rPr>
          <w:rStyle w:val="78"/>
          <w:rFonts w:hint="eastAsia" w:cs="Times New Roman" w:asciiTheme="minorEastAsia" w:hAnsiTheme="minorEastAsia" w:eastAsiaTheme="minorEastAsia"/>
          <w:snapToGrid/>
          <w:color w:val="auto"/>
          <w:kern w:val="2"/>
          <w:sz w:val="24"/>
          <w:szCs w:val="24"/>
          <w:highlight w:val="none"/>
          <w:u w:val="single"/>
        </w:rPr>
        <w:t>日</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8"/>
          <w:rFonts w:hint="eastAsia" w:cs="Times New Roman" w:asciiTheme="minorEastAsia" w:hAnsiTheme="minorEastAsia" w:eastAsiaTheme="minorEastAsia"/>
          <w:snapToGrid/>
          <w:color w:val="auto"/>
          <w:kern w:val="2"/>
          <w:sz w:val="24"/>
          <w:szCs w:val="24"/>
          <w:highlight w:val="none"/>
          <w:u w:val="single"/>
        </w:rPr>
        <w:t>点00分</w:t>
      </w:r>
      <w:r>
        <w:rPr>
          <w:rStyle w:val="78"/>
          <w:rFonts w:hint="eastAsia" w:cs="Times New Roman" w:asciiTheme="minorEastAsia" w:hAnsiTheme="minorEastAsia" w:eastAsiaTheme="minorEastAsia"/>
          <w:bCs/>
          <w:snapToGrid/>
          <w:color w:val="auto"/>
          <w:kern w:val="2"/>
          <w:sz w:val="24"/>
          <w:szCs w:val="24"/>
          <w:highlight w:val="none"/>
          <w:u w:val="single"/>
        </w:rPr>
        <w:t>00秒</w:t>
      </w:r>
    </w:p>
    <w:p w14:paraId="2B9D86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C3F031A">
      <w:pPr>
        <w:spacing w:line="360" w:lineRule="auto"/>
        <w:outlineLvl w:val="1"/>
        <w:rPr>
          <w:rFonts w:ascii="宋体" w:hAnsi="宋体" w:cs="宋体"/>
          <w:color w:val="auto"/>
          <w:sz w:val="24"/>
          <w:highlight w:val="none"/>
        </w:rPr>
      </w:pPr>
      <w:bookmarkStart w:id="20" w:name="_Toc16463"/>
      <w:r>
        <w:rPr>
          <w:rFonts w:hint="eastAsia" w:ascii="宋体" w:hAnsi="宋体" w:cs="宋体"/>
          <w:b/>
          <w:color w:val="auto"/>
          <w:sz w:val="24"/>
          <w:highlight w:val="none"/>
        </w:rPr>
        <w:t>五、公告期限</w:t>
      </w:r>
      <w:bookmarkEnd w:id="20"/>
    </w:p>
    <w:p w14:paraId="573DEB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C1992E7">
      <w:pPr>
        <w:spacing w:line="360" w:lineRule="auto"/>
        <w:outlineLvl w:val="1"/>
        <w:rPr>
          <w:rFonts w:ascii="宋体" w:hAnsi="宋体" w:cs="宋体"/>
          <w:b/>
          <w:color w:val="auto"/>
          <w:sz w:val="24"/>
          <w:highlight w:val="none"/>
        </w:rPr>
      </w:pPr>
      <w:bookmarkStart w:id="21" w:name="_Toc20735"/>
      <w:r>
        <w:rPr>
          <w:rFonts w:hint="eastAsia" w:ascii="宋体" w:hAnsi="宋体" w:cs="宋体"/>
          <w:b/>
          <w:color w:val="auto"/>
          <w:sz w:val="24"/>
          <w:highlight w:val="none"/>
        </w:rPr>
        <w:t>六、其他补充事宜</w:t>
      </w:r>
      <w:bookmarkEnd w:id="21"/>
    </w:p>
    <w:p w14:paraId="3D1255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0B390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D66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.投标人认为招标文件使自己的权益受到损害的，可以自获取招标文件之日或者招标文件公告期限届满之日（公告期限届满后获取招标文件的，以公告期限届满之日为准）起7个工作日内，以书面形式向</w:t>
      </w:r>
      <w:bookmarkStart w:id="470" w:name="_GoBack"/>
      <w:bookmarkEnd w:id="470"/>
      <w:r>
        <w:rPr>
          <w:rFonts w:hint="eastAsia" w:ascii="宋体" w:hAnsi="宋体" w:cs="宋体"/>
          <w:color w:val="auto"/>
          <w:sz w:val="24"/>
          <w:highlight w:val="none"/>
        </w:rPr>
        <w:t>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54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.其他事项：</w:t>
      </w:r>
    </w:p>
    <w:p w14:paraId="66906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887DE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w:t>
      </w:r>
      <w:r>
        <w:rPr>
          <w:rFonts w:ascii="宋体" w:hAnsi="宋体" w:cs="宋体"/>
          <w:color w:val="auto"/>
          <w:sz w:val="24"/>
          <w:highlight w:val="none"/>
        </w:rPr>
        <w:t>15</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w:t>
      </w:r>
    </w:p>
    <w:p w14:paraId="6AD80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3824B7B">
      <w:pPr>
        <w:pStyle w:val="82"/>
        <w:ind w:firstLine="480"/>
        <w:rPr>
          <w:rFonts w:ascii="宋体" w:hAnsi="宋体" w:eastAsia="宋体" w:cs="宋体"/>
          <w:color w:val="auto"/>
          <w:highlight w:val="none"/>
        </w:rPr>
      </w:pPr>
      <w:r>
        <w:rPr>
          <w:rFonts w:hint="eastAsia" w:ascii="宋体" w:hAnsi="宋体" w:eastAsia="宋体" w:cs="宋体"/>
          <w:color w:val="auto"/>
          <w:highlight w:val="none"/>
        </w:rPr>
        <w:t>（4）海曙区“政采贷”助力中小企业金融服务，有需要的中标（成交）供应商请于网站http://haishu.nbggzy.cn/tzgg/360383.jhtml办理具体业务。</w:t>
      </w:r>
    </w:p>
    <w:p w14:paraId="5EC8B4DC">
      <w:pPr>
        <w:pStyle w:val="82"/>
        <w:ind w:firstLine="480"/>
        <w:rPr>
          <w:rFonts w:ascii="宋体" w:hAnsi="宋体" w:eastAsia="宋体" w:cs="宋体"/>
          <w:color w:val="auto"/>
          <w:highlight w:val="none"/>
        </w:rPr>
      </w:pPr>
      <w:r>
        <w:rPr>
          <w:rFonts w:hint="eastAsia" w:ascii="宋体" w:hAnsi="宋体" w:eastAsia="宋体" w:cs="宋体"/>
          <w:color w:val="auto"/>
          <w:highlight w:val="none"/>
        </w:rPr>
        <w:t>（5）本公告发布媒体：浙江政府采购网（zfcg.czt.zj.gov.cn）、浙江省公共资源交易服务平台（zjpubservice.zjzwfw.gov.cn/index.html?citycode=3300）、宁波政府采购(www.nbzfcg.cn)、宁波市公共资源交易电子服务系统（海曙）（http://ggzy.zwb.ningbo.gov.cn/haishu/）、宁波中基国际招标有限公司网（www.cbbidding.com）。</w:t>
      </w:r>
    </w:p>
    <w:p w14:paraId="08D996E8">
      <w:pPr>
        <w:spacing w:line="360" w:lineRule="auto"/>
        <w:outlineLvl w:val="1"/>
        <w:rPr>
          <w:rFonts w:ascii="宋体" w:hAnsi="宋体" w:cs="宋体"/>
          <w:b/>
          <w:color w:val="auto"/>
          <w:sz w:val="24"/>
          <w:highlight w:val="none"/>
        </w:rPr>
      </w:pPr>
      <w:bookmarkStart w:id="22" w:name="_Toc3685"/>
      <w:r>
        <w:rPr>
          <w:rFonts w:hint="eastAsia" w:ascii="宋体" w:hAnsi="宋体" w:cs="宋体"/>
          <w:b/>
          <w:color w:val="auto"/>
          <w:sz w:val="24"/>
          <w:highlight w:val="none"/>
        </w:rPr>
        <w:t>七、对本次采购提出询问、质疑、投诉，请按以下方式联系</w:t>
      </w:r>
      <w:bookmarkEnd w:id="22"/>
    </w:p>
    <w:p w14:paraId="3343D5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0EC99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名称：宁波市海曙区第三医院  　　　　　</w:t>
      </w:r>
    </w:p>
    <w:p w14:paraId="769304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地址：宁波市海曙区集士港镇香雪路1027号   　　　　　</w:t>
      </w:r>
    </w:p>
    <w:p w14:paraId="437EF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0FDE5D0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项目联系人（询问）：陈</w:t>
      </w:r>
      <w:r>
        <w:rPr>
          <w:rFonts w:hint="eastAsia" w:ascii="宋体" w:hAnsi="宋体" w:cs="宋体"/>
          <w:color w:val="auto"/>
          <w:sz w:val="24"/>
          <w:highlight w:val="none"/>
          <w:lang w:val="en-US" w:eastAsia="zh-CN"/>
        </w:rPr>
        <w:t>老师</w:t>
      </w:r>
    </w:p>
    <w:p w14:paraId="1D864D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项目联系方式（询问）：0574-55011399</w:t>
      </w:r>
    </w:p>
    <w:p w14:paraId="35DDD4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质疑联系人：王老师</w:t>
      </w:r>
    </w:p>
    <w:p w14:paraId="09AE8F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质疑联系方式：0574-55014301</w:t>
      </w:r>
    </w:p>
    <w:p w14:paraId="0ECC52D3">
      <w:pPr>
        <w:spacing w:line="360" w:lineRule="auto"/>
        <w:ind w:firstLine="480" w:firstLineChars="200"/>
        <w:rPr>
          <w:rFonts w:ascii="宋体" w:hAnsi="宋体" w:cs="宋体"/>
          <w:color w:val="auto"/>
          <w:sz w:val="24"/>
          <w:highlight w:val="none"/>
        </w:rPr>
      </w:pPr>
    </w:p>
    <w:p w14:paraId="6B4A85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名称：宁波市</w:t>
      </w:r>
      <w:r>
        <w:rPr>
          <w:rFonts w:hint="eastAsia" w:ascii="宋体" w:hAnsi="宋体" w:cs="宋体"/>
          <w:color w:val="auto"/>
          <w:sz w:val="24"/>
          <w:highlight w:val="none"/>
          <w:lang w:val="en-US" w:eastAsia="zh-CN"/>
        </w:rPr>
        <w:t>海曙区</w:t>
      </w:r>
      <w:r>
        <w:rPr>
          <w:rFonts w:hint="eastAsia" w:ascii="宋体" w:hAnsi="宋体" w:cs="宋体"/>
          <w:color w:val="auto"/>
          <w:sz w:val="24"/>
          <w:highlight w:val="none"/>
        </w:rPr>
        <w:t>段塘街道社区卫生服务中心  　　　　　</w:t>
      </w:r>
    </w:p>
    <w:p w14:paraId="7E6C41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宁波市海曙区粮丰街128号</w:t>
      </w:r>
      <w:r>
        <w:rPr>
          <w:rFonts w:hint="eastAsia" w:ascii="宋体" w:hAnsi="宋体" w:cs="宋体"/>
          <w:color w:val="auto"/>
          <w:sz w:val="24"/>
          <w:highlight w:val="none"/>
        </w:rPr>
        <w:t>　　　　　</w:t>
      </w:r>
    </w:p>
    <w:p w14:paraId="06BDC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782109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项目联系人（询问）：黄</w:t>
      </w:r>
      <w:r>
        <w:rPr>
          <w:rFonts w:hint="eastAsia" w:ascii="宋体" w:hAnsi="宋体" w:cs="宋体"/>
          <w:color w:val="auto"/>
          <w:sz w:val="24"/>
          <w:highlight w:val="none"/>
          <w:lang w:val="en-US" w:eastAsia="zh-CN"/>
        </w:rPr>
        <w:t>老师</w:t>
      </w:r>
    </w:p>
    <w:p w14:paraId="7F5ADD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项目联系方式（询问）：0574-55331268</w:t>
      </w:r>
    </w:p>
    <w:p w14:paraId="23BB7D5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韩老师</w:t>
      </w:r>
    </w:p>
    <w:p w14:paraId="60E408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质疑联系方式：0574-55331268</w:t>
      </w:r>
    </w:p>
    <w:p w14:paraId="7D305D66">
      <w:pPr>
        <w:pStyle w:val="3"/>
        <w:rPr>
          <w:rFonts w:hint="eastAsia" w:ascii="宋体" w:hAnsi="宋体" w:cs="宋体"/>
          <w:color w:val="auto"/>
          <w:sz w:val="24"/>
          <w:highlight w:val="none"/>
        </w:rPr>
      </w:pPr>
    </w:p>
    <w:p w14:paraId="7044E8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名称：宁波市海曙区章水镇卫生院  　　　　　</w:t>
      </w:r>
    </w:p>
    <w:p w14:paraId="1CE80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地址：宁波市海曙区章水镇　　　　</w:t>
      </w:r>
    </w:p>
    <w:p w14:paraId="294B1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4B972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项目联系人（询问）：胡</w:t>
      </w:r>
      <w:r>
        <w:rPr>
          <w:rFonts w:hint="eastAsia" w:ascii="宋体" w:hAnsi="宋体" w:cs="宋体"/>
          <w:color w:val="auto"/>
          <w:sz w:val="24"/>
          <w:highlight w:val="none"/>
          <w:lang w:val="en-US" w:eastAsia="zh-CN"/>
        </w:rPr>
        <w:t>老师</w:t>
      </w:r>
    </w:p>
    <w:p w14:paraId="388FA9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项目联系方式（询问）：0574-55668162</w:t>
      </w:r>
    </w:p>
    <w:p w14:paraId="32EB144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孙老师</w:t>
      </w:r>
    </w:p>
    <w:p w14:paraId="478E9C3F">
      <w:pPr>
        <w:pStyle w:val="4"/>
        <w:rPr>
          <w:color w:val="auto"/>
          <w:highlight w:val="none"/>
        </w:rPr>
      </w:pPr>
      <w:r>
        <w:rPr>
          <w:rFonts w:hint="eastAsia" w:ascii="宋体" w:hAnsi="宋体" w:cs="宋体"/>
          <w:color w:val="auto"/>
          <w:sz w:val="24"/>
          <w:highlight w:val="none"/>
        </w:rPr>
        <w:t>质疑联系方式：0574-55668162</w:t>
      </w:r>
    </w:p>
    <w:p w14:paraId="17C7ADBC">
      <w:pPr>
        <w:spacing w:line="360" w:lineRule="auto"/>
        <w:ind w:firstLine="480" w:firstLineChars="200"/>
        <w:rPr>
          <w:rFonts w:hint="eastAsia" w:ascii="宋体" w:hAnsi="宋体" w:cs="宋体"/>
          <w:color w:val="auto"/>
          <w:sz w:val="24"/>
          <w:highlight w:val="none"/>
        </w:rPr>
      </w:pPr>
    </w:p>
    <w:p w14:paraId="533BC0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名称：宁波市海曙区鄞江镇中心卫生院  　　　　　</w:t>
      </w:r>
    </w:p>
    <w:p w14:paraId="37654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地址：宁波市海曙区鄞江</w:t>
      </w:r>
      <w:r>
        <w:rPr>
          <w:rFonts w:hint="eastAsia" w:ascii="宋体" w:hAnsi="宋体" w:cs="宋体"/>
          <w:color w:val="auto"/>
          <w:sz w:val="24"/>
          <w:highlight w:val="none"/>
          <w:lang w:val="en-US" w:eastAsia="zh-CN"/>
        </w:rPr>
        <w:t>镇</w:t>
      </w:r>
      <w:r>
        <w:rPr>
          <w:rFonts w:hint="eastAsia" w:ascii="宋体" w:hAnsi="宋体" w:cs="宋体"/>
          <w:color w:val="auto"/>
          <w:sz w:val="24"/>
          <w:highlight w:val="none"/>
        </w:rPr>
        <w:t xml:space="preserve"> 　　　　　</w:t>
      </w:r>
    </w:p>
    <w:p w14:paraId="2F776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7AD1EC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项目联系人（询问）：张</w:t>
      </w:r>
      <w:r>
        <w:rPr>
          <w:rFonts w:hint="eastAsia" w:ascii="宋体" w:hAnsi="宋体" w:cs="宋体"/>
          <w:color w:val="auto"/>
          <w:sz w:val="24"/>
          <w:highlight w:val="none"/>
          <w:lang w:val="en-US" w:eastAsia="zh-CN"/>
        </w:rPr>
        <w:t>老师</w:t>
      </w:r>
    </w:p>
    <w:p w14:paraId="223146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项目联系方式（询问）：0574-88034005</w:t>
      </w:r>
    </w:p>
    <w:p w14:paraId="6557C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质疑联系人：邵老师</w:t>
      </w:r>
    </w:p>
    <w:p w14:paraId="1C62135A">
      <w:pPr>
        <w:pStyle w:val="2"/>
        <w:rPr>
          <w:rFonts w:hint="eastAsia"/>
          <w:color w:val="auto"/>
          <w:highlight w:val="none"/>
        </w:rPr>
      </w:pPr>
      <w:r>
        <w:rPr>
          <w:rFonts w:hint="eastAsia" w:ascii="宋体" w:hAnsi="宋体" w:cs="宋体"/>
          <w:color w:val="auto"/>
          <w:sz w:val="24"/>
          <w:highlight w:val="none"/>
        </w:rPr>
        <w:t>质疑联系方式：0574-88034005</w:t>
      </w:r>
    </w:p>
    <w:p w14:paraId="08CC1CCF">
      <w:pPr>
        <w:spacing w:line="360" w:lineRule="auto"/>
        <w:ind w:firstLine="480" w:firstLineChars="200"/>
        <w:rPr>
          <w:rFonts w:hint="eastAsia" w:ascii="宋体" w:hAnsi="宋体" w:cs="宋体"/>
          <w:color w:val="auto"/>
          <w:sz w:val="24"/>
          <w:highlight w:val="none"/>
        </w:rPr>
      </w:pPr>
    </w:p>
    <w:p w14:paraId="784CFF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名称：宁波市海曙区白云街道社区卫生服务中心  　　　　　</w:t>
      </w:r>
    </w:p>
    <w:p w14:paraId="5EC2B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宁波市海曙区白云街道白云街111号</w:t>
      </w:r>
      <w:r>
        <w:rPr>
          <w:rFonts w:hint="eastAsia" w:ascii="宋体" w:hAnsi="宋体" w:cs="宋体"/>
          <w:color w:val="auto"/>
          <w:sz w:val="24"/>
          <w:highlight w:val="none"/>
        </w:rPr>
        <w:t>　　　　</w:t>
      </w:r>
    </w:p>
    <w:p w14:paraId="70DE13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3EA80C2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邹老师</w:t>
      </w:r>
    </w:p>
    <w:p w14:paraId="4EEA6A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项目联系方式（询问）：0574-55710146</w:t>
      </w:r>
    </w:p>
    <w:p w14:paraId="45C9D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质疑联系人：范</w:t>
      </w:r>
      <w:r>
        <w:rPr>
          <w:rFonts w:hint="eastAsia" w:ascii="宋体" w:hAnsi="宋体" w:cs="宋体"/>
          <w:color w:val="auto"/>
          <w:sz w:val="24"/>
          <w:highlight w:val="none"/>
          <w:lang w:val="en-US" w:eastAsia="zh-CN"/>
        </w:rPr>
        <w:t>老师</w:t>
      </w:r>
    </w:p>
    <w:p w14:paraId="67389BFC">
      <w:pPr>
        <w:pStyle w:val="2"/>
        <w:rPr>
          <w:rFonts w:hint="eastAsia"/>
          <w:color w:val="auto"/>
          <w:highlight w:val="none"/>
        </w:rPr>
      </w:pPr>
      <w:r>
        <w:rPr>
          <w:rFonts w:hint="eastAsia" w:ascii="宋体" w:hAnsi="宋体" w:cs="宋体"/>
          <w:color w:val="auto"/>
          <w:sz w:val="24"/>
          <w:highlight w:val="none"/>
        </w:rPr>
        <w:t>质疑联系方式：0574-55710146</w:t>
      </w:r>
    </w:p>
    <w:p w14:paraId="1DEE41EC">
      <w:pPr>
        <w:spacing w:line="360" w:lineRule="auto"/>
        <w:ind w:firstLine="480" w:firstLineChars="200"/>
        <w:rPr>
          <w:rFonts w:hint="eastAsia" w:ascii="宋体" w:hAnsi="宋体" w:cs="宋体"/>
          <w:color w:val="auto"/>
          <w:sz w:val="24"/>
          <w:highlight w:val="none"/>
        </w:rPr>
      </w:pPr>
    </w:p>
    <w:p w14:paraId="5CBA8A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名称：宁波市海曙区洞桥镇卫生院  　　　　　</w:t>
      </w:r>
    </w:p>
    <w:p w14:paraId="7E0EDE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地址：宁波市海曙区洞桥镇碧云路6号　　　　</w:t>
      </w:r>
    </w:p>
    <w:p w14:paraId="20FBD2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51B3E8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项目联系人（询问）：陈</w:t>
      </w:r>
      <w:r>
        <w:rPr>
          <w:rFonts w:hint="eastAsia" w:ascii="宋体" w:hAnsi="宋体" w:cs="宋体"/>
          <w:color w:val="auto"/>
          <w:sz w:val="24"/>
          <w:highlight w:val="none"/>
          <w:lang w:val="en-US" w:eastAsia="zh-CN"/>
        </w:rPr>
        <w:t>老师</w:t>
      </w:r>
    </w:p>
    <w:p w14:paraId="424AB6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项目联系方式（询问）：0574-88434020</w:t>
      </w:r>
    </w:p>
    <w:p w14:paraId="1308A2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质疑联系人：颜</w:t>
      </w:r>
      <w:r>
        <w:rPr>
          <w:rFonts w:hint="eastAsia" w:ascii="宋体" w:hAnsi="宋体" w:cs="宋体"/>
          <w:color w:val="auto"/>
          <w:sz w:val="24"/>
          <w:highlight w:val="none"/>
          <w:lang w:val="en-US" w:eastAsia="zh-CN"/>
        </w:rPr>
        <w:t>老师</w:t>
      </w:r>
    </w:p>
    <w:p w14:paraId="158EB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质疑联系方式：0574-88434020</w:t>
      </w:r>
    </w:p>
    <w:p w14:paraId="7F66D579">
      <w:pPr>
        <w:spacing w:line="360" w:lineRule="auto"/>
        <w:ind w:firstLine="480" w:firstLineChars="200"/>
        <w:rPr>
          <w:rFonts w:hint="eastAsia" w:ascii="宋体" w:hAnsi="宋体" w:cs="宋体"/>
          <w:color w:val="auto"/>
          <w:sz w:val="24"/>
          <w:highlight w:val="none"/>
        </w:rPr>
      </w:pPr>
    </w:p>
    <w:p w14:paraId="132A1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名称：宁波市海曙区西门</w:t>
      </w:r>
      <w:r>
        <w:rPr>
          <w:rFonts w:hint="eastAsia" w:ascii="宋体" w:hAnsi="宋体" w:cs="宋体"/>
          <w:color w:val="auto"/>
          <w:sz w:val="24"/>
          <w:highlight w:val="none"/>
          <w:lang w:val="en-US" w:eastAsia="zh-CN"/>
        </w:rPr>
        <w:t>望春</w:t>
      </w:r>
      <w:r>
        <w:rPr>
          <w:rFonts w:hint="eastAsia" w:ascii="宋体" w:hAnsi="宋体" w:cs="宋体"/>
          <w:color w:val="auto"/>
          <w:sz w:val="24"/>
          <w:highlight w:val="none"/>
        </w:rPr>
        <w:t>社区卫生服务中心  　　　　　</w:t>
      </w:r>
    </w:p>
    <w:p w14:paraId="303D30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宁波市海曙区新芝路95弄6号</w:t>
      </w:r>
      <w:r>
        <w:rPr>
          <w:rFonts w:hint="eastAsia" w:ascii="宋体" w:hAnsi="宋体" w:cs="宋体"/>
          <w:color w:val="auto"/>
          <w:sz w:val="24"/>
          <w:highlight w:val="none"/>
        </w:rPr>
        <w:t>　　　　</w:t>
      </w:r>
    </w:p>
    <w:p w14:paraId="685462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060A26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项目联系人（询问）：陈</w:t>
      </w:r>
      <w:r>
        <w:rPr>
          <w:rFonts w:hint="eastAsia" w:ascii="宋体" w:hAnsi="宋体" w:cs="宋体"/>
          <w:color w:val="auto"/>
          <w:sz w:val="24"/>
          <w:highlight w:val="none"/>
          <w:lang w:val="en-US" w:eastAsia="zh-CN"/>
        </w:rPr>
        <w:t>老师</w:t>
      </w:r>
    </w:p>
    <w:p w14:paraId="43E92E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项目联系方式（询问）：0574-55229608</w:t>
      </w:r>
    </w:p>
    <w:p w14:paraId="13A31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质疑联系人：周</w:t>
      </w:r>
      <w:r>
        <w:rPr>
          <w:rFonts w:hint="eastAsia" w:ascii="宋体" w:hAnsi="宋体" w:cs="宋体"/>
          <w:color w:val="auto"/>
          <w:sz w:val="24"/>
          <w:highlight w:val="none"/>
          <w:lang w:val="en-US" w:eastAsia="zh-CN"/>
        </w:rPr>
        <w:t>老师</w:t>
      </w:r>
    </w:p>
    <w:p w14:paraId="687B6D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质疑联系方式：0574-55229608</w:t>
      </w:r>
    </w:p>
    <w:p w14:paraId="25113CF2">
      <w:pPr>
        <w:spacing w:line="360" w:lineRule="auto"/>
        <w:rPr>
          <w:rFonts w:hint="eastAsia" w:ascii="宋体" w:hAnsi="宋体" w:cs="宋体"/>
          <w:color w:val="auto"/>
          <w:sz w:val="24"/>
          <w:highlight w:val="none"/>
        </w:rPr>
      </w:pPr>
    </w:p>
    <w:p w14:paraId="2AAD2A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名称：宁波市海曙区南门街道社区卫生服务中心  　　　　　</w:t>
      </w:r>
    </w:p>
    <w:p w14:paraId="0A2D19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地址：宁波市海曙区尹江路68号　　　　</w:t>
      </w:r>
    </w:p>
    <w:p w14:paraId="7A0D10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2527846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陈老师</w:t>
      </w:r>
    </w:p>
    <w:p w14:paraId="116AB8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项目联系方式（询问）：0574-56122207</w:t>
      </w:r>
    </w:p>
    <w:p w14:paraId="73921B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质疑联系人：洪</w:t>
      </w:r>
      <w:r>
        <w:rPr>
          <w:rFonts w:hint="eastAsia" w:ascii="宋体" w:hAnsi="宋体" w:cs="宋体"/>
          <w:color w:val="auto"/>
          <w:sz w:val="24"/>
          <w:highlight w:val="none"/>
          <w:lang w:val="en-US" w:eastAsia="zh-CN"/>
        </w:rPr>
        <w:t>老师</w:t>
      </w:r>
    </w:p>
    <w:p w14:paraId="1CB856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质疑联系方式：0574-56122207</w:t>
      </w:r>
    </w:p>
    <w:p w14:paraId="162C08DF">
      <w:pPr>
        <w:spacing w:line="360" w:lineRule="auto"/>
        <w:ind w:firstLine="480" w:firstLineChars="200"/>
        <w:rPr>
          <w:rFonts w:hint="eastAsia" w:ascii="宋体" w:hAnsi="宋体" w:cs="宋体"/>
          <w:color w:val="auto"/>
          <w:sz w:val="24"/>
          <w:highlight w:val="none"/>
        </w:rPr>
      </w:pPr>
    </w:p>
    <w:p w14:paraId="0957E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名称：宁波市海曙区石碶街道社区卫生服务中心  　　　　　</w:t>
      </w:r>
    </w:p>
    <w:p w14:paraId="561907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宁波市海曙区石碶街道雅戈尔大道143号</w:t>
      </w:r>
      <w:r>
        <w:rPr>
          <w:rFonts w:hint="eastAsia" w:ascii="宋体" w:hAnsi="宋体" w:cs="宋体"/>
          <w:color w:val="auto"/>
          <w:sz w:val="24"/>
          <w:highlight w:val="none"/>
        </w:rPr>
        <w:t>　　　　</w:t>
      </w:r>
    </w:p>
    <w:p w14:paraId="0D90A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0F2213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项目联系人（询问）：谢</w:t>
      </w:r>
      <w:r>
        <w:rPr>
          <w:rFonts w:hint="eastAsia" w:ascii="宋体" w:hAnsi="宋体" w:cs="宋体"/>
          <w:color w:val="auto"/>
          <w:sz w:val="24"/>
          <w:highlight w:val="none"/>
          <w:lang w:val="en-US" w:eastAsia="zh-CN"/>
        </w:rPr>
        <w:t>老师</w:t>
      </w:r>
    </w:p>
    <w:p w14:paraId="68A8FB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项目联系方式（询问）：0574-88150126</w:t>
      </w:r>
    </w:p>
    <w:p w14:paraId="5C300FE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吴老师</w:t>
      </w:r>
    </w:p>
    <w:p w14:paraId="647DB289">
      <w:pPr>
        <w:pStyle w:val="2"/>
        <w:rPr>
          <w:rFonts w:hint="eastAsia"/>
          <w:color w:val="auto"/>
          <w:highlight w:val="none"/>
        </w:rPr>
      </w:pPr>
      <w:r>
        <w:rPr>
          <w:rFonts w:hint="eastAsia" w:ascii="宋体" w:hAnsi="宋体" w:cs="宋体"/>
          <w:color w:val="auto"/>
          <w:sz w:val="24"/>
          <w:highlight w:val="none"/>
        </w:rPr>
        <w:t>质疑联系方式：0574-88150126</w:t>
      </w:r>
    </w:p>
    <w:p w14:paraId="0BC1EBA7">
      <w:pPr>
        <w:spacing w:line="360" w:lineRule="auto"/>
        <w:ind w:firstLine="480" w:firstLineChars="200"/>
        <w:rPr>
          <w:rFonts w:hint="eastAsia" w:ascii="宋体" w:hAnsi="宋体" w:cs="宋体"/>
          <w:color w:val="auto"/>
          <w:sz w:val="24"/>
          <w:highlight w:val="none"/>
        </w:rPr>
      </w:pPr>
    </w:p>
    <w:p w14:paraId="28EE46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名称：宁波市海曙区龙观乡卫生院  　　　　　</w:t>
      </w:r>
    </w:p>
    <w:p w14:paraId="156CF7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宁波市海曙区龙观乡龙兴路21号</w:t>
      </w:r>
      <w:r>
        <w:rPr>
          <w:rFonts w:hint="eastAsia" w:ascii="宋体" w:hAnsi="宋体" w:cs="宋体"/>
          <w:color w:val="auto"/>
          <w:sz w:val="24"/>
          <w:highlight w:val="none"/>
        </w:rPr>
        <w:t>　　　　</w:t>
      </w:r>
    </w:p>
    <w:p w14:paraId="056187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3C0A74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项目联系人（询问）：汪</w:t>
      </w:r>
      <w:r>
        <w:rPr>
          <w:rFonts w:hint="eastAsia" w:ascii="宋体" w:hAnsi="宋体" w:cs="宋体"/>
          <w:color w:val="auto"/>
          <w:sz w:val="24"/>
          <w:highlight w:val="none"/>
          <w:lang w:val="en-US" w:eastAsia="zh-CN"/>
        </w:rPr>
        <w:t>老师</w:t>
      </w:r>
    </w:p>
    <w:p w14:paraId="25B29F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项目联系方式（询问）：0574-88081562</w:t>
      </w:r>
    </w:p>
    <w:p w14:paraId="006DA68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质疑联系人：雷</w:t>
      </w:r>
      <w:r>
        <w:rPr>
          <w:rFonts w:hint="eastAsia" w:ascii="宋体" w:hAnsi="宋体" w:cs="宋体"/>
          <w:color w:val="auto"/>
          <w:sz w:val="24"/>
          <w:highlight w:val="none"/>
          <w:lang w:val="en-US" w:eastAsia="zh-CN"/>
        </w:rPr>
        <w:t>老师</w:t>
      </w:r>
    </w:p>
    <w:p w14:paraId="1ED92D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质疑联系方式：0574-88081562</w:t>
      </w:r>
    </w:p>
    <w:p w14:paraId="66A03749">
      <w:pPr>
        <w:spacing w:line="360" w:lineRule="auto"/>
        <w:ind w:firstLine="480" w:firstLineChars="200"/>
        <w:rPr>
          <w:rFonts w:hint="eastAsia" w:ascii="宋体" w:hAnsi="宋体" w:cs="宋体"/>
          <w:color w:val="auto"/>
          <w:sz w:val="24"/>
          <w:highlight w:val="none"/>
        </w:rPr>
      </w:pPr>
    </w:p>
    <w:p w14:paraId="6BC4B0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1.11</w:t>
      </w:r>
      <w:r>
        <w:rPr>
          <w:rFonts w:hint="eastAsia" w:ascii="宋体" w:hAnsi="宋体" w:cs="宋体"/>
          <w:color w:val="auto"/>
          <w:sz w:val="24"/>
          <w:highlight w:val="none"/>
        </w:rPr>
        <w:t>名称：宁波市海曙区古林</w:t>
      </w:r>
      <w:r>
        <w:rPr>
          <w:rFonts w:hint="eastAsia" w:ascii="宋体" w:hAnsi="宋体" w:cs="宋体"/>
          <w:color w:val="auto"/>
          <w:sz w:val="24"/>
          <w:highlight w:val="none"/>
          <w:lang w:val="en-US" w:eastAsia="zh-CN"/>
        </w:rPr>
        <w:t>镇</w:t>
      </w:r>
      <w:r>
        <w:rPr>
          <w:rFonts w:hint="eastAsia" w:ascii="宋体" w:hAnsi="宋体" w:cs="宋体"/>
          <w:color w:val="auto"/>
          <w:sz w:val="24"/>
          <w:highlight w:val="none"/>
        </w:rPr>
        <w:t>卫生院  　　　　　</w:t>
      </w:r>
    </w:p>
    <w:p w14:paraId="1AB54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地址：宁波市海曙区古林镇古中路666号　　　　</w:t>
      </w:r>
    </w:p>
    <w:p w14:paraId="5BDC1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2FF9D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项目联系人（询问）：俞</w:t>
      </w:r>
      <w:r>
        <w:rPr>
          <w:rFonts w:hint="eastAsia" w:ascii="宋体" w:hAnsi="宋体" w:cs="宋体"/>
          <w:color w:val="auto"/>
          <w:sz w:val="24"/>
          <w:highlight w:val="none"/>
          <w:lang w:val="en-US" w:eastAsia="zh-CN"/>
        </w:rPr>
        <w:t>老师</w:t>
      </w:r>
    </w:p>
    <w:p w14:paraId="1E284E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项目联系方式（询问）：0574-88130737</w:t>
      </w:r>
    </w:p>
    <w:p w14:paraId="6134D2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质疑联系人：孙</w:t>
      </w:r>
      <w:r>
        <w:rPr>
          <w:rFonts w:hint="eastAsia" w:ascii="宋体" w:hAnsi="宋体" w:cs="宋体"/>
          <w:color w:val="auto"/>
          <w:sz w:val="24"/>
          <w:highlight w:val="none"/>
          <w:lang w:val="en-US" w:eastAsia="zh-CN"/>
        </w:rPr>
        <w:t>老师</w:t>
      </w:r>
    </w:p>
    <w:p w14:paraId="4CF7DF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质疑联系方式：0574-88130737</w:t>
      </w:r>
    </w:p>
    <w:p w14:paraId="3F131E9C">
      <w:pPr>
        <w:spacing w:line="360" w:lineRule="auto"/>
        <w:ind w:firstLine="480" w:firstLineChars="200"/>
        <w:rPr>
          <w:rFonts w:hint="eastAsia" w:ascii="宋体" w:hAnsi="宋体" w:cs="宋体"/>
          <w:color w:val="auto"/>
          <w:sz w:val="24"/>
          <w:highlight w:val="none"/>
        </w:rPr>
      </w:pPr>
    </w:p>
    <w:p w14:paraId="447B52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1.12</w:t>
      </w:r>
      <w:r>
        <w:rPr>
          <w:rFonts w:hint="eastAsia" w:ascii="宋体" w:hAnsi="宋体" w:cs="宋体"/>
          <w:color w:val="auto"/>
          <w:sz w:val="24"/>
          <w:highlight w:val="none"/>
        </w:rPr>
        <w:t>名称：宁波市海曙区高桥镇卫生院  　　　　　</w:t>
      </w:r>
    </w:p>
    <w:p w14:paraId="138C09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地址：宁波市海曙区高桥镇杨家漕路　　　　</w:t>
      </w:r>
    </w:p>
    <w:p w14:paraId="121AF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61A06B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项目联系人（询问）：杨</w:t>
      </w:r>
      <w:r>
        <w:rPr>
          <w:rFonts w:hint="eastAsia" w:ascii="宋体" w:hAnsi="宋体" w:cs="宋体"/>
          <w:color w:val="auto"/>
          <w:sz w:val="24"/>
          <w:highlight w:val="none"/>
          <w:lang w:val="en-US" w:eastAsia="zh-CN"/>
        </w:rPr>
        <w:t>老师</w:t>
      </w:r>
    </w:p>
    <w:p w14:paraId="2BA50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项目联系方式（询问）：0574-55683505</w:t>
      </w:r>
    </w:p>
    <w:p w14:paraId="0283AF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质疑联系人：夏</w:t>
      </w:r>
      <w:r>
        <w:rPr>
          <w:rFonts w:hint="eastAsia" w:ascii="宋体" w:hAnsi="宋体" w:cs="宋体"/>
          <w:color w:val="auto"/>
          <w:sz w:val="24"/>
          <w:highlight w:val="none"/>
          <w:lang w:val="en-US" w:eastAsia="zh-CN"/>
        </w:rPr>
        <w:t>老师</w:t>
      </w:r>
    </w:p>
    <w:p w14:paraId="1C3E2D32">
      <w:pPr>
        <w:pStyle w:val="2"/>
        <w:rPr>
          <w:rFonts w:hint="eastAsia"/>
          <w:color w:val="auto"/>
          <w:highlight w:val="none"/>
        </w:rPr>
      </w:pPr>
      <w:r>
        <w:rPr>
          <w:rFonts w:hint="eastAsia" w:ascii="宋体" w:hAnsi="宋体" w:cs="宋体"/>
          <w:color w:val="auto"/>
          <w:sz w:val="24"/>
          <w:highlight w:val="none"/>
        </w:rPr>
        <w:t>质疑联系方式：0574-55683505</w:t>
      </w:r>
    </w:p>
    <w:p w14:paraId="095CA447">
      <w:pPr>
        <w:spacing w:line="360" w:lineRule="auto"/>
        <w:ind w:firstLine="480" w:firstLineChars="200"/>
        <w:rPr>
          <w:rFonts w:hint="eastAsia" w:ascii="宋体" w:hAnsi="宋体" w:cs="宋体"/>
          <w:color w:val="auto"/>
          <w:sz w:val="24"/>
          <w:highlight w:val="none"/>
        </w:rPr>
      </w:pPr>
    </w:p>
    <w:p w14:paraId="77826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1.13</w:t>
      </w:r>
      <w:r>
        <w:rPr>
          <w:rFonts w:hint="eastAsia" w:ascii="宋体" w:hAnsi="宋体" w:cs="宋体"/>
          <w:color w:val="auto"/>
          <w:sz w:val="24"/>
          <w:highlight w:val="none"/>
        </w:rPr>
        <w:t>名称：宁波市海曙区鼓楼街道社区卫生服务中心  　　　　　</w:t>
      </w:r>
    </w:p>
    <w:p w14:paraId="2DED20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宁波市海曙区呼童街108号</w:t>
      </w:r>
      <w:r>
        <w:rPr>
          <w:rFonts w:hint="eastAsia" w:ascii="宋体" w:hAnsi="宋体" w:cs="宋体"/>
          <w:color w:val="auto"/>
          <w:sz w:val="24"/>
          <w:highlight w:val="none"/>
        </w:rPr>
        <w:t>　　　　</w:t>
      </w:r>
    </w:p>
    <w:p w14:paraId="7D1611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422C66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项目联系人（询问）：吴</w:t>
      </w:r>
      <w:r>
        <w:rPr>
          <w:rFonts w:hint="eastAsia" w:ascii="宋体" w:hAnsi="宋体" w:cs="宋体"/>
          <w:color w:val="auto"/>
          <w:sz w:val="24"/>
          <w:highlight w:val="none"/>
          <w:lang w:val="en-US" w:eastAsia="zh-CN"/>
        </w:rPr>
        <w:t>老师</w:t>
      </w:r>
    </w:p>
    <w:p w14:paraId="7FCE71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项目联系方式（询问）：0574-55229303</w:t>
      </w:r>
    </w:p>
    <w:p w14:paraId="7157E9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质疑联系人：胡</w:t>
      </w:r>
      <w:r>
        <w:rPr>
          <w:rFonts w:hint="eastAsia" w:ascii="宋体" w:hAnsi="宋体" w:cs="宋体"/>
          <w:color w:val="auto"/>
          <w:sz w:val="24"/>
          <w:highlight w:val="none"/>
          <w:lang w:val="en-US" w:eastAsia="zh-CN"/>
        </w:rPr>
        <w:t>老师</w:t>
      </w:r>
    </w:p>
    <w:p w14:paraId="0DAC9D5B">
      <w:pPr>
        <w:spacing w:line="360" w:lineRule="auto"/>
        <w:ind w:firstLine="480" w:firstLineChars="200"/>
        <w:rPr>
          <w:rFonts w:hint="eastAsia"/>
          <w:color w:val="auto"/>
          <w:highlight w:val="none"/>
        </w:rPr>
      </w:pPr>
      <w:r>
        <w:rPr>
          <w:rFonts w:hint="eastAsia" w:ascii="宋体" w:hAnsi="宋体" w:cs="宋体"/>
          <w:color w:val="auto"/>
          <w:sz w:val="24"/>
          <w:highlight w:val="none"/>
        </w:rPr>
        <w:t>质疑联系方式：0574-55229303</w:t>
      </w:r>
    </w:p>
    <w:p w14:paraId="2DC77FB2">
      <w:pPr>
        <w:spacing w:line="360" w:lineRule="auto"/>
        <w:ind w:firstLine="480" w:firstLineChars="200"/>
        <w:rPr>
          <w:rFonts w:hint="eastAsia" w:ascii="宋体" w:hAnsi="宋体" w:cs="宋体"/>
          <w:color w:val="auto"/>
          <w:sz w:val="24"/>
          <w:highlight w:val="none"/>
        </w:rPr>
      </w:pPr>
    </w:p>
    <w:p w14:paraId="6F434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1.14</w:t>
      </w:r>
      <w:r>
        <w:rPr>
          <w:rFonts w:hint="eastAsia" w:ascii="宋体" w:hAnsi="宋体" w:cs="宋体"/>
          <w:color w:val="auto"/>
          <w:sz w:val="24"/>
          <w:highlight w:val="none"/>
        </w:rPr>
        <w:t>名称：宁波市海曙区横街镇卫生院  　　　　　</w:t>
      </w:r>
    </w:p>
    <w:p w14:paraId="70A30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地址：宁波市海曙区春华路2899号　　　　</w:t>
      </w:r>
    </w:p>
    <w:p w14:paraId="60A7CF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46F32C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项目联系人（询问）：何</w:t>
      </w:r>
      <w:r>
        <w:rPr>
          <w:rFonts w:hint="eastAsia" w:ascii="宋体" w:hAnsi="宋体" w:cs="宋体"/>
          <w:color w:val="auto"/>
          <w:sz w:val="24"/>
          <w:highlight w:val="none"/>
          <w:lang w:val="en-US" w:eastAsia="zh-CN"/>
        </w:rPr>
        <w:t>老师</w:t>
      </w:r>
    </w:p>
    <w:p w14:paraId="6057D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项目联系方式（询问）：0574-88280199</w:t>
      </w:r>
    </w:p>
    <w:p w14:paraId="077BE2E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质疑联系人：何</w:t>
      </w:r>
      <w:r>
        <w:rPr>
          <w:rFonts w:hint="eastAsia" w:ascii="宋体" w:hAnsi="宋体" w:cs="宋体"/>
          <w:color w:val="auto"/>
          <w:sz w:val="24"/>
          <w:highlight w:val="none"/>
          <w:lang w:val="en-US" w:eastAsia="zh-CN"/>
        </w:rPr>
        <w:t>老师</w:t>
      </w:r>
    </w:p>
    <w:p w14:paraId="39E808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质疑联系方式：0574-88280199</w:t>
      </w:r>
    </w:p>
    <w:p w14:paraId="7DCB52B7">
      <w:pPr>
        <w:spacing w:line="360" w:lineRule="auto"/>
        <w:rPr>
          <w:rFonts w:hint="eastAsia" w:ascii="宋体" w:hAnsi="宋体" w:cs="宋体"/>
          <w:color w:val="auto"/>
          <w:sz w:val="24"/>
          <w:highlight w:val="none"/>
        </w:rPr>
      </w:pPr>
    </w:p>
    <w:p w14:paraId="420C25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1.15</w:t>
      </w:r>
      <w:r>
        <w:rPr>
          <w:rFonts w:hint="eastAsia" w:ascii="宋体" w:hAnsi="宋体" w:cs="宋体"/>
          <w:color w:val="auto"/>
          <w:sz w:val="24"/>
          <w:highlight w:val="none"/>
        </w:rPr>
        <w:t>名称：宁波市海曙区月湖街道社区卫生服务中心  　　　　　</w:t>
      </w:r>
    </w:p>
    <w:p w14:paraId="70337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宁波市海曙区青石巷9号</w:t>
      </w:r>
      <w:r>
        <w:rPr>
          <w:rFonts w:hint="eastAsia" w:ascii="宋体" w:hAnsi="宋体" w:cs="宋体"/>
          <w:color w:val="auto"/>
          <w:sz w:val="24"/>
          <w:highlight w:val="none"/>
        </w:rPr>
        <w:t>　　　　</w:t>
      </w:r>
    </w:p>
    <w:p w14:paraId="3CDA79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499C9F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项目联系人（询问）：刘</w:t>
      </w:r>
      <w:r>
        <w:rPr>
          <w:rFonts w:hint="eastAsia" w:ascii="宋体" w:hAnsi="宋体" w:cs="宋体"/>
          <w:color w:val="auto"/>
          <w:sz w:val="24"/>
          <w:highlight w:val="none"/>
          <w:lang w:val="en-US" w:eastAsia="zh-CN"/>
        </w:rPr>
        <w:t>老师</w:t>
      </w:r>
    </w:p>
    <w:p w14:paraId="45DA9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项目联系方式（询问）：0574-55715986</w:t>
      </w:r>
    </w:p>
    <w:p w14:paraId="781440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质疑联系人：金</w:t>
      </w:r>
      <w:r>
        <w:rPr>
          <w:rFonts w:hint="eastAsia" w:ascii="宋体" w:hAnsi="宋体" w:cs="宋体"/>
          <w:color w:val="auto"/>
          <w:sz w:val="24"/>
          <w:highlight w:val="none"/>
          <w:lang w:val="en-US" w:eastAsia="zh-CN"/>
        </w:rPr>
        <w:t>老师</w:t>
      </w:r>
    </w:p>
    <w:p w14:paraId="66E8EC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质疑联系方式：0574-55715602</w:t>
      </w:r>
    </w:p>
    <w:p w14:paraId="23A5A148">
      <w:pPr>
        <w:spacing w:line="360" w:lineRule="auto"/>
        <w:ind w:firstLine="480" w:firstLineChars="200"/>
        <w:rPr>
          <w:rFonts w:hint="eastAsia" w:ascii="宋体" w:hAnsi="宋体" w:cs="宋体"/>
          <w:color w:val="auto"/>
          <w:sz w:val="24"/>
          <w:highlight w:val="none"/>
          <w:lang w:val="en-US" w:eastAsia="zh-CN"/>
        </w:rPr>
      </w:pPr>
    </w:p>
    <w:p w14:paraId="630B7B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1.16</w:t>
      </w:r>
      <w:r>
        <w:rPr>
          <w:rFonts w:hint="eastAsia" w:ascii="宋体" w:hAnsi="宋体" w:cs="宋体"/>
          <w:color w:val="auto"/>
          <w:sz w:val="24"/>
          <w:highlight w:val="none"/>
        </w:rPr>
        <w:t>名称：宁波市海曙区江厦街道社区卫生服务中心  　　　　　</w:t>
      </w:r>
    </w:p>
    <w:p w14:paraId="4487AA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地址：宁波市海曙区大沙泥街45号　　　　</w:t>
      </w:r>
    </w:p>
    <w:p w14:paraId="239195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2BD1F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项目联系人（询问）：邱</w:t>
      </w:r>
      <w:r>
        <w:rPr>
          <w:rFonts w:hint="eastAsia" w:ascii="宋体" w:hAnsi="宋体" w:cs="宋体"/>
          <w:color w:val="auto"/>
          <w:sz w:val="24"/>
          <w:highlight w:val="none"/>
          <w:lang w:val="en-US" w:eastAsia="zh-CN"/>
        </w:rPr>
        <w:t>老师</w:t>
      </w:r>
    </w:p>
    <w:p w14:paraId="09BAAB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项目联系方式（询问）：0574-87425379</w:t>
      </w:r>
    </w:p>
    <w:p w14:paraId="7784C71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周老师</w:t>
      </w:r>
    </w:p>
    <w:p w14:paraId="75DFDA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质疑联系方式：0574-87425379</w:t>
      </w:r>
    </w:p>
    <w:p w14:paraId="1C178699">
      <w:pPr>
        <w:spacing w:line="360" w:lineRule="auto"/>
        <w:ind w:firstLine="480" w:firstLineChars="200"/>
        <w:rPr>
          <w:rFonts w:hint="eastAsia" w:ascii="宋体" w:hAnsi="宋体" w:cs="宋体"/>
          <w:color w:val="auto"/>
          <w:sz w:val="24"/>
          <w:highlight w:val="none"/>
        </w:rPr>
      </w:pPr>
    </w:p>
    <w:p w14:paraId="74437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14:paraId="226DFE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14:paraId="2CC535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461FE0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14:paraId="2E0D51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项目联系人（询问）：王鸯鸯</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徐承         </w:t>
      </w:r>
    </w:p>
    <w:p w14:paraId="55E0F0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项目联系方式（询问）：0574-88090157</w:t>
      </w:r>
    </w:p>
    <w:p w14:paraId="29B9AED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张亮</w:t>
      </w:r>
    </w:p>
    <w:p w14:paraId="34C7EB2B">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88090213</w:t>
      </w:r>
      <w:r>
        <w:rPr>
          <w:rFonts w:hint="eastAsia" w:ascii="宋体" w:hAnsi="宋体" w:cs="宋体"/>
          <w:color w:val="auto"/>
          <w:sz w:val="24"/>
          <w:highlight w:val="none"/>
        </w:rPr>
        <w:t> 　　　</w:t>
      </w:r>
      <w:r>
        <w:rPr>
          <w:rFonts w:hint="eastAsia" w:ascii="宋体" w:hAnsi="宋体" w:cs="宋体"/>
          <w:color w:val="auto"/>
          <w:szCs w:val="21"/>
          <w:highlight w:val="none"/>
        </w:rPr>
        <w:t>　　　     </w:t>
      </w:r>
    </w:p>
    <w:p w14:paraId="5304BFF3">
      <w:pPr>
        <w:spacing w:line="360" w:lineRule="auto"/>
        <w:ind w:left="630" w:leftChars="200" w:hanging="210" w:hangingChars="100"/>
        <w:rPr>
          <w:rFonts w:ascii="宋体" w:hAnsi="宋体" w:cs="宋体"/>
          <w:color w:val="auto"/>
          <w:szCs w:val="21"/>
          <w:highlight w:val="none"/>
        </w:rPr>
      </w:pPr>
      <w:r>
        <w:rPr>
          <w:rFonts w:hint="eastAsia" w:ascii="宋体" w:hAnsi="宋体" w:cs="宋体"/>
          <w:color w:val="auto"/>
          <w:szCs w:val="21"/>
          <w:highlight w:val="none"/>
        </w:rPr>
        <w:t xml:space="preserve">   </w:t>
      </w:r>
    </w:p>
    <w:p w14:paraId="1E153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14:paraId="09D501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称：宁波市海曙区采购管理办公室</w:t>
      </w:r>
    </w:p>
    <w:p w14:paraId="752B6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址：宁波市海曙区大梁街48号天之海大厦</w:t>
      </w:r>
    </w:p>
    <w:p w14:paraId="4CB2B4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B1971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2C632F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监督投诉电话：0574-87297540</w:t>
      </w:r>
    </w:p>
    <w:p w14:paraId="783CA6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2FC9C9">
      <w:pPr>
        <w:spacing w:line="360" w:lineRule="auto"/>
        <w:ind w:firstLine="480" w:firstLineChars="200"/>
        <w:rPr>
          <w:rFonts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p>
    <w:p w14:paraId="3C56CB32">
      <w:pPr>
        <w:pStyle w:val="7"/>
        <w:rPr>
          <w:rFonts w:ascii="宋体"/>
          <w:snapToGrid w:val="0"/>
          <w:color w:val="auto"/>
          <w:highlight w:val="none"/>
        </w:rPr>
      </w:pPr>
      <w:r>
        <w:rPr>
          <w:color w:val="auto"/>
          <w:highlight w:val="none"/>
        </w:rPr>
        <w:br w:type="page"/>
      </w:r>
    </w:p>
    <w:p w14:paraId="09F96444">
      <w:pPr>
        <w:adjustRightInd/>
        <w:spacing w:line="360" w:lineRule="auto"/>
        <w:jc w:val="center"/>
        <w:outlineLvl w:val="0"/>
        <w:rPr>
          <w:rFonts w:ascii="宋体" w:hAnsi="宋体" w:cs="宋体"/>
          <w:b/>
          <w:color w:val="auto"/>
          <w:sz w:val="36"/>
          <w:szCs w:val="20"/>
          <w:highlight w:val="none"/>
        </w:rPr>
      </w:pPr>
      <w:bookmarkStart w:id="23" w:name="_Toc1745"/>
      <w:bookmarkStart w:id="24" w:name="_Toc31038"/>
      <w:r>
        <w:rPr>
          <w:rFonts w:hint="eastAsia" w:ascii="宋体" w:hAnsi="宋体" w:cs="宋体"/>
          <w:b/>
          <w:color w:val="auto"/>
          <w:sz w:val="36"/>
          <w:szCs w:val="20"/>
          <w:highlight w:val="none"/>
        </w:rPr>
        <w:t>第二部分</w:t>
      </w:r>
      <w:bookmarkEnd w:id="11"/>
      <w:r>
        <w:rPr>
          <w:rFonts w:hint="eastAsia" w:ascii="宋体" w:hAnsi="宋体" w:cs="宋体"/>
          <w:b/>
          <w:color w:val="auto"/>
          <w:sz w:val="36"/>
          <w:szCs w:val="20"/>
          <w:highlight w:val="none"/>
        </w:rPr>
        <w:t xml:space="preserve"> 投标人须知</w:t>
      </w:r>
      <w:bookmarkEnd w:id="12"/>
      <w:bookmarkEnd w:id="23"/>
      <w:bookmarkEnd w:id="24"/>
    </w:p>
    <w:p w14:paraId="20E41B33">
      <w:pPr>
        <w:adjustRightInd/>
        <w:spacing w:line="360" w:lineRule="auto"/>
        <w:ind w:firstLine="3845" w:firstLineChars="1197"/>
        <w:outlineLvl w:val="1"/>
        <w:rPr>
          <w:rFonts w:ascii="宋体" w:hAnsi="宋体" w:cs="宋体"/>
          <w:b/>
          <w:color w:val="auto"/>
          <w:sz w:val="32"/>
          <w:szCs w:val="20"/>
          <w:highlight w:val="none"/>
        </w:rPr>
      </w:pPr>
      <w:bookmarkStart w:id="25" w:name="_Toc17934"/>
      <w:r>
        <w:rPr>
          <w:rFonts w:hint="eastAsia" w:ascii="宋体" w:hAnsi="宋体" w:cs="宋体"/>
          <w:b/>
          <w:color w:val="auto"/>
          <w:sz w:val="32"/>
          <w:szCs w:val="20"/>
          <w:highlight w:val="none"/>
        </w:rPr>
        <w:t>前附表</w:t>
      </w:r>
      <w:bookmarkEnd w:id="25"/>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379"/>
      </w:tblGrid>
      <w:tr w14:paraId="5330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704" w:type="dxa"/>
            <w:shd w:val="clear" w:color="auto" w:fill="auto"/>
            <w:vAlign w:val="center"/>
          </w:tcPr>
          <w:p w14:paraId="13D01AA8">
            <w:pPr>
              <w:keepNext w:val="0"/>
              <w:keepLines w:val="0"/>
              <w:suppressLineNumbers w:val="0"/>
              <w:spacing w:before="0" w:beforeAutospacing="0" w:after="0" w:afterAutospacing="0"/>
              <w:ind w:left="0" w:right="0"/>
              <w:jc w:val="center"/>
              <w:rPr>
                <w:rFonts w:hint="default" w:ascii="宋体" w:hAnsi="宋体"/>
                <w:b/>
                <w:bCs/>
                <w:color w:val="auto"/>
                <w:sz w:val="24"/>
                <w:highlight w:val="none"/>
              </w:rPr>
            </w:pPr>
            <w:r>
              <w:rPr>
                <w:rFonts w:hint="eastAsia" w:ascii="宋体" w:hAnsi="宋体"/>
                <w:b/>
                <w:bCs/>
                <w:color w:val="auto"/>
                <w:sz w:val="24"/>
                <w:highlight w:val="none"/>
              </w:rPr>
              <w:t>序号</w:t>
            </w:r>
          </w:p>
        </w:tc>
        <w:tc>
          <w:tcPr>
            <w:tcW w:w="1701" w:type="dxa"/>
            <w:shd w:val="clear" w:color="auto" w:fill="auto"/>
            <w:vAlign w:val="center"/>
          </w:tcPr>
          <w:p w14:paraId="442B21FE">
            <w:pPr>
              <w:keepNext w:val="0"/>
              <w:keepLines w:val="0"/>
              <w:suppressLineNumbers w:val="0"/>
              <w:spacing w:before="0" w:beforeAutospacing="0" w:after="0" w:afterAutospacing="0"/>
              <w:ind w:left="0" w:right="0"/>
              <w:jc w:val="center"/>
              <w:rPr>
                <w:rFonts w:hint="default" w:ascii="宋体" w:hAnsi="宋体"/>
                <w:b/>
                <w:bCs/>
                <w:color w:val="auto"/>
                <w:sz w:val="24"/>
                <w:highlight w:val="none"/>
              </w:rPr>
            </w:pPr>
            <w:r>
              <w:rPr>
                <w:rFonts w:hint="eastAsia" w:ascii="宋体" w:hAnsi="宋体"/>
                <w:b/>
                <w:bCs/>
                <w:color w:val="auto"/>
                <w:sz w:val="24"/>
                <w:highlight w:val="none"/>
              </w:rPr>
              <w:t>事项</w:t>
            </w:r>
          </w:p>
        </w:tc>
        <w:tc>
          <w:tcPr>
            <w:tcW w:w="6379" w:type="dxa"/>
            <w:shd w:val="clear" w:color="auto" w:fill="auto"/>
            <w:vAlign w:val="center"/>
          </w:tcPr>
          <w:p w14:paraId="7AA9D98C">
            <w:pPr>
              <w:keepNext w:val="0"/>
              <w:keepLines w:val="0"/>
              <w:suppressLineNumbers w:val="0"/>
              <w:spacing w:before="0" w:beforeAutospacing="0" w:after="0" w:afterAutospacing="0"/>
              <w:ind w:left="0" w:right="0"/>
              <w:jc w:val="center"/>
              <w:rPr>
                <w:rFonts w:hint="default" w:ascii="宋体" w:hAnsi="宋体"/>
                <w:b/>
                <w:bCs/>
                <w:color w:val="auto"/>
                <w:sz w:val="24"/>
                <w:highlight w:val="none"/>
              </w:rPr>
            </w:pPr>
            <w:r>
              <w:rPr>
                <w:rFonts w:hint="eastAsia" w:ascii="宋体" w:hAnsi="宋体"/>
                <w:b/>
                <w:bCs/>
                <w:color w:val="auto"/>
                <w:sz w:val="24"/>
                <w:highlight w:val="none"/>
              </w:rPr>
              <w:t>本项目的特别规定</w:t>
            </w:r>
          </w:p>
        </w:tc>
      </w:tr>
      <w:tr w14:paraId="2ED7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C56DE5C">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p>
        </w:tc>
        <w:tc>
          <w:tcPr>
            <w:tcW w:w="1701" w:type="dxa"/>
            <w:shd w:val="clear" w:color="auto" w:fill="auto"/>
            <w:vAlign w:val="center"/>
          </w:tcPr>
          <w:p w14:paraId="6E67EF3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379" w:type="dxa"/>
            <w:shd w:val="clear" w:color="auto" w:fill="auto"/>
            <w:vAlign w:val="center"/>
          </w:tcPr>
          <w:p w14:paraId="3C9CAC0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0D72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vAlign w:val="center"/>
          </w:tcPr>
          <w:p w14:paraId="34AA503F">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2</w:t>
            </w:r>
          </w:p>
        </w:tc>
        <w:tc>
          <w:tcPr>
            <w:tcW w:w="1701" w:type="dxa"/>
            <w:shd w:val="clear" w:color="auto" w:fill="auto"/>
            <w:vAlign w:val="center"/>
          </w:tcPr>
          <w:p w14:paraId="642D3B4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79" w:type="dxa"/>
            <w:shd w:val="clear" w:color="auto" w:fill="auto"/>
            <w:vAlign w:val="center"/>
          </w:tcPr>
          <w:p w14:paraId="4C684902">
            <w:pPr>
              <w:keepNext w:val="0"/>
              <w:keepLines w:val="0"/>
              <w:suppressLineNumbers w:val="0"/>
              <w:snapToGrid w:val="0"/>
              <w:spacing w:before="0" w:beforeAutospacing="0" w:after="0" w:afterAutospacing="0" w:line="360" w:lineRule="auto"/>
              <w:ind w:left="0" w:right="0"/>
              <w:rPr>
                <w:rFonts w:hint="default" w:ascii="宋体" w:hAnsi="宋体" w:eastAsia="宋体" w:cs="宋体"/>
                <w:b/>
                <w:bCs/>
                <w:color w:val="auto"/>
                <w:kern w:val="0"/>
                <w:sz w:val="24"/>
                <w:highlight w:val="none"/>
                <w:lang w:val="en-US" w:eastAsia="zh-CN"/>
              </w:rPr>
            </w:pPr>
            <w:bookmarkStart w:id="26" w:name="_Hlk135070763"/>
            <w:r>
              <w:rPr>
                <w:rFonts w:hint="eastAsia" w:ascii="宋体" w:hAnsi="宋体" w:cs="宋体"/>
                <w:b/>
                <w:bCs/>
                <w:color w:val="auto"/>
                <w:kern w:val="0"/>
                <w:sz w:val="24"/>
                <w:highlight w:val="none"/>
                <w:lang w:val="en-US" w:eastAsia="zh-CN"/>
              </w:rPr>
              <w:t>本项目为非专门面向中小企业采购。</w:t>
            </w:r>
          </w:p>
          <w:p w14:paraId="6AED3E65">
            <w:pPr>
              <w:keepNext w:val="0"/>
              <w:keepLines w:val="0"/>
              <w:suppressLineNumbers w:val="0"/>
              <w:snapToGrid w:val="0"/>
              <w:spacing w:before="0" w:beforeAutospacing="0" w:after="0" w:afterAutospacing="0" w:line="360" w:lineRule="auto"/>
              <w:ind w:left="0" w:right="0"/>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rPr>
              <w:t>宁波市海曙区卫健系统民生工程信息化改造</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软件和信息技术服务业</w:t>
            </w:r>
            <w:r>
              <w:rPr>
                <w:rFonts w:hint="eastAsia" w:ascii="宋体" w:hAnsi="宋体" w:cs="宋体"/>
                <w:b/>
                <w:bCs/>
                <w:color w:val="auto"/>
                <w:kern w:val="0"/>
                <w:sz w:val="24"/>
                <w:highlight w:val="none"/>
              </w:rPr>
              <w:t>；</w:t>
            </w:r>
            <w:bookmarkStart w:id="27" w:name="_Toc15395"/>
          </w:p>
          <w:p w14:paraId="2C32406D">
            <w:pPr>
              <w:pStyle w:val="7"/>
              <w:suppressLineNumbers w:val="0"/>
              <w:spacing w:before="0" w:beforeAutospacing="0" w:after="0" w:afterAutospacing="0"/>
              <w:ind w:left="0" w:right="0" w:firstLine="0"/>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备注：《关于印发中小企业划型标准规定的通知》（工信</w:t>
            </w:r>
            <w:bookmarkEnd w:id="27"/>
            <w:bookmarkStart w:id="28" w:name="_Toc11782"/>
            <w:r>
              <w:rPr>
                <w:rFonts w:hint="eastAsia" w:ascii="宋体" w:hAnsi="宋体" w:eastAsia="宋体" w:cs="宋体"/>
                <w:b w:val="0"/>
                <w:bCs w:val="0"/>
                <w:color w:val="auto"/>
                <w:sz w:val="24"/>
                <w:szCs w:val="24"/>
                <w:highlight w:val="none"/>
                <w:lang w:val="en-US"/>
              </w:rPr>
              <w:t>部联企业〔2011〕300）：</w:t>
            </w:r>
            <w:bookmarkEnd w:id="28"/>
            <w:bookmarkStart w:id="29" w:name="_Toc30940"/>
          </w:p>
          <w:bookmarkEnd w:id="29"/>
          <w:p w14:paraId="0C0E2E8B">
            <w:pPr>
              <w:pStyle w:val="7"/>
              <w:suppressLineNumbers w:val="0"/>
              <w:spacing w:before="0" w:beforeAutospacing="0" w:after="0" w:afterAutospacing="0"/>
              <w:ind w:left="0" w:right="0" w:firstLine="0"/>
              <w:rPr>
                <w:rFonts w:hint="default" w:ascii="宋体" w:hAnsi="宋体" w:eastAsia="宋体" w:cs="宋体"/>
                <w:b w:val="0"/>
                <w:bCs w:val="0"/>
                <w:color w:val="auto"/>
                <w:sz w:val="24"/>
                <w:szCs w:val="24"/>
                <w:highlight w:val="none"/>
                <w:lang w:val="en-US"/>
              </w:rPr>
            </w:pPr>
            <w:r>
              <w:rPr>
                <w:rFonts w:hint="eastAsia" w:ascii="宋体" w:hAnsi="宋体" w:eastAsia="宋体" w:cs="宋体"/>
                <w:b/>
                <w:bCs/>
                <w:color w:val="auto"/>
                <w:sz w:val="24"/>
                <w:szCs w:val="24"/>
                <w:highlight w:val="none"/>
                <w:u w:val="single"/>
                <w:lang w:val="en-US"/>
              </w:rPr>
              <w:t>软件和信息技术服务业</w:t>
            </w:r>
            <w:r>
              <w:rPr>
                <w:rFonts w:hint="eastAsia" w:ascii="宋体" w:hAnsi="宋体" w:eastAsia="宋体" w:cs="宋体"/>
                <w:b/>
                <w:bCs/>
                <w:color w:val="auto"/>
                <w:sz w:val="24"/>
                <w:szCs w:val="24"/>
                <w:highlight w:val="none"/>
                <w:lang w:val="en-US"/>
              </w:rPr>
              <w:t>。从业人员300人以下的为中小微型企业。其中，从业人员100人及以上的为中型企业；从业人员10人及以上的为小型企业；从业人员10人以下的为微型企业。</w:t>
            </w:r>
            <w:bookmarkEnd w:id="26"/>
          </w:p>
        </w:tc>
      </w:tr>
      <w:tr w14:paraId="3264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0B4D5E0">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3</w:t>
            </w:r>
          </w:p>
        </w:tc>
        <w:tc>
          <w:tcPr>
            <w:tcW w:w="1701" w:type="dxa"/>
            <w:shd w:val="clear" w:color="auto" w:fill="auto"/>
            <w:vAlign w:val="center"/>
          </w:tcPr>
          <w:p w14:paraId="0D8F68E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79" w:type="dxa"/>
            <w:shd w:val="clear" w:color="auto" w:fill="auto"/>
            <w:vAlign w:val="center"/>
          </w:tcPr>
          <w:p w14:paraId="7B54FC42">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28CFABE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可以就_____采购进口产品。</w:t>
            </w:r>
          </w:p>
        </w:tc>
      </w:tr>
      <w:tr w14:paraId="66B5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55089CA">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4</w:t>
            </w:r>
          </w:p>
        </w:tc>
        <w:tc>
          <w:tcPr>
            <w:tcW w:w="1701" w:type="dxa"/>
            <w:shd w:val="clear" w:color="auto" w:fill="auto"/>
            <w:vAlign w:val="center"/>
          </w:tcPr>
          <w:p w14:paraId="179D9274">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379" w:type="dxa"/>
            <w:shd w:val="clear" w:color="auto" w:fill="auto"/>
            <w:vAlign w:val="center"/>
          </w:tcPr>
          <w:p w14:paraId="118A373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7AE744C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52EF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5755E44">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5</w:t>
            </w:r>
          </w:p>
        </w:tc>
        <w:tc>
          <w:tcPr>
            <w:tcW w:w="1701" w:type="dxa"/>
            <w:shd w:val="clear" w:color="auto" w:fill="auto"/>
            <w:vAlign w:val="center"/>
          </w:tcPr>
          <w:p w14:paraId="397869D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379" w:type="dxa"/>
            <w:shd w:val="clear" w:color="auto" w:fill="auto"/>
            <w:vAlign w:val="center"/>
          </w:tcPr>
          <w:p w14:paraId="433FFE8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865174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p>
        </w:tc>
      </w:tr>
      <w:tr w14:paraId="2DBC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5C4046C">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6</w:t>
            </w:r>
          </w:p>
        </w:tc>
        <w:tc>
          <w:tcPr>
            <w:tcW w:w="1701" w:type="dxa"/>
            <w:shd w:val="clear" w:color="auto" w:fill="auto"/>
            <w:vAlign w:val="center"/>
          </w:tcPr>
          <w:p w14:paraId="300181D2">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s="宋体"/>
                <w:b/>
                <w:color w:val="auto"/>
                <w:sz w:val="24"/>
                <w:highlight w:val="none"/>
              </w:rPr>
              <w:t>样品提供</w:t>
            </w:r>
          </w:p>
        </w:tc>
        <w:tc>
          <w:tcPr>
            <w:tcW w:w="6379" w:type="dxa"/>
            <w:shd w:val="clear" w:color="auto" w:fill="auto"/>
          </w:tcPr>
          <w:p w14:paraId="55CA082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88CEC2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7E2DA583">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样品：无</w:t>
            </w:r>
            <w:r>
              <w:rPr>
                <w:rFonts w:hint="eastAsia" w:ascii="宋体" w:hAnsi="宋体" w:cs="宋体"/>
                <w:color w:val="auto"/>
                <w:kern w:val="0"/>
                <w:sz w:val="24"/>
                <w:highlight w:val="none"/>
              </w:rPr>
              <w:t>；</w:t>
            </w:r>
          </w:p>
          <w:p w14:paraId="0CDE0CF2">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1E466F6F">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1F7F711">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default" w:ascii="Segoe UI Symbol" w:hAnsi="Segoe UI Symbol" w:cs="Segoe UI Symbol"/>
                <w:color w:val="auto"/>
                <w:kern w:val="0"/>
                <w:sz w:val="24"/>
                <w:highlight w:val="none"/>
              </w:rPr>
              <w:t>☐</w:t>
            </w:r>
            <w:r>
              <w:rPr>
                <w:rFonts w:hint="eastAsia" w:ascii="宋体" w:hAnsi="宋体" w:cs="宋体"/>
                <w:color w:val="auto"/>
                <w:kern w:val="0"/>
                <w:sz w:val="24"/>
                <w:highlight w:val="none"/>
              </w:rPr>
              <w:t>否；</w:t>
            </w:r>
            <w:r>
              <w:rPr>
                <w:rFonts w:hint="default" w:ascii="Segoe UI Symbol" w:hAnsi="Segoe UI Symbol" w:cs="Segoe UI Symbol"/>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7A53217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742CCFA">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506AEC4">
            <w:pPr>
              <w:keepNext w:val="0"/>
              <w:keepLines w:val="0"/>
              <w:suppressLineNumbers w:val="0"/>
              <w:spacing w:before="0" w:beforeAutospacing="0" w:after="0" w:afterAutospacing="0" w:line="360" w:lineRule="auto"/>
              <w:ind w:left="0" w:right="0"/>
              <w:rPr>
                <w:rFonts w:hint="default" w:ascii="宋体" w:hAnsi="宋体"/>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E85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3124702">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7</w:t>
            </w:r>
          </w:p>
        </w:tc>
        <w:tc>
          <w:tcPr>
            <w:tcW w:w="1701" w:type="dxa"/>
            <w:shd w:val="clear" w:color="auto" w:fill="auto"/>
            <w:vAlign w:val="center"/>
          </w:tcPr>
          <w:p w14:paraId="15FE84A7">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s="宋体"/>
                <w:b/>
                <w:color w:val="auto"/>
                <w:sz w:val="24"/>
                <w:highlight w:val="none"/>
              </w:rPr>
              <w:t>方案讲解演示</w:t>
            </w:r>
          </w:p>
        </w:tc>
        <w:tc>
          <w:tcPr>
            <w:tcW w:w="6379" w:type="dxa"/>
            <w:shd w:val="clear" w:color="auto" w:fill="auto"/>
            <w:vAlign w:val="center"/>
          </w:tcPr>
          <w:p w14:paraId="56DEBC0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34B0AE5">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B组织。</w:t>
            </w:r>
          </w:p>
          <w:p w14:paraId="78D2E6E2">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default"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default" w:ascii="宋体" w:hAnsi="宋体" w:cs="宋体"/>
                <w:color w:val="auto"/>
                <w:kern w:val="0"/>
                <w:sz w:val="24"/>
                <w:highlight w:val="none"/>
                <w:u w:val="single"/>
              </w:rPr>
              <w:t>2</w:t>
            </w:r>
            <w:r>
              <w:rPr>
                <w:rFonts w:hint="eastAsia" w:ascii="宋体" w:hAnsi="宋体" w:cs="宋体"/>
                <w:color w:val="auto"/>
                <w:kern w:val="0"/>
                <w:sz w:val="24"/>
                <w:highlight w:val="none"/>
              </w:rPr>
              <w:t>人。讲解演示结束后按要求解答评标委员会提问。</w:t>
            </w:r>
          </w:p>
          <w:p w14:paraId="63610C74">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37B2DC59">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评标现场讲解演示。现场讲解地点为</w:t>
            </w:r>
            <w:r>
              <w:rPr>
                <w:rFonts w:hint="default"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，讲解演示所用电脑等设备由投标人自备。</w:t>
            </w:r>
            <w:r>
              <w:rPr>
                <w:rFonts w:hint="eastAsia" w:ascii="宋体" w:hAnsi="宋体" w:cs="宋体"/>
                <w:b/>
                <w:bCs/>
                <w:color w:val="auto"/>
                <w:kern w:val="0"/>
                <w:sz w:val="24"/>
                <w:highlight w:val="none"/>
              </w:rPr>
              <w:t>现场讲解演示人员进场时提供讲解人员名单（加盖公章或授权代表签名）及身份证明，否则不得讲解演示。</w:t>
            </w:r>
          </w:p>
          <w:p w14:paraId="3456F12D">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注：因投标人自身原因导致无法演示或者演示效果不理想的，责任自负。</w:t>
            </w:r>
          </w:p>
        </w:tc>
      </w:tr>
      <w:tr w14:paraId="2AEE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2CE0555">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8</w:t>
            </w:r>
          </w:p>
        </w:tc>
        <w:tc>
          <w:tcPr>
            <w:tcW w:w="1701" w:type="dxa"/>
            <w:shd w:val="clear" w:color="auto" w:fill="auto"/>
            <w:vAlign w:val="center"/>
          </w:tcPr>
          <w:p w14:paraId="1AF0E579">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s="宋体"/>
                <w:b/>
                <w:color w:val="auto"/>
                <w:sz w:val="24"/>
                <w:highlight w:val="none"/>
              </w:rPr>
              <w:t>投标人应当提供的资格、资信证明文件</w:t>
            </w:r>
          </w:p>
        </w:tc>
        <w:tc>
          <w:tcPr>
            <w:tcW w:w="6379" w:type="dxa"/>
            <w:shd w:val="clear" w:color="auto" w:fill="auto"/>
          </w:tcPr>
          <w:p w14:paraId="146C416C">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（1）资格证明文件：见招标文件第二部分11.1。</w:t>
            </w:r>
          </w:p>
          <w:p w14:paraId="18AB5BC2">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投标人未提供有效的资格证明文件的，视为投标人不具备招标文件中规定的资格要求，投标无效。</w:t>
            </w:r>
          </w:p>
          <w:p w14:paraId="5CA04E5B">
            <w:pPr>
              <w:keepNext w:val="0"/>
              <w:keepLines w:val="0"/>
              <w:suppressLineNumbers w:val="0"/>
              <w:snapToGrid w:val="0"/>
              <w:spacing w:before="0" w:beforeAutospacing="0" w:after="0" w:afterAutospacing="0" w:line="360" w:lineRule="auto"/>
              <w:ind w:left="0" w:right="0"/>
              <w:rPr>
                <w:rFonts w:hint="default"/>
                <w:color w:val="auto"/>
                <w:sz w:val="24"/>
                <w:highlight w:val="none"/>
              </w:rPr>
            </w:pPr>
            <w:r>
              <w:rPr>
                <w:rFonts w:hint="eastAsia" w:ascii="宋体" w:hAnsi="宋体" w:cs="宋体"/>
                <w:color w:val="auto"/>
                <w:kern w:val="0"/>
                <w:sz w:val="24"/>
                <w:highlight w:val="none"/>
              </w:rPr>
              <w:t>（2）资信证明文件：根据招标文件第四部分评标标准提供。</w:t>
            </w:r>
          </w:p>
        </w:tc>
      </w:tr>
      <w:tr w14:paraId="480B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AFE5136">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9</w:t>
            </w:r>
          </w:p>
        </w:tc>
        <w:tc>
          <w:tcPr>
            <w:tcW w:w="1701" w:type="dxa"/>
            <w:shd w:val="clear" w:color="auto" w:fill="auto"/>
            <w:vAlign w:val="center"/>
          </w:tcPr>
          <w:p w14:paraId="270E3083">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s="宋体"/>
                <w:b/>
                <w:color w:val="auto"/>
                <w:sz w:val="24"/>
                <w:highlight w:val="none"/>
              </w:rPr>
              <w:t>节能产品、环境标志产品</w:t>
            </w:r>
          </w:p>
        </w:tc>
        <w:tc>
          <w:tcPr>
            <w:tcW w:w="6379" w:type="dxa"/>
            <w:shd w:val="clear" w:color="auto" w:fill="auto"/>
          </w:tcPr>
          <w:p w14:paraId="32480A8B">
            <w:pPr>
              <w:keepNext w:val="0"/>
              <w:keepLines w:val="0"/>
              <w:suppressLineNumbers w:val="0"/>
              <w:snapToGrid w:val="0"/>
              <w:spacing w:before="0" w:beforeAutospacing="0" w:after="0" w:afterAutospacing="0" w:line="360" w:lineRule="auto"/>
              <w:ind w:left="0" w:right="0"/>
              <w:rPr>
                <w:rFonts w:hint="default" w:ascii="宋体" w:hAnsi="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D8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AA913BA">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r>
              <w:rPr>
                <w:rFonts w:hint="default" w:ascii="宋体" w:hAnsi="宋体"/>
                <w:color w:val="auto"/>
                <w:sz w:val="24"/>
                <w:highlight w:val="none"/>
              </w:rPr>
              <w:t>0</w:t>
            </w:r>
          </w:p>
        </w:tc>
        <w:tc>
          <w:tcPr>
            <w:tcW w:w="1701" w:type="dxa"/>
            <w:shd w:val="clear" w:color="auto" w:fill="auto"/>
            <w:vAlign w:val="center"/>
          </w:tcPr>
          <w:p w14:paraId="619E6DBA">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s="宋体"/>
                <w:b/>
                <w:color w:val="auto"/>
                <w:sz w:val="24"/>
                <w:highlight w:val="none"/>
              </w:rPr>
              <w:t>报价要求</w:t>
            </w:r>
          </w:p>
        </w:tc>
        <w:tc>
          <w:tcPr>
            <w:tcW w:w="6379" w:type="dxa"/>
            <w:shd w:val="clear" w:color="auto" w:fill="auto"/>
            <w:vAlign w:val="center"/>
          </w:tcPr>
          <w:p w14:paraId="49094A53">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kern w:val="0"/>
                <w:sz w:val="24"/>
                <w:highlight w:val="none"/>
                <w:lang w:val="zh-CN"/>
              </w:rPr>
            </w:pPr>
            <w:r>
              <w:rPr>
                <w:rFonts w:hint="eastAsia" w:ascii="宋体" w:hAnsi="宋体" w:cs="宋体"/>
                <w:color w:val="auto"/>
                <w:kern w:val="0"/>
                <w:sz w:val="24"/>
                <w:highlight w:val="none"/>
                <w:lang w:val="zh-CN"/>
              </w:rPr>
              <w:t>1、有关本项目实施所需的所有费用（含税费）均计入报价。</w:t>
            </w:r>
          </w:p>
          <w:p w14:paraId="63761C24">
            <w:pPr>
              <w:keepNext w:val="0"/>
              <w:keepLines w:val="0"/>
              <w:suppressLineNumbers w:val="0"/>
              <w:snapToGrid w:val="0"/>
              <w:spacing w:before="0" w:beforeAutospacing="0" w:after="0" w:afterAutospacing="0" w:line="360" w:lineRule="auto"/>
              <w:ind w:left="0" w:right="0"/>
              <w:jc w:val="left"/>
              <w:rPr>
                <w:rFonts w:hint="default" w:ascii="宋体" w:hAnsi="宋体" w:cs="宋体"/>
                <w:b/>
                <w:bCs/>
                <w:color w:val="auto"/>
                <w:sz w:val="24"/>
                <w:highlight w:val="none"/>
              </w:rPr>
            </w:pPr>
            <w:r>
              <w:rPr>
                <w:rFonts w:hint="eastAsia" w:ascii="宋体" w:hAnsi="宋体" w:cs="宋体"/>
                <w:color w:val="auto"/>
                <w:kern w:val="0"/>
                <w:sz w:val="24"/>
                <w:highlight w:val="none"/>
                <w:lang w:val="zh-CN"/>
              </w:rPr>
              <w:t>2、</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59130338">
            <w:pPr>
              <w:keepNext w:val="0"/>
              <w:keepLines w:val="0"/>
              <w:suppressLineNumbers w:val="0"/>
              <w:tabs>
                <w:tab w:val="left" w:pos="647"/>
              </w:tabs>
              <w:spacing w:before="0" w:beforeAutospacing="0" w:after="0" w:afterAutospacing="0" w:line="36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3、本项目投标报价是履行合同的最终价格，包括但不限于完成本项目的全部内容：包括需求调研、软件设计、系统开发、测试、实施部署、培训、维护、税金、政策性文件规定及合同包含的所有风险、责任等各项应有的费用。即一直到整个项目调试验收合格交付采购人使用，采购人不再另行支付费用。</w:t>
            </w:r>
          </w:p>
          <w:p w14:paraId="294DCCBE">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4、最高限价：人民币</w:t>
            </w:r>
            <w:r>
              <w:rPr>
                <w:rFonts w:hint="eastAsia" w:ascii="宋体" w:hAnsi="宋体" w:cs="宋体"/>
                <w:b/>
                <w:color w:val="auto"/>
                <w:kern w:val="0"/>
                <w:sz w:val="24"/>
                <w:highlight w:val="none"/>
                <w:lang w:val="en-US" w:eastAsia="zh-CN"/>
              </w:rPr>
              <w:t>196.2</w:t>
            </w:r>
            <w:r>
              <w:rPr>
                <w:rFonts w:hint="eastAsia" w:ascii="宋体" w:hAnsi="宋体" w:cs="宋体"/>
                <w:b/>
                <w:color w:val="auto"/>
                <w:kern w:val="0"/>
                <w:sz w:val="24"/>
                <w:highlight w:val="none"/>
              </w:rPr>
              <w:t>万元，投标报价超过本项目最高限价的均作无效标处理。</w:t>
            </w:r>
          </w:p>
          <w:p w14:paraId="6F387D60">
            <w:pPr>
              <w:keepNext w:val="0"/>
              <w:keepLines w:val="0"/>
              <w:suppressLineNumbers w:val="0"/>
              <w:snapToGrid w:val="0"/>
              <w:spacing w:before="0" w:beforeAutospacing="0" w:after="0" w:afterAutospacing="0" w:line="360" w:lineRule="auto"/>
              <w:ind w:left="0" w:right="0"/>
              <w:jc w:val="left"/>
              <w:rPr>
                <w:rFonts w:hint="default" w:ascii="宋体" w:hAnsi="宋体" w:cs="宋体"/>
                <w:bCs/>
                <w:color w:val="auto"/>
                <w:kern w:val="0"/>
                <w:sz w:val="24"/>
                <w:highlight w:val="none"/>
                <w:lang w:val="zh-CN"/>
              </w:rPr>
            </w:pPr>
            <w:r>
              <w:rPr>
                <w:rFonts w:hint="eastAsia" w:ascii="宋体" w:hAnsi="宋体" w:cs="宋体"/>
                <w:bCs/>
                <w:color w:val="auto"/>
                <w:kern w:val="0"/>
                <w:sz w:val="24"/>
                <w:highlight w:val="none"/>
                <w:lang w:val="zh-CN"/>
              </w:rPr>
              <w:t>5、投标报价出现下列情形的，投标无效：</w:t>
            </w:r>
          </w:p>
          <w:p w14:paraId="7A58E861">
            <w:pPr>
              <w:keepNext w:val="0"/>
              <w:keepLines w:val="0"/>
              <w:suppressLineNumbers w:val="0"/>
              <w:snapToGrid w:val="0"/>
              <w:spacing w:before="0" w:beforeAutospacing="0" w:after="0" w:afterAutospacing="0" w:line="360" w:lineRule="auto"/>
              <w:ind w:left="0" w:right="0"/>
              <w:jc w:val="left"/>
              <w:rPr>
                <w:rFonts w:hint="default" w:ascii="宋体" w:hAnsi="宋体" w:cs="宋体"/>
                <w:bCs/>
                <w:color w:val="auto"/>
                <w:kern w:val="0"/>
                <w:sz w:val="24"/>
                <w:highlight w:val="none"/>
                <w:lang w:val="zh-CN"/>
              </w:rPr>
            </w:pPr>
            <w:r>
              <w:rPr>
                <w:rFonts w:hint="eastAsia" w:ascii="宋体" w:hAnsi="宋体" w:cs="宋体"/>
                <w:bCs/>
                <w:color w:val="auto"/>
                <w:kern w:val="0"/>
                <w:sz w:val="24"/>
                <w:highlight w:val="none"/>
                <w:lang w:val="zh-CN"/>
              </w:rPr>
              <w:t>（1）投标文件出现不是唯一的、有选择性投标报价的；</w:t>
            </w:r>
          </w:p>
          <w:p w14:paraId="61E70270">
            <w:pPr>
              <w:keepNext w:val="0"/>
              <w:keepLines w:val="0"/>
              <w:suppressLineNumbers w:val="0"/>
              <w:snapToGrid w:val="0"/>
              <w:spacing w:before="0" w:beforeAutospacing="0" w:after="0" w:afterAutospacing="0" w:line="360" w:lineRule="auto"/>
              <w:ind w:left="0" w:right="0"/>
              <w:jc w:val="left"/>
              <w:rPr>
                <w:rFonts w:hint="default" w:ascii="宋体" w:hAnsi="宋体" w:cs="宋体"/>
                <w:bCs/>
                <w:color w:val="auto"/>
                <w:kern w:val="0"/>
                <w:sz w:val="24"/>
                <w:highlight w:val="none"/>
                <w:lang w:val="zh-CN"/>
              </w:rPr>
            </w:pPr>
            <w:r>
              <w:rPr>
                <w:rFonts w:hint="eastAsia" w:ascii="宋体" w:hAnsi="宋体" w:cs="宋体"/>
                <w:bCs/>
                <w:color w:val="auto"/>
                <w:kern w:val="0"/>
                <w:sz w:val="24"/>
                <w:highlight w:val="none"/>
                <w:lang w:val="zh-CN"/>
              </w:rPr>
              <w:t>（2）投标报价超过招标文件中规定的预算金额或者最高限价的；</w:t>
            </w:r>
          </w:p>
          <w:p w14:paraId="4AA1892F">
            <w:pPr>
              <w:keepNext w:val="0"/>
              <w:keepLines w:val="0"/>
              <w:suppressLineNumbers w:val="0"/>
              <w:spacing w:before="0" w:beforeAutospacing="0" w:after="0" w:afterAutospacing="0" w:line="360" w:lineRule="auto"/>
              <w:ind w:left="0" w:right="0"/>
              <w:rPr>
                <w:rFonts w:hint="default" w:ascii="宋体" w:hAnsi="宋体" w:cs="宋体"/>
                <w:bCs/>
                <w:color w:val="auto"/>
                <w:sz w:val="24"/>
                <w:highlight w:val="none"/>
              </w:rPr>
            </w:pPr>
            <w:r>
              <w:rPr>
                <w:rFonts w:hint="eastAsia" w:ascii="宋体" w:hAnsi="宋体" w:cs="宋体"/>
                <w:bCs/>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5438145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Cs/>
                <w:color w:val="auto"/>
                <w:kern w:val="0"/>
                <w:sz w:val="24"/>
                <w:highlight w:val="none"/>
              </w:rPr>
              <w:t>（4）投标人对根据修正原则修正后的报价不确认的</w:t>
            </w:r>
            <w:r>
              <w:rPr>
                <w:rFonts w:hint="eastAsia" w:ascii="宋体" w:hAnsi="宋体" w:cs="宋体"/>
                <w:bCs/>
                <w:color w:val="auto"/>
                <w:sz w:val="24"/>
                <w:highlight w:val="none"/>
              </w:rPr>
              <w:t>。</w:t>
            </w:r>
          </w:p>
        </w:tc>
      </w:tr>
      <w:tr w14:paraId="40C5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DD89909">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r>
              <w:rPr>
                <w:rFonts w:hint="default" w:ascii="宋体" w:hAnsi="宋体"/>
                <w:color w:val="auto"/>
                <w:sz w:val="24"/>
                <w:highlight w:val="none"/>
              </w:rPr>
              <w:t>1</w:t>
            </w:r>
          </w:p>
        </w:tc>
        <w:tc>
          <w:tcPr>
            <w:tcW w:w="1701" w:type="dxa"/>
            <w:shd w:val="clear" w:color="auto" w:fill="auto"/>
            <w:vAlign w:val="center"/>
          </w:tcPr>
          <w:p w14:paraId="01130A5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379" w:type="dxa"/>
            <w:shd w:val="clear" w:color="auto" w:fill="auto"/>
            <w:vAlign w:val="center"/>
          </w:tcPr>
          <w:p w14:paraId="4D54675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85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FF52C94">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r>
              <w:rPr>
                <w:rFonts w:hint="default" w:ascii="宋体" w:hAnsi="宋体"/>
                <w:color w:val="auto"/>
                <w:sz w:val="24"/>
                <w:highlight w:val="none"/>
              </w:rPr>
              <w:t>2</w:t>
            </w:r>
          </w:p>
        </w:tc>
        <w:tc>
          <w:tcPr>
            <w:tcW w:w="1701" w:type="dxa"/>
            <w:shd w:val="clear" w:color="auto" w:fill="auto"/>
            <w:vAlign w:val="center"/>
          </w:tcPr>
          <w:p w14:paraId="6DFAB3D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379" w:type="dxa"/>
            <w:shd w:val="clear" w:color="auto" w:fill="auto"/>
            <w:vAlign w:val="center"/>
          </w:tcPr>
          <w:p w14:paraId="48BDE29A">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（1）投标人如提供备份投标文件的，可采用邮寄方式或直接提交方式递交备份投标文件，投标人需将以U盘存储的备份投标文件密封递交，逾期送达或未密封将予以拒收。</w:t>
            </w:r>
          </w:p>
          <w:p w14:paraId="634FD2C6">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（2）采用邮寄方式递交备份投标文件，需按以下要求递交：</w:t>
            </w:r>
          </w:p>
          <w:p w14:paraId="4D6DDA26">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投标人应在开标前一日17:00（含）前将备份投标文件邮寄至规定地点，邮寄地址为：宁波市鄞州区天童南路666号中基大厦19楼业务一部，收件人：王鸯鸯，联系方式：0574-</w:t>
            </w:r>
            <w:r>
              <w:rPr>
                <w:rFonts w:hint="default" w:ascii="宋体" w:hAnsi="宋体" w:cs="宋体"/>
                <w:snapToGrid w:val="0"/>
                <w:color w:val="auto"/>
                <w:kern w:val="28"/>
                <w:sz w:val="24"/>
                <w:highlight w:val="none"/>
              </w:rPr>
              <w:t>88090157</w:t>
            </w:r>
            <w:r>
              <w:rPr>
                <w:rFonts w:hint="eastAsia" w:ascii="宋体" w:hAnsi="宋体" w:cs="宋体"/>
                <w:snapToGrid w:val="0"/>
                <w:color w:val="auto"/>
                <w:kern w:val="28"/>
                <w:sz w:val="24"/>
                <w:highlight w:val="none"/>
              </w:rPr>
              <w:t>。由采购代理工作人员进行签收，各投标人自行考虑邮寄在途时间，邮寄过程中无论何种因素导致备份投标文件未按时递交的后果，均由投标人自行负责。备份投标文件递交时间以采购代理实际收到备份投标文件的时间为准。</w:t>
            </w:r>
          </w:p>
          <w:p w14:paraId="3A91994B">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（3）采用直接提交方式送达备份投标文件，需按以下要求递交：在投标截止时间前将备份投标文件送至</w:t>
            </w:r>
            <w:r>
              <w:rPr>
                <w:rFonts w:hint="eastAsia" w:ascii="宋体" w:hAnsi="宋体" w:cs="宋体"/>
                <w:snapToGrid w:val="0"/>
                <w:color w:val="auto"/>
                <w:kern w:val="28"/>
                <w:sz w:val="24"/>
                <w:highlight w:val="none"/>
                <w:u w:val="single"/>
              </w:rPr>
              <w:t>宁波市海曙区公共资源交易中心二楼开标室（南门上，宁波市海曙区气象路58号，具体详见电子显示屏）</w:t>
            </w:r>
            <w:r>
              <w:rPr>
                <w:rFonts w:hint="eastAsia" w:ascii="宋体" w:hAnsi="宋体" w:cs="宋体"/>
                <w:snapToGrid w:val="0"/>
                <w:color w:val="auto"/>
                <w:kern w:val="28"/>
                <w:sz w:val="24"/>
                <w:highlight w:val="none"/>
              </w:rPr>
              <w:t xml:space="preserve">。       </w:t>
            </w:r>
          </w:p>
          <w:p w14:paraId="59295600">
            <w:pPr>
              <w:keepNext w:val="0"/>
              <w:keepLines w:val="0"/>
              <w:suppressLineNumbers w:val="0"/>
              <w:spacing w:before="0" w:beforeAutospacing="0" w:after="0" w:afterAutospacing="0" w:line="360" w:lineRule="auto"/>
              <w:ind w:left="0" w:right="0"/>
              <w:rPr>
                <w:rFonts w:hint="default" w:ascii="宋体" w:hAnsi="宋体"/>
                <w:color w:val="auto"/>
                <w:sz w:val="24"/>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2AB6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0C42C849">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r>
              <w:rPr>
                <w:rFonts w:hint="default" w:ascii="宋体" w:hAnsi="宋体"/>
                <w:color w:val="auto"/>
                <w:sz w:val="24"/>
                <w:highlight w:val="none"/>
              </w:rPr>
              <w:t>3</w:t>
            </w:r>
          </w:p>
        </w:tc>
        <w:tc>
          <w:tcPr>
            <w:tcW w:w="1701" w:type="dxa"/>
            <w:vMerge w:val="restart"/>
            <w:shd w:val="clear" w:color="auto" w:fill="auto"/>
            <w:vAlign w:val="center"/>
          </w:tcPr>
          <w:p w14:paraId="48B0CEB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仿宋_GB2312"/>
                <w:b/>
                <w:color w:val="auto"/>
                <w:sz w:val="24"/>
                <w:highlight w:val="none"/>
              </w:rPr>
              <w:t>特别说明</w:t>
            </w:r>
          </w:p>
        </w:tc>
        <w:tc>
          <w:tcPr>
            <w:tcW w:w="6379" w:type="dxa"/>
            <w:shd w:val="clear" w:color="auto" w:fill="auto"/>
            <w:vAlign w:val="center"/>
          </w:tcPr>
          <w:p w14:paraId="791E6926">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default" w:ascii="Segoe UI Symbol" w:hAnsi="Segoe UI Symbol" w:cs="Segoe UI Symbol"/>
                <w:color w:val="auto"/>
                <w:kern w:val="0"/>
                <w:sz w:val="24"/>
                <w:highlight w:val="none"/>
              </w:rPr>
              <w:t>☐</w:t>
            </w: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DA4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788255C1">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701" w:type="dxa"/>
            <w:vMerge w:val="continue"/>
            <w:shd w:val="clear" w:color="auto" w:fill="auto"/>
            <w:vAlign w:val="center"/>
          </w:tcPr>
          <w:p w14:paraId="140F2C2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379" w:type="dxa"/>
            <w:shd w:val="clear" w:color="auto" w:fill="auto"/>
            <w:vAlign w:val="center"/>
          </w:tcPr>
          <w:p w14:paraId="6430E26C">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default" w:ascii="Segoe UI Symbol" w:hAnsi="Segoe UI Symbol" w:cs="Segoe UI Symbol"/>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94767A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ascii="宋体" w:hAnsi="宋体" w:cs="宋体"/>
                  <w:color w:val="auto"/>
                  <w:kern w:val="0"/>
                  <w:sz w:val="24"/>
                  <w:highlight w:val="none"/>
                </w:rPr>
                <w:id w:val="10833341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998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29F2AE3">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r>
              <w:rPr>
                <w:rFonts w:hint="default" w:ascii="宋体" w:hAnsi="宋体"/>
                <w:color w:val="auto"/>
                <w:sz w:val="24"/>
                <w:highlight w:val="none"/>
              </w:rPr>
              <w:t>4</w:t>
            </w:r>
          </w:p>
        </w:tc>
        <w:tc>
          <w:tcPr>
            <w:tcW w:w="1701" w:type="dxa"/>
            <w:shd w:val="clear" w:color="auto" w:fill="auto"/>
            <w:vAlign w:val="center"/>
          </w:tcPr>
          <w:p w14:paraId="4532B44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采购代理服务费</w:t>
            </w:r>
          </w:p>
        </w:tc>
        <w:tc>
          <w:tcPr>
            <w:tcW w:w="6379" w:type="dxa"/>
            <w:shd w:val="clear" w:color="auto" w:fill="auto"/>
            <w:vAlign w:val="center"/>
          </w:tcPr>
          <w:p w14:paraId="412ED00C">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（1）收取方式：投标人应当自中标结果公告发布之日起5个工作日内一次性向采购代理机构支付代理服务费。</w:t>
            </w:r>
          </w:p>
          <w:p w14:paraId="2F852D44">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（2）采购代理服务费用收取标准：本项目代理公司参照原国家发改委发改办价格[2003]857号通知和原国家计委计价格[2002]1980号文件中</w:t>
            </w:r>
            <w:r>
              <w:rPr>
                <w:rFonts w:hint="eastAsia" w:ascii="宋体" w:hAnsi="宋体" w:cs="宋体"/>
                <w:snapToGrid w:val="0"/>
                <w:color w:val="auto"/>
                <w:kern w:val="28"/>
                <w:sz w:val="24"/>
                <w:highlight w:val="none"/>
                <w:lang w:val="en-US" w:eastAsia="zh-CN"/>
              </w:rPr>
              <w:t>服务</w:t>
            </w:r>
            <w:r>
              <w:rPr>
                <w:rFonts w:hint="eastAsia" w:ascii="宋体" w:hAnsi="宋体" w:cs="宋体"/>
                <w:snapToGrid w:val="0"/>
                <w:color w:val="auto"/>
                <w:kern w:val="28"/>
                <w:sz w:val="24"/>
                <w:highlight w:val="none"/>
              </w:rPr>
              <w:t>招标费率，按照中标通知书确定的中标总金额，向中标人收取中标服务费。</w:t>
            </w:r>
          </w:p>
          <w:p w14:paraId="64B863F4">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（3）支付形式及账号：</w:t>
            </w:r>
          </w:p>
          <w:p w14:paraId="7E2EFEA5">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① 代理服务费缴纳形式：汇票/电汇/现金</w:t>
            </w:r>
          </w:p>
          <w:p w14:paraId="11F5E133">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② 代理服务费汇入以下账户 ：</w:t>
            </w:r>
          </w:p>
          <w:p w14:paraId="13F268AF">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收款单位（户名）：宁波中基国际招标有限公司</w:t>
            </w:r>
          </w:p>
          <w:p w14:paraId="06256AFC">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开户：宁波银行科技支行</w:t>
            </w:r>
          </w:p>
          <w:p w14:paraId="7D0051D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账号：31010122000005488</w:t>
            </w:r>
          </w:p>
          <w:p w14:paraId="13394A1A">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（4）支付流程：中标投标人按照中标结果公告确定金额支付至采购代理机构账户后将汇款底单、开票信息和发票邮寄地址发送至</w:t>
            </w:r>
            <w:r>
              <w:rPr>
                <w:rFonts w:hint="default" w:ascii="宋体" w:hAnsi="宋体" w:cs="宋体"/>
                <w:snapToGrid w:val="0"/>
                <w:color w:val="auto"/>
                <w:kern w:val="28"/>
                <w:sz w:val="24"/>
                <w:highlight w:val="none"/>
                <w:u w:val="single"/>
              </w:rPr>
              <w:t>719126619@qq</w:t>
            </w:r>
            <w:r>
              <w:rPr>
                <w:rFonts w:hint="eastAsia" w:ascii="宋体" w:hAnsi="宋体" w:cs="宋体"/>
                <w:snapToGrid w:val="0"/>
                <w:color w:val="auto"/>
                <w:kern w:val="28"/>
                <w:sz w:val="24"/>
                <w:highlight w:val="none"/>
                <w:u w:val="single"/>
              </w:rPr>
              <w:t>.</w:t>
            </w:r>
            <w:r>
              <w:rPr>
                <w:rFonts w:hint="default" w:ascii="宋体" w:hAnsi="宋体" w:cs="宋体"/>
                <w:snapToGrid w:val="0"/>
                <w:color w:val="auto"/>
                <w:kern w:val="28"/>
                <w:sz w:val="24"/>
                <w:highlight w:val="none"/>
                <w:u w:val="single"/>
              </w:rPr>
              <w:t>com</w:t>
            </w:r>
            <w:r>
              <w:rPr>
                <w:rFonts w:hint="eastAsia" w:ascii="宋体" w:hAnsi="宋体" w:cs="宋体"/>
                <w:snapToGrid w:val="0"/>
                <w:color w:val="auto"/>
                <w:kern w:val="28"/>
                <w:sz w:val="24"/>
                <w:highlight w:val="none"/>
              </w:rPr>
              <w:t>，采购代理机构在收到邮件后开具发票。</w:t>
            </w:r>
          </w:p>
        </w:tc>
      </w:tr>
    </w:tbl>
    <w:p w14:paraId="45F51367">
      <w:pPr>
        <w:snapToGrid w:val="0"/>
        <w:spacing w:line="360" w:lineRule="auto"/>
        <w:jc w:val="center"/>
        <w:rPr>
          <w:rFonts w:ascii="宋体" w:hAnsi="宋体" w:cs="宋体"/>
          <w:b/>
          <w:color w:val="auto"/>
          <w:sz w:val="32"/>
          <w:szCs w:val="20"/>
          <w:highlight w:val="none"/>
        </w:rPr>
      </w:pPr>
    </w:p>
    <w:bookmarkEnd w:id="13"/>
    <w:p w14:paraId="009E1320">
      <w:pPr>
        <w:rPr>
          <w:rFonts w:ascii="宋体" w:hAnsi="宋体" w:cs="宋体"/>
          <w:b/>
          <w:color w:val="auto"/>
          <w:sz w:val="32"/>
          <w:szCs w:val="20"/>
          <w:highlight w:val="none"/>
        </w:rPr>
      </w:pPr>
      <w:bookmarkStart w:id="30" w:name="_Toc164416483"/>
      <w:bookmarkStart w:id="31" w:name="第三部分"/>
      <w:r>
        <w:rPr>
          <w:rFonts w:hint="eastAsia" w:ascii="宋体" w:hAnsi="宋体" w:cs="宋体"/>
          <w:b/>
          <w:color w:val="auto"/>
          <w:sz w:val="32"/>
          <w:szCs w:val="20"/>
          <w:highlight w:val="none"/>
        </w:rPr>
        <w:br w:type="page"/>
      </w:r>
    </w:p>
    <w:p w14:paraId="2A419062">
      <w:pPr>
        <w:adjustRightInd/>
        <w:spacing w:line="360" w:lineRule="auto"/>
        <w:ind w:firstLine="3845" w:firstLineChars="1197"/>
        <w:outlineLvl w:val="1"/>
        <w:rPr>
          <w:rFonts w:ascii="宋体" w:hAnsi="宋体" w:cs="宋体"/>
          <w:b/>
          <w:color w:val="auto"/>
          <w:sz w:val="32"/>
          <w:szCs w:val="20"/>
          <w:highlight w:val="none"/>
        </w:rPr>
      </w:pPr>
      <w:bookmarkStart w:id="32" w:name="_Toc19896"/>
      <w:r>
        <w:rPr>
          <w:rFonts w:hint="eastAsia" w:ascii="宋体" w:hAnsi="宋体" w:cs="宋体"/>
          <w:b/>
          <w:color w:val="auto"/>
          <w:sz w:val="32"/>
          <w:szCs w:val="20"/>
          <w:highlight w:val="none"/>
        </w:rPr>
        <w:t>一、总则</w:t>
      </w:r>
      <w:bookmarkEnd w:id="32"/>
    </w:p>
    <w:p w14:paraId="3AE29A93">
      <w:pPr>
        <w:snapToGrid w:val="0"/>
        <w:spacing w:line="360" w:lineRule="auto"/>
        <w:ind w:firstLine="361" w:firstLineChars="150"/>
        <w:jc w:val="left"/>
        <w:outlineLvl w:val="1"/>
        <w:rPr>
          <w:rFonts w:ascii="宋体" w:hAnsi="宋体" w:cs="宋体"/>
          <w:b/>
          <w:color w:val="auto"/>
          <w:sz w:val="24"/>
          <w:highlight w:val="none"/>
        </w:rPr>
      </w:pPr>
      <w:bookmarkStart w:id="33" w:name="_Toc4803"/>
      <w:r>
        <w:rPr>
          <w:rFonts w:hint="eastAsia" w:ascii="宋体" w:hAnsi="宋体" w:cs="宋体"/>
          <w:b/>
          <w:color w:val="auto"/>
          <w:sz w:val="24"/>
          <w:highlight w:val="none"/>
        </w:rPr>
        <w:t>1. 适用范围</w:t>
      </w:r>
      <w:bookmarkEnd w:id="33"/>
    </w:p>
    <w:p w14:paraId="157474A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74A6EB7">
      <w:pPr>
        <w:snapToGrid w:val="0"/>
        <w:spacing w:line="360" w:lineRule="auto"/>
        <w:ind w:firstLine="361" w:firstLineChars="150"/>
        <w:jc w:val="left"/>
        <w:outlineLvl w:val="1"/>
        <w:rPr>
          <w:rFonts w:ascii="宋体" w:hAnsi="宋体" w:cs="宋体"/>
          <w:b/>
          <w:color w:val="auto"/>
          <w:sz w:val="24"/>
          <w:highlight w:val="none"/>
        </w:rPr>
      </w:pPr>
      <w:bookmarkStart w:id="34" w:name="_Toc17533"/>
      <w:r>
        <w:rPr>
          <w:rFonts w:hint="eastAsia" w:ascii="宋体" w:hAnsi="宋体" w:cs="宋体"/>
          <w:b/>
          <w:color w:val="auto"/>
          <w:sz w:val="24"/>
          <w:highlight w:val="none"/>
        </w:rPr>
        <w:t>2.定义</w:t>
      </w:r>
      <w:bookmarkEnd w:id="34"/>
    </w:p>
    <w:p w14:paraId="59ABE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44FC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A76F9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CA8C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B6880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388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CFC8D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901B2E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21F5EE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优先采购向我国企业转让技术、与我国企业签订消化吸收再创新方案的投标人的进口产品</w:t>
      </w:r>
      <w:r>
        <w:rPr>
          <w:rFonts w:hint="eastAsia" w:ascii="宋体" w:hAnsi="宋体" w:cs="宋体"/>
          <w:color w:val="auto"/>
          <w:sz w:val="24"/>
          <w:highlight w:val="none"/>
        </w:rPr>
        <w:t>。</w:t>
      </w:r>
    </w:p>
    <w:p w14:paraId="15ECF6F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78CDB3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C3B8F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bookmarkStart w:id="35" w:name="_Hlk107568539"/>
    </w:p>
    <w:p w14:paraId="59F9D3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鼓励投标人在参加政府采购过程中开展绿色设计、选择绿色材料、打造绿色制造工艺、开展绿色运输、做好废弃产品回收处理，实现产品全周期的绿色环保。</w:t>
      </w:r>
      <w:bookmarkEnd w:id="35"/>
    </w:p>
    <w:p w14:paraId="3EB17D0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0AD44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A09B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9DA83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服务符合下列情形的，享受中小企业扶持政策：在服务采购项目中，服务由中小企业承接，即提供服务的人员为中小企业依照《中华人民共和国劳动合同法》订立劳动合同的从业人员。</w:t>
      </w:r>
    </w:p>
    <w:p w14:paraId="2254ABC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EF46D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6" w:name="_Hlk101132181"/>
      <w:r>
        <w:rPr>
          <w:rFonts w:hint="eastAsia" w:ascii="宋体" w:hAnsi="宋体" w:cs="宋体"/>
          <w:color w:val="auto"/>
          <w:sz w:val="24"/>
          <w:highlight w:val="none"/>
        </w:rPr>
        <w:t>联合协议或者分包意向协议约定小微企业的合同份额占到合同总金额30%以上的</w:t>
      </w:r>
      <w:bookmarkEnd w:id="3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4E48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2A0D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7D6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E1D9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A079C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5ADF9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对省级以上主管部门认定的首台套产品，自纳入《省推广应用指导目录》起三年内参加政府采购活动，视同已具备相应销售业绩，业绩分为满分。</w:t>
      </w:r>
    </w:p>
    <w:p w14:paraId="0BE2A03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5F60D07">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875AD7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投标人询问</w:t>
      </w:r>
    </w:p>
    <w:p w14:paraId="5224676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745AA01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投标人质疑</w:t>
      </w:r>
    </w:p>
    <w:p w14:paraId="41B60A9A">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.1提出质疑的投标人应当是参与所质疑项目采购活动的投标人。潜在投标人已依法获取其可质疑的招标文件的，可以对该文件提出质疑。</w:t>
      </w:r>
    </w:p>
    <w:p w14:paraId="0194CD3C">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0DA264">
      <w:pPr>
        <w:pStyle w:val="1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4.2.2.1对招标文件提出质疑的，质疑期限为投标人获得招标文件之日或者招标文件公告期限届满之日起计算。</w:t>
      </w:r>
    </w:p>
    <w:p w14:paraId="5880A0B4">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459B50B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投标人提出质疑应当提交质疑函和必要的证明材料。质疑函应当包括下列内容：</w:t>
      </w:r>
    </w:p>
    <w:p w14:paraId="5E07ECAB">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.3.1投标人的姓名或者名称、地址、邮编、联系人及联系电话；</w:t>
      </w:r>
    </w:p>
    <w:p w14:paraId="113B387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2114876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70898C5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352FCFD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3E0CC966">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778C352A">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投标人提交的质疑函需一式三份。投标人为自然人的，应当由本人签字；投标人为法人或者其他组织的，应当由法定代表人、主要负责人，或者其授权代表签字或者盖章，并加盖公章。</w:t>
      </w:r>
    </w:p>
    <w:p w14:paraId="583B9EA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0744C02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对同一采购程序环节的质疑，投标人须在法定质疑期内一次性提出。</w:t>
      </w:r>
    </w:p>
    <w:p w14:paraId="34DF3451">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采购人或者采购代理机构应当在收到投标人的书面质疑后七个工作日内作出答复，并以书面形式通知质疑投标人和其他与质疑处理结果有利害关系的政府采购当事人，但答复的内容不得涉及商业秘密。根据《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w:t>
      </w:r>
      <w:r>
        <w:rPr>
          <w:rFonts w:hAnsi="宋体" w:cs="宋体"/>
          <w:color w:val="auto"/>
          <w:kern w:val="0"/>
          <w:sz w:val="24"/>
          <w:highlight w:val="none"/>
        </w:rPr>
        <w:t>2</w:t>
      </w:r>
      <w:r>
        <w:rPr>
          <w:rFonts w:hint="eastAsia" w:hAnsi="宋体" w:cs="宋体"/>
          <w:color w:val="auto"/>
          <w:kern w:val="0"/>
          <w:sz w:val="24"/>
          <w:highlight w:val="none"/>
          <w:lang w:val="zh-CN"/>
        </w:rPr>
        <w:t>号）,采购人或者采购代理机构在质疑回复后5个工作日内，在浙江政府采购网的“其他公告”栏目公开质疑答复，答复内容应当完整。质疑函作为附件上传。</w:t>
      </w:r>
    </w:p>
    <w:p w14:paraId="56FF4FC7">
      <w:pPr>
        <w:pStyle w:val="36"/>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.5询问或者质疑事项可能影响采购结果的，采购人应当暂停签订合同，已经签订合同的，应当中止履行合同。</w:t>
      </w:r>
    </w:p>
    <w:p w14:paraId="402011A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.3投标人投诉</w:t>
      </w:r>
    </w:p>
    <w:p w14:paraId="42613ED2">
      <w:pPr>
        <w:pStyle w:val="36"/>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4.3.1质疑投标人对采购人、采购代理机构的答复不满意或者采购人、采购代理机构未在规定的时间内作出答复的，可以在答复期满后十五个工作日内向同级政府采购监督管理部门提出投诉。</w:t>
      </w:r>
    </w:p>
    <w:p w14:paraId="6758331C">
      <w:pPr>
        <w:pStyle w:val="36"/>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投标人投诉的事项不得超出已质疑事项的范围，基于质疑答复内容提出的投诉事项除外。</w:t>
      </w:r>
    </w:p>
    <w:p w14:paraId="73D1B0B3">
      <w:pPr>
        <w:pStyle w:val="36"/>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4.3.3投标人投诉应当有明确的请求和必要的证明材料。</w:t>
      </w:r>
    </w:p>
    <w:p w14:paraId="6EDC5A3E">
      <w:pPr>
        <w:pStyle w:val="36"/>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以联合体形式参加政府采购活动的，其投诉应当由组成联合体的所有投标人共同提出。</w:t>
      </w:r>
    </w:p>
    <w:p w14:paraId="2F342A97">
      <w:pPr>
        <w:pStyle w:val="36"/>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05377CD4">
      <w:pPr>
        <w:pStyle w:val="132"/>
        <w:snapToGrid w:val="0"/>
        <w:spacing w:before="0"/>
        <w:ind w:firstLine="360"/>
        <w:rPr>
          <w:rFonts w:ascii="宋体" w:hAnsi="宋体" w:cs="宋体"/>
          <w:color w:val="auto"/>
          <w:sz w:val="18"/>
          <w:szCs w:val="18"/>
          <w:highlight w:val="none"/>
        </w:rPr>
      </w:pPr>
    </w:p>
    <w:p w14:paraId="78F49C01">
      <w:pPr>
        <w:adjustRightInd/>
        <w:spacing w:line="360" w:lineRule="auto"/>
        <w:jc w:val="center"/>
        <w:outlineLvl w:val="1"/>
        <w:rPr>
          <w:rFonts w:ascii="宋体" w:hAnsi="宋体" w:cs="宋体"/>
          <w:b/>
          <w:color w:val="auto"/>
          <w:sz w:val="32"/>
          <w:szCs w:val="20"/>
          <w:highlight w:val="none"/>
        </w:rPr>
      </w:pPr>
      <w:bookmarkStart w:id="37" w:name="_Toc20717"/>
      <w:r>
        <w:rPr>
          <w:rFonts w:hint="eastAsia" w:ascii="宋体" w:hAnsi="宋体" w:cs="宋体"/>
          <w:b/>
          <w:color w:val="auto"/>
          <w:sz w:val="32"/>
          <w:szCs w:val="20"/>
          <w:highlight w:val="none"/>
        </w:rPr>
        <w:t>二、招标文件的构成、澄清、修改</w:t>
      </w:r>
      <w:bookmarkEnd w:id="37"/>
    </w:p>
    <w:p w14:paraId="11F5707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97B6868">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5D9A75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926F54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CCA8E2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C9837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B8A281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F1EA2C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961AE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2222B2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4BAFF5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0B4955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7BA269">
      <w:pPr>
        <w:pStyle w:val="3"/>
        <w:rPr>
          <w:rFonts w:hAnsi="宋体" w:cs="宋体"/>
          <w:color w:val="auto"/>
          <w:sz w:val="18"/>
          <w:szCs w:val="18"/>
          <w:highlight w:val="none"/>
          <w:lang w:val="en-US"/>
        </w:rPr>
      </w:pPr>
    </w:p>
    <w:p w14:paraId="67C9E01F">
      <w:pPr>
        <w:adjustRightInd/>
        <w:spacing w:line="360" w:lineRule="auto"/>
        <w:jc w:val="center"/>
        <w:outlineLvl w:val="1"/>
        <w:rPr>
          <w:rFonts w:ascii="宋体" w:hAnsi="宋体" w:cs="宋体"/>
          <w:b/>
          <w:color w:val="auto"/>
          <w:sz w:val="30"/>
          <w:szCs w:val="20"/>
          <w:highlight w:val="none"/>
        </w:rPr>
      </w:pPr>
      <w:bookmarkStart w:id="38" w:name="_Toc6708"/>
      <w:r>
        <w:rPr>
          <w:rFonts w:hint="eastAsia" w:ascii="宋体" w:hAnsi="宋体" w:cs="宋体"/>
          <w:b/>
          <w:color w:val="auto"/>
          <w:sz w:val="30"/>
          <w:szCs w:val="20"/>
          <w:highlight w:val="none"/>
        </w:rPr>
        <w:t>三、投标</w:t>
      </w:r>
      <w:bookmarkEnd w:id="38"/>
    </w:p>
    <w:p w14:paraId="5389EA9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22ACD7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8EB87E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F3557A5">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B35975F">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E12406E">
      <w:pPr>
        <w:pStyle w:val="1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34804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9CE0F8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8764AA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649FBCE">
      <w:pPr>
        <w:snapToGrid w:val="0"/>
        <w:spacing w:line="360" w:lineRule="auto"/>
        <w:ind w:firstLine="480" w:firstLineChars="200"/>
        <w:rPr>
          <w:rFonts w:ascii="宋体" w:hAnsi="宋体" w:cs="宋体"/>
          <w:color w:val="auto"/>
          <w:sz w:val="24"/>
          <w:highlight w:val="none"/>
        </w:rPr>
      </w:pPr>
      <w:bookmarkStart w:id="39" w:name="_Hlk135070571"/>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DC8C438">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4ECF93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7072C4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r>
        <w:rPr>
          <w:rFonts w:hint="eastAsia" w:ascii="宋体" w:hAnsi="宋体" w:cs="宋体"/>
          <w:color w:val="auto"/>
          <w:sz w:val="24"/>
          <w:highlight w:val="none"/>
        </w:rPr>
        <w:t>；</w:t>
      </w:r>
    </w:p>
    <w:p w14:paraId="1A629C10">
      <w:pPr>
        <w:pStyle w:val="3"/>
        <w:rPr>
          <w:rFonts w:hAnsi="宋体" w:cs="宋体"/>
          <w:color w:val="auto"/>
          <w:highlight w:val="none"/>
          <w:lang w:val="en-US"/>
        </w:rPr>
      </w:pPr>
      <w:r>
        <w:rPr>
          <w:rFonts w:hint="eastAsia" w:hAnsi="宋体" w:cs="宋体"/>
          <w:color w:val="auto"/>
          <w:highlight w:val="none"/>
          <w:lang w:val="en-US"/>
        </w:rPr>
        <w:t xml:space="preserve">        </w:t>
      </w:r>
      <w:r>
        <w:rPr>
          <w:rFonts w:hAnsi="宋体" w:cs="宋体"/>
          <w:color w:val="auto"/>
          <w:highlight w:val="none"/>
          <w:lang w:val="en-US"/>
        </w:rPr>
        <w:t>11.1.4</w:t>
      </w:r>
      <w:r>
        <w:rPr>
          <w:rFonts w:hint="eastAsia" w:hAnsi="宋体" w:cs="宋体"/>
          <w:color w:val="auto"/>
          <w:kern w:val="28"/>
          <w:szCs w:val="20"/>
          <w:highlight w:val="none"/>
        </w:rPr>
        <w:t>联合协议（如果有)；</w:t>
      </w:r>
    </w:p>
    <w:p w14:paraId="3FDB344A">
      <w:pPr>
        <w:pStyle w:val="3"/>
        <w:ind w:firstLine="960" w:firstLineChars="400"/>
        <w:rPr>
          <w:rFonts w:hAnsi="宋体" w:cs="宋体"/>
          <w:color w:val="auto"/>
          <w:highlight w:val="none"/>
          <w:lang w:val="en-US"/>
        </w:rPr>
      </w:pPr>
      <w:r>
        <w:rPr>
          <w:rFonts w:hint="eastAsia" w:hAnsi="宋体" w:cs="宋体"/>
          <w:color w:val="auto"/>
          <w:highlight w:val="none"/>
          <w:lang w:val="en-US"/>
        </w:rPr>
        <w:t>11.1.</w:t>
      </w:r>
      <w:r>
        <w:rPr>
          <w:rFonts w:hAnsi="宋体" w:cs="宋体"/>
          <w:color w:val="auto"/>
          <w:highlight w:val="none"/>
          <w:lang w:val="en-US"/>
        </w:rPr>
        <w:t>5</w:t>
      </w:r>
      <w:r>
        <w:rPr>
          <w:rFonts w:hint="eastAsia" w:hAnsi="宋体"/>
          <w:color w:val="auto"/>
          <w:kern w:val="0"/>
          <w:highlight w:val="none"/>
        </w:rPr>
        <w:t>业务专用章使用说明函（如适用）。</w:t>
      </w:r>
    </w:p>
    <w:p w14:paraId="6C7AC37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71FDA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7791E1D0">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14:paraId="67226F68">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p>
    <w:p w14:paraId="780E10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AA8A4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11.2.5</w:t>
      </w:r>
      <w:r>
        <w:rPr>
          <w:rFonts w:hint="eastAsia" w:ascii="宋体" w:hAnsi="宋体" w:cs="宋体"/>
          <w:color w:val="auto"/>
          <w:sz w:val="24"/>
          <w:highlight w:val="none"/>
          <w:lang w:val="zh-CN"/>
        </w:rPr>
        <w:t>政府采购投标人廉洁自律承诺书</w:t>
      </w:r>
      <w:r>
        <w:rPr>
          <w:rFonts w:hint="eastAsia" w:ascii="宋体" w:hAnsi="宋体" w:cs="宋体"/>
          <w:color w:val="auto"/>
          <w:sz w:val="24"/>
          <w:highlight w:val="none"/>
        </w:rPr>
        <w:t>；</w:t>
      </w:r>
    </w:p>
    <w:p w14:paraId="37C008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11.2.6采购要求偏离表；</w:t>
      </w:r>
    </w:p>
    <w:p w14:paraId="0830DE8B">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 xml:space="preserve">11.2.7商务要求偏离表 </w:t>
      </w:r>
      <w:r>
        <w:rPr>
          <w:rFonts w:hint="eastAsia" w:ascii="宋体" w:hAnsi="宋体" w:cs="宋体"/>
          <w:color w:val="auto"/>
          <w:highlight w:val="none"/>
        </w:rPr>
        <w:t>；</w:t>
      </w:r>
    </w:p>
    <w:p w14:paraId="118283F0">
      <w:pPr>
        <w:pStyle w:val="3"/>
        <w:ind w:firstLine="960" w:firstLineChars="400"/>
        <w:rPr>
          <w:color w:val="auto"/>
          <w:highlight w:val="none"/>
        </w:rPr>
      </w:pPr>
      <w:r>
        <w:rPr>
          <w:rFonts w:hint="eastAsia" w:hAnsi="宋体" w:cs="宋体"/>
          <w:color w:val="auto"/>
          <w:highlight w:val="none"/>
        </w:rPr>
        <w:t>11.2.</w:t>
      </w:r>
      <w:r>
        <w:rPr>
          <w:rFonts w:hint="eastAsia" w:hAnsi="宋体" w:cs="宋体"/>
          <w:color w:val="auto"/>
          <w:highlight w:val="none"/>
          <w:lang w:val="en-US"/>
        </w:rPr>
        <w:t>8</w:t>
      </w:r>
      <w:r>
        <w:rPr>
          <w:rFonts w:hint="eastAsia" w:hAnsi="宋体" w:cs="宋体"/>
          <w:color w:val="auto"/>
          <w:highlight w:val="none"/>
        </w:rPr>
        <w:t>评</w:t>
      </w:r>
      <w:r>
        <w:rPr>
          <w:rFonts w:hint="eastAsia" w:hAnsi="宋体" w:cs="宋体"/>
          <w:color w:val="auto"/>
          <w:highlight w:val="none"/>
          <w:lang w:val="en-US"/>
        </w:rPr>
        <w:t>标标准相应的商务技术资料；</w:t>
      </w:r>
    </w:p>
    <w:p w14:paraId="618A37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w:t>
      </w:r>
      <w:r>
        <w:rPr>
          <w:rFonts w:hint="eastAsia" w:ascii="宋体" w:hAnsi="宋体" w:cs="宋体"/>
          <w:color w:val="auto"/>
          <w:sz w:val="24"/>
          <w:highlight w:val="none"/>
        </w:rPr>
        <w:t>）项目建设方案（格式自拟）；</w:t>
      </w:r>
    </w:p>
    <w:p w14:paraId="1C7A83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-2</w:t>
      </w:r>
      <w:r>
        <w:rPr>
          <w:rFonts w:hint="eastAsia" w:ascii="宋体" w:hAnsi="宋体" w:cs="宋体"/>
          <w:color w:val="auto"/>
          <w:sz w:val="24"/>
          <w:highlight w:val="none"/>
        </w:rPr>
        <w:t>）重点及难点分析（格式自拟）；</w:t>
      </w:r>
    </w:p>
    <w:p w14:paraId="3B6D9C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-3</w:t>
      </w:r>
      <w:r>
        <w:rPr>
          <w:rFonts w:hint="eastAsia" w:ascii="宋体" w:hAnsi="宋体" w:cs="宋体"/>
          <w:color w:val="auto"/>
          <w:sz w:val="24"/>
          <w:highlight w:val="none"/>
        </w:rPr>
        <w:t>）重点及难点的解决方案（格式自拟）；</w:t>
      </w:r>
    </w:p>
    <w:p w14:paraId="7340E93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-4</w:t>
      </w:r>
      <w:r>
        <w:rPr>
          <w:rFonts w:hint="eastAsia" w:ascii="宋体" w:hAnsi="宋体" w:cs="宋体"/>
          <w:color w:val="auto"/>
          <w:sz w:val="24"/>
          <w:highlight w:val="none"/>
        </w:rPr>
        <w:t>）项目实施方案（格式自拟）；</w:t>
      </w:r>
    </w:p>
    <w:p w14:paraId="66C44D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-5</w:t>
      </w:r>
      <w:r>
        <w:rPr>
          <w:rFonts w:hint="eastAsia" w:ascii="宋体" w:hAnsi="宋体" w:cs="宋体"/>
          <w:color w:val="auto"/>
          <w:sz w:val="24"/>
          <w:highlight w:val="none"/>
        </w:rPr>
        <w:t>）项目进度安排（格式自拟）；</w:t>
      </w:r>
    </w:p>
    <w:p w14:paraId="0B1E14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-6</w:t>
      </w:r>
      <w:r>
        <w:rPr>
          <w:rFonts w:hint="eastAsia" w:ascii="宋体" w:hAnsi="宋体" w:cs="宋体"/>
          <w:color w:val="auto"/>
          <w:sz w:val="24"/>
          <w:highlight w:val="none"/>
        </w:rPr>
        <w:t>）对接融合方案（格式自拟）；</w:t>
      </w:r>
    </w:p>
    <w:p w14:paraId="101AE7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-7</w:t>
      </w:r>
      <w:r>
        <w:rPr>
          <w:rFonts w:hint="eastAsia" w:ascii="宋体" w:hAnsi="宋体" w:cs="宋体"/>
          <w:color w:val="auto"/>
          <w:sz w:val="24"/>
          <w:highlight w:val="none"/>
        </w:rPr>
        <w:t>）拟投入本项目的人员安排（格式自拟）；</w:t>
      </w:r>
    </w:p>
    <w:p w14:paraId="2E5C7E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-8</w:t>
      </w:r>
      <w:r>
        <w:rPr>
          <w:rFonts w:hint="eastAsia" w:ascii="宋体" w:hAnsi="宋体" w:cs="宋体"/>
          <w:color w:val="auto"/>
          <w:sz w:val="24"/>
          <w:highlight w:val="none"/>
        </w:rPr>
        <w:t>）质量保证措施（格式自拟）；</w:t>
      </w:r>
    </w:p>
    <w:p w14:paraId="78FD78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-9</w:t>
      </w:r>
      <w:r>
        <w:rPr>
          <w:rFonts w:hint="eastAsia" w:ascii="宋体" w:hAnsi="宋体" w:cs="宋体"/>
          <w:color w:val="auto"/>
          <w:sz w:val="24"/>
          <w:highlight w:val="none"/>
        </w:rPr>
        <w:t>）培训方案（格式自拟）；</w:t>
      </w:r>
    </w:p>
    <w:p w14:paraId="2E9768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-10</w:t>
      </w:r>
      <w:r>
        <w:rPr>
          <w:rFonts w:hint="eastAsia" w:ascii="宋体" w:hAnsi="宋体" w:cs="宋体"/>
          <w:color w:val="auto"/>
          <w:sz w:val="24"/>
          <w:highlight w:val="none"/>
        </w:rPr>
        <w:t>）售后服务方案（格式自拟）；</w:t>
      </w:r>
    </w:p>
    <w:p w14:paraId="027AD3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-11</w:t>
      </w:r>
      <w:r>
        <w:rPr>
          <w:rFonts w:hint="eastAsia" w:ascii="宋体" w:hAnsi="宋体" w:cs="宋体"/>
          <w:color w:val="auto"/>
          <w:sz w:val="24"/>
          <w:highlight w:val="none"/>
        </w:rPr>
        <w:t>）有效的证书</w:t>
      </w:r>
      <w:r>
        <w:rPr>
          <w:rFonts w:hint="eastAsia" w:ascii="宋体" w:hAnsi="宋体" w:cs="宋体"/>
          <w:color w:val="auto"/>
          <w:sz w:val="24"/>
          <w:highlight w:val="none"/>
          <w:lang w:eastAsia="zh-CN"/>
        </w:rPr>
        <w:t>扫描件</w:t>
      </w:r>
      <w:r>
        <w:rPr>
          <w:rFonts w:hint="eastAsia" w:ascii="宋体" w:hAnsi="宋体" w:cs="宋体"/>
          <w:color w:val="auto"/>
          <w:sz w:val="24"/>
          <w:highlight w:val="none"/>
        </w:rPr>
        <w:t>加盖公章（如有请提供）；</w:t>
      </w:r>
    </w:p>
    <w:p w14:paraId="6FFBEA0C">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（8</w:t>
      </w:r>
      <w:r>
        <w:rPr>
          <w:rFonts w:ascii="宋体" w:hAnsi="宋体" w:cs="宋体"/>
          <w:color w:val="auto"/>
          <w:sz w:val="24"/>
          <w:highlight w:val="none"/>
        </w:rPr>
        <w:t>-12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有效的软件著作权证书扫描件加盖公章（如有请提供）；</w:t>
      </w:r>
    </w:p>
    <w:p w14:paraId="308F014F">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8-13</w:t>
      </w:r>
      <w:r>
        <w:rPr>
          <w:rFonts w:hint="eastAsia" w:ascii="宋体" w:hAnsi="宋体" w:cs="宋体"/>
          <w:color w:val="auto"/>
          <w:sz w:val="24"/>
          <w:highlight w:val="none"/>
          <w:lang w:eastAsia="zh-CN"/>
        </w:rPr>
        <w:t>）</w:t>
      </w:r>
      <w:r>
        <w:rPr>
          <w:rFonts w:hint="eastAsia" w:ascii="宋体" w:hAnsi="宋体" w:cs="宋体"/>
          <w:color w:val="auto"/>
          <w:sz w:val="24"/>
          <w:highlight w:val="none"/>
        </w:rPr>
        <w:t>评标标准相应的其他商务技术资料</w:t>
      </w:r>
      <w:r>
        <w:rPr>
          <w:rFonts w:hint="eastAsia" w:ascii="宋体" w:hAnsi="宋体" w:cs="宋体"/>
          <w:color w:val="auto"/>
          <w:highlight w:val="none"/>
        </w:rPr>
        <w:t>。</w:t>
      </w:r>
    </w:p>
    <w:p w14:paraId="4648F0E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1BB08D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34245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1.3.2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C65A2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1.3.3</w:t>
      </w:r>
      <w:r>
        <w:rPr>
          <w:rFonts w:hint="eastAsia" w:ascii="宋体" w:hAnsi="宋体" w:cs="宋体"/>
          <w:color w:val="auto"/>
          <w:sz w:val="24"/>
          <w:highlight w:val="none"/>
        </w:rPr>
        <w:t>残疾人福利性单位声明函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190C1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1.3.4</w:t>
      </w:r>
      <w:r>
        <w:rPr>
          <w:rFonts w:hint="eastAsia" w:ascii="宋体" w:hAnsi="宋体" w:cs="宋体"/>
          <w:color w:val="auto"/>
          <w:sz w:val="24"/>
          <w:highlight w:val="none"/>
        </w:rPr>
        <w:t>由省级以上监狱管理局、戒毒管理局（含新疆生产建设兵团）出具的属于监狱企业的证明文件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bookmarkEnd w:id="39"/>
    <w:p w14:paraId="3DD636C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312475C">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506214A">
      <w:pPr>
        <w:snapToGrid w:val="0"/>
        <w:spacing w:line="360" w:lineRule="auto"/>
        <w:rPr>
          <w:rFonts w:ascii="宋体" w:hAnsi="宋体" w:cs="宋体"/>
          <w:b/>
          <w:color w:val="auto"/>
          <w:sz w:val="24"/>
          <w:highlight w:val="none"/>
        </w:rPr>
      </w:pPr>
      <w:bookmarkStart w:id="40" w:name="_Toc14413"/>
      <w:r>
        <w:rPr>
          <w:rFonts w:hint="eastAsia" w:ascii="宋体" w:hAnsi="宋体" w:cs="宋体"/>
          <w:b/>
          <w:color w:val="auto"/>
          <w:sz w:val="24"/>
          <w:highlight w:val="none"/>
        </w:rPr>
        <w:t>12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投标文件的编制</w:t>
      </w:r>
      <w:bookmarkEnd w:id="40"/>
    </w:p>
    <w:p w14:paraId="18FD68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511B5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6785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0B21C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66989C0">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FF9589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E810C1">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358BE0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A50F13C">
      <w:pPr>
        <w:pStyle w:val="132"/>
        <w:ind w:firstLine="480"/>
        <w:rPr>
          <w:rFonts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484C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4D3A0AF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3832B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3B90B1C">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7B74442D">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814DF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w:t>
      </w:r>
      <w:r>
        <w:rPr>
          <w:rFonts w:hint="eastAsia" w:hAnsi="宋体" w:cs="宋体"/>
          <w:snapToGrid/>
          <w:color w:val="auto"/>
          <w:sz w:val="24"/>
          <w:szCs w:val="24"/>
          <w:highlight w:val="none"/>
        </w:rPr>
        <w:t>招标文件第二部分投标人须知前附表载明</w:t>
      </w:r>
      <w:r>
        <w:rPr>
          <w:rFonts w:hint="eastAsia" w:hAnsi="宋体" w:cs="宋体"/>
          <w:color w:val="auto"/>
          <w:sz w:val="24"/>
          <w:szCs w:val="24"/>
          <w:highlight w:val="none"/>
        </w:rPr>
        <w:t>地点将备份投标文件提交给采购代理机构，采购代理机构将拒绝接受逾期送达的备份投标文件。</w:t>
      </w:r>
    </w:p>
    <w:p w14:paraId="30C64927">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5B2B3B5">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B4FBF4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1D4A307">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90E61A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781109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099E43">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A6BA29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B55707">
      <w:pPr>
        <w:pStyle w:val="132"/>
        <w:spacing w:before="0"/>
        <w:ind w:firstLine="643"/>
        <w:rPr>
          <w:rFonts w:ascii="宋体" w:hAnsi="宋体" w:cs="宋体"/>
          <w:b/>
          <w:color w:val="auto"/>
          <w:sz w:val="32"/>
          <w:highlight w:val="none"/>
        </w:rPr>
      </w:pPr>
    </w:p>
    <w:p w14:paraId="66B022F5">
      <w:pPr>
        <w:pStyle w:val="132"/>
        <w:spacing w:before="0"/>
        <w:ind w:firstLine="1928" w:firstLineChars="600"/>
        <w:outlineLvl w:val="1"/>
        <w:rPr>
          <w:rFonts w:ascii="宋体" w:hAnsi="宋体" w:cs="宋体"/>
          <w:b/>
          <w:color w:val="auto"/>
          <w:sz w:val="32"/>
          <w:highlight w:val="none"/>
        </w:rPr>
      </w:pPr>
      <w:bookmarkStart w:id="41" w:name="_Toc24357"/>
      <w:r>
        <w:rPr>
          <w:rFonts w:hint="eastAsia" w:ascii="宋体" w:hAnsi="宋体" w:cs="宋体"/>
          <w:b/>
          <w:color w:val="auto"/>
          <w:sz w:val="32"/>
          <w:highlight w:val="none"/>
        </w:rPr>
        <w:t>四、开标、资格审查与信用信息查询</w:t>
      </w:r>
      <w:bookmarkEnd w:id="41"/>
    </w:p>
    <w:p w14:paraId="06C5A2D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0676C239">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7344CDD">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832E83">
      <w:pPr>
        <w:pStyle w:val="556"/>
        <w:adjustRightInd/>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具体开标程序：</w:t>
      </w:r>
    </w:p>
    <w:p w14:paraId="26B25F31">
      <w:pPr>
        <w:adjustRightInd/>
        <w:spacing w:line="360" w:lineRule="auto"/>
        <w:ind w:firstLine="482" w:firstLineChars="200"/>
        <w:rPr>
          <w:rFonts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1、开标第一阶段</w:t>
      </w:r>
    </w:p>
    <w:p w14:paraId="7DB74C71">
      <w:pPr>
        <w:adjustRightInd/>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szCs w:val="20"/>
          <w:highlight w:val="none"/>
        </w:rPr>
        <w:t>（1）向各供应商发出电子加密投标文件【开始解密】通知，各供应商代表应当在接到解密通知后30分钟内自行完成“电子加密投标文件”的在线解密。供应商在规定的时间内无法完成“电子加密投标文件”解密的，如供应商按规定递交“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78D6E960">
      <w:pPr>
        <w:adjustRightInd/>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szCs w:val="20"/>
          <w:highlight w:val="none"/>
        </w:rPr>
        <w:t>（2）开启资格证明文件、商务技术文件。</w:t>
      </w:r>
    </w:p>
    <w:p w14:paraId="70BD619A">
      <w:pPr>
        <w:adjustRightInd/>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szCs w:val="20"/>
          <w:highlight w:val="none"/>
        </w:rPr>
        <w:t>（3）进行资格审查。对通过资格审查的投标供应商进行符合性审查、商务技术评审。</w:t>
      </w:r>
    </w:p>
    <w:p w14:paraId="06B768C2">
      <w:pPr>
        <w:adjustRightInd/>
        <w:spacing w:line="360" w:lineRule="auto"/>
        <w:ind w:firstLine="482" w:firstLineChars="200"/>
        <w:rPr>
          <w:rFonts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2、开标第二阶段</w:t>
      </w:r>
    </w:p>
    <w:p w14:paraId="648DBE18">
      <w:pPr>
        <w:adjustRightInd/>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szCs w:val="20"/>
          <w:highlight w:val="none"/>
        </w:rPr>
        <w:t>（1）资格审查、符合性审查、商务技术评审结束后，进入开标第二阶段。</w:t>
      </w:r>
    </w:p>
    <w:p w14:paraId="17B01BC4">
      <w:pPr>
        <w:adjustRightInd/>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szCs w:val="20"/>
          <w:highlight w:val="none"/>
        </w:rPr>
        <w:t>（2）通过电子交易平台公布无效供应商名单及导致无效的原因；公布有效供应商的名单及其资信商务得分、技术得分。</w:t>
      </w:r>
    </w:p>
    <w:p w14:paraId="41951B4C">
      <w:pPr>
        <w:adjustRightInd/>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szCs w:val="20"/>
          <w:highlight w:val="none"/>
        </w:rPr>
        <w:t>（3）开启有效供应商的《报价文件》，系统形成开标记录。</w:t>
      </w:r>
    </w:p>
    <w:p w14:paraId="735C436A">
      <w:pPr>
        <w:adjustRightInd/>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szCs w:val="20"/>
          <w:highlight w:val="none"/>
        </w:rPr>
        <w:t>（4）价格评审。价格评审结束后，通过电子交易平台公布中标候选供应商名单。</w:t>
      </w:r>
    </w:p>
    <w:p w14:paraId="2A9C2C2D">
      <w:pPr>
        <w:pStyle w:val="556"/>
        <w:spacing w:before="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D67E87">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D4944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D4F22F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F7C7A5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211AB1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6A3BA5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FB764E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3CF789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19207F6">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47DCF8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FFC5187">
      <w:pPr>
        <w:pStyle w:val="132"/>
        <w:spacing w:before="0"/>
        <w:ind w:firstLine="0" w:firstLineChars="0"/>
        <w:rPr>
          <w:rFonts w:ascii="宋体" w:hAnsi="宋体" w:cs="宋体"/>
          <w:color w:val="auto"/>
          <w:kern w:val="0"/>
          <w:szCs w:val="24"/>
          <w:highlight w:val="none"/>
        </w:rPr>
      </w:pPr>
    </w:p>
    <w:p w14:paraId="7142591D">
      <w:pPr>
        <w:snapToGrid w:val="0"/>
        <w:spacing w:line="360" w:lineRule="auto"/>
        <w:jc w:val="center"/>
        <w:outlineLvl w:val="1"/>
        <w:rPr>
          <w:rFonts w:ascii="宋体" w:hAnsi="宋体" w:cs="宋体"/>
          <w:b/>
          <w:color w:val="auto"/>
          <w:sz w:val="36"/>
          <w:szCs w:val="36"/>
          <w:highlight w:val="none"/>
        </w:rPr>
      </w:pPr>
      <w:bookmarkStart w:id="42" w:name="_Toc23139"/>
      <w:r>
        <w:rPr>
          <w:rFonts w:hint="eastAsia" w:ascii="宋体" w:hAnsi="宋体" w:cs="宋体"/>
          <w:b/>
          <w:color w:val="auto"/>
          <w:sz w:val="36"/>
          <w:szCs w:val="36"/>
          <w:highlight w:val="none"/>
        </w:rPr>
        <w:t>五、评标</w:t>
      </w:r>
      <w:bookmarkEnd w:id="42"/>
    </w:p>
    <w:p w14:paraId="576696EC">
      <w:pPr>
        <w:spacing w:line="360" w:lineRule="auto"/>
        <w:rPr>
          <w:rFonts w:ascii="宋体" w:hAnsi="宋体" w:cs="宋体"/>
          <w:b/>
          <w:color w:val="auto"/>
          <w:sz w:val="24"/>
          <w:highlight w:val="none"/>
        </w:rPr>
      </w:pPr>
      <w:bookmarkStart w:id="4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B19CC46">
      <w:pPr>
        <w:spacing w:line="360" w:lineRule="auto"/>
        <w:rPr>
          <w:rFonts w:ascii="宋体" w:hAnsi="宋体" w:cs="宋体"/>
          <w:b/>
          <w:color w:val="auto"/>
          <w:sz w:val="24"/>
          <w:highlight w:val="none"/>
        </w:rPr>
      </w:pPr>
    </w:p>
    <w:p w14:paraId="6028F198">
      <w:pPr>
        <w:snapToGrid w:val="0"/>
        <w:spacing w:line="360" w:lineRule="auto"/>
        <w:jc w:val="center"/>
        <w:outlineLvl w:val="1"/>
        <w:rPr>
          <w:rFonts w:ascii="宋体" w:hAnsi="宋体" w:cs="宋体"/>
          <w:b/>
          <w:color w:val="auto"/>
          <w:sz w:val="36"/>
          <w:szCs w:val="36"/>
          <w:highlight w:val="none"/>
        </w:rPr>
      </w:pPr>
      <w:bookmarkStart w:id="44" w:name="_Toc32708"/>
      <w:r>
        <w:rPr>
          <w:rFonts w:hint="eastAsia" w:ascii="宋体" w:hAnsi="宋体" w:cs="宋体"/>
          <w:b/>
          <w:color w:val="auto"/>
          <w:sz w:val="36"/>
          <w:szCs w:val="36"/>
          <w:highlight w:val="none"/>
        </w:rPr>
        <w:t>六、定 标</w:t>
      </w:r>
      <w:bookmarkEnd w:id="44"/>
    </w:p>
    <w:p w14:paraId="38C9D71B">
      <w:pPr>
        <w:pStyle w:val="27"/>
        <w:spacing w:line="360" w:lineRule="auto"/>
        <w:ind w:left="479" w:hanging="479" w:hangingChars="199"/>
        <w:rPr>
          <w:rFonts w:cs="宋体"/>
          <w:b/>
          <w:color w:val="auto"/>
          <w:highlight w:val="none"/>
        </w:rPr>
      </w:pPr>
      <w:r>
        <w:rPr>
          <w:rFonts w:hint="eastAsia" w:cs="宋体"/>
          <w:b/>
          <w:color w:val="auto"/>
          <w:highlight w:val="none"/>
        </w:rPr>
        <w:t>22. 确定中标投标人</w:t>
      </w:r>
    </w:p>
    <w:p w14:paraId="51BEB08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个工作日内在线确定中标或者成交投标人。中标、成交通知书和中标、成交结果公告应当在规定时间内同时发出。</w:t>
      </w:r>
    </w:p>
    <w:p w14:paraId="170C0B1C">
      <w:pPr>
        <w:pStyle w:val="132"/>
        <w:numPr>
          <w:ilvl w:val="0"/>
          <w:numId w:val="1"/>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14:paraId="1AF546C7">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9803983">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14:paraId="176396F8">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53E524A7">
      <w:pPr>
        <w:snapToGrid w:val="0"/>
        <w:spacing w:line="360" w:lineRule="auto"/>
        <w:ind w:left="120" w:leftChars="57" w:firstLine="482" w:firstLineChars="150"/>
        <w:jc w:val="center"/>
        <w:rPr>
          <w:rFonts w:ascii="宋体" w:hAnsi="宋体" w:cs="宋体"/>
          <w:b/>
          <w:color w:val="auto"/>
          <w:sz w:val="32"/>
          <w:highlight w:val="none"/>
        </w:rPr>
      </w:pPr>
    </w:p>
    <w:p w14:paraId="1086BB15">
      <w:pPr>
        <w:snapToGrid w:val="0"/>
        <w:spacing w:line="360" w:lineRule="auto"/>
        <w:ind w:left="120" w:leftChars="57" w:firstLine="482" w:firstLineChars="150"/>
        <w:jc w:val="center"/>
        <w:outlineLvl w:val="1"/>
        <w:rPr>
          <w:rFonts w:ascii="宋体" w:hAnsi="宋体" w:cs="宋体"/>
          <w:b/>
          <w:color w:val="auto"/>
          <w:sz w:val="32"/>
          <w:highlight w:val="none"/>
        </w:rPr>
      </w:pPr>
      <w:bookmarkStart w:id="45" w:name="_Toc22272"/>
      <w:r>
        <w:rPr>
          <w:rFonts w:hint="eastAsia" w:ascii="宋体" w:hAnsi="宋体" w:cs="宋体"/>
          <w:b/>
          <w:color w:val="auto"/>
          <w:sz w:val="32"/>
          <w:highlight w:val="none"/>
        </w:rPr>
        <w:t>七、合同授予</w:t>
      </w:r>
      <w:bookmarkEnd w:id="45"/>
    </w:p>
    <w:p w14:paraId="736BEF9E">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B88D845">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001CC25C">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采购人与中标投标人应当在中标通知书发出之日起三十日内，按照招标文件及中标投标人的投标文件确定的事项签订政府采购合同，并在合同签订之日起2个工作日内依法发布合同公告。</w:t>
      </w:r>
    </w:p>
    <w:p w14:paraId="79FF6325">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BF89CA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25.3如签订合同并生效后，投标人无故拒绝或延期，除按照合同条款处理外，列入不良行为记录一次，并给予通报。</w:t>
      </w:r>
    </w:p>
    <w:p w14:paraId="6188719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25.4中标投标人拒绝与采购人签订合同的，采购人可以按照评审报告推荐的中标或者成交候选人名单排序，确定下一候选人为中标投标人，也可以重新开展政府采购活动。</w:t>
      </w:r>
    </w:p>
    <w:p w14:paraId="1CE816C2">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25.5采购合同由采购人与中标投标人根据招标文件、投标文件等内容签订，自动备案。</w:t>
      </w:r>
    </w:p>
    <w:p w14:paraId="24CEAD32">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702806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w:t>
      </w:r>
      <w:r>
        <w:rPr>
          <w:rFonts w:hint="eastAsia" w:ascii="宋体" w:hAnsi="宋体" w:cs="宋体"/>
          <w:color w:val="auto"/>
          <w:kern w:val="0"/>
          <w:sz w:val="24"/>
          <w:highlight w:val="none"/>
          <w:u w:val="single"/>
        </w:rPr>
        <w:t>投</w:t>
      </w:r>
      <w:r>
        <w:rPr>
          <w:rFonts w:hint="eastAsia" w:ascii="宋体" w:hAnsi="宋体" w:cs="宋体"/>
          <w:color w:val="auto"/>
          <w:kern w:val="0"/>
          <w:sz w:val="24"/>
          <w:highlight w:val="none"/>
        </w:rPr>
        <w:t>标人提交履约保证金的，投标人应当以支票、汇票、本票或者金融机构、担保机构出具的保函等非现金形式提交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14:paraId="463D52EE">
      <w:pPr>
        <w:pStyle w:val="7"/>
        <w:ind w:left="0" w:firstLine="480" w:firstLineChars="200"/>
        <w:rPr>
          <w:rFonts w:ascii="宋体" w:hAnsi="宋体" w:eastAsia="宋体" w:cs="宋体"/>
          <w:b w:val="0"/>
          <w:bCs w:val="0"/>
          <w:snapToGrid w:val="0"/>
          <w:color w:val="auto"/>
          <w:kern w:val="28"/>
          <w:sz w:val="24"/>
          <w:highlight w:val="none"/>
        </w:rPr>
      </w:pPr>
      <w:bookmarkStart w:id="46" w:name="_Toc5410"/>
      <w:r>
        <w:rPr>
          <w:rFonts w:hint="eastAsia" w:ascii="宋体" w:hAnsi="宋体" w:eastAsia="宋体" w:cs="宋体"/>
          <w:b w:val="0"/>
          <w:bCs w:val="0"/>
          <w:snapToGrid w:val="0"/>
          <w:color w:val="auto"/>
          <w:kern w:val="28"/>
          <w:sz w:val="24"/>
          <w:highlight w:val="none"/>
        </w:rPr>
        <w:t>投标人</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bookmarkEnd w:id="46"/>
    </w:p>
    <w:p w14:paraId="46A8C3F7">
      <w:pPr>
        <w:rPr>
          <w:color w:val="auto"/>
          <w:highlight w:val="none"/>
        </w:rPr>
      </w:pPr>
    </w:p>
    <w:p w14:paraId="2794622C">
      <w:pPr>
        <w:snapToGrid w:val="0"/>
        <w:spacing w:line="360" w:lineRule="auto"/>
        <w:ind w:firstLine="3357" w:firstLineChars="1045"/>
        <w:rPr>
          <w:rFonts w:ascii="宋体" w:hAnsi="宋体" w:cs="宋体"/>
          <w:b/>
          <w:color w:val="auto"/>
          <w:sz w:val="32"/>
          <w:highlight w:val="none"/>
        </w:rPr>
      </w:pPr>
    </w:p>
    <w:p w14:paraId="02147979">
      <w:pPr>
        <w:snapToGrid w:val="0"/>
        <w:spacing w:line="360" w:lineRule="auto"/>
        <w:ind w:firstLine="3357" w:firstLineChars="1045"/>
        <w:outlineLvl w:val="1"/>
        <w:rPr>
          <w:rFonts w:ascii="宋体" w:hAnsi="宋体" w:cs="宋体"/>
          <w:b/>
          <w:color w:val="auto"/>
          <w:sz w:val="24"/>
          <w:highlight w:val="none"/>
        </w:rPr>
      </w:pPr>
      <w:bookmarkStart w:id="47" w:name="_Toc362"/>
      <w:r>
        <w:rPr>
          <w:rFonts w:hint="eastAsia" w:ascii="宋体" w:hAnsi="宋体" w:cs="宋体"/>
          <w:b/>
          <w:color w:val="auto"/>
          <w:sz w:val="32"/>
          <w:highlight w:val="none"/>
        </w:rPr>
        <w:t>八、电子交易活动的中止</w:t>
      </w:r>
      <w:bookmarkEnd w:id="47"/>
    </w:p>
    <w:p w14:paraId="5D4E035F">
      <w:pPr>
        <w:pStyle w:val="132"/>
        <w:snapToGrid w:val="0"/>
        <w:spacing w:before="0"/>
        <w:ind w:firstLine="0" w:firstLineChars="0"/>
        <w:rPr>
          <w:rFonts w:ascii="宋体" w:hAnsi="宋体" w:cs="宋体"/>
          <w:color w:val="auto"/>
          <w:highlight w:val="none"/>
        </w:rPr>
      </w:pPr>
      <w:r>
        <w:rPr>
          <w:rFonts w:ascii="宋体" w:hAnsi="宋体" w:cs="宋体"/>
          <w:b/>
          <w:bCs/>
          <w:color w:val="auto"/>
          <w:highlight w:val="none"/>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6D561F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 xml:space="preserve">.1电子交易平台发生故障而无法登录访问的； </w:t>
      </w:r>
    </w:p>
    <w:p w14:paraId="1B39D1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.2电子交易平台应用或数据库出现错误，不能进行正常操作的；</w:t>
      </w:r>
    </w:p>
    <w:p w14:paraId="6DC8B9C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.3电子交易平台发现严重安全漏洞，有潜在泄密危险的；</w:t>
      </w:r>
    </w:p>
    <w:p w14:paraId="37A0CFF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 xml:space="preserve">.4病毒发作导致不能进行正常操作的； </w:t>
      </w:r>
    </w:p>
    <w:p w14:paraId="58726EF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.5其他无法保证电子交易的公平、公正和安全的情况。</w:t>
      </w:r>
    </w:p>
    <w:p w14:paraId="0588772E">
      <w:pPr>
        <w:pStyle w:val="132"/>
        <w:snapToGrid w:val="0"/>
        <w:spacing w:before="0"/>
        <w:ind w:firstLine="0" w:firstLineChars="0"/>
        <w:rPr>
          <w:rFonts w:ascii="宋体" w:hAnsi="宋体" w:cs="宋体"/>
          <w:color w:val="auto"/>
          <w:highlight w:val="none"/>
        </w:rPr>
      </w:pPr>
      <w:r>
        <w:rPr>
          <w:rFonts w:ascii="宋体" w:hAnsi="宋体" w:cs="宋体"/>
          <w:color w:val="auto"/>
          <w:highlight w:val="none"/>
        </w:rPr>
        <w:t>28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7AA939B">
      <w:pPr>
        <w:tabs>
          <w:tab w:val="left" w:pos="0"/>
        </w:tabs>
        <w:spacing w:line="360" w:lineRule="auto"/>
        <w:ind w:firstLine="480"/>
        <w:rPr>
          <w:rFonts w:ascii="宋体" w:hAnsi="宋体" w:cs="宋体"/>
          <w:color w:val="auto"/>
          <w:sz w:val="24"/>
          <w:highlight w:val="none"/>
        </w:rPr>
      </w:pPr>
    </w:p>
    <w:p w14:paraId="00A5CCD8">
      <w:pPr>
        <w:snapToGrid w:val="0"/>
        <w:spacing w:line="360" w:lineRule="auto"/>
        <w:ind w:left="120" w:leftChars="57" w:firstLine="482" w:firstLineChars="150"/>
        <w:jc w:val="center"/>
        <w:outlineLvl w:val="1"/>
        <w:rPr>
          <w:rFonts w:ascii="宋体" w:hAnsi="宋体" w:cs="宋体"/>
          <w:b/>
          <w:color w:val="auto"/>
          <w:sz w:val="32"/>
          <w:highlight w:val="none"/>
        </w:rPr>
      </w:pPr>
      <w:bookmarkStart w:id="48" w:name="_Toc12798"/>
      <w:r>
        <w:rPr>
          <w:rFonts w:hint="eastAsia" w:ascii="宋体" w:hAnsi="宋体" w:cs="宋体"/>
          <w:b/>
          <w:color w:val="auto"/>
          <w:sz w:val="32"/>
          <w:highlight w:val="none"/>
        </w:rPr>
        <w:t>九、验收</w:t>
      </w:r>
      <w:bookmarkEnd w:id="48"/>
    </w:p>
    <w:p w14:paraId="0DD98BC0">
      <w:pPr>
        <w:pStyle w:val="27"/>
        <w:spacing w:line="360" w:lineRule="auto"/>
        <w:ind w:firstLine="0" w:firstLineChars="0"/>
        <w:rPr>
          <w:rFonts w:cs="宋体"/>
          <w:b/>
          <w:color w:val="auto"/>
          <w:highlight w:val="none"/>
        </w:rPr>
      </w:pPr>
      <w:r>
        <w:rPr>
          <w:rFonts w:cs="宋体"/>
          <w:b/>
          <w:color w:val="auto"/>
          <w:highlight w:val="none"/>
        </w:rPr>
        <w:t>29</w:t>
      </w:r>
      <w:r>
        <w:rPr>
          <w:rFonts w:hint="eastAsia" w:cs="宋体"/>
          <w:b/>
          <w:color w:val="auto"/>
          <w:highlight w:val="none"/>
        </w:rPr>
        <w:t>.验收</w:t>
      </w:r>
    </w:p>
    <w:p w14:paraId="7415DC42">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07DB7CE6">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92B4754">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C51872">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cs="宋体"/>
          <w:color w:val="auto"/>
          <w:kern w:val="0"/>
          <w:sz w:val="24"/>
          <w:highlight w:val="none"/>
        </w:rPr>
        <w:t>29</w:t>
      </w:r>
      <w:r>
        <w:rPr>
          <w:rFonts w:hint="eastAsia" w:ascii="宋体" w:hAnsi="宋体" w:cs="宋体"/>
          <w:color w:val="auto"/>
          <w:kern w:val="0"/>
          <w:sz w:val="24"/>
          <w:highlight w:val="none"/>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bookmarkEnd w:id="43"/>
      <w:bookmarkStart w:id="49" w:name="_Hlt74707468"/>
      <w:bookmarkEnd w:id="49"/>
      <w:bookmarkStart w:id="50" w:name="_Hlt68403820"/>
      <w:bookmarkEnd w:id="50"/>
      <w:bookmarkStart w:id="51" w:name="_Hlt68072998"/>
      <w:bookmarkEnd w:id="51"/>
      <w:bookmarkStart w:id="52" w:name="_Hlt75236290"/>
      <w:bookmarkEnd w:id="52"/>
      <w:bookmarkStart w:id="53" w:name="_Hlt75236011"/>
      <w:bookmarkEnd w:id="53"/>
      <w:bookmarkStart w:id="54" w:name="_Hlt68072990"/>
      <w:bookmarkEnd w:id="54"/>
      <w:bookmarkStart w:id="55" w:name="_Hlt75236101"/>
      <w:bookmarkEnd w:id="55"/>
      <w:bookmarkStart w:id="56" w:name="_Hlt74730295"/>
      <w:bookmarkEnd w:id="56"/>
      <w:bookmarkStart w:id="57" w:name="_Hlt74714665"/>
      <w:bookmarkEnd w:id="57"/>
      <w:bookmarkStart w:id="58" w:name="_Hlt74729768"/>
      <w:bookmarkEnd w:id="58"/>
      <w:bookmarkStart w:id="59" w:name="_Hlt68073093"/>
      <w:bookmarkEnd w:id="59"/>
      <w:bookmarkStart w:id="60" w:name="_Hlt68057669"/>
      <w:bookmarkEnd w:id="60"/>
    </w:p>
    <w:bookmarkEnd w:id="30"/>
    <w:bookmarkEnd w:id="31"/>
    <w:p w14:paraId="3803D532">
      <w:pPr>
        <w:spacing w:line="360" w:lineRule="auto"/>
        <w:jc w:val="center"/>
        <w:outlineLvl w:val="0"/>
        <w:rPr>
          <w:rFonts w:ascii="宋体" w:hAnsi="宋体" w:cs="宋体"/>
          <w:b/>
          <w:color w:val="auto"/>
          <w:sz w:val="36"/>
          <w:szCs w:val="36"/>
          <w:highlight w:val="none"/>
        </w:rPr>
      </w:pPr>
      <w:bookmarkStart w:id="61" w:name="_Toc17321"/>
      <w:bookmarkStart w:id="62" w:name="_Toc9424"/>
      <w:bookmarkStart w:id="63" w:name="第四部分"/>
      <w:r>
        <w:rPr>
          <w:rFonts w:hint="eastAsia" w:ascii="宋体" w:hAnsi="宋体" w:cs="宋体"/>
          <w:b/>
          <w:color w:val="auto"/>
          <w:sz w:val="36"/>
          <w:szCs w:val="36"/>
          <w:highlight w:val="none"/>
        </w:rPr>
        <w:t>第三部分   采购需求</w:t>
      </w:r>
      <w:bookmarkEnd w:id="61"/>
      <w:bookmarkEnd w:id="62"/>
    </w:p>
    <w:p w14:paraId="743FFC4F">
      <w:pPr>
        <w:pStyle w:val="36"/>
        <w:snapToGrid w:val="0"/>
        <w:spacing w:before="120" w:after="120"/>
        <w:outlineLvl w:val="0"/>
        <w:rPr>
          <w:rFonts w:hAnsi="宋体" w:cs="宋体"/>
          <w:b/>
          <w:bCs/>
          <w:color w:val="auto"/>
          <w:sz w:val="24"/>
          <w:szCs w:val="24"/>
          <w:highlight w:val="none"/>
        </w:rPr>
      </w:pPr>
      <w:r>
        <w:rPr>
          <w:rFonts w:hint="eastAsia" w:hAnsi="宋体" w:cs="宋体"/>
          <w:b/>
          <w:bCs/>
          <w:color w:val="auto"/>
          <w:sz w:val="24"/>
          <w:szCs w:val="24"/>
          <w:highlight w:val="none"/>
        </w:rPr>
        <w:t>一、商务要求表</w:t>
      </w:r>
    </w:p>
    <w:tbl>
      <w:tblPr>
        <w:tblStyle w:val="64"/>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14:paraId="3706E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376" w:type="dxa"/>
            <w:vAlign w:val="center"/>
          </w:tcPr>
          <w:p w14:paraId="68895F8C">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▲项目完成时间</w:t>
            </w:r>
          </w:p>
        </w:tc>
        <w:tc>
          <w:tcPr>
            <w:tcW w:w="6325" w:type="dxa"/>
            <w:vAlign w:val="center"/>
          </w:tcPr>
          <w:p w14:paraId="59BB0BF6">
            <w:pPr>
              <w:keepNext w:val="0"/>
              <w:keepLines w:val="0"/>
              <w:suppressLineNumbers w:val="0"/>
              <w:spacing w:before="0" w:beforeAutospacing="0" w:after="0" w:afterAutospacing="0" w:line="400" w:lineRule="exact"/>
              <w:ind w:left="0" w:right="0"/>
              <w:rPr>
                <w:rFonts w:hint="default"/>
                <w:color w:val="auto"/>
                <w:highlight w:val="none"/>
              </w:rPr>
            </w:pPr>
            <w:r>
              <w:rPr>
                <w:rFonts w:hint="eastAsia" w:ascii="宋体" w:hAnsi="宋体" w:cs="宋体"/>
                <w:bCs/>
                <w:color w:val="auto"/>
                <w:sz w:val="24"/>
                <w:highlight w:val="none"/>
              </w:rPr>
              <w:t>合同签订之日起</w:t>
            </w:r>
            <w:r>
              <w:rPr>
                <w:rFonts w:hint="eastAsia" w:ascii="宋体" w:hAnsi="宋体" w:cs="宋体"/>
                <w:bCs/>
                <w:color w:val="auto"/>
                <w:sz w:val="24"/>
                <w:highlight w:val="none"/>
                <w:lang w:val="en-US" w:eastAsia="zh-CN"/>
              </w:rPr>
              <w:t>3个月</w:t>
            </w:r>
            <w:r>
              <w:rPr>
                <w:rFonts w:hint="eastAsia" w:ascii="宋体" w:hAnsi="宋体" w:cs="宋体"/>
                <w:bCs/>
                <w:color w:val="auto"/>
                <w:sz w:val="24"/>
                <w:highlight w:val="none"/>
              </w:rPr>
              <w:t>内完成试运行并通过项目验收。</w:t>
            </w:r>
          </w:p>
        </w:tc>
      </w:tr>
      <w:tr w14:paraId="38FF5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73AE69EC">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▲付款条件</w:t>
            </w:r>
          </w:p>
        </w:tc>
        <w:tc>
          <w:tcPr>
            <w:tcW w:w="6325" w:type="dxa"/>
            <w:vAlign w:val="center"/>
          </w:tcPr>
          <w:p w14:paraId="021D384E">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bCs/>
                <w:color w:val="auto"/>
                <w:sz w:val="24"/>
                <w:highlight w:val="none"/>
              </w:rPr>
              <w:t>1、预付款：在合同生效以及具备实施条件后7个工作日内支付合同金额的</w:t>
            </w:r>
            <w:r>
              <w:rPr>
                <w:rFonts w:hint="default" w:ascii="宋体" w:hAnsi="宋体" w:cs="宋体"/>
                <w:bCs/>
                <w:color w:val="auto"/>
                <w:sz w:val="24"/>
                <w:highlight w:val="none"/>
              </w:rPr>
              <w:t>40</w:t>
            </w:r>
            <w:r>
              <w:rPr>
                <w:rFonts w:hint="eastAsia" w:ascii="宋体" w:hAnsi="宋体" w:cs="宋体"/>
                <w:bCs/>
                <w:color w:val="auto"/>
                <w:sz w:val="24"/>
                <w:highlight w:val="none"/>
              </w:rPr>
              <w:t>%。</w:t>
            </w:r>
          </w:p>
          <w:p w14:paraId="1C976965">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bCs/>
                <w:color w:val="auto"/>
                <w:sz w:val="24"/>
                <w:highlight w:val="none"/>
              </w:rPr>
              <w:t>中标人于合同签订前书面承诺放弃预付款或降低预付款支付比例的，可不适用本条款。</w:t>
            </w:r>
          </w:p>
          <w:p w14:paraId="06C3F4E9">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2、试运行结束且项目验收合格后</w:t>
            </w:r>
            <w:r>
              <w:rPr>
                <w:rFonts w:hint="eastAsia" w:ascii="宋体" w:hAnsi="宋体" w:cs="宋体"/>
                <w:bCs/>
                <w:color w:val="auto"/>
                <w:sz w:val="24"/>
                <w:highlight w:val="none"/>
                <w:lang w:val="en-US" w:eastAsia="zh-CN"/>
              </w:rPr>
              <w:t>且收到中标人发票后15日内</w:t>
            </w:r>
            <w:r>
              <w:rPr>
                <w:rFonts w:hint="eastAsia" w:ascii="宋体" w:hAnsi="宋体" w:cs="宋体"/>
                <w:bCs/>
                <w:color w:val="auto"/>
                <w:sz w:val="24"/>
                <w:highlight w:val="none"/>
              </w:rPr>
              <w:t>由采购人向中标人支付至合同金额的</w:t>
            </w:r>
            <w:r>
              <w:rPr>
                <w:rFonts w:hint="default" w:ascii="宋体" w:hAnsi="宋体" w:cs="宋体"/>
                <w:bCs/>
                <w:color w:val="auto"/>
                <w:sz w:val="24"/>
                <w:highlight w:val="none"/>
              </w:rPr>
              <w:t>100</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p>
        </w:tc>
      </w:tr>
      <w:tr w14:paraId="68BEE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14:paraId="2926BAB5">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▲履约保证金</w:t>
            </w:r>
          </w:p>
        </w:tc>
        <w:tc>
          <w:tcPr>
            <w:tcW w:w="6325" w:type="dxa"/>
            <w:vAlign w:val="center"/>
          </w:tcPr>
          <w:p w14:paraId="02162CF4">
            <w:pPr>
              <w:keepNext w:val="0"/>
              <w:keepLines w:val="0"/>
              <w:suppressLineNumbers w:val="0"/>
              <w:spacing w:before="0" w:beforeAutospacing="0" w:after="0" w:afterAutospacing="0" w:line="400" w:lineRule="exact"/>
              <w:ind w:left="0" w:right="0"/>
              <w:rPr>
                <w:rFonts w:hint="default"/>
                <w:color w:val="auto"/>
                <w:highlight w:val="none"/>
              </w:rPr>
            </w:pPr>
            <w:r>
              <w:rPr>
                <w:rFonts w:hint="eastAsia" w:ascii="宋体" w:hAnsi="宋体" w:cs="宋体"/>
                <w:bCs/>
                <w:color w:val="auto"/>
                <w:sz w:val="24"/>
                <w:highlight w:val="none"/>
              </w:rPr>
              <w:t>本项目不适用。</w:t>
            </w:r>
          </w:p>
        </w:tc>
      </w:tr>
      <w:tr w14:paraId="789A1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44297B6E">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▲验收标准</w:t>
            </w:r>
          </w:p>
        </w:tc>
        <w:tc>
          <w:tcPr>
            <w:tcW w:w="6325" w:type="dxa"/>
            <w:vAlign w:val="center"/>
          </w:tcPr>
          <w:p w14:paraId="46591B61">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bCs/>
                <w:color w:val="auto"/>
                <w:sz w:val="24"/>
                <w:highlight w:val="none"/>
              </w:rPr>
              <w:t>按照中标人提供的投标文件（包括承诺）及中标人和采购人签订的政府采购合同为标准进行验收。</w:t>
            </w:r>
          </w:p>
        </w:tc>
      </w:tr>
      <w:tr w14:paraId="3A08B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7D77C213">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人员培训要求（适用于所有标项）</w:t>
            </w:r>
          </w:p>
        </w:tc>
        <w:tc>
          <w:tcPr>
            <w:tcW w:w="6325" w:type="dxa"/>
            <w:vAlign w:val="center"/>
          </w:tcPr>
          <w:p w14:paraId="780259B9">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bCs/>
                <w:color w:val="auto"/>
                <w:sz w:val="24"/>
                <w:highlight w:val="none"/>
              </w:rPr>
              <w:t>培训工作是整个系统得以正常运行的关键，除了对普通业务人员的专项培训以外，应对系统维护人员进行系统维护的培训。具体培训要求如下：</w:t>
            </w:r>
          </w:p>
          <w:p w14:paraId="1A9DD2CC">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bCs/>
                <w:color w:val="auto"/>
                <w:sz w:val="24"/>
                <w:highlight w:val="none"/>
              </w:rPr>
              <w:t>1.投标人应在投标文件中提出培训计划，计划包括培训项目、人数、地点、日程、资料、其它等详细内容。</w:t>
            </w:r>
          </w:p>
          <w:p w14:paraId="22D85FFB">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bCs/>
                <w:color w:val="auto"/>
                <w:sz w:val="24"/>
                <w:highlight w:val="none"/>
              </w:rPr>
              <w:t>2.技术培训的内容</w:t>
            </w:r>
            <w:r>
              <w:rPr>
                <w:rFonts w:hint="eastAsia" w:ascii="宋体" w:hAnsi="宋体" w:cs="宋体"/>
                <w:bCs/>
                <w:color w:val="auto"/>
                <w:sz w:val="24"/>
                <w:highlight w:val="none"/>
                <w:lang w:val="en-US" w:eastAsia="zh-CN"/>
              </w:rPr>
              <w:t>需</w:t>
            </w:r>
            <w:r>
              <w:rPr>
                <w:rFonts w:hint="eastAsia" w:ascii="宋体" w:hAnsi="宋体" w:cs="宋体"/>
                <w:bCs/>
                <w:color w:val="auto"/>
                <w:sz w:val="24"/>
                <w:highlight w:val="none"/>
              </w:rPr>
              <w:t>包含软件的日常操作和管理维护，以及基本的故障诊断与排错。</w:t>
            </w:r>
          </w:p>
          <w:p w14:paraId="3F26F46F">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bCs/>
                <w:color w:val="auto"/>
                <w:sz w:val="24"/>
                <w:highlight w:val="none"/>
              </w:rPr>
              <w:t>3.培训人员必须是公司的资深工程师。</w:t>
            </w:r>
          </w:p>
        </w:tc>
      </w:tr>
      <w:tr w14:paraId="046C5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3702EAD8">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售后服务要求</w:t>
            </w:r>
          </w:p>
        </w:tc>
        <w:tc>
          <w:tcPr>
            <w:tcW w:w="6325" w:type="dxa"/>
            <w:vAlign w:val="center"/>
          </w:tcPr>
          <w:p w14:paraId="64A700C2">
            <w:pPr>
              <w:keepNext w:val="0"/>
              <w:keepLines w:val="0"/>
              <w:suppressLineNumbers w:val="0"/>
              <w:spacing w:before="0" w:beforeAutospacing="0" w:after="0" w:afterAutospacing="0" w:line="400" w:lineRule="exact"/>
              <w:ind w:left="0" w:right="0"/>
              <w:rPr>
                <w:rFonts w:hint="eastAsia" w:ascii="宋体" w:hAnsi="宋体" w:cs="宋体"/>
                <w:bCs/>
                <w:color w:val="auto"/>
                <w:sz w:val="24"/>
                <w:highlight w:val="none"/>
              </w:rPr>
            </w:pPr>
            <w:r>
              <w:rPr>
                <w:rFonts w:hint="eastAsia" w:ascii="宋体" w:hAnsi="宋体" w:cs="宋体"/>
                <w:bCs/>
                <w:color w:val="auto"/>
                <w:sz w:val="24"/>
                <w:highlight w:val="none"/>
              </w:rPr>
              <w:t>1、投标人必须为本项目内所供应和安装的产品提供一年的免费质保服务。</w:t>
            </w:r>
          </w:p>
          <w:p w14:paraId="75D50364">
            <w:pPr>
              <w:keepNext w:val="0"/>
              <w:keepLines w:val="0"/>
              <w:suppressLineNumbers w:val="0"/>
              <w:spacing w:before="0" w:beforeAutospacing="0" w:after="0" w:afterAutospacing="0" w:line="400" w:lineRule="exact"/>
              <w:ind w:left="0" w:right="0"/>
              <w:rPr>
                <w:rFonts w:hint="eastAsia" w:ascii="宋体" w:hAnsi="宋体" w:cs="宋体"/>
                <w:bCs/>
                <w:color w:val="auto"/>
                <w:sz w:val="24"/>
                <w:highlight w:val="none"/>
              </w:rPr>
            </w:pPr>
            <w:r>
              <w:rPr>
                <w:rFonts w:hint="eastAsia" w:ascii="宋体" w:hAnsi="宋体" w:cs="宋体"/>
                <w:bCs/>
                <w:color w:val="auto"/>
                <w:sz w:val="24"/>
                <w:highlight w:val="none"/>
              </w:rPr>
              <w:t>2、投标人应在投标书中详细列出服务项目清单，对每项服务，需明确服务提供方名称、服务内容、服务方式、服务人员技术要求以及服务响应时间等。</w:t>
            </w:r>
          </w:p>
          <w:p w14:paraId="07F00945">
            <w:pPr>
              <w:keepNext w:val="0"/>
              <w:keepLines w:val="0"/>
              <w:suppressLineNumbers w:val="0"/>
              <w:spacing w:before="0" w:beforeAutospacing="0" w:after="0" w:afterAutospacing="0" w:line="400" w:lineRule="exact"/>
              <w:ind w:left="0" w:right="0"/>
              <w:rPr>
                <w:rFonts w:hint="eastAsia" w:ascii="宋体" w:hAnsi="宋体" w:cs="宋体"/>
                <w:bCs/>
                <w:color w:val="auto"/>
                <w:sz w:val="24"/>
                <w:highlight w:val="none"/>
              </w:rPr>
            </w:pPr>
            <w:r>
              <w:rPr>
                <w:rFonts w:hint="eastAsia" w:ascii="宋体" w:hAnsi="宋体" w:cs="宋体"/>
                <w:bCs/>
                <w:color w:val="auto"/>
                <w:sz w:val="24"/>
                <w:highlight w:val="none"/>
              </w:rPr>
              <w:t>3、投标人必须配有较强的专业技术队伍，能确保现场实施和售后现场服务响应。</w:t>
            </w:r>
          </w:p>
          <w:p w14:paraId="1EA04BF3">
            <w:pPr>
              <w:keepNext w:val="0"/>
              <w:keepLines w:val="0"/>
              <w:suppressLineNumbers w:val="0"/>
              <w:spacing w:before="0" w:beforeAutospacing="0" w:after="0" w:afterAutospacing="0" w:line="400" w:lineRule="exact"/>
              <w:ind w:left="0" w:right="0"/>
              <w:rPr>
                <w:rFonts w:hint="eastAsia" w:ascii="宋体" w:hAnsi="宋体" w:cs="宋体"/>
                <w:bCs/>
                <w:color w:val="auto"/>
                <w:sz w:val="24"/>
                <w:highlight w:val="none"/>
              </w:rPr>
            </w:pPr>
            <w:r>
              <w:rPr>
                <w:rFonts w:hint="eastAsia" w:ascii="宋体" w:hAnsi="宋体" w:cs="宋体"/>
                <w:bCs/>
                <w:color w:val="auto"/>
                <w:sz w:val="24"/>
                <w:highlight w:val="none"/>
              </w:rPr>
              <w:t>4、由于医疗卫生信息系统的特殊性。因此，在接到系统故障通知后，投标人</w:t>
            </w:r>
            <w:r>
              <w:rPr>
                <w:rFonts w:hint="eastAsia" w:ascii="宋体" w:hAnsi="宋体" w:cs="宋体"/>
                <w:bCs/>
                <w:color w:val="auto"/>
                <w:sz w:val="24"/>
                <w:highlight w:val="none"/>
                <w:lang w:val="en-US" w:eastAsia="zh-CN"/>
              </w:rPr>
              <w:t>需</w:t>
            </w:r>
            <w:r>
              <w:rPr>
                <w:rFonts w:hint="eastAsia" w:ascii="宋体" w:hAnsi="宋体" w:cs="宋体"/>
                <w:bCs/>
                <w:color w:val="auto"/>
                <w:sz w:val="24"/>
                <w:highlight w:val="none"/>
              </w:rPr>
              <w:t>在20分钟内响应。对于影响系统正常运行的严重故障，投标人的相关技术人员必须在接到故障通知后2小时内赶到现场，查找原因，提出解决方案，并工作直至故障修妥完全恢复正常工作为止，一般要求保证系统在24小时之内修复，并需要提供确保承诺实现的措施。</w:t>
            </w:r>
          </w:p>
          <w:p w14:paraId="47454ED3">
            <w:pPr>
              <w:keepNext w:val="0"/>
              <w:keepLines w:val="0"/>
              <w:suppressLineNumbers w:val="0"/>
              <w:spacing w:before="0" w:beforeAutospacing="0" w:after="0" w:afterAutospacing="0" w:line="400" w:lineRule="exact"/>
              <w:ind w:left="0" w:right="0"/>
              <w:rPr>
                <w:rFonts w:hint="default" w:ascii="宋体" w:hAnsi="宋体" w:cs="宋体"/>
                <w:bCs/>
                <w:color w:val="auto"/>
                <w:sz w:val="24"/>
                <w:highlight w:val="none"/>
              </w:rPr>
            </w:pPr>
            <w:r>
              <w:rPr>
                <w:rFonts w:hint="eastAsia" w:ascii="宋体" w:hAnsi="宋体" w:cs="宋体"/>
                <w:bCs/>
                <w:color w:val="auto"/>
                <w:sz w:val="24"/>
                <w:highlight w:val="none"/>
              </w:rPr>
              <w:t>5、软件实施期间需专人定点进行实施。质保期间内也需专人定期或不定期参加日常维护工作。</w:t>
            </w:r>
          </w:p>
        </w:tc>
      </w:tr>
      <w:tr w14:paraId="2415E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05F3AF51">
            <w:pPr>
              <w:keepNext w:val="0"/>
              <w:keepLines w:val="0"/>
              <w:suppressLineNumbers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签订合同时间</w:t>
            </w:r>
          </w:p>
        </w:tc>
        <w:tc>
          <w:tcPr>
            <w:tcW w:w="6325" w:type="dxa"/>
            <w:vAlign w:val="center"/>
          </w:tcPr>
          <w:p w14:paraId="009688C1">
            <w:pPr>
              <w:keepNext w:val="0"/>
              <w:keepLines w:val="0"/>
              <w:suppressLineNumbers w:val="0"/>
              <w:spacing w:before="0" w:beforeAutospacing="0" w:after="0" w:afterAutospacing="0" w:line="36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中标通知书发出之日起30日内签订合同，具体签约时间以采购人通知为准。</w:t>
            </w:r>
          </w:p>
        </w:tc>
      </w:tr>
    </w:tbl>
    <w:p w14:paraId="4E49A1FE">
      <w:pPr>
        <w:spacing w:line="360" w:lineRule="auto"/>
        <w:rPr>
          <w:rFonts w:ascii="宋体" w:hAnsi="宋体" w:cs="宋体"/>
          <w:b/>
          <w:bCs/>
          <w:color w:val="auto"/>
          <w:sz w:val="24"/>
          <w:highlight w:val="none"/>
        </w:rPr>
      </w:pPr>
    </w:p>
    <w:p w14:paraId="3C925550">
      <w:pPr>
        <w:pStyle w:val="63"/>
        <w:ind w:firstLine="420"/>
        <w:rPr>
          <w:color w:val="auto"/>
          <w:highlight w:val="none"/>
        </w:rPr>
      </w:pPr>
    </w:p>
    <w:p w14:paraId="54545F0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二、采购要求</w:t>
      </w:r>
    </w:p>
    <w:p w14:paraId="244618F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（一）建设背景</w:t>
      </w:r>
    </w:p>
    <w:p w14:paraId="32D425CF">
      <w:pPr>
        <w:pStyle w:val="63"/>
        <w:spacing w:after="0" w:line="360" w:lineRule="auto"/>
        <w:ind w:left="0" w:leftChars="0" w:firstLine="480"/>
        <w:rPr>
          <w:color w:val="auto"/>
          <w:sz w:val="24"/>
          <w:highlight w:val="none"/>
        </w:rPr>
      </w:pPr>
      <w:r>
        <w:rPr>
          <w:color w:val="auto"/>
          <w:sz w:val="24"/>
          <w:highlight w:val="none"/>
        </w:rPr>
        <w:t>病毒性肝炎是重要的公共卫生问题。在我国严重危害人民群众身体健康的病毒性肝炎包括经消化道传播的甲型肝炎、戊型肝炎和经血液、母婴和性传播的乙型肝炎、丙型肝炎等。为落实习近平总书记关于“对艾滋病、结核病、乙肝和血吸虫病等传统流行重大疾病，要坚持因病施策、各个击破，巩固当前防控成果，不断降低疫情流行水平”的指示精神</w:t>
      </w:r>
      <w:r>
        <w:rPr>
          <w:rFonts w:hint="eastAsia"/>
          <w:color w:val="auto"/>
          <w:sz w:val="24"/>
          <w:highlight w:val="none"/>
        </w:rPr>
        <w:t>，围绕《健康浙江</w:t>
      </w:r>
      <w:r>
        <w:rPr>
          <w:color w:val="auto"/>
          <w:sz w:val="24"/>
          <w:highlight w:val="none"/>
        </w:rPr>
        <w:t>2030行动纲要》要求，实施病毒性肝炎各项防治措施</w:t>
      </w:r>
      <w:r>
        <w:rPr>
          <w:rFonts w:hint="eastAsia"/>
          <w:color w:val="auto"/>
          <w:sz w:val="24"/>
          <w:highlight w:val="none"/>
        </w:rPr>
        <w:t>。</w:t>
      </w:r>
    </w:p>
    <w:p w14:paraId="3947BEA0">
      <w:pPr>
        <w:pStyle w:val="63"/>
        <w:spacing w:after="0" w:line="360" w:lineRule="auto"/>
        <w:ind w:left="0" w:leftChars="0" w:firstLine="480"/>
        <w:rPr>
          <w:color w:val="auto"/>
          <w:sz w:val="24"/>
          <w:highlight w:val="none"/>
        </w:rPr>
      </w:pPr>
      <w:r>
        <w:rPr>
          <w:rFonts w:hint="eastAsia"/>
          <w:color w:val="auto"/>
          <w:sz w:val="24"/>
          <w:highlight w:val="none"/>
        </w:rPr>
        <w:t>根据《浙江省卫生健康委办公室关于印发高血压糖尿病医防融合路径化管理指导意见》（浙卫办发〔</w:t>
      </w:r>
      <w:r>
        <w:rPr>
          <w:color w:val="auto"/>
          <w:sz w:val="24"/>
          <w:highlight w:val="none"/>
        </w:rPr>
        <w:t>2023〕10号），以《国家基层高血压防治管理指南》、《国家基层糖尿病防治管理指南》和国家基本公共卫生服务规范为依据，</w:t>
      </w:r>
      <w:r>
        <w:rPr>
          <w:rFonts w:hint="eastAsia"/>
          <w:color w:val="auto"/>
          <w:sz w:val="24"/>
          <w:highlight w:val="none"/>
        </w:rPr>
        <w:t>以</w:t>
      </w:r>
      <w:r>
        <w:rPr>
          <w:color w:val="auto"/>
          <w:sz w:val="24"/>
          <w:highlight w:val="none"/>
        </w:rPr>
        <w:t>高血压</w:t>
      </w:r>
      <w:r>
        <w:rPr>
          <w:rFonts w:hint="eastAsia"/>
          <w:color w:val="auto"/>
          <w:sz w:val="24"/>
          <w:highlight w:val="none"/>
        </w:rPr>
        <w:t>、</w:t>
      </w:r>
      <w:r>
        <w:rPr>
          <w:color w:val="auto"/>
          <w:sz w:val="24"/>
          <w:highlight w:val="none"/>
        </w:rPr>
        <w:t>糖尿病等慢性病全周期健康管理为突破口，构建医防融合、连续协同和科学有序的分级诊疗格局，引导两慢病患者在基层就诊和健康管理。</w:t>
      </w:r>
    </w:p>
    <w:p w14:paraId="4DE1569F">
      <w:pPr>
        <w:pStyle w:val="63"/>
        <w:spacing w:after="0" w:line="360" w:lineRule="auto"/>
        <w:ind w:left="0" w:leftChars="0" w:firstLine="480"/>
        <w:rPr>
          <w:color w:val="auto"/>
          <w:sz w:val="24"/>
          <w:highlight w:val="none"/>
        </w:rPr>
      </w:pPr>
      <w:r>
        <w:rPr>
          <w:rFonts w:hint="eastAsia"/>
          <w:color w:val="auto"/>
          <w:sz w:val="24"/>
          <w:highlight w:val="none"/>
        </w:rPr>
        <w:t>早期筛查有助于早期诊断肺癌，早期发现，治疗通常更为简单，也意味着更少的并发症和更快的恢复，有助于提高患者的整体生活质量，并显著提高患者的五年生存率。同时早期治疗成本也相对较低，可以提升肺癌防控的社会经济效益，降低整体的医疗支出。有效的早期筛查可以更有效地分配医疗资源，优先对高风险人群进行干预，提高医疗资源的使用效率。</w:t>
      </w:r>
    </w:p>
    <w:p w14:paraId="58CC7538">
      <w:pPr>
        <w:pStyle w:val="63"/>
        <w:spacing w:after="0" w:line="360" w:lineRule="auto"/>
        <w:ind w:left="0" w:leftChars="0" w:firstLine="480"/>
        <w:rPr>
          <w:color w:val="auto"/>
          <w:sz w:val="24"/>
          <w:highlight w:val="none"/>
        </w:rPr>
      </w:pPr>
      <w:r>
        <w:rPr>
          <w:rFonts w:hint="eastAsia"/>
          <w:color w:val="auto"/>
          <w:sz w:val="24"/>
          <w:highlight w:val="none"/>
        </w:rPr>
        <w:t>宁波市海曙区各基层医疗机构需要基于现有的信息化基础，建设海曙区肝病防控系统、两慢病管理系统、肺癌筛查系统升级。解决医生责任分工不明确、工作效率得不到保障、无法有效推进医疗服务的问题，促进完成高质量的肝病防控、肺癌筛查。</w:t>
      </w:r>
    </w:p>
    <w:p w14:paraId="51C50BE4">
      <w:pPr>
        <w:snapToGrid w:val="0"/>
        <w:spacing w:line="360" w:lineRule="auto"/>
        <w:ind w:firstLine="482" w:firstLineChars="200"/>
        <w:outlineLvl w:val="1"/>
        <w:rPr>
          <w:rFonts w:hint="eastAsia" w:ascii="宋体" w:hAnsi="宋体" w:cs="宋体"/>
          <w:b/>
          <w:color w:val="auto"/>
          <w:sz w:val="24"/>
          <w:highlight w:val="none"/>
        </w:rPr>
      </w:pPr>
    </w:p>
    <w:p w14:paraId="28319C00">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（二）建设目标</w:t>
      </w:r>
    </w:p>
    <w:p w14:paraId="4497A0B5">
      <w:pPr>
        <w:snapToGrid w:val="0"/>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以患者为中心、以医疗为主线，以提高海曙区医院经济、社会效益，提高医院科学管理水平，提高医生医疗水平，提高医院医疗、服务质量为基本点，实现医院信息化管理升级的目标。通过海曙区肝病防控系统、两慢病管理系统、肺癌筛查系统升级等系统建设，为患者提供先进的、便捷的、有温度的医疗服务，实现医院高效、科学、人性化运转，从而带动医院医疗和公共卫生全面发展。</w:t>
      </w:r>
    </w:p>
    <w:p w14:paraId="16E8B01C">
      <w:pPr>
        <w:snapToGrid w:val="0"/>
        <w:spacing w:line="360" w:lineRule="auto"/>
        <w:outlineLvl w:val="1"/>
        <w:rPr>
          <w:rFonts w:hint="eastAsia" w:ascii="宋体" w:hAnsi="宋体" w:cs="宋体"/>
          <w:b/>
          <w:color w:val="auto"/>
          <w:sz w:val="24"/>
          <w:highlight w:val="none"/>
        </w:rPr>
      </w:pPr>
    </w:p>
    <w:p w14:paraId="3487BB4E">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（三）建设内容清单</w:t>
      </w:r>
    </w:p>
    <w:tbl>
      <w:tblPr>
        <w:tblStyle w:val="96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81"/>
        <w:gridCol w:w="6345"/>
        <w:gridCol w:w="1360"/>
      </w:tblGrid>
      <w:tr w14:paraId="4F50A5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BEBEBE" w:themeFill="background1" w:themeFillShade="BF"/>
            <w:vAlign w:val="center"/>
          </w:tcPr>
          <w:p w14:paraId="59777713">
            <w:pPr>
              <w:keepNext w:val="0"/>
              <w:keepLines w:val="0"/>
              <w:widowControl w:val="0"/>
              <w:suppressLineNumbers w:val="0"/>
              <w:spacing w:before="0" w:beforeLines="0" w:beforeAutospacing="0" w:after="0" w:afterLines="0" w:afterAutospacing="0"/>
              <w:ind w:left="0" w:right="0" w:firstLine="0"/>
              <w:contextualSpacing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3415" w:type="pct"/>
            <w:shd w:val="clear" w:color="auto" w:fill="BEBEBE" w:themeFill="background1" w:themeFillShade="BF"/>
            <w:vAlign w:val="center"/>
          </w:tcPr>
          <w:p w14:paraId="79B23E1F">
            <w:pPr>
              <w:keepNext w:val="0"/>
              <w:keepLines w:val="0"/>
              <w:widowControl w:val="0"/>
              <w:suppressLineNumbers w:val="0"/>
              <w:spacing w:before="0" w:beforeLines="0" w:beforeAutospacing="0" w:after="0" w:afterLines="0" w:afterAutospacing="0"/>
              <w:ind w:left="0" w:right="0" w:firstLine="0"/>
              <w:contextualSpacing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模块名称</w:t>
            </w:r>
          </w:p>
        </w:tc>
        <w:tc>
          <w:tcPr>
            <w:tcW w:w="732" w:type="pct"/>
            <w:shd w:val="clear" w:color="auto" w:fill="BEBEBE" w:themeFill="background1" w:themeFillShade="BF"/>
            <w:vAlign w:val="center"/>
          </w:tcPr>
          <w:p w14:paraId="6B8E73FA">
            <w:pPr>
              <w:keepNext w:val="0"/>
              <w:keepLines w:val="0"/>
              <w:widowControl w:val="0"/>
              <w:suppressLineNumbers w:val="0"/>
              <w:spacing w:before="0" w:beforeLines="0" w:beforeAutospacing="0" w:after="0" w:afterLines="0" w:afterAutospacing="0"/>
              <w:ind w:left="0" w:right="0" w:firstLine="0"/>
              <w:contextualSpacing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5057F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146A6CBA">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15" w:type="pct"/>
            <w:shd w:val="clear" w:color="auto" w:fill="FFFFFF" w:themeFill="background1"/>
            <w:vAlign w:val="center"/>
          </w:tcPr>
          <w:p w14:paraId="61FA7DA8">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海曙区肝病防控系统</w:t>
            </w:r>
          </w:p>
        </w:tc>
        <w:tc>
          <w:tcPr>
            <w:tcW w:w="732" w:type="pct"/>
            <w:shd w:val="clear" w:color="auto" w:fill="FFFFFF" w:themeFill="background1"/>
            <w:vAlign w:val="center"/>
          </w:tcPr>
          <w:p w14:paraId="12B29B0A">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14:paraId="33AC0E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61DF8879">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15" w:type="pct"/>
            <w:shd w:val="clear" w:color="auto" w:fill="FFFFFF" w:themeFill="background1"/>
            <w:vAlign w:val="center"/>
          </w:tcPr>
          <w:p w14:paraId="69EDB98B">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两慢病管理系统</w:t>
            </w:r>
          </w:p>
        </w:tc>
        <w:tc>
          <w:tcPr>
            <w:tcW w:w="732" w:type="pct"/>
            <w:shd w:val="clear" w:color="auto" w:fill="FFFFFF" w:themeFill="background1"/>
            <w:vAlign w:val="center"/>
          </w:tcPr>
          <w:p w14:paraId="74C19481">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14:paraId="1488E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2A02C5B3">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15" w:type="pct"/>
            <w:shd w:val="clear" w:color="auto" w:fill="FFFFFF" w:themeFill="background1"/>
            <w:vAlign w:val="center"/>
          </w:tcPr>
          <w:p w14:paraId="0CC50E41">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肺癌筛查系统升级</w:t>
            </w:r>
          </w:p>
        </w:tc>
        <w:tc>
          <w:tcPr>
            <w:tcW w:w="732" w:type="pct"/>
            <w:shd w:val="clear" w:color="auto" w:fill="FFFFFF" w:themeFill="background1"/>
            <w:vAlign w:val="center"/>
          </w:tcPr>
          <w:p w14:paraId="5BE72727">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bl>
    <w:p w14:paraId="099DBAC2">
      <w:pPr>
        <w:snapToGrid w:val="0"/>
        <w:spacing w:line="360" w:lineRule="auto"/>
        <w:ind w:firstLine="482" w:firstLineChars="200"/>
        <w:outlineLvl w:val="1"/>
        <w:rPr>
          <w:rFonts w:ascii="宋体" w:hAnsi="宋体" w:cs="宋体"/>
          <w:b/>
          <w:color w:val="auto"/>
          <w:sz w:val="24"/>
          <w:highlight w:val="none"/>
        </w:rPr>
      </w:pPr>
    </w:p>
    <w:p w14:paraId="40BB8E51">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（四）总体技术要求</w:t>
      </w:r>
    </w:p>
    <w:p w14:paraId="1C9ED425">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1、系统应基于</w:t>
      </w:r>
      <w:r>
        <w:rPr>
          <w:rFonts w:hint="eastAsia" w:ascii="宋体" w:hAnsi="宋体" w:cs="宋体"/>
          <w:bCs/>
          <w:color w:val="auto"/>
          <w:sz w:val="24"/>
          <w:highlight w:val="none"/>
        </w:rPr>
        <w:t>海曙区</w:t>
      </w:r>
      <w:r>
        <w:rPr>
          <w:rFonts w:ascii="宋体" w:hAnsi="宋体" w:cs="宋体"/>
          <w:bCs/>
          <w:color w:val="auto"/>
          <w:sz w:val="24"/>
          <w:highlight w:val="none"/>
        </w:rPr>
        <w:t>现有信息化建设基础，包括：硬件、网络、软件系统平台和数据库环境等，在现有信息化基础上充分考虑医院现状。</w:t>
      </w:r>
    </w:p>
    <w:p w14:paraId="2361A42C">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w:t>
      </w:r>
      <w:r>
        <w:rPr>
          <w:rFonts w:hint="eastAsia" w:ascii="宋体" w:hAnsi="宋体" w:cs="宋体"/>
          <w:bCs/>
          <w:color w:val="auto"/>
          <w:sz w:val="24"/>
          <w:highlight w:val="none"/>
        </w:rPr>
        <w:t>、</w:t>
      </w:r>
      <w:r>
        <w:rPr>
          <w:rFonts w:ascii="宋体" w:hAnsi="宋体" w:cs="宋体"/>
          <w:bCs/>
          <w:color w:val="auto"/>
          <w:sz w:val="24"/>
          <w:highlight w:val="none"/>
        </w:rPr>
        <w:t>项目建设包含需求调研、软件设计、系统开发、测试、实施部署、培训、维护、税费等所有费用，即一直到整个项目调试验收合格交付业主使用，招标人不再另行支付费用。</w:t>
      </w:r>
    </w:p>
    <w:p w14:paraId="49C10136">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w:t>
      </w:r>
      <w:r>
        <w:rPr>
          <w:rFonts w:ascii="宋体" w:hAnsi="宋体" w:cs="宋体"/>
          <w:bCs/>
          <w:color w:val="auto"/>
          <w:sz w:val="24"/>
          <w:highlight w:val="none"/>
        </w:rPr>
        <w:t>软件设计严格执行国家有关软件工程的标准，保证系统质量，提供完整、准确、详细的产品说明书，应用设计符合国际、国家、医疗卫生行业有关标准、规范和医院自身的发展规划。</w:t>
      </w:r>
    </w:p>
    <w:p w14:paraId="66D8C73F">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w:t>
      </w:r>
      <w:r>
        <w:rPr>
          <w:rFonts w:ascii="宋体" w:hAnsi="宋体" w:cs="宋体"/>
          <w:bCs/>
          <w:color w:val="auto"/>
          <w:sz w:val="24"/>
          <w:highlight w:val="none"/>
        </w:rPr>
        <w:t>系统间的整合：投标系统应实现与</w:t>
      </w:r>
      <w:r>
        <w:rPr>
          <w:rFonts w:hint="eastAsia" w:ascii="宋体" w:hAnsi="宋体" w:cs="宋体"/>
          <w:bCs/>
          <w:color w:val="auto"/>
          <w:sz w:val="24"/>
          <w:highlight w:val="none"/>
        </w:rPr>
        <w:t>各医疗机构</w:t>
      </w:r>
      <w:r>
        <w:rPr>
          <w:rFonts w:ascii="宋体" w:hAnsi="宋体" w:cs="宋体"/>
          <w:bCs/>
          <w:color w:val="auto"/>
          <w:sz w:val="24"/>
          <w:highlight w:val="none"/>
        </w:rPr>
        <w:t>目前使用的HIS系统的高度集成，投标人的投标价应包含支付给HIS软件供应商的接口费用。</w:t>
      </w:r>
    </w:p>
    <w:p w14:paraId="5315B8FE">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5</w:t>
      </w:r>
      <w:r>
        <w:rPr>
          <w:rFonts w:hint="eastAsia" w:ascii="宋体" w:hAnsi="宋体" w:cs="宋体"/>
          <w:bCs/>
          <w:color w:val="auto"/>
          <w:sz w:val="24"/>
          <w:highlight w:val="none"/>
        </w:rPr>
        <w:t>、</w:t>
      </w:r>
      <w:r>
        <w:rPr>
          <w:rFonts w:ascii="宋体" w:hAnsi="宋体" w:cs="宋体"/>
          <w:bCs/>
          <w:color w:val="auto"/>
          <w:sz w:val="24"/>
          <w:highlight w:val="none"/>
        </w:rPr>
        <w:t>中标单位提供的所有产品所涉及到的知识产权和所提供的软件、技术资料是合法取得，不会因为采购人的使用而被责令停止使用、追偿或者要求赔偿，如出现上述问题，一切经济损失和法律责任均由中标人承担。</w:t>
      </w:r>
    </w:p>
    <w:p w14:paraId="790DB528">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6</w:t>
      </w:r>
      <w:r>
        <w:rPr>
          <w:rFonts w:hint="eastAsia" w:ascii="宋体" w:hAnsi="宋体" w:cs="宋体"/>
          <w:bCs/>
          <w:color w:val="auto"/>
          <w:sz w:val="24"/>
          <w:highlight w:val="none"/>
        </w:rPr>
        <w:t>、招</w:t>
      </w:r>
      <w:r>
        <w:rPr>
          <w:rFonts w:ascii="宋体" w:hAnsi="宋体" w:cs="宋体"/>
          <w:bCs/>
          <w:color w:val="auto"/>
          <w:sz w:val="24"/>
          <w:highlight w:val="none"/>
        </w:rPr>
        <w:t>标人监督和管理投标项目的测试、安装、调试、故障诊断、系统开发和验收等各项工作，投标人必须接受并服从招标人的监督、管理要求，无条件提供中间过程工作成果。</w:t>
      </w:r>
    </w:p>
    <w:p w14:paraId="25FB4908">
      <w:pPr>
        <w:snapToGrid w:val="0"/>
        <w:spacing w:line="360" w:lineRule="auto"/>
        <w:ind w:firstLine="482" w:firstLineChars="200"/>
        <w:outlineLvl w:val="1"/>
        <w:rPr>
          <w:rFonts w:ascii="宋体" w:hAnsi="宋体" w:cs="宋体"/>
          <w:b/>
          <w:color w:val="auto"/>
          <w:sz w:val="24"/>
          <w:highlight w:val="none"/>
        </w:rPr>
      </w:pPr>
    </w:p>
    <w:p w14:paraId="2879D6C1">
      <w:pPr>
        <w:pageBreakBefore w:val="0"/>
        <w:kinsoku/>
        <w:wordWrap/>
        <w:overflowPunct/>
        <w:topLinePunct w:val="0"/>
        <w:autoSpaceDE/>
        <w:autoSpaceDN/>
        <w:bidi w:val="0"/>
        <w:snapToGrid w:val="0"/>
        <w:spacing w:line="360" w:lineRule="auto"/>
        <w:ind w:lef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（五）详细技术要求</w:t>
      </w:r>
      <w:bookmarkStart w:id="64" w:name="_Hlk135067575"/>
    </w:p>
    <w:bookmarkEnd w:id="64"/>
    <w:p w14:paraId="2530795A">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5.1</w:t>
      </w:r>
      <w:r>
        <w:rPr>
          <w:rFonts w:hint="eastAsia" w:ascii="宋体" w:hAnsi="宋体" w:eastAsia="宋体" w:cs="宋体"/>
          <w:b/>
          <w:bCs w:val="0"/>
          <w:color w:val="auto"/>
          <w:kern w:val="2"/>
          <w:sz w:val="24"/>
          <w:szCs w:val="24"/>
          <w:highlight w:val="none"/>
        </w:rPr>
        <w:t>海曙区肝病防控系统</w:t>
      </w:r>
    </w:p>
    <w:p w14:paraId="3B26ABCE">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5.1.1</w:t>
      </w:r>
      <w:r>
        <w:rPr>
          <w:rFonts w:hint="eastAsia" w:ascii="宋体" w:hAnsi="宋体" w:eastAsia="宋体" w:cs="宋体"/>
          <w:b/>
          <w:bCs w:val="0"/>
          <w:color w:val="auto"/>
          <w:kern w:val="2"/>
          <w:sz w:val="24"/>
          <w:szCs w:val="24"/>
          <w:highlight w:val="none"/>
        </w:rPr>
        <w:t>疾病筛查</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4"/>
        <w:gridCol w:w="1108"/>
        <w:gridCol w:w="1160"/>
        <w:gridCol w:w="5324"/>
      </w:tblGrid>
      <w:tr w14:paraId="774F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14:paraId="48BB71E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268"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7F2A341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324" w:type="dxa"/>
            <w:tcBorders>
              <w:top w:val="single" w:color="auto" w:sz="4" w:space="0"/>
              <w:left w:val="single" w:color="auto" w:sz="4" w:space="0"/>
              <w:bottom w:val="single" w:color="auto" w:sz="4" w:space="0"/>
              <w:right w:val="single" w:color="auto" w:sz="4" w:space="0"/>
            </w:tcBorders>
            <w:shd w:val="clear" w:color="auto" w:fill="D8D8D8"/>
            <w:vAlign w:val="center"/>
          </w:tcPr>
          <w:p w14:paraId="4E76BB5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1C60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6F06198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5D58786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筛查知识库管理</w:t>
            </w: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04177E4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筛查规则管理</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72EB962D">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支持查询、编辑、查看专项疾病的筛查规则内容</w:t>
            </w:r>
          </w:p>
        </w:tc>
      </w:tr>
      <w:tr w14:paraId="7224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0A1EC40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4266045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6A6E34F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7F2FA72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支持新增专项疾病的筛查规则，包括配置多个指标条件和多个规则</w:t>
            </w:r>
          </w:p>
        </w:tc>
      </w:tr>
      <w:tr w14:paraId="280D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1E4CE72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150A2C4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1208971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5ECA417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支持删除设置好的筛查规则，提供确认删除功能，避免筛查规则误删</w:t>
            </w:r>
          </w:p>
        </w:tc>
      </w:tr>
      <w:tr w14:paraId="3EC3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4D73138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3E3ED4D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5BC4096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筛查标准值域管理</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1D50F5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支持对检查、检验、ICD、症状、诊断以及基础信息的指标的维护功能</w:t>
            </w:r>
          </w:p>
        </w:tc>
      </w:tr>
      <w:tr w14:paraId="40A8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7570FAE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7A528C0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7FC9FB1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1A5D84E1">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提供数据标准化工具，对疾病指标在不同机构进行归一处理</w:t>
            </w:r>
          </w:p>
        </w:tc>
      </w:tr>
      <w:tr w14:paraId="52D7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38738F5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28BE99E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17CE22A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3C17E35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支持多类型指标的新增操作，提供批量导入指标的功能</w:t>
            </w:r>
          </w:p>
        </w:tc>
      </w:tr>
      <w:tr w14:paraId="07E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6F395C3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589ED58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0713B06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505A5CC">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支持指标自动、手动匹配其标准值域，匹配结果支持审核</w:t>
            </w:r>
          </w:p>
        </w:tc>
      </w:tr>
      <w:tr w14:paraId="17AA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597B699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359E2B3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5B3E9BD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6FB3AE9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支持多类型指标的编辑、删除等操作</w:t>
            </w:r>
          </w:p>
        </w:tc>
      </w:tr>
      <w:tr w14:paraId="7FD2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0A01250A">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37CD6AA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筛查预警管理</w:t>
            </w: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4E57EA59">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筛查任务调度管理</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5E49162A">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支持根据筛查规则自动生成调度任务</w:t>
            </w:r>
          </w:p>
        </w:tc>
      </w:tr>
      <w:tr w14:paraId="32C5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1C44A22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3371574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30106BC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4ABB944E">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支持灵活调整筛查周期，以应对不同的筛查需求</w:t>
            </w:r>
          </w:p>
        </w:tc>
      </w:tr>
      <w:tr w14:paraId="738B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406BB66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5A2AC6C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2886C90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ABEA38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支持筛查任务的查询、启停、跟踪等功能</w:t>
            </w:r>
          </w:p>
        </w:tc>
      </w:tr>
      <w:tr w14:paraId="6897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0F8E5C7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3E8384F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5F02898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疑似人群管理</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D7D436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提供疑似人群列表，用于查看、管理、排除疑似患者</w:t>
            </w:r>
          </w:p>
        </w:tc>
      </w:tr>
      <w:tr w14:paraId="3716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57B8BC4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5B2DDF1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2C1CA74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64930BA1">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支持在疑似人群列表中根据关键词或条件查询目标疑似人群或者疑似个案信息</w:t>
            </w:r>
          </w:p>
        </w:tc>
      </w:tr>
      <w:tr w14:paraId="45DB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7C0EAB9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1213D2F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22AC0AD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6A6162D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提供查询结果导出功能，并可查看历史导出记录</w:t>
            </w:r>
          </w:p>
        </w:tc>
      </w:tr>
      <w:tr w14:paraId="4912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2510608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0003A18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070ED7F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分层人群管理</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620F8DF">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提供风险分层人群列表，支持查看患者的健康档案</w:t>
            </w:r>
          </w:p>
        </w:tc>
      </w:tr>
      <w:tr w14:paraId="0E1C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6124C3B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2DDE27E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0BA7EA2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D2F417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支持在风险分层人群列表中根据关键词或条件查询目标风险分层人群或者个案信息</w:t>
            </w:r>
          </w:p>
        </w:tc>
      </w:tr>
      <w:tr w14:paraId="5C6B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2696438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0AE5578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16404AD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E4F38DD">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提供查询结果导出功能，并可查看历史导出记录</w:t>
            </w:r>
          </w:p>
        </w:tc>
      </w:tr>
      <w:tr w14:paraId="642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6351FCB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14:paraId="4177715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14:paraId="0BB4256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63005258">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支持查看患者的下发情况，便于医护人员实时跟进患者状态</w:t>
            </w:r>
          </w:p>
        </w:tc>
      </w:tr>
    </w:tbl>
    <w:p w14:paraId="32D1296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7A223253">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5.1.2筛查跟进</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4"/>
        <w:gridCol w:w="1168"/>
        <w:gridCol w:w="1242"/>
        <w:gridCol w:w="5182"/>
      </w:tblGrid>
      <w:tr w14:paraId="1723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14:paraId="61821A80">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410"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42A97479">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182" w:type="dxa"/>
            <w:tcBorders>
              <w:top w:val="single" w:color="auto" w:sz="4" w:space="0"/>
              <w:left w:val="single" w:color="auto" w:sz="4" w:space="0"/>
              <w:bottom w:val="single" w:color="auto" w:sz="4" w:space="0"/>
              <w:right w:val="single" w:color="auto" w:sz="4" w:space="0"/>
            </w:tcBorders>
            <w:shd w:val="clear" w:color="auto" w:fill="D8D8D8"/>
            <w:vAlign w:val="center"/>
          </w:tcPr>
          <w:p w14:paraId="4446833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35EC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2CC00A3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168" w:type="dxa"/>
            <w:vMerge w:val="restart"/>
            <w:tcBorders>
              <w:top w:val="nil"/>
              <w:left w:val="single" w:color="auto" w:sz="4" w:space="0"/>
              <w:bottom w:val="single" w:color="auto" w:sz="4" w:space="0"/>
              <w:right w:val="single" w:color="auto" w:sz="4" w:space="0"/>
            </w:tcBorders>
            <w:shd w:val="clear" w:color="auto" w:fill="auto"/>
            <w:vAlign w:val="center"/>
          </w:tcPr>
          <w:p w14:paraId="69C98F9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管理机构分配</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4A3A08C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自动下发</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76DAE20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支持根据规则快速将患者信息下发到对应的社区卫生服务中心</w:t>
            </w:r>
          </w:p>
        </w:tc>
      </w:tr>
      <w:tr w14:paraId="47F0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5C87732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12398D7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F04C84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手动下发</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7E7A7008">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支持管理医生手动下发患者信息到对应的社区卫生服务中心</w:t>
            </w:r>
          </w:p>
        </w:tc>
      </w:tr>
      <w:tr w14:paraId="08EA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3745544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28ECF43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0C5D4519">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患者详情</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08A63E0C">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支持管理人员可以方便地查看患者的个人信息、初筛情况、签约情况、签约团队，等重要信息</w:t>
            </w:r>
          </w:p>
        </w:tc>
      </w:tr>
      <w:tr w14:paraId="39FE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5AFDC94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432AA21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C697F89">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患者排除</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5AACDFC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支持患者排除功能，以便管理人员能够将特定患者排除在分配范围之外</w:t>
            </w:r>
          </w:p>
        </w:tc>
      </w:tr>
      <w:tr w14:paraId="3512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37E75ED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03323DE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323EC25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信息编辑</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01B0FEE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允许管理人员对患者信息进行必要的编辑和更新</w:t>
            </w:r>
          </w:p>
        </w:tc>
      </w:tr>
      <w:tr w14:paraId="67E5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24A31E8F">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168" w:type="dxa"/>
            <w:vMerge w:val="restart"/>
            <w:tcBorders>
              <w:top w:val="nil"/>
              <w:left w:val="single" w:color="auto" w:sz="4" w:space="0"/>
              <w:bottom w:val="single" w:color="auto" w:sz="4" w:space="0"/>
              <w:right w:val="single" w:color="auto" w:sz="4" w:space="0"/>
            </w:tcBorders>
            <w:shd w:val="clear" w:color="auto" w:fill="auto"/>
            <w:vAlign w:val="center"/>
          </w:tcPr>
          <w:p w14:paraId="2EBB60A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责任医生分配</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6A79DBF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状态查询</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66AA7268">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支持管理员可以通过系统进行状态查询，以获取患者的当前状态</w:t>
            </w:r>
          </w:p>
        </w:tc>
      </w:tr>
      <w:tr w14:paraId="0BBE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3373ED6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39A7015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0C5FCBA0">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分配医生</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49A601CE">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支撑将待分配状态的患者分配给合适的责任医生进行管理</w:t>
            </w:r>
          </w:p>
        </w:tc>
      </w:tr>
      <w:tr w14:paraId="759D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3C3AE5A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483DA17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DF8CDB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患者重新分配</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021FBCD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允许社区管理员对新增的患者进行重新分配</w:t>
            </w:r>
          </w:p>
        </w:tc>
      </w:tr>
      <w:tr w14:paraId="191A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28F8BA2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1DA3D1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39D678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批量分配</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06DF9989">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支持一次性分配多个患者给医生</w:t>
            </w:r>
          </w:p>
        </w:tc>
      </w:tr>
      <w:tr w14:paraId="32FC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57DA1A9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168E4E1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E63C22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患者查看</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5F2DD7B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支持查看患者的个人信息、初筛情况、签约情况、签约团队，等重要信息</w:t>
            </w:r>
          </w:p>
        </w:tc>
      </w:tr>
      <w:tr w14:paraId="5DF1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6EFB633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5124941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978C0F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患者编辑</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30E1CB4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允许社区管理人员对患者信息进行必要的编辑和更新</w:t>
            </w:r>
          </w:p>
        </w:tc>
      </w:tr>
      <w:tr w14:paraId="6B3F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2A9F910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449B532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6175AC1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患者排除</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52EFD0E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支持患者排除功能，以便社区管理人员能够将特定患者排除在分配范围之外</w:t>
            </w:r>
          </w:p>
        </w:tc>
      </w:tr>
      <w:tr w14:paraId="6F71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6BF475D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168" w:type="dxa"/>
            <w:vMerge w:val="restart"/>
            <w:tcBorders>
              <w:top w:val="nil"/>
              <w:left w:val="single" w:color="auto" w:sz="4" w:space="0"/>
              <w:bottom w:val="single" w:color="auto" w:sz="4" w:space="0"/>
              <w:right w:val="single" w:color="auto" w:sz="4" w:space="0"/>
            </w:tcBorders>
            <w:shd w:val="clear" w:color="auto" w:fill="auto"/>
            <w:vAlign w:val="center"/>
          </w:tcPr>
          <w:p w14:paraId="3838A8FF">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疑似人员体检跟进</w:t>
            </w:r>
          </w:p>
        </w:tc>
        <w:tc>
          <w:tcPr>
            <w:tcW w:w="1242" w:type="dxa"/>
            <w:tcBorders>
              <w:top w:val="single" w:color="auto" w:sz="4" w:space="0"/>
              <w:left w:val="single" w:color="auto" w:sz="4" w:space="0"/>
              <w:bottom w:val="single" w:color="auto" w:sz="4" w:space="0"/>
              <w:right w:val="single" w:color="auto" w:sz="4" w:space="0"/>
            </w:tcBorders>
            <w:shd w:val="clear" w:color="auto" w:fill="FFFFFF"/>
            <w:vAlign w:val="center"/>
          </w:tcPr>
          <w:p w14:paraId="0F59B1F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跟进列表</w:t>
            </w:r>
          </w:p>
        </w:tc>
        <w:tc>
          <w:tcPr>
            <w:tcW w:w="5182" w:type="dxa"/>
            <w:tcBorders>
              <w:top w:val="single" w:color="auto" w:sz="4" w:space="0"/>
              <w:left w:val="single" w:color="auto" w:sz="4" w:space="0"/>
              <w:bottom w:val="single" w:color="auto" w:sz="4" w:space="0"/>
              <w:right w:val="single" w:color="auto" w:sz="4" w:space="0"/>
            </w:tcBorders>
            <w:shd w:val="clear" w:color="auto" w:fill="FFFFFF"/>
            <w:vAlign w:val="center"/>
          </w:tcPr>
          <w:p w14:paraId="788A7DCF">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支持查看疑似人员列表，列表信息与体检信息同步，支持查看体检状态，和体检信息</w:t>
            </w:r>
          </w:p>
        </w:tc>
      </w:tr>
      <w:tr w14:paraId="2E6A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5A26A28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019B16A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036B909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跟进操作</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0874FE6A">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用于管理疑似人群的后续跟进过程，包括通知患者体检、建档等</w:t>
            </w:r>
          </w:p>
        </w:tc>
      </w:tr>
      <w:tr w14:paraId="6BD6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14:paraId="5CA30B7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68" w:type="dxa"/>
            <w:vMerge w:val="continue"/>
            <w:tcBorders>
              <w:top w:val="nil"/>
              <w:left w:val="single" w:color="auto" w:sz="4" w:space="0"/>
              <w:bottom w:val="single" w:color="auto" w:sz="4" w:space="0"/>
              <w:right w:val="single" w:color="auto" w:sz="4" w:space="0"/>
            </w:tcBorders>
            <w:shd w:val="clear" w:color="auto" w:fill="auto"/>
            <w:vAlign w:val="center"/>
          </w:tcPr>
          <w:p w14:paraId="2C22894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4F7A64D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名单导出</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14:paraId="0CEBBADD">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支持将特定状态的患者名单导出为文件</w:t>
            </w:r>
          </w:p>
        </w:tc>
      </w:tr>
    </w:tbl>
    <w:p w14:paraId="30F2E30D">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42F454F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5.1.3疾病管理</w:t>
      </w:r>
    </w:p>
    <w:tbl>
      <w:tblPr>
        <w:tblStyle w:val="64"/>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2"/>
        <w:gridCol w:w="1113"/>
        <w:gridCol w:w="1471"/>
        <w:gridCol w:w="4978"/>
      </w:tblGrid>
      <w:tr w14:paraId="609D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782" w:type="dxa"/>
            <w:tcBorders>
              <w:top w:val="single" w:color="auto" w:sz="4" w:space="0"/>
              <w:left w:val="single" w:color="auto" w:sz="4" w:space="0"/>
              <w:bottom w:val="single" w:color="auto" w:sz="4" w:space="0"/>
              <w:right w:val="single" w:color="auto" w:sz="4" w:space="0"/>
            </w:tcBorders>
            <w:shd w:val="clear" w:color="auto" w:fill="D8D8D8"/>
            <w:vAlign w:val="center"/>
          </w:tcPr>
          <w:p w14:paraId="5225D7B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bookmarkStart w:id="65" w:name="_Hlk166315234"/>
            <w:r>
              <w:rPr>
                <w:rFonts w:hint="eastAsia" w:ascii="宋体" w:hAnsi="宋体" w:eastAsia="宋体" w:cs="宋体"/>
                <w:color w:val="auto"/>
                <w:kern w:val="2"/>
                <w:sz w:val="24"/>
                <w:szCs w:val="24"/>
                <w:highlight w:val="none"/>
                <w:lang w:val="en-US" w:eastAsia="zh-CN" w:bidi="ar"/>
              </w:rPr>
              <w:t>序号</w:t>
            </w:r>
            <w:bookmarkEnd w:id="65"/>
          </w:p>
        </w:tc>
        <w:tc>
          <w:tcPr>
            <w:tcW w:w="2584"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3C3E8B8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4978" w:type="dxa"/>
            <w:tcBorders>
              <w:top w:val="single" w:color="auto" w:sz="4" w:space="0"/>
              <w:left w:val="single" w:color="auto" w:sz="4" w:space="0"/>
              <w:bottom w:val="single" w:color="auto" w:sz="4" w:space="0"/>
              <w:right w:val="single" w:color="auto" w:sz="4" w:space="0"/>
            </w:tcBorders>
            <w:shd w:val="clear" w:color="auto" w:fill="D8D8D8"/>
            <w:vAlign w:val="center"/>
          </w:tcPr>
          <w:p w14:paraId="1F5B304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5076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14:paraId="2AB9DA4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14:paraId="7609BE7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疾病管理卡</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2C92B39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管理患者列表</w:t>
            </w:r>
          </w:p>
        </w:tc>
        <w:tc>
          <w:tcPr>
            <w:tcW w:w="4978" w:type="dxa"/>
            <w:tcBorders>
              <w:top w:val="single" w:color="auto" w:sz="4" w:space="0"/>
              <w:left w:val="single" w:color="auto" w:sz="4" w:space="0"/>
              <w:bottom w:val="single" w:color="auto" w:sz="4" w:space="0"/>
              <w:right w:val="single" w:color="auto" w:sz="4" w:space="0"/>
            </w:tcBorders>
            <w:shd w:val="clear" w:color="auto" w:fill="auto"/>
            <w:vAlign w:val="center"/>
          </w:tcPr>
          <w:p w14:paraId="1166DB9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提供直观界面用于患者的筛选、查看、搜索，支持快速访问患者的信息</w:t>
            </w:r>
          </w:p>
        </w:tc>
      </w:tr>
      <w:tr w14:paraId="6051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0564217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79FA47D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19438F6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患者专病管理卡</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4B95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支持医生新建患者专病管理卡，包含患者的病情描述、诊断结果、治疗方案、用药情况等详细信息</w:t>
            </w:r>
          </w:p>
        </w:tc>
      </w:tr>
      <w:tr w14:paraId="3939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65A3AB3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0080EED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59BBACA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自动生成随访计划</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47A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支持根据随访规则自动生成患者的随访计划，并以时间轴的形式呈现患者的随访计划</w:t>
            </w:r>
          </w:p>
        </w:tc>
      </w:tr>
      <w:tr w14:paraId="1294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6411A80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6ABF791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312CD27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可视化指标变化</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0F73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支持医生通过图表、曲线等可视化工具，直观地观察患者的疾病指标变化趋势</w:t>
            </w:r>
          </w:p>
        </w:tc>
      </w:tr>
      <w:tr w14:paraId="5A6C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168A7C3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2363CF7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3AFD081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档案迁移</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0DE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支持医生开展档案迁移工作</w:t>
            </w:r>
          </w:p>
        </w:tc>
      </w:tr>
      <w:tr w14:paraId="2B0A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3A6DED0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64EBAB8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7CBCC01A">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患者数据生命周期</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262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支持查看患者从筛查到建档和随访的整个数据生命周期</w:t>
            </w:r>
          </w:p>
        </w:tc>
      </w:tr>
      <w:tr w14:paraId="0B26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378C238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6932377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2E60CA2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退出管理</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71EEF">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用于患者疾病管理的终止</w:t>
            </w:r>
          </w:p>
        </w:tc>
      </w:tr>
      <w:tr w14:paraId="6319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14:paraId="5C84B584">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14:paraId="2CCEEB00">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疾病分级</w:t>
            </w:r>
          </w:p>
        </w:tc>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08EC993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待分级列表</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EDF8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提供待分级列表，用于医生查看待评估的患者信息</w:t>
            </w:r>
          </w:p>
        </w:tc>
      </w:tr>
      <w:tr w14:paraId="6B50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4022396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086E46B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55E3E48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6142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支持医生根据紧急程度筛选患者</w:t>
            </w:r>
          </w:p>
        </w:tc>
      </w:tr>
      <w:tr w14:paraId="7652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4613428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43BEE2D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2C92B29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患者分级记录</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9F89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支持医生对患者进行疾病分级评估时自动记录相关信息，包括分级结果、评估日期等内容</w:t>
            </w:r>
          </w:p>
        </w:tc>
      </w:tr>
      <w:tr w14:paraId="76EF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043A1DD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0E130D1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3F7BDF5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9390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支持对记录进行搜索、排序和筛选，以便更好地管理和分析患者的分级历史</w:t>
            </w:r>
          </w:p>
        </w:tc>
      </w:tr>
      <w:tr w14:paraId="7783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1726D92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013C22E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73C2F52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新增分级</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D27C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提供新增患者分级的功能</w:t>
            </w:r>
          </w:p>
        </w:tc>
      </w:tr>
      <w:tr w14:paraId="4CAC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501C195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2C3EA61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4F5AF2C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引入指标</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4D719">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支持引入一系列指标，方便医生进行疾病分级评估</w:t>
            </w:r>
          </w:p>
        </w:tc>
      </w:tr>
      <w:tr w14:paraId="27F7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4A6C5E7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39E8DD0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53E7104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自动评估</w:t>
            </w:r>
          </w:p>
        </w:tc>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A750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基于事先设定的算法和规则，支持对患者的疾病进行自动评估</w:t>
            </w:r>
          </w:p>
        </w:tc>
      </w:tr>
      <w:tr w14:paraId="6367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tcBorders>
              <w:top w:val="nil"/>
              <w:left w:val="single" w:color="auto" w:sz="4" w:space="0"/>
              <w:bottom w:val="single" w:color="auto" w:sz="4" w:space="0"/>
              <w:right w:val="single" w:color="auto" w:sz="4" w:space="0"/>
            </w:tcBorders>
            <w:shd w:val="clear" w:color="auto" w:fill="auto"/>
            <w:vAlign w:val="center"/>
          </w:tcPr>
          <w:p w14:paraId="583AF11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14:paraId="36E904A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疾病随访</w:t>
            </w:r>
          </w:p>
        </w:tc>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4968BB5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待随访列表</w:t>
            </w:r>
          </w:p>
        </w:tc>
        <w:tc>
          <w:tcPr>
            <w:tcW w:w="4978" w:type="dxa"/>
            <w:tcBorders>
              <w:top w:val="single" w:color="auto" w:sz="4" w:space="0"/>
              <w:left w:val="single" w:color="auto" w:sz="4" w:space="0"/>
              <w:bottom w:val="single" w:color="auto" w:sz="4" w:space="0"/>
              <w:right w:val="single" w:color="auto" w:sz="4" w:space="0"/>
            </w:tcBorders>
            <w:shd w:val="clear" w:color="auto" w:fill="auto"/>
            <w:vAlign w:val="center"/>
          </w:tcPr>
          <w:p w14:paraId="2070FDB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提供待随访列表，便于医生查看待随访的患者清单</w:t>
            </w:r>
          </w:p>
        </w:tc>
      </w:tr>
      <w:tr w14:paraId="2D27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125A451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2662490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0CC168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4978" w:type="dxa"/>
            <w:tcBorders>
              <w:top w:val="single" w:color="auto" w:sz="4" w:space="0"/>
              <w:left w:val="single" w:color="auto" w:sz="4" w:space="0"/>
              <w:bottom w:val="single" w:color="auto" w:sz="4" w:space="0"/>
              <w:right w:val="single" w:color="auto" w:sz="4" w:space="0"/>
            </w:tcBorders>
            <w:shd w:val="clear" w:color="auto" w:fill="auto"/>
            <w:vAlign w:val="center"/>
          </w:tcPr>
          <w:p w14:paraId="5C72BC7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支持根据不同标准进行排序和筛选</w:t>
            </w:r>
          </w:p>
        </w:tc>
      </w:tr>
      <w:tr w14:paraId="6A26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333A70B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36EC81D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5524A8A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随访记录</w:t>
            </w:r>
          </w:p>
        </w:tc>
        <w:tc>
          <w:tcPr>
            <w:tcW w:w="4978" w:type="dxa"/>
            <w:tcBorders>
              <w:top w:val="single" w:color="auto" w:sz="4" w:space="0"/>
              <w:left w:val="single" w:color="auto" w:sz="4" w:space="0"/>
              <w:bottom w:val="single" w:color="auto" w:sz="4" w:space="0"/>
              <w:right w:val="single" w:color="auto" w:sz="4" w:space="0"/>
            </w:tcBorders>
            <w:shd w:val="clear" w:color="auto" w:fill="auto"/>
            <w:vAlign w:val="center"/>
          </w:tcPr>
          <w:p w14:paraId="6FB3C42D">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支持记录每次随访的详细信息，包括患者的症状、体征、实验室数据、药物使用情况等内容</w:t>
            </w:r>
          </w:p>
        </w:tc>
      </w:tr>
      <w:tr w14:paraId="04CD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760131A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68C2C65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4C7E979F">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新增随访</w:t>
            </w:r>
          </w:p>
        </w:tc>
        <w:tc>
          <w:tcPr>
            <w:tcW w:w="4978" w:type="dxa"/>
            <w:tcBorders>
              <w:top w:val="single" w:color="auto" w:sz="4" w:space="0"/>
              <w:left w:val="single" w:color="auto" w:sz="4" w:space="0"/>
              <w:bottom w:val="single" w:color="auto" w:sz="4" w:space="0"/>
              <w:right w:val="single" w:color="auto" w:sz="4" w:space="0"/>
            </w:tcBorders>
            <w:shd w:val="clear" w:color="auto" w:fill="auto"/>
            <w:vAlign w:val="center"/>
          </w:tcPr>
          <w:p w14:paraId="672B128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支持医生根据实际需要新增随访记录</w:t>
            </w:r>
          </w:p>
        </w:tc>
      </w:tr>
      <w:tr w14:paraId="5A07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22DDE6F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3458974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3C215F8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随访指标引入</w:t>
            </w:r>
          </w:p>
        </w:tc>
        <w:tc>
          <w:tcPr>
            <w:tcW w:w="4978" w:type="dxa"/>
            <w:tcBorders>
              <w:top w:val="single" w:color="auto" w:sz="4" w:space="0"/>
              <w:left w:val="single" w:color="auto" w:sz="4" w:space="0"/>
              <w:bottom w:val="single" w:color="auto" w:sz="4" w:space="0"/>
              <w:right w:val="single" w:color="auto" w:sz="4" w:space="0"/>
            </w:tcBorders>
            <w:shd w:val="clear" w:color="auto" w:fill="auto"/>
            <w:vAlign w:val="center"/>
          </w:tcPr>
          <w:p w14:paraId="5D4BB3DE">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支持自动引入相关的随访指标</w:t>
            </w:r>
          </w:p>
        </w:tc>
      </w:tr>
      <w:tr w14:paraId="36A9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tcBorders>
              <w:top w:val="nil"/>
              <w:left w:val="single" w:color="auto" w:sz="4" w:space="0"/>
              <w:bottom w:val="single" w:color="auto" w:sz="4" w:space="0"/>
              <w:right w:val="single" w:color="auto" w:sz="4" w:space="0"/>
            </w:tcBorders>
            <w:shd w:val="clear" w:color="auto" w:fill="auto"/>
            <w:vAlign w:val="center"/>
          </w:tcPr>
          <w:p w14:paraId="1674C54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14:paraId="7352E9E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3B66F24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随访结果评估</w:t>
            </w:r>
          </w:p>
        </w:tc>
        <w:tc>
          <w:tcPr>
            <w:tcW w:w="4978" w:type="dxa"/>
            <w:tcBorders>
              <w:top w:val="single" w:color="auto" w:sz="4" w:space="0"/>
              <w:left w:val="single" w:color="auto" w:sz="4" w:space="0"/>
              <w:bottom w:val="single" w:color="auto" w:sz="4" w:space="0"/>
              <w:right w:val="single" w:color="auto" w:sz="4" w:space="0"/>
            </w:tcBorders>
            <w:shd w:val="clear" w:color="auto" w:fill="auto"/>
            <w:vAlign w:val="center"/>
          </w:tcPr>
          <w:p w14:paraId="354B3B8E">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支持对随访结果进行评估和分析</w:t>
            </w:r>
          </w:p>
        </w:tc>
      </w:tr>
    </w:tbl>
    <w:p w14:paraId="7DB15F4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3EB8269F">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5.1.4基础支撑</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134"/>
        <w:gridCol w:w="1276"/>
        <w:gridCol w:w="5040"/>
      </w:tblGrid>
      <w:tr w14:paraId="1636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5EB7083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410"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09AFF19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040" w:type="dxa"/>
            <w:tcBorders>
              <w:top w:val="single" w:color="auto" w:sz="4" w:space="0"/>
              <w:left w:val="single" w:color="auto" w:sz="4" w:space="0"/>
              <w:bottom w:val="single" w:color="auto" w:sz="4" w:space="0"/>
              <w:right w:val="single" w:color="auto" w:sz="4" w:space="0"/>
            </w:tcBorders>
            <w:shd w:val="clear" w:color="auto" w:fill="D8D8D8"/>
            <w:vAlign w:val="center"/>
          </w:tcPr>
          <w:p w14:paraId="468E787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424A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14:paraId="2519A9C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F9B3B8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平台统一门户</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422A17E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门户登录及首页</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60FA0130">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支持多种方式登入门户，包括账号密码登录、短信验证登录、钉钉扫码登录等</w:t>
            </w:r>
          </w:p>
        </w:tc>
      </w:tr>
      <w:tr w14:paraId="38B0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19E9FAA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74CE290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0EA681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0298549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支持单点登录，根据业务点击进入业务系统</w:t>
            </w:r>
          </w:p>
        </w:tc>
      </w:tr>
      <w:tr w14:paraId="1C0D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36A3065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5BA42BC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0A124B2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门户工作台</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3C47E5D0">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支持展示常用/收藏的系统</w:t>
            </w:r>
          </w:p>
        </w:tc>
      </w:tr>
      <w:tr w14:paraId="2DCE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23BA3D8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2394F10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9A2E9A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418E669">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支持用户查看当日待办事务以及当月待办事务总数</w:t>
            </w:r>
          </w:p>
        </w:tc>
      </w:tr>
      <w:tr w14:paraId="3F98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3121B0F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40B1F6A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47E617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15F96AF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集成消息提醒，支持接收各类消息提醒</w:t>
            </w:r>
          </w:p>
        </w:tc>
      </w:tr>
      <w:tr w14:paraId="4355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22D5690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5404380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C0792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平台分组维护</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4EDF6C2F">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支持将首页平台管理、子系统、系统菜单进行逐级划分管理</w:t>
            </w:r>
          </w:p>
        </w:tc>
      </w:tr>
      <w:tr w14:paraId="3A70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2C6A948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5A110E1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17413AD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系统管理</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2F59A6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支持维护机构信息，包括机构名称、机构编码、机构简称、机构层级、机构级别等信息</w:t>
            </w:r>
          </w:p>
        </w:tc>
      </w:tr>
      <w:tr w14:paraId="4A31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3F2570E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1E09F8B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803105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468315C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支持统一维护和配置门户参数，配置项目包括标志、主题颜色、背景、登录方式、重置密码等</w:t>
            </w:r>
          </w:p>
        </w:tc>
      </w:tr>
      <w:tr w14:paraId="7246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6F789C2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1972EAC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AD2917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12AD104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支持对可授权登陆平台的用户和客户端令牌进行管理，</w:t>
            </w:r>
          </w:p>
        </w:tc>
      </w:tr>
      <w:tr w14:paraId="664E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53E420C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4C99806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6A2E9B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01F1393F">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支持配置和管理系统的路由规则，以满足系统的特定需求</w:t>
            </w:r>
          </w:p>
        </w:tc>
      </w:tr>
      <w:tr w14:paraId="1F82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43E23DB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59F23EC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D9F8A5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AF23E3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支持文件的统一管理，包括文件名称、文件id、文件路径等</w:t>
            </w:r>
          </w:p>
        </w:tc>
      </w:tr>
      <w:tr w14:paraId="3BF1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4B4276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0D3D294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2A5574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4AF664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支持对平台中各大应用信息进行配置，包括应用编码、名称、基础密钥、公钥、私钥等</w:t>
            </w:r>
          </w:p>
        </w:tc>
      </w:tr>
      <w:tr w14:paraId="2C06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3719EAA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3989008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D4C6D2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1385201">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提供管理平台/子系统图标的管理功能</w:t>
            </w:r>
          </w:p>
        </w:tc>
      </w:tr>
      <w:tr w14:paraId="1787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5D2ED9F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0EDDBC9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AF2CA4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0B7F7EC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提供第三方账号的匹配功能</w:t>
            </w:r>
          </w:p>
        </w:tc>
      </w:tr>
      <w:tr w14:paraId="1DE0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7070128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A20B18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1988EF4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权限管理</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7CCE266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支持对用户账号进行维护管理</w:t>
            </w:r>
          </w:p>
        </w:tc>
      </w:tr>
      <w:tr w14:paraId="73E5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532ABD0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4A9D47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3C4BC2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437B3858">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支持创建、配置和管理登录平台的用户角色，支持根据不同角色设置不同的菜单权限</w:t>
            </w:r>
          </w:p>
        </w:tc>
      </w:tr>
      <w:tr w14:paraId="541D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2860BC2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144626F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75CCCE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653E0C0A">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支持用户申请配置范围外的权限</w:t>
            </w:r>
          </w:p>
        </w:tc>
      </w:tr>
      <w:tr w14:paraId="172C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19CBE2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73961AE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9CD419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3BB8B62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支持对用户权限的申请进行审批</w:t>
            </w:r>
          </w:p>
        </w:tc>
      </w:tr>
      <w:tr w14:paraId="0C1E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120AE43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1EFE5D4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56D72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系统日志</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3E3ADB5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提供系统日志模块，包含菜单访问日志，操作日志，登录日志，用户统计，服务访问日志等，便于实时监控和记录系统中所发生的事件</w:t>
            </w:r>
          </w:p>
        </w:tc>
      </w:tr>
      <w:tr w14:paraId="52D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1F0D734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A05E36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DFD70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脱敏管理</w:t>
            </w:r>
          </w:p>
        </w:tc>
        <w:tc>
          <w:tcPr>
            <w:tcW w:w="5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9536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支持对系统中的某些字段信息进行匿名化处理</w:t>
            </w:r>
          </w:p>
        </w:tc>
      </w:tr>
      <w:tr w14:paraId="59AD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30B0AC4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2266FE3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64CCA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消息中心</w:t>
            </w:r>
          </w:p>
        </w:tc>
        <w:tc>
          <w:tcPr>
            <w:tcW w:w="5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0BD7F">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提供集中管理和处理系统各类消息的功能</w:t>
            </w:r>
          </w:p>
        </w:tc>
      </w:tr>
      <w:tr w14:paraId="7636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14:paraId="3E66C3D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08AAF6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团队管理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517E97FA">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医生管理</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499F27B9">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提供医生列表，用于查看和管理医生</w:t>
            </w:r>
          </w:p>
        </w:tc>
      </w:tr>
      <w:tr w14:paraId="1547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395BB85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776473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115A72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176DD58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支持创建/批量导入医生信息，进行医生的新增，并支持为医生分配角色权限</w:t>
            </w:r>
          </w:p>
        </w:tc>
      </w:tr>
      <w:tr w14:paraId="1C65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4A0E4A6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3F41627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73D29D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6AFEE97E">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支持对医生的查询、删除、编辑功能</w:t>
            </w:r>
          </w:p>
        </w:tc>
      </w:tr>
      <w:tr w14:paraId="4E69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419A1AB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4FB2FDB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1C1A5DB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团队管理</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E2F55D8">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提供全专融合团队的列表，用于展示各个团队的相关信息</w:t>
            </w:r>
          </w:p>
        </w:tc>
      </w:tr>
      <w:tr w14:paraId="30AA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6E185E9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58A793A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97CB64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8C61D4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支持自定义创建新增团队，包括创建团队信息、添加成员等功能</w:t>
            </w:r>
          </w:p>
        </w:tc>
      </w:tr>
      <w:tr w14:paraId="75B2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6E094C5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22FC1DA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148CE2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1985DFE9">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支持团队的查询、编辑以及删除操作</w:t>
            </w:r>
          </w:p>
        </w:tc>
      </w:tr>
      <w:tr w14:paraId="62C1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4F1302A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37F6D17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E3D92F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7C70BD7C">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支持对团队成员进行管理</w:t>
            </w:r>
          </w:p>
        </w:tc>
      </w:tr>
    </w:tbl>
    <w:p w14:paraId="2AF59C26">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73AE778A">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5.1.5数据驾驶舱</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46"/>
        <w:gridCol w:w="1701"/>
        <w:gridCol w:w="5749"/>
      </w:tblGrid>
      <w:tr w14:paraId="07B93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846" w:type="dxa"/>
            <w:tcBorders>
              <w:tl2br w:val="nil"/>
              <w:tr2bl w:val="nil"/>
            </w:tcBorders>
            <w:shd w:val="clear" w:color="auto" w:fill="D8D8D8"/>
            <w:vAlign w:val="center"/>
          </w:tcPr>
          <w:p w14:paraId="5D9EC17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701" w:type="dxa"/>
            <w:tcBorders>
              <w:tl2br w:val="nil"/>
              <w:tr2bl w:val="nil"/>
            </w:tcBorders>
            <w:shd w:val="clear" w:color="auto" w:fill="D8D8D8"/>
            <w:vAlign w:val="center"/>
          </w:tcPr>
          <w:p w14:paraId="73A5946A">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749" w:type="dxa"/>
            <w:tcBorders>
              <w:tl2br w:val="nil"/>
              <w:tr2bl w:val="nil"/>
            </w:tcBorders>
            <w:shd w:val="clear" w:color="auto" w:fill="D8D8D8"/>
            <w:vAlign w:val="center"/>
          </w:tcPr>
          <w:p w14:paraId="5E683FD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55CD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Merge w:val="restart"/>
            <w:tcBorders>
              <w:tl2br w:val="nil"/>
              <w:tr2bl w:val="nil"/>
            </w:tcBorders>
            <w:shd w:val="clear" w:color="auto" w:fill="auto"/>
            <w:vAlign w:val="center"/>
          </w:tcPr>
          <w:p w14:paraId="18CCED5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701" w:type="dxa"/>
            <w:vMerge w:val="restart"/>
            <w:tcBorders>
              <w:tl2br w:val="nil"/>
              <w:tr2bl w:val="nil"/>
            </w:tcBorders>
            <w:shd w:val="clear" w:color="auto" w:fill="auto"/>
            <w:vAlign w:val="center"/>
          </w:tcPr>
          <w:p w14:paraId="0DE48DE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数据驾驶舱</w:t>
            </w:r>
          </w:p>
        </w:tc>
        <w:tc>
          <w:tcPr>
            <w:tcW w:w="5749" w:type="dxa"/>
            <w:tcBorders>
              <w:tl2br w:val="nil"/>
              <w:tr2bl w:val="nil"/>
            </w:tcBorders>
            <w:shd w:val="clear" w:color="auto" w:fill="auto"/>
            <w:vAlign w:val="center"/>
          </w:tcPr>
          <w:p w14:paraId="3238DB3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支持对全区各个机构疾病管理业务开展情况的数据进行展示</w:t>
            </w:r>
          </w:p>
        </w:tc>
      </w:tr>
      <w:tr w14:paraId="57163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Merge w:val="continue"/>
            <w:tcBorders>
              <w:tl2br w:val="nil"/>
              <w:tr2bl w:val="nil"/>
            </w:tcBorders>
            <w:shd w:val="clear" w:color="auto" w:fill="auto"/>
            <w:vAlign w:val="center"/>
          </w:tcPr>
          <w:p w14:paraId="1CF6E0A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701" w:type="dxa"/>
            <w:vMerge w:val="continue"/>
            <w:tcBorders>
              <w:tl2br w:val="nil"/>
              <w:tr2bl w:val="nil"/>
            </w:tcBorders>
            <w:shd w:val="clear" w:color="auto" w:fill="auto"/>
            <w:vAlign w:val="center"/>
          </w:tcPr>
          <w:p w14:paraId="702975F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749" w:type="dxa"/>
            <w:tcBorders>
              <w:tl2br w:val="nil"/>
              <w:tr2bl w:val="nil"/>
            </w:tcBorders>
            <w:shd w:val="clear" w:color="auto" w:fill="auto"/>
            <w:vAlign w:val="center"/>
          </w:tcPr>
          <w:p w14:paraId="5647D599">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支持按需查看和分析特定机构、特定指标、特定时间段的数据</w:t>
            </w:r>
          </w:p>
        </w:tc>
      </w:tr>
    </w:tbl>
    <w:p w14:paraId="65E430A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1285FD98">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5.1.6业务报表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701"/>
        <w:gridCol w:w="5749"/>
      </w:tblGrid>
      <w:tr w14:paraId="1750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353BC14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701" w:type="dxa"/>
            <w:tcBorders>
              <w:top w:val="single" w:color="auto" w:sz="4" w:space="0"/>
              <w:left w:val="single" w:color="auto" w:sz="4" w:space="0"/>
              <w:bottom w:val="single" w:color="auto" w:sz="4" w:space="0"/>
              <w:right w:val="single" w:color="auto" w:sz="4" w:space="0"/>
            </w:tcBorders>
            <w:shd w:val="clear" w:color="auto" w:fill="D8D8D8"/>
            <w:vAlign w:val="center"/>
          </w:tcPr>
          <w:p w14:paraId="70B5058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749" w:type="dxa"/>
            <w:tcBorders>
              <w:top w:val="single" w:color="auto" w:sz="4" w:space="0"/>
              <w:left w:val="single" w:color="auto" w:sz="4" w:space="0"/>
              <w:bottom w:val="single" w:color="auto" w:sz="4" w:space="0"/>
              <w:right w:val="single" w:color="auto" w:sz="4" w:space="0"/>
            </w:tcBorders>
            <w:shd w:val="clear" w:color="auto" w:fill="D8D8D8"/>
            <w:vAlign w:val="center"/>
          </w:tcPr>
          <w:p w14:paraId="651FAFC9">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1D5C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ADB5A09">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96D3D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筛查情况统计</w:t>
            </w: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6EEC669E">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支持按机构分别统计疑似人数、纳入管理人数等管控情况</w:t>
            </w:r>
          </w:p>
        </w:tc>
      </w:tr>
      <w:tr w14:paraId="7A79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14:paraId="54C0EF7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AD08B7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随访情况统计</w:t>
            </w: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3179FA9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支持按机构查询疾病随访情况</w:t>
            </w:r>
          </w:p>
        </w:tc>
      </w:tr>
      <w:tr w14:paraId="3C26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0BB5F26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43FF1B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53F7DC1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支持查询结果导出，和下钻数据详情导出，并查看导出记录</w:t>
            </w:r>
          </w:p>
        </w:tc>
      </w:tr>
    </w:tbl>
    <w:p w14:paraId="6203EFE8">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2F1A1D93">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5.1.7档案抽样</w:t>
      </w:r>
    </w:p>
    <w:tbl>
      <w:tblPr>
        <w:tblStyle w:val="64"/>
        <w:tblW w:w="4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4"/>
        <w:gridCol w:w="1965"/>
        <w:gridCol w:w="5599"/>
      </w:tblGrid>
      <w:tr w14:paraId="77D9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blHeader/>
          <w:jc w:val="center"/>
        </w:trPr>
        <w:tc>
          <w:tcPr>
            <w:tcW w:w="453" w:type="pct"/>
            <w:tcBorders>
              <w:top w:val="single" w:color="auto" w:sz="4" w:space="0"/>
              <w:left w:val="single" w:color="auto" w:sz="4" w:space="0"/>
              <w:bottom w:val="single" w:color="auto" w:sz="4" w:space="0"/>
              <w:right w:val="single" w:color="auto" w:sz="4" w:space="0"/>
            </w:tcBorders>
            <w:shd w:val="clear" w:color="auto" w:fill="D8D8D8"/>
            <w:vAlign w:val="center"/>
          </w:tcPr>
          <w:p w14:paraId="157B1AA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181" w:type="pct"/>
            <w:tcBorders>
              <w:top w:val="single" w:color="auto" w:sz="4" w:space="0"/>
              <w:left w:val="single" w:color="auto" w:sz="4" w:space="0"/>
              <w:bottom w:val="single" w:color="auto" w:sz="4" w:space="0"/>
              <w:right w:val="single" w:color="auto" w:sz="4" w:space="0"/>
            </w:tcBorders>
            <w:shd w:val="clear" w:color="auto" w:fill="D8D8D8"/>
            <w:vAlign w:val="center"/>
          </w:tcPr>
          <w:p w14:paraId="3865E61F">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3364" w:type="pct"/>
            <w:tcBorders>
              <w:top w:val="single" w:color="auto" w:sz="4" w:space="0"/>
              <w:left w:val="single" w:color="auto" w:sz="4" w:space="0"/>
              <w:bottom w:val="single" w:color="auto" w:sz="4" w:space="0"/>
              <w:right w:val="single" w:color="auto" w:sz="4" w:space="0"/>
            </w:tcBorders>
            <w:shd w:val="clear" w:color="auto" w:fill="D8D8D8"/>
            <w:vAlign w:val="center"/>
          </w:tcPr>
          <w:p w14:paraId="1999D8F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0585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jc w:val="center"/>
        </w:trPr>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7D065DC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181" w:type="pct"/>
            <w:vMerge w:val="restart"/>
            <w:tcBorders>
              <w:top w:val="nil"/>
              <w:left w:val="single" w:color="auto" w:sz="4" w:space="0"/>
              <w:bottom w:val="single" w:color="auto" w:sz="4" w:space="0"/>
              <w:right w:val="single" w:color="auto" w:sz="4" w:space="0"/>
            </w:tcBorders>
            <w:shd w:val="clear" w:color="auto" w:fill="auto"/>
            <w:vAlign w:val="center"/>
          </w:tcPr>
          <w:p w14:paraId="09D2BE1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专病档案抽样</w:t>
            </w:r>
          </w:p>
        </w:tc>
        <w:tc>
          <w:tcPr>
            <w:tcW w:w="3364" w:type="pct"/>
            <w:tcBorders>
              <w:top w:val="single" w:color="auto" w:sz="4" w:space="0"/>
              <w:left w:val="single" w:color="auto" w:sz="4" w:space="0"/>
              <w:bottom w:val="single" w:color="auto" w:sz="4" w:space="0"/>
              <w:right w:val="single" w:color="auto" w:sz="4" w:space="0"/>
            </w:tcBorders>
            <w:shd w:val="clear" w:color="auto" w:fill="auto"/>
            <w:vAlign w:val="center"/>
          </w:tcPr>
          <w:p w14:paraId="50D47291">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支持随机抽样或按疾病等级进行划分抽样</w:t>
            </w:r>
          </w:p>
        </w:tc>
      </w:tr>
      <w:tr w14:paraId="45A9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3" w:type="pct"/>
            <w:vMerge w:val="continue"/>
            <w:tcBorders>
              <w:top w:val="nil"/>
              <w:left w:val="single" w:color="auto" w:sz="4" w:space="0"/>
              <w:bottom w:val="single" w:color="auto" w:sz="4" w:space="0"/>
              <w:right w:val="single" w:color="auto" w:sz="4" w:space="0"/>
            </w:tcBorders>
            <w:shd w:val="clear" w:color="auto" w:fill="auto"/>
            <w:vAlign w:val="center"/>
          </w:tcPr>
          <w:p w14:paraId="4B87D7D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81" w:type="pct"/>
            <w:vMerge w:val="continue"/>
            <w:tcBorders>
              <w:top w:val="nil"/>
              <w:left w:val="single" w:color="auto" w:sz="4" w:space="0"/>
              <w:bottom w:val="single" w:color="auto" w:sz="4" w:space="0"/>
              <w:right w:val="single" w:color="auto" w:sz="4" w:space="0"/>
            </w:tcBorders>
            <w:shd w:val="clear" w:color="auto" w:fill="auto"/>
            <w:vAlign w:val="center"/>
          </w:tcPr>
          <w:p w14:paraId="585D07B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3364" w:type="pct"/>
            <w:tcBorders>
              <w:top w:val="single" w:color="auto" w:sz="4" w:space="0"/>
              <w:left w:val="single" w:color="auto" w:sz="4" w:space="0"/>
              <w:bottom w:val="single" w:color="auto" w:sz="4" w:space="0"/>
              <w:right w:val="single" w:color="auto" w:sz="4" w:space="0"/>
            </w:tcBorders>
            <w:shd w:val="clear" w:color="auto" w:fill="auto"/>
            <w:vAlign w:val="center"/>
          </w:tcPr>
          <w:p w14:paraId="1F2A34FC">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支持新增抽样任务的自定义配置，如抽样区域、抽样机构等</w:t>
            </w:r>
          </w:p>
        </w:tc>
      </w:tr>
      <w:tr w14:paraId="5461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3" w:type="pct"/>
            <w:vMerge w:val="continue"/>
            <w:tcBorders>
              <w:top w:val="nil"/>
              <w:left w:val="single" w:color="auto" w:sz="4" w:space="0"/>
              <w:bottom w:val="single" w:color="auto" w:sz="4" w:space="0"/>
              <w:right w:val="single" w:color="auto" w:sz="4" w:space="0"/>
            </w:tcBorders>
            <w:shd w:val="clear" w:color="auto" w:fill="auto"/>
            <w:vAlign w:val="center"/>
          </w:tcPr>
          <w:p w14:paraId="4CFC104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81" w:type="pct"/>
            <w:vMerge w:val="continue"/>
            <w:tcBorders>
              <w:top w:val="nil"/>
              <w:left w:val="single" w:color="auto" w:sz="4" w:space="0"/>
              <w:bottom w:val="single" w:color="auto" w:sz="4" w:space="0"/>
              <w:right w:val="single" w:color="auto" w:sz="4" w:space="0"/>
            </w:tcBorders>
            <w:shd w:val="clear" w:color="auto" w:fill="auto"/>
            <w:vAlign w:val="center"/>
          </w:tcPr>
          <w:p w14:paraId="532F756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3364" w:type="pct"/>
            <w:tcBorders>
              <w:top w:val="single" w:color="auto" w:sz="4" w:space="0"/>
              <w:left w:val="single" w:color="auto" w:sz="4" w:space="0"/>
              <w:bottom w:val="single" w:color="auto" w:sz="4" w:space="0"/>
              <w:right w:val="single" w:color="auto" w:sz="4" w:space="0"/>
            </w:tcBorders>
            <w:shd w:val="clear" w:color="auto" w:fill="auto"/>
            <w:vAlign w:val="center"/>
          </w:tcPr>
          <w:p w14:paraId="35D575B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支查看抽样任务的抽样档案详情信息</w:t>
            </w:r>
          </w:p>
        </w:tc>
      </w:tr>
      <w:tr w14:paraId="4629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01006A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181" w:type="pct"/>
            <w:tcBorders>
              <w:top w:val="single" w:color="auto" w:sz="4" w:space="0"/>
              <w:left w:val="single" w:color="auto" w:sz="4" w:space="0"/>
              <w:bottom w:val="single" w:color="auto" w:sz="4" w:space="0"/>
              <w:right w:val="single" w:color="auto" w:sz="4" w:space="0"/>
            </w:tcBorders>
            <w:shd w:val="clear" w:color="auto" w:fill="auto"/>
            <w:vAlign w:val="center"/>
          </w:tcPr>
          <w:p w14:paraId="7E86198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抽样结果查看</w:t>
            </w:r>
          </w:p>
        </w:tc>
        <w:tc>
          <w:tcPr>
            <w:tcW w:w="3364" w:type="pct"/>
            <w:tcBorders>
              <w:top w:val="single" w:color="auto" w:sz="4" w:space="0"/>
              <w:left w:val="single" w:color="auto" w:sz="4" w:space="0"/>
              <w:bottom w:val="single" w:color="auto" w:sz="4" w:space="0"/>
              <w:right w:val="single" w:color="auto" w:sz="4" w:space="0"/>
            </w:tcBorders>
            <w:shd w:val="clear" w:color="auto" w:fill="auto"/>
            <w:vAlign w:val="center"/>
          </w:tcPr>
          <w:p w14:paraId="30A3C27D">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支持查看各个档案抽样任务的结果情况</w:t>
            </w:r>
          </w:p>
        </w:tc>
      </w:tr>
      <w:tr w14:paraId="2C53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6678F02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181" w:type="pct"/>
            <w:vMerge w:val="restart"/>
            <w:tcBorders>
              <w:top w:val="nil"/>
              <w:left w:val="single" w:color="auto" w:sz="4" w:space="0"/>
              <w:bottom w:val="single" w:color="auto" w:sz="4" w:space="0"/>
              <w:right w:val="single" w:color="auto" w:sz="4" w:space="0"/>
            </w:tcBorders>
            <w:shd w:val="clear" w:color="auto" w:fill="auto"/>
            <w:vAlign w:val="center"/>
          </w:tcPr>
          <w:p w14:paraId="3BD6122F">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抽样统计报表</w:t>
            </w:r>
          </w:p>
        </w:tc>
        <w:tc>
          <w:tcPr>
            <w:tcW w:w="3364" w:type="pct"/>
            <w:tcBorders>
              <w:top w:val="single" w:color="auto" w:sz="4" w:space="0"/>
              <w:left w:val="single" w:color="auto" w:sz="4" w:space="0"/>
              <w:bottom w:val="single" w:color="auto" w:sz="4" w:space="0"/>
              <w:right w:val="single" w:color="auto" w:sz="4" w:space="0"/>
            </w:tcBorders>
            <w:shd w:val="clear" w:color="auto" w:fill="auto"/>
            <w:vAlign w:val="center"/>
          </w:tcPr>
          <w:p w14:paraId="2F962A8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支持对抽样任务和审核结果进行统计展示</w:t>
            </w:r>
          </w:p>
        </w:tc>
      </w:tr>
      <w:tr w14:paraId="309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jc w:val="center"/>
        </w:trPr>
        <w:tc>
          <w:tcPr>
            <w:tcW w:w="453" w:type="pct"/>
            <w:vMerge w:val="continue"/>
            <w:tcBorders>
              <w:top w:val="nil"/>
              <w:left w:val="single" w:color="auto" w:sz="4" w:space="0"/>
              <w:bottom w:val="single" w:color="auto" w:sz="4" w:space="0"/>
              <w:right w:val="single" w:color="auto" w:sz="4" w:space="0"/>
            </w:tcBorders>
            <w:shd w:val="clear" w:color="auto" w:fill="auto"/>
            <w:vAlign w:val="center"/>
          </w:tcPr>
          <w:p w14:paraId="5B6F518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181" w:type="pct"/>
            <w:vMerge w:val="continue"/>
            <w:tcBorders>
              <w:top w:val="nil"/>
              <w:left w:val="single" w:color="auto" w:sz="4" w:space="0"/>
              <w:bottom w:val="single" w:color="auto" w:sz="4" w:space="0"/>
              <w:right w:val="single" w:color="auto" w:sz="4" w:space="0"/>
            </w:tcBorders>
            <w:shd w:val="clear" w:color="auto" w:fill="auto"/>
            <w:vAlign w:val="center"/>
          </w:tcPr>
          <w:p w14:paraId="43C9B5C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3364" w:type="pct"/>
            <w:tcBorders>
              <w:top w:val="single" w:color="auto" w:sz="4" w:space="0"/>
              <w:left w:val="single" w:color="auto" w:sz="4" w:space="0"/>
              <w:bottom w:val="single" w:color="auto" w:sz="4" w:space="0"/>
              <w:right w:val="single" w:color="auto" w:sz="4" w:space="0"/>
            </w:tcBorders>
            <w:shd w:val="clear" w:color="auto" w:fill="auto"/>
            <w:vAlign w:val="center"/>
          </w:tcPr>
          <w:p w14:paraId="6FBBE783">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支持统计报表的下钻查询，并支持导出查询结果</w:t>
            </w:r>
          </w:p>
        </w:tc>
      </w:tr>
    </w:tbl>
    <w:p w14:paraId="543D3BDB">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1E55A670">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5.1.8体检流程管理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2126"/>
        <w:gridCol w:w="5324"/>
      </w:tblGrid>
      <w:tr w14:paraId="3689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52C7D834">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D8D8D8"/>
            <w:vAlign w:val="center"/>
          </w:tcPr>
          <w:p w14:paraId="3F9A629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324" w:type="dxa"/>
            <w:tcBorders>
              <w:top w:val="single" w:color="auto" w:sz="4" w:space="0"/>
              <w:left w:val="single" w:color="auto" w:sz="4" w:space="0"/>
              <w:bottom w:val="single" w:color="auto" w:sz="4" w:space="0"/>
              <w:right w:val="single" w:color="auto" w:sz="4" w:space="0"/>
            </w:tcBorders>
            <w:shd w:val="clear" w:color="auto" w:fill="D8D8D8"/>
            <w:vAlign w:val="center"/>
          </w:tcPr>
          <w:p w14:paraId="078A6E1A">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4622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14:paraId="63D2FAD8">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49B3BD2E">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体检流程管理</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683EDF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体检登记：</w:t>
            </w:r>
          </w:p>
          <w:p w14:paraId="3D452C2F">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在体检预约或登记时，系统根据体检人员信息判断该人员是否为筛查目标人群。并为筛查目标人群自动选择相应的肝病筛查套餐，包括乙肝套餐或非乙肝套餐。</w:t>
            </w:r>
          </w:p>
        </w:tc>
      </w:tr>
      <w:tr w14:paraId="0B82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14:paraId="2325096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0B6F72C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130BE24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科室检查：</w:t>
            </w:r>
          </w:p>
          <w:p w14:paraId="152106CE">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若体检人员肝硬度检测结果大于等于10，在系统具有相应的提示，提醒该人员需重新登记肝硬度检测的项目及脾脏B超项目。</w:t>
            </w:r>
          </w:p>
        </w:tc>
      </w:tr>
    </w:tbl>
    <w:p w14:paraId="7B39BCA8">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013597AB">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5.1.9肝病仪器数据接入</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2126"/>
        <w:gridCol w:w="5324"/>
      </w:tblGrid>
      <w:tr w14:paraId="5676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1C125A5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D8D8D8"/>
            <w:vAlign w:val="center"/>
          </w:tcPr>
          <w:p w14:paraId="6A53615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324" w:type="dxa"/>
            <w:tcBorders>
              <w:top w:val="single" w:color="auto" w:sz="4" w:space="0"/>
              <w:left w:val="single" w:color="auto" w:sz="4" w:space="0"/>
              <w:bottom w:val="single" w:color="auto" w:sz="4" w:space="0"/>
              <w:right w:val="single" w:color="auto" w:sz="4" w:space="0"/>
            </w:tcBorders>
            <w:shd w:val="clear" w:color="auto" w:fill="D8D8D8"/>
            <w:vAlign w:val="center"/>
          </w:tcPr>
          <w:p w14:paraId="4ADFE48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6B6C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1DBA5BC">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99386D8">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肝病筛查仪器数据录入</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1290E84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系统支持肝病仪器对接，自动获取仪器相关数据。</w:t>
            </w:r>
          </w:p>
        </w:tc>
      </w:tr>
    </w:tbl>
    <w:p w14:paraId="667BF46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739A6C4F">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5.2两慢病管理系统</w:t>
      </w:r>
    </w:p>
    <w:p w14:paraId="76616F6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5.2.1一体化门诊GDS虚拟终端功能</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2126"/>
        <w:gridCol w:w="5324"/>
      </w:tblGrid>
      <w:tr w14:paraId="5D0C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3B04A02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D8D8D8"/>
            <w:vAlign w:val="center"/>
          </w:tcPr>
          <w:p w14:paraId="092CD840">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324" w:type="dxa"/>
            <w:tcBorders>
              <w:top w:val="single" w:color="auto" w:sz="4" w:space="0"/>
              <w:left w:val="single" w:color="auto" w:sz="4" w:space="0"/>
              <w:bottom w:val="single" w:color="auto" w:sz="4" w:space="0"/>
              <w:right w:val="single" w:color="auto" w:sz="4" w:space="0"/>
            </w:tcBorders>
            <w:shd w:val="clear" w:color="auto" w:fill="D8D8D8"/>
            <w:vAlign w:val="center"/>
          </w:tcPr>
          <w:p w14:paraId="7B8018E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6726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C7F2634">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4B589589">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诊中医助</w:t>
            </w:r>
          </w:p>
          <w:p w14:paraId="24E40745">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全科医生虚拟终端（4个弹窗）</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FD3EA6D">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诊中医助辅助全科医生和责任医生的诊中工作，建立全科医生依据医学指南的数字化可视化诊疗路径，辅助医生门诊、诊中公卫随访全过程。提供病情回顾、处置建议、门诊小结、慢病问诊4个弹窗。</w:t>
            </w:r>
          </w:p>
        </w:tc>
      </w:tr>
      <w:tr w14:paraId="6E49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61050A7">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7293EC5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329B59D">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接诊时精准分析解读个体慢诊疗结束后，基于本次资料更新，GDS自动生成慢病分析内容病病情，提供病情回顾；</w:t>
            </w:r>
          </w:p>
        </w:tc>
      </w:tr>
      <w:tr w14:paraId="01AA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D9D2252">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563D20B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8F4A594">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开医嘱时根据患者病情和指南规范，提供处方建议、主动预防提示等；</w:t>
            </w:r>
          </w:p>
        </w:tc>
      </w:tr>
      <w:tr w14:paraId="5E6C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0C66E8B">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007208F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148EE6B">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诊疗结束后，基于本次资料更新，自动生成慢病分析内容。提示下次随访时间及项目。</w:t>
            </w:r>
          </w:p>
        </w:tc>
      </w:tr>
      <w:tr w14:paraId="359A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E19DF52">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443F193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52244300">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诊间公卫随访完成后，引导其补充问诊依据国家指南的精细化、个性化的关键内容。</w:t>
            </w:r>
          </w:p>
        </w:tc>
      </w:tr>
      <w:tr w14:paraId="1343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B34A5F5">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68857E29">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诊后医助</w:t>
            </w:r>
          </w:p>
          <w:p w14:paraId="167B0CB0">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责任医生虚拟终端（1个弹窗）</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30E39886">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诊后医助辅助责任医生的诊后工作，提供诊后小结弹窗。</w:t>
            </w:r>
          </w:p>
        </w:tc>
      </w:tr>
      <w:tr w14:paraId="0D9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0C70623">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5BC03C5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353085CE">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汇总患者多维度慢病数据，依据医学指南，自动生成个体化、精细化的慢病综合评估报告。</w:t>
            </w:r>
          </w:p>
        </w:tc>
      </w:tr>
      <w:tr w14:paraId="3ECB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7309924">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6F2D2E9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66D06DBB">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动生成医生可编辑的患者12个月的随访计划。</w:t>
            </w:r>
          </w:p>
        </w:tc>
      </w:tr>
      <w:tr w14:paraId="161E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F7781EC">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1F047DD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54B5BB65">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对诊后患者跟进连续动态管理，协助责任医生进行诊后健康干预，提供健康指导。</w:t>
            </w:r>
          </w:p>
        </w:tc>
      </w:tr>
      <w:tr w14:paraId="5C3F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F2FF85E">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0A1CB079">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诊前医助</w:t>
            </w:r>
          </w:p>
          <w:p w14:paraId="2818B152">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护士虚拟终端（1个弹窗）</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BDC3D60">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诊前医助辅助护士诊前工作，提供诊前回顾弹窗。</w:t>
            </w:r>
          </w:p>
        </w:tc>
      </w:tr>
      <w:tr w14:paraId="43C9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338081D">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6C72438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3AA5B9A">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回顾患者的病情情况。</w:t>
            </w:r>
          </w:p>
        </w:tc>
      </w:tr>
      <w:tr w14:paraId="0CAB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527DF30">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195686D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4A0CEE4">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回顾患者的管理情况。</w:t>
            </w:r>
          </w:p>
        </w:tc>
      </w:tr>
      <w:tr w14:paraId="6787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624DC6E">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3775702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4C968946">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回顾患者的控制情况。</w:t>
            </w:r>
          </w:p>
        </w:tc>
      </w:tr>
      <w:tr w14:paraId="66F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4C91B98">
            <w:pPr>
              <w:pStyle w:val="60"/>
              <w:keepNext w:val="0"/>
              <w:keepLines w:val="0"/>
              <w:widowControl/>
              <w:numPr>
                <w:ilvl w:val="0"/>
                <w:numId w:val="2"/>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79FE01A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2E36C64">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回顾患者的风险评估情况。</w:t>
            </w:r>
          </w:p>
        </w:tc>
      </w:tr>
    </w:tbl>
    <w:p w14:paraId="1ED7AD8A">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3FDCBD63">
      <w:pPr>
        <w:rPr>
          <w:rFonts w:hint="eastAsia" w:ascii="宋体" w:hAnsi="宋体" w:eastAsia="宋体" w:cs="宋体"/>
          <w:b/>
          <w:bCs w:val="0"/>
          <w:color w:val="auto"/>
          <w:kern w:val="2"/>
          <w:sz w:val="24"/>
          <w:szCs w:val="24"/>
          <w:highlight w:val="none"/>
          <w:lang w:val="en-US" w:eastAsia="zh-CN"/>
        </w:rPr>
      </w:pPr>
    </w:p>
    <w:p w14:paraId="2EA60D50">
      <w:pPr>
        <w:pStyle w:val="2"/>
        <w:rPr>
          <w:rFonts w:hint="eastAsia"/>
          <w:color w:val="auto"/>
          <w:highlight w:val="none"/>
          <w:lang w:val="en-US" w:eastAsia="zh-CN"/>
        </w:rPr>
      </w:pPr>
    </w:p>
    <w:p w14:paraId="57E1A7A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5.2.2路径化慢病管理和指标监测跟踪执行</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2126"/>
        <w:gridCol w:w="5324"/>
      </w:tblGrid>
      <w:tr w14:paraId="0BE3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454562F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D8D8D8"/>
            <w:vAlign w:val="center"/>
          </w:tcPr>
          <w:p w14:paraId="5D007B7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324" w:type="dxa"/>
            <w:tcBorders>
              <w:top w:val="single" w:color="auto" w:sz="4" w:space="0"/>
              <w:left w:val="single" w:color="auto" w:sz="4" w:space="0"/>
              <w:bottom w:val="single" w:color="auto" w:sz="4" w:space="0"/>
              <w:right w:val="single" w:color="auto" w:sz="4" w:space="0"/>
            </w:tcBorders>
            <w:shd w:val="clear" w:color="auto" w:fill="D8D8D8"/>
            <w:vAlign w:val="center"/>
          </w:tcPr>
          <w:p w14:paraId="1259890B">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1A9C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2439D64">
            <w:pPr>
              <w:pStyle w:val="60"/>
              <w:keepNext w:val="0"/>
              <w:keepLines w:val="0"/>
              <w:widowControl/>
              <w:numPr>
                <w:ilvl w:val="0"/>
                <w:numId w:val="3"/>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36554859">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路径化随访规划的生成</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6C317006">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按照省卫健路径化管理要求、依据《指南》和《规范》，系统自动融合生成综合随访规划及31项指标的年度监测计划</w:t>
            </w:r>
          </w:p>
        </w:tc>
      </w:tr>
      <w:tr w14:paraId="509B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6807990">
            <w:pPr>
              <w:pStyle w:val="60"/>
              <w:keepNext w:val="0"/>
              <w:keepLines w:val="0"/>
              <w:widowControl/>
              <w:numPr>
                <w:ilvl w:val="0"/>
                <w:numId w:val="3"/>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1EBF8C2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7B2E3E14">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年度监测计划医生可以手工调整增减。</w:t>
            </w:r>
          </w:p>
        </w:tc>
      </w:tr>
      <w:tr w14:paraId="35E3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6E56952">
            <w:pPr>
              <w:pStyle w:val="60"/>
              <w:keepNext w:val="0"/>
              <w:keepLines w:val="0"/>
              <w:widowControl/>
              <w:numPr>
                <w:ilvl w:val="0"/>
                <w:numId w:val="3"/>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0FDA63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7B6289C5">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依据省规范和指南，系统通过患者病情和指标监测结果综合分析，自动调整随访和指标监测规划</w:t>
            </w:r>
          </w:p>
        </w:tc>
      </w:tr>
      <w:tr w14:paraId="5AAE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202EF8F">
            <w:pPr>
              <w:pStyle w:val="60"/>
              <w:keepNext w:val="0"/>
              <w:keepLines w:val="0"/>
              <w:widowControl/>
              <w:numPr>
                <w:ilvl w:val="0"/>
                <w:numId w:val="3"/>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719D6798">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慢病指标监测的跟踪执行</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143C166">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系统自动跟踪慢病指标监测的执行情况，并以图标的形式呈现</w:t>
            </w:r>
          </w:p>
        </w:tc>
      </w:tr>
      <w:tr w14:paraId="3C37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31CB028">
            <w:pPr>
              <w:pStyle w:val="60"/>
              <w:keepNext w:val="0"/>
              <w:keepLines w:val="0"/>
              <w:widowControl/>
              <w:numPr>
                <w:ilvl w:val="0"/>
                <w:numId w:val="3"/>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5930CEA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09085EA3">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跟踪结果医生可以手工调整。</w:t>
            </w:r>
          </w:p>
        </w:tc>
      </w:tr>
      <w:tr w14:paraId="5148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E1C44EF">
            <w:pPr>
              <w:pStyle w:val="60"/>
              <w:keepNext w:val="0"/>
              <w:keepLines w:val="0"/>
              <w:widowControl/>
              <w:numPr>
                <w:ilvl w:val="0"/>
                <w:numId w:val="3"/>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10144DD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0FF44AC">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系统自动计算路径化管理执行率。</w:t>
            </w:r>
          </w:p>
        </w:tc>
      </w:tr>
    </w:tbl>
    <w:p w14:paraId="55F2257C">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50BCE1D5">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5.2.3数据治理和慢病专题数据库</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2126"/>
        <w:gridCol w:w="5324"/>
      </w:tblGrid>
      <w:tr w14:paraId="483A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28F51BA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D8D8D8"/>
            <w:vAlign w:val="center"/>
          </w:tcPr>
          <w:p w14:paraId="2753850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324" w:type="dxa"/>
            <w:tcBorders>
              <w:top w:val="single" w:color="auto" w:sz="4" w:space="0"/>
              <w:left w:val="single" w:color="auto" w:sz="4" w:space="0"/>
              <w:bottom w:val="single" w:color="auto" w:sz="4" w:space="0"/>
              <w:right w:val="single" w:color="auto" w:sz="4" w:space="0"/>
            </w:tcBorders>
            <w:shd w:val="clear" w:color="auto" w:fill="D8D8D8"/>
            <w:vAlign w:val="center"/>
          </w:tcPr>
          <w:p w14:paraId="1F909E5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470B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6B5F387">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765CD7C7">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数据治理和慢病数据库</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70C4076C">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机构辖区慢病数据库的建立</w:t>
            </w:r>
          </w:p>
        </w:tc>
      </w:tr>
      <w:tr w14:paraId="4B97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C99877A">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54E5A81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D0ACECC">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进行数据归集、清洗和关联</w:t>
            </w:r>
          </w:p>
        </w:tc>
      </w:tr>
      <w:tr w14:paraId="6664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AC3EAA1">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340DEE15">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系统数据初始化和基线报告</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1E2B71EB">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将系统上线前12个月的数据通过引擎进行对接</w:t>
            </w:r>
          </w:p>
        </w:tc>
      </w:tr>
      <w:tr w14:paraId="7FCF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BA54895">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6892736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774EC8CC">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科室信息配置和同步</w:t>
            </w:r>
          </w:p>
        </w:tc>
      </w:tr>
      <w:tr w14:paraId="15D6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DB065F8">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7E7B49C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31F058AA">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医生信息配置和同步</w:t>
            </w:r>
          </w:p>
        </w:tc>
      </w:tr>
      <w:tr w14:paraId="36AF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753588A">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31EFA6A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42E2B719">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辖区居民患者病情随访数据同步</w:t>
            </w:r>
          </w:p>
        </w:tc>
      </w:tr>
      <w:tr w14:paraId="7FFE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7F6A1B4">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4ED9B3E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615EFEB">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生成机构基线报告。</w:t>
            </w:r>
          </w:p>
        </w:tc>
      </w:tr>
      <w:tr w14:paraId="72D6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8D81C34">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3744F541">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慢病数据更新</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59ACB098">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通过数据源HIS实现门诊数据实时更新</w:t>
            </w:r>
          </w:p>
        </w:tc>
      </w:tr>
      <w:tr w14:paraId="4EB3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F7791AE">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2FE443F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47678F7F">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通过数据源HIS实现门诊关联数据的T+1日更新</w:t>
            </w:r>
          </w:p>
        </w:tc>
      </w:tr>
      <w:tr w14:paraId="0B70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3B02DBF">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055A426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6381A443">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通过数据源公卫（含体检），实现随访数据实时更新</w:t>
            </w:r>
          </w:p>
        </w:tc>
      </w:tr>
      <w:tr w14:paraId="7F5A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7E4994D">
            <w:pPr>
              <w:pStyle w:val="60"/>
              <w:keepNext w:val="0"/>
              <w:keepLines w:val="0"/>
              <w:widowControl/>
              <w:numPr>
                <w:ilvl w:val="0"/>
                <w:numId w:val="4"/>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7864901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434EB677">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通过数据源公卫（含体检），实现随访关联数据的T+1日更新</w:t>
            </w:r>
          </w:p>
        </w:tc>
      </w:tr>
    </w:tbl>
    <w:p w14:paraId="5BD7F502">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7DF43B05">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5.2.4云HIS接入改造</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2126"/>
        <w:gridCol w:w="5324"/>
      </w:tblGrid>
      <w:tr w14:paraId="3246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4D0C55A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D8D8D8"/>
            <w:vAlign w:val="center"/>
          </w:tcPr>
          <w:p w14:paraId="010D3D6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5324" w:type="dxa"/>
            <w:tcBorders>
              <w:top w:val="single" w:color="auto" w:sz="4" w:space="0"/>
              <w:left w:val="single" w:color="auto" w:sz="4" w:space="0"/>
              <w:bottom w:val="single" w:color="auto" w:sz="4" w:space="0"/>
              <w:right w:val="single" w:color="auto" w:sz="4" w:space="0"/>
            </w:tcBorders>
            <w:shd w:val="clear" w:color="auto" w:fill="D8D8D8"/>
            <w:vAlign w:val="center"/>
          </w:tcPr>
          <w:p w14:paraId="27980F6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3A5B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428FDE3">
            <w:pPr>
              <w:pStyle w:val="60"/>
              <w:keepNext w:val="0"/>
              <w:keepLines w:val="0"/>
              <w:widowControl/>
              <w:numPr>
                <w:ilvl w:val="0"/>
                <w:numId w:val="5"/>
              </w:numPr>
              <w:suppressLineNumbers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0EE55D35">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诊前-门诊预检分诊改造</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1E0C41C8">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门诊预检集成慢病一体化功能，支持诊前病情回顾</w:t>
            </w:r>
          </w:p>
        </w:tc>
      </w:tr>
      <w:tr w14:paraId="7DEE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CE0AC45">
            <w:pPr>
              <w:pStyle w:val="60"/>
              <w:keepNext w:val="0"/>
              <w:keepLines w:val="0"/>
              <w:widowControl/>
              <w:numPr>
                <w:ilvl w:val="0"/>
                <w:numId w:val="5"/>
              </w:numPr>
              <w:suppressLineNumbers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78BC18F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17939668">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提供诊前预检体征数据同步功能</w:t>
            </w:r>
          </w:p>
        </w:tc>
      </w:tr>
      <w:tr w14:paraId="48D3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86D0FF5">
            <w:pPr>
              <w:pStyle w:val="60"/>
              <w:keepNext w:val="0"/>
              <w:keepLines w:val="0"/>
              <w:widowControl/>
              <w:numPr>
                <w:ilvl w:val="0"/>
                <w:numId w:val="5"/>
              </w:numPr>
              <w:suppressLineNumbers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highlight w:val="none"/>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72BE539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诊中-门诊医生改造</w:t>
            </w: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7AEF0D9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集成门诊医助的门诊回顾功能</w:t>
            </w:r>
          </w:p>
        </w:tc>
      </w:tr>
      <w:tr w14:paraId="49D1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967373C">
            <w:pPr>
              <w:pStyle w:val="60"/>
              <w:keepNext w:val="0"/>
              <w:keepLines w:val="0"/>
              <w:widowControl/>
              <w:numPr>
                <w:ilvl w:val="0"/>
                <w:numId w:val="5"/>
              </w:numPr>
              <w:suppressLineNumbers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27321CD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409AEAC">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集成门诊医助的处方建议功能</w:t>
            </w:r>
          </w:p>
        </w:tc>
      </w:tr>
      <w:tr w14:paraId="676F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6A06EEA">
            <w:pPr>
              <w:pStyle w:val="60"/>
              <w:keepNext w:val="0"/>
              <w:keepLines w:val="0"/>
              <w:widowControl/>
              <w:numPr>
                <w:ilvl w:val="0"/>
                <w:numId w:val="5"/>
              </w:numPr>
              <w:suppressLineNumbers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32AD6A2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59C9DB5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集成门诊医助的门诊小结功能</w:t>
            </w:r>
          </w:p>
        </w:tc>
      </w:tr>
      <w:tr w14:paraId="1383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6E93D4C">
            <w:pPr>
              <w:pStyle w:val="60"/>
              <w:keepNext w:val="0"/>
              <w:keepLines w:val="0"/>
              <w:widowControl/>
              <w:numPr>
                <w:ilvl w:val="0"/>
                <w:numId w:val="5"/>
              </w:numPr>
              <w:suppressLineNumbers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084DC75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4EA8CCF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集成诊后患者诊疗信息功能</w:t>
            </w:r>
          </w:p>
        </w:tc>
      </w:tr>
      <w:tr w14:paraId="6349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8021F81">
            <w:pPr>
              <w:pStyle w:val="60"/>
              <w:keepNext w:val="0"/>
              <w:keepLines w:val="0"/>
              <w:widowControl/>
              <w:numPr>
                <w:ilvl w:val="0"/>
                <w:numId w:val="5"/>
              </w:numPr>
              <w:suppressLineNumbers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1329699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324" w:type="dxa"/>
            <w:tcBorders>
              <w:top w:val="single" w:color="auto" w:sz="4" w:space="0"/>
              <w:left w:val="single" w:color="auto" w:sz="4" w:space="0"/>
              <w:bottom w:val="single" w:color="auto" w:sz="4" w:space="0"/>
              <w:right w:val="single" w:color="auto" w:sz="4" w:space="0"/>
            </w:tcBorders>
            <w:shd w:val="clear" w:color="auto" w:fill="auto"/>
            <w:vAlign w:val="center"/>
          </w:tcPr>
          <w:p w14:paraId="2257C5E1">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集成慢病随访功能</w:t>
            </w:r>
          </w:p>
        </w:tc>
      </w:tr>
    </w:tbl>
    <w:p w14:paraId="17EB506A">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5AD64CCB">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5.3肺癌筛查系统升级</w:t>
      </w:r>
    </w:p>
    <w:p w14:paraId="4282EE45">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5.3.1用户管理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1369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36CE1F8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0556821A">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35E879F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1C1D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F0FED3F">
            <w:pPr>
              <w:pStyle w:val="60"/>
              <w:keepNext w:val="0"/>
              <w:keepLines w:val="0"/>
              <w:widowControl/>
              <w:numPr>
                <w:ilvl w:val="0"/>
                <w:numId w:val="6"/>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288BCF">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角色</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8B55FA0">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中心管理员，机构管理员，执行员(医生)，居民</w:t>
            </w:r>
          </w:p>
        </w:tc>
      </w:tr>
      <w:tr w14:paraId="7A68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68809E9">
            <w:pPr>
              <w:pStyle w:val="60"/>
              <w:keepNext w:val="0"/>
              <w:keepLines w:val="0"/>
              <w:widowControl/>
              <w:numPr>
                <w:ilvl w:val="0"/>
                <w:numId w:val="6"/>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55F468D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权限职责</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3957BF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中心管理员：增、删、改、查机构，查看各机构的数据统计；</w:t>
            </w:r>
          </w:p>
        </w:tc>
      </w:tr>
      <w:tr w14:paraId="4E9A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B699D68">
            <w:pPr>
              <w:pStyle w:val="60"/>
              <w:keepNext w:val="0"/>
              <w:keepLines w:val="0"/>
              <w:widowControl/>
              <w:numPr>
                <w:ilvl w:val="0"/>
                <w:numId w:val="6"/>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26C64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65AFDE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机构管理员：管理本机构内的居民数据，医生数据，CT资源（每年CT任务数，每天预约数）；</w:t>
            </w:r>
          </w:p>
        </w:tc>
      </w:tr>
      <w:tr w14:paraId="1DD5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09018AD">
            <w:pPr>
              <w:pStyle w:val="60"/>
              <w:keepNext w:val="0"/>
              <w:keepLines w:val="0"/>
              <w:widowControl/>
              <w:numPr>
                <w:ilvl w:val="0"/>
                <w:numId w:val="6"/>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8D8C79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144527C">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执行员（医生）：居民信息录入，问卷录入，CT预约，CT结果录入，随访结果录入，机构内数据统计；</w:t>
            </w:r>
          </w:p>
        </w:tc>
      </w:tr>
      <w:tr w14:paraId="558E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06CBC7B">
            <w:pPr>
              <w:pStyle w:val="60"/>
              <w:keepNext w:val="0"/>
              <w:keepLines w:val="0"/>
              <w:widowControl/>
              <w:numPr>
                <w:ilvl w:val="0"/>
                <w:numId w:val="6"/>
              </w:numPr>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6B7FAB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3785D90">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居民：基本信息录入，问卷录入，CT预约结果查看，CT结果查看，随访结果查看；</w:t>
            </w:r>
          </w:p>
        </w:tc>
      </w:tr>
    </w:tbl>
    <w:p w14:paraId="2ECB59E1">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37447181">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5.3.2机构管理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1B07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459BD4E2">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2CE8D52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19BE5BA9">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0624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F74524E">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9F705D">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CT资源</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910FBA8">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机构内CT任务数（按年），预约数管理（按天，分上下午2时段）</w:t>
            </w:r>
          </w:p>
        </w:tc>
      </w:tr>
      <w:tr w14:paraId="0889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FC58D2A">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E018B2">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数据统计</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C06FDA7">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统计整体CT检查数，筛查进度；</w:t>
            </w:r>
          </w:p>
          <w:p w14:paraId="11F12872">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2"/>
                <w:sz w:val="24"/>
                <w:szCs w:val="24"/>
                <w:highlight w:val="none"/>
              </w:rPr>
            </w:pPr>
            <w:r>
              <w:rPr>
                <w:rFonts w:hint="eastAsia" w:ascii="宋体" w:hAnsi="宋体" w:eastAsia="宋体" w:cs="宋体"/>
                <w:bCs/>
                <w:color w:val="auto"/>
                <w:kern w:val="0"/>
                <w:sz w:val="24"/>
                <w:szCs w:val="24"/>
                <w:highlight w:val="none"/>
                <w:lang w:val="en-US" w:eastAsia="zh-CN" w:bidi="ar"/>
              </w:rPr>
              <w:t>统计机构内个人业绩（问卷数，随访数）；</w:t>
            </w:r>
          </w:p>
        </w:tc>
      </w:tr>
      <w:tr w14:paraId="2C4A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CA78396">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374347">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转诊</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08B3EC0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机构间转诊记录</w:t>
            </w:r>
          </w:p>
        </w:tc>
      </w:tr>
    </w:tbl>
    <w:p w14:paraId="3F2C170E">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6F0B88B0">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5.3.3居民信息管理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53F1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7B25865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0680070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36710C1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69F2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9BC9531">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6ACEC2">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基本信息</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765261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kern w:val="2"/>
                <w:sz w:val="24"/>
                <w:szCs w:val="24"/>
                <w:highlight w:val="none"/>
              </w:rPr>
            </w:pPr>
            <w:r>
              <w:rPr>
                <w:rFonts w:hint="eastAsia" w:ascii="宋体" w:hAnsi="宋体" w:eastAsia="宋体" w:cs="宋体"/>
                <w:bCs/>
                <w:color w:val="auto"/>
                <w:kern w:val="0"/>
                <w:sz w:val="24"/>
                <w:szCs w:val="24"/>
                <w:highlight w:val="none"/>
                <w:lang w:val="en-US" w:eastAsia="zh-CN" w:bidi="ar"/>
              </w:rPr>
              <w:t>姓名，性别，年龄，身份证号，手机号，住址等</w:t>
            </w:r>
          </w:p>
        </w:tc>
      </w:tr>
      <w:tr w14:paraId="5728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AFC88B0">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AFD38F">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问卷信息</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C0BD829">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调查问卷，根据问卷自动判别高风险，低风险</w:t>
            </w:r>
          </w:p>
        </w:tc>
      </w:tr>
      <w:tr w14:paraId="50BE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4466806">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E06F53">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CT数据</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FB79D5A">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记录值包括：是否非钙化结节（单选），是否多发结节（单选），结节大小（输入mm），有无毛刺（单选），结节形态（文本输入），是否气道病变（单选），是否其他肺部异常（单选），CT报告单</w:t>
            </w:r>
          </w:p>
        </w:tc>
      </w:tr>
      <w:tr w14:paraId="22AD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AD6C9D1">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5AB9EC">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影像数据</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422D34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原始dicom影像（CT，MR）</w:t>
            </w:r>
          </w:p>
        </w:tc>
      </w:tr>
      <w:tr w14:paraId="7B61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2A2FA20">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78BD7A">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随访信息</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01F29A8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按照计划进行随访，并记录随访数据</w:t>
            </w:r>
          </w:p>
        </w:tc>
      </w:tr>
      <w:tr w14:paraId="4D9A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3AF9093">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A97A26">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数据检索</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057423D4">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支持高级检索功能，如按年龄、性别、结节形态等搜索</w:t>
            </w:r>
          </w:p>
        </w:tc>
      </w:tr>
    </w:tbl>
    <w:p w14:paraId="2C7D4361">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0670CE38">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5.3.4影像管理服务</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7B7B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60F22FD1">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0EFF3A8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1E4312E8">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3C62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E9B19AD">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9E679D">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图像信息管理</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181196A">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4"/>
                <w:szCs w:val="24"/>
                <w:highlight w:val="none"/>
                <w:lang w:val="en-US" w:eastAsia="zh-CN" w:bidi="ar"/>
              </w:rPr>
              <w:t>从dicom影像中解析并记录用户信息，比如检查的时间，若有多次检查，可供医生进行影像比对</w:t>
            </w:r>
          </w:p>
        </w:tc>
      </w:tr>
      <w:tr w14:paraId="46C6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57E7023">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4D312A">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影像导入</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D42B786">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支持dicom格式的CT，MR离线导入并显示，网络许可的情况下支持dicom传输（由医院的PACS直接发送影像到本系统）</w:t>
            </w:r>
          </w:p>
        </w:tc>
      </w:tr>
      <w:tr w14:paraId="17D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E43F72C">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228808">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图像工具</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2D9F99B">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支持</w:t>
            </w:r>
            <w:r>
              <w:rPr>
                <w:rFonts w:hint="eastAsia" w:ascii="宋体" w:hAnsi="宋体" w:eastAsia="宋体" w:cs="宋体"/>
                <w:color w:val="auto"/>
                <w:kern w:val="2"/>
                <w:sz w:val="24"/>
                <w:szCs w:val="24"/>
                <w:highlight w:val="none"/>
                <w:lang w:val="en-US" w:eastAsia="zh-CN" w:bidi="ar"/>
              </w:rPr>
              <w:t>MPR重建，CPR重建，窗宽、窗位调节，支持MIP，MinIP，Avg，支持1个用户上传多套图像，支持2套影像比对显示并同步切换，多种多窗格显示，</w:t>
            </w:r>
            <w:r>
              <w:rPr>
                <w:rFonts w:hint="eastAsia" w:ascii="宋体" w:hAnsi="宋体" w:eastAsia="宋体" w:cs="宋体"/>
                <w:bCs/>
                <w:color w:val="auto"/>
                <w:kern w:val="2"/>
                <w:sz w:val="24"/>
                <w:szCs w:val="24"/>
                <w:highlight w:val="none"/>
                <w:lang w:val="en-US" w:eastAsia="zh-CN" w:bidi="ar"/>
              </w:rPr>
              <w:t>支持距离测量，角度测量，支持测量封闭曲线面积及内部影像最大，最小，平均值</w:t>
            </w:r>
          </w:p>
        </w:tc>
      </w:tr>
    </w:tbl>
    <w:p w14:paraId="61466304">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44777EFE">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5.3.5感兴趣区</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2B01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20CB2067">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3C5EC390">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0103287E">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1C54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F1CD1AD">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122A5B">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感兴趣区</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21F936B">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添加、复制或删除感兴趣区，查看和修改感兴趣区属性（名称，颜色，线宽）</w:t>
            </w:r>
          </w:p>
        </w:tc>
      </w:tr>
      <w:tr w14:paraId="3389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8FF5088">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972B52">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工具</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8BC11B0">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手动勾画器官轮廓，轮廓线映射：相邻层轮廓线映射到本层，轮廓线插值、平滑、拉伸、旋转和缩放，轮廓过滤，按照面积过滤，体积计算</w:t>
            </w:r>
          </w:p>
        </w:tc>
      </w:tr>
    </w:tbl>
    <w:p w14:paraId="327EA9CA">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273BD9BA">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5.3.6问卷</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367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71A028B4">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5BA49B1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1355FEA6">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4C93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D71ED51">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994B67">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调查问卷</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15C7254">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4"/>
                <w:szCs w:val="24"/>
                <w:highlight w:val="none"/>
                <w:lang w:val="en-US" w:eastAsia="zh-CN" w:bidi="ar"/>
              </w:rPr>
              <w:t>问卷内容包括：吸烟情况，被动吸烟情况，职业暴露史，慢性阻塞性肺疾病既往史，肺癌家族史，既往史</w:t>
            </w:r>
          </w:p>
        </w:tc>
      </w:tr>
      <w:tr w14:paraId="3F03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C51CE46">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9DA342">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数据统计</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4E28DEF">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按照问卷内的某一条进行数据统计</w:t>
            </w:r>
          </w:p>
        </w:tc>
      </w:tr>
    </w:tbl>
    <w:p w14:paraId="40164558">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0A1A5677">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5.3.7随访</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14E8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67F98FA3">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6952115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4FB4372D">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7EC2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E14A62A">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FE7300">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随访计划</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4D64EEA">
            <w:pPr>
              <w:pStyle w:val="60"/>
              <w:keepNext w:val="0"/>
              <w:keepLines w:val="0"/>
              <w:widowControl w:val="0"/>
              <w:suppressLineNumbers w:val="0"/>
              <w:adjustRightInd w:val="0"/>
              <w:spacing w:before="0" w:beforeLines="0" w:beforeAutospacing="0" w:after="0" w:afterLines="0" w:afterAutospacing="0" w:line="360" w:lineRule="auto"/>
              <w:ind w:left="0" w:right="0" w:firstLine="0"/>
              <w:jc w:val="left"/>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2"/>
                <w:sz w:val="24"/>
                <w:szCs w:val="24"/>
                <w:highlight w:val="none"/>
                <w:vertAlign w:val="baseline"/>
                <w:lang w:val="en-US" w:eastAsia="zh-CN" w:bidi="ar"/>
              </w:rPr>
              <w:t>第一次：出CT报告的一周内，社区医生电话提醒CT报告有问题的居民就诊；</w:t>
            </w:r>
          </w:p>
          <w:p w14:paraId="4A5CC771">
            <w:pPr>
              <w:pStyle w:val="60"/>
              <w:keepNext w:val="0"/>
              <w:keepLines w:val="0"/>
              <w:widowControl w:val="0"/>
              <w:suppressLineNumbers w:val="0"/>
              <w:adjustRightInd w:val="0"/>
              <w:spacing w:before="0" w:beforeLines="0" w:beforeAutospacing="0" w:after="0" w:afterLines="0" w:afterAutospacing="0" w:line="360" w:lineRule="auto"/>
              <w:ind w:left="0" w:right="0" w:firstLine="0"/>
              <w:jc w:val="left"/>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2"/>
                <w:sz w:val="24"/>
                <w:szCs w:val="24"/>
                <w:highlight w:val="none"/>
                <w:vertAlign w:val="baseline"/>
                <w:lang w:val="en-US" w:eastAsia="zh-CN" w:bidi="ar"/>
              </w:rPr>
              <w:t>第二次：距第一次电话1个月，社区医生电话询问是否就诊及具体就诊情况；</w:t>
            </w:r>
          </w:p>
          <w:p w14:paraId="6F11E8CE">
            <w:pPr>
              <w:pStyle w:val="60"/>
              <w:keepNext w:val="0"/>
              <w:keepLines w:val="0"/>
              <w:widowControl w:val="0"/>
              <w:suppressLineNumbers w:val="0"/>
              <w:adjustRightInd w:val="0"/>
              <w:spacing w:before="0" w:beforeLines="0" w:beforeAutospacing="0" w:after="0" w:afterLines="0" w:afterAutospacing="0" w:line="360" w:lineRule="auto"/>
              <w:ind w:left="0" w:right="0" w:firstLine="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Cs/>
                <w:color w:val="auto"/>
                <w:kern w:val="2"/>
                <w:sz w:val="24"/>
                <w:szCs w:val="24"/>
                <w:highlight w:val="none"/>
                <w:vertAlign w:val="baseline"/>
                <w:lang w:val="en-US" w:eastAsia="zh-CN" w:bidi="ar"/>
              </w:rPr>
              <w:t>第三次：距第一次电话1年，社区医生电话提醒项目已结束，居民继续自行随访</w:t>
            </w:r>
          </w:p>
        </w:tc>
      </w:tr>
      <w:tr w14:paraId="2295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139813B">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2506AA">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随访问卷</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CF8D12C">
            <w:pPr>
              <w:pStyle w:val="60"/>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随访内容：是否生存、是否手术、健康状况、是否CT复查、复查日期、复查文字结果、病理报告文字结论等等</w:t>
            </w:r>
          </w:p>
        </w:tc>
      </w:tr>
      <w:tr w14:paraId="5D40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D46B0EB">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DCEFDD5">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数据统计</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08B002EC">
            <w:pPr>
              <w:pStyle w:val="60"/>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按照问卷内的某一条进行数据统计</w:t>
            </w:r>
          </w:p>
        </w:tc>
      </w:tr>
    </w:tbl>
    <w:p w14:paraId="2DFE9E94">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p>
    <w:p w14:paraId="55D760AB">
      <w:pPr>
        <w:rPr>
          <w:rFonts w:hint="eastAsia" w:ascii="宋体" w:hAnsi="宋体" w:eastAsia="宋体" w:cs="宋体"/>
          <w:b/>
          <w:bCs w:val="0"/>
          <w:color w:val="auto"/>
          <w:kern w:val="2"/>
          <w:sz w:val="24"/>
          <w:szCs w:val="24"/>
          <w:highlight w:val="none"/>
          <w:lang w:val="en-US" w:eastAsia="zh-CN"/>
        </w:rPr>
      </w:pPr>
    </w:p>
    <w:p w14:paraId="2C7952D9">
      <w:pPr>
        <w:pStyle w:val="2"/>
        <w:rPr>
          <w:rFonts w:hint="eastAsia"/>
          <w:color w:val="auto"/>
          <w:highlight w:val="none"/>
          <w:lang w:val="en-US" w:eastAsia="zh-CN"/>
        </w:rPr>
      </w:pPr>
    </w:p>
    <w:p w14:paraId="3E01B492">
      <w:pPr>
        <w:pStyle w:val="7"/>
        <w:pageBreakBefore w:val="0"/>
        <w:widowControl/>
        <w:numPr>
          <w:ilvl w:val="0"/>
          <w:numId w:val="0"/>
        </w:numPr>
        <w:tabs>
          <w:tab w:val="clear" w:pos="432"/>
        </w:tabs>
        <w:kinsoku/>
        <w:wordWrap/>
        <w:overflowPunct/>
        <w:topLinePunct w:val="0"/>
        <w:autoSpaceDE/>
        <w:autoSpaceDN/>
        <w:bidi w:val="0"/>
        <w:spacing w:line="360" w:lineRule="auto"/>
        <w:ind w:left="-576" w:leftChars="0" w:firstLine="964" w:firstLineChars="4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5.3.8数据统计和分析服务</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276"/>
        <w:gridCol w:w="6174"/>
      </w:tblGrid>
      <w:tr w14:paraId="61F2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D8D8D8"/>
            <w:vAlign w:val="center"/>
          </w:tcPr>
          <w:p w14:paraId="139ED654">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D8D8D8"/>
            <w:vAlign w:val="center"/>
          </w:tcPr>
          <w:p w14:paraId="7FEA26B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系统模块</w:t>
            </w:r>
          </w:p>
        </w:tc>
        <w:tc>
          <w:tcPr>
            <w:tcW w:w="6174" w:type="dxa"/>
            <w:tcBorders>
              <w:top w:val="single" w:color="auto" w:sz="4" w:space="0"/>
              <w:left w:val="single" w:color="auto" w:sz="4" w:space="0"/>
              <w:bottom w:val="single" w:color="auto" w:sz="4" w:space="0"/>
              <w:right w:val="single" w:color="auto" w:sz="4" w:space="0"/>
            </w:tcBorders>
            <w:shd w:val="clear" w:color="auto" w:fill="D8D8D8"/>
            <w:vAlign w:val="center"/>
          </w:tcPr>
          <w:p w14:paraId="44650E6C">
            <w:pPr>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技术参数</w:t>
            </w:r>
          </w:p>
        </w:tc>
      </w:tr>
      <w:tr w14:paraId="045B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6330226">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211B5A">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展示形式</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A57F363">
            <w:pPr>
              <w:pStyle w:val="60"/>
              <w:keepNext w:val="0"/>
              <w:keepLines w:val="0"/>
              <w:widowControl/>
              <w:suppressLineNumbers w:val="0"/>
              <w:spacing w:before="0" w:beforeLines="0" w:beforeAutospacing="0" w:after="0" w:afterLines="0" w:afterAutospacing="0" w:line="360" w:lineRule="auto"/>
              <w:ind w:left="0" w:right="0"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折线图，柱状图，饼图</w:t>
            </w:r>
          </w:p>
        </w:tc>
      </w:tr>
      <w:tr w14:paraId="3605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21F9FC8">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E40039">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统计内容</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2A7BF0D">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bCs/>
                <w:color w:val="auto"/>
                <w:kern w:val="2"/>
                <w:sz w:val="24"/>
                <w:szCs w:val="24"/>
                <w:highlight w:val="none"/>
              </w:rPr>
            </w:pPr>
            <w:r>
              <w:rPr>
                <w:rFonts w:hint="eastAsia" w:ascii="宋体" w:hAnsi="宋体" w:eastAsia="宋体" w:cs="宋体"/>
                <w:color w:val="auto"/>
                <w:spacing w:val="8"/>
                <w:kern w:val="2"/>
                <w:sz w:val="24"/>
                <w:szCs w:val="24"/>
                <w:highlight w:val="none"/>
                <w:shd w:val="clear" w:fill="FFFFFF"/>
                <w:lang w:val="en-US" w:eastAsia="zh-CN" w:bidi="ar"/>
              </w:rPr>
              <w:t>可按整体筛选数据统计，机构数据</w:t>
            </w:r>
            <w:r>
              <w:rPr>
                <w:rFonts w:hint="eastAsia" w:ascii="宋体" w:hAnsi="宋体" w:cs="宋体"/>
                <w:color w:val="auto"/>
                <w:spacing w:val="8"/>
                <w:kern w:val="2"/>
                <w:sz w:val="24"/>
                <w:szCs w:val="24"/>
                <w:highlight w:val="none"/>
                <w:shd w:val="clear" w:fill="FFFFFF"/>
                <w:lang w:val="en-US" w:eastAsia="zh-CN" w:bidi="ar"/>
              </w:rPr>
              <w:t>统计</w:t>
            </w:r>
            <w:r>
              <w:rPr>
                <w:rFonts w:hint="eastAsia" w:ascii="宋体" w:hAnsi="宋体" w:eastAsia="宋体" w:cs="宋体"/>
                <w:color w:val="auto"/>
                <w:spacing w:val="8"/>
                <w:kern w:val="2"/>
                <w:sz w:val="24"/>
                <w:szCs w:val="24"/>
                <w:highlight w:val="none"/>
                <w:shd w:val="clear" w:fill="FFFFFF"/>
                <w:lang w:val="en-US" w:eastAsia="zh-CN" w:bidi="ar"/>
              </w:rPr>
              <w:t>。内容包括：居民基本数据，问卷调查结果，随访数据</w:t>
            </w:r>
          </w:p>
        </w:tc>
      </w:tr>
      <w:tr w14:paraId="7114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9E703F1">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5E1F0C0">
            <w:pPr>
              <w:pStyle w:val="60"/>
              <w:keepNext w:val="0"/>
              <w:keepLines w:val="0"/>
              <w:widowControl/>
              <w:suppressLineNumbers w:val="0"/>
              <w:spacing w:before="0" w:beforeLines="0" w:beforeAutospacing="0" w:after="0" w:afterLines="0" w:afterAutospacing="0" w:line="360" w:lineRule="auto"/>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绩效统计</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64618C5">
            <w:pPr>
              <w:keepNext w:val="0"/>
              <w:keepLines w:val="0"/>
              <w:widowControl/>
              <w:suppressLineNumbers w:val="0"/>
              <w:spacing w:before="0" w:beforeLines="0" w:beforeAutospacing="0" w:after="0" w:afterLines="0" w:afterAutospacing="0" w:line="360" w:lineRule="auto"/>
              <w:ind w:left="0" w:right="0" w:firstLine="0"/>
              <w:jc w:val="left"/>
              <w:rPr>
                <w:rFonts w:hint="eastAsia" w:ascii="宋体" w:hAnsi="宋体" w:eastAsia="宋体" w:cs="宋体"/>
                <w:color w:val="auto"/>
                <w:spacing w:val="8"/>
                <w:kern w:val="2"/>
                <w:sz w:val="24"/>
                <w:szCs w:val="24"/>
                <w:highlight w:val="none"/>
                <w:shd w:val="clear" w:fill="FFFFFF"/>
              </w:rPr>
            </w:pPr>
            <w:r>
              <w:rPr>
                <w:rFonts w:hint="eastAsia" w:ascii="宋体" w:hAnsi="宋体" w:eastAsia="宋体" w:cs="宋体"/>
                <w:color w:val="auto"/>
                <w:spacing w:val="8"/>
                <w:kern w:val="2"/>
                <w:sz w:val="24"/>
                <w:szCs w:val="24"/>
                <w:highlight w:val="none"/>
                <w:shd w:val="clear" w:fill="FFFFFF"/>
                <w:lang w:val="en-US" w:eastAsia="zh-CN" w:bidi="ar"/>
              </w:rPr>
              <w:t>每家机构按年进行CT检查数据，筛查进度统计。对每个工作人员业务量绩效统计（问卷、随访数）</w:t>
            </w:r>
          </w:p>
        </w:tc>
      </w:tr>
    </w:tbl>
    <w:p w14:paraId="115B3648">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注：凡标有最低一级序号的条款项即为一项技术条款，无论是否隶属于上一级编号。</w:t>
      </w:r>
    </w:p>
    <w:p w14:paraId="0957DE36">
      <w:pPr>
        <w:pStyle w:val="82"/>
        <w:ind w:firstLine="480"/>
        <w:rPr>
          <w:rFonts w:hint="eastAsia" w:ascii="宋体" w:hAnsi="宋体" w:eastAsia="宋体" w:cs="宋体"/>
          <w:color w:val="auto"/>
          <w:sz w:val="24"/>
          <w:szCs w:val="24"/>
          <w:highlight w:val="none"/>
        </w:rPr>
      </w:pPr>
    </w:p>
    <w:p w14:paraId="3849CDE2">
      <w:pPr>
        <w:snapToGrid w:val="0"/>
        <w:spacing w:line="360" w:lineRule="auto"/>
        <w:ind w:firstLine="482" w:firstLineChars="200"/>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（六）项目实施要求</w:t>
      </w:r>
    </w:p>
    <w:p w14:paraId="21F55F5C">
      <w:pPr>
        <w:pStyle w:val="82"/>
        <w:ind w:right="-51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1、投标人有责任检查安装现场是否符合产品安装条件。</w:t>
      </w:r>
    </w:p>
    <w:p w14:paraId="79C2C7D0">
      <w:pPr>
        <w:pStyle w:val="82"/>
        <w:ind w:right="-51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2、投标人应承担投标软件的安装、测试和有关配置工作，进行实际的测试。</w:t>
      </w:r>
    </w:p>
    <w:p w14:paraId="33EA0819">
      <w:pPr>
        <w:pStyle w:val="82"/>
        <w:ind w:right="-51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3、投标人应全力与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、系统集成商及其他供应商配合，根据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的详细需求，提交实施方案得到买方及集成商确认后实施，保证系统按时、正常地投入运行。</w:t>
      </w:r>
    </w:p>
    <w:p w14:paraId="29E1F016">
      <w:pPr>
        <w:pStyle w:val="82"/>
        <w:ind w:right="-51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4、产品实施过程中，如果牵涉到与第三方产品集成工作，投标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应与集成商及其他供应商通力合作，并提供必要的技术支持。</w:t>
      </w:r>
    </w:p>
    <w:p w14:paraId="393F67FB">
      <w:pPr>
        <w:pStyle w:val="82"/>
        <w:ind w:right="-51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5、投标人应在投标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中提供本次项目实施的实施人员名单，以及整个软件实施工期的具体计划安排表。</w:t>
      </w:r>
    </w:p>
    <w:p w14:paraId="0B1A4737">
      <w:pPr>
        <w:pStyle w:val="82"/>
        <w:ind w:right="-512" w:firstLine="480"/>
        <w:rPr>
          <w:rFonts w:hint="eastAsia" w:ascii="宋体" w:hAnsi="宋体" w:eastAsia="宋体" w:cs="宋体"/>
          <w:color w:val="auto"/>
          <w:sz w:val="24"/>
          <w:szCs w:val="24"/>
          <w:highlight w:val="none"/>
        </w:rPr>
      </w:pPr>
    </w:p>
    <w:p w14:paraId="18C68CDF">
      <w:pPr>
        <w:pStyle w:val="82"/>
        <w:ind w:right="-512" w:firstLine="480"/>
        <w:rPr>
          <w:rFonts w:hint="eastAsia" w:ascii="宋体" w:hAnsi="宋体" w:eastAsia="宋体" w:cs="宋体"/>
          <w:color w:val="auto"/>
          <w:sz w:val="24"/>
          <w:szCs w:val="24"/>
          <w:highlight w:val="none"/>
        </w:rPr>
      </w:pPr>
    </w:p>
    <w:p w14:paraId="08C4DB23">
      <w:pPr>
        <w:pStyle w:val="82"/>
        <w:ind w:right="-512" w:firstLine="480"/>
        <w:rPr>
          <w:rFonts w:hint="eastAsia" w:ascii="宋体" w:hAnsi="宋体" w:eastAsia="宋体" w:cs="宋体"/>
          <w:color w:val="auto"/>
          <w:sz w:val="24"/>
          <w:szCs w:val="24"/>
          <w:highlight w:val="none"/>
        </w:rPr>
      </w:pPr>
    </w:p>
    <w:p w14:paraId="10E3EAA4">
      <w:pPr>
        <w:pStyle w:val="82"/>
        <w:ind w:right="-512" w:firstLine="480"/>
        <w:rPr>
          <w:rFonts w:hint="eastAsia" w:ascii="宋体" w:hAnsi="宋体" w:eastAsia="宋体" w:cs="宋体"/>
          <w:color w:val="auto"/>
          <w:sz w:val="24"/>
          <w:szCs w:val="24"/>
          <w:highlight w:val="none"/>
        </w:rPr>
      </w:pPr>
    </w:p>
    <w:p w14:paraId="46614DBE">
      <w:pPr>
        <w:pStyle w:val="82"/>
        <w:ind w:right="-512" w:firstLine="480"/>
        <w:rPr>
          <w:rFonts w:hint="eastAsia" w:ascii="宋体" w:hAnsi="宋体" w:eastAsia="宋体" w:cs="宋体"/>
          <w:color w:val="auto"/>
          <w:sz w:val="24"/>
          <w:szCs w:val="24"/>
          <w:highlight w:val="none"/>
        </w:rPr>
      </w:pPr>
    </w:p>
    <w:p w14:paraId="4389F004">
      <w:pPr>
        <w:pStyle w:val="82"/>
        <w:ind w:right="-512" w:firstLine="480"/>
        <w:rPr>
          <w:rFonts w:hint="eastAsia" w:ascii="宋体" w:hAnsi="宋体" w:eastAsia="宋体" w:cs="宋体"/>
          <w:color w:val="auto"/>
          <w:sz w:val="24"/>
          <w:szCs w:val="24"/>
          <w:highlight w:val="none"/>
        </w:rPr>
      </w:pPr>
    </w:p>
    <w:p w14:paraId="2E1D4D67">
      <w:pPr>
        <w:pStyle w:val="82"/>
        <w:ind w:right="-512" w:firstLine="480"/>
        <w:rPr>
          <w:rFonts w:hint="eastAsia" w:ascii="宋体" w:hAnsi="宋体" w:eastAsia="宋体" w:cs="宋体"/>
          <w:color w:val="auto"/>
          <w:sz w:val="24"/>
          <w:szCs w:val="24"/>
          <w:highlight w:val="none"/>
        </w:rPr>
      </w:pPr>
    </w:p>
    <w:p w14:paraId="4DAC946F">
      <w:pPr>
        <w:pStyle w:val="82"/>
        <w:ind w:right="-512" w:firstLine="480"/>
        <w:rPr>
          <w:rFonts w:hint="eastAsia" w:ascii="宋体" w:hAnsi="宋体" w:eastAsia="宋体" w:cs="宋体"/>
          <w:color w:val="auto"/>
          <w:sz w:val="24"/>
          <w:szCs w:val="24"/>
          <w:highlight w:val="none"/>
        </w:rPr>
      </w:pPr>
    </w:p>
    <w:p w14:paraId="08B7E816">
      <w:pPr>
        <w:pStyle w:val="82"/>
        <w:ind w:right="-512" w:firstLine="480"/>
        <w:rPr>
          <w:rFonts w:ascii="宋体" w:hAnsi="宋体" w:eastAsia="宋体" w:cs="宋体"/>
          <w:color w:val="auto"/>
          <w:highlight w:val="none"/>
        </w:rPr>
      </w:pPr>
    </w:p>
    <w:p w14:paraId="64F880F4">
      <w:pPr>
        <w:pStyle w:val="82"/>
        <w:ind w:right="-512" w:firstLine="480"/>
        <w:rPr>
          <w:rFonts w:ascii="宋体" w:hAnsi="宋体" w:eastAsia="宋体" w:cs="宋体"/>
          <w:color w:val="auto"/>
          <w:highlight w:val="none"/>
        </w:rPr>
      </w:pPr>
    </w:p>
    <w:p w14:paraId="6DFA9080">
      <w:pPr>
        <w:pStyle w:val="82"/>
        <w:ind w:right="-512" w:firstLine="480"/>
        <w:rPr>
          <w:rFonts w:ascii="宋体" w:hAnsi="宋体" w:eastAsia="宋体" w:cs="宋体"/>
          <w:color w:val="auto"/>
          <w:highlight w:val="none"/>
        </w:rPr>
      </w:pPr>
    </w:p>
    <w:p w14:paraId="04078C8D">
      <w:pPr>
        <w:pStyle w:val="82"/>
        <w:ind w:right="-512" w:firstLine="480"/>
        <w:rPr>
          <w:rFonts w:ascii="宋体" w:hAnsi="宋体" w:eastAsia="宋体" w:cs="宋体"/>
          <w:color w:val="auto"/>
          <w:highlight w:val="none"/>
        </w:rPr>
      </w:pPr>
    </w:p>
    <w:p w14:paraId="05A3FBE3">
      <w:pPr>
        <w:ind w:right="-512"/>
        <w:rPr>
          <w:rFonts w:ascii="宋体" w:hAnsi="宋体" w:cs="宋体"/>
          <w:color w:val="auto"/>
          <w:highlight w:val="none"/>
        </w:rPr>
      </w:pPr>
    </w:p>
    <w:p w14:paraId="4B587BBD">
      <w:pPr>
        <w:spacing w:line="360" w:lineRule="auto"/>
        <w:jc w:val="center"/>
        <w:outlineLvl w:val="0"/>
        <w:rPr>
          <w:rFonts w:ascii="宋体" w:hAnsi="宋体" w:cs="宋体"/>
          <w:b/>
          <w:color w:val="auto"/>
          <w:sz w:val="36"/>
          <w:szCs w:val="36"/>
          <w:highlight w:val="none"/>
        </w:rPr>
      </w:pPr>
      <w:bookmarkStart w:id="66" w:name="_Toc22578"/>
      <w:bookmarkStart w:id="67" w:name="_Toc22878"/>
      <w:r>
        <w:rPr>
          <w:rFonts w:hint="eastAsia" w:ascii="宋体" w:hAnsi="宋体" w:cs="宋体"/>
          <w:b/>
          <w:color w:val="auto"/>
          <w:sz w:val="36"/>
          <w:szCs w:val="36"/>
          <w:highlight w:val="none"/>
        </w:rPr>
        <w:t xml:space="preserve">第四部分   </w:t>
      </w:r>
      <w:bookmarkStart w:id="68" w:name="_Toc184310305"/>
      <w:bookmarkEnd w:id="68"/>
      <w:bookmarkStart w:id="69" w:name="_Toc184310307"/>
      <w:bookmarkEnd w:id="69"/>
      <w:bookmarkStart w:id="70" w:name="_Toc184312123"/>
      <w:bookmarkEnd w:id="70"/>
      <w:bookmarkStart w:id="71" w:name="_Toc184314479"/>
      <w:bookmarkEnd w:id="71"/>
      <w:bookmarkStart w:id="72" w:name="_Toc184313286"/>
      <w:bookmarkEnd w:id="72"/>
      <w:bookmarkStart w:id="73" w:name="_Toc184314480"/>
      <w:bookmarkEnd w:id="73"/>
      <w:bookmarkStart w:id="74" w:name="_Toc184310333"/>
      <w:bookmarkEnd w:id="74"/>
      <w:bookmarkStart w:id="75" w:name="_Toc184314426"/>
      <w:bookmarkEnd w:id="75"/>
      <w:bookmarkStart w:id="76" w:name="_Toc184312072"/>
      <w:bookmarkEnd w:id="76"/>
      <w:bookmarkStart w:id="77" w:name="_Toc184312100"/>
      <w:bookmarkEnd w:id="77"/>
      <w:bookmarkStart w:id="78" w:name="_Toc184310298"/>
      <w:bookmarkEnd w:id="78"/>
      <w:bookmarkStart w:id="79" w:name="_Toc184310322"/>
      <w:bookmarkEnd w:id="79"/>
      <w:bookmarkStart w:id="80" w:name="_Toc184310281"/>
      <w:bookmarkEnd w:id="80"/>
      <w:bookmarkStart w:id="81" w:name="_Toc184308096"/>
      <w:bookmarkEnd w:id="81"/>
      <w:bookmarkStart w:id="82" w:name="_Toc184308092"/>
      <w:bookmarkEnd w:id="82"/>
      <w:bookmarkStart w:id="83" w:name="_Toc184312118"/>
      <w:bookmarkEnd w:id="83"/>
      <w:bookmarkStart w:id="84" w:name="_Toc184312103"/>
      <w:bookmarkEnd w:id="84"/>
      <w:bookmarkStart w:id="85" w:name="_Toc184314439"/>
      <w:bookmarkEnd w:id="85"/>
      <w:bookmarkStart w:id="86" w:name="_Toc184310284"/>
      <w:bookmarkEnd w:id="86"/>
      <w:bookmarkStart w:id="87" w:name="_Toc184308059"/>
      <w:bookmarkEnd w:id="87"/>
      <w:bookmarkStart w:id="88" w:name="_Toc184308088"/>
      <w:bookmarkEnd w:id="88"/>
      <w:bookmarkStart w:id="89" w:name="_Toc184312084"/>
      <w:bookmarkEnd w:id="89"/>
      <w:bookmarkStart w:id="90" w:name="_Toc184308060"/>
      <w:bookmarkEnd w:id="90"/>
      <w:bookmarkStart w:id="91" w:name="_Toc184308053"/>
      <w:bookmarkEnd w:id="91"/>
      <w:bookmarkStart w:id="92" w:name="_Toc184308041"/>
      <w:bookmarkEnd w:id="92"/>
      <w:bookmarkStart w:id="93" w:name="_Toc184308065"/>
      <w:bookmarkEnd w:id="93"/>
      <w:bookmarkStart w:id="94" w:name="_Toc184313247"/>
      <w:bookmarkEnd w:id="94"/>
      <w:bookmarkStart w:id="95" w:name="_Toc184313251"/>
      <w:bookmarkEnd w:id="95"/>
      <w:bookmarkStart w:id="96" w:name="_Toc184310320"/>
      <w:bookmarkEnd w:id="96"/>
      <w:bookmarkStart w:id="97" w:name="_Toc184313245"/>
      <w:bookmarkEnd w:id="97"/>
      <w:bookmarkStart w:id="98" w:name="_Toc184314411"/>
      <w:bookmarkEnd w:id="98"/>
      <w:bookmarkStart w:id="99" w:name="_Toc184310330"/>
      <w:bookmarkEnd w:id="99"/>
      <w:bookmarkStart w:id="100" w:name="_Toc184312131"/>
      <w:bookmarkEnd w:id="100"/>
      <w:bookmarkStart w:id="101" w:name="_Toc184312077"/>
      <w:bookmarkEnd w:id="101"/>
      <w:bookmarkStart w:id="102" w:name="_Toc184312130"/>
      <w:bookmarkEnd w:id="102"/>
      <w:bookmarkStart w:id="103" w:name="_Toc184310323"/>
      <w:bookmarkEnd w:id="103"/>
      <w:bookmarkStart w:id="104" w:name="_Toc184308042"/>
      <w:bookmarkEnd w:id="104"/>
      <w:bookmarkStart w:id="105" w:name="_Toc184313270"/>
      <w:bookmarkEnd w:id="105"/>
      <w:bookmarkStart w:id="106" w:name="_Toc184308095"/>
      <w:bookmarkEnd w:id="106"/>
      <w:bookmarkStart w:id="107" w:name="_Toc184313243"/>
      <w:bookmarkEnd w:id="107"/>
      <w:bookmarkStart w:id="108" w:name="_Toc184312121"/>
      <w:bookmarkEnd w:id="108"/>
      <w:bookmarkStart w:id="109" w:name="_Toc184308055"/>
      <w:bookmarkEnd w:id="109"/>
      <w:bookmarkStart w:id="110" w:name="_Toc184314466"/>
      <w:bookmarkEnd w:id="110"/>
      <w:bookmarkStart w:id="111" w:name="_Toc184308091"/>
      <w:bookmarkEnd w:id="111"/>
      <w:bookmarkStart w:id="112" w:name="_Toc184313293"/>
      <w:bookmarkEnd w:id="112"/>
      <w:bookmarkStart w:id="113" w:name="_Toc184310343"/>
      <w:bookmarkEnd w:id="113"/>
      <w:bookmarkStart w:id="114" w:name="_Toc184314459"/>
      <w:bookmarkEnd w:id="114"/>
      <w:bookmarkStart w:id="115" w:name="_Toc184310272"/>
      <w:bookmarkEnd w:id="115"/>
      <w:bookmarkStart w:id="116" w:name="_Toc184310306"/>
      <w:bookmarkEnd w:id="116"/>
      <w:bookmarkStart w:id="117" w:name="_Toc184310304"/>
      <w:bookmarkEnd w:id="117"/>
      <w:bookmarkStart w:id="118" w:name="_Toc184310317"/>
      <w:bookmarkEnd w:id="118"/>
      <w:bookmarkStart w:id="119" w:name="_Toc184312113"/>
      <w:bookmarkEnd w:id="119"/>
      <w:bookmarkStart w:id="120" w:name="_Toc184314467"/>
      <w:bookmarkEnd w:id="120"/>
      <w:bookmarkStart w:id="121" w:name="_Toc184314478"/>
      <w:bookmarkEnd w:id="121"/>
      <w:bookmarkStart w:id="122" w:name="_Toc184312069"/>
      <w:bookmarkEnd w:id="122"/>
      <w:bookmarkStart w:id="123" w:name="_Toc184313240"/>
      <w:bookmarkEnd w:id="123"/>
      <w:bookmarkStart w:id="124" w:name="_Toc184312132"/>
      <w:bookmarkEnd w:id="124"/>
      <w:bookmarkStart w:id="125" w:name="_Toc184313246"/>
      <w:bookmarkEnd w:id="125"/>
      <w:bookmarkStart w:id="126" w:name="_Toc184313255"/>
      <w:bookmarkEnd w:id="126"/>
      <w:bookmarkStart w:id="127" w:name="_Toc184312110"/>
      <w:bookmarkEnd w:id="127"/>
      <w:bookmarkStart w:id="128" w:name="_Toc184308075"/>
      <w:bookmarkEnd w:id="128"/>
      <w:bookmarkStart w:id="129" w:name="_Toc184312102"/>
      <w:bookmarkEnd w:id="129"/>
      <w:bookmarkStart w:id="130" w:name="_Toc184314452"/>
      <w:bookmarkEnd w:id="130"/>
      <w:bookmarkStart w:id="131" w:name="_Toc184308103"/>
      <w:bookmarkEnd w:id="131"/>
      <w:bookmarkStart w:id="132" w:name="_Toc184312094"/>
      <w:bookmarkEnd w:id="132"/>
      <w:bookmarkStart w:id="133" w:name="_Toc184310313"/>
      <w:bookmarkEnd w:id="133"/>
      <w:bookmarkStart w:id="134" w:name="_Toc184312108"/>
      <w:bookmarkEnd w:id="134"/>
      <w:bookmarkStart w:id="135" w:name="_Toc184308066"/>
      <w:bookmarkEnd w:id="135"/>
      <w:bookmarkStart w:id="136" w:name="_Toc184310311"/>
      <w:bookmarkEnd w:id="136"/>
      <w:bookmarkStart w:id="137" w:name="_Toc184308044"/>
      <w:bookmarkEnd w:id="137"/>
      <w:bookmarkStart w:id="138" w:name="_Toc184308078"/>
      <w:bookmarkEnd w:id="138"/>
      <w:bookmarkStart w:id="139" w:name="_Toc184312068"/>
      <w:bookmarkEnd w:id="139"/>
      <w:bookmarkStart w:id="140" w:name="_Toc184308048"/>
      <w:bookmarkEnd w:id="140"/>
      <w:bookmarkStart w:id="141" w:name="_Toc184314476"/>
      <w:bookmarkEnd w:id="141"/>
      <w:bookmarkStart w:id="142" w:name="_Toc184308107"/>
      <w:bookmarkEnd w:id="142"/>
      <w:bookmarkStart w:id="143" w:name="_Toc184313264"/>
      <w:bookmarkEnd w:id="143"/>
      <w:bookmarkStart w:id="144" w:name="_Toc184312082"/>
      <w:bookmarkEnd w:id="144"/>
      <w:bookmarkStart w:id="145" w:name="_Toc184313308"/>
      <w:bookmarkEnd w:id="145"/>
      <w:bookmarkStart w:id="146" w:name="_Toc184312120"/>
      <w:bookmarkEnd w:id="146"/>
      <w:bookmarkStart w:id="147" w:name="_Toc184308097"/>
      <w:bookmarkEnd w:id="147"/>
      <w:bookmarkStart w:id="148" w:name="_Toc184310315"/>
      <w:bookmarkEnd w:id="148"/>
      <w:bookmarkStart w:id="149" w:name="_Toc184312117"/>
      <w:bookmarkEnd w:id="149"/>
      <w:bookmarkStart w:id="150" w:name="_Toc184314422"/>
      <w:bookmarkEnd w:id="150"/>
      <w:bookmarkStart w:id="151" w:name="_Toc184308038"/>
      <w:bookmarkEnd w:id="151"/>
      <w:bookmarkStart w:id="152" w:name="_Toc184313292"/>
      <w:bookmarkEnd w:id="152"/>
      <w:bookmarkStart w:id="153" w:name="_Toc184312091"/>
      <w:bookmarkEnd w:id="153"/>
      <w:bookmarkStart w:id="154" w:name="_Toc184310303"/>
      <w:bookmarkEnd w:id="154"/>
      <w:bookmarkStart w:id="155" w:name="_Toc184310285"/>
      <w:bookmarkEnd w:id="155"/>
      <w:bookmarkStart w:id="156" w:name="_Toc184314464"/>
      <w:bookmarkEnd w:id="156"/>
      <w:bookmarkStart w:id="157" w:name="_Toc184313273"/>
      <w:bookmarkEnd w:id="157"/>
      <w:bookmarkStart w:id="158" w:name="_Toc184313304"/>
      <w:bookmarkEnd w:id="158"/>
      <w:bookmarkStart w:id="159" w:name="_Toc184310341"/>
      <w:bookmarkEnd w:id="159"/>
      <w:bookmarkStart w:id="160" w:name="_Toc184308070"/>
      <w:bookmarkEnd w:id="160"/>
      <w:bookmarkStart w:id="161" w:name="_Toc184308098"/>
      <w:bookmarkEnd w:id="161"/>
      <w:bookmarkStart w:id="162" w:name="_Toc184313294"/>
      <w:bookmarkEnd w:id="162"/>
      <w:bookmarkStart w:id="163" w:name="_Toc184313282"/>
      <w:bookmarkEnd w:id="163"/>
      <w:bookmarkStart w:id="164" w:name="_Toc184310310"/>
      <w:bookmarkEnd w:id="164"/>
      <w:bookmarkStart w:id="165" w:name="_Toc184310273"/>
      <w:bookmarkEnd w:id="165"/>
      <w:bookmarkStart w:id="166" w:name="_Toc184314477"/>
      <w:bookmarkEnd w:id="166"/>
      <w:bookmarkStart w:id="167" w:name="_Toc184313290"/>
      <w:bookmarkEnd w:id="167"/>
      <w:bookmarkStart w:id="168" w:name="_Toc184312079"/>
      <w:bookmarkEnd w:id="168"/>
      <w:bookmarkStart w:id="169" w:name="_Toc184310340"/>
      <w:bookmarkEnd w:id="169"/>
      <w:bookmarkStart w:id="170" w:name="_Toc184314451"/>
      <w:bookmarkEnd w:id="170"/>
      <w:bookmarkStart w:id="171" w:name="_Toc184308085"/>
      <w:bookmarkEnd w:id="171"/>
      <w:bookmarkStart w:id="172" w:name="_Toc184314453"/>
      <w:bookmarkEnd w:id="172"/>
      <w:bookmarkStart w:id="173" w:name="_Toc184308102"/>
      <w:bookmarkEnd w:id="173"/>
      <w:bookmarkStart w:id="174" w:name="_Toc184312134"/>
      <w:bookmarkEnd w:id="174"/>
      <w:bookmarkStart w:id="175" w:name="_Toc184308064"/>
      <w:bookmarkEnd w:id="175"/>
      <w:bookmarkStart w:id="176" w:name="_Toc184314437"/>
      <w:bookmarkEnd w:id="176"/>
      <w:bookmarkStart w:id="177" w:name="_Toc184313296"/>
      <w:bookmarkEnd w:id="177"/>
      <w:bookmarkStart w:id="178" w:name="_Toc184312107"/>
      <w:bookmarkEnd w:id="178"/>
      <w:bookmarkStart w:id="179" w:name="_Toc184314419"/>
      <w:bookmarkEnd w:id="179"/>
      <w:bookmarkStart w:id="180" w:name="_Toc184312098"/>
      <w:bookmarkEnd w:id="180"/>
      <w:bookmarkStart w:id="181" w:name="_Toc184312127"/>
      <w:bookmarkEnd w:id="181"/>
      <w:bookmarkStart w:id="182" w:name="_Toc184308067"/>
      <w:bookmarkEnd w:id="182"/>
      <w:bookmarkStart w:id="183" w:name="_Toc184310286"/>
      <w:bookmarkEnd w:id="183"/>
      <w:bookmarkStart w:id="184" w:name="_Toc184308069"/>
      <w:bookmarkEnd w:id="184"/>
      <w:bookmarkStart w:id="185" w:name="_Toc184310309"/>
      <w:bookmarkEnd w:id="185"/>
      <w:bookmarkStart w:id="186" w:name="_Toc184308083"/>
      <w:bookmarkEnd w:id="186"/>
      <w:bookmarkStart w:id="187" w:name="_Toc184313285"/>
      <w:bookmarkEnd w:id="187"/>
      <w:bookmarkStart w:id="188" w:name="_Toc184314412"/>
      <w:bookmarkEnd w:id="188"/>
      <w:bookmarkStart w:id="189" w:name="_Toc184314454"/>
      <w:bookmarkEnd w:id="189"/>
      <w:bookmarkStart w:id="190" w:name="_Toc184313258"/>
      <w:bookmarkEnd w:id="190"/>
      <w:bookmarkStart w:id="191" w:name="_Toc184313250"/>
      <w:bookmarkEnd w:id="191"/>
      <w:bookmarkStart w:id="192" w:name="_Toc184310289"/>
      <w:bookmarkEnd w:id="192"/>
      <w:bookmarkStart w:id="193" w:name="_Toc184314436"/>
      <w:bookmarkEnd w:id="193"/>
      <w:bookmarkStart w:id="194" w:name="_Toc184308037"/>
      <w:bookmarkEnd w:id="194"/>
      <w:bookmarkStart w:id="195" w:name="_Toc184308087"/>
      <w:bookmarkEnd w:id="195"/>
      <w:bookmarkStart w:id="196" w:name="_Toc184314465"/>
      <w:bookmarkEnd w:id="196"/>
      <w:bookmarkStart w:id="197" w:name="_Toc184310334"/>
      <w:bookmarkEnd w:id="197"/>
      <w:bookmarkStart w:id="198" w:name="_Toc184312137"/>
      <w:bookmarkEnd w:id="198"/>
      <w:bookmarkStart w:id="199" w:name="_Toc184308068"/>
      <w:bookmarkEnd w:id="199"/>
      <w:bookmarkStart w:id="200" w:name="_Toc184308077"/>
      <w:bookmarkEnd w:id="200"/>
      <w:bookmarkStart w:id="201" w:name="_Toc184314443"/>
      <w:bookmarkEnd w:id="201"/>
      <w:bookmarkStart w:id="202" w:name="_Toc184313256"/>
      <w:bookmarkEnd w:id="202"/>
      <w:bookmarkStart w:id="203" w:name="_Toc184310277"/>
      <w:bookmarkEnd w:id="203"/>
      <w:bookmarkStart w:id="204" w:name="_Toc184308073"/>
      <w:bookmarkEnd w:id="204"/>
      <w:bookmarkStart w:id="205" w:name="_Toc184313242"/>
      <w:bookmarkEnd w:id="205"/>
      <w:bookmarkStart w:id="206" w:name="_Toc184308079"/>
      <w:bookmarkEnd w:id="206"/>
      <w:bookmarkStart w:id="207" w:name="_Toc184308047"/>
      <w:bookmarkEnd w:id="207"/>
      <w:bookmarkStart w:id="208" w:name="_Toc184312096"/>
      <w:bookmarkEnd w:id="208"/>
      <w:bookmarkStart w:id="209" w:name="_Toc184312133"/>
      <w:bookmarkEnd w:id="209"/>
      <w:bookmarkStart w:id="210" w:name="_Toc184310297"/>
      <w:bookmarkEnd w:id="210"/>
      <w:bookmarkStart w:id="211" w:name="_Toc184310337"/>
      <w:bookmarkEnd w:id="211"/>
      <w:bookmarkStart w:id="212" w:name="_Toc184314472"/>
      <w:bookmarkEnd w:id="212"/>
      <w:bookmarkStart w:id="213" w:name="_Toc184314460"/>
      <w:bookmarkEnd w:id="213"/>
      <w:bookmarkStart w:id="214" w:name="_Toc184313257"/>
      <w:bookmarkEnd w:id="214"/>
      <w:bookmarkStart w:id="215" w:name="_Toc184313305"/>
      <w:bookmarkEnd w:id="215"/>
      <w:bookmarkStart w:id="216" w:name="_Toc184312086"/>
      <w:bookmarkEnd w:id="216"/>
      <w:bookmarkStart w:id="217" w:name="_Toc184313287"/>
      <w:bookmarkEnd w:id="217"/>
      <w:bookmarkStart w:id="218" w:name="_Toc184314469"/>
      <w:bookmarkEnd w:id="218"/>
      <w:bookmarkStart w:id="219" w:name="_Toc184314470"/>
      <w:bookmarkEnd w:id="219"/>
      <w:bookmarkStart w:id="220" w:name="_Toc184312097"/>
      <w:bookmarkEnd w:id="220"/>
      <w:bookmarkStart w:id="221" w:name="_Toc184314473"/>
      <w:bookmarkEnd w:id="221"/>
      <w:bookmarkStart w:id="222" w:name="_Toc184312093"/>
      <w:bookmarkEnd w:id="222"/>
      <w:bookmarkStart w:id="223" w:name="_Toc184310342"/>
      <w:bookmarkEnd w:id="223"/>
      <w:bookmarkStart w:id="224" w:name="_Toc184313289"/>
      <w:bookmarkEnd w:id="224"/>
      <w:bookmarkStart w:id="225" w:name="_Toc184308052"/>
      <w:bookmarkEnd w:id="225"/>
      <w:bookmarkStart w:id="226" w:name="_Toc184312122"/>
      <w:bookmarkEnd w:id="226"/>
      <w:bookmarkStart w:id="227" w:name="_Toc184308039"/>
      <w:bookmarkEnd w:id="227"/>
      <w:bookmarkStart w:id="228" w:name="_Toc184313288"/>
      <w:bookmarkEnd w:id="228"/>
      <w:bookmarkStart w:id="229" w:name="_Toc184312073"/>
      <w:bookmarkEnd w:id="229"/>
      <w:bookmarkStart w:id="230" w:name="_Toc184312126"/>
      <w:bookmarkEnd w:id="230"/>
      <w:bookmarkStart w:id="231" w:name="_Toc184310321"/>
      <w:bookmarkEnd w:id="231"/>
      <w:bookmarkStart w:id="232" w:name="_Toc184314441"/>
      <w:bookmarkEnd w:id="232"/>
      <w:bookmarkStart w:id="233" w:name="_Toc184314448"/>
      <w:bookmarkEnd w:id="233"/>
      <w:bookmarkStart w:id="234" w:name="_Toc184314424"/>
      <w:bookmarkEnd w:id="234"/>
      <w:bookmarkStart w:id="235" w:name="_Toc184313297"/>
      <w:bookmarkEnd w:id="235"/>
      <w:bookmarkStart w:id="236" w:name="_Toc184314413"/>
      <w:bookmarkEnd w:id="236"/>
      <w:bookmarkStart w:id="237" w:name="_Toc184312076"/>
      <w:bookmarkEnd w:id="237"/>
      <w:bookmarkStart w:id="238" w:name="_Toc184314414"/>
      <w:bookmarkEnd w:id="238"/>
      <w:bookmarkStart w:id="239" w:name="_Toc184308051"/>
      <w:bookmarkEnd w:id="239"/>
      <w:bookmarkStart w:id="240" w:name="_Toc184313278"/>
      <w:bookmarkEnd w:id="240"/>
      <w:bookmarkStart w:id="241" w:name="_Toc184312139"/>
      <w:bookmarkEnd w:id="241"/>
      <w:bookmarkStart w:id="242" w:name="_Toc184310329"/>
      <w:bookmarkEnd w:id="242"/>
      <w:bookmarkStart w:id="243" w:name="_Toc184310300"/>
      <w:bookmarkEnd w:id="243"/>
      <w:bookmarkStart w:id="244" w:name="_Toc184312067"/>
      <w:bookmarkEnd w:id="244"/>
      <w:bookmarkStart w:id="245" w:name="_Toc184313306"/>
      <w:bookmarkEnd w:id="245"/>
      <w:bookmarkStart w:id="246" w:name="_Toc184314471"/>
      <w:bookmarkEnd w:id="246"/>
      <w:bookmarkStart w:id="247" w:name="_Toc184312104"/>
      <w:bookmarkEnd w:id="247"/>
      <w:bookmarkStart w:id="248" w:name="_Toc184308101"/>
      <w:bookmarkEnd w:id="248"/>
      <w:bookmarkStart w:id="249" w:name="_Toc184314446"/>
      <w:bookmarkEnd w:id="249"/>
      <w:bookmarkStart w:id="250" w:name="_Toc184312111"/>
      <w:bookmarkEnd w:id="250"/>
      <w:bookmarkStart w:id="251" w:name="_Toc184314461"/>
      <w:bookmarkEnd w:id="251"/>
      <w:bookmarkStart w:id="252" w:name="_Toc184310314"/>
      <w:bookmarkEnd w:id="252"/>
      <w:bookmarkStart w:id="253" w:name="_Toc184313260"/>
      <w:bookmarkEnd w:id="253"/>
      <w:bookmarkStart w:id="254" w:name="_Toc184308056"/>
      <w:bookmarkEnd w:id="254"/>
      <w:bookmarkStart w:id="255" w:name="_Toc184314458"/>
      <w:bookmarkEnd w:id="255"/>
      <w:bookmarkStart w:id="256" w:name="_Toc184310296"/>
      <w:bookmarkEnd w:id="256"/>
      <w:bookmarkStart w:id="257" w:name="_Toc184310278"/>
      <w:bookmarkEnd w:id="257"/>
      <w:bookmarkStart w:id="258" w:name="_Toc184310335"/>
      <w:bookmarkEnd w:id="258"/>
      <w:bookmarkStart w:id="259" w:name="_Toc184313239"/>
      <w:bookmarkEnd w:id="259"/>
      <w:bookmarkStart w:id="260" w:name="_Toc184308108"/>
      <w:bookmarkEnd w:id="260"/>
      <w:bookmarkStart w:id="261" w:name="_Toc184308074"/>
      <w:bookmarkEnd w:id="261"/>
      <w:bookmarkStart w:id="262" w:name="_Toc184310276"/>
      <w:bookmarkEnd w:id="262"/>
      <w:bookmarkStart w:id="263" w:name="_Toc184313252"/>
      <w:bookmarkEnd w:id="263"/>
      <w:bookmarkStart w:id="264" w:name="_Toc184308086"/>
      <w:bookmarkEnd w:id="264"/>
      <w:bookmarkStart w:id="265" w:name="_Toc184312115"/>
      <w:bookmarkEnd w:id="265"/>
      <w:bookmarkStart w:id="266" w:name="_Toc184310280"/>
      <w:bookmarkEnd w:id="266"/>
      <w:bookmarkStart w:id="267" w:name="_Toc184312124"/>
      <w:bookmarkEnd w:id="267"/>
      <w:bookmarkStart w:id="268" w:name="_Toc184310332"/>
      <w:bookmarkEnd w:id="268"/>
      <w:bookmarkStart w:id="269" w:name="_Toc184314425"/>
      <w:bookmarkEnd w:id="269"/>
      <w:bookmarkStart w:id="270" w:name="_Toc184310282"/>
      <w:bookmarkEnd w:id="270"/>
      <w:bookmarkStart w:id="271" w:name="_Toc184310279"/>
      <w:bookmarkEnd w:id="271"/>
      <w:bookmarkStart w:id="272" w:name="_Toc184312090"/>
      <w:bookmarkEnd w:id="272"/>
      <w:bookmarkStart w:id="273" w:name="_Toc184312095"/>
      <w:bookmarkEnd w:id="273"/>
      <w:bookmarkStart w:id="274" w:name="_Toc184310324"/>
      <w:bookmarkEnd w:id="274"/>
      <w:bookmarkStart w:id="275" w:name="_Toc184312136"/>
      <w:bookmarkEnd w:id="275"/>
      <w:bookmarkStart w:id="276" w:name="_Toc184308072"/>
      <w:bookmarkEnd w:id="276"/>
      <w:bookmarkStart w:id="277" w:name="_Toc184313249"/>
      <w:bookmarkEnd w:id="277"/>
      <w:bookmarkStart w:id="278" w:name="_Toc184313281"/>
      <w:bookmarkEnd w:id="278"/>
      <w:bookmarkStart w:id="279" w:name="_Toc184308089"/>
      <w:bookmarkEnd w:id="279"/>
      <w:bookmarkStart w:id="280" w:name="_Toc184310326"/>
      <w:bookmarkEnd w:id="280"/>
      <w:bookmarkStart w:id="281" w:name="_Toc184312129"/>
      <w:bookmarkEnd w:id="281"/>
      <w:bookmarkStart w:id="282" w:name="_Toc184314421"/>
      <w:bookmarkEnd w:id="282"/>
      <w:bookmarkStart w:id="283" w:name="_Toc184313267"/>
      <w:bookmarkEnd w:id="283"/>
      <w:bookmarkStart w:id="284" w:name="_Toc184314481"/>
      <w:bookmarkEnd w:id="284"/>
      <w:bookmarkStart w:id="285" w:name="_Toc184310316"/>
      <w:bookmarkEnd w:id="285"/>
      <w:bookmarkStart w:id="286" w:name="_Toc184310328"/>
      <w:bookmarkEnd w:id="286"/>
      <w:bookmarkStart w:id="287" w:name="_Toc184312101"/>
      <w:bookmarkEnd w:id="287"/>
      <w:bookmarkStart w:id="288" w:name="_Toc184308049"/>
      <w:bookmarkEnd w:id="288"/>
      <w:bookmarkStart w:id="289" w:name="_Toc184314457"/>
      <w:bookmarkEnd w:id="289"/>
      <w:bookmarkStart w:id="290" w:name="_Toc184314435"/>
      <w:bookmarkEnd w:id="290"/>
      <w:bookmarkStart w:id="291" w:name="_Toc184313238"/>
      <w:bookmarkEnd w:id="291"/>
      <w:bookmarkStart w:id="292" w:name="_Toc184314432"/>
      <w:bookmarkEnd w:id="292"/>
      <w:bookmarkStart w:id="293" w:name="_Toc184308106"/>
      <w:bookmarkEnd w:id="293"/>
      <w:bookmarkStart w:id="294" w:name="_Toc184312071"/>
      <w:bookmarkEnd w:id="294"/>
      <w:bookmarkStart w:id="295" w:name="_Toc184308043"/>
      <w:bookmarkEnd w:id="295"/>
      <w:bookmarkStart w:id="296" w:name="_Toc184312075"/>
      <w:bookmarkEnd w:id="296"/>
      <w:bookmarkStart w:id="297" w:name="_Toc184308061"/>
      <w:bookmarkEnd w:id="297"/>
      <w:bookmarkStart w:id="298" w:name="_Toc184313259"/>
      <w:bookmarkEnd w:id="298"/>
      <w:bookmarkStart w:id="299" w:name="_Toc184313272"/>
      <w:bookmarkEnd w:id="299"/>
      <w:bookmarkStart w:id="300" w:name="_Toc184313280"/>
      <w:bookmarkEnd w:id="300"/>
      <w:bookmarkStart w:id="301" w:name="_Toc184308080"/>
      <w:bookmarkEnd w:id="301"/>
      <w:bookmarkStart w:id="302" w:name="_Toc184313241"/>
      <w:bookmarkEnd w:id="302"/>
      <w:bookmarkStart w:id="303" w:name="_Toc184308045"/>
      <w:bookmarkEnd w:id="303"/>
      <w:bookmarkStart w:id="304" w:name="_Toc184310274"/>
      <w:bookmarkEnd w:id="304"/>
      <w:bookmarkStart w:id="305" w:name="_Toc184312074"/>
      <w:bookmarkEnd w:id="305"/>
      <w:bookmarkStart w:id="306" w:name="_Toc184314450"/>
      <w:bookmarkEnd w:id="306"/>
      <w:bookmarkStart w:id="307" w:name="_Toc184313279"/>
      <w:bookmarkEnd w:id="307"/>
      <w:bookmarkStart w:id="308" w:name="_Toc184312138"/>
      <w:bookmarkEnd w:id="308"/>
      <w:bookmarkStart w:id="309" w:name="_Toc184314462"/>
      <w:bookmarkEnd w:id="309"/>
      <w:bookmarkStart w:id="310" w:name="_Toc184313274"/>
      <w:bookmarkEnd w:id="310"/>
      <w:bookmarkStart w:id="311" w:name="_Toc184312088"/>
      <w:bookmarkEnd w:id="311"/>
      <w:bookmarkStart w:id="312" w:name="_Toc184312081"/>
      <w:bookmarkEnd w:id="312"/>
      <w:bookmarkStart w:id="313" w:name="_Toc184310299"/>
      <w:bookmarkEnd w:id="313"/>
      <w:bookmarkStart w:id="314" w:name="_Toc184308046"/>
      <w:bookmarkEnd w:id="314"/>
      <w:bookmarkStart w:id="315" w:name="_Toc184310339"/>
      <w:bookmarkEnd w:id="315"/>
      <w:bookmarkStart w:id="316" w:name="_Toc184313283"/>
      <w:bookmarkEnd w:id="316"/>
      <w:bookmarkStart w:id="317" w:name="_Toc184310290"/>
      <w:bookmarkEnd w:id="317"/>
      <w:bookmarkStart w:id="318" w:name="_Toc184313303"/>
      <w:bookmarkEnd w:id="318"/>
      <w:bookmarkStart w:id="319" w:name="_Toc184308104"/>
      <w:bookmarkEnd w:id="319"/>
      <w:bookmarkStart w:id="320" w:name="_Toc184314415"/>
      <w:bookmarkEnd w:id="320"/>
      <w:bookmarkStart w:id="321" w:name="_Toc184310344"/>
      <w:bookmarkEnd w:id="321"/>
      <w:bookmarkStart w:id="322" w:name="_Toc184312078"/>
      <w:bookmarkEnd w:id="322"/>
      <w:bookmarkStart w:id="323" w:name="_Toc184308081"/>
      <w:bookmarkEnd w:id="323"/>
      <w:bookmarkStart w:id="324" w:name="_Toc184308036"/>
      <w:bookmarkEnd w:id="324"/>
      <w:bookmarkStart w:id="325" w:name="_Toc184314475"/>
      <w:bookmarkEnd w:id="325"/>
      <w:bookmarkStart w:id="326" w:name="_Toc184312089"/>
      <w:bookmarkEnd w:id="326"/>
      <w:bookmarkStart w:id="327" w:name="_Toc184310293"/>
      <w:bookmarkEnd w:id="327"/>
      <w:bookmarkStart w:id="328" w:name="_Toc184313263"/>
      <w:bookmarkEnd w:id="328"/>
      <w:bookmarkStart w:id="329" w:name="_Toc184308100"/>
      <w:bookmarkEnd w:id="329"/>
      <w:bookmarkStart w:id="330" w:name="_Toc184310301"/>
      <w:bookmarkEnd w:id="330"/>
      <w:bookmarkStart w:id="331" w:name="_Toc184313277"/>
      <w:bookmarkEnd w:id="331"/>
      <w:bookmarkStart w:id="332" w:name="_Toc184314449"/>
      <w:bookmarkEnd w:id="332"/>
      <w:bookmarkStart w:id="333" w:name="_Toc184313254"/>
      <w:bookmarkEnd w:id="333"/>
      <w:bookmarkStart w:id="334" w:name="_Toc184313302"/>
      <w:bookmarkEnd w:id="334"/>
      <w:bookmarkStart w:id="335" w:name="_Toc184314431"/>
      <w:bookmarkEnd w:id="335"/>
      <w:bookmarkStart w:id="336" w:name="_Toc184308050"/>
      <w:bookmarkEnd w:id="336"/>
      <w:bookmarkStart w:id="337" w:name="_Toc184314447"/>
      <w:bookmarkEnd w:id="337"/>
      <w:bookmarkStart w:id="338" w:name="_Toc184308084"/>
      <w:bookmarkEnd w:id="338"/>
      <w:bookmarkStart w:id="339" w:name="_Toc184308105"/>
      <w:bookmarkEnd w:id="339"/>
      <w:bookmarkStart w:id="340" w:name="_Toc184312083"/>
      <w:bookmarkEnd w:id="340"/>
      <w:bookmarkStart w:id="341" w:name="_Toc184308099"/>
      <w:bookmarkEnd w:id="341"/>
      <w:bookmarkStart w:id="342" w:name="_Toc184308040"/>
      <w:bookmarkEnd w:id="342"/>
      <w:bookmarkStart w:id="343" w:name="_Toc184313291"/>
      <w:bookmarkEnd w:id="343"/>
      <w:bookmarkStart w:id="344" w:name="_Toc184314463"/>
      <w:bookmarkEnd w:id="344"/>
      <w:bookmarkStart w:id="345" w:name="_Toc184314442"/>
      <w:bookmarkEnd w:id="345"/>
      <w:bookmarkStart w:id="346" w:name="_Toc184310318"/>
      <w:bookmarkEnd w:id="346"/>
      <w:bookmarkStart w:id="347" w:name="_Toc184308090"/>
      <w:bookmarkEnd w:id="347"/>
      <w:bookmarkStart w:id="348" w:name="_Toc184308076"/>
      <w:bookmarkEnd w:id="348"/>
      <w:bookmarkStart w:id="349" w:name="_Toc184314444"/>
      <w:bookmarkEnd w:id="349"/>
      <w:bookmarkStart w:id="350" w:name="_Toc184312080"/>
      <w:bookmarkEnd w:id="350"/>
      <w:bookmarkStart w:id="351" w:name="_Toc184312109"/>
      <w:bookmarkEnd w:id="351"/>
      <w:bookmarkStart w:id="352" w:name="_Toc184308094"/>
      <w:bookmarkEnd w:id="352"/>
      <w:bookmarkStart w:id="353" w:name="_Toc184314482"/>
      <w:bookmarkEnd w:id="353"/>
      <w:bookmarkStart w:id="354" w:name="_Toc184312114"/>
      <w:bookmarkEnd w:id="354"/>
      <w:bookmarkStart w:id="355" w:name="_Toc184312105"/>
      <w:bookmarkEnd w:id="355"/>
      <w:bookmarkStart w:id="356" w:name="_Toc184312070"/>
      <w:bookmarkEnd w:id="356"/>
      <w:bookmarkStart w:id="357" w:name="_Toc184312135"/>
      <w:bookmarkEnd w:id="357"/>
      <w:bookmarkStart w:id="358" w:name="_Toc184310312"/>
      <w:bookmarkEnd w:id="358"/>
      <w:bookmarkStart w:id="359" w:name="_Toc184314427"/>
      <w:bookmarkEnd w:id="359"/>
      <w:bookmarkStart w:id="360" w:name="_Toc184310338"/>
      <w:bookmarkEnd w:id="360"/>
      <w:bookmarkStart w:id="361" w:name="_Toc184314455"/>
      <w:bookmarkEnd w:id="361"/>
      <w:bookmarkStart w:id="362" w:name="_Toc184314440"/>
      <w:bookmarkEnd w:id="362"/>
      <w:bookmarkStart w:id="363" w:name="_Toc184308093"/>
      <w:bookmarkEnd w:id="363"/>
      <w:bookmarkStart w:id="364" w:name="_Toc184314430"/>
      <w:bookmarkEnd w:id="364"/>
      <w:bookmarkStart w:id="365" w:name="_Toc184314468"/>
      <w:bookmarkEnd w:id="365"/>
      <w:bookmarkStart w:id="366" w:name="_Toc184310288"/>
      <w:bookmarkEnd w:id="366"/>
      <w:bookmarkStart w:id="367" w:name="_Toc184313295"/>
      <w:bookmarkEnd w:id="367"/>
      <w:bookmarkStart w:id="368" w:name="_Toc184313265"/>
      <w:bookmarkEnd w:id="368"/>
      <w:bookmarkStart w:id="369" w:name="_Toc184313248"/>
      <w:bookmarkEnd w:id="369"/>
      <w:bookmarkStart w:id="370" w:name="_Toc184313299"/>
      <w:bookmarkEnd w:id="370"/>
      <w:bookmarkStart w:id="371" w:name="_Toc184313262"/>
      <w:bookmarkEnd w:id="371"/>
      <w:bookmarkStart w:id="372" w:name="_Toc184308062"/>
      <w:bookmarkEnd w:id="372"/>
      <w:bookmarkStart w:id="373" w:name="_Toc184312112"/>
      <w:bookmarkEnd w:id="373"/>
      <w:bookmarkStart w:id="374" w:name="_Toc184314429"/>
      <w:bookmarkEnd w:id="374"/>
      <w:bookmarkStart w:id="375" w:name="_Toc184308058"/>
      <w:bookmarkEnd w:id="375"/>
      <w:bookmarkStart w:id="376" w:name="_Toc184314416"/>
      <w:bookmarkEnd w:id="376"/>
      <w:bookmarkStart w:id="377" w:name="_Toc184314428"/>
      <w:bookmarkEnd w:id="377"/>
      <w:bookmarkStart w:id="378" w:name="_Toc184314418"/>
      <w:bookmarkEnd w:id="378"/>
      <w:bookmarkStart w:id="379" w:name="_Toc184313298"/>
      <w:bookmarkEnd w:id="379"/>
      <w:bookmarkStart w:id="380" w:name="_Toc184313261"/>
      <w:bookmarkEnd w:id="380"/>
      <w:bookmarkStart w:id="381" w:name="_Toc184310308"/>
      <w:bookmarkEnd w:id="381"/>
      <w:bookmarkStart w:id="382" w:name="_Toc184312087"/>
      <w:bookmarkEnd w:id="382"/>
      <w:bookmarkStart w:id="383" w:name="_Toc184312085"/>
      <w:bookmarkEnd w:id="383"/>
      <w:bookmarkStart w:id="384" w:name="_Toc184313269"/>
      <w:bookmarkEnd w:id="384"/>
      <w:bookmarkStart w:id="385" w:name="_Toc184313275"/>
      <w:bookmarkEnd w:id="385"/>
      <w:bookmarkStart w:id="386" w:name="_Toc184310275"/>
      <w:bookmarkEnd w:id="386"/>
      <w:bookmarkStart w:id="387" w:name="_Toc184314438"/>
      <w:bookmarkEnd w:id="387"/>
      <w:bookmarkStart w:id="388" w:name="_Toc184310283"/>
      <w:bookmarkEnd w:id="388"/>
      <w:bookmarkStart w:id="389" w:name="_Toc184314410"/>
      <w:bookmarkEnd w:id="389"/>
      <w:bookmarkStart w:id="390" w:name="_Toc184308063"/>
      <w:bookmarkEnd w:id="390"/>
      <w:bookmarkStart w:id="391" w:name="_Toc184312116"/>
      <w:bookmarkEnd w:id="391"/>
      <w:bookmarkStart w:id="392" w:name="_Toc184314420"/>
      <w:bookmarkEnd w:id="392"/>
      <w:bookmarkStart w:id="393" w:name="_Toc184313244"/>
      <w:bookmarkEnd w:id="393"/>
      <w:bookmarkStart w:id="394" w:name="_Toc184310319"/>
      <w:bookmarkEnd w:id="394"/>
      <w:bookmarkStart w:id="395" w:name="_Toc184312125"/>
      <w:bookmarkEnd w:id="395"/>
      <w:bookmarkStart w:id="396" w:name="_Toc184314445"/>
      <w:bookmarkEnd w:id="396"/>
      <w:bookmarkStart w:id="397" w:name="_Toc184313271"/>
      <w:bookmarkEnd w:id="397"/>
      <w:bookmarkStart w:id="398" w:name="_Toc184310291"/>
      <w:bookmarkEnd w:id="398"/>
      <w:bookmarkStart w:id="399" w:name="_Toc184314417"/>
      <w:bookmarkEnd w:id="399"/>
      <w:bookmarkStart w:id="400" w:name="_Toc184314423"/>
      <w:bookmarkEnd w:id="400"/>
      <w:bookmarkStart w:id="401" w:name="_Toc184308057"/>
      <w:bookmarkEnd w:id="401"/>
      <w:bookmarkStart w:id="402" w:name="_Toc184310295"/>
      <w:bookmarkEnd w:id="402"/>
      <w:bookmarkStart w:id="403" w:name="_Toc184313307"/>
      <w:bookmarkEnd w:id="403"/>
      <w:bookmarkStart w:id="404" w:name="_Toc184312099"/>
      <w:bookmarkEnd w:id="404"/>
      <w:bookmarkStart w:id="405" w:name="_Toc184314456"/>
      <w:bookmarkEnd w:id="405"/>
      <w:bookmarkStart w:id="406" w:name="_Toc184308071"/>
      <w:bookmarkEnd w:id="406"/>
      <w:bookmarkStart w:id="407" w:name="_Toc184312128"/>
      <w:bookmarkEnd w:id="407"/>
      <w:bookmarkStart w:id="408" w:name="_Toc184313276"/>
      <w:bookmarkEnd w:id="408"/>
      <w:bookmarkStart w:id="409" w:name="_Toc184313268"/>
      <w:bookmarkEnd w:id="409"/>
      <w:bookmarkStart w:id="410" w:name="_Toc184310294"/>
      <w:bookmarkEnd w:id="410"/>
      <w:bookmarkStart w:id="411" w:name="_Toc184310287"/>
      <w:bookmarkEnd w:id="411"/>
      <w:bookmarkStart w:id="412" w:name="_Toc184314433"/>
      <w:bookmarkEnd w:id="412"/>
      <w:bookmarkStart w:id="413" w:name="_Toc184313284"/>
      <w:bookmarkEnd w:id="413"/>
      <w:bookmarkStart w:id="414" w:name="_Toc184313300"/>
      <w:bookmarkEnd w:id="414"/>
      <w:bookmarkStart w:id="415" w:name="_Toc184312119"/>
      <w:bookmarkEnd w:id="415"/>
      <w:bookmarkStart w:id="416" w:name="_Toc184310302"/>
      <w:bookmarkEnd w:id="416"/>
      <w:bookmarkStart w:id="417" w:name="_Toc184310292"/>
      <w:bookmarkEnd w:id="417"/>
      <w:bookmarkStart w:id="418" w:name="_Toc184313310"/>
      <w:bookmarkEnd w:id="418"/>
      <w:bookmarkStart w:id="419" w:name="_Toc184313301"/>
      <w:bookmarkEnd w:id="419"/>
      <w:bookmarkStart w:id="420" w:name="_Toc184310327"/>
      <w:bookmarkEnd w:id="420"/>
      <w:bookmarkStart w:id="421" w:name="_Toc184310336"/>
      <w:bookmarkEnd w:id="421"/>
      <w:bookmarkStart w:id="422" w:name="_Toc184314434"/>
      <w:bookmarkEnd w:id="422"/>
      <w:bookmarkStart w:id="423" w:name="_Toc184310325"/>
      <w:bookmarkEnd w:id="423"/>
      <w:bookmarkStart w:id="424" w:name="_Toc184313266"/>
      <w:bookmarkEnd w:id="424"/>
      <w:bookmarkStart w:id="425" w:name="_Toc184308054"/>
      <w:bookmarkEnd w:id="425"/>
      <w:bookmarkStart w:id="426" w:name="_Toc184313309"/>
      <w:bookmarkEnd w:id="426"/>
      <w:bookmarkStart w:id="427" w:name="_Toc184310331"/>
      <w:bookmarkEnd w:id="427"/>
      <w:bookmarkStart w:id="428" w:name="_Toc184312092"/>
      <w:bookmarkEnd w:id="428"/>
      <w:bookmarkStart w:id="429" w:name="_Toc184313253"/>
      <w:bookmarkEnd w:id="429"/>
      <w:bookmarkStart w:id="430" w:name="_Toc184312106"/>
      <w:bookmarkEnd w:id="430"/>
      <w:bookmarkStart w:id="431" w:name="_Toc184308082"/>
      <w:bookmarkEnd w:id="431"/>
      <w:bookmarkStart w:id="432" w:name="_Toc184314474"/>
      <w:bookmarkEnd w:id="432"/>
      <w:r>
        <w:rPr>
          <w:rFonts w:hint="eastAsia" w:ascii="宋体" w:hAnsi="宋体" w:cs="宋体"/>
          <w:b/>
          <w:color w:val="auto"/>
          <w:sz w:val="36"/>
          <w:szCs w:val="36"/>
          <w:highlight w:val="none"/>
        </w:rPr>
        <w:t>评标办法</w:t>
      </w:r>
      <w:bookmarkEnd w:id="66"/>
      <w:bookmarkEnd w:id="67"/>
    </w:p>
    <w:p w14:paraId="7C957B9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981"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21"/>
        <w:gridCol w:w="5245"/>
        <w:gridCol w:w="524"/>
        <w:gridCol w:w="1260"/>
      </w:tblGrid>
      <w:tr w14:paraId="6048DD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blHeader/>
        </w:trPr>
        <w:tc>
          <w:tcPr>
            <w:tcW w:w="731" w:type="dxa"/>
            <w:vAlign w:val="center"/>
          </w:tcPr>
          <w:p w14:paraId="23196EFC">
            <w:pPr>
              <w:keepNext w:val="0"/>
              <w:keepLines w:val="0"/>
              <w:widowControl/>
              <w:suppressLineNumbers w:val="0"/>
              <w:snapToGrid w:val="0"/>
              <w:spacing w:before="0" w:beforeAutospacing="0" w:after="0" w:afterAutospacing="0"/>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466" w:type="dxa"/>
            <w:gridSpan w:val="2"/>
            <w:vAlign w:val="center"/>
          </w:tcPr>
          <w:p w14:paraId="63EF549E">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评标标准</w:t>
            </w:r>
          </w:p>
        </w:tc>
        <w:tc>
          <w:tcPr>
            <w:tcW w:w="524" w:type="dxa"/>
            <w:vAlign w:val="center"/>
          </w:tcPr>
          <w:p w14:paraId="00DACCFC">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权重</w:t>
            </w:r>
          </w:p>
        </w:tc>
        <w:tc>
          <w:tcPr>
            <w:tcW w:w="1260" w:type="dxa"/>
            <w:vAlign w:val="center"/>
          </w:tcPr>
          <w:p w14:paraId="18F2A112">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主观分/客观分属性</w:t>
            </w:r>
          </w:p>
        </w:tc>
      </w:tr>
      <w:tr w14:paraId="459B33C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981" w:type="dxa"/>
            <w:gridSpan w:val="5"/>
            <w:vAlign w:val="center"/>
          </w:tcPr>
          <w:p w14:paraId="6812B20C">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b/>
                <w:bCs/>
                <w:color w:val="auto"/>
                <w:kern w:val="0"/>
                <w:szCs w:val="21"/>
                <w:highlight w:val="none"/>
              </w:rPr>
              <w:t>一、商务技术分（</w:t>
            </w:r>
            <w:r>
              <w:rPr>
                <w:rFonts w:hint="default" w:ascii="宋体" w:hAnsi="宋体" w:cs="宋体"/>
                <w:b/>
                <w:bCs/>
                <w:color w:val="auto"/>
                <w:kern w:val="0"/>
                <w:szCs w:val="21"/>
                <w:highlight w:val="none"/>
              </w:rPr>
              <w:t>90</w:t>
            </w:r>
            <w:r>
              <w:rPr>
                <w:rFonts w:hint="eastAsia" w:ascii="宋体" w:hAnsi="宋体" w:cs="宋体"/>
                <w:b/>
                <w:bCs/>
                <w:color w:val="auto"/>
                <w:kern w:val="0"/>
                <w:szCs w:val="21"/>
                <w:highlight w:val="none"/>
              </w:rPr>
              <w:t>分）</w:t>
            </w:r>
          </w:p>
        </w:tc>
      </w:tr>
      <w:tr w14:paraId="6DC341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18CEC3B8">
            <w:pPr>
              <w:keepNext w:val="0"/>
              <w:keepLines w:val="0"/>
              <w:widowControl/>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w:t>
            </w:r>
          </w:p>
        </w:tc>
        <w:tc>
          <w:tcPr>
            <w:tcW w:w="1221" w:type="dxa"/>
            <w:vAlign w:val="center"/>
          </w:tcPr>
          <w:p w14:paraId="7BDBC275">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技术响应性</w:t>
            </w:r>
          </w:p>
        </w:tc>
        <w:tc>
          <w:tcPr>
            <w:tcW w:w="5245" w:type="dxa"/>
            <w:vAlign w:val="center"/>
          </w:tcPr>
          <w:p w14:paraId="762BCC8A">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技术要求响应全部满足招标文件第三部分《采购需求》二、采购要求“（五）详细技术要求”中所有技术指标的得</w:t>
            </w:r>
            <w:r>
              <w:rPr>
                <w:rFonts w:hint="default"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p w14:paraId="2DDC425E">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技术要求响应负偏离的：</w:t>
            </w:r>
          </w:p>
          <w:p w14:paraId="7DEE53C2">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1.每负偏离一条未标“▲”技术指标的扣1</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分；</w:t>
            </w:r>
          </w:p>
          <w:p w14:paraId="11171A01">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.当扣减至0分（或以下）时，该投标将被拒绝，其投标文件作无效标处理。</w:t>
            </w:r>
          </w:p>
        </w:tc>
        <w:tc>
          <w:tcPr>
            <w:tcW w:w="524" w:type="dxa"/>
            <w:vAlign w:val="center"/>
          </w:tcPr>
          <w:p w14:paraId="3FEB06A1">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Cs w:val="21"/>
                <w:highlight w:val="none"/>
                <w:lang w:eastAsia="zh-CN"/>
              </w:rPr>
            </w:pPr>
            <w:r>
              <w:rPr>
                <w:rFonts w:hint="default"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p>
        </w:tc>
        <w:tc>
          <w:tcPr>
            <w:tcW w:w="1260" w:type="dxa"/>
            <w:vAlign w:val="center"/>
          </w:tcPr>
          <w:p w14:paraId="3DAA1795">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658042F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42526A8E">
            <w:pPr>
              <w:keepNext w:val="0"/>
              <w:keepLines w:val="0"/>
              <w:widowControl/>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w:t>
            </w:r>
          </w:p>
        </w:tc>
        <w:tc>
          <w:tcPr>
            <w:tcW w:w="1221" w:type="dxa"/>
            <w:vAlign w:val="center"/>
          </w:tcPr>
          <w:p w14:paraId="39249F7A">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项目建设方案</w:t>
            </w:r>
          </w:p>
        </w:tc>
        <w:tc>
          <w:tcPr>
            <w:tcW w:w="5245" w:type="dxa"/>
            <w:vAlign w:val="center"/>
          </w:tcPr>
          <w:p w14:paraId="0CE4319E">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根据投标人提供的项目理解及建设目标</w:t>
            </w:r>
            <w:r>
              <w:rPr>
                <w:rFonts w:hint="eastAsia" w:ascii="宋体" w:hAnsi="宋体" w:eastAsia="宋体" w:cs="宋体"/>
                <w:color w:val="auto"/>
                <w:highlight w:val="none"/>
                <w:lang w:val="en-US" w:eastAsia="zh-CN"/>
              </w:rPr>
              <w:t>进行评议：</w:t>
            </w:r>
          </w:p>
          <w:p w14:paraId="1D6549C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1）建设目标明确、清晰，对项目背景分析准确，项目需求理解符合采购需求的得5分；</w:t>
            </w:r>
          </w:p>
          <w:p w14:paraId="16EB1C6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2）建设目标较明确、较清晰，对项目背景分析较准确，项目需求理解基本符合采购需求的得3分；</w:t>
            </w:r>
          </w:p>
          <w:p w14:paraId="3EA47A5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3）建设目标不明确、不清晰，对项目背景分析不准确，项目需求理解不符合采购需求的得1分；</w:t>
            </w:r>
          </w:p>
          <w:p w14:paraId="33AB4B99">
            <w:pPr>
              <w:keepNext w:val="0"/>
              <w:keepLines w:val="0"/>
              <w:widowControl/>
              <w:suppressLineNumbers w:val="0"/>
              <w:spacing w:before="0" w:beforeAutospacing="0" w:after="0" w:afterAutospacing="0" w:line="360" w:lineRule="auto"/>
              <w:ind w:left="0" w:right="0"/>
              <w:jc w:val="left"/>
              <w:rPr>
                <w:rFonts w:hint="default"/>
                <w:color w:val="auto"/>
                <w:highlight w:val="none"/>
                <w:lang w:val="en-US"/>
              </w:rPr>
            </w:pPr>
            <w:r>
              <w:rPr>
                <w:rFonts w:hint="eastAsia" w:ascii="宋体" w:hAnsi="宋体" w:eastAsia="宋体" w:cs="宋体"/>
                <w:color w:val="auto"/>
                <w:highlight w:val="none"/>
                <w:lang w:val="en-US" w:eastAsia="zh-CN"/>
              </w:rPr>
              <w:t>4）未提供相关内容不得分。</w:t>
            </w:r>
          </w:p>
        </w:tc>
        <w:tc>
          <w:tcPr>
            <w:tcW w:w="524" w:type="dxa"/>
            <w:vAlign w:val="center"/>
          </w:tcPr>
          <w:p w14:paraId="3EA09C44">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002CA313">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0E5589F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14:paraId="79EEF33D">
            <w:pPr>
              <w:keepNext w:val="0"/>
              <w:keepLines w:val="0"/>
              <w:widowControl/>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w:t>
            </w:r>
          </w:p>
        </w:tc>
        <w:tc>
          <w:tcPr>
            <w:tcW w:w="1221" w:type="dxa"/>
            <w:vAlign w:val="center"/>
          </w:tcPr>
          <w:p w14:paraId="259797E7">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重点及难点分析</w:t>
            </w:r>
          </w:p>
        </w:tc>
        <w:tc>
          <w:tcPr>
            <w:tcW w:w="5245" w:type="dxa"/>
            <w:vAlign w:val="center"/>
          </w:tcPr>
          <w:p w14:paraId="7142050B">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根据投标人提供的针对本项目重点、难点分析进行评议：</w:t>
            </w:r>
          </w:p>
          <w:p w14:paraId="508A9184">
            <w:pPr>
              <w:keepNext w:val="0"/>
              <w:keepLines w:val="0"/>
              <w:widowControl/>
              <w:numPr>
                <w:ilvl w:val="0"/>
                <w:numId w:val="7"/>
              </w:numPr>
              <w:suppressLineNumbers w:val="0"/>
              <w:spacing w:before="0" w:beforeAutospacing="0" w:after="0" w:afterAutospacing="0" w:line="360" w:lineRule="auto"/>
              <w:ind w:left="0" w:right="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重点及难点分析</w:t>
            </w:r>
            <w:r>
              <w:rPr>
                <w:rFonts w:hint="eastAsia" w:ascii="宋体" w:hAnsi="宋体" w:cs="宋体"/>
                <w:color w:val="auto"/>
                <w:highlight w:val="none"/>
              </w:rPr>
              <w:t>针对性</w:t>
            </w:r>
            <w:r>
              <w:rPr>
                <w:rFonts w:hint="eastAsia" w:ascii="宋体" w:hAnsi="宋体" w:cs="宋体"/>
                <w:color w:val="auto"/>
                <w:highlight w:val="none"/>
                <w:lang w:val="en-US" w:eastAsia="zh-CN"/>
              </w:rPr>
              <w:t>强、内容全面</w:t>
            </w:r>
            <w:r>
              <w:rPr>
                <w:rFonts w:hint="eastAsia" w:ascii="宋体" w:hAnsi="宋体" w:cs="宋体"/>
                <w:color w:val="auto"/>
                <w:highlight w:val="none"/>
              </w:rPr>
              <w:t>的得</w:t>
            </w:r>
            <w:r>
              <w:rPr>
                <w:rFonts w:hint="default" w:ascii="宋体" w:hAnsi="宋体" w:cs="宋体"/>
                <w:color w:val="auto"/>
                <w:highlight w:val="none"/>
              </w:rPr>
              <w:t>5</w:t>
            </w:r>
            <w:r>
              <w:rPr>
                <w:rFonts w:hint="eastAsia" w:ascii="宋体" w:hAnsi="宋体" w:cs="宋体"/>
                <w:color w:val="auto"/>
                <w:highlight w:val="none"/>
              </w:rPr>
              <w:t>分</w:t>
            </w:r>
            <w:r>
              <w:rPr>
                <w:rFonts w:hint="eastAsia" w:ascii="宋体" w:hAnsi="宋体" w:cs="宋体"/>
                <w:color w:val="auto"/>
                <w:highlight w:val="none"/>
                <w:lang w:eastAsia="zh-CN"/>
              </w:rPr>
              <w:t>；</w:t>
            </w:r>
          </w:p>
          <w:p w14:paraId="0E774CCC">
            <w:pPr>
              <w:keepNext w:val="0"/>
              <w:keepLines w:val="0"/>
              <w:widowControl/>
              <w:numPr>
                <w:ilvl w:val="0"/>
                <w:numId w:val="7"/>
              </w:numPr>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lang w:val="en-US" w:eastAsia="zh-CN"/>
              </w:rPr>
              <w:t>重点及难点分析</w:t>
            </w:r>
            <w:r>
              <w:rPr>
                <w:rFonts w:hint="eastAsia" w:ascii="宋体" w:hAnsi="宋体" w:cs="宋体"/>
                <w:color w:val="auto"/>
                <w:highlight w:val="none"/>
              </w:rPr>
              <w:t>针对性</w:t>
            </w:r>
            <w:r>
              <w:rPr>
                <w:rFonts w:hint="eastAsia" w:ascii="宋体" w:hAnsi="宋体" w:cs="宋体"/>
                <w:color w:val="auto"/>
                <w:highlight w:val="none"/>
                <w:lang w:val="en-US" w:eastAsia="zh-CN"/>
              </w:rPr>
              <w:t>一般、内容不够全面</w:t>
            </w:r>
            <w:r>
              <w:rPr>
                <w:rFonts w:hint="eastAsia" w:ascii="宋体" w:hAnsi="宋体" w:cs="宋体"/>
                <w:color w:val="auto"/>
                <w:highlight w:val="none"/>
              </w:rPr>
              <w:t>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0946E4B4">
            <w:pPr>
              <w:keepNext w:val="0"/>
              <w:keepLines w:val="0"/>
              <w:widowControl/>
              <w:numPr>
                <w:ilvl w:val="0"/>
                <w:numId w:val="7"/>
              </w:numPr>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lang w:val="en-US" w:eastAsia="zh-CN"/>
              </w:rPr>
              <w:t>重点及难点分析无</w:t>
            </w:r>
            <w:r>
              <w:rPr>
                <w:rFonts w:hint="eastAsia" w:ascii="宋体" w:hAnsi="宋体" w:cs="宋体"/>
                <w:color w:val="auto"/>
                <w:highlight w:val="none"/>
              </w:rPr>
              <w:t>针对性</w:t>
            </w:r>
            <w:r>
              <w:rPr>
                <w:rFonts w:hint="eastAsia" w:ascii="宋体" w:hAnsi="宋体" w:cs="宋体"/>
                <w:color w:val="auto"/>
                <w:highlight w:val="none"/>
                <w:lang w:val="en-US" w:eastAsia="zh-CN"/>
              </w:rPr>
              <w:t>、缺乏内容</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eastAsia="宋体" w:cs="宋体"/>
                <w:color w:val="auto"/>
                <w:highlight w:val="none"/>
                <w:lang w:val="en-US" w:eastAsia="zh-CN"/>
              </w:rPr>
              <w:t>；</w:t>
            </w:r>
          </w:p>
          <w:p w14:paraId="7CC01B36">
            <w:pPr>
              <w:keepNext w:val="0"/>
              <w:keepLines w:val="0"/>
              <w:widowControl/>
              <w:numPr>
                <w:ilvl w:val="0"/>
                <w:numId w:val="7"/>
              </w:numPr>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eastAsia="宋体" w:cs="宋体"/>
                <w:color w:val="auto"/>
                <w:highlight w:val="none"/>
                <w:lang w:val="en-US" w:eastAsia="zh-CN"/>
              </w:rPr>
              <w:t>未提供相关内容不得分。</w:t>
            </w:r>
          </w:p>
        </w:tc>
        <w:tc>
          <w:tcPr>
            <w:tcW w:w="524" w:type="dxa"/>
            <w:vAlign w:val="center"/>
          </w:tcPr>
          <w:p w14:paraId="69337CD0">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07CB3B66">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5828F2D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02A0341A">
            <w:pPr>
              <w:keepNext w:val="0"/>
              <w:keepLines w:val="0"/>
              <w:widowControl/>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4</w:t>
            </w:r>
          </w:p>
        </w:tc>
        <w:tc>
          <w:tcPr>
            <w:tcW w:w="1221" w:type="dxa"/>
            <w:vAlign w:val="center"/>
          </w:tcPr>
          <w:p w14:paraId="46E43C26">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重点及难点的解决方案</w:t>
            </w:r>
          </w:p>
        </w:tc>
        <w:tc>
          <w:tcPr>
            <w:tcW w:w="5245" w:type="dxa"/>
            <w:vAlign w:val="center"/>
          </w:tcPr>
          <w:p w14:paraId="26332DD7">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根据投标人提供的本项目重点、难点的解决方案进行评议：</w:t>
            </w:r>
          </w:p>
          <w:p w14:paraId="5124A65F">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1）重点及难点的解决方案针对性强、具有操作性</w:t>
            </w:r>
            <w:r>
              <w:rPr>
                <w:rFonts w:hint="eastAsia" w:ascii="宋体" w:hAnsi="宋体" w:cs="宋体"/>
                <w:color w:val="auto"/>
                <w:highlight w:val="none"/>
              </w:rPr>
              <w:t>的得</w:t>
            </w:r>
            <w:r>
              <w:rPr>
                <w:rFonts w:hint="default" w:ascii="宋体" w:hAnsi="宋体" w:cs="宋体"/>
                <w:color w:val="auto"/>
                <w:highlight w:val="none"/>
              </w:rPr>
              <w:t>5</w:t>
            </w:r>
            <w:r>
              <w:rPr>
                <w:rFonts w:hint="eastAsia" w:ascii="宋体" w:hAnsi="宋体" w:cs="宋体"/>
                <w:color w:val="auto"/>
                <w:highlight w:val="none"/>
              </w:rPr>
              <w:t>分</w:t>
            </w:r>
            <w:r>
              <w:rPr>
                <w:rFonts w:hint="eastAsia" w:ascii="宋体" w:hAnsi="宋体" w:cs="宋体"/>
                <w:color w:val="auto"/>
                <w:highlight w:val="none"/>
                <w:lang w:eastAsia="zh-CN"/>
              </w:rPr>
              <w:t>；</w:t>
            </w:r>
          </w:p>
          <w:p w14:paraId="0638FC2E">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2）重点及难点的解决方案针对性一般、内容不够全面</w:t>
            </w:r>
            <w:r>
              <w:rPr>
                <w:rFonts w:hint="eastAsia" w:ascii="宋体" w:hAnsi="宋体" w:cs="宋体"/>
                <w:color w:val="auto"/>
                <w:highlight w:val="none"/>
              </w:rPr>
              <w:t>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52818FD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3）重点及难点的解决方案无</w:t>
            </w:r>
            <w:r>
              <w:rPr>
                <w:rFonts w:hint="eastAsia" w:ascii="宋体" w:hAnsi="宋体" w:cs="宋体"/>
                <w:color w:val="auto"/>
                <w:highlight w:val="none"/>
              </w:rPr>
              <w:t>针对性</w:t>
            </w:r>
            <w:r>
              <w:rPr>
                <w:rFonts w:hint="eastAsia" w:ascii="宋体" w:hAnsi="宋体" w:cs="宋体"/>
                <w:color w:val="auto"/>
                <w:highlight w:val="none"/>
                <w:lang w:val="en-US" w:eastAsia="zh-CN"/>
              </w:rPr>
              <w:t>、缺乏内容</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eastAsia="宋体" w:cs="宋体"/>
                <w:color w:val="auto"/>
                <w:highlight w:val="none"/>
                <w:lang w:val="en-US" w:eastAsia="zh-CN"/>
              </w:rPr>
              <w:t>；</w:t>
            </w:r>
          </w:p>
          <w:p w14:paraId="7A8D0953">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eastAsia="宋体" w:cs="宋体"/>
                <w:color w:val="auto"/>
                <w:highlight w:val="none"/>
                <w:lang w:val="en-US" w:eastAsia="zh-CN"/>
              </w:rPr>
              <w:t>4）未提供相关内容不得分。</w:t>
            </w:r>
          </w:p>
        </w:tc>
        <w:tc>
          <w:tcPr>
            <w:tcW w:w="524" w:type="dxa"/>
            <w:vAlign w:val="center"/>
          </w:tcPr>
          <w:p w14:paraId="74D3EF5A">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2E83E50B">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2000896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1" w:type="dxa"/>
            <w:vAlign w:val="center"/>
          </w:tcPr>
          <w:p w14:paraId="6952DE72">
            <w:pPr>
              <w:keepNext w:val="0"/>
              <w:keepLines w:val="0"/>
              <w:widowControl/>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5</w:t>
            </w:r>
          </w:p>
        </w:tc>
        <w:tc>
          <w:tcPr>
            <w:tcW w:w="1221" w:type="dxa"/>
            <w:vAlign w:val="center"/>
          </w:tcPr>
          <w:p w14:paraId="7AEBA960">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项目实施方案</w:t>
            </w:r>
          </w:p>
        </w:tc>
        <w:tc>
          <w:tcPr>
            <w:tcW w:w="5245" w:type="dxa"/>
            <w:vAlign w:val="center"/>
          </w:tcPr>
          <w:p w14:paraId="256EFE5E">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根据投标人项目实施的组织结构是否合理、项目的管理措施是否可行、协调方法是否可行进行评议：</w:t>
            </w:r>
          </w:p>
          <w:p w14:paraId="5C3A704D">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highlight w:val="none"/>
              </w:rPr>
              <w:t>实施的组织结构合理、项目的管理措施可行、协调方法可行</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得5分；</w:t>
            </w:r>
          </w:p>
          <w:p w14:paraId="6600EB50">
            <w:pPr>
              <w:keepNext w:val="0"/>
              <w:keepLines w:val="0"/>
              <w:widowControl/>
              <w:numPr>
                <w:ilvl w:val="0"/>
                <w:numId w:val="0"/>
              </w:numPr>
              <w:suppressLineNumbers w:val="0"/>
              <w:spacing w:before="0" w:beforeAutospacing="0" w:after="0" w:afterAutospacing="0" w:line="360" w:lineRule="auto"/>
              <w:ind w:left="0" w:right="0"/>
              <w:jc w:val="left"/>
              <w:rPr>
                <w:rFonts w:hint="default" w:eastAsia="宋体"/>
                <w:color w:val="auto"/>
                <w:highlight w:val="none"/>
                <w:lang w:val="en-US" w:eastAsia="zh-CN"/>
              </w:rPr>
            </w:pPr>
            <w:r>
              <w:rPr>
                <w:rFonts w:hint="default" w:ascii="Times New Roman" w:hAnsi="Times New Roman" w:eastAsia="宋体" w:cs="Times New Roman"/>
                <w:color w:val="auto"/>
                <w:kern w:val="2"/>
                <w:sz w:val="21"/>
                <w:szCs w:val="24"/>
                <w:highlight w:val="none"/>
                <w:lang w:val="en-US" w:eastAsia="zh-CN" w:bidi="ar-SA"/>
              </w:rPr>
              <w:t>2）</w:t>
            </w:r>
            <w:r>
              <w:rPr>
                <w:rFonts w:hint="eastAsia" w:ascii="宋体" w:hAnsi="宋体" w:cs="宋体"/>
                <w:color w:val="auto"/>
                <w:highlight w:val="none"/>
              </w:rPr>
              <w:t>实施的组织结构</w:t>
            </w:r>
            <w:r>
              <w:rPr>
                <w:rFonts w:hint="eastAsia" w:ascii="宋体" w:hAnsi="宋体" w:cs="宋体"/>
                <w:color w:val="auto"/>
                <w:highlight w:val="none"/>
                <w:lang w:val="en-US" w:eastAsia="zh-CN"/>
              </w:rPr>
              <w:t>较</w:t>
            </w:r>
            <w:r>
              <w:rPr>
                <w:rFonts w:hint="eastAsia" w:ascii="宋体" w:hAnsi="宋体" w:cs="宋体"/>
                <w:color w:val="auto"/>
                <w:highlight w:val="none"/>
              </w:rPr>
              <w:t>合理、项目的管理措施</w:t>
            </w:r>
            <w:r>
              <w:rPr>
                <w:rFonts w:hint="eastAsia" w:ascii="宋体" w:hAnsi="宋体" w:cs="宋体"/>
                <w:color w:val="auto"/>
                <w:highlight w:val="none"/>
                <w:lang w:val="en-US" w:eastAsia="zh-CN"/>
              </w:rPr>
              <w:t>较</w:t>
            </w:r>
            <w:r>
              <w:rPr>
                <w:rFonts w:hint="eastAsia" w:ascii="宋体" w:hAnsi="宋体" w:cs="宋体"/>
                <w:color w:val="auto"/>
                <w:highlight w:val="none"/>
              </w:rPr>
              <w:t>可行、协调方法</w:t>
            </w:r>
            <w:r>
              <w:rPr>
                <w:rFonts w:hint="eastAsia" w:ascii="宋体" w:hAnsi="宋体" w:cs="宋体"/>
                <w:color w:val="auto"/>
                <w:highlight w:val="none"/>
                <w:lang w:val="en-US" w:eastAsia="zh-CN"/>
              </w:rPr>
              <w:t>较</w:t>
            </w:r>
            <w:r>
              <w:rPr>
                <w:rFonts w:hint="eastAsia" w:ascii="宋体" w:hAnsi="宋体" w:cs="宋体"/>
                <w:color w:val="auto"/>
                <w:highlight w:val="none"/>
              </w:rPr>
              <w:t>可行</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得3分；</w:t>
            </w:r>
          </w:p>
          <w:p w14:paraId="7E2C2FFE">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cs="宋体"/>
                <w:color w:val="auto"/>
                <w:highlight w:val="none"/>
              </w:rPr>
              <w:t>实施的组织结构</w:t>
            </w:r>
            <w:r>
              <w:rPr>
                <w:rFonts w:hint="eastAsia" w:ascii="宋体" w:hAnsi="宋体" w:cs="宋体"/>
                <w:color w:val="auto"/>
                <w:highlight w:val="none"/>
                <w:lang w:val="en-US" w:eastAsia="zh-CN"/>
              </w:rPr>
              <w:t>不</w:t>
            </w:r>
            <w:r>
              <w:rPr>
                <w:rFonts w:hint="eastAsia" w:ascii="宋体" w:hAnsi="宋体" w:cs="宋体"/>
                <w:color w:val="auto"/>
                <w:highlight w:val="none"/>
              </w:rPr>
              <w:t>合理、项目的管理措施</w:t>
            </w:r>
            <w:r>
              <w:rPr>
                <w:rFonts w:hint="eastAsia" w:ascii="宋体" w:hAnsi="宋体" w:cs="宋体"/>
                <w:color w:val="auto"/>
                <w:highlight w:val="none"/>
                <w:lang w:val="en-US" w:eastAsia="zh-CN"/>
              </w:rPr>
              <w:t>不</w:t>
            </w:r>
            <w:r>
              <w:rPr>
                <w:rFonts w:hint="eastAsia" w:ascii="宋体" w:hAnsi="宋体" w:cs="宋体"/>
                <w:color w:val="auto"/>
                <w:highlight w:val="none"/>
              </w:rPr>
              <w:t>可行、协调方法</w:t>
            </w:r>
            <w:r>
              <w:rPr>
                <w:rFonts w:hint="eastAsia" w:ascii="宋体" w:hAnsi="宋体" w:cs="宋体"/>
                <w:color w:val="auto"/>
                <w:highlight w:val="none"/>
                <w:lang w:val="en-US" w:eastAsia="zh-CN"/>
              </w:rPr>
              <w:t>不</w:t>
            </w:r>
            <w:r>
              <w:rPr>
                <w:rFonts w:hint="eastAsia" w:ascii="宋体" w:hAnsi="宋体" w:cs="宋体"/>
                <w:color w:val="auto"/>
                <w:highlight w:val="none"/>
              </w:rPr>
              <w:t>可行</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p>
          <w:p w14:paraId="0E956F44">
            <w:pPr>
              <w:keepNext w:val="0"/>
              <w:keepLines w:val="0"/>
              <w:widowControl/>
              <w:numPr>
                <w:ilvl w:val="0"/>
                <w:numId w:val="0"/>
              </w:numPr>
              <w:suppressLineNumbers w:val="0"/>
              <w:spacing w:before="0" w:beforeAutospacing="0" w:after="0" w:afterAutospacing="0" w:line="360" w:lineRule="auto"/>
              <w:ind w:left="0" w:right="0"/>
              <w:jc w:val="left"/>
              <w:rPr>
                <w:rFonts w:hint="default" w:eastAsia="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未提供相关内容不得分。</w:t>
            </w:r>
          </w:p>
        </w:tc>
        <w:tc>
          <w:tcPr>
            <w:tcW w:w="524" w:type="dxa"/>
            <w:vAlign w:val="center"/>
          </w:tcPr>
          <w:p w14:paraId="04236E80">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5902892D">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6EEFD41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486FB14D">
            <w:pPr>
              <w:keepNext w:val="0"/>
              <w:keepLines w:val="0"/>
              <w:widowControl/>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6</w:t>
            </w:r>
          </w:p>
        </w:tc>
        <w:tc>
          <w:tcPr>
            <w:tcW w:w="1221" w:type="dxa"/>
            <w:vAlign w:val="center"/>
          </w:tcPr>
          <w:p w14:paraId="7D627EAE">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highlight w:val="none"/>
              </w:rPr>
              <w:t>项目进度安排</w:t>
            </w:r>
          </w:p>
        </w:tc>
        <w:tc>
          <w:tcPr>
            <w:tcW w:w="5245" w:type="dxa"/>
            <w:vAlign w:val="center"/>
          </w:tcPr>
          <w:p w14:paraId="0624B5CC">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根据投标人时间进度安排、人员进度安排进行评议：</w:t>
            </w:r>
          </w:p>
          <w:p w14:paraId="50D1FA9C">
            <w:pPr>
              <w:keepNext w:val="0"/>
              <w:keepLines w:val="0"/>
              <w:widowControl/>
              <w:numPr>
                <w:ilvl w:val="0"/>
                <w:numId w:val="8"/>
              </w:numPr>
              <w:suppressLineNumbers w:val="0"/>
              <w:spacing w:before="0" w:beforeAutospacing="0" w:after="0" w:afterAutospacing="0" w:line="360" w:lineRule="auto"/>
              <w:ind w:left="0" w:right="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时间及人员进度安排符合采购需求，方案切实可行的得5分；</w:t>
            </w:r>
          </w:p>
          <w:p w14:paraId="4151FC93">
            <w:pPr>
              <w:keepNext w:val="0"/>
              <w:keepLines w:val="0"/>
              <w:widowControl/>
              <w:numPr>
                <w:ilvl w:val="0"/>
                <w:numId w:val="8"/>
              </w:numPr>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时间及人员进度安排基本符合采购需求，方案较为可行的得3分；</w:t>
            </w:r>
          </w:p>
          <w:p w14:paraId="7CA35658">
            <w:pPr>
              <w:keepNext w:val="0"/>
              <w:keepLines w:val="0"/>
              <w:widowControl/>
              <w:numPr>
                <w:ilvl w:val="0"/>
                <w:numId w:val="8"/>
              </w:numPr>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时间及人员进度安排不符合采购需求，方案不可行的得1分；</w:t>
            </w:r>
          </w:p>
          <w:p w14:paraId="540E032E">
            <w:pPr>
              <w:keepNext w:val="0"/>
              <w:keepLines w:val="0"/>
              <w:widowControl/>
              <w:numPr>
                <w:ilvl w:val="0"/>
                <w:numId w:val="0"/>
              </w:numPr>
              <w:suppressLineNumbers w:val="0"/>
              <w:spacing w:before="0" w:beforeAutospacing="0" w:after="0" w:afterAutospacing="0" w:line="360" w:lineRule="auto"/>
              <w:ind w:left="0" w:leftChars="0" w:right="0"/>
              <w:jc w:val="left"/>
              <w:rPr>
                <w:rFonts w:hint="default" w:eastAsia="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未提供相关内容不得分。</w:t>
            </w:r>
          </w:p>
        </w:tc>
        <w:tc>
          <w:tcPr>
            <w:tcW w:w="524" w:type="dxa"/>
            <w:vAlign w:val="center"/>
          </w:tcPr>
          <w:p w14:paraId="271E51FB">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1E0FF499">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2921E0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31" w:type="dxa"/>
            <w:vAlign w:val="center"/>
          </w:tcPr>
          <w:p w14:paraId="7CF79DC3">
            <w:pPr>
              <w:keepNext w:val="0"/>
              <w:keepLines w:val="0"/>
              <w:widowControl/>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7</w:t>
            </w:r>
          </w:p>
        </w:tc>
        <w:tc>
          <w:tcPr>
            <w:tcW w:w="1221" w:type="dxa"/>
            <w:vMerge w:val="restart"/>
            <w:vAlign w:val="center"/>
          </w:tcPr>
          <w:p w14:paraId="08D39F1E">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对接融合方案</w:t>
            </w:r>
          </w:p>
        </w:tc>
        <w:tc>
          <w:tcPr>
            <w:tcW w:w="5245" w:type="dxa"/>
            <w:vAlign w:val="center"/>
          </w:tcPr>
          <w:p w14:paraId="444CFFEB">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本项目</w:t>
            </w:r>
            <w:r>
              <w:rPr>
                <w:rFonts w:hint="eastAsia"/>
                <w:color w:val="auto"/>
                <w:highlight w:val="none"/>
              </w:rPr>
              <w:t>海曙区肝病防控系统需与海曙区基层医疗机构现有公卫系统对接融合</w:t>
            </w:r>
            <w:r>
              <w:rPr>
                <w:rFonts w:hint="eastAsia"/>
                <w:color w:val="auto"/>
                <w:kern w:val="0"/>
                <w:highlight w:val="none"/>
              </w:rPr>
              <w:t>，充分利用现有资源</w:t>
            </w:r>
            <w:r>
              <w:rPr>
                <w:rFonts w:hint="eastAsia" w:ascii="宋体" w:hAnsi="宋体" w:cs="宋体"/>
                <w:color w:val="auto"/>
                <w:highlight w:val="none"/>
              </w:rPr>
              <w:t>。根据投标人对系统的掌握和熟悉程度以及对接融合方案的合理性、可行性进行评议：</w:t>
            </w:r>
          </w:p>
          <w:p w14:paraId="4E2D402E">
            <w:pPr>
              <w:keepNext w:val="0"/>
              <w:keepLines w:val="0"/>
              <w:widowControl/>
              <w:numPr>
                <w:ilvl w:val="0"/>
                <w:numId w:val="9"/>
              </w:numPr>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熟悉程度高，对接融合方案合理性强、可行性强的得5分；</w:t>
            </w:r>
          </w:p>
          <w:p w14:paraId="13E6F888">
            <w:pPr>
              <w:keepNext w:val="0"/>
              <w:keepLines w:val="0"/>
              <w:widowControl/>
              <w:numPr>
                <w:ilvl w:val="0"/>
                <w:numId w:val="9"/>
              </w:numPr>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rPr>
              <w:t>熟悉程度较高，对接融合方案合理性较强、可行性较强的得</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4B70F958">
            <w:pPr>
              <w:keepNext w:val="0"/>
              <w:keepLines w:val="0"/>
              <w:widowControl/>
              <w:numPr>
                <w:ilvl w:val="0"/>
                <w:numId w:val="9"/>
              </w:numPr>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rPr>
              <w:t>熟悉程度差，对接融合方案合理性差、可行性差的得</w:t>
            </w:r>
            <w:r>
              <w:rPr>
                <w:rFonts w:hint="default" w:ascii="宋体" w:hAnsi="宋体" w:cs="宋体"/>
                <w:color w:val="auto"/>
                <w:highlight w:val="none"/>
              </w:rPr>
              <w:t>1</w:t>
            </w:r>
            <w:r>
              <w:rPr>
                <w:rFonts w:hint="eastAsia" w:ascii="宋体" w:hAnsi="宋体" w:cs="宋体"/>
                <w:color w:val="auto"/>
                <w:highlight w:val="none"/>
              </w:rPr>
              <w:t>分；</w:t>
            </w:r>
          </w:p>
          <w:p w14:paraId="0DB94694">
            <w:pPr>
              <w:keepNext w:val="0"/>
              <w:keepLines w:val="0"/>
              <w:widowControl/>
              <w:numPr>
                <w:ilvl w:val="0"/>
                <w:numId w:val="9"/>
              </w:numPr>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eastAsia="宋体" w:cs="宋体"/>
                <w:color w:val="auto"/>
                <w:highlight w:val="none"/>
                <w:lang w:val="en-US" w:eastAsia="zh-CN"/>
              </w:rPr>
              <w:t>未提供相关内容不得分</w:t>
            </w:r>
            <w:r>
              <w:rPr>
                <w:rFonts w:hint="eastAsia" w:ascii="宋体" w:hAnsi="宋体" w:cs="宋体"/>
                <w:color w:val="auto"/>
                <w:highlight w:val="none"/>
              </w:rPr>
              <w:t>。</w:t>
            </w:r>
          </w:p>
        </w:tc>
        <w:tc>
          <w:tcPr>
            <w:tcW w:w="524" w:type="dxa"/>
            <w:vAlign w:val="center"/>
          </w:tcPr>
          <w:p w14:paraId="276872B1">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063428A5">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088B29C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40EB8510">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221" w:type="dxa"/>
            <w:vMerge w:val="continue"/>
            <w:vAlign w:val="center"/>
          </w:tcPr>
          <w:p w14:paraId="02B407E5">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Cs w:val="21"/>
                <w:highlight w:val="none"/>
              </w:rPr>
            </w:pPr>
          </w:p>
        </w:tc>
        <w:tc>
          <w:tcPr>
            <w:tcW w:w="5245" w:type="dxa"/>
            <w:vAlign w:val="center"/>
          </w:tcPr>
          <w:p w14:paraId="2EB3ED64">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本项目</w:t>
            </w:r>
            <w:r>
              <w:rPr>
                <w:rFonts w:hint="eastAsia"/>
                <w:color w:val="auto"/>
                <w:highlight w:val="none"/>
              </w:rPr>
              <w:t>两慢病管理系统需与海曙区基层医疗机构现有HIS系统对接融合</w:t>
            </w:r>
            <w:r>
              <w:rPr>
                <w:rFonts w:hint="eastAsia"/>
                <w:color w:val="auto"/>
                <w:kern w:val="0"/>
                <w:highlight w:val="none"/>
              </w:rPr>
              <w:t>，充分利用现有资源</w:t>
            </w:r>
            <w:r>
              <w:rPr>
                <w:rFonts w:hint="eastAsia" w:ascii="宋体" w:hAnsi="宋体" w:cs="宋体"/>
                <w:color w:val="auto"/>
                <w:highlight w:val="none"/>
              </w:rPr>
              <w:t>。根据投标人对系统的掌握和熟悉程度以及对接融合方案的合理性、可行性进行评议：</w:t>
            </w:r>
          </w:p>
          <w:p w14:paraId="38F30DC8">
            <w:pPr>
              <w:keepNext w:val="0"/>
              <w:keepLines w:val="0"/>
              <w:widowControl/>
              <w:numPr>
                <w:ilvl w:val="0"/>
                <w:numId w:val="10"/>
              </w:numPr>
              <w:suppressLineNumbers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熟悉程度高，对接融合方案合理性强、可行性强的得5分；</w:t>
            </w:r>
          </w:p>
          <w:p w14:paraId="1B0E8882">
            <w:pPr>
              <w:keepNext w:val="0"/>
              <w:keepLines w:val="0"/>
              <w:widowControl/>
              <w:numPr>
                <w:ilvl w:val="0"/>
                <w:numId w:val="10"/>
              </w:numPr>
              <w:suppressLineNumbers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熟悉程度较高，对接融合方案合理性较强、可行性较强的得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1530D244">
            <w:pPr>
              <w:keepNext w:val="0"/>
              <w:keepLines w:val="0"/>
              <w:widowControl/>
              <w:numPr>
                <w:ilvl w:val="0"/>
                <w:numId w:val="10"/>
              </w:numPr>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eastAsia="宋体" w:cs="宋体"/>
                <w:color w:val="auto"/>
                <w:highlight w:val="none"/>
              </w:rPr>
              <w:t>熟悉程度差，对接融合方案合理性差、可行性差的得1分；</w:t>
            </w:r>
          </w:p>
          <w:p w14:paraId="6E499664">
            <w:pPr>
              <w:keepNext w:val="0"/>
              <w:keepLines w:val="0"/>
              <w:widowControl/>
              <w:numPr>
                <w:ilvl w:val="0"/>
                <w:numId w:val="10"/>
              </w:numPr>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未提供相关内容不得分</w:t>
            </w:r>
            <w:r>
              <w:rPr>
                <w:rFonts w:hint="eastAsia" w:ascii="宋体" w:hAnsi="宋体" w:eastAsia="宋体" w:cs="宋体"/>
                <w:color w:val="auto"/>
                <w:highlight w:val="none"/>
              </w:rPr>
              <w:t>。</w:t>
            </w:r>
          </w:p>
        </w:tc>
        <w:tc>
          <w:tcPr>
            <w:tcW w:w="524" w:type="dxa"/>
            <w:vAlign w:val="center"/>
          </w:tcPr>
          <w:p w14:paraId="10D1E9F6">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color w:val="auto"/>
                <w:kern w:val="0"/>
                <w:sz w:val="21"/>
                <w:szCs w:val="21"/>
                <w:highlight w:val="none"/>
                <w:lang w:val="en-US" w:eastAsia="zh-CN" w:bidi="ar-SA"/>
              </w:rPr>
            </w:pPr>
            <w:r>
              <w:rPr>
                <w:rFonts w:hint="default" w:ascii="宋体" w:hAnsi="宋体" w:cs="宋体"/>
                <w:color w:val="auto"/>
                <w:kern w:val="0"/>
                <w:szCs w:val="21"/>
                <w:highlight w:val="none"/>
              </w:rPr>
              <w:t>5</w:t>
            </w:r>
          </w:p>
        </w:tc>
        <w:tc>
          <w:tcPr>
            <w:tcW w:w="1260" w:type="dxa"/>
            <w:vAlign w:val="center"/>
          </w:tcPr>
          <w:p w14:paraId="04803C52">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14:paraId="048A78B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E7F469B">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221" w:type="dxa"/>
            <w:vAlign w:val="center"/>
          </w:tcPr>
          <w:p w14:paraId="0284783A">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拟投入本项目的人员安排</w:t>
            </w:r>
          </w:p>
        </w:tc>
        <w:tc>
          <w:tcPr>
            <w:tcW w:w="5245" w:type="dxa"/>
            <w:vAlign w:val="center"/>
          </w:tcPr>
          <w:p w14:paraId="5F7F3006">
            <w:pPr>
              <w:keepNext w:val="0"/>
              <w:keepLines w:val="0"/>
              <w:widowControl/>
              <w:suppressLineNumbers w:val="0"/>
              <w:spacing w:before="0" w:beforeAutospacing="0" w:after="0" w:afterAutospacing="0" w:line="360" w:lineRule="auto"/>
              <w:ind w:left="0" w:right="0"/>
              <w:jc w:val="left"/>
              <w:rPr>
                <w:rFonts w:hint="default"/>
                <w:color w:val="auto"/>
                <w:highlight w:val="none"/>
              </w:rPr>
            </w:pPr>
            <w:r>
              <w:rPr>
                <w:rFonts w:hint="eastAsia" w:ascii="宋体" w:hAnsi="宋体" w:cs="宋体"/>
                <w:color w:val="auto"/>
                <w:highlight w:val="none"/>
              </w:rPr>
              <w:t>根据投标人拟派本项目的人员安排（包括人员结构、数量）进行评议：</w:t>
            </w:r>
          </w:p>
          <w:p w14:paraId="5E6C8975">
            <w:pPr>
              <w:keepNext w:val="0"/>
              <w:keepLines w:val="0"/>
              <w:widowControl/>
              <w:numPr>
                <w:ilvl w:val="0"/>
                <w:numId w:val="11"/>
              </w:numPr>
              <w:suppressLineNumbers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人员结构合理、人员数量满足项目需求</w:t>
            </w:r>
            <w:r>
              <w:rPr>
                <w:rFonts w:hint="eastAsia" w:ascii="宋体" w:hAnsi="宋体" w:eastAsia="宋体" w:cs="宋体"/>
                <w:color w:val="auto"/>
                <w:highlight w:val="none"/>
              </w:rPr>
              <w:t>的得5分；</w:t>
            </w:r>
          </w:p>
          <w:p w14:paraId="5372B495">
            <w:pPr>
              <w:keepNext w:val="0"/>
              <w:keepLines w:val="0"/>
              <w:widowControl/>
              <w:numPr>
                <w:ilvl w:val="0"/>
                <w:numId w:val="11"/>
              </w:numPr>
              <w:suppressLineNumbers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人员结构较合理、人员数量满足基本项目需求</w:t>
            </w:r>
            <w:r>
              <w:rPr>
                <w:rFonts w:hint="eastAsia" w:ascii="宋体" w:hAnsi="宋体" w:eastAsia="宋体" w:cs="宋体"/>
                <w:color w:val="auto"/>
                <w:highlight w:val="none"/>
              </w:rPr>
              <w:t>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73D66E33">
            <w:pPr>
              <w:keepNext w:val="0"/>
              <w:keepLines w:val="0"/>
              <w:widowControl/>
              <w:numPr>
                <w:ilvl w:val="0"/>
                <w:numId w:val="11"/>
              </w:numPr>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人员结构不合理、人员数量不能满足项目需求</w:t>
            </w:r>
            <w:r>
              <w:rPr>
                <w:rFonts w:hint="eastAsia" w:ascii="宋体" w:hAnsi="宋体" w:eastAsia="宋体" w:cs="宋体"/>
                <w:color w:val="auto"/>
                <w:highlight w:val="none"/>
              </w:rPr>
              <w:t>的得1分；</w:t>
            </w:r>
          </w:p>
          <w:p w14:paraId="169CBE5C">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4）未提供相关内容不得分</w:t>
            </w:r>
            <w:r>
              <w:rPr>
                <w:rFonts w:hint="eastAsia" w:ascii="宋体" w:hAnsi="宋体" w:eastAsia="宋体" w:cs="宋体"/>
                <w:color w:val="auto"/>
                <w:highlight w:val="none"/>
              </w:rPr>
              <w:t>。</w:t>
            </w:r>
          </w:p>
          <w:p w14:paraId="32BF7356">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rPr>
              <w:t>注：投标文件中提供人员资质证书以及近开标日前3个月内任一月份的社保缴纳证明材料</w:t>
            </w:r>
            <w:r>
              <w:rPr>
                <w:rFonts w:hint="eastAsia" w:ascii="宋体" w:hAnsi="宋体" w:cs="宋体"/>
                <w:color w:val="auto"/>
                <w:highlight w:val="none"/>
                <w:lang w:eastAsia="zh-CN"/>
              </w:rPr>
              <w:t>扫描件</w:t>
            </w:r>
            <w:r>
              <w:rPr>
                <w:rFonts w:hint="eastAsia" w:ascii="宋体" w:hAnsi="宋体" w:cs="宋体"/>
                <w:color w:val="auto"/>
                <w:highlight w:val="none"/>
              </w:rPr>
              <w:t>并加盖公章。</w:t>
            </w:r>
          </w:p>
        </w:tc>
        <w:tc>
          <w:tcPr>
            <w:tcW w:w="524" w:type="dxa"/>
            <w:vAlign w:val="center"/>
          </w:tcPr>
          <w:p w14:paraId="6D968BE4">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5D532412">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2AD3A34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15093BE2">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1221" w:type="dxa"/>
            <w:vAlign w:val="center"/>
          </w:tcPr>
          <w:p w14:paraId="1920F0B9">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质量保证措施</w:t>
            </w:r>
          </w:p>
        </w:tc>
        <w:tc>
          <w:tcPr>
            <w:tcW w:w="5245" w:type="dxa"/>
            <w:vAlign w:val="center"/>
          </w:tcPr>
          <w:p w14:paraId="645E9D07">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根据投标人针对本项目的质量保证措施进行评议：</w:t>
            </w:r>
          </w:p>
          <w:p w14:paraId="54300475">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1）质量保证措施可行、方案全面</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得5分；</w:t>
            </w:r>
          </w:p>
          <w:p w14:paraId="55EC61CB">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2）质量保证措施较可行、方案较全面</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得3分；</w:t>
            </w:r>
          </w:p>
          <w:p w14:paraId="219C8E75">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3）质量保证措施不可行、方案不全面</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p>
          <w:p w14:paraId="14954880">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lang w:val="en-US" w:eastAsia="zh-CN"/>
              </w:rPr>
              <w:t>4）未提供相关内容不得分。</w:t>
            </w:r>
          </w:p>
        </w:tc>
        <w:tc>
          <w:tcPr>
            <w:tcW w:w="524" w:type="dxa"/>
            <w:vAlign w:val="center"/>
          </w:tcPr>
          <w:p w14:paraId="1898F69E">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6E66DAB2">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00252F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3494DCC7">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1221" w:type="dxa"/>
            <w:vAlign w:val="center"/>
          </w:tcPr>
          <w:p w14:paraId="7A2C4E00">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培训方案</w:t>
            </w:r>
          </w:p>
        </w:tc>
        <w:tc>
          <w:tcPr>
            <w:tcW w:w="5245" w:type="dxa"/>
            <w:vAlign w:val="center"/>
          </w:tcPr>
          <w:p w14:paraId="14BC70C5">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根据投标人培训计划、培训内容、培训师资、培训时间进行评议：</w:t>
            </w:r>
          </w:p>
          <w:p w14:paraId="6DF05749">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1）培训计划合理、培训内容丰富、培训师资雄厚、培训时间符合项目需求</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得5分；</w:t>
            </w:r>
          </w:p>
          <w:p w14:paraId="5BEE0D39">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2）培训计划较合理、培训内容较丰富、培训师资较雄厚、培训时间基本符合项目需求</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得3分；</w:t>
            </w:r>
          </w:p>
          <w:p w14:paraId="7B984FD9">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3）培训计划不合理、培训内容不丰富、培训师资弱、培训时间不符合项目需求</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p>
          <w:p w14:paraId="42827B0C">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lang w:val="en-US" w:eastAsia="zh-CN"/>
              </w:rPr>
              <w:t>4）未提供相关内容不得分。</w:t>
            </w:r>
          </w:p>
        </w:tc>
        <w:tc>
          <w:tcPr>
            <w:tcW w:w="524" w:type="dxa"/>
            <w:vAlign w:val="center"/>
          </w:tcPr>
          <w:p w14:paraId="3E61B8AB">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19D1C517">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1B3E180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17DD1AC0">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221" w:type="dxa"/>
            <w:vAlign w:val="center"/>
          </w:tcPr>
          <w:p w14:paraId="33C1F73C">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售后服务方案</w:t>
            </w:r>
          </w:p>
        </w:tc>
        <w:tc>
          <w:tcPr>
            <w:tcW w:w="5245" w:type="dxa"/>
            <w:vAlign w:val="center"/>
          </w:tcPr>
          <w:p w14:paraId="21803B78">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rPr>
            </w:pPr>
            <w:r>
              <w:rPr>
                <w:rFonts w:hint="eastAsia" w:ascii="宋体" w:hAnsi="宋体" w:cs="宋体"/>
                <w:color w:val="auto"/>
                <w:highlight w:val="none"/>
              </w:rPr>
              <w:t>根据投标人售后服务内容、服务方式、服务响应时间进行评议：</w:t>
            </w:r>
          </w:p>
          <w:p w14:paraId="41B49E5B">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1）售后服务内容全面、服务方式符合项目需求、响应时间迅速</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得5分；</w:t>
            </w:r>
          </w:p>
          <w:p w14:paraId="53A7346C">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2）售后服务内容较全面、服务方式基本符合项目需求、响应时间满足采购要求</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得3分；</w:t>
            </w:r>
          </w:p>
          <w:p w14:paraId="6458D493">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3）售后服务内容不全面、服务方式不符合项目需求、响应时间慢</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p>
          <w:p w14:paraId="436A9974">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lang w:val="en-US" w:eastAsia="zh-CN"/>
              </w:rPr>
              <w:t>4）未提供相关内容不得分。</w:t>
            </w:r>
          </w:p>
        </w:tc>
        <w:tc>
          <w:tcPr>
            <w:tcW w:w="524" w:type="dxa"/>
            <w:vAlign w:val="center"/>
          </w:tcPr>
          <w:p w14:paraId="442F7013">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5</w:t>
            </w:r>
          </w:p>
        </w:tc>
        <w:tc>
          <w:tcPr>
            <w:tcW w:w="1260" w:type="dxa"/>
            <w:vAlign w:val="center"/>
          </w:tcPr>
          <w:p w14:paraId="09BB0A9F">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0F92D9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0399B989">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221" w:type="dxa"/>
            <w:vAlign w:val="center"/>
          </w:tcPr>
          <w:p w14:paraId="5D7D924A">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体系认证</w:t>
            </w:r>
          </w:p>
        </w:tc>
        <w:tc>
          <w:tcPr>
            <w:tcW w:w="5245" w:type="dxa"/>
            <w:vAlign w:val="center"/>
          </w:tcPr>
          <w:p w14:paraId="234B1C8F">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rPr>
              <w:t>投标人具有有效的质量管理体系认证</w:t>
            </w:r>
            <w:r>
              <w:rPr>
                <w:rFonts w:hint="eastAsia" w:ascii="宋体" w:hAnsi="宋体" w:cs="宋体"/>
                <w:color w:val="auto"/>
                <w:highlight w:val="none"/>
                <w:lang w:eastAsia="zh-CN"/>
              </w:rPr>
              <w:t>、</w:t>
            </w:r>
            <w:r>
              <w:rPr>
                <w:rFonts w:hint="default" w:cs="Times New Roman"/>
                <w:color w:val="auto"/>
                <w:kern w:val="0"/>
                <w:highlight w:val="none"/>
              </w:rPr>
              <w:t>信息技术服务管理体系认证</w:t>
            </w:r>
            <w:r>
              <w:rPr>
                <w:rFonts w:hint="eastAsia" w:cs="Times New Roman"/>
                <w:color w:val="auto"/>
                <w:kern w:val="0"/>
                <w:highlight w:val="none"/>
                <w:lang w:eastAsia="zh-CN"/>
              </w:rPr>
              <w:t>、</w:t>
            </w:r>
            <w:r>
              <w:rPr>
                <w:rFonts w:hint="default" w:cs="Times New Roman"/>
                <w:color w:val="auto"/>
                <w:kern w:val="0"/>
                <w:highlight w:val="none"/>
              </w:rPr>
              <w:t>信息安全管理体系认证</w:t>
            </w:r>
            <w:r>
              <w:rPr>
                <w:rFonts w:hint="eastAsia" w:ascii="宋体" w:hAnsi="宋体" w:cs="宋体"/>
                <w:color w:val="auto"/>
                <w:highlight w:val="none"/>
              </w:rPr>
              <w:t>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每提供1个认证</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满分3分</w:t>
            </w:r>
            <w:r>
              <w:rPr>
                <w:rFonts w:hint="eastAsia" w:ascii="宋体" w:hAnsi="宋体" w:cs="宋体"/>
                <w:color w:val="auto"/>
                <w:highlight w:val="none"/>
              </w:rPr>
              <w:t>。</w:t>
            </w:r>
          </w:p>
          <w:p w14:paraId="535918BD">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highlight w:val="none"/>
              </w:rPr>
            </w:pPr>
            <w:r>
              <w:rPr>
                <w:rFonts w:hint="eastAsia" w:ascii="宋体" w:hAnsi="宋体" w:cs="宋体"/>
                <w:color w:val="auto"/>
                <w:highlight w:val="none"/>
              </w:rPr>
              <w:t>注：1、投标文件中提供有效的证书</w:t>
            </w:r>
            <w:r>
              <w:rPr>
                <w:rFonts w:hint="eastAsia" w:ascii="宋体" w:hAnsi="宋体" w:cs="宋体"/>
                <w:color w:val="auto"/>
                <w:highlight w:val="none"/>
                <w:lang w:eastAsia="zh-CN"/>
              </w:rPr>
              <w:t>扫描件</w:t>
            </w:r>
            <w:r>
              <w:rPr>
                <w:rFonts w:hint="eastAsia" w:ascii="宋体" w:hAnsi="宋体" w:cs="宋体"/>
                <w:color w:val="auto"/>
                <w:highlight w:val="none"/>
              </w:rPr>
              <w:t>加盖公章，未提供的或未按要求盖章的不得分。2、联合体投标的，联合体任意一方的有效证书均与认可。</w:t>
            </w:r>
          </w:p>
        </w:tc>
        <w:tc>
          <w:tcPr>
            <w:tcW w:w="524" w:type="dxa"/>
            <w:vAlign w:val="center"/>
          </w:tcPr>
          <w:p w14:paraId="0DBCC9C9">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260" w:type="dxa"/>
            <w:vAlign w:val="center"/>
          </w:tcPr>
          <w:p w14:paraId="507C5B88">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37F448D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81" w:type="dxa"/>
            <w:gridSpan w:val="5"/>
            <w:vAlign w:val="center"/>
          </w:tcPr>
          <w:p w14:paraId="1789B66C">
            <w:pPr>
              <w:keepNext w:val="0"/>
              <w:keepLines w:val="0"/>
              <w:widowControl/>
              <w:suppressLineNumbers w:val="0"/>
              <w:tabs>
                <w:tab w:val="left" w:pos="0"/>
              </w:tabs>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二）、报价分（</w:t>
            </w:r>
            <w:r>
              <w:rPr>
                <w:rFonts w:hint="default" w:ascii="宋体" w:hAnsi="宋体" w:cs="宋体"/>
                <w:b/>
                <w:bCs/>
                <w:color w:val="auto"/>
                <w:kern w:val="0"/>
                <w:szCs w:val="21"/>
                <w:highlight w:val="none"/>
              </w:rPr>
              <w:t>10</w:t>
            </w:r>
            <w:r>
              <w:rPr>
                <w:rFonts w:hint="eastAsia" w:ascii="宋体" w:hAnsi="宋体" w:cs="宋体"/>
                <w:b/>
                <w:bCs/>
                <w:color w:val="auto"/>
                <w:kern w:val="0"/>
                <w:szCs w:val="21"/>
                <w:highlight w:val="none"/>
              </w:rPr>
              <w:t>分）</w:t>
            </w:r>
          </w:p>
        </w:tc>
      </w:tr>
      <w:tr w14:paraId="62AF0F5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731" w:type="dxa"/>
            <w:vAlign w:val="center"/>
          </w:tcPr>
          <w:p w14:paraId="7B5D3D71">
            <w:pPr>
              <w:keepNext w:val="0"/>
              <w:keepLines w:val="0"/>
              <w:widowControl/>
              <w:suppressLineNumbers w:val="0"/>
              <w:tabs>
                <w:tab w:val="left" w:pos="0"/>
              </w:tabs>
              <w:spacing w:before="0" w:beforeAutospacing="0" w:after="0" w:afterAutospacing="0" w:line="360" w:lineRule="auto"/>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rPr>
              <w:t>14</w:t>
            </w:r>
          </w:p>
        </w:tc>
        <w:tc>
          <w:tcPr>
            <w:tcW w:w="6466" w:type="dxa"/>
            <w:gridSpan w:val="2"/>
            <w:vAlign w:val="center"/>
          </w:tcPr>
          <w:p w14:paraId="3FE57782">
            <w:pPr>
              <w:keepNext w:val="0"/>
              <w:keepLines w:val="0"/>
              <w:widowControl/>
              <w:suppressLineNumbers w:val="0"/>
              <w:tabs>
                <w:tab w:val="left" w:pos="0"/>
              </w:tabs>
              <w:spacing w:before="0" w:beforeAutospacing="0" w:after="0" w:afterAutospacing="0" w:line="360" w:lineRule="auto"/>
              <w:ind w:left="0" w:right="0"/>
              <w:jc w:val="left"/>
              <w:rPr>
                <w:rFonts w:hint="default" w:ascii="宋体" w:hAnsi="宋体" w:cs="宋体"/>
                <w:b/>
                <w:bCs/>
                <w:color w:val="auto"/>
                <w:kern w:val="0"/>
                <w:szCs w:val="21"/>
                <w:highlight w:val="none"/>
                <w:lang w:val="zh-CN"/>
              </w:rPr>
            </w:pPr>
            <w:r>
              <w:rPr>
                <w:rFonts w:hint="eastAsia" w:ascii="宋体" w:hAnsi="宋体" w:cs="宋体"/>
                <w:b/>
                <w:bCs/>
                <w:color w:val="auto"/>
                <w:kern w:val="0"/>
                <w:szCs w:val="21"/>
                <w:highlight w:val="none"/>
              </w:rPr>
              <w:t>报价</w:t>
            </w:r>
            <w:r>
              <w:rPr>
                <w:rFonts w:hint="eastAsia" w:ascii="宋体" w:hAnsi="宋体" w:cs="宋体"/>
                <w:b/>
                <w:bCs/>
                <w:color w:val="auto"/>
                <w:kern w:val="0"/>
                <w:szCs w:val="21"/>
                <w:highlight w:val="none"/>
                <w:lang w:val="zh-CN"/>
              </w:rPr>
              <w:t>得分</w:t>
            </w:r>
          </w:p>
          <w:p w14:paraId="5CA530E0">
            <w:pPr>
              <w:keepNext w:val="0"/>
              <w:keepLines w:val="0"/>
              <w:widowControl/>
              <w:suppressLineNumbers w:val="0"/>
              <w:tabs>
                <w:tab w:val="left" w:pos="0"/>
              </w:tabs>
              <w:spacing w:before="0" w:beforeAutospacing="0" w:after="0" w:afterAutospacing="0" w:line="360" w:lineRule="auto"/>
              <w:ind w:left="0" w:right="0"/>
              <w:jc w:val="left"/>
              <w:rPr>
                <w:rFonts w:hint="default" w:ascii="宋体" w:hAnsi="宋体" w:cs="宋体"/>
                <w:bCs/>
                <w:color w:val="auto"/>
                <w:kern w:val="0"/>
                <w:szCs w:val="21"/>
                <w:highlight w:val="none"/>
                <w:lang w:val="zh-CN"/>
              </w:rPr>
            </w:pPr>
            <w:r>
              <w:rPr>
                <w:rFonts w:hint="eastAsia" w:ascii="宋体" w:hAnsi="宋体" w:cs="宋体"/>
                <w:bCs/>
                <w:color w:val="auto"/>
                <w:szCs w:val="21"/>
                <w:highlight w:val="none"/>
              </w:rPr>
              <w:t>参与评审的价格=投标报价-小微企业价格扣除优惠值（如有）。</w:t>
            </w:r>
          </w:p>
          <w:p w14:paraId="2186A9C7">
            <w:pPr>
              <w:keepNext w:val="0"/>
              <w:keepLines w:val="0"/>
              <w:widowControl/>
              <w:suppressLineNumbers w:val="0"/>
              <w:tabs>
                <w:tab w:val="left" w:pos="0"/>
              </w:tabs>
              <w:spacing w:before="0" w:beforeAutospacing="0" w:after="0" w:afterAutospacing="0" w:line="360" w:lineRule="auto"/>
              <w:ind w:left="0" w:right="0"/>
              <w:jc w:val="left"/>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评标基准价指的是满足招标文件要求且最低的参与评审的价格。</w:t>
            </w:r>
          </w:p>
          <w:p w14:paraId="7B202B2A">
            <w:pPr>
              <w:keepNext w:val="0"/>
              <w:keepLines w:val="0"/>
              <w:widowControl/>
              <w:suppressLineNumbers w:val="0"/>
              <w:tabs>
                <w:tab w:val="left" w:pos="0"/>
              </w:tabs>
              <w:spacing w:before="0" w:beforeAutospacing="0" w:after="0" w:afterAutospacing="0" w:line="360" w:lineRule="auto"/>
              <w:ind w:left="0" w:right="0"/>
              <w:jc w:val="left"/>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参与评审的价格为评标基准价的其价格得分得满分</w:t>
            </w:r>
            <w:r>
              <w:rPr>
                <w:rFonts w:hint="default" w:ascii="宋体" w:hAnsi="宋体" w:cs="宋体"/>
                <w:color w:val="auto"/>
                <w:kern w:val="0"/>
                <w:szCs w:val="21"/>
                <w:highlight w:val="none"/>
                <w:lang w:val="zh-CN"/>
              </w:rPr>
              <w:t>10</w:t>
            </w:r>
            <w:r>
              <w:rPr>
                <w:rFonts w:hint="eastAsia" w:ascii="宋体" w:hAnsi="宋体" w:cs="宋体"/>
                <w:color w:val="auto"/>
                <w:kern w:val="0"/>
                <w:szCs w:val="21"/>
                <w:highlight w:val="none"/>
                <w:lang w:val="zh-CN"/>
              </w:rPr>
              <w:t>分。</w:t>
            </w:r>
          </w:p>
          <w:p w14:paraId="05BF6C99">
            <w:pPr>
              <w:keepNext w:val="0"/>
              <w:keepLines w:val="0"/>
              <w:widowControl/>
              <w:suppressLineNumbers w:val="0"/>
              <w:tabs>
                <w:tab w:val="left" w:pos="0"/>
              </w:tabs>
              <w:spacing w:before="0" w:beforeAutospacing="0" w:after="0" w:afterAutospacing="0" w:line="360" w:lineRule="auto"/>
              <w:ind w:left="0" w:right="0"/>
              <w:jc w:val="left"/>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其他投标人价格得分按照下列公式计算：</w:t>
            </w:r>
          </w:p>
          <w:p w14:paraId="58147902">
            <w:pPr>
              <w:keepNext w:val="0"/>
              <w:keepLines w:val="0"/>
              <w:widowControl/>
              <w:suppressLineNumbers w:val="0"/>
              <w:tabs>
                <w:tab w:val="left" w:pos="0"/>
              </w:tabs>
              <w:spacing w:before="0" w:beforeAutospacing="0" w:after="0" w:afterAutospacing="0" w:line="360" w:lineRule="auto"/>
              <w:ind w:left="0" w:right="0"/>
              <w:jc w:val="left"/>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价格得分=（评标基准价/各投标人参与评审的价格）×</w:t>
            </w:r>
            <w:r>
              <w:rPr>
                <w:rFonts w:hint="default" w:ascii="宋体" w:hAnsi="宋体" w:cs="宋体"/>
                <w:color w:val="auto"/>
                <w:kern w:val="0"/>
                <w:szCs w:val="21"/>
                <w:highlight w:val="none"/>
                <w:lang w:val="zh-CN"/>
              </w:rPr>
              <w:t>10</w:t>
            </w:r>
            <w:r>
              <w:rPr>
                <w:rFonts w:hint="eastAsia" w:ascii="宋体" w:hAnsi="宋体" w:cs="宋体"/>
                <w:color w:val="auto"/>
                <w:kern w:val="0"/>
                <w:szCs w:val="21"/>
                <w:highlight w:val="none"/>
                <w:lang w:val="zh-CN"/>
              </w:rPr>
              <w:t>％×100。</w:t>
            </w:r>
          </w:p>
        </w:tc>
        <w:tc>
          <w:tcPr>
            <w:tcW w:w="524" w:type="dxa"/>
            <w:vAlign w:val="center"/>
          </w:tcPr>
          <w:p w14:paraId="433BC14D">
            <w:pPr>
              <w:keepNext w:val="0"/>
              <w:keepLines w:val="0"/>
              <w:widowControl/>
              <w:suppressLineNumbers w:val="0"/>
              <w:tabs>
                <w:tab w:val="left" w:pos="0"/>
              </w:tabs>
              <w:spacing w:before="0" w:beforeAutospacing="0" w:after="0" w:afterAutospacing="0" w:line="360" w:lineRule="auto"/>
              <w:ind w:left="0" w:right="0"/>
              <w:jc w:val="center"/>
              <w:rPr>
                <w:rFonts w:hint="default" w:ascii="宋体" w:hAnsi="宋体" w:cs="宋体"/>
                <w:color w:val="auto"/>
                <w:kern w:val="0"/>
                <w:szCs w:val="21"/>
                <w:highlight w:val="none"/>
              </w:rPr>
            </w:pPr>
            <w:r>
              <w:rPr>
                <w:rFonts w:hint="default" w:ascii="宋体" w:hAnsi="宋体" w:cs="宋体"/>
                <w:color w:val="auto"/>
                <w:kern w:val="0"/>
                <w:szCs w:val="21"/>
                <w:highlight w:val="none"/>
                <w:lang w:val="zh-CN"/>
              </w:rPr>
              <w:t>10</w:t>
            </w:r>
          </w:p>
        </w:tc>
        <w:tc>
          <w:tcPr>
            <w:tcW w:w="1260" w:type="dxa"/>
            <w:vAlign w:val="center"/>
          </w:tcPr>
          <w:p w14:paraId="3A96BDA9">
            <w:pPr>
              <w:keepNext w:val="0"/>
              <w:keepLines w:val="0"/>
              <w:widowControl/>
              <w:suppressLineNumbers w:val="0"/>
              <w:tabs>
                <w:tab w:val="left" w:pos="0"/>
              </w:tabs>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val="zh-CN"/>
              </w:rPr>
              <w:t>客观</w:t>
            </w:r>
            <w:r>
              <w:rPr>
                <w:rFonts w:hint="eastAsia" w:ascii="宋体" w:hAnsi="宋体" w:cs="宋体"/>
                <w:color w:val="auto"/>
                <w:kern w:val="0"/>
                <w:szCs w:val="21"/>
                <w:highlight w:val="none"/>
              </w:rPr>
              <w:t>分</w:t>
            </w:r>
          </w:p>
        </w:tc>
      </w:tr>
    </w:tbl>
    <w:p w14:paraId="6B392439">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Cs/>
          <w:color w:val="auto"/>
          <w:sz w:val="24"/>
          <w:highlight w:val="none"/>
        </w:rPr>
        <w:t>（1）</w:t>
      </w:r>
      <w:r>
        <w:rPr>
          <w:rFonts w:hint="eastAsia" w:ascii="宋体" w:hAnsi="宋体" w:cs="宋体"/>
          <w:color w:val="auto"/>
          <w:sz w:val="24"/>
          <w:highlight w:val="none"/>
        </w:rPr>
        <w:t>投标人编制投标文件（商务技术文件部分）时，建议按此目录（序号和内容）提供评标标准相应的商务技术资料。</w:t>
      </w:r>
    </w:p>
    <w:p w14:paraId="5EAA21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（2）评委在上表设定的分值范围内打分(四舍五入保留两位小数)，平均分值计算四舍五入保留两位小数点。  </w:t>
      </w:r>
    </w:p>
    <w:p w14:paraId="0AA7D41C">
      <w:pPr>
        <w:pStyle w:val="63"/>
        <w:ind w:firstLine="420"/>
        <w:rPr>
          <w:color w:val="auto"/>
          <w:highlight w:val="none"/>
        </w:rPr>
      </w:pPr>
    </w:p>
    <w:p w14:paraId="6D04E7BD">
      <w:pPr>
        <w:snapToGrid w:val="0"/>
        <w:spacing w:line="360" w:lineRule="auto"/>
        <w:outlineLvl w:val="1"/>
        <w:rPr>
          <w:rFonts w:ascii="宋体" w:hAnsi="宋体" w:cs="宋体"/>
          <w:b/>
          <w:color w:val="auto"/>
          <w:sz w:val="28"/>
          <w:szCs w:val="28"/>
          <w:highlight w:val="none"/>
        </w:rPr>
      </w:pPr>
      <w:bookmarkStart w:id="433" w:name="_Toc22860"/>
      <w:r>
        <w:rPr>
          <w:rFonts w:hint="eastAsia" w:ascii="宋体" w:hAnsi="宋体" w:cs="宋体"/>
          <w:b/>
          <w:color w:val="auto"/>
          <w:sz w:val="32"/>
          <w:highlight w:val="none"/>
        </w:rPr>
        <w:t>一、评标方法</w:t>
      </w:r>
      <w:bookmarkEnd w:id="433"/>
    </w:p>
    <w:p w14:paraId="6F6FB75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C179481">
      <w:pPr>
        <w:adjustRightInd/>
        <w:spacing w:line="360" w:lineRule="auto"/>
        <w:outlineLvl w:val="1"/>
        <w:rPr>
          <w:rFonts w:ascii="宋体" w:hAnsi="宋体" w:cs="宋体"/>
          <w:color w:val="auto"/>
          <w:kern w:val="0"/>
          <w:sz w:val="24"/>
          <w:highlight w:val="none"/>
        </w:rPr>
      </w:pPr>
      <w:bookmarkStart w:id="434" w:name="_Toc29389"/>
      <w:r>
        <w:rPr>
          <w:rFonts w:hint="eastAsia" w:ascii="宋体" w:hAnsi="宋体" w:cs="宋体"/>
          <w:b/>
          <w:color w:val="auto"/>
          <w:sz w:val="32"/>
          <w:highlight w:val="none"/>
        </w:rPr>
        <w:t>二、评标标准</w:t>
      </w:r>
      <w:bookmarkEnd w:id="434"/>
    </w:p>
    <w:p w14:paraId="414D287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667BC150">
      <w:pPr>
        <w:spacing w:line="360" w:lineRule="auto"/>
        <w:outlineLvl w:val="1"/>
        <w:rPr>
          <w:rFonts w:ascii="宋体" w:hAnsi="宋体" w:cs="宋体"/>
          <w:b/>
          <w:color w:val="auto"/>
          <w:sz w:val="36"/>
          <w:szCs w:val="36"/>
          <w:highlight w:val="none"/>
        </w:rPr>
      </w:pPr>
      <w:bookmarkStart w:id="435" w:name="_Toc1306"/>
      <w:r>
        <w:rPr>
          <w:rFonts w:hint="eastAsia" w:ascii="宋体" w:hAnsi="宋体" w:cs="宋体"/>
          <w:b/>
          <w:color w:val="auto"/>
          <w:sz w:val="36"/>
          <w:szCs w:val="36"/>
          <w:highlight w:val="none"/>
        </w:rPr>
        <w:t>三、评标程序</w:t>
      </w:r>
      <w:bookmarkEnd w:id="435"/>
    </w:p>
    <w:p w14:paraId="51E2499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7F81C1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2FA1288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AF8B05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E43FE92">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BAE2C6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22B7C6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978D8C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5270E6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447608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614EC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4C192A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7C4E8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176D125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35A8E7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03463A4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457BF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A3378D">
      <w:pPr>
        <w:spacing w:line="360" w:lineRule="auto"/>
        <w:outlineLvl w:val="1"/>
        <w:rPr>
          <w:rFonts w:ascii="宋体" w:hAnsi="宋体" w:cs="宋体"/>
          <w:b/>
          <w:color w:val="auto"/>
          <w:sz w:val="36"/>
          <w:szCs w:val="36"/>
          <w:highlight w:val="none"/>
        </w:rPr>
      </w:pPr>
      <w:bookmarkStart w:id="436" w:name="_Toc29108"/>
      <w:r>
        <w:rPr>
          <w:rFonts w:hint="eastAsia" w:ascii="宋体" w:hAnsi="宋体" w:cs="宋体"/>
          <w:b/>
          <w:color w:val="auto"/>
          <w:sz w:val="36"/>
          <w:szCs w:val="36"/>
          <w:highlight w:val="none"/>
        </w:rPr>
        <w:t>四、评标中的其他事项</w:t>
      </w:r>
      <w:bookmarkEnd w:id="436"/>
    </w:p>
    <w:p w14:paraId="3D120682">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54536F">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69048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CC7AF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6967E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986A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1A7A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4511A0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313FD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97F85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7589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1F4CC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6D84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4EEC594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676C638">
      <w:pPr>
        <w:spacing w:line="360" w:lineRule="auto"/>
        <w:ind w:firstLine="480" w:firstLineChars="200"/>
        <w:rPr>
          <w:rFonts w:hint="eastAsia" w:ascii="宋体" w:hAnsi="宋体" w:cs="宋体"/>
          <w:color w:val="auto"/>
          <w:kern w:val="0"/>
          <w:sz w:val="24"/>
          <w:highlight w:val="none"/>
          <w:lang w:val="en-US"/>
        </w:rPr>
      </w:pPr>
      <w:bookmarkStart w:id="437" w:name="_Toc16784"/>
      <w:r>
        <w:rPr>
          <w:rFonts w:hint="eastAsia" w:ascii="宋体" w:hAnsi="宋体" w:cs="宋体"/>
          <w:color w:val="auto"/>
          <w:kern w:val="0"/>
          <w:sz w:val="24"/>
          <w:highlight w:val="none"/>
          <w:lang w:val="en-US"/>
        </w:rPr>
        <w:t>4.2.13 投标文件不满足招标文件的其它实质性要求的；</w:t>
      </w:r>
      <w:bookmarkEnd w:id="437"/>
    </w:p>
    <w:p w14:paraId="72253CF3">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4.2.14当“</w:t>
      </w:r>
      <w:r>
        <w:rPr>
          <w:rFonts w:hint="eastAsia" w:ascii="宋体" w:hAnsi="宋体" w:cs="宋体"/>
          <w:color w:val="auto"/>
          <w:kern w:val="0"/>
          <w:sz w:val="24"/>
          <w:highlight w:val="none"/>
        </w:rPr>
        <w:t>技术响应性</w:t>
      </w:r>
      <w:r>
        <w:rPr>
          <w:rFonts w:hint="eastAsia" w:ascii="宋体" w:hAnsi="宋体" w:cs="宋体"/>
          <w:color w:val="auto"/>
          <w:kern w:val="0"/>
          <w:sz w:val="24"/>
          <w:highlight w:val="none"/>
          <w:lang w:val="en-US" w:eastAsia="zh-CN"/>
        </w:rPr>
        <w:t>”评分项扣减至0分或以下的；</w:t>
      </w:r>
    </w:p>
    <w:p w14:paraId="30AD872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39A7663A">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07BF5F1">
      <w:pPr>
        <w:pStyle w:val="27"/>
        <w:snapToGrid w:val="0"/>
        <w:spacing w:line="360" w:lineRule="auto"/>
        <w:rPr>
          <w:rFonts w:cs="宋体"/>
          <w:color w:val="auto"/>
          <w:highlight w:val="none"/>
        </w:rPr>
      </w:pPr>
      <w:r>
        <w:rPr>
          <w:rFonts w:hint="eastAsia" w:cs="宋体"/>
          <w:color w:val="auto"/>
          <w:highlight w:val="none"/>
        </w:rPr>
        <w:t>5.1符合专业条件的投标人或者对招标文件作实质响应的投标人不足3家的；</w:t>
      </w:r>
    </w:p>
    <w:p w14:paraId="35773A49">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746A582B">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51688C4">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56BA981">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733BC7B">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B1D871">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1DCEC9">
      <w:pPr>
        <w:pStyle w:val="27"/>
        <w:snapToGrid w:val="0"/>
        <w:spacing w:line="360" w:lineRule="auto"/>
        <w:rPr>
          <w:rFonts w:cs="宋体"/>
          <w:color w:val="auto"/>
          <w:highlight w:val="none"/>
        </w:rPr>
      </w:pPr>
      <w:r>
        <w:rPr>
          <w:rFonts w:hint="eastAsia" w:cs="宋体"/>
          <w:color w:val="auto"/>
          <w:highlight w:val="none"/>
        </w:rPr>
        <w:t>7.1未确定中标投标人的，终止本次政府采购活动，重新开展政府采购活动。</w:t>
      </w:r>
    </w:p>
    <w:p w14:paraId="6737149A">
      <w:pPr>
        <w:pStyle w:val="27"/>
        <w:snapToGrid w:val="0"/>
        <w:spacing w:line="360" w:lineRule="auto"/>
        <w:rPr>
          <w:rFonts w:cs="宋体"/>
          <w:color w:val="auto"/>
          <w:highlight w:val="none"/>
        </w:rPr>
      </w:pPr>
      <w:r>
        <w:rPr>
          <w:rFonts w:hint="eastAsia" w:cs="宋体"/>
          <w:color w:val="auto"/>
          <w:highlight w:val="none"/>
        </w:rPr>
        <w:t>7.2已确定中标投标人但尚未签订政府采购合同的，中标结果无效，从合格的中标候选人中另行确定中标投标人；没有合格的中标候选人的，重新开展政府采购活动。</w:t>
      </w:r>
    </w:p>
    <w:p w14:paraId="49CB975D">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7.3政府采购合同已签订但尚未履行的，撤销合同，从合格的中标候选人中另行确定中标投标人；没有合格的中标候选人的，重新开展政府采购活动。</w:t>
      </w:r>
    </w:p>
    <w:p w14:paraId="7F2FE9D4">
      <w:pPr>
        <w:pStyle w:val="27"/>
        <w:snapToGrid w:val="0"/>
        <w:spacing w:line="360" w:lineRule="auto"/>
        <w:rPr>
          <w:rFonts w:cs="宋体"/>
          <w:color w:val="auto"/>
          <w:highlight w:val="none"/>
        </w:rPr>
      </w:pPr>
      <w:r>
        <w:rPr>
          <w:rFonts w:hint="eastAsia" w:cs="宋体"/>
          <w:color w:val="auto"/>
          <w:highlight w:val="none"/>
        </w:rPr>
        <w:t>7.4政府采购合同已经履行，给采购人、投标人造成损失的，由责任人承担赔偿责任。</w:t>
      </w:r>
    </w:p>
    <w:p w14:paraId="5EE64C77">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4318A28">
      <w:pPr>
        <w:pStyle w:val="28"/>
        <w:rPr>
          <w:color w:val="auto"/>
          <w:highlight w:val="none"/>
        </w:rPr>
      </w:pPr>
    </w:p>
    <w:p w14:paraId="2E14B928">
      <w:pPr>
        <w:pStyle w:val="28"/>
        <w:rPr>
          <w:color w:val="auto"/>
          <w:highlight w:val="none"/>
        </w:rPr>
      </w:pPr>
    </w:p>
    <w:p w14:paraId="25C20311">
      <w:pPr>
        <w:pStyle w:val="28"/>
        <w:rPr>
          <w:color w:val="auto"/>
          <w:highlight w:val="none"/>
        </w:rPr>
      </w:pPr>
    </w:p>
    <w:p w14:paraId="5A991594">
      <w:pPr>
        <w:pStyle w:val="28"/>
        <w:rPr>
          <w:color w:val="auto"/>
          <w:highlight w:val="none"/>
        </w:rPr>
      </w:pPr>
    </w:p>
    <w:p w14:paraId="2CD7188D">
      <w:pPr>
        <w:pStyle w:val="28"/>
        <w:rPr>
          <w:color w:val="auto"/>
          <w:highlight w:val="none"/>
        </w:rPr>
      </w:pPr>
    </w:p>
    <w:p w14:paraId="37CCB1B3">
      <w:pPr>
        <w:pStyle w:val="28"/>
        <w:rPr>
          <w:color w:val="auto"/>
          <w:highlight w:val="none"/>
        </w:rPr>
      </w:pPr>
    </w:p>
    <w:p w14:paraId="0E2EE787">
      <w:pPr>
        <w:pStyle w:val="28"/>
        <w:rPr>
          <w:color w:val="auto"/>
          <w:highlight w:val="none"/>
        </w:rPr>
      </w:pPr>
    </w:p>
    <w:p w14:paraId="528C6624">
      <w:pPr>
        <w:pStyle w:val="28"/>
        <w:rPr>
          <w:color w:val="auto"/>
          <w:highlight w:val="none"/>
        </w:rPr>
      </w:pPr>
    </w:p>
    <w:p w14:paraId="59B3D3F1">
      <w:pPr>
        <w:pStyle w:val="28"/>
        <w:rPr>
          <w:color w:val="auto"/>
          <w:highlight w:val="none"/>
        </w:rPr>
      </w:pPr>
    </w:p>
    <w:p w14:paraId="0F3B7E5B">
      <w:pPr>
        <w:pStyle w:val="28"/>
        <w:rPr>
          <w:color w:val="auto"/>
          <w:highlight w:val="none"/>
        </w:rPr>
      </w:pPr>
    </w:p>
    <w:p w14:paraId="6FDC010C">
      <w:pPr>
        <w:pStyle w:val="28"/>
        <w:rPr>
          <w:color w:val="auto"/>
          <w:highlight w:val="none"/>
        </w:rPr>
      </w:pPr>
    </w:p>
    <w:p w14:paraId="7F02A97A">
      <w:pPr>
        <w:pStyle w:val="28"/>
        <w:rPr>
          <w:color w:val="auto"/>
          <w:highlight w:val="none"/>
        </w:rPr>
      </w:pPr>
    </w:p>
    <w:p w14:paraId="5BEBF803">
      <w:pPr>
        <w:pStyle w:val="28"/>
        <w:rPr>
          <w:color w:val="auto"/>
          <w:highlight w:val="none"/>
        </w:rPr>
      </w:pPr>
    </w:p>
    <w:p w14:paraId="5BE4CCC3">
      <w:pPr>
        <w:pStyle w:val="28"/>
        <w:rPr>
          <w:color w:val="auto"/>
          <w:highlight w:val="none"/>
        </w:rPr>
      </w:pPr>
    </w:p>
    <w:p w14:paraId="58A02E0C">
      <w:pPr>
        <w:pStyle w:val="28"/>
        <w:rPr>
          <w:color w:val="auto"/>
          <w:highlight w:val="none"/>
        </w:rPr>
      </w:pPr>
    </w:p>
    <w:p w14:paraId="2AA33D14">
      <w:pPr>
        <w:pStyle w:val="28"/>
        <w:rPr>
          <w:color w:val="auto"/>
          <w:highlight w:val="none"/>
        </w:rPr>
      </w:pPr>
    </w:p>
    <w:p w14:paraId="3DFFF011">
      <w:pPr>
        <w:pStyle w:val="28"/>
        <w:rPr>
          <w:color w:val="auto"/>
          <w:highlight w:val="none"/>
        </w:rPr>
      </w:pPr>
    </w:p>
    <w:p w14:paraId="267461DA">
      <w:pPr>
        <w:pStyle w:val="28"/>
        <w:rPr>
          <w:color w:val="auto"/>
          <w:highlight w:val="none"/>
        </w:rPr>
      </w:pPr>
    </w:p>
    <w:p w14:paraId="18FCF868">
      <w:pPr>
        <w:pStyle w:val="28"/>
        <w:rPr>
          <w:color w:val="auto"/>
          <w:highlight w:val="none"/>
        </w:rPr>
      </w:pPr>
    </w:p>
    <w:p w14:paraId="578B573E">
      <w:pPr>
        <w:pStyle w:val="28"/>
        <w:rPr>
          <w:color w:val="auto"/>
          <w:highlight w:val="none"/>
        </w:rPr>
      </w:pPr>
    </w:p>
    <w:p w14:paraId="3C41F14F">
      <w:pPr>
        <w:pStyle w:val="28"/>
        <w:rPr>
          <w:color w:val="auto"/>
          <w:highlight w:val="none"/>
        </w:rPr>
      </w:pPr>
    </w:p>
    <w:p w14:paraId="332A0DAE">
      <w:pPr>
        <w:pStyle w:val="28"/>
        <w:rPr>
          <w:color w:val="auto"/>
          <w:highlight w:val="none"/>
        </w:rPr>
      </w:pPr>
    </w:p>
    <w:p w14:paraId="279D0417">
      <w:pPr>
        <w:pStyle w:val="28"/>
        <w:rPr>
          <w:color w:val="auto"/>
          <w:highlight w:val="none"/>
        </w:rPr>
      </w:pPr>
    </w:p>
    <w:p w14:paraId="61BC1BA7">
      <w:pPr>
        <w:pStyle w:val="28"/>
        <w:rPr>
          <w:color w:val="auto"/>
          <w:highlight w:val="none"/>
        </w:rPr>
      </w:pPr>
    </w:p>
    <w:bookmarkEnd w:id="63"/>
    <w:p w14:paraId="17A178E0">
      <w:pPr>
        <w:spacing w:line="360" w:lineRule="auto"/>
        <w:ind w:left="720" w:leftChars="343" w:firstLine="1084" w:firstLineChars="300"/>
        <w:outlineLvl w:val="0"/>
        <w:rPr>
          <w:rFonts w:ascii="宋体" w:hAnsi="宋体" w:cs="宋体"/>
          <w:b/>
          <w:color w:val="auto"/>
          <w:sz w:val="36"/>
          <w:szCs w:val="36"/>
          <w:highlight w:val="none"/>
        </w:rPr>
      </w:pPr>
      <w:bookmarkStart w:id="438" w:name="_Toc20593"/>
      <w:bookmarkStart w:id="439" w:name="_Toc12957"/>
      <w:bookmarkStart w:id="440" w:name="第五部分"/>
      <w:bookmarkStart w:id="441" w:name="_Toc86217003"/>
      <w:r>
        <w:rPr>
          <w:rFonts w:hint="eastAsia" w:ascii="宋体" w:hAnsi="宋体" w:cs="宋体"/>
          <w:b/>
          <w:color w:val="auto"/>
          <w:sz w:val="36"/>
          <w:szCs w:val="36"/>
          <w:highlight w:val="none"/>
        </w:rPr>
        <w:t>第五部分 拟签订的合同文本</w:t>
      </w:r>
      <w:bookmarkEnd w:id="438"/>
      <w:bookmarkEnd w:id="439"/>
    </w:p>
    <w:p w14:paraId="352E283E">
      <w:pPr>
        <w:pStyle w:val="36"/>
        <w:widowControl/>
        <w:spacing w:line="360" w:lineRule="auto"/>
        <w:jc w:val="left"/>
        <w:rPr>
          <w:rFonts w:hAnsi="宋体" w:cs="宋体"/>
          <w:color w:val="auto"/>
          <w:highlight w:val="none"/>
        </w:rPr>
      </w:pPr>
      <w:r>
        <w:rPr>
          <w:rFonts w:hint="eastAsia" w:hAnsi="宋体" w:cs="宋体"/>
          <w:color w:val="auto"/>
          <w:highlight w:val="none"/>
        </w:rPr>
        <w:t>采购人（甲方）：</w:t>
      </w:r>
    </w:p>
    <w:p w14:paraId="5849B972">
      <w:pPr>
        <w:pStyle w:val="36"/>
        <w:widowControl/>
        <w:spacing w:line="360" w:lineRule="auto"/>
        <w:jc w:val="left"/>
        <w:rPr>
          <w:rFonts w:hAnsi="宋体" w:cs="宋体"/>
          <w:color w:val="auto"/>
          <w:highlight w:val="none"/>
        </w:rPr>
      </w:pPr>
      <w:r>
        <w:rPr>
          <w:rFonts w:hint="eastAsia" w:hAnsi="宋体" w:cs="宋体"/>
          <w:color w:val="auto"/>
          <w:highlight w:val="none"/>
        </w:rPr>
        <w:t>中标人（乙方）：</w:t>
      </w:r>
    </w:p>
    <w:p w14:paraId="498A7FA9">
      <w:pPr>
        <w:pStyle w:val="36"/>
        <w:widowControl/>
        <w:spacing w:line="360" w:lineRule="auto"/>
        <w:jc w:val="left"/>
        <w:rPr>
          <w:rFonts w:hAnsi="宋体" w:cs="宋体"/>
          <w:color w:val="auto"/>
          <w:highlight w:val="none"/>
        </w:rPr>
      </w:pPr>
    </w:p>
    <w:p w14:paraId="69C803F5">
      <w:pPr>
        <w:pStyle w:val="36"/>
        <w:snapToGrid w:val="0"/>
        <w:spacing w:after="120" w:line="360" w:lineRule="auto"/>
        <w:rPr>
          <w:rFonts w:hAnsi="宋体"/>
          <w:color w:val="auto"/>
          <w:highlight w:val="none"/>
        </w:rPr>
      </w:pPr>
      <w:r>
        <w:rPr>
          <w:rFonts w:hAnsi="宋体" w:cs="宋体"/>
          <w:color w:val="auto"/>
          <w:highlight w:val="none"/>
        </w:rPr>
        <w:t>项目名称：                   项目编号：               合同号：</w:t>
      </w:r>
    </w:p>
    <w:p w14:paraId="41EC6B17">
      <w:pPr>
        <w:pStyle w:val="36"/>
        <w:snapToGrid w:val="0"/>
        <w:spacing w:after="120" w:line="360" w:lineRule="auto"/>
        <w:ind w:firstLine="420" w:firstLineChars="200"/>
        <w:rPr>
          <w:rFonts w:hAnsi="宋体"/>
          <w:b/>
          <w:color w:val="auto"/>
          <w:highlight w:val="none"/>
        </w:rPr>
      </w:pPr>
      <w:r>
        <w:rPr>
          <w:rFonts w:hAnsi="宋体" w:cs="宋体"/>
          <w:color w:val="auto"/>
          <w:highlight w:val="none"/>
        </w:rPr>
        <w:t>甲、乙双方根据</w:t>
      </w:r>
      <w:r>
        <w:rPr>
          <w:rFonts w:hint="eastAsia" w:hAnsi="宋体" w:cs="宋体"/>
          <w:color w:val="auto"/>
          <w:highlight w:val="none"/>
        </w:rPr>
        <w:t>_</w:t>
      </w:r>
      <w:r>
        <w:rPr>
          <w:rFonts w:hAnsi="宋体" w:cs="宋体"/>
          <w:color w:val="auto"/>
          <w:highlight w:val="none"/>
        </w:rPr>
        <w:t>________年</w:t>
      </w:r>
      <w:r>
        <w:rPr>
          <w:rFonts w:hint="eastAsia" w:hAnsi="宋体" w:cs="宋体"/>
          <w:color w:val="auto"/>
          <w:highlight w:val="none"/>
        </w:rPr>
        <w:t>_</w:t>
      </w:r>
      <w:r>
        <w:rPr>
          <w:rFonts w:hAnsi="宋体" w:cs="宋体"/>
          <w:color w:val="auto"/>
          <w:highlight w:val="none"/>
        </w:rPr>
        <w:t>________月</w:t>
      </w:r>
      <w:r>
        <w:rPr>
          <w:rFonts w:hint="eastAsia" w:hAnsi="宋体" w:cs="宋体"/>
          <w:color w:val="auto"/>
          <w:highlight w:val="none"/>
        </w:rPr>
        <w:t>_</w:t>
      </w:r>
      <w:r>
        <w:rPr>
          <w:rFonts w:hAnsi="宋体" w:cs="宋体"/>
          <w:color w:val="auto"/>
          <w:highlight w:val="none"/>
        </w:rPr>
        <w:t>________日 关于</w:t>
      </w:r>
      <w:r>
        <w:rPr>
          <w:rFonts w:hint="eastAsia" w:hAnsi="宋体" w:cs="宋体"/>
          <w:color w:val="auto"/>
          <w:highlight w:val="none"/>
        </w:rPr>
        <w:t xml:space="preserve"> _</w:t>
      </w:r>
      <w:r>
        <w:rPr>
          <w:rFonts w:hAnsi="宋体" w:cs="宋体"/>
          <w:color w:val="auto"/>
          <w:highlight w:val="none"/>
        </w:rPr>
        <w:t>________项目公开招标的结果，签署本合同。</w:t>
      </w:r>
    </w:p>
    <w:p w14:paraId="5CA02DAA">
      <w:pPr>
        <w:pStyle w:val="36"/>
        <w:widowControl/>
        <w:numPr>
          <w:ilvl w:val="0"/>
          <w:numId w:val="12"/>
        </w:numPr>
        <w:overflowPunct w:val="0"/>
        <w:autoSpaceDE w:val="0"/>
        <w:autoSpaceDN w:val="0"/>
        <w:snapToGrid w:val="0"/>
        <w:spacing w:after="120" w:line="360" w:lineRule="auto"/>
        <w:jc w:val="left"/>
        <w:textAlignment w:val="baseline"/>
        <w:rPr>
          <w:rFonts w:hAnsi="宋体"/>
          <w:b/>
          <w:color w:val="auto"/>
          <w:highlight w:val="none"/>
        </w:rPr>
      </w:pPr>
      <w:r>
        <w:rPr>
          <w:rFonts w:hint="eastAsia" w:hAnsi="宋体" w:cs="宋体"/>
          <w:b/>
          <w:color w:val="auto"/>
          <w:highlight w:val="none"/>
        </w:rPr>
        <w:t>采购</w:t>
      </w:r>
      <w:r>
        <w:rPr>
          <w:rFonts w:hAnsi="宋体" w:cs="宋体"/>
          <w:b/>
          <w:color w:val="auto"/>
          <w:highlight w:val="none"/>
        </w:rPr>
        <w:t>内容：</w:t>
      </w:r>
    </w:p>
    <w:tbl>
      <w:tblPr>
        <w:tblStyle w:val="96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81"/>
        <w:gridCol w:w="6345"/>
        <w:gridCol w:w="1360"/>
      </w:tblGrid>
      <w:tr w14:paraId="4089B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BEBEBE" w:themeFill="background1" w:themeFillShade="BF"/>
            <w:vAlign w:val="center"/>
          </w:tcPr>
          <w:p w14:paraId="739FBBB6">
            <w:pPr>
              <w:keepNext w:val="0"/>
              <w:keepLines w:val="0"/>
              <w:widowControl w:val="0"/>
              <w:suppressLineNumbers w:val="0"/>
              <w:spacing w:before="0" w:beforeLines="0" w:beforeAutospacing="0" w:after="0" w:afterLines="0" w:afterAutospacing="0"/>
              <w:ind w:left="0" w:right="0" w:firstLine="0"/>
              <w:contextualSpacing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3415" w:type="pct"/>
            <w:shd w:val="clear" w:color="auto" w:fill="BEBEBE" w:themeFill="background1" w:themeFillShade="BF"/>
            <w:vAlign w:val="center"/>
          </w:tcPr>
          <w:p w14:paraId="46F3AEC0">
            <w:pPr>
              <w:keepNext w:val="0"/>
              <w:keepLines w:val="0"/>
              <w:widowControl w:val="0"/>
              <w:suppressLineNumbers w:val="0"/>
              <w:spacing w:before="0" w:beforeLines="0" w:beforeAutospacing="0" w:after="0" w:afterLines="0" w:afterAutospacing="0"/>
              <w:ind w:left="0" w:right="0" w:firstLine="0"/>
              <w:contextualSpacing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模块名称</w:t>
            </w:r>
          </w:p>
        </w:tc>
        <w:tc>
          <w:tcPr>
            <w:tcW w:w="732" w:type="pct"/>
            <w:shd w:val="clear" w:color="auto" w:fill="BEBEBE" w:themeFill="background1" w:themeFillShade="BF"/>
            <w:vAlign w:val="center"/>
          </w:tcPr>
          <w:p w14:paraId="4A597989">
            <w:pPr>
              <w:keepNext w:val="0"/>
              <w:keepLines w:val="0"/>
              <w:widowControl w:val="0"/>
              <w:suppressLineNumbers w:val="0"/>
              <w:spacing w:before="0" w:beforeLines="0" w:beforeAutospacing="0" w:after="0" w:afterLines="0" w:afterAutospacing="0"/>
              <w:ind w:left="0" w:right="0" w:firstLine="0"/>
              <w:contextualSpacing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40BEA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05285D98">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44" w:type="dxa"/>
            <w:shd w:val="clear" w:color="auto" w:fill="FFFFFF" w:themeFill="background1"/>
            <w:vAlign w:val="center"/>
          </w:tcPr>
          <w:p w14:paraId="1D5E01ED">
            <w:pPr>
              <w:keepNext w:val="0"/>
              <w:keepLines w:val="0"/>
              <w:suppressLineNumbers w:val="0"/>
              <w:spacing w:before="0" w:beforeLines="0" w:beforeAutospacing="0" w:after="0" w:afterLines="0" w:afterAutospacing="0"/>
              <w:ind w:left="0" w:leftChars="0" w:right="0" w:firstLine="0" w:firstLineChars="0"/>
              <w:contextualSpacing/>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海曙区肝病防控系统</w:t>
            </w:r>
          </w:p>
        </w:tc>
        <w:tc>
          <w:tcPr>
            <w:tcW w:w="1360" w:type="dxa"/>
            <w:shd w:val="clear" w:color="auto" w:fill="FFFFFF" w:themeFill="background1"/>
            <w:vAlign w:val="center"/>
          </w:tcPr>
          <w:p w14:paraId="72515400">
            <w:pPr>
              <w:keepNext w:val="0"/>
              <w:keepLines w:val="0"/>
              <w:widowControl w:val="0"/>
              <w:suppressLineNumbers w:val="0"/>
              <w:spacing w:before="0" w:beforeLines="0" w:beforeAutospacing="0" w:after="0" w:afterLines="0" w:afterAutospacing="0"/>
              <w:ind w:left="0" w:leftChars="0" w:right="0" w:firstLine="0" w:firstLineChars="0"/>
              <w:contextualSpacing w:val="0"/>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1项</w:t>
            </w:r>
          </w:p>
        </w:tc>
      </w:tr>
      <w:tr w14:paraId="67B61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486DAD62">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44" w:type="dxa"/>
            <w:shd w:val="clear" w:color="auto" w:fill="FFFFFF" w:themeFill="background1"/>
            <w:vAlign w:val="center"/>
          </w:tcPr>
          <w:p w14:paraId="46351F54">
            <w:pPr>
              <w:keepNext w:val="0"/>
              <w:keepLines w:val="0"/>
              <w:suppressLineNumbers w:val="0"/>
              <w:spacing w:before="0" w:beforeLines="0" w:beforeAutospacing="0" w:after="0" w:afterLines="0" w:afterAutospacing="0"/>
              <w:ind w:left="0" w:leftChars="0" w:right="0" w:firstLine="0" w:firstLineChars="0"/>
              <w:contextualSpacing/>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两慢病管理系统</w:t>
            </w:r>
          </w:p>
        </w:tc>
        <w:tc>
          <w:tcPr>
            <w:tcW w:w="1360" w:type="dxa"/>
            <w:shd w:val="clear" w:color="auto" w:fill="FFFFFF" w:themeFill="background1"/>
            <w:vAlign w:val="center"/>
          </w:tcPr>
          <w:p w14:paraId="67E17070">
            <w:pPr>
              <w:keepNext w:val="0"/>
              <w:keepLines w:val="0"/>
              <w:widowControl w:val="0"/>
              <w:suppressLineNumbers w:val="0"/>
              <w:spacing w:before="0" w:beforeLines="0" w:beforeAutospacing="0" w:after="0" w:afterLines="0" w:afterAutospacing="0"/>
              <w:ind w:left="0" w:leftChars="0" w:right="0" w:firstLine="0" w:firstLineChars="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1项</w:t>
            </w:r>
          </w:p>
        </w:tc>
      </w:tr>
      <w:tr w14:paraId="02954E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6787D728">
            <w:pPr>
              <w:keepNext w:val="0"/>
              <w:keepLines w:val="0"/>
              <w:widowControl w:val="0"/>
              <w:suppressLineNumbers w:val="0"/>
              <w:spacing w:before="0" w:beforeLines="0" w:beforeAutospacing="0" w:after="0" w:afterLines="0" w:afterAutospacing="0"/>
              <w:ind w:left="0" w:right="0"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44" w:type="dxa"/>
            <w:shd w:val="clear" w:color="auto" w:fill="FFFFFF" w:themeFill="background1"/>
            <w:vAlign w:val="center"/>
          </w:tcPr>
          <w:p w14:paraId="1B399CCA">
            <w:pPr>
              <w:keepNext w:val="0"/>
              <w:keepLines w:val="0"/>
              <w:suppressLineNumbers w:val="0"/>
              <w:spacing w:before="0" w:beforeLines="0" w:beforeAutospacing="0" w:after="0" w:afterLines="0" w:afterAutospacing="0"/>
              <w:ind w:left="0" w:leftChars="0" w:right="0" w:firstLine="0" w:firstLineChars="0"/>
              <w:contextualSpacing/>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肺癌筛查系统升级</w:t>
            </w:r>
          </w:p>
        </w:tc>
        <w:tc>
          <w:tcPr>
            <w:tcW w:w="1360" w:type="dxa"/>
            <w:shd w:val="clear" w:color="auto" w:fill="FFFFFF" w:themeFill="background1"/>
            <w:vAlign w:val="center"/>
          </w:tcPr>
          <w:p w14:paraId="21CE8E7C">
            <w:pPr>
              <w:keepNext w:val="0"/>
              <w:keepLines w:val="0"/>
              <w:widowControl w:val="0"/>
              <w:suppressLineNumbers w:val="0"/>
              <w:spacing w:before="0" w:beforeLines="0" w:beforeAutospacing="0" w:after="0" w:afterLines="0" w:afterAutospacing="0"/>
              <w:ind w:left="0" w:leftChars="0" w:right="0" w:firstLine="0" w:firstLineChars="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1项</w:t>
            </w:r>
          </w:p>
        </w:tc>
      </w:tr>
    </w:tbl>
    <w:p w14:paraId="49D0082A">
      <w:pPr>
        <w:pStyle w:val="36"/>
        <w:snapToGrid w:val="0"/>
        <w:spacing w:after="120" w:line="360" w:lineRule="auto"/>
        <w:rPr>
          <w:rFonts w:hAnsi="宋体" w:cs="宋体"/>
          <w:b/>
          <w:color w:val="auto"/>
          <w:highlight w:val="none"/>
        </w:rPr>
      </w:pPr>
    </w:p>
    <w:p w14:paraId="5860176A">
      <w:pPr>
        <w:pStyle w:val="36"/>
        <w:snapToGrid w:val="0"/>
        <w:spacing w:after="120" w:line="360" w:lineRule="auto"/>
        <w:rPr>
          <w:rFonts w:hAnsi="宋体"/>
          <w:b/>
          <w:color w:val="auto"/>
          <w:highlight w:val="none"/>
        </w:rPr>
      </w:pPr>
      <w:r>
        <w:rPr>
          <w:rFonts w:hAnsi="宋体" w:cs="宋体"/>
          <w:b/>
          <w:color w:val="auto"/>
          <w:highlight w:val="none"/>
        </w:rPr>
        <w:t>二、合同金额</w:t>
      </w:r>
    </w:p>
    <w:p w14:paraId="61880AD3">
      <w:pPr>
        <w:pStyle w:val="36"/>
        <w:snapToGrid w:val="0"/>
        <w:spacing w:after="120" w:line="360" w:lineRule="auto"/>
        <w:ind w:firstLine="420" w:firstLineChars="200"/>
        <w:rPr>
          <w:rFonts w:hAnsi="宋体" w:cs="宋体"/>
          <w:color w:val="auto"/>
          <w:highlight w:val="none"/>
        </w:rPr>
      </w:pPr>
      <w:r>
        <w:rPr>
          <w:rFonts w:hAnsi="宋体" w:cs="宋体"/>
          <w:color w:val="auto"/>
          <w:highlight w:val="none"/>
        </w:rPr>
        <w:t>金额（大写）：</w:t>
      </w:r>
      <w:r>
        <w:rPr>
          <w:rFonts w:hint="eastAsia" w:hAnsi="宋体" w:cs="宋体"/>
          <w:color w:val="auto"/>
          <w:highlight w:val="none"/>
        </w:rPr>
        <w:t>_</w:t>
      </w:r>
      <w:r>
        <w:rPr>
          <w:rFonts w:hAnsi="宋体" w:cs="宋体"/>
          <w:color w:val="auto"/>
          <w:highlight w:val="none"/>
        </w:rPr>
        <w:t>________</w:t>
      </w:r>
      <w:r>
        <w:rPr>
          <w:rFonts w:hint="eastAsia" w:hAnsi="宋体" w:cs="宋体"/>
          <w:color w:val="auto"/>
          <w:highlight w:val="none"/>
        </w:rPr>
        <w:t>元</w:t>
      </w:r>
    </w:p>
    <w:p w14:paraId="666D18B1">
      <w:pPr>
        <w:pStyle w:val="36"/>
        <w:snapToGrid w:val="0"/>
        <w:spacing w:line="360" w:lineRule="auto"/>
        <w:rPr>
          <w:rFonts w:hAnsi="宋体"/>
          <w:b/>
          <w:color w:val="auto"/>
          <w:highlight w:val="none"/>
        </w:rPr>
      </w:pPr>
      <w:r>
        <w:rPr>
          <w:rFonts w:hAnsi="宋体" w:cs="宋体"/>
          <w:b/>
          <w:color w:val="auto"/>
          <w:highlight w:val="none"/>
        </w:rPr>
        <w:t>三、</w:t>
      </w:r>
      <w:r>
        <w:rPr>
          <w:rFonts w:hint="eastAsia" w:hAnsi="宋体" w:cs="宋体"/>
          <w:b/>
          <w:color w:val="auto"/>
          <w:highlight w:val="none"/>
        </w:rPr>
        <w:t>工期要求</w:t>
      </w:r>
    </w:p>
    <w:p w14:paraId="67409D53">
      <w:pPr>
        <w:pStyle w:val="36"/>
        <w:snapToGrid w:val="0"/>
        <w:spacing w:after="120" w:line="360" w:lineRule="auto"/>
        <w:rPr>
          <w:rFonts w:hAnsi="宋体" w:cs="宋体"/>
          <w:b/>
          <w:color w:val="auto"/>
          <w:highlight w:val="none"/>
        </w:rPr>
      </w:pPr>
    </w:p>
    <w:p w14:paraId="1152AF4E">
      <w:pPr>
        <w:pStyle w:val="36"/>
        <w:snapToGrid w:val="0"/>
        <w:spacing w:after="120" w:line="360" w:lineRule="auto"/>
        <w:ind w:left="360" w:hanging="361" w:hangingChars="171"/>
        <w:rPr>
          <w:rFonts w:hAnsi="宋体"/>
          <w:b/>
          <w:color w:val="auto"/>
          <w:highlight w:val="none"/>
        </w:rPr>
      </w:pPr>
      <w:r>
        <w:rPr>
          <w:rFonts w:hAnsi="宋体" w:cs="宋体"/>
          <w:b/>
          <w:color w:val="auto"/>
          <w:highlight w:val="none"/>
        </w:rPr>
        <w:t>四、知识产权</w:t>
      </w:r>
    </w:p>
    <w:p w14:paraId="336A74BB">
      <w:pPr>
        <w:pStyle w:val="36"/>
        <w:snapToGrid w:val="0"/>
        <w:spacing w:after="120" w:line="360" w:lineRule="auto"/>
        <w:ind w:left="359" w:hanging="359" w:hangingChars="171"/>
        <w:rPr>
          <w:rFonts w:hAnsi="宋体"/>
          <w:b/>
          <w:color w:val="auto"/>
          <w:highlight w:val="none"/>
        </w:rPr>
      </w:pPr>
      <w:r>
        <w:rPr>
          <w:rFonts w:hAnsi="宋体" w:cs="宋体"/>
          <w:color w:val="auto"/>
          <w:highlight w:val="none"/>
        </w:rPr>
        <w:t>乙方应保证提供服务过程中不会侵犯任何第三方的</w:t>
      </w:r>
      <w:r>
        <w:rPr>
          <w:rFonts w:hAnsi="宋体" w:cs="宋体"/>
          <w:b/>
          <w:color w:val="auto"/>
          <w:highlight w:val="none"/>
        </w:rPr>
        <w:t>知识产权。</w:t>
      </w:r>
    </w:p>
    <w:p w14:paraId="0DC48ADB">
      <w:pPr>
        <w:pStyle w:val="36"/>
        <w:snapToGrid w:val="0"/>
        <w:spacing w:after="120" w:line="360" w:lineRule="auto"/>
        <w:ind w:left="358" w:hanging="358" w:hangingChars="170"/>
        <w:rPr>
          <w:rFonts w:hAnsi="宋体"/>
          <w:b/>
          <w:color w:val="auto"/>
          <w:highlight w:val="none"/>
        </w:rPr>
      </w:pPr>
      <w:r>
        <w:rPr>
          <w:rFonts w:hAnsi="宋体" w:cs="宋体"/>
          <w:b/>
          <w:color w:val="auto"/>
          <w:highlight w:val="none"/>
        </w:rPr>
        <w:t>五、履约保证金</w:t>
      </w:r>
    </w:p>
    <w:p w14:paraId="1BE7A8C6">
      <w:pPr>
        <w:snapToGrid w:val="0"/>
        <w:spacing w:line="360" w:lineRule="auto"/>
        <w:rPr>
          <w:color w:val="auto"/>
          <w:szCs w:val="21"/>
          <w:highlight w:val="none"/>
        </w:rPr>
      </w:pPr>
      <w:r>
        <w:rPr>
          <w:rFonts w:hAnsi="宋体" w:cs="宋体"/>
          <w:color w:val="auto"/>
          <w:szCs w:val="21"/>
          <w:highlight w:val="none"/>
        </w:rPr>
        <w:t>乙方交纳人民币元作为本合同的履约保证金</w:t>
      </w:r>
      <w:r>
        <w:rPr>
          <w:rFonts w:hint="eastAsia" w:hAnsi="宋体" w:cs="宋体"/>
          <w:color w:val="auto"/>
          <w:szCs w:val="21"/>
          <w:highlight w:val="none"/>
        </w:rPr>
        <w:t>。履约保证金将在移交项目全套相关技术资料并扣除应扣除的违约金后无息退还。如</w:t>
      </w:r>
      <w:r>
        <w:rPr>
          <w:rFonts w:hint="eastAsia" w:cs="宋体"/>
          <w:color w:val="auto"/>
          <w:szCs w:val="21"/>
          <w:highlight w:val="none"/>
        </w:rPr>
        <w:t>乙方</w:t>
      </w:r>
      <w:r>
        <w:rPr>
          <w:rFonts w:hint="eastAsia" w:hAnsi="宋体" w:cs="宋体"/>
          <w:color w:val="auto"/>
          <w:szCs w:val="21"/>
          <w:highlight w:val="none"/>
        </w:rPr>
        <w:t>拒绝履行合同规定的义务，履约保证金将作为违约金被没</w:t>
      </w:r>
      <w:r>
        <w:rPr>
          <w:rFonts w:hint="eastAsia" w:cs="宋体"/>
          <w:color w:val="auto"/>
          <w:szCs w:val="21"/>
          <w:highlight w:val="none"/>
        </w:rPr>
        <w:t>收</w:t>
      </w:r>
      <w:r>
        <w:rPr>
          <w:rFonts w:hint="eastAsia" w:hAnsi="宋体" w:cs="宋体"/>
          <w:color w:val="auto"/>
          <w:szCs w:val="21"/>
          <w:highlight w:val="none"/>
        </w:rPr>
        <w:t>。</w:t>
      </w:r>
    </w:p>
    <w:p w14:paraId="1897F081">
      <w:pPr>
        <w:snapToGrid w:val="0"/>
        <w:spacing w:line="360" w:lineRule="auto"/>
        <w:rPr>
          <w:b/>
          <w:color w:val="auto"/>
          <w:szCs w:val="21"/>
          <w:highlight w:val="none"/>
        </w:rPr>
      </w:pPr>
      <w:r>
        <w:rPr>
          <w:rFonts w:hint="eastAsia" w:ascii="宋体" w:hAnsi="宋体" w:cs="宋体"/>
          <w:b/>
          <w:color w:val="auto"/>
          <w:szCs w:val="21"/>
          <w:highlight w:val="none"/>
        </w:rPr>
        <w:t>六、转包或分包</w:t>
      </w:r>
    </w:p>
    <w:p w14:paraId="52539944">
      <w:pPr>
        <w:snapToGrid w:val="0"/>
        <w:spacing w:line="360" w:lineRule="auto"/>
        <w:rPr>
          <w:color w:val="auto"/>
          <w:szCs w:val="21"/>
          <w:highlight w:val="none"/>
        </w:rPr>
      </w:pPr>
      <w:r>
        <w:rPr>
          <w:rFonts w:hint="eastAsia" w:ascii="宋体" w:hAnsi="宋体" w:cs="宋体"/>
          <w:color w:val="auto"/>
          <w:szCs w:val="21"/>
          <w:highlight w:val="none"/>
        </w:rPr>
        <w:t>1.本合同范围的服务，应由乙方直接供应，不得转让他人供应；</w:t>
      </w:r>
    </w:p>
    <w:p w14:paraId="7CFB73D2">
      <w:pPr>
        <w:snapToGrid w:val="0"/>
        <w:spacing w:line="360" w:lineRule="auto"/>
        <w:rPr>
          <w:color w:val="auto"/>
          <w:szCs w:val="21"/>
          <w:highlight w:val="none"/>
        </w:rPr>
      </w:pPr>
      <w:r>
        <w:rPr>
          <w:rFonts w:hint="eastAsia" w:ascii="宋体" w:hAnsi="宋体" w:cs="宋体"/>
          <w:color w:val="auto"/>
          <w:szCs w:val="21"/>
          <w:highlight w:val="none"/>
        </w:rPr>
        <w:t>2.除非得到甲方的书面同意，乙方不得将本合同范围的部分分包给他人供应；</w:t>
      </w:r>
    </w:p>
    <w:p w14:paraId="2B39BBC9">
      <w:pPr>
        <w:snapToGrid w:val="0"/>
        <w:spacing w:line="360" w:lineRule="auto"/>
        <w:rPr>
          <w:color w:val="auto"/>
          <w:szCs w:val="21"/>
          <w:highlight w:val="none"/>
        </w:rPr>
      </w:pPr>
      <w:r>
        <w:rPr>
          <w:rFonts w:hint="eastAsia" w:ascii="宋体" w:hAnsi="宋体" w:cs="宋体"/>
          <w:color w:val="auto"/>
          <w:szCs w:val="21"/>
          <w:highlight w:val="none"/>
        </w:rPr>
        <w:t>3.如有转让和未经甲方同意的分包行为，甲方有权解除合同，</w:t>
      </w:r>
      <w:r>
        <w:rPr>
          <w:rFonts w:hint="eastAsia" w:cs="宋体"/>
          <w:color w:val="auto"/>
          <w:szCs w:val="21"/>
          <w:highlight w:val="none"/>
        </w:rPr>
        <w:t>不予退还</w:t>
      </w:r>
      <w:r>
        <w:rPr>
          <w:rFonts w:hint="eastAsia" w:ascii="宋体" w:hAnsi="宋体" w:cs="宋体"/>
          <w:color w:val="auto"/>
          <w:szCs w:val="21"/>
          <w:highlight w:val="none"/>
        </w:rPr>
        <w:t>履约保证金并追究乙方的违约责任。</w:t>
      </w:r>
    </w:p>
    <w:p w14:paraId="4F9A09C0">
      <w:pPr>
        <w:pStyle w:val="36"/>
        <w:snapToGrid w:val="0"/>
        <w:spacing w:after="120" w:line="360" w:lineRule="auto"/>
        <w:rPr>
          <w:rFonts w:hAnsi="宋体"/>
          <w:color w:val="auto"/>
          <w:highlight w:val="none"/>
        </w:rPr>
      </w:pPr>
      <w:r>
        <w:rPr>
          <w:rFonts w:hAnsi="宋体" w:cs="宋体"/>
          <w:b/>
          <w:color w:val="auto"/>
          <w:highlight w:val="none"/>
        </w:rPr>
        <w:t>七、服务质量保证期</w:t>
      </w:r>
    </w:p>
    <w:p w14:paraId="09A70CE2">
      <w:pPr>
        <w:pStyle w:val="36"/>
        <w:snapToGrid w:val="0"/>
        <w:spacing w:after="120" w:line="360" w:lineRule="auto"/>
        <w:ind w:left="359" w:hanging="359" w:hangingChars="171"/>
        <w:rPr>
          <w:rFonts w:hAnsi="宋体"/>
          <w:color w:val="auto"/>
          <w:highlight w:val="none"/>
        </w:rPr>
      </w:pPr>
      <w:r>
        <w:rPr>
          <w:rFonts w:hAnsi="宋体" w:cs="宋体"/>
          <w:color w:val="auto"/>
          <w:highlight w:val="none"/>
        </w:rPr>
        <w:t>1.服务质量保证期</w:t>
      </w:r>
      <w:r>
        <w:rPr>
          <w:rFonts w:hint="eastAsia" w:hAnsi="宋体" w:cs="宋体"/>
          <w:color w:val="auto"/>
          <w:highlight w:val="none"/>
        </w:rPr>
        <w:t>_</w:t>
      </w:r>
      <w:r>
        <w:rPr>
          <w:rFonts w:hAnsi="宋体" w:cs="宋体"/>
          <w:color w:val="auto"/>
          <w:highlight w:val="none"/>
        </w:rPr>
        <w:t>___年。（自验收合格之日起计）。</w:t>
      </w:r>
    </w:p>
    <w:p w14:paraId="4CCEE9E8">
      <w:pPr>
        <w:pStyle w:val="36"/>
        <w:snapToGrid w:val="0"/>
        <w:spacing w:after="120" w:line="360" w:lineRule="auto"/>
        <w:rPr>
          <w:rFonts w:hAnsi="宋体"/>
          <w:b/>
          <w:color w:val="auto"/>
          <w:highlight w:val="none"/>
        </w:rPr>
      </w:pPr>
      <w:r>
        <w:rPr>
          <w:rFonts w:hAnsi="宋体" w:cs="宋体"/>
          <w:b/>
          <w:color w:val="auto"/>
          <w:highlight w:val="none"/>
        </w:rPr>
        <w:t>八、合同</w:t>
      </w:r>
      <w:r>
        <w:rPr>
          <w:rFonts w:hint="eastAsia" w:hAnsi="宋体" w:cs="宋体"/>
          <w:b/>
          <w:color w:val="auto"/>
          <w:highlight w:val="none"/>
        </w:rPr>
        <w:t>的</w:t>
      </w:r>
      <w:r>
        <w:rPr>
          <w:rFonts w:hAnsi="宋体" w:cs="宋体"/>
          <w:b/>
          <w:color w:val="auto"/>
          <w:highlight w:val="none"/>
        </w:rPr>
        <w:t>履行时间</w:t>
      </w:r>
      <w:r>
        <w:rPr>
          <w:rFonts w:hint="eastAsia" w:hAnsi="宋体" w:cs="宋体"/>
          <w:b/>
          <w:color w:val="auto"/>
          <w:highlight w:val="none"/>
        </w:rPr>
        <w:t>及验收</w:t>
      </w:r>
    </w:p>
    <w:p w14:paraId="3BBD8EE5">
      <w:pPr>
        <w:snapToGrid w:val="0"/>
        <w:spacing w:line="360" w:lineRule="auto"/>
        <w:rPr>
          <w:rFonts w:ascii="宋体" w:hAnsi="宋体" w:cs="宋体"/>
          <w:b/>
          <w:color w:val="auto"/>
          <w:szCs w:val="21"/>
          <w:highlight w:val="none"/>
        </w:rPr>
      </w:pPr>
    </w:p>
    <w:p w14:paraId="7F88D204">
      <w:pPr>
        <w:snapToGrid w:val="0"/>
        <w:spacing w:line="360" w:lineRule="auto"/>
        <w:rPr>
          <w:b/>
          <w:color w:val="auto"/>
          <w:szCs w:val="21"/>
          <w:highlight w:val="none"/>
        </w:rPr>
      </w:pPr>
      <w:r>
        <w:rPr>
          <w:rFonts w:hAnsi="宋体" w:cs="宋体"/>
          <w:b/>
          <w:color w:val="auto"/>
          <w:szCs w:val="21"/>
          <w:highlight w:val="none"/>
        </w:rPr>
        <w:t>九、付款方式</w:t>
      </w:r>
    </w:p>
    <w:p w14:paraId="3F905BFC">
      <w:pPr>
        <w:pStyle w:val="36"/>
        <w:snapToGrid w:val="0"/>
        <w:spacing w:after="120" w:line="276" w:lineRule="auto"/>
        <w:ind w:left="359" w:hanging="359" w:hangingChars="171"/>
        <w:rPr>
          <w:rFonts w:hAnsi="宋体" w:cs="宋体"/>
          <w:color w:val="auto"/>
          <w:highlight w:val="none"/>
        </w:rPr>
      </w:pPr>
      <w:r>
        <w:rPr>
          <w:rFonts w:hAnsi="宋体" w:cs="宋体"/>
          <w:color w:val="auto"/>
          <w:highlight w:val="none"/>
        </w:rPr>
        <w:t>1、预付款：在合同生效以及具备实施条件后7个工作日内支付合同金额的40%。</w:t>
      </w:r>
    </w:p>
    <w:p w14:paraId="350842B0">
      <w:pPr>
        <w:pStyle w:val="36"/>
        <w:snapToGrid w:val="0"/>
        <w:spacing w:after="120" w:line="276" w:lineRule="auto"/>
        <w:ind w:left="359" w:hanging="359" w:hangingChars="171"/>
        <w:rPr>
          <w:rFonts w:hAnsi="宋体" w:cs="宋体"/>
          <w:color w:val="auto"/>
          <w:highlight w:val="none"/>
        </w:rPr>
      </w:pPr>
      <w:r>
        <w:rPr>
          <w:rFonts w:hint="eastAsia" w:hAnsi="宋体" w:cs="宋体"/>
          <w:color w:val="auto"/>
          <w:highlight w:val="none"/>
        </w:rPr>
        <w:t>乙方于合同签订前书面承诺放弃预付款或降低预付款支付比例的，可不适用本条款。</w:t>
      </w:r>
    </w:p>
    <w:p w14:paraId="4688A936">
      <w:pPr>
        <w:pStyle w:val="36"/>
        <w:snapToGrid w:val="0"/>
        <w:spacing w:after="120" w:line="276" w:lineRule="auto"/>
        <w:ind w:left="359" w:hanging="359" w:hangingChars="171"/>
        <w:rPr>
          <w:rFonts w:hAnsi="宋体" w:cs="宋体"/>
          <w:color w:val="auto"/>
          <w:highlight w:val="none"/>
        </w:rPr>
      </w:pPr>
      <w:r>
        <w:rPr>
          <w:rFonts w:hAnsi="宋体" w:cs="宋体"/>
          <w:color w:val="auto"/>
          <w:highlight w:val="none"/>
        </w:rPr>
        <w:t>2、</w:t>
      </w:r>
      <w:r>
        <w:rPr>
          <w:rFonts w:hint="eastAsia" w:hAnsi="宋体" w:cs="宋体"/>
          <w:color w:val="auto"/>
          <w:highlight w:val="none"/>
        </w:rPr>
        <w:t>试运行结束并通过项目验收后</w:t>
      </w:r>
      <w:r>
        <w:rPr>
          <w:rFonts w:hint="eastAsia" w:hAnsi="宋体" w:cs="宋体"/>
          <w:color w:val="auto"/>
          <w:highlight w:val="none"/>
          <w:lang w:val="en-US" w:eastAsia="zh-CN"/>
        </w:rPr>
        <w:t>且收到乙方发票后15日内</w:t>
      </w:r>
      <w:r>
        <w:rPr>
          <w:rFonts w:hAnsi="宋体" w:cs="宋体"/>
          <w:color w:val="auto"/>
          <w:highlight w:val="none"/>
        </w:rPr>
        <w:t>由</w:t>
      </w:r>
      <w:r>
        <w:rPr>
          <w:rFonts w:hint="eastAsia" w:hAnsi="宋体" w:cs="宋体"/>
          <w:color w:val="auto"/>
          <w:highlight w:val="none"/>
        </w:rPr>
        <w:t>甲方向乙方支付至合同金额的</w:t>
      </w:r>
      <w:r>
        <w:rPr>
          <w:rFonts w:hAnsi="宋体" w:cs="宋体"/>
          <w:color w:val="auto"/>
          <w:highlight w:val="none"/>
        </w:rPr>
        <w:t>100%</w:t>
      </w:r>
      <w:r>
        <w:rPr>
          <w:rFonts w:hint="eastAsia" w:hAnsi="宋体" w:cs="宋体"/>
          <w:color w:val="auto"/>
          <w:highlight w:val="none"/>
        </w:rPr>
        <w:t>。</w:t>
      </w:r>
    </w:p>
    <w:p w14:paraId="34B7C0E8">
      <w:pPr>
        <w:ind w:firstLine="174" w:firstLineChars="83"/>
        <w:rPr>
          <w:color w:val="auto"/>
          <w:highlight w:val="none"/>
        </w:rPr>
      </w:pPr>
    </w:p>
    <w:p w14:paraId="40724903">
      <w:pPr>
        <w:snapToGrid w:val="0"/>
        <w:spacing w:line="360" w:lineRule="auto"/>
        <w:rPr>
          <w:b/>
          <w:color w:val="auto"/>
          <w:szCs w:val="21"/>
          <w:highlight w:val="none"/>
        </w:rPr>
      </w:pPr>
      <w:r>
        <w:rPr>
          <w:rFonts w:hint="eastAsia" w:ascii="宋体" w:hAnsi="宋体" w:cs="宋体"/>
          <w:b/>
          <w:color w:val="auto"/>
          <w:szCs w:val="21"/>
          <w:highlight w:val="none"/>
        </w:rPr>
        <w:t>十、税费</w:t>
      </w:r>
    </w:p>
    <w:p w14:paraId="02A17860">
      <w:pPr>
        <w:snapToGrid w:val="0"/>
        <w:spacing w:line="360" w:lineRule="auto"/>
        <w:rPr>
          <w:color w:val="auto"/>
          <w:szCs w:val="21"/>
          <w:highlight w:val="none"/>
        </w:rPr>
      </w:pPr>
      <w:r>
        <w:rPr>
          <w:rFonts w:hint="eastAsia" w:ascii="宋体" w:hAnsi="宋体" w:cs="宋体"/>
          <w:color w:val="auto"/>
          <w:szCs w:val="21"/>
          <w:highlight w:val="none"/>
        </w:rPr>
        <w:t>本合同执行中相关的一切税费均由乙方负担。</w:t>
      </w:r>
    </w:p>
    <w:p w14:paraId="3C264EA3">
      <w:pPr>
        <w:pStyle w:val="36"/>
        <w:snapToGrid w:val="0"/>
        <w:spacing w:after="120" w:line="360" w:lineRule="auto"/>
        <w:ind w:left="360" w:hanging="361" w:hangingChars="171"/>
        <w:rPr>
          <w:rFonts w:hAnsi="宋体"/>
          <w:color w:val="auto"/>
          <w:highlight w:val="none"/>
        </w:rPr>
      </w:pPr>
      <w:r>
        <w:rPr>
          <w:rFonts w:hAnsi="宋体" w:cs="宋体"/>
          <w:b/>
          <w:color w:val="auto"/>
          <w:highlight w:val="none"/>
        </w:rPr>
        <w:t>十一、质量保证及后续服务</w:t>
      </w:r>
    </w:p>
    <w:p w14:paraId="64DBC8E6">
      <w:pPr>
        <w:snapToGrid w:val="0"/>
        <w:spacing w:line="360" w:lineRule="auto"/>
        <w:rPr>
          <w:color w:val="auto"/>
          <w:szCs w:val="21"/>
          <w:highlight w:val="none"/>
        </w:rPr>
      </w:pPr>
      <w:r>
        <w:rPr>
          <w:rFonts w:hint="eastAsia" w:ascii="宋体" w:hAnsi="宋体" w:cs="宋体"/>
          <w:color w:val="auto"/>
          <w:szCs w:val="21"/>
          <w:highlight w:val="none"/>
        </w:rPr>
        <w:t>1</w:t>
      </w:r>
      <w:r>
        <w:rPr>
          <w:rFonts w:hAnsi="宋体" w:cs="宋体"/>
          <w:color w:val="auto"/>
          <w:szCs w:val="21"/>
          <w:highlight w:val="none"/>
        </w:rPr>
        <w:t>.</w:t>
      </w:r>
      <w:r>
        <w:rPr>
          <w:rFonts w:hint="eastAsia" w:ascii="宋体" w:hAnsi="宋体" w:cs="宋体"/>
          <w:color w:val="auto"/>
          <w:szCs w:val="21"/>
          <w:highlight w:val="none"/>
        </w:rPr>
        <w:t>乙方应按招标文件规定向甲方提供服务。</w:t>
      </w:r>
    </w:p>
    <w:p w14:paraId="764F310D">
      <w:pPr>
        <w:snapToGrid w:val="0"/>
        <w:spacing w:line="360" w:lineRule="auto"/>
        <w:rPr>
          <w:color w:val="auto"/>
          <w:szCs w:val="21"/>
          <w:highlight w:val="none"/>
        </w:rPr>
      </w:pPr>
      <w:r>
        <w:rPr>
          <w:rFonts w:hint="eastAsia" w:cs="宋体"/>
          <w:color w:val="auto"/>
          <w:szCs w:val="21"/>
          <w:highlight w:val="none"/>
        </w:rPr>
        <w:t>2</w:t>
      </w:r>
      <w:r>
        <w:rPr>
          <w:rFonts w:hAnsi="宋体" w:cs="宋体"/>
          <w:color w:val="auto"/>
          <w:szCs w:val="21"/>
          <w:highlight w:val="none"/>
        </w:rPr>
        <w:t>.</w:t>
      </w:r>
      <w:r>
        <w:rPr>
          <w:rFonts w:hint="eastAsia" w:ascii="宋体" w:hAnsi="宋体" w:cs="宋体"/>
          <w:color w:val="auto"/>
          <w:szCs w:val="21"/>
          <w:highlight w:val="none"/>
        </w:rPr>
        <w:t>乙方提供的服务成果在服务质量保证期内发生故障，乙方应负责免费提供后续服务。对达不到要求者，根据实际情况，经双方协商，可按以下办法处理：</w:t>
      </w:r>
    </w:p>
    <w:p w14:paraId="35A10B88">
      <w:pPr>
        <w:snapToGrid w:val="0"/>
        <w:spacing w:line="360" w:lineRule="auto"/>
        <w:rPr>
          <w:color w:val="auto"/>
          <w:szCs w:val="21"/>
          <w:highlight w:val="none"/>
        </w:rPr>
      </w:pPr>
      <w:r>
        <w:rPr>
          <w:rFonts w:hint="eastAsia" w:ascii="宋体" w:hAnsi="宋体" w:cs="宋体"/>
          <w:color w:val="auto"/>
          <w:szCs w:val="21"/>
          <w:highlight w:val="none"/>
        </w:rPr>
        <w:t>⑴重做：由乙方承担所发生的全部费用。</w:t>
      </w:r>
    </w:p>
    <w:p w14:paraId="23529CDE">
      <w:pPr>
        <w:snapToGrid w:val="0"/>
        <w:spacing w:line="360" w:lineRule="auto"/>
        <w:rPr>
          <w:color w:val="auto"/>
          <w:szCs w:val="21"/>
          <w:highlight w:val="none"/>
        </w:rPr>
      </w:pPr>
      <w:r>
        <w:rPr>
          <w:rFonts w:hint="eastAsia" w:ascii="宋体" w:hAnsi="宋体" w:cs="宋体"/>
          <w:color w:val="auto"/>
          <w:szCs w:val="21"/>
          <w:highlight w:val="none"/>
        </w:rPr>
        <w:t>⑵贬值处理：由甲乙双方合议定价。</w:t>
      </w:r>
    </w:p>
    <w:p w14:paraId="507D09B3">
      <w:pPr>
        <w:snapToGrid w:val="0"/>
        <w:spacing w:line="360" w:lineRule="auto"/>
        <w:rPr>
          <w:color w:val="auto"/>
          <w:szCs w:val="21"/>
          <w:highlight w:val="none"/>
        </w:rPr>
      </w:pPr>
      <w:r>
        <w:rPr>
          <w:rFonts w:hint="eastAsia" w:ascii="宋体" w:hAnsi="宋体" w:cs="宋体"/>
          <w:color w:val="auto"/>
          <w:szCs w:val="21"/>
          <w:highlight w:val="none"/>
        </w:rPr>
        <w:t>⑶解除合同。</w:t>
      </w:r>
    </w:p>
    <w:p w14:paraId="30DC49D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3.由于医疗卫生信息系统的特殊性。因此，在接到系统故障通知后，</w:t>
      </w:r>
      <w:r>
        <w:rPr>
          <w:rFonts w:hint="eastAsia" w:ascii="宋体" w:hAnsi="宋体" w:cs="宋体"/>
          <w:color w:val="auto"/>
          <w:szCs w:val="21"/>
          <w:highlight w:val="none"/>
          <w:lang w:val="en-US" w:eastAsia="zh-CN"/>
        </w:rPr>
        <w:t>乙方需</w:t>
      </w:r>
      <w:r>
        <w:rPr>
          <w:rFonts w:hint="eastAsia" w:ascii="宋体" w:hAnsi="宋体" w:cs="宋体"/>
          <w:color w:val="auto"/>
          <w:szCs w:val="21"/>
          <w:highlight w:val="none"/>
        </w:rPr>
        <w:t>在20分钟内响应。对于影响系统正常运行的严重故障，</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的相关技术人员必须在接到故障通知后2小时内赶到现场，查找原因，提出解决方案，并工作直至故障修妥完全恢复正常工作为止，一般要求保证系统在24小时之内修复，并需要提供确保承诺实现的措施。</w:t>
      </w:r>
    </w:p>
    <w:p w14:paraId="744797F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软件实施期间需专人定点在进行实施。质保期间内也需专人定期或不定期参加日常维护工作。</w:t>
      </w:r>
    </w:p>
    <w:p w14:paraId="206EB65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.在服务质量保证期内，乙方应对出现的质量及安全问题负责处理解决并承担一切费用。</w:t>
      </w:r>
    </w:p>
    <w:p w14:paraId="123CF7A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rPr>
        <w:t>乙方投标文件作为本合同组成部分，所做出的承诺对乙方具有约束力。</w:t>
      </w:r>
    </w:p>
    <w:p w14:paraId="03FD9622">
      <w:pPr>
        <w:pStyle w:val="3"/>
        <w:rPr>
          <w:b/>
          <w:color w:val="auto"/>
          <w:sz w:val="21"/>
          <w:highlight w:val="none"/>
        </w:rPr>
      </w:pPr>
      <w:r>
        <w:rPr>
          <w:rFonts w:hAnsi="宋体" w:cs="宋体"/>
          <w:b/>
          <w:color w:val="auto"/>
          <w:sz w:val="21"/>
          <w:highlight w:val="none"/>
        </w:rPr>
        <w:t>十二、违约责任</w:t>
      </w:r>
    </w:p>
    <w:p w14:paraId="4E0AF17C">
      <w:pPr>
        <w:snapToGrid w:val="0"/>
        <w:spacing w:line="360" w:lineRule="auto"/>
        <w:rPr>
          <w:color w:val="auto"/>
          <w:szCs w:val="21"/>
          <w:highlight w:val="none"/>
        </w:rPr>
      </w:pPr>
      <w:r>
        <w:rPr>
          <w:rFonts w:hint="eastAsia" w:ascii="宋体" w:hAnsi="宋体" w:cs="宋体"/>
          <w:color w:val="auto"/>
          <w:szCs w:val="21"/>
          <w:highlight w:val="none"/>
        </w:rPr>
        <w:t>1</w:t>
      </w:r>
      <w:r>
        <w:rPr>
          <w:rFonts w:hAnsi="宋体" w:cs="宋体"/>
          <w:color w:val="auto"/>
          <w:szCs w:val="21"/>
          <w:highlight w:val="none"/>
        </w:rPr>
        <w:t>.</w:t>
      </w:r>
      <w:r>
        <w:rPr>
          <w:rFonts w:hint="eastAsia" w:ascii="宋体" w:hAnsi="宋体" w:cs="宋体"/>
          <w:color w:val="auto"/>
          <w:szCs w:val="21"/>
          <w:highlight w:val="none"/>
        </w:rPr>
        <w:t>甲方无正当理由拒</w:t>
      </w:r>
      <w:r>
        <w:rPr>
          <w:rFonts w:hint="eastAsia" w:cs="宋体"/>
          <w:color w:val="auto"/>
          <w:szCs w:val="21"/>
          <w:highlight w:val="none"/>
        </w:rPr>
        <w:t>绝</w:t>
      </w:r>
      <w:r>
        <w:rPr>
          <w:rFonts w:hint="eastAsia" w:ascii="宋体" w:hAnsi="宋体" w:cs="宋体"/>
          <w:color w:val="auto"/>
          <w:szCs w:val="21"/>
          <w:highlight w:val="none"/>
        </w:rPr>
        <w:t>接受服务的，甲方向乙方偿付合同</w:t>
      </w:r>
      <w:r>
        <w:rPr>
          <w:rFonts w:hint="eastAsia" w:cs="宋体"/>
          <w:color w:val="auto"/>
          <w:szCs w:val="21"/>
          <w:highlight w:val="none"/>
        </w:rPr>
        <w:t>总值</w:t>
      </w:r>
      <w:r>
        <w:rPr>
          <w:rFonts w:hint="eastAsia" w:ascii="宋体" w:hAnsi="宋体" w:cs="宋体"/>
          <w:color w:val="auto"/>
          <w:szCs w:val="21"/>
          <w:highlight w:val="none"/>
        </w:rPr>
        <w:t>百分之五作为违约金。</w:t>
      </w:r>
    </w:p>
    <w:p w14:paraId="44931510">
      <w:pPr>
        <w:snapToGrid w:val="0"/>
        <w:spacing w:line="360" w:lineRule="auto"/>
        <w:rPr>
          <w:color w:val="auto"/>
          <w:szCs w:val="21"/>
          <w:highlight w:val="none"/>
        </w:rPr>
      </w:pPr>
      <w:r>
        <w:rPr>
          <w:rFonts w:hint="eastAsia" w:ascii="宋体" w:hAnsi="宋体" w:cs="宋体"/>
          <w:color w:val="auto"/>
          <w:szCs w:val="21"/>
          <w:highlight w:val="none"/>
        </w:rPr>
        <w:t>2</w:t>
      </w:r>
      <w:r>
        <w:rPr>
          <w:rFonts w:hAnsi="宋体" w:cs="宋体"/>
          <w:color w:val="auto"/>
          <w:szCs w:val="21"/>
          <w:highlight w:val="none"/>
        </w:rPr>
        <w:t>.</w:t>
      </w:r>
      <w:r>
        <w:rPr>
          <w:rFonts w:hint="eastAsia" w:ascii="宋体" w:hAnsi="宋体" w:cs="宋体"/>
          <w:color w:val="auto"/>
          <w:szCs w:val="21"/>
          <w:highlight w:val="none"/>
        </w:rPr>
        <w:t>甲方无故逾期验收和办理款项支付手续的,甲方应按逾期总额每日万分之五向乙方支付违约金。</w:t>
      </w:r>
    </w:p>
    <w:p w14:paraId="22D25E4D">
      <w:pPr>
        <w:snapToGrid w:val="0"/>
        <w:spacing w:line="360" w:lineRule="auto"/>
        <w:rPr>
          <w:color w:val="auto"/>
          <w:szCs w:val="21"/>
          <w:highlight w:val="none"/>
        </w:rPr>
      </w:pPr>
      <w:r>
        <w:rPr>
          <w:rFonts w:hint="eastAsia" w:ascii="宋体" w:hAnsi="宋体" w:cs="宋体"/>
          <w:color w:val="auto"/>
          <w:szCs w:val="21"/>
          <w:highlight w:val="none"/>
        </w:rPr>
        <w:t>3</w:t>
      </w:r>
      <w:r>
        <w:rPr>
          <w:rFonts w:hAnsi="宋体" w:cs="宋体"/>
          <w:color w:val="auto"/>
          <w:szCs w:val="21"/>
          <w:highlight w:val="none"/>
        </w:rPr>
        <w:t>.</w:t>
      </w:r>
      <w:r>
        <w:rPr>
          <w:rFonts w:hint="eastAsia" w:ascii="宋体" w:hAnsi="宋体" w:cs="宋体"/>
          <w:color w:val="auto"/>
          <w:szCs w:val="21"/>
          <w:highlight w:val="none"/>
        </w:rPr>
        <w:t>乙方未能如期提供服务的，每日向甲方支付合同款项的千分之一作为违约金。乙方超过约定日期</w:t>
      </w:r>
      <w:r>
        <w:rPr>
          <w:rFonts w:hint="eastAsia" w:cs="宋体"/>
          <w:color w:val="auto"/>
          <w:szCs w:val="21"/>
          <w:highlight w:val="none"/>
        </w:rPr>
        <w:t>20</w:t>
      </w:r>
      <w:r>
        <w:rPr>
          <w:rFonts w:hint="eastAsia" w:ascii="宋体" w:hAnsi="宋体" w:cs="宋体"/>
          <w:color w:val="auto"/>
          <w:szCs w:val="21"/>
          <w:highlight w:val="none"/>
        </w:rPr>
        <w:t>个工作日仍不能提供</w:t>
      </w:r>
      <w:r>
        <w:rPr>
          <w:rFonts w:hint="eastAsia" w:cs="宋体"/>
          <w:color w:val="auto"/>
          <w:szCs w:val="21"/>
          <w:highlight w:val="none"/>
        </w:rPr>
        <w:t>全部</w:t>
      </w:r>
      <w:r>
        <w:rPr>
          <w:rFonts w:hint="eastAsia" w:ascii="宋体" w:hAnsi="宋体" w:cs="宋体"/>
          <w:color w:val="auto"/>
          <w:szCs w:val="21"/>
          <w:highlight w:val="none"/>
        </w:rPr>
        <w:t>服务的，甲方可解除本合同</w:t>
      </w:r>
      <w:r>
        <w:rPr>
          <w:rFonts w:hint="eastAsia" w:cs="宋体"/>
          <w:color w:val="auto"/>
          <w:szCs w:val="21"/>
          <w:highlight w:val="none"/>
        </w:rPr>
        <w:t>，已完成批次加工费按合同支付，拒付当前批次加工费</w:t>
      </w:r>
      <w:r>
        <w:rPr>
          <w:rFonts w:hint="eastAsia" w:ascii="宋体" w:hAnsi="宋体" w:cs="宋体"/>
          <w:color w:val="auto"/>
          <w:szCs w:val="21"/>
          <w:highlight w:val="none"/>
        </w:rPr>
        <w:t>。乙方因未能如期提供</w:t>
      </w:r>
      <w:r>
        <w:rPr>
          <w:rFonts w:hint="eastAsia" w:cs="宋体"/>
          <w:color w:val="auto"/>
          <w:szCs w:val="21"/>
          <w:highlight w:val="none"/>
        </w:rPr>
        <w:t>全部</w:t>
      </w:r>
      <w:r>
        <w:rPr>
          <w:rFonts w:hint="eastAsia" w:ascii="宋体" w:hAnsi="宋体" w:cs="宋体"/>
          <w:color w:val="auto"/>
          <w:szCs w:val="21"/>
          <w:highlight w:val="none"/>
        </w:rPr>
        <w:t xml:space="preserve">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2E647784">
      <w:pPr>
        <w:pStyle w:val="36"/>
        <w:snapToGrid w:val="0"/>
        <w:spacing w:after="120" w:line="360" w:lineRule="auto"/>
        <w:rPr>
          <w:rFonts w:hAnsi="宋体"/>
          <w:b/>
          <w:color w:val="auto"/>
          <w:highlight w:val="none"/>
        </w:rPr>
      </w:pPr>
      <w:r>
        <w:rPr>
          <w:rFonts w:hAnsi="宋体" w:cs="宋体"/>
          <w:b/>
          <w:color w:val="auto"/>
          <w:highlight w:val="none"/>
        </w:rPr>
        <w:t>十三、不可抗力事件处理</w:t>
      </w:r>
    </w:p>
    <w:p w14:paraId="072BD0A8">
      <w:pPr>
        <w:pStyle w:val="36"/>
        <w:snapToGrid w:val="0"/>
        <w:spacing w:after="120" w:line="360" w:lineRule="auto"/>
        <w:rPr>
          <w:rFonts w:hAnsi="宋体"/>
          <w:color w:val="auto"/>
          <w:highlight w:val="none"/>
        </w:rPr>
      </w:pPr>
      <w:r>
        <w:rPr>
          <w:rFonts w:hAnsi="宋体" w:cs="宋体"/>
          <w:color w:val="auto"/>
          <w:highlight w:val="none"/>
        </w:rPr>
        <w:t>1.在合同有效期内，任何一方因不可抗力事件导致不能履行合同，则合同履行期可延长，其延长期与不可抗力影响期相同。</w:t>
      </w:r>
    </w:p>
    <w:p w14:paraId="7DCDC156">
      <w:pPr>
        <w:pStyle w:val="36"/>
        <w:snapToGrid w:val="0"/>
        <w:spacing w:after="120" w:line="360" w:lineRule="auto"/>
        <w:rPr>
          <w:rFonts w:hAnsi="宋体"/>
          <w:color w:val="auto"/>
          <w:highlight w:val="none"/>
        </w:rPr>
      </w:pPr>
      <w:r>
        <w:rPr>
          <w:rFonts w:hAnsi="宋体" w:cs="宋体"/>
          <w:color w:val="auto"/>
          <w:highlight w:val="none"/>
        </w:rPr>
        <w:t>2.不可抗力事件发生后，应立即通知对方，并寄送有关权威机构出具的证明。</w:t>
      </w:r>
    </w:p>
    <w:p w14:paraId="435E267B">
      <w:pPr>
        <w:pStyle w:val="36"/>
        <w:snapToGrid w:val="0"/>
        <w:spacing w:after="120" w:line="360" w:lineRule="auto"/>
        <w:rPr>
          <w:rFonts w:hAnsi="宋体"/>
          <w:color w:val="auto"/>
          <w:highlight w:val="none"/>
        </w:rPr>
      </w:pPr>
      <w:r>
        <w:rPr>
          <w:rFonts w:hAnsi="宋体" w:cs="宋体"/>
          <w:color w:val="auto"/>
          <w:highlight w:val="none"/>
        </w:rPr>
        <w:t>3.不可抗力事件延续120天以上，双方应通过友好协商，确定是否继续履行合同。</w:t>
      </w:r>
    </w:p>
    <w:p w14:paraId="0D5AC733">
      <w:pPr>
        <w:spacing w:line="360" w:lineRule="auto"/>
        <w:rPr>
          <w:color w:val="auto"/>
          <w:szCs w:val="21"/>
          <w:highlight w:val="none"/>
        </w:rPr>
      </w:pPr>
      <w:r>
        <w:rPr>
          <w:rFonts w:hint="eastAsia" w:ascii="宋体" w:hAnsi="宋体" w:cs="宋体"/>
          <w:b/>
          <w:color w:val="auto"/>
          <w:szCs w:val="21"/>
          <w:highlight w:val="none"/>
        </w:rPr>
        <w:t>十四</w:t>
      </w:r>
      <w:r>
        <w:rPr>
          <w:rFonts w:hint="eastAsia" w:ascii="宋体" w:hAnsi="宋体" w:cs="宋体"/>
          <w:color w:val="auto"/>
          <w:szCs w:val="21"/>
          <w:highlight w:val="none"/>
        </w:rPr>
        <w:t>、争议的解决</w:t>
      </w:r>
    </w:p>
    <w:p w14:paraId="3240C538">
      <w:pPr>
        <w:spacing w:line="360" w:lineRule="auto"/>
        <w:ind w:firstLine="420" w:firstLineChars="200"/>
        <w:rPr>
          <w:color w:val="auto"/>
          <w:szCs w:val="21"/>
          <w:highlight w:val="none"/>
        </w:rPr>
      </w:pPr>
      <w:r>
        <w:rPr>
          <w:rFonts w:hint="eastAsia" w:ascii="宋体" w:hAnsi="宋体" w:cs="宋体"/>
          <w:color w:val="auto"/>
          <w:szCs w:val="21"/>
          <w:highlight w:val="none"/>
        </w:rPr>
        <w:t>本合同为政府采购之合同，在发生所供商品的质量、售后服务等问题时，甲方有权直接向乙方索赔，签订必要的书面处理协议。如协商不成，任何一方可向甲方所在地人民法院起诉。</w:t>
      </w:r>
    </w:p>
    <w:p w14:paraId="1752BE41">
      <w:pPr>
        <w:spacing w:line="360" w:lineRule="auto"/>
        <w:rPr>
          <w:color w:val="auto"/>
          <w:szCs w:val="21"/>
          <w:highlight w:val="none"/>
        </w:rPr>
      </w:pPr>
      <w:r>
        <w:rPr>
          <w:rFonts w:hint="eastAsia" w:ascii="宋体" w:hAnsi="宋体" w:cs="宋体"/>
          <w:b/>
          <w:color w:val="auto"/>
          <w:szCs w:val="21"/>
          <w:highlight w:val="none"/>
        </w:rPr>
        <w:t>十五</w:t>
      </w:r>
      <w:r>
        <w:rPr>
          <w:rFonts w:hint="eastAsia" w:ascii="宋体" w:hAnsi="宋体" w:cs="宋体"/>
          <w:color w:val="auto"/>
          <w:szCs w:val="21"/>
          <w:highlight w:val="none"/>
        </w:rPr>
        <w:t>、合同的生效</w:t>
      </w:r>
    </w:p>
    <w:p w14:paraId="1AEA3428">
      <w:pPr>
        <w:spacing w:line="360" w:lineRule="auto"/>
        <w:rPr>
          <w:color w:val="auto"/>
          <w:szCs w:val="21"/>
          <w:highlight w:val="none"/>
        </w:rPr>
      </w:pPr>
      <w:r>
        <w:rPr>
          <w:rFonts w:hint="eastAsia" w:ascii="宋体" w:hAnsi="宋体" w:cs="宋体"/>
          <w:color w:val="auto"/>
          <w:szCs w:val="21"/>
          <w:highlight w:val="none"/>
        </w:rPr>
        <w:t>1</w:t>
      </w:r>
      <w:r>
        <w:rPr>
          <w:rFonts w:hAnsi="宋体" w:cs="宋体"/>
          <w:color w:val="auto"/>
          <w:szCs w:val="21"/>
          <w:highlight w:val="none"/>
        </w:rPr>
        <w:t>.</w:t>
      </w:r>
      <w:r>
        <w:rPr>
          <w:rFonts w:hint="eastAsia" w:ascii="宋体" w:hAnsi="宋体" w:cs="宋体"/>
          <w:color w:val="auto"/>
          <w:szCs w:val="21"/>
          <w:highlight w:val="none"/>
        </w:rPr>
        <w:t>本合同经甲乙双方法定代表人或其委托人签字并加盖公章后生效。</w:t>
      </w:r>
    </w:p>
    <w:p w14:paraId="36F14A2E">
      <w:pPr>
        <w:spacing w:line="360" w:lineRule="auto"/>
        <w:rPr>
          <w:color w:val="auto"/>
          <w:szCs w:val="21"/>
          <w:highlight w:val="none"/>
        </w:rPr>
      </w:pPr>
      <w:r>
        <w:rPr>
          <w:rFonts w:hint="eastAsia" w:ascii="宋体" w:hAnsi="宋体" w:cs="宋体"/>
          <w:color w:val="auto"/>
          <w:szCs w:val="21"/>
          <w:highlight w:val="none"/>
        </w:rPr>
        <w:t>2</w:t>
      </w:r>
      <w:r>
        <w:rPr>
          <w:rFonts w:hAnsi="宋体" w:cs="宋体"/>
          <w:color w:val="auto"/>
          <w:szCs w:val="21"/>
          <w:highlight w:val="none"/>
        </w:rPr>
        <w:t>.</w:t>
      </w:r>
      <w:r>
        <w:rPr>
          <w:rFonts w:hint="eastAsia" w:ascii="宋体" w:hAnsi="宋体" w:cs="宋体"/>
          <w:color w:val="auto"/>
          <w:szCs w:val="21"/>
          <w:highlight w:val="none"/>
        </w:rPr>
        <w:t>本合同一式份，甲乙各执份。</w:t>
      </w:r>
    </w:p>
    <w:p w14:paraId="769A0471">
      <w:pPr>
        <w:spacing w:line="360" w:lineRule="auto"/>
        <w:rPr>
          <w:color w:val="auto"/>
          <w:szCs w:val="21"/>
          <w:highlight w:val="none"/>
        </w:rPr>
      </w:pPr>
      <w:r>
        <w:rPr>
          <w:rFonts w:hint="eastAsia" w:ascii="宋体" w:hAnsi="宋体" w:cs="宋体"/>
          <w:color w:val="auto"/>
          <w:szCs w:val="21"/>
          <w:highlight w:val="none"/>
        </w:rPr>
        <w:t>3</w:t>
      </w:r>
      <w:r>
        <w:rPr>
          <w:rFonts w:hAnsi="宋体" w:cs="宋体"/>
          <w:color w:val="auto"/>
          <w:szCs w:val="21"/>
          <w:highlight w:val="none"/>
        </w:rPr>
        <w:t>.</w:t>
      </w:r>
      <w:r>
        <w:rPr>
          <w:rFonts w:hint="eastAsia" w:ascii="宋体" w:hAnsi="宋体" w:cs="宋体"/>
          <w:color w:val="auto"/>
          <w:szCs w:val="21"/>
          <w:highlight w:val="none"/>
        </w:rPr>
        <w:t>相关招标文件、投标文件与本合同具有同等法律效力。</w:t>
      </w:r>
    </w:p>
    <w:p w14:paraId="02DFE92F">
      <w:pPr>
        <w:spacing w:line="360" w:lineRule="auto"/>
        <w:rPr>
          <w:color w:val="auto"/>
          <w:szCs w:val="21"/>
          <w:highlight w:val="none"/>
        </w:rPr>
      </w:pPr>
    </w:p>
    <w:p w14:paraId="5ED80768">
      <w:pPr>
        <w:spacing w:line="360" w:lineRule="auto"/>
        <w:rPr>
          <w:color w:val="auto"/>
          <w:szCs w:val="21"/>
          <w:highlight w:val="none"/>
        </w:rPr>
      </w:pPr>
    </w:p>
    <w:p w14:paraId="02CFCE61">
      <w:pPr>
        <w:spacing w:line="360" w:lineRule="auto"/>
        <w:rPr>
          <w:color w:val="auto"/>
          <w:szCs w:val="21"/>
          <w:highlight w:val="none"/>
        </w:rPr>
      </w:pPr>
      <w:r>
        <w:rPr>
          <w:rFonts w:hint="eastAsia" w:ascii="宋体" w:hAnsi="宋体" w:cs="宋体"/>
          <w:color w:val="auto"/>
          <w:szCs w:val="21"/>
          <w:highlight w:val="none"/>
        </w:rPr>
        <w:t xml:space="preserve">甲  方（盖章）：                        乙  方（盖章）： </w:t>
      </w:r>
    </w:p>
    <w:p w14:paraId="300CFEE1">
      <w:pPr>
        <w:spacing w:line="360" w:lineRule="auto"/>
        <w:rPr>
          <w:color w:val="auto"/>
          <w:szCs w:val="21"/>
          <w:highlight w:val="none"/>
        </w:rPr>
      </w:pPr>
      <w:r>
        <w:rPr>
          <w:rFonts w:hint="eastAsia" w:ascii="宋体" w:hAnsi="宋体" w:cs="宋体"/>
          <w:color w:val="auto"/>
          <w:szCs w:val="21"/>
          <w:highlight w:val="none"/>
        </w:rPr>
        <w:t>法定代表人或受委托人（签字）：          法定代表人或受委托人（签字）：</w:t>
      </w:r>
    </w:p>
    <w:p w14:paraId="2F72D943">
      <w:pPr>
        <w:spacing w:line="360" w:lineRule="auto"/>
        <w:rPr>
          <w:color w:val="auto"/>
          <w:szCs w:val="21"/>
          <w:highlight w:val="none"/>
        </w:rPr>
      </w:pPr>
      <w:r>
        <w:rPr>
          <w:rFonts w:hint="eastAsia" w:ascii="宋体" w:hAnsi="宋体" w:cs="宋体"/>
          <w:color w:val="auto"/>
          <w:szCs w:val="21"/>
          <w:highlight w:val="none"/>
        </w:rPr>
        <w:t xml:space="preserve">地  址：                               地 址： </w:t>
      </w:r>
    </w:p>
    <w:p w14:paraId="65145932">
      <w:pPr>
        <w:spacing w:line="360" w:lineRule="auto"/>
        <w:rPr>
          <w:color w:val="auto"/>
          <w:szCs w:val="21"/>
          <w:highlight w:val="none"/>
        </w:rPr>
      </w:pPr>
      <w:r>
        <w:rPr>
          <w:rFonts w:hint="eastAsia" w:ascii="宋体" w:hAnsi="宋体" w:cs="宋体"/>
          <w:color w:val="auto"/>
          <w:szCs w:val="21"/>
          <w:highlight w:val="none"/>
        </w:rPr>
        <w:t xml:space="preserve">电  话：                               电  话： </w:t>
      </w:r>
    </w:p>
    <w:p w14:paraId="0180D9E6">
      <w:pPr>
        <w:spacing w:line="360" w:lineRule="auto"/>
        <w:rPr>
          <w:color w:val="auto"/>
          <w:szCs w:val="21"/>
          <w:highlight w:val="none"/>
        </w:rPr>
      </w:pPr>
      <w:r>
        <w:rPr>
          <w:rFonts w:hint="eastAsia" w:ascii="宋体" w:hAnsi="宋体" w:cs="宋体"/>
          <w:color w:val="auto"/>
          <w:szCs w:val="21"/>
          <w:highlight w:val="none"/>
        </w:rPr>
        <w:t xml:space="preserve">传  真：                               传  真： </w:t>
      </w:r>
    </w:p>
    <w:p w14:paraId="2B183E2C">
      <w:pPr>
        <w:spacing w:line="360" w:lineRule="auto"/>
        <w:rPr>
          <w:color w:val="auto"/>
          <w:szCs w:val="21"/>
          <w:highlight w:val="none"/>
        </w:rPr>
      </w:pPr>
      <w:r>
        <w:rPr>
          <w:rFonts w:hint="eastAsia" w:ascii="宋体" w:hAnsi="宋体" w:cs="宋体"/>
          <w:color w:val="auto"/>
          <w:szCs w:val="21"/>
          <w:highlight w:val="none"/>
        </w:rPr>
        <w:t>开户银行：                             开户银行：</w:t>
      </w:r>
    </w:p>
    <w:p w14:paraId="7204C497">
      <w:pPr>
        <w:spacing w:line="360" w:lineRule="auto"/>
        <w:rPr>
          <w:color w:val="auto"/>
          <w:spacing w:val="-16"/>
          <w:szCs w:val="21"/>
          <w:highlight w:val="none"/>
        </w:rPr>
      </w:pPr>
      <w:r>
        <w:rPr>
          <w:rFonts w:hint="eastAsia" w:ascii="宋体" w:hAnsi="宋体" w:cs="宋体"/>
          <w:color w:val="auto"/>
          <w:spacing w:val="-16"/>
          <w:szCs w:val="21"/>
          <w:highlight w:val="none"/>
        </w:rPr>
        <w:t>帐  号：                                               帐  号</w:t>
      </w:r>
    </w:p>
    <w:p w14:paraId="6B3554D1">
      <w:pPr>
        <w:spacing w:line="360" w:lineRule="auto"/>
        <w:rPr>
          <w:color w:val="auto"/>
          <w:szCs w:val="21"/>
          <w:highlight w:val="none"/>
        </w:rPr>
      </w:pPr>
    </w:p>
    <w:p w14:paraId="41A6D025">
      <w:pPr>
        <w:pStyle w:val="2"/>
        <w:rPr>
          <w:color w:val="auto"/>
          <w:szCs w:val="21"/>
          <w:highlight w:val="none"/>
        </w:rPr>
      </w:pPr>
    </w:p>
    <w:p w14:paraId="257A158D">
      <w:pPr>
        <w:pStyle w:val="3"/>
        <w:rPr>
          <w:color w:val="auto"/>
          <w:szCs w:val="21"/>
          <w:highlight w:val="none"/>
        </w:rPr>
      </w:pPr>
    </w:p>
    <w:p w14:paraId="5EC3C073">
      <w:pPr>
        <w:pStyle w:val="4"/>
        <w:rPr>
          <w:color w:val="auto"/>
          <w:szCs w:val="21"/>
          <w:highlight w:val="none"/>
        </w:rPr>
      </w:pPr>
    </w:p>
    <w:p w14:paraId="773687C1">
      <w:pPr>
        <w:pStyle w:val="5"/>
        <w:rPr>
          <w:color w:val="auto"/>
          <w:szCs w:val="21"/>
          <w:highlight w:val="none"/>
        </w:rPr>
      </w:pPr>
    </w:p>
    <w:p w14:paraId="32096524">
      <w:pPr>
        <w:rPr>
          <w:color w:val="auto"/>
          <w:szCs w:val="21"/>
          <w:highlight w:val="none"/>
        </w:rPr>
      </w:pPr>
    </w:p>
    <w:p w14:paraId="72F2DB1F">
      <w:pPr>
        <w:pStyle w:val="2"/>
        <w:rPr>
          <w:color w:val="auto"/>
          <w:szCs w:val="21"/>
          <w:highlight w:val="none"/>
        </w:rPr>
      </w:pPr>
    </w:p>
    <w:p w14:paraId="5736F571">
      <w:pPr>
        <w:pStyle w:val="3"/>
        <w:rPr>
          <w:color w:val="auto"/>
          <w:szCs w:val="21"/>
          <w:highlight w:val="none"/>
        </w:rPr>
      </w:pPr>
    </w:p>
    <w:p w14:paraId="3BABCDD7">
      <w:pPr>
        <w:pStyle w:val="4"/>
        <w:rPr>
          <w:color w:val="auto"/>
          <w:highlight w:val="none"/>
        </w:rPr>
      </w:pPr>
    </w:p>
    <w:p w14:paraId="18B8320A">
      <w:pPr>
        <w:pStyle w:val="82"/>
        <w:ind w:firstLine="480"/>
        <w:rPr>
          <w:color w:val="auto"/>
          <w:highlight w:val="none"/>
        </w:rPr>
      </w:pPr>
    </w:p>
    <w:p w14:paraId="44A2E65A">
      <w:pPr>
        <w:pStyle w:val="82"/>
        <w:ind w:firstLine="480"/>
        <w:rPr>
          <w:color w:val="auto"/>
          <w:highlight w:val="none"/>
        </w:rPr>
      </w:pPr>
    </w:p>
    <w:p w14:paraId="2D7EBBB7">
      <w:pPr>
        <w:pStyle w:val="82"/>
        <w:ind w:firstLine="480"/>
        <w:rPr>
          <w:color w:val="auto"/>
          <w:highlight w:val="none"/>
        </w:rPr>
      </w:pPr>
    </w:p>
    <w:p w14:paraId="7B9FEB1D">
      <w:pPr>
        <w:pStyle w:val="82"/>
        <w:ind w:firstLine="480"/>
        <w:rPr>
          <w:color w:val="auto"/>
          <w:highlight w:val="none"/>
        </w:rPr>
      </w:pPr>
    </w:p>
    <w:p w14:paraId="79437580">
      <w:pPr>
        <w:pStyle w:val="82"/>
        <w:ind w:firstLine="480"/>
        <w:rPr>
          <w:color w:val="auto"/>
          <w:highlight w:val="none"/>
        </w:rPr>
      </w:pPr>
    </w:p>
    <w:p w14:paraId="53BA025B">
      <w:pPr>
        <w:rPr>
          <w:color w:val="auto"/>
          <w:highlight w:val="none"/>
        </w:rPr>
      </w:pPr>
    </w:p>
    <w:p w14:paraId="2FE77EC1">
      <w:pPr>
        <w:spacing w:line="360" w:lineRule="auto"/>
        <w:ind w:left="720" w:firstLine="723" w:firstLineChars="200"/>
        <w:outlineLvl w:val="0"/>
        <w:rPr>
          <w:rFonts w:ascii="宋体" w:hAnsi="宋体" w:cs="宋体"/>
          <w:b/>
          <w:color w:val="auto"/>
          <w:sz w:val="36"/>
          <w:szCs w:val="20"/>
          <w:highlight w:val="none"/>
        </w:rPr>
      </w:pPr>
      <w:bookmarkStart w:id="442" w:name="_Toc12182"/>
      <w:bookmarkStart w:id="443" w:name="_Toc14949"/>
      <w:r>
        <w:rPr>
          <w:rFonts w:hint="eastAsia" w:ascii="宋体" w:hAnsi="宋体" w:cs="宋体"/>
          <w:b/>
          <w:color w:val="auto"/>
          <w:sz w:val="36"/>
          <w:szCs w:val="20"/>
          <w:highlight w:val="none"/>
        </w:rPr>
        <w:t>第六部分</w:t>
      </w:r>
      <w:bookmarkEnd w:id="440"/>
      <w:bookmarkEnd w:id="441"/>
      <w:r>
        <w:rPr>
          <w:rFonts w:hint="eastAsia" w:ascii="宋体" w:hAnsi="宋体" w:cs="宋体"/>
          <w:b/>
          <w:color w:val="auto"/>
          <w:sz w:val="36"/>
          <w:szCs w:val="20"/>
          <w:highlight w:val="none"/>
        </w:rPr>
        <w:t>应提交的有关格式范例</w:t>
      </w:r>
      <w:bookmarkEnd w:id="442"/>
      <w:bookmarkEnd w:id="443"/>
    </w:p>
    <w:p w14:paraId="4E82020D">
      <w:pPr>
        <w:spacing w:line="360" w:lineRule="auto"/>
        <w:jc w:val="center"/>
        <w:rPr>
          <w:rFonts w:ascii="宋体" w:hAnsi="宋体" w:cs="宋体"/>
          <w:b/>
          <w:color w:val="auto"/>
          <w:kern w:val="0"/>
          <w:sz w:val="36"/>
          <w:szCs w:val="36"/>
          <w:highlight w:val="none"/>
        </w:rPr>
      </w:pPr>
    </w:p>
    <w:p w14:paraId="4D387869">
      <w:pPr>
        <w:spacing w:line="360" w:lineRule="auto"/>
        <w:jc w:val="center"/>
        <w:outlineLvl w:val="1"/>
        <w:rPr>
          <w:rFonts w:ascii="宋体" w:hAnsi="宋体" w:cs="宋体"/>
          <w:b/>
          <w:color w:val="auto"/>
          <w:kern w:val="0"/>
          <w:sz w:val="36"/>
          <w:szCs w:val="36"/>
          <w:highlight w:val="none"/>
        </w:rPr>
      </w:pPr>
      <w:bookmarkStart w:id="444" w:name="_Toc29848"/>
      <w:r>
        <w:rPr>
          <w:rFonts w:hint="eastAsia" w:ascii="宋体" w:hAnsi="宋体" w:cs="宋体"/>
          <w:b/>
          <w:color w:val="auto"/>
          <w:kern w:val="0"/>
          <w:sz w:val="36"/>
          <w:szCs w:val="36"/>
          <w:highlight w:val="none"/>
        </w:rPr>
        <w:t>资格文件部分</w:t>
      </w:r>
      <w:bookmarkEnd w:id="444"/>
    </w:p>
    <w:p w14:paraId="2D30A80A">
      <w:pPr>
        <w:jc w:val="center"/>
        <w:rPr>
          <w:b/>
          <w:bCs/>
          <w:color w:val="auto"/>
          <w:sz w:val="36"/>
          <w:szCs w:val="36"/>
          <w:highlight w:val="none"/>
        </w:rPr>
      </w:pPr>
      <w:bookmarkStart w:id="445" w:name="_Toc26717"/>
      <w:r>
        <w:rPr>
          <w:rFonts w:hint="eastAsia"/>
          <w:b/>
          <w:bCs/>
          <w:color w:val="auto"/>
          <w:sz w:val="36"/>
          <w:szCs w:val="36"/>
          <w:highlight w:val="none"/>
        </w:rPr>
        <w:t>目录</w:t>
      </w:r>
      <w:bookmarkEnd w:id="445"/>
    </w:p>
    <w:p w14:paraId="21FEF19F">
      <w:pPr>
        <w:spacing w:line="360" w:lineRule="auto"/>
        <w:jc w:val="center"/>
        <w:rPr>
          <w:rFonts w:ascii="宋体" w:hAnsi="宋体" w:cs="宋体"/>
          <w:b/>
          <w:color w:val="auto"/>
          <w:kern w:val="0"/>
          <w:sz w:val="36"/>
          <w:szCs w:val="36"/>
          <w:highlight w:val="none"/>
        </w:rPr>
      </w:pPr>
    </w:p>
    <w:p w14:paraId="653432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14:paraId="712001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4E1AA9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）本项目的特定资格要求………………………………………………（页码）</w:t>
      </w:r>
    </w:p>
    <w:p w14:paraId="15666482">
      <w:pPr>
        <w:snapToGrid w:val="0"/>
        <w:spacing w:line="360" w:lineRule="auto"/>
        <w:outlineLvl w:val="1"/>
        <w:rPr>
          <w:rFonts w:ascii="宋体" w:hAnsi="宋体"/>
          <w:color w:val="auto"/>
          <w:kern w:val="0"/>
          <w:sz w:val="24"/>
          <w:highlight w:val="none"/>
        </w:rPr>
      </w:pPr>
      <w:bookmarkStart w:id="446" w:name="_Toc1638"/>
      <w:r>
        <w:rPr>
          <w:rFonts w:hint="eastAsia" w:ascii="宋体" w:hAnsi="宋体"/>
          <w:color w:val="auto"/>
          <w:kern w:val="0"/>
          <w:sz w:val="24"/>
          <w:highlight w:val="none"/>
        </w:rPr>
        <w:t>（4）</w:t>
      </w:r>
      <w:r>
        <w:rPr>
          <w:rFonts w:hint="eastAsia" w:ascii="宋体" w:hAnsi="宋体" w:cs="宋体"/>
          <w:snapToGrid w:val="0"/>
          <w:color w:val="auto"/>
          <w:kern w:val="28"/>
          <w:sz w:val="24"/>
          <w:szCs w:val="20"/>
          <w:highlight w:val="none"/>
        </w:rPr>
        <w:t>联合协议（如果有）</w:t>
      </w:r>
      <w:r>
        <w:rPr>
          <w:rFonts w:hint="eastAsia" w:ascii="宋体" w:hAnsi="宋体" w:cs="宋体"/>
          <w:color w:val="auto"/>
          <w:sz w:val="24"/>
          <w:highlight w:val="none"/>
        </w:rPr>
        <w:t>………………………………………………（页码）</w:t>
      </w:r>
    </w:p>
    <w:p w14:paraId="32E2F1B5">
      <w:pPr>
        <w:snapToGrid w:val="0"/>
        <w:spacing w:line="360" w:lineRule="auto"/>
        <w:outlineLvl w:val="1"/>
        <w:rPr>
          <w:rFonts w:ascii="宋体" w:hAnsi="宋体" w:cs="宋体"/>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）业务专用章使用说明函</w:t>
      </w:r>
      <w:r>
        <w:rPr>
          <w:rFonts w:hint="eastAsia" w:ascii="宋体" w:hAnsi="宋体" w:cs="宋体"/>
          <w:color w:val="auto"/>
          <w:sz w:val="24"/>
          <w:highlight w:val="none"/>
        </w:rPr>
        <w:t>………………………………………………（页码）</w:t>
      </w:r>
      <w:bookmarkEnd w:id="446"/>
    </w:p>
    <w:p w14:paraId="65116BB3">
      <w:pPr>
        <w:snapToGrid w:val="0"/>
        <w:spacing w:line="360" w:lineRule="auto"/>
        <w:rPr>
          <w:rFonts w:ascii="宋体" w:hAnsi="宋体" w:cs="宋体"/>
          <w:color w:val="auto"/>
          <w:sz w:val="24"/>
          <w:highlight w:val="none"/>
        </w:rPr>
      </w:pPr>
    </w:p>
    <w:p w14:paraId="79DD0C6E">
      <w:pPr>
        <w:spacing w:line="360" w:lineRule="auto"/>
        <w:ind w:firstLine="480" w:firstLineChars="200"/>
        <w:rPr>
          <w:rFonts w:ascii="宋体" w:hAnsi="宋体" w:cs="宋体"/>
          <w:color w:val="auto"/>
          <w:sz w:val="24"/>
          <w:highlight w:val="none"/>
        </w:rPr>
      </w:pPr>
    </w:p>
    <w:p w14:paraId="1187B020">
      <w:pPr>
        <w:pStyle w:val="3"/>
        <w:rPr>
          <w:color w:val="auto"/>
          <w:highlight w:val="none"/>
          <w:lang w:val="en-US"/>
        </w:rPr>
      </w:pPr>
    </w:p>
    <w:p w14:paraId="0E9398C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1F5C69F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8A70FA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5F3DB2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6FD9D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（项目名称）（采购编号）</w:t>
      </w:r>
      <w:r>
        <w:rPr>
          <w:rFonts w:hint="eastAsia" w:ascii="宋体" w:hAnsi="宋体" w:cs="宋体"/>
          <w:color w:val="auto"/>
          <w:sz w:val="24"/>
          <w:highlight w:val="none"/>
        </w:rPr>
        <w:t>政府采购活动，郑重承诺：</w:t>
      </w:r>
    </w:p>
    <w:p w14:paraId="06912B4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6E963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34590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9FEE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2E649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DA066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5F20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075D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D8DA6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56E9B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1、单位负责人为同一人或者存在直接控股、管理关系的不同投标人参加同一合同项下的政府采购活动的；</w:t>
      </w:r>
    </w:p>
    <w:p w14:paraId="1C946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B43601B">
      <w:pPr>
        <w:snapToGrid w:val="0"/>
        <w:spacing w:line="360" w:lineRule="auto"/>
        <w:ind w:firstLine="5520" w:firstLineChars="2300"/>
        <w:rPr>
          <w:rFonts w:ascii="宋体" w:hAnsi="宋体" w:cs="宋体"/>
          <w:color w:val="auto"/>
          <w:kern w:val="0"/>
          <w:sz w:val="24"/>
          <w:highlight w:val="none"/>
          <w:lang w:val="zh-CN"/>
        </w:rPr>
      </w:pPr>
    </w:p>
    <w:p w14:paraId="6717984D">
      <w:pPr>
        <w:snapToGrid w:val="0"/>
        <w:spacing w:line="360" w:lineRule="auto"/>
        <w:ind w:firstLine="5520" w:firstLineChars="2300"/>
        <w:rPr>
          <w:rFonts w:ascii="宋体" w:hAnsi="宋体" w:cs="宋体"/>
          <w:color w:val="auto"/>
          <w:kern w:val="0"/>
          <w:sz w:val="24"/>
          <w:highlight w:val="none"/>
          <w:lang w:val="zh-CN"/>
        </w:rPr>
      </w:pPr>
    </w:p>
    <w:p w14:paraId="06897506">
      <w:pPr>
        <w:snapToGrid w:val="0"/>
        <w:spacing w:line="360" w:lineRule="auto"/>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4B6A122">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 xml:space="preserve">月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13E37A35">
      <w:pPr>
        <w:snapToGrid w:val="0"/>
        <w:spacing w:line="360" w:lineRule="auto"/>
        <w:ind w:right="480"/>
        <w:jc w:val="center"/>
        <w:rPr>
          <w:rFonts w:ascii="宋体" w:hAnsi="宋体" w:cs="宋体"/>
          <w:b/>
          <w:color w:val="auto"/>
          <w:kern w:val="0"/>
          <w:sz w:val="32"/>
          <w:szCs w:val="32"/>
          <w:highlight w:val="none"/>
        </w:rPr>
      </w:pPr>
    </w:p>
    <w:p w14:paraId="57B4775A">
      <w:pPr>
        <w:snapToGrid w:val="0"/>
        <w:spacing w:line="360" w:lineRule="auto"/>
        <w:ind w:right="480"/>
        <w:jc w:val="center"/>
        <w:rPr>
          <w:rFonts w:ascii="宋体" w:hAnsi="宋体" w:cs="宋体"/>
          <w:b/>
          <w:color w:val="auto"/>
          <w:kern w:val="0"/>
          <w:sz w:val="32"/>
          <w:szCs w:val="32"/>
          <w:highlight w:val="none"/>
        </w:rPr>
      </w:pPr>
    </w:p>
    <w:p w14:paraId="5C4B97AC">
      <w:pPr>
        <w:snapToGrid w:val="0"/>
        <w:spacing w:line="360" w:lineRule="auto"/>
        <w:ind w:right="480"/>
        <w:jc w:val="center"/>
        <w:rPr>
          <w:rFonts w:ascii="宋体" w:hAnsi="宋体" w:cs="宋体"/>
          <w:b/>
          <w:color w:val="auto"/>
          <w:kern w:val="0"/>
          <w:sz w:val="32"/>
          <w:szCs w:val="32"/>
          <w:highlight w:val="none"/>
        </w:rPr>
      </w:pPr>
    </w:p>
    <w:p w14:paraId="4A271530">
      <w:pPr>
        <w:rPr>
          <w:rFonts w:ascii="宋体" w:hAnsi="宋体" w:cs="宋体"/>
          <w:color w:val="auto"/>
          <w:highlight w:val="none"/>
        </w:rPr>
      </w:pPr>
    </w:p>
    <w:p w14:paraId="0535E9C3">
      <w:pPr>
        <w:snapToGrid w:val="0"/>
        <w:spacing w:line="360" w:lineRule="auto"/>
        <w:ind w:right="480"/>
        <w:jc w:val="center"/>
        <w:rPr>
          <w:rFonts w:ascii="宋体" w:hAnsi="宋体" w:cs="宋体"/>
          <w:b/>
          <w:color w:val="auto"/>
          <w:kern w:val="0"/>
          <w:sz w:val="32"/>
          <w:szCs w:val="32"/>
          <w:highlight w:val="none"/>
        </w:rPr>
      </w:pPr>
    </w:p>
    <w:p w14:paraId="43D3938E">
      <w:pPr>
        <w:pStyle w:val="63"/>
        <w:ind w:firstLine="420"/>
        <w:rPr>
          <w:color w:val="auto"/>
          <w:highlight w:val="none"/>
        </w:rPr>
      </w:pPr>
    </w:p>
    <w:p w14:paraId="4F080F97">
      <w:pPr>
        <w:snapToGrid w:val="0"/>
        <w:spacing w:line="360" w:lineRule="auto"/>
        <w:ind w:right="480"/>
        <w:jc w:val="center"/>
        <w:rPr>
          <w:rFonts w:ascii="宋体" w:hAnsi="宋体" w:cs="宋体"/>
          <w:b/>
          <w:color w:val="auto"/>
          <w:kern w:val="0"/>
          <w:sz w:val="32"/>
          <w:szCs w:val="32"/>
          <w:highlight w:val="none"/>
        </w:rPr>
      </w:pPr>
    </w:p>
    <w:p w14:paraId="0350B5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26F759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8223C64">
      <w:pPr>
        <w:rPr>
          <w:rFonts w:ascii="宋体" w:hAnsi="宋体" w:cs="宋体"/>
          <w:color w:val="auto"/>
          <w:highlight w:val="none"/>
        </w:rPr>
      </w:pPr>
    </w:p>
    <w:p w14:paraId="683DD743">
      <w:pPr>
        <w:pStyle w:val="82"/>
        <w:ind w:firstLine="480"/>
        <w:rPr>
          <w:color w:val="auto"/>
          <w:highlight w:val="none"/>
        </w:rPr>
      </w:pPr>
    </w:p>
    <w:p w14:paraId="62F5188C">
      <w:pPr>
        <w:pStyle w:val="82"/>
        <w:ind w:firstLine="480"/>
        <w:rPr>
          <w:color w:val="auto"/>
          <w:highlight w:val="none"/>
        </w:rPr>
      </w:pPr>
    </w:p>
    <w:p w14:paraId="3CFCA906">
      <w:pPr>
        <w:pStyle w:val="82"/>
        <w:ind w:firstLine="480"/>
        <w:rPr>
          <w:color w:val="auto"/>
          <w:highlight w:val="none"/>
        </w:rPr>
      </w:pPr>
    </w:p>
    <w:p w14:paraId="35EC708C">
      <w:pPr>
        <w:pStyle w:val="82"/>
        <w:ind w:firstLine="480"/>
        <w:rPr>
          <w:color w:val="auto"/>
          <w:highlight w:val="none"/>
        </w:rPr>
      </w:pPr>
    </w:p>
    <w:p w14:paraId="560193B7">
      <w:pPr>
        <w:pStyle w:val="82"/>
        <w:ind w:firstLine="480"/>
        <w:rPr>
          <w:color w:val="auto"/>
          <w:highlight w:val="none"/>
        </w:rPr>
      </w:pPr>
    </w:p>
    <w:p w14:paraId="4457994D">
      <w:pPr>
        <w:pStyle w:val="82"/>
        <w:ind w:firstLine="480"/>
        <w:rPr>
          <w:color w:val="auto"/>
          <w:highlight w:val="none"/>
        </w:rPr>
      </w:pPr>
    </w:p>
    <w:p w14:paraId="11814528">
      <w:pPr>
        <w:pStyle w:val="82"/>
        <w:ind w:firstLine="480"/>
        <w:rPr>
          <w:color w:val="auto"/>
          <w:highlight w:val="none"/>
        </w:rPr>
      </w:pPr>
    </w:p>
    <w:p w14:paraId="3866202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四、联合协议（如果有）</w:t>
      </w:r>
    </w:p>
    <w:p w14:paraId="210E52A1">
      <w:pPr>
        <w:pStyle w:val="82"/>
        <w:ind w:firstLine="482"/>
        <w:rPr>
          <w:color w:val="auto"/>
          <w:highlight w:val="none"/>
        </w:rPr>
      </w:pPr>
      <w:r>
        <w:rPr>
          <w:rFonts w:hint="eastAsia" w:ascii="宋体" w:hAnsi="宋体" w:eastAsia="宋体" w:cs="宋体"/>
          <w:b/>
          <w:color w:val="auto"/>
          <w:highlight w:val="none"/>
        </w:rPr>
        <w:t>[以联合体形式投标的，提供联合协议（附件3）；本项目不接受联合体投标或者投标人不以联合体形式投标的，则不需要提供]</w:t>
      </w:r>
    </w:p>
    <w:p w14:paraId="6DC51504">
      <w:pPr>
        <w:widowControl/>
        <w:spacing w:line="36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五、业务专用章使用说明函</w:t>
      </w:r>
    </w:p>
    <w:p w14:paraId="07243787">
      <w:pPr>
        <w:pStyle w:val="63"/>
        <w:ind w:left="840" w:leftChars="400" w:firstLine="0" w:firstLineChars="0"/>
        <w:rPr>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14:paraId="3F546899">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9038C6">
      <w:pPr>
        <w:pStyle w:val="63"/>
        <w:ind w:firstLine="420"/>
        <w:rPr>
          <w:color w:val="auto"/>
          <w:highlight w:val="none"/>
        </w:rPr>
      </w:pPr>
    </w:p>
    <w:p w14:paraId="0DFE143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FB84A49">
      <w:pPr>
        <w:spacing w:line="360" w:lineRule="auto"/>
        <w:jc w:val="center"/>
        <w:outlineLvl w:val="1"/>
        <w:rPr>
          <w:rFonts w:ascii="宋体" w:hAnsi="宋体" w:cs="宋体"/>
          <w:b/>
          <w:color w:val="auto"/>
          <w:kern w:val="0"/>
          <w:sz w:val="28"/>
          <w:szCs w:val="28"/>
          <w:highlight w:val="none"/>
        </w:rPr>
      </w:pPr>
      <w:bookmarkStart w:id="447" w:name="_Toc24305"/>
      <w:r>
        <w:rPr>
          <w:rFonts w:hint="eastAsia" w:ascii="宋体" w:hAnsi="宋体" w:cs="宋体"/>
          <w:b/>
          <w:color w:val="auto"/>
          <w:kern w:val="0"/>
          <w:sz w:val="28"/>
          <w:szCs w:val="28"/>
          <w:highlight w:val="none"/>
        </w:rPr>
        <w:t>目录</w:t>
      </w:r>
      <w:bookmarkEnd w:id="447"/>
    </w:p>
    <w:p w14:paraId="31C957A2">
      <w:pPr>
        <w:snapToGrid w:val="0"/>
        <w:spacing w:line="360" w:lineRule="auto"/>
        <w:ind w:firstLine="960" w:firstLineChars="400"/>
        <w:outlineLvl w:val="1"/>
        <w:rPr>
          <w:rFonts w:ascii="宋体" w:hAnsi="宋体" w:cs="宋体"/>
          <w:color w:val="auto"/>
          <w:sz w:val="24"/>
          <w:highlight w:val="none"/>
        </w:rPr>
      </w:pPr>
      <w:bookmarkStart w:id="448" w:name="_Toc8519"/>
      <w:r>
        <w:rPr>
          <w:rFonts w:hint="eastAsia" w:ascii="宋体" w:hAnsi="宋体" w:cs="宋体"/>
          <w:color w:val="auto"/>
          <w:sz w:val="24"/>
          <w:highlight w:val="none"/>
        </w:rPr>
        <w:t>（1）投标函………………………………………………………………（页码）</w:t>
      </w:r>
      <w:bookmarkEnd w:id="448"/>
    </w:p>
    <w:p w14:paraId="48B00540">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（2）授权委托书或法定代表人（单位负责人、自然人本人）身份证明…（页码）（3）分包意向协议</w:t>
      </w:r>
      <w:r>
        <w:rPr>
          <w:rFonts w:hint="eastAsia" w:ascii="宋体" w:hAnsi="宋体" w:cs="宋体"/>
          <w:snapToGrid w:val="0"/>
          <w:color w:val="auto"/>
          <w:kern w:val="28"/>
          <w:sz w:val="24"/>
          <w:highlight w:val="none"/>
        </w:rPr>
        <w:t xml:space="preserve">（如果有) </w:t>
      </w:r>
      <w:r>
        <w:rPr>
          <w:rFonts w:hint="eastAsia" w:ascii="宋体" w:hAnsi="宋体" w:cs="宋体"/>
          <w:color w:val="auto"/>
          <w:sz w:val="24"/>
          <w:highlight w:val="none"/>
        </w:rPr>
        <w:t>…………………………………………（页码）</w:t>
      </w:r>
    </w:p>
    <w:p w14:paraId="2D3A74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（4）符合性审查资料 ………………………………………………………（页码）</w:t>
      </w:r>
    </w:p>
    <w:p w14:paraId="4E08AEF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政府采购投标人廉洁自律承诺书</w:t>
      </w:r>
      <w:r>
        <w:rPr>
          <w:rFonts w:hint="eastAsia" w:ascii="宋体" w:hAnsi="宋体" w:cs="宋体"/>
          <w:color w:val="auto"/>
          <w:sz w:val="24"/>
          <w:highlight w:val="none"/>
        </w:rPr>
        <w:t xml:space="preserve"> …………………………………（页码）</w:t>
      </w:r>
    </w:p>
    <w:p w14:paraId="16941A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（6）采购要求偏离表 ………………………………………………………（页码）</w:t>
      </w:r>
    </w:p>
    <w:p w14:paraId="573F84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（7）商务技术偏离表 ………………………………………………………（页码）</w:t>
      </w:r>
    </w:p>
    <w:p w14:paraId="56566A62">
      <w:pPr>
        <w:pStyle w:val="3"/>
        <w:ind w:firstLine="960" w:firstLineChars="400"/>
        <w:rPr>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rPr>
        <w:t>8）</w:t>
      </w:r>
      <w:r>
        <w:rPr>
          <w:rFonts w:hint="eastAsia" w:hAnsi="宋体" w:cs="宋体"/>
          <w:color w:val="auto"/>
          <w:szCs w:val="24"/>
          <w:highlight w:val="none"/>
        </w:rPr>
        <w:t>评</w:t>
      </w:r>
      <w:r>
        <w:rPr>
          <w:rFonts w:hint="eastAsia" w:hAnsi="宋体" w:cs="宋体"/>
          <w:color w:val="auto"/>
          <w:szCs w:val="24"/>
          <w:highlight w:val="none"/>
          <w:lang w:val="en-US"/>
        </w:rPr>
        <w:t>标标准相应的商务技术资料</w:t>
      </w:r>
      <w:r>
        <w:rPr>
          <w:rFonts w:hint="eastAsia" w:hAnsi="宋体" w:cs="宋体"/>
          <w:color w:val="auto"/>
          <w:szCs w:val="24"/>
          <w:highlight w:val="none"/>
        </w:rPr>
        <w:t>………………………………………（页码）</w:t>
      </w:r>
    </w:p>
    <w:p w14:paraId="5AECD6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w:t>
      </w:r>
      <w:r>
        <w:rPr>
          <w:rFonts w:hint="eastAsia" w:ascii="宋体" w:hAnsi="宋体" w:cs="宋体"/>
          <w:color w:val="auto"/>
          <w:sz w:val="24"/>
          <w:highlight w:val="none"/>
        </w:rPr>
        <w:t>）项目建设方案（格式自拟）；</w:t>
      </w:r>
    </w:p>
    <w:p w14:paraId="7E7191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-2</w:t>
      </w:r>
      <w:r>
        <w:rPr>
          <w:rFonts w:hint="eastAsia" w:ascii="宋体" w:hAnsi="宋体" w:cs="宋体"/>
          <w:color w:val="auto"/>
          <w:sz w:val="24"/>
          <w:highlight w:val="none"/>
        </w:rPr>
        <w:t>）重点及难点分析（格式自拟）；</w:t>
      </w:r>
    </w:p>
    <w:p w14:paraId="0C34E8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-3</w:t>
      </w:r>
      <w:r>
        <w:rPr>
          <w:rFonts w:hint="eastAsia" w:ascii="宋体" w:hAnsi="宋体" w:cs="宋体"/>
          <w:color w:val="auto"/>
          <w:sz w:val="24"/>
          <w:highlight w:val="none"/>
        </w:rPr>
        <w:t>）重点及难点的解决方案（格式自拟）；</w:t>
      </w:r>
    </w:p>
    <w:p w14:paraId="3BD441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-4</w:t>
      </w:r>
      <w:r>
        <w:rPr>
          <w:rFonts w:hint="eastAsia" w:ascii="宋体" w:hAnsi="宋体" w:cs="宋体"/>
          <w:color w:val="auto"/>
          <w:sz w:val="24"/>
          <w:highlight w:val="none"/>
        </w:rPr>
        <w:t>）项目实施方案（格式自拟）；</w:t>
      </w:r>
    </w:p>
    <w:p w14:paraId="4DF767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-5</w:t>
      </w:r>
      <w:r>
        <w:rPr>
          <w:rFonts w:hint="eastAsia" w:ascii="宋体" w:hAnsi="宋体" w:cs="宋体"/>
          <w:color w:val="auto"/>
          <w:sz w:val="24"/>
          <w:highlight w:val="none"/>
        </w:rPr>
        <w:t>）项目进度安排（格式自拟）；</w:t>
      </w:r>
    </w:p>
    <w:p w14:paraId="4F94EB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-6</w:t>
      </w:r>
      <w:r>
        <w:rPr>
          <w:rFonts w:hint="eastAsia" w:ascii="宋体" w:hAnsi="宋体" w:cs="宋体"/>
          <w:color w:val="auto"/>
          <w:sz w:val="24"/>
          <w:highlight w:val="none"/>
        </w:rPr>
        <w:t>）对接融合方案（格式自拟）；</w:t>
      </w:r>
    </w:p>
    <w:p w14:paraId="3E54E9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-7</w:t>
      </w:r>
      <w:r>
        <w:rPr>
          <w:rFonts w:hint="eastAsia" w:ascii="宋体" w:hAnsi="宋体" w:cs="宋体"/>
          <w:color w:val="auto"/>
          <w:sz w:val="24"/>
          <w:highlight w:val="none"/>
        </w:rPr>
        <w:t>）拟投入本项目的人员安排（格式自拟）；</w:t>
      </w:r>
    </w:p>
    <w:p w14:paraId="60F63F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-8</w:t>
      </w:r>
      <w:r>
        <w:rPr>
          <w:rFonts w:hint="eastAsia" w:ascii="宋体" w:hAnsi="宋体" w:cs="宋体"/>
          <w:color w:val="auto"/>
          <w:sz w:val="24"/>
          <w:highlight w:val="none"/>
        </w:rPr>
        <w:t>）质量保证措施（格式自拟）；</w:t>
      </w:r>
    </w:p>
    <w:p w14:paraId="69130B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-9</w:t>
      </w:r>
      <w:r>
        <w:rPr>
          <w:rFonts w:hint="eastAsia" w:ascii="宋体" w:hAnsi="宋体" w:cs="宋体"/>
          <w:color w:val="auto"/>
          <w:sz w:val="24"/>
          <w:highlight w:val="none"/>
        </w:rPr>
        <w:t>）培训方案（格式自拟）；</w:t>
      </w:r>
    </w:p>
    <w:p w14:paraId="6564A6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-10</w:t>
      </w:r>
      <w:r>
        <w:rPr>
          <w:rFonts w:hint="eastAsia" w:ascii="宋体" w:hAnsi="宋体" w:cs="宋体"/>
          <w:color w:val="auto"/>
          <w:sz w:val="24"/>
          <w:highlight w:val="none"/>
        </w:rPr>
        <w:t>）售后服务方案（格式自拟）；</w:t>
      </w:r>
    </w:p>
    <w:p w14:paraId="510029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-11</w:t>
      </w:r>
      <w:r>
        <w:rPr>
          <w:rFonts w:hint="eastAsia" w:ascii="宋体" w:hAnsi="宋体" w:cs="宋体"/>
          <w:color w:val="auto"/>
          <w:sz w:val="24"/>
          <w:highlight w:val="none"/>
        </w:rPr>
        <w:t>）有效的证书</w:t>
      </w:r>
      <w:r>
        <w:rPr>
          <w:rFonts w:hint="eastAsia" w:ascii="宋体" w:hAnsi="宋体" w:cs="宋体"/>
          <w:color w:val="auto"/>
          <w:sz w:val="24"/>
          <w:highlight w:val="none"/>
          <w:lang w:eastAsia="zh-CN"/>
        </w:rPr>
        <w:t>扫描件</w:t>
      </w:r>
      <w:r>
        <w:rPr>
          <w:rFonts w:hint="eastAsia" w:ascii="宋体" w:hAnsi="宋体" w:cs="宋体"/>
          <w:color w:val="auto"/>
          <w:sz w:val="24"/>
          <w:highlight w:val="none"/>
        </w:rPr>
        <w:t>加盖公章（如有请提供）；</w:t>
      </w:r>
    </w:p>
    <w:p w14:paraId="65C74ABF">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8-12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有效的软件著作权证书扫描件加盖公章（如有请提供）；</w:t>
      </w:r>
    </w:p>
    <w:p w14:paraId="364B7434">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（8</w:t>
      </w:r>
      <w:r>
        <w:rPr>
          <w:rFonts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）评标标准相应的其他商务技术资料</w:t>
      </w:r>
      <w:r>
        <w:rPr>
          <w:rFonts w:hint="eastAsia" w:ascii="宋体" w:hAnsi="宋体" w:cs="宋体"/>
          <w:color w:val="auto"/>
          <w:highlight w:val="none"/>
        </w:rPr>
        <w:t>。</w:t>
      </w:r>
    </w:p>
    <w:p w14:paraId="07CB6E70">
      <w:pPr>
        <w:pStyle w:val="63"/>
        <w:ind w:firstLine="420"/>
        <w:rPr>
          <w:color w:val="auto"/>
          <w:highlight w:val="none"/>
        </w:rPr>
      </w:pPr>
    </w:p>
    <w:p w14:paraId="54DAA763">
      <w:pPr>
        <w:rPr>
          <w:color w:val="auto"/>
          <w:highlight w:val="none"/>
        </w:rPr>
      </w:pPr>
    </w:p>
    <w:p w14:paraId="08BDBA0F">
      <w:pPr>
        <w:pStyle w:val="63"/>
        <w:ind w:firstLine="420"/>
        <w:rPr>
          <w:color w:val="auto"/>
          <w:highlight w:val="none"/>
        </w:rPr>
      </w:pPr>
    </w:p>
    <w:p w14:paraId="7F07385E">
      <w:pPr>
        <w:rPr>
          <w:color w:val="auto"/>
          <w:highlight w:val="none"/>
        </w:rPr>
      </w:pPr>
    </w:p>
    <w:p w14:paraId="3D2E4A8B">
      <w:pPr>
        <w:pStyle w:val="63"/>
        <w:ind w:firstLine="420"/>
        <w:rPr>
          <w:color w:val="auto"/>
          <w:highlight w:val="none"/>
        </w:rPr>
      </w:pPr>
    </w:p>
    <w:p w14:paraId="3D618D9F">
      <w:pPr>
        <w:rPr>
          <w:color w:val="auto"/>
          <w:highlight w:val="none"/>
        </w:rPr>
      </w:pPr>
    </w:p>
    <w:p w14:paraId="59AD60AF">
      <w:pPr>
        <w:pStyle w:val="63"/>
        <w:ind w:firstLine="420"/>
        <w:rPr>
          <w:color w:val="auto"/>
          <w:highlight w:val="none"/>
        </w:rPr>
      </w:pPr>
    </w:p>
    <w:p w14:paraId="725F247B">
      <w:pPr>
        <w:rPr>
          <w:color w:val="auto"/>
          <w:highlight w:val="none"/>
        </w:rPr>
      </w:pPr>
    </w:p>
    <w:p w14:paraId="7DFA98B3">
      <w:pPr>
        <w:rPr>
          <w:color w:val="auto"/>
          <w:highlight w:val="none"/>
        </w:rPr>
      </w:pPr>
    </w:p>
    <w:p w14:paraId="4B4F70CB">
      <w:pPr>
        <w:numPr>
          <w:ilvl w:val="0"/>
          <w:numId w:val="13"/>
        </w:numPr>
        <w:jc w:val="center"/>
        <w:rPr>
          <w:b/>
          <w:bCs/>
          <w:color w:val="auto"/>
          <w:sz w:val="32"/>
          <w:szCs w:val="32"/>
          <w:highlight w:val="none"/>
        </w:rPr>
      </w:pPr>
      <w:bookmarkStart w:id="449" w:name="_Toc2704"/>
      <w:r>
        <w:rPr>
          <w:rFonts w:hint="eastAsia"/>
          <w:b/>
          <w:bCs/>
          <w:color w:val="auto"/>
          <w:sz w:val="32"/>
          <w:szCs w:val="32"/>
          <w:highlight w:val="none"/>
        </w:rPr>
        <w:t>投标函</w:t>
      </w:r>
      <w:bookmarkEnd w:id="449"/>
    </w:p>
    <w:p w14:paraId="14977F9E">
      <w:pPr>
        <w:pStyle w:val="63"/>
        <w:ind w:left="840" w:leftChars="400" w:firstLine="0" w:firstLineChars="0"/>
        <w:rPr>
          <w:color w:val="auto"/>
          <w:highlight w:val="none"/>
        </w:rPr>
      </w:pPr>
    </w:p>
    <w:p w14:paraId="33ADBDA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249C3E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 xml:space="preserve">（项目名称）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招标的有关活动，并对此项目进行投标。为此：</w:t>
      </w:r>
    </w:p>
    <w:p w14:paraId="4F2204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F598D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D8BE6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32FFE5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74BB2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F89C4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C300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3994D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E1483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2E629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92D05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25619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380B933">
      <w:pPr>
        <w:spacing w:line="360" w:lineRule="auto"/>
        <w:ind w:firstLine="3600" w:firstLineChars="1500"/>
        <w:rPr>
          <w:rFonts w:hint="eastAsia" w:ascii="宋体" w:hAnsi="宋体" w:cs="宋体"/>
          <w:color w:val="auto"/>
          <w:sz w:val="24"/>
          <w:highlight w:val="none"/>
        </w:rPr>
      </w:pPr>
    </w:p>
    <w:p w14:paraId="3FD681B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3334FE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B2D0FBB">
      <w:pPr>
        <w:snapToGrid w:val="0"/>
        <w:spacing w:line="360" w:lineRule="auto"/>
        <w:ind w:left="420" w:leftChars="200" w:firstLine="4200" w:firstLineChars="1750"/>
        <w:rPr>
          <w:rFonts w:ascii="宋体" w:hAnsi="宋体" w:cs="宋体"/>
          <w:color w:val="auto"/>
          <w:kern w:val="0"/>
          <w:sz w:val="24"/>
          <w:highlight w:val="none"/>
          <w:u w:val="single"/>
        </w:rPr>
      </w:pPr>
    </w:p>
    <w:p w14:paraId="45519C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C6BCFF">
      <w:pPr>
        <w:snapToGrid w:val="0"/>
        <w:spacing w:line="360" w:lineRule="auto"/>
        <w:jc w:val="center"/>
        <w:rPr>
          <w:rFonts w:ascii="宋体" w:hAnsi="宋体" w:cs="宋体"/>
          <w:b/>
          <w:color w:val="auto"/>
          <w:kern w:val="0"/>
          <w:sz w:val="32"/>
          <w:szCs w:val="32"/>
          <w:highlight w:val="none"/>
        </w:rPr>
      </w:pPr>
    </w:p>
    <w:p w14:paraId="3A9A9725">
      <w:pPr>
        <w:snapToGrid w:val="0"/>
        <w:spacing w:line="360" w:lineRule="auto"/>
        <w:rPr>
          <w:rFonts w:ascii="宋体" w:hAnsi="宋体" w:cs="宋体"/>
          <w:color w:val="auto"/>
          <w:sz w:val="24"/>
          <w:highlight w:val="none"/>
        </w:rPr>
      </w:pPr>
    </w:p>
    <w:p w14:paraId="07BAAD61">
      <w:pPr>
        <w:jc w:val="center"/>
        <w:rPr>
          <w:rFonts w:ascii="宋体" w:hAnsi="宋体" w:cs="宋体"/>
          <w:b/>
          <w:color w:val="auto"/>
          <w:kern w:val="0"/>
          <w:sz w:val="32"/>
          <w:szCs w:val="32"/>
          <w:highlight w:val="none"/>
        </w:rPr>
      </w:pPr>
    </w:p>
    <w:p w14:paraId="6857214F">
      <w:pPr>
        <w:jc w:val="center"/>
        <w:rPr>
          <w:rFonts w:ascii="宋体" w:hAnsi="宋体" w:cs="宋体"/>
          <w:b/>
          <w:color w:val="auto"/>
          <w:kern w:val="0"/>
          <w:sz w:val="32"/>
          <w:szCs w:val="32"/>
          <w:highlight w:val="none"/>
        </w:rPr>
      </w:pPr>
    </w:p>
    <w:p w14:paraId="3FED0BB5">
      <w:pPr>
        <w:jc w:val="center"/>
        <w:rPr>
          <w:rFonts w:ascii="宋体" w:hAnsi="宋体" w:cs="宋体"/>
          <w:b/>
          <w:color w:val="auto"/>
          <w:kern w:val="0"/>
          <w:sz w:val="32"/>
          <w:szCs w:val="32"/>
          <w:highlight w:val="none"/>
        </w:rPr>
      </w:pPr>
    </w:p>
    <w:p w14:paraId="5E4795BF">
      <w:pPr>
        <w:jc w:val="center"/>
        <w:rPr>
          <w:rFonts w:ascii="宋体" w:hAnsi="宋体" w:cs="宋体"/>
          <w:b/>
          <w:color w:val="auto"/>
          <w:kern w:val="0"/>
          <w:sz w:val="32"/>
          <w:szCs w:val="32"/>
          <w:highlight w:val="none"/>
        </w:rPr>
      </w:pPr>
    </w:p>
    <w:p w14:paraId="46A1086B">
      <w:pPr>
        <w:jc w:val="center"/>
        <w:rPr>
          <w:rFonts w:ascii="宋体" w:hAnsi="宋体" w:cs="宋体"/>
          <w:b/>
          <w:color w:val="auto"/>
          <w:kern w:val="0"/>
          <w:sz w:val="32"/>
          <w:szCs w:val="32"/>
          <w:highlight w:val="none"/>
        </w:rPr>
      </w:pPr>
    </w:p>
    <w:p w14:paraId="5B3EAC22">
      <w:pPr>
        <w:widowControl/>
        <w:adjustRightInd/>
        <w:jc w:val="left"/>
        <w:rPr>
          <w:rFonts w:ascii="宋体" w:hAnsi="宋体" w:cs="宋体"/>
          <w:b/>
          <w:color w:val="auto"/>
          <w:kern w:val="0"/>
          <w:sz w:val="32"/>
          <w:szCs w:val="32"/>
          <w:highlight w:val="none"/>
        </w:rPr>
      </w:pPr>
    </w:p>
    <w:p w14:paraId="73AB669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6365768">
      <w:pPr>
        <w:snapToGrid w:val="0"/>
        <w:spacing w:line="360" w:lineRule="auto"/>
        <w:rPr>
          <w:rFonts w:ascii="宋体" w:hAnsi="宋体" w:cs="宋体"/>
          <w:color w:val="auto"/>
          <w:sz w:val="24"/>
          <w:highlight w:val="none"/>
        </w:rPr>
      </w:pPr>
    </w:p>
    <w:p w14:paraId="1A2F211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EBFDF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13B4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为我方代理人（身份证号码：</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，手机：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（项目名称）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政府采购投标的一切事项，其法律后果由我方承担。</w:t>
      </w:r>
    </w:p>
    <w:p w14:paraId="65BB9A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日止。</w:t>
      </w:r>
    </w:p>
    <w:p w14:paraId="596B21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3545AD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2B50060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8418002">
      <w:pPr>
        <w:snapToGrid w:val="0"/>
        <w:spacing w:line="360" w:lineRule="auto"/>
        <w:rPr>
          <w:rFonts w:ascii="宋体" w:hAnsi="宋体" w:cs="宋体"/>
          <w:color w:val="auto"/>
          <w:sz w:val="24"/>
          <w:highlight w:val="none"/>
        </w:rPr>
      </w:pPr>
    </w:p>
    <w:p w14:paraId="69BD1D44">
      <w:pPr>
        <w:snapToGrid w:val="0"/>
        <w:spacing w:line="360" w:lineRule="auto"/>
        <w:rPr>
          <w:rFonts w:ascii="宋体" w:hAnsi="宋体" w:cs="宋体"/>
          <w:color w:val="auto"/>
          <w:sz w:val="24"/>
          <w:highlight w:val="none"/>
        </w:rPr>
      </w:pPr>
    </w:p>
    <w:p w14:paraId="356A5E86">
      <w:pPr>
        <w:snapToGrid w:val="0"/>
        <w:spacing w:line="360" w:lineRule="auto"/>
        <w:rPr>
          <w:rFonts w:ascii="宋体" w:hAnsi="宋体" w:cs="宋体"/>
          <w:color w:val="auto"/>
          <w:sz w:val="24"/>
          <w:highlight w:val="none"/>
        </w:rPr>
      </w:pPr>
    </w:p>
    <w:p w14:paraId="349E838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6EB1782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D918E7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为我方代理人（身份证号码：</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，手机：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（项目名称） </w:t>
      </w:r>
      <w:r>
        <w:rPr>
          <w:rFonts w:ascii="宋体" w:hAnsi="宋体" w:cs="宋体"/>
          <w:color w:val="auto"/>
          <w:sz w:val="24"/>
          <w:highlight w:val="none"/>
          <w:u w:val="single"/>
        </w:rPr>
        <w:t xml:space="preserve">     </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政府采购投标的一切事项，其法律后果由我方承担。</w:t>
      </w:r>
    </w:p>
    <w:p w14:paraId="0ED3B3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kern w:val="0"/>
          <w:sz w:val="24"/>
          <w:highlight w:val="none"/>
          <w:lang w:val="zh-CN"/>
        </w:rPr>
        <w:t>日止。</w:t>
      </w:r>
    </w:p>
    <w:p w14:paraId="50B626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50E3639">
      <w:pPr>
        <w:jc w:val="center"/>
        <w:rPr>
          <w:rFonts w:ascii="宋体" w:hAnsi="宋体" w:cs="宋体"/>
          <w:b/>
          <w:color w:val="auto"/>
          <w:kern w:val="0"/>
          <w:sz w:val="32"/>
          <w:szCs w:val="32"/>
          <w:highlight w:val="none"/>
        </w:rPr>
      </w:pPr>
    </w:p>
    <w:p w14:paraId="42FE7C15">
      <w:pPr>
        <w:jc w:val="center"/>
        <w:rPr>
          <w:rFonts w:ascii="宋体" w:hAnsi="宋体" w:cs="宋体"/>
          <w:b/>
          <w:color w:val="auto"/>
          <w:kern w:val="0"/>
          <w:sz w:val="32"/>
          <w:szCs w:val="32"/>
          <w:highlight w:val="none"/>
        </w:rPr>
      </w:pPr>
    </w:p>
    <w:p w14:paraId="5A693D3F">
      <w:pPr>
        <w:jc w:val="center"/>
        <w:rPr>
          <w:rFonts w:ascii="宋体" w:hAnsi="宋体" w:cs="宋体"/>
          <w:b/>
          <w:color w:val="auto"/>
          <w:kern w:val="0"/>
          <w:sz w:val="32"/>
          <w:szCs w:val="32"/>
          <w:highlight w:val="none"/>
        </w:rPr>
      </w:pPr>
    </w:p>
    <w:p w14:paraId="4D0FEAF1">
      <w:pPr>
        <w:rPr>
          <w:rFonts w:ascii="宋体" w:hAnsi="宋体" w:cs="宋体"/>
          <w:color w:val="auto"/>
          <w:highlight w:val="none"/>
        </w:rPr>
      </w:pPr>
    </w:p>
    <w:p w14:paraId="4C9E1E8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A190CA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08080D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270E9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334F0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39E3C11">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9C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DC91DB">
            <w:pPr>
              <w:pStyle w:val="150"/>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6125C6AD">
            <w:pPr>
              <w:pStyle w:val="150"/>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6E2DA000">
      <w:pPr>
        <w:snapToGrid w:val="0"/>
        <w:spacing w:line="360" w:lineRule="auto"/>
        <w:ind w:firstLine="576"/>
        <w:jc w:val="center"/>
        <w:rPr>
          <w:rFonts w:ascii="宋体" w:hAnsi="宋体" w:cs="宋体"/>
          <w:color w:val="auto"/>
          <w:kern w:val="0"/>
          <w:sz w:val="24"/>
          <w:highlight w:val="none"/>
          <w:lang w:val="zh-CN"/>
        </w:rPr>
      </w:pPr>
    </w:p>
    <w:p w14:paraId="303DF1A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1C2A5A1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D36B36">
      <w:pPr>
        <w:jc w:val="center"/>
        <w:rPr>
          <w:rFonts w:ascii="宋体" w:hAnsi="宋体" w:cs="宋体"/>
          <w:b/>
          <w:color w:val="auto"/>
          <w:kern w:val="0"/>
          <w:sz w:val="32"/>
          <w:szCs w:val="32"/>
          <w:highlight w:val="none"/>
        </w:rPr>
      </w:pPr>
    </w:p>
    <w:p w14:paraId="7999372E">
      <w:pPr>
        <w:jc w:val="center"/>
        <w:rPr>
          <w:rFonts w:ascii="宋体" w:hAnsi="宋体" w:cs="宋体"/>
          <w:b/>
          <w:color w:val="auto"/>
          <w:kern w:val="0"/>
          <w:sz w:val="32"/>
          <w:szCs w:val="32"/>
          <w:highlight w:val="none"/>
        </w:rPr>
      </w:pPr>
    </w:p>
    <w:p w14:paraId="663D41AB">
      <w:pPr>
        <w:jc w:val="center"/>
        <w:rPr>
          <w:rFonts w:ascii="宋体" w:hAnsi="宋体" w:cs="宋体"/>
          <w:b/>
          <w:color w:val="auto"/>
          <w:kern w:val="0"/>
          <w:sz w:val="32"/>
          <w:szCs w:val="32"/>
          <w:highlight w:val="none"/>
        </w:rPr>
      </w:pPr>
    </w:p>
    <w:p w14:paraId="6E8FD15F">
      <w:pPr>
        <w:jc w:val="center"/>
        <w:rPr>
          <w:rFonts w:ascii="宋体" w:hAnsi="宋体" w:cs="宋体"/>
          <w:b/>
          <w:color w:val="auto"/>
          <w:kern w:val="0"/>
          <w:sz w:val="32"/>
          <w:szCs w:val="32"/>
          <w:highlight w:val="none"/>
        </w:rPr>
      </w:pPr>
    </w:p>
    <w:p w14:paraId="0F85F5C2">
      <w:pPr>
        <w:jc w:val="center"/>
        <w:rPr>
          <w:rFonts w:ascii="宋体" w:hAnsi="宋体" w:cs="宋体"/>
          <w:b/>
          <w:color w:val="auto"/>
          <w:kern w:val="0"/>
          <w:sz w:val="32"/>
          <w:szCs w:val="32"/>
          <w:highlight w:val="none"/>
        </w:rPr>
      </w:pPr>
    </w:p>
    <w:p w14:paraId="42DAF0B4">
      <w:pPr>
        <w:jc w:val="center"/>
        <w:rPr>
          <w:rFonts w:ascii="宋体" w:hAnsi="宋体" w:cs="宋体"/>
          <w:b/>
          <w:color w:val="auto"/>
          <w:kern w:val="0"/>
          <w:sz w:val="32"/>
          <w:szCs w:val="32"/>
          <w:highlight w:val="none"/>
        </w:rPr>
      </w:pPr>
    </w:p>
    <w:p w14:paraId="517F1B2C">
      <w:pPr>
        <w:jc w:val="center"/>
        <w:rPr>
          <w:rFonts w:ascii="宋体" w:hAnsi="宋体" w:cs="宋体"/>
          <w:b/>
          <w:color w:val="auto"/>
          <w:kern w:val="0"/>
          <w:sz w:val="32"/>
          <w:szCs w:val="32"/>
          <w:highlight w:val="none"/>
        </w:rPr>
      </w:pPr>
    </w:p>
    <w:p w14:paraId="7F1A7ABC">
      <w:pPr>
        <w:jc w:val="center"/>
        <w:rPr>
          <w:rFonts w:ascii="宋体" w:hAnsi="宋体" w:cs="宋体"/>
          <w:b/>
          <w:color w:val="auto"/>
          <w:kern w:val="0"/>
          <w:sz w:val="32"/>
          <w:szCs w:val="32"/>
          <w:highlight w:val="none"/>
        </w:rPr>
      </w:pPr>
    </w:p>
    <w:p w14:paraId="38619F8E">
      <w:pPr>
        <w:jc w:val="center"/>
        <w:rPr>
          <w:rFonts w:ascii="宋体" w:hAnsi="宋体" w:cs="宋体"/>
          <w:b/>
          <w:color w:val="auto"/>
          <w:kern w:val="0"/>
          <w:sz w:val="32"/>
          <w:szCs w:val="32"/>
          <w:highlight w:val="none"/>
        </w:rPr>
      </w:pPr>
    </w:p>
    <w:p w14:paraId="2E191D13">
      <w:pPr>
        <w:jc w:val="center"/>
        <w:rPr>
          <w:rFonts w:ascii="宋体" w:hAnsi="宋体" w:cs="宋体"/>
          <w:b/>
          <w:color w:val="auto"/>
          <w:kern w:val="0"/>
          <w:sz w:val="32"/>
          <w:szCs w:val="32"/>
          <w:highlight w:val="none"/>
        </w:rPr>
      </w:pPr>
    </w:p>
    <w:p w14:paraId="5450935D">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7D3B2B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84FF35">
      <w:pPr>
        <w:widowControl/>
        <w:spacing w:line="360" w:lineRule="auto"/>
        <w:ind w:firstLine="120" w:firstLineChars="50"/>
        <w:jc w:val="left"/>
        <w:rPr>
          <w:rFonts w:ascii="宋体" w:hAnsi="宋体" w:cs="宋体"/>
          <w:color w:val="auto"/>
          <w:sz w:val="24"/>
          <w:highlight w:val="none"/>
        </w:rPr>
      </w:pPr>
      <w:bookmarkStart w:id="45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50"/>
    <w:p w14:paraId="257B4035">
      <w:pPr>
        <w:snapToGrid w:val="0"/>
        <w:spacing w:line="360" w:lineRule="auto"/>
        <w:rPr>
          <w:rFonts w:ascii="宋体" w:hAnsi="宋体" w:cs="宋体"/>
          <w:color w:val="auto"/>
          <w:kern w:val="0"/>
          <w:sz w:val="24"/>
          <w:highlight w:val="none"/>
        </w:rPr>
      </w:pPr>
    </w:p>
    <w:p w14:paraId="3E05980D">
      <w:pPr>
        <w:jc w:val="center"/>
        <w:rPr>
          <w:rFonts w:ascii="宋体" w:hAnsi="宋体" w:cs="宋体"/>
          <w:b/>
          <w:color w:val="auto"/>
          <w:kern w:val="0"/>
          <w:sz w:val="32"/>
          <w:szCs w:val="32"/>
          <w:highlight w:val="none"/>
        </w:rPr>
      </w:pPr>
    </w:p>
    <w:p w14:paraId="44240261">
      <w:pPr>
        <w:pStyle w:val="7"/>
        <w:rPr>
          <w:color w:val="auto"/>
          <w:highlight w:val="none"/>
          <w:lang w:val="en-US"/>
        </w:rPr>
      </w:pPr>
    </w:p>
    <w:p w14:paraId="7D7207CE">
      <w:pPr>
        <w:rPr>
          <w:color w:val="auto"/>
          <w:highlight w:val="none"/>
        </w:rPr>
      </w:pPr>
    </w:p>
    <w:p w14:paraId="44C2E900">
      <w:pPr>
        <w:pStyle w:val="7"/>
        <w:ind w:left="0" w:firstLine="0"/>
        <w:rPr>
          <w:color w:val="auto"/>
          <w:highlight w:val="none"/>
          <w:lang w:val="en-US"/>
        </w:rPr>
      </w:pPr>
    </w:p>
    <w:p w14:paraId="5FEE50DA">
      <w:pPr>
        <w:jc w:val="center"/>
        <w:rPr>
          <w:rFonts w:ascii="宋体" w:hAnsi="宋体" w:cs="宋体"/>
          <w:b/>
          <w:color w:val="auto"/>
          <w:kern w:val="0"/>
          <w:sz w:val="32"/>
          <w:szCs w:val="32"/>
          <w:highlight w:val="none"/>
        </w:rPr>
      </w:pPr>
    </w:p>
    <w:p w14:paraId="50A3FDB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0D7EFA">
      <w:pPr>
        <w:jc w:val="center"/>
        <w:rPr>
          <w:rFonts w:ascii="宋体" w:hAnsi="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8F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EE0CAEF">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168511C">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40EDB5A">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821E6C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71552782">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13A0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4DDF812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C9480A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EBC1DD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DDB77AD">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hAnsi="宋体"/>
                <w:color w:val="auto"/>
                <w:sz w:val="24"/>
                <w:highlight w:val="none"/>
              </w:rPr>
              <w:t>见投标文件需要签字盖章的各页。</w:t>
            </w:r>
          </w:p>
        </w:tc>
      </w:tr>
      <w:tr w14:paraId="433B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6A070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435D4F9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7C6B3E7">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E7356E9">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见投标文件第页</w:t>
            </w:r>
          </w:p>
        </w:tc>
      </w:tr>
      <w:tr w14:paraId="01FA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601818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5942578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7145414">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E2BE3D9">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见投标文件第页</w:t>
            </w:r>
          </w:p>
        </w:tc>
      </w:tr>
    </w:tbl>
    <w:p w14:paraId="2BD29B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6F4624">
      <w:pPr>
        <w:jc w:val="center"/>
        <w:rPr>
          <w:rFonts w:ascii="宋体" w:hAnsi="宋体" w:cs="宋体"/>
          <w:b/>
          <w:color w:val="auto"/>
          <w:kern w:val="0"/>
          <w:sz w:val="32"/>
          <w:szCs w:val="32"/>
          <w:highlight w:val="none"/>
        </w:rPr>
      </w:pPr>
    </w:p>
    <w:p w14:paraId="068A78F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4104872">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政府采购投标人廉洁自律承诺书</w:t>
      </w:r>
    </w:p>
    <w:p w14:paraId="034D1E9F">
      <w:pPr>
        <w:snapToGrid w:val="0"/>
        <w:spacing w:line="360" w:lineRule="auto"/>
        <w:rPr>
          <w:rFonts w:ascii="宋体" w:hAnsi="宋体" w:cs="宋体"/>
          <w:color w:val="auto"/>
          <w:sz w:val="24"/>
          <w:highlight w:val="none"/>
        </w:rPr>
      </w:pPr>
    </w:p>
    <w:p w14:paraId="6292224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2D7F749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1529E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1F12B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96E5F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40B39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388E47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3B9B9F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215FD2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9EC7FA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1CE3A49">
      <w:pPr>
        <w:autoSpaceDE w:val="0"/>
        <w:autoSpaceDN w:val="0"/>
        <w:spacing w:line="360" w:lineRule="auto"/>
        <w:ind w:left="2"/>
        <w:jc w:val="left"/>
        <w:rPr>
          <w:rFonts w:ascii="宋体" w:hAnsi="宋体" w:cs="宋体"/>
          <w:color w:val="auto"/>
          <w:kern w:val="0"/>
          <w:sz w:val="24"/>
          <w:highlight w:val="none"/>
          <w:lang w:val="zh-CN"/>
        </w:rPr>
      </w:pPr>
    </w:p>
    <w:p w14:paraId="67D17899">
      <w:pPr>
        <w:autoSpaceDE w:val="0"/>
        <w:autoSpaceDN w:val="0"/>
        <w:spacing w:line="360" w:lineRule="auto"/>
        <w:ind w:left="2"/>
        <w:jc w:val="left"/>
        <w:rPr>
          <w:rFonts w:ascii="宋体" w:hAnsi="宋体" w:cs="宋体"/>
          <w:color w:val="auto"/>
          <w:kern w:val="0"/>
          <w:sz w:val="24"/>
          <w:highlight w:val="none"/>
          <w:lang w:val="zh-CN"/>
        </w:rPr>
      </w:pPr>
    </w:p>
    <w:p w14:paraId="7256FC3B">
      <w:pPr>
        <w:autoSpaceDE w:val="0"/>
        <w:autoSpaceDN w:val="0"/>
        <w:spacing w:line="360" w:lineRule="auto"/>
        <w:ind w:left="2"/>
        <w:jc w:val="left"/>
        <w:rPr>
          <w:rFonts w:ascii="宋体" w:hAnsi="宋体" w:cs="宋体"/>
          <w:color w:val="auto"/>
          <w:kern w:val="0"/>
          <w:sz w:val="24"/>
          <w:highlight w:val="none"/>
          <w:lang w:val="zh-CN"/>
        </w:rPr>
      </w:pPr>
    </w:p>
    <w:p w14:paraId="116C196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6FBD38C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4EB149E">
      <w:pPr>
        <w:spacing w:line="360" w:lineRule="auto"/>
        <w:jc w:val="center"/>
        <w:rPr>
          <w:rFonts w:ascii="宋体" w:hAnsi="宋体" w:cs="宋体"/>
          <w:b/>
          <w:bCs/>
          <w:color w:val="auto"/>
          <w:sz w:val="24"/>
          <w:highlight w:val="none"/>
        </w:rPr>
      </w:pPr>
    </w:p>
    <w:p w14:paraId="427698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2D73F8">
      <w:pPr>
        <w:rPr>
          <w:rFonts w:ascii="宋体" w:hAnsi="宋体" w:cs="宋体"/>
          <w:b/>
          <w:bCs/>
          <w:color w:val="auto"/>
          <w:sz w:val="24"/>
          <w:highlight w:val="none"/>
        </w:rPr>
      </w:pPr>
      <w:r>
        <w:rPr>
          <w:rFonts w:ascii="宋体" w:hAnsi="宋体" w:cs="宋体"/>
          <w:b/>
          <w:bCs/>
          <w:color w:val="auto"/>
          <w:sz w:val="24"/>
          <w:highlight w:val="none"/>
        </w:rPr>
        <w:br w:type="page"/>
      </w:r>
    </w:p>
    <w:p w14:paraId="1D9D8D0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六、采购要求偏离表</w:t>
      </w:r>
    </w:p>
    <w:tbl>
      <w:tblPr>
        <w:tblStyle w:val="6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60FD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0E4C1CB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2BDB9E2B">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224CB37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2242242E">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59B0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13E65E75">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71B520A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50" w:type="dxa"/>
          </w:tcPr>
          <w:p w14:paraId="1CC50DF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1" w:type="dxa"/>
          </w:tcPr>
          <w:p w14:paraId="1D1CB9E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34FC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3F7B118">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496344AA">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50" w:type="dxa"/>
          </w:tcPr>
          <w:p w14:paraId="4A85DDC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1" w:type="dxa"/>
          </w:tcPr>
          <w:p w14:paraId="4C8EF825">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721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25E6A59D">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7B7087F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50" w:type="dxa"/>
          </w:tcPr>
          <w:p w14:paraId="671BB72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1" w:type="dxa"/>
          </w:tcPr>
          <w:p w14:paraId="6D6142E6">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1BDFD8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2811DE">
      <w:pPr>
        <w:jc w:val="center"/>
        <w:rPr>
          <w:rFonts w:ascii="宋体" w:hAnsi="宋体" w:cs="宋体"/>
          <w:b/>
          <w:color w:val="auto"/>
          <w:kern w:val="0"/>
          <w:sz w:val="32"/>
          <w:szCs w:val="32"/>
          <w:highlight w:val="none"/>
        </w:rPr>
      </w:pPr>
    </w:p>
    <w:p w14:paraId="7029F07E">
      <w:pPr>
        <w:jc w:val="center"/>
        <w:rPr>
          <w:rFonts w:ascii="宋体" w:hAnsi="宋体" w:cs="宋体"/>
          <w:b/>
          <w:color w:val="auto"/>
          <w:kern w:val="0"/>
          <w:sz w:val="32"/>
          <w:szCs w:val="32"/>
          <w:highlight w:val="none"/>
        </w:rPr>
      </w:pPr>
    </w:p>
    <w:p w14:paraId="6E3086A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七、商务要求偏离表</w:t>
      </w:r>
    </w:p>
    <w:tbl>
      <w:tblPr>
        <w:tblStyle w:val="6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2FF6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445A0222">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5187489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4B4FFFD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47F6821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681D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FF76ECE">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6F97E5FE">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50" w:type="dxa"/>
          </w:tcPr>
          <w:p w14:paraId="28A218E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1" w:type="dxa"/>
          </w:tcPr>
          <w:p w14:paraId="2348E23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3EC8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A0BA81A">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757B716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50" w:type="dxa"/>
          </w:tcPr>
          <w:p w14:paraId="105673B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1" w:type="dxa"/>
          </w:tcPr>
          <w:p w14:paraId="14B18FC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42D0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C0F477B">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6CCC03F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50" w:type="dxa"/>
          </w:tcPr>
          <w:p w14:paraId="4A239AC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1" w:type="dxa"/>
          </w:tcPr>
          <w:p w14:paraId="17FAD65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5D2CF8E9">
      <w:pPr>
        <w:jc w:val="center"/>
        <w:rPr>
          <w:rFonts w:ascii="宋体" w:hAnsi="宋体" w:cs="宋体"/>
          <w:b/>
          <w:color w:val="auto"/>
          <w:kern w:val="0"/>
          <w:sz w:val="32"/>
          <w:szCs w:val="32"/>
          <w:highlight w:val="none"/>
        </w:rPr>
      </w:pPr>
    </w:p>
    <w:p w14:paraId="7990A426">
      <w:pPr>
        <w:snapToGrid w:val="0"/>
        <w:spacing w:line="288" w:lineRule="auto"/>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『编制说明』：</w:t>
      </w:r>
    </w:p>
    <w:p w14:paraId="5C688F99">
      <w:pPr>
        <w:numPr>
          <w:ilvl w:val="0"/>
          <w:numId w:val="14"/>
        </w:numPr>
        <w:snapToGrid w:val="0"/>
        <w:spacing w:line="288" w:lineRule="auto"/>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投标人需按“第三部分  采购需求”中“一、商务要求表”和“二、采购要求”一一对应,在本表中如实填写具体响应(有技术参数的提供响应的技术参数)，未按要求填写的，有可能作负偏离处理。</w:t>
      </w:r>
    </w:p>
    <w:p w14:paraId="21CF2110">
      <w:pPr>
        <w:numPr>
          <w:ilvl w:val="0"/>
          <w:numId w:val="14"/>
        </w:numPr>
        <w:snapToGrid w:val="0"/>
        <w:spacing w:line="288" w:lineRule="auto"/>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偏离说明是指对招标文件要求存在不同之处的解释说明。偏离系指：正偏离（高于采购需求）、负偏离（低于采购需求）、无偏离（满足采购需求）</w:t>
      </w:r>
    </w:p>
    <w:p w14:paraId="40002BD0">
      <w:pPr>
        <w:widowControl/>
        <w:jc w:val="left"/>
        <w:rPr>
          <w:rFonts w:ascii="微软雅黑" w:hAnsi="微软雅黑" w:eastAsia="微软雅黑" w:cs="微软雅黑"/>
          <w:b/>
          <w:bCs/>
          <w:color w:val="auto"/>
          <w:highlight w:val="none"/>
        </w:rPr>
      </w:pPr>
      <w:r>
        <w:rPr>
          <w:rFonts w:hint="eastAsia" w:ascii="微软雅黑" w:hAnsi="微软雅黑" w:eastAsia="微软雅黑" w:cs="微软雅黑"/>
          <w:b/>
          <w:bCs/>
          <w:color w:val="auto"/>
          <w:szCs w:val="21"/>
          <w:highlight w:val="none"/>
        </w:rPr>
        <w:t>3、技术指标若有要求投标人提供相应佐证材料的，投标人未提供相应佐证材料或者投标人的响应承诺与其佐证材料不一致的，评审小组会将以不利于投标人的内容为准进行评审（负偏离）。</w:t>
      </w:r>
    </w:p>
    <w:p w14:paraId="5E29FCC4">
      <w:pPr>
        <w:pStyle w:val="63"/>
        <w:ind w:firstLine="420"/>
        <w:rPr>
          <w:color w:val="auto"/>
          <w:highlight w:val="none"/>
        </w:rPr>
      </w:pPr>
    </w:p>
    <w:p w14:paraId="4CBF21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59B24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BE905E9">
      <w:pPr>
        <w:pStyle w:val="3"/>
        <w:rPr>
          <w:color w:val="auto"/>
          <w:highlight w:val="none"/>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14942A5">
      <w:pPr>
        <w:widowControl/>
        <w:adjustRightInd/>
        <w:jc w:val="left"/>
        <w:rPr>
          <w:rFonts w:ascii="宋体" w:hAnsi="宋体" w:cs="宋体"/>
          <w:b/>
          <w:color w:val="auto"/>
          <w:kern w:val="0"/>
          <w:sz w:val="32"/>
          <w:szCs w:val="32"/>
          <w:highlight w:val="none"/>
        </w:rPr>
      </w:pPr>
    </w:p>
    <w:p w14:paraId="1295737D">
      <w:pPr>
        <w:jc w:val="center"/>
        <w:rPr>
          <w:rFonts w:ascii="宋体" w:hAnsi="宋体" w:cs="宋体"/>
          <w:color w:val="auto"/>
          <w:highlight w:val="none"/>
        </w:rPr>
      </w:pPr>
      <w:r>
        <w:rPr>
          <w:rFonts w:hint="eastAsia" w:ascii="宋体" w:hAnsi="宋体" w:cs="宋体"/>
          <w:b/>
          <w:color w:val="auto"/>
          <w:kern w:val="0"/>
          <w:sz w:val="32"/>
          <w:szCs w:val="32"/>
          <w:highlight w:val="none"/>
        </w:rPr>
        <w:t>八、评标标准相应的商务技术资料</w:t>
      </w:r>
    </w:p>
    <w:p w14:paraId="4C1B9B25">
      <w:pPr>
        <w:snapToGrid w:val="0"/>
        <w:spacing w:line="360" w:lineRule="auto"/>
        <w:ind w:firstLine="960" w:firstLineChars="400"/>
        <w:rPr>
          <w:rFonts w:ascii="宋体" w:hAnsi="宋体" w:cs="宋体"/>
          <w:color w:val="auto"/>
          <w:sz w:val="24"/>
          <w:highlight w:val="none"/>
        </w:rPr>
      </w:pPr>
    </w:p>
    <w:p w14:paraId="7F1A2DDA">
      <w:pPr>
        <w:snapToGrid w:val="0"/>
        <w:spacing w:line="360" w:lineRule="auto"/>
        <w:ind w:firstLine="964" w:firstLineChars="400"/>
        <w:rPr>
          <w:rFonts w:ascii="宋体" w:hAnsi="宋体" w:cs="宋体"/>
          <w:b/>
          <w:bCs/>
          <w:color w:val="auto"/>
          <w:sz w:val="24"/>
          <w:highlight w:val="none"/>
        </w:rPr>
      </w:pPr>
    </w:p>
    <w:p w14:paraId="307185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w:t>
      </w:r>
      <w:r>
        <w:rPr>
          <w:rFonts w:hint="eastAsia" w:ascii="宋体" w:hAnsi="宋体" w:cs="宋体"/>
          <w:color w:val="auto"/>
          <w:sz w:val="24"/>
          <w:highlight w:val="none"/>
        </w:rPr>
        <w:t>）项目建设方案（格式自拟）；</w:t>
      </w:r>
    </w:p>
    <w:p w14:paraId="2A55D18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-2</w:t>
      </w:r>
      <w:r>
        <w:rPr>
          <w:rFonts w:hint="eastAsia" w:ascii="宋体" w:hAnsi="宋体" w:cs="宋体"/>
          <w:color w:val="auto"/>
          <w:sz w:val="24"/>
          <w:highlight w:val="none"/>
        </w:rPr>
        <w:t>）重点及难点分析（格式自拟）；</w:t>
      </w:r>
    </w:p>
    <w:p w14:paraId="5B103B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-3</w:t>
      </w:r>
      <w:r>
        <w:rPr>
          <w:rFonts w:hint="eastAsia" w:ascii="宋体" w:hAnsi="宋体" w:cs="宋体"/>
          <w:color w:val="auto"/>
          <w:sz w:val="24"/>
          <w:highlight w:val="none"/>
        </w:rPr>
        <w:t>）重点及难点的解决方案（格式自拟）；</w:t>
      </w:r>
    </w:p>
    <w:p w14:paraId="298950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-4</w:t>
      </w:r>
      <w:r>
        <w:rPr>
          <w:rFonts w:hint="eastAsia" w:ascii="宋体" w:hAnsi="宋体" w:cs="宋体"/>
          <w:color w:val="auto"/>
          <w:sz w:val="24"/>
          <w:highlight w:val="none"/>
        </w:rPr>
        <w:t>）项目实施方案（格式自拟）；</w:t>
      </w:r>
    </w:p>
    <w:p w14:paraId="7C3F8A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-5</w:t>
      </w:r>
      <w:r>
        <w:rPr>
          <w:rFonts w:hint="eastAsia" w:ascii="宋体" w:hAnsi="宋体" w:cs="宋体"/>
          <w:color w:val="auto"/>
          <w:sz w:val="24"/>
          <w:highlight w:val="none"/>
        </w:rPr>
        <w:t>）项目进度安排（格式自拟）；</w:t>
      </w:r>
    </w:p>
    <w:p w14:paraId="4E3495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-6</w:t>
      </w:r>
      <w:r>
        <w:rPr>
          <w:rFonts w:hint="eastAsia" w:ascii="宋体" w:hAnsi="宋体" w:cs="宋体"/>
          <w:color w:val="auto"/>
          <w:sz w:val="24"/>
          <w:highlight w:val="none"/>
        </w:rPr>
        <w:t>）对接融合方案（格式自拟）；</w:t>
      </w:r>
    </w:p>
    <w:p w14:paraId="7477E8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-7</w:t>
      </w:r>
      <w:r>
        <w:rPr>
          <w:rFonts w:hint="eastAsia" w:ascii="宋体" w:hAnsi="宋体" w:cs="宋体"/>
          <w:color w:val="auto"/>
          <w:sz w:val="24"/>
          <w:highlight w:val="none"/>
        </w:rPr>
        <w:t>）拟投入本项目的人员安排（格式自拟）；</w:t>
      </w:r>
    </w:p>
    <w:p w14:paraId="5CD3C9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-8</w:t>
      </w:r>
      <w:r>
        <w:rPr>
          <w:rFonts w:hint="eastAsia" w:ascii="宋体" w:hAnsi="宋体" w:cs="宋体"/>
          <w:color w:val="auto"/>
          <w:sz w:val="24"/>
          <w:highlight w:val="none"/>
        </w:rPr>
        <w:t>）质量保证措施（格式自拟）；</w:t>
      </w:r>
    </w:p>
    <w:p w14:paraId="0D4382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-9</w:t>
      </w:r>
      <w:r>
        <w:rPr>
          <w:rFonts w:hint="eastAsia" w:ascii="宋体" w:hAnsi="宋体" w:cs="宋体"/>
          <w:color w:val="auto"/>
          <w:sz w:val="24"/>
          <w:highlight w:val="none"/>
        </w:rPr>
        <w:t>）培训方案（格式自拟）；</w:t>
      </w:r>
    </w:p>
    <w:p w14:paraId="18D1D6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-10</w:t>
      </w:r>
      <w:r>
        <w:rPr>
          <w:rFonts w:hint="eastAsia" w:ascii="宋体" w:hAnsi="宋体" w:cs="宋体"/>
          <w:color w:val="auto"/>
          <w:sz w:val="24"/>
          <w:highlight w:val="none"/>
        </w:rPr>
        <w:t>）售后服务方案（格式自拟）；</w:t>
      </w:r>
    </w:p>
    <w:p w14:paraId="7E8882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-11</w:t>
      </w:r>
      <w:r>
        <w:rPr>
          <w:rFonts w:hint="eastAsia" w:ascii="宋体" w:hAnsi="宋体" w:cs="宋体"/>
          <w:color w:val="auto"/>
          <w:sz w:val="24"/>
          <w:highlight w:val="none"/>
        </w:rPr>
        <w:t>）有效的证书</w:t>
      </w:r>
      <w:r>
        <w:rPr>
          <w:rFonts w:hint="eastAsia" w:ascii="宋体" w:hAnsi="宋体" w:cs="宋体"/>
          <w:color w:val="auto"/>
          <w:sz w:val="24"/>
          <w:highlight w:val="none"/>
          <w:lang w:eastAsia="zh-CN"/>
        </w:rPr>
        <w:t>扫描件</w:t>
      </w:r>
      <w:r>
        <w:rPr>
          <w:rFonts w:hint="eastAsia" w:ascii="宋体" w:hAnsi="宋体" w:cs="宋体"/>
          <w:color w:val="auto"/>
          <w:sz w:val="24"/>
          <w:highlight w:val="none"/>
        </w:rPr>
        <w:t>加盖公章（如有请提供）；</w:t>
      </w:r>
    </w:p>
    <w:p w14:paraId="7276D638">
      <w:pPr>
        <w:snapToGrid w:val="0"/>
        <w:spacing w:line="360" w:lineRule="auto"/>
        <w:ind w:firstLine="960" w:firstLineChars="400"/>
        <w:rPr>
          <w:color w:val="auto"/>
          <w:highlight w:val="none"/>
        </w:rPr>
      </w:pPr>
      <w:r>
        <w:rPr>
          <w:rFonts w:hint="eastAsia" w:ascii="宋体" w:hAnsi="宋体" w:cs="宋体"/>
          <w:color w:val="auto"/>
          <w:sz w:val="24"/>
          <w:highlight w:val="none"/>
        </w:rPr>
        <w:t>（8</w:t>
      </w:r>
      <w:r>
        <w:rPr>
          <w:rFonts w:ascii="宋体" w:hAnsi="宋体" w:cs="宋体"/>
          <w:color w:val="auto"/>
          <w:sz w:val="24"/>
          <w:highlight w:val="none"/>
        </w:rPr>
        <w:t>-12</w:t>
      </w:r>
      <w:r>
        <w:rPr>
          <w:rFonts w:hint="eastAsia" w:ascii="宋体" w:hAnsi="宋体" w:cs="宋体"/>
          <w:color w:val="auto"/>
          <w:sz w:val="24"/>
          <w:highlight w:val="none"/>
        </w:rPr>
        <w:t>）评标标准相应的其他商务技术资料</w:t>
      </w:r>
      <w:r>
        <w:rPr>
          <w:rFonts w:hint="eastAsia" w:ascii="宋体" w:hAnsi="宋体" w:cs="宋体"/>
          <w:color w:val="auto"/>
          <w:highlight w:val="none"/>
        </w:rPr>
        <w:t>。</w:t>
      </w:r>
    </w:p>
    <w:p w14:paraId="2E80A0E4">
      <w:pPr>
        <w:pStyle w:val="28"/>
        <w:rPr>
          <w:color w:val="auto"/>
          <w:highlight w:val="none"/>
        </w:rPr>
      </w:pPr>
    </w:p>
    <w:p w14:paraId="603411C5">
      <w:pPr>
        <w:pStyle w:val="28"/>
        <w:rPr>
          <w:color w:val="auto"/>
          <w:highlight w:val="none"/>
        </w:rPr>
      </w:pPr>
    </w:p>
    <w:p w14:paraId="51172296">
      <w:pPr>
        <w:pStyle w:val="28"/>
        <w:rPr>
          <w:color w:val="auto"/>
          <w:highlight w:val="none"/>
        </w:rPr>
      </w:pPr>
    </w:p>
    <w:p w14:paraId="037AFD50">
      <w:pPr>
        <w:pStyle w:val="28"/>
        <w:rPr>
          <w:color w:val="auto"/>
          <w:highlight w:val="none"/>
        </w:rPr>
      </w:pPr>
    </w:p>
    <w:p w14:paraId="0D62CA50">
      <w:pPr>
        <w:pStyle w:val="28"/>
        <w:rPr>
          <w:color w:val="auto"/>
          <w:highlight w:val="none"/>
        </w:rPr>
      </w:pPr>
    </w:p>
    <w:p w14:paraId="7CFD878E">
      <w:pPr>
        <w:pStyle w:val="28"/>
        <w:rPr>
          <w:color w:val="auto"/>
          <w:highlight w:val="none"/>
        </w:rPr>
      </w:pPr>
    </w:p>
    <w:p w14:paraId="15E9A708">
      <w:pPr>
        <w:pStyle w:val="28"/>
        <w:rPr>
          <w:color w:val="auto"/>
          <w:highlight w:val="none"/>
        </w:rPr>
      </w:pPr>
    </w:p>
    <w:p w14:paraId="2BA56243">
      <w:pPr>
        <w:pStyle w:val="28"/>
        <w:rPr>
          <w:color w:val="auto"/>
          <w:highlight w:val="none"/>
        </w:rPr>
      </w:pPr>
    </w:p>
    <w:p w14:paraId="5F45AB0A">
      <w:pPr>
        <w:pStyle w:val="28"/>
        <w:rPr>
          <w:color w:val="auto"/>
          <w:highlight w:val="none"/>
        </w:rPr>
      </w:pPr>
    </w:p>
    <w:p w14:paraId="746E292F">
      <w:pPr>
        <w:pStyle w:val="28"/>
        <w:rPr>
          <w:color w:val="auto"/>
          <w:highlight w:val="none"/>
        </w:rPr>
      </w:pPr>
    </w:p>
    <w:p w14:paraId="4DD28A2C">
      <w:pPr>
        <w:pStyle w:val="28"/>
        <w:rPr>
          <w:color w:val="auto"/>
          <w:highlight w:val="none"/>
        </w:rPr>
      </w:pPr>
    </w:p>
    <w:p w14:paraId="3A34835C">
      <w:pPr>
        <w:pStyle w:val="28"/>
        <w:rPr>
          <w:color w:val="auto"/>
          <w:highlight w:val="none"/>
        </w:rPr>
      </w:pPr>
    </w:p>
    <w:p w14:paraId="1C6DDA0C">
      <w:pPr>
        <w:pStyle w:val="28"/>
        <w:rPr>
          <w:color w:val="auto"/>
          <w:highlight w:val="none"/>
        </w:rPr>
      </w:pPr>
    </w:p>
    <w:p w14:paraId="0AE272C2">
      <w:pPr>
        <w:pStyle w:val="28"/>
        <w:rPr>
          <w:color w:val="auto"/>
          <w:highlight w:val="none"/>
        </w:rPr>
      </w:pPr>
    </w:p>
    <w:p w14:paraId="086A0091">
      <w:pPr>
        <w:pStyle w:val="28"/>
        <w:rPr>
          <w:color w:val="auto"/>
          <w:highlight w:val="none"/>
        </w:rPr>
      </w:pPr>
    </w:p>
    <w:p w14:paraId="1F436E77">
      <w:pPr>
        <w:pStyle w:val="28"/>
        <w:rPr>
          <w:color w:val="auto"/>
          <w:highlight w:val="none"/>
        </w:rPr>
      </w:pPr>
    </w:p>
    <w:p w14:paraId="6277FC88">
      <w:pPr>
        <w:pStyle w:val="28"/>
        <w:rPr>
          <w:color w:val="auto"/>
          <w:highlight w:val="none"/>
        </w:rPr>
      </w:pPr>
    </w:p>
    <w:p w14:paraId="5F446037">
      <w:pPr>
        <w:pStyle w:val="28"/>
        <w:rPr>
          <w:color w:val="auto"/>
          <w:highlight w:val="none"/>
        </w:rPr>
      </w:pPr>
    </w:p>
    <w:p w14:paraId="57CA3687">
      <w:pPr>
        <w:pStyle w:val="28"/>
        <w:rPr>
          <w:color w:val="auto"/>
          <w:highlight w:val="none"/>
        </w:rPr>
      </w:pPr>
    </w:p>
    <w:p w14:paraId="44FA2B87">
      <w:pPr>
        <w:pStyle w:val="28"/>
        <w:rPr>
          <w:color w:val="auto"/>
          <w:highlight w:val="none"/>
        </w:rPr>
      </w:pPr>
    </w:p>
    <w:p w14:paraId="04676CE5">
      <w:pPr>
        <w:pStyle w:val="28"/>
        <w:rPr>
          <w:color w:val="auto"/>
          <w:highlight w:val="none"/>
        </w:rPr>
      </w:pPr>
    </w:p>
    <w:p w14:paraId="3A6E6F3D">
      <w:pPr>
        <w:pStyle w:val="28"/>
        <w:rPr>
          <w:color w:val="auto"/>
          <w:highlight w:val="none"/>
        </w:rPr>
      </w:pPr>
    </w:p>
    <w:p w14:paraId="46D9EA89">
      <w:pPr>
        <w:pStyle w:val="28"/>
        <w:rPr>
          <w:color w:val="auto"/>
          <w:highlight w:val="none"/>
        </w:rPr>
      </w:pPr>
    </w:p>
    <w:p w14:paraId="74893989">
      <w:pPr>
        <w:pStyle w:val="28"/>
        <w:rPr>
          <w:color w:val="auto"/>
          <w:highlight w:val="none"/>
        </w:rPr>
      </w:pPr>
    </w:p>
    <w:p w14:paraId="09F8EF7B">
      <w:pPr>
        <w:pStyle w:val="28"/>
        <w:rPr>
          <w:color w:val="auto"/>
          <w:highlight w:val="none"/>
        </w:rPr>
      </w:pPr>
    </w:p>
    <w:p w14:paraId="776028A4">
      <w:pPr>
        <w:pStyle w:val="28"/>
        <w:rPr>
          <w:color w:val="auto"/>
          <w:highlight w:val="none"/>
        </w:rPr>
      </w:pPr>
    </w:p>
    <w:p w14:paraId="224037E6">
      <w:pPr>
        <w:pStyle w:val="28"/>
        <w:rPr>
          <w:color w:val="auto"/>
          <w:highlight w:val="none"/>
        </w:rPr>
      </w:pPr>
    </w:p>
    <w:p w14:paraId="4ECE376A">
      <w:pPr>
        <w:jc w:val="center"/>
        <w:rPr>
          <w:b/>
          <w:bCs/>
          <w:color w:val="auto"/>
          <w:sz w:val="36"/>
          <w:szCs w:val="36"/>
          <w:highlight w:val="none"/>
        </w:rPr>
      </w:pPr>
      <w:bookmarkStart w:id="451" w:name="_Toc16712"/>
      <w:r>
        <w:rPr>
          <w:rFonts w:hint="eastAsia"/>
          <w:b/>
          <w:bCs/>
          <w:color w:val="auto"/>
          <w:sz w:val="36"/>
          <w:szCs w:val="36"/>
          <w:highlight w:val="none"/>
        </w:rPr>
        <w:t>报价文件部分</w:t>
      </w:r>
      <w:bookmarkEnd w:id="451"/>
    </w:p>
    <w:p w14:paraId="1C066B39">
      <w:pPr>
        <w:spacing w:line="360" w:lineRule="auto"/>
        <w:jc w:val="center"/>
        <w:outlineLvl w:val="0"/>
        <w:rPr>
          <w:rFonts w:ascii="宋体" w:hAnsi="宋体" w:cs="宋体"/>
          <w:b/>
          <w:color w:val="auto"/>
          <w:kern w:val="0"/>
          <w:sz w:val="36"/>
          <w:szCs w:val="36"/>
          <w:highlight w:val="none"/>
        </w:rPr>
      </w:pPr>
      <w:bookmarkStart w:id="452" w:name="_Toc31513"/>
    </w:p>
    <w:p w14:paraId="2D9F4110">
      <w:pPr>
        <w:jc w:val="center"/>
        <w:rPr>
          <w:b/>
          <w:bCs/>
          <w:color w:val="auto"/>
          <w:sz w:val="36"/>
          <w:szCs w:val="36"/>
          <w:highlight w:val="none"/>
        </w:rPr>
      </w:pPr>
      <w:r>
        <w:rPr>
          <w:rFonts w:hint="eastAsia"/>
          <w:b/>
          <w:bCs/>
          <w:color w:val="auto"/>
          <w:sz w:val="36"/>
          <w:szCs w:val="36"/>
          <w:highlight w:val="none"/>
        </w:rPr>
        <w:t>目录</w:t>
      </w:r>
      <w:bookmarkEnd w:id="452"/>
    </w:p>
    <w:p w14:paraId="7DFCB2B2">
      <w:pPr>
        <w:spacing w:line="360" w:lineRule="auto"/>
        <w:jc w:val="center"/>
        <w:rPr>
          <w:rFonts w:ascii="宋体" w:hAnsi="宋体" w:cs="宋体"/>
          <w:b/>
          <w:color w:val="auto"/>
          <w:kern w:val="0"/>
          <w:sz w:val="36"/>
          <w:szCs w:val="36"/>
          <w:highlight w:val="none"/>
        </w:rPr>
      </w:pPr>
    </w:p>
    <w:p w14:paraId="6F1D00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32D15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）中小企业声明函…………………………………………………………………（页码）</w:t>
      </w:r>
    </w:p>
    <w:p w14:paraId="5BDDD9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）残疾人福利性单位声明函………………………………………………………（页码）</w:t>
      </w:r>
    </w:p>
    <w:p w14:paraId="401D73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）由省级以上监狱管理局、戒毒管理局（含新疆生产建设兵团）出具的属于监狱企业的证明文件……………………………………………………………………………（页码）</w:t>
      </w:r>
    </w:p>
    <w:p w14:paraId="7FE7E1B0">
      <w:pPr>
        <w:snapToGrid w:val="0"/>
        <w:spacing w:line="360" w:lineRule="auto"/>
        <w:ind w:right="480"/>
        <w:jc w:val="center"/>
        <w:rPr>
          <w:rFonts w:ascii="宋体" w:hAnsi="宋体" w:cs="宋体"/>
          <w:b/>
          <w:color w:val="auto"/>
          <w:kern w:val="0"/>
          <w:sz w:val="32"/>
          <w:szCs w:val="32"/>
          <w:highlight w:val="none"/>
        </w:rPr>
      </w:pPr>
    </w:p>
    <w:p w14:paraId="586EC8BC">
      <w:pPr>
        <w:snapToGrid w:val="0"/>
        <w:spacing w:line="360" w:lineRule="auto"/>
        <w:ind w:right="480"/>
        <w:jc w:val="center"/>
        <w:rPr>
          <w:rFonts w:ascii="宋体" w:hAnsi="宋体" w:cs="宋体"/>
          <w:b/>
          <w:color w:val="auto"/>
          <w:kern w:val="0"/>
          <w:sz w:val="32"/>
          <w:szCs w:val="32"/>
          <w:highlight w:val="none"/>
        </w:rPr>
      </w:pPr>
    </w:p>
    <w:p w14:paraId="55697E3D">
      <w:pPr>
        <w:snapToGrid w:val="0"/>
        <w:spacing w:line="360" w:lineRule="auto"/>
        <w:ind w:right="480"/>
        <w:jc w:val="center"/>
        <w:rPr>
          <w:rFonts w:ascii="宋体" w:hAnsi="宋体" w:cs="宋体"/>
          <w:b/>
          <w:color w:val="auto"/>
          <w:kern w:val="0"/>
          <w:sz w:val="32"/>
          <w:szCs w:val="32"/>
          <w:highlight w:val="none"/>
        </w:rPr>
      </w:pPr>
    </w:p>
    <w:p w14:paraId="55F75F1C">
      <w:pPr>
        <w:snapToGrid w:val="0"/>
        <w:spacing w:line="360" w:lineRule="auto"/>
        <w:ind w:right="480"/>
        <w:jc w:val="center"/>
        <w:rPr>
          <w:rFonts w:ascii="宋体" w:hAnsi="宋体" w:cs="宋体"/>
          <w:b/>
          <w:color w:val="auto"/>
          <w:kern w:val="0"/>
          <w:sz w:val="32"/>
          <w:szCs w:val="32"/>
          <w:highlight w:val="none"/>
        </w:rPr>
      </w:pPr>
    </w:p>
    <w:p w14:paraId="378D3D9B">
      <w:pPr>
        <w:pStyle w:val="63"/>
        <w:ind w:firstLine="420"/>
        <w:rPr>
          <w:color w:val="auto"/>
          <w:highlight w:val="none"/>
        </w:rPr>
      </w:pPr>
    </w:p>
    <w:p w14:paraId="2AE05661">
      <w:pPr>
        <w:rPr>
          <w:color w:val="auto"/>
          <w:highlight w:val="none"/>
        </w:rPr>
      </w:pPr>
    </w:p>
    <w:p w14:paraId="1D192D30">
      <w:pPr>
        <w:pStyle w:val="63"/>
        <w:ind w:firstLine="420"/>
        <w:rPr>
          <w:color w:val="auto"/>
          <w:highlight w:val="none"/>
        </w:rPr>
      </w:pPr>
    </w:p>
    <w:p w14:paraId="1C2314A6">
      <w:pPr>
        <w:rPr>
          <w:color w:val="auto"/>
          <w:highlight w:val="none"/>
        </w:rPr>
      </w:pPr>
    </w:p>
    <w:p w14:paraId="62C18EDF">
      <w:pPr>
        <w:pStyle w:val="63"/>
        <w:ind w:firstLine="420"/>
        <w:rPr>
          <w:color w:val="auto"/>
          <w:highlight w:val="none"/>
        </w:rPr>
      </w:pPr>
    </w:p>
    <w:p w14:paraId="27000908">
      <w:pPr>
        <w:rPr>
          <w:color w:val="auto"/>
          <w:highlight w:val="none"/>
        </w:rPr>
      </w:pPr>
    </w:p>
    <w:p w14:paraId="37885E9C">
      <w:pPr>
        <w:pStyle w:val="63"/>
        <w:ind w:firstLine="420"/>
        <w:rPr>
          <w:color w:val="auto"/>
          <w:highlight w:val="none"/>
        </w:rPr>
      </w:pPr>
    </w:p>
    <w:p w14:paraId="1829A338">
      <w:pPr>
        <w:rPr>
          <w:color w:val="auto"/>
          <w:highlight w:val="none"/>
        </w:rPr>
      </w:pPr>
    </w:p>
    <w:p w14:paraId="7ADBE2D1">
      <w:pPr>
        <w:pStyle w:val="63"/>
        <w:ind w:firstLine="420"/>
        <w:rPr>
          <w:color w:val="auto"/>
          <w:highlight w:val="none"/>
        </w:rPr>
      </w:pPr>
    </w:p>
    <w:p w14:paraId="0D63B51C">
      <w:pPr>
        <w:rPr>
          <w:color w:val="auto"/>
          <w:highlight w:val="none"/>
        </w:rPr>
      </w:pPr>
    </w:p>
    <w:p w14:paraId="7D6D796D">
      <w:pPr>
        <w:pStyle w:val="63"/>
        <w:ind w:firstLine="420"/>
        <w:rPr>
          <w:color w:val="auto"/>
          <w:highlight w:val="none"/>
        </w:rPr>
      </w:pPr>
    </w:p>
    <w:p w14:paraId="02362061">
      <w:pPr>
        <w:rPr>
          <w:color w:val="auto"/>
          <w:highlight w:val="none"/>
        </w:rPr>
      </w:pPr>
    </w:p>
    <w:p w14:paraId="1713BF6D">
      <w:pPr>
        <w:pStyle w:val="63"/>
        <w:ind w:firstLine="420"/>
        <w:rPr>
          <w:color w:val="auto"/>
          <w:highlight w:val="none"/>
        </w:rPr>
        <w:sectPr>
          <w:headerReference r:id="rId16" w:type="first"/>
          <w:footerReference r:id="rId18" w:type="first"/>
          <w:headerReference r:id="rId15" w:type="default"/>
          <w:footerReference r:id="rId17"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79C0FEA0">
      <w:pPr>
        <w:pStyle w:val="63"/>
        <w:ind w:firstLine="420"/>
        <w:rPr>
          <w:color w:val="auto"/>
          <w:highlight w:val="none"/>
        </w:rPr>
      </w:pPr>
    </w:p>
    <w:p w14:paraId="367BF3F6">
      <w:pPr>
        <w:jc w:val="center"/>
        <w:rPr>
          <w:b/>
          <w:bCs/>
          <w:color w:val="auto"/>
          <w:sz w:val="30"/>
          <w:szCs w:val="30"/>
          <w:highlight w:val="none"/>
        </w:rPr>
      </w:pPr>
      <w:bookmarkStart w:id="453" w:name="_Toc21159"/>
      <w:r>
        <w:rPr>
          <w:rFonts w:hint="eastAsia"/>
          <w:b/>
          <w:bCs/>
          <w:color w:val="auto"/>
          <w:sz w:val="30"/>
          <w:szCs w:val="30"/>
          <w:highlight w:val="none"/>
        </w:rPr>
        <w:t>开标一览表（报价表）</w:t>
      </w:r>
      <w:bookmarkEnd w:id="453"/>
    </w:p>
    <w:p w14:paraId="696E9957">
      <w:pPr>
        <w:snapToGrid w:val="0"/>
        <w:spacing w:line="360" w:lineRule="auto"/>
        <w:rPr>
          <w:rFonts w:ascii="宋体" w:hAnsi="宋体" w:cs="宋体"/>
          <w:color w:val="auto"/>
          <w:sz w:val="24"/>
          <w:highlight w:val="none"/>
        </w:rPr>
      </w:pPr>
    </w:p>
    <w:p w14:paraId="0A9D55D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5C0EE85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 xml:space="preserve">（项目名称）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55343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lang w:val="zh-CN"/>
        </w:rPr>
        <w:t>元)</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447"/>
        <w:gridCol w:w="4849"/>
      </w:tblGrid>
      <w:tr w14:paraId="68FB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FB026A4">
            <w:pPr>
              <w:keepNext w:val="0"/>
              <w:keepLines w:val="0"/>
              <w:suppressLineNumbers w:val="0"/>
              <w:spacing w:before="0" w:beforeAutospacing="0" w:after="0" w:afterAutospacing="0" w:line="0" w:lineRule="atLeas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2969" w:type="pct"/>
            <w:tcBorders>
              <w:top w:val="single" w:color="auto" w:sz="4" w:space="0"/>
              <w:left w:val="single" w:color="auto" w:sz="4" w:space="0"/>
              <w:bottom w:val="single" w:color="auto" w:sz="4" w:space="0"/>
              <w:right w:val="single" w:color="auto" w:sz="4" w:space="0"/>
            </w:tcBorders>
            <w:vAlign w:val="center"/>
          </w:tcPr>
          <w:p w14:paraId="65C7A77A">
            <w:pPr>
              <w:keepNext w:val="0"/>
              <w:keepLines w:val="0"/>
              <w:suppressLineNumbers w:val="0"/>
              <w:spacing w:before="0" w:beforeAutospacing="0" w:after="0" w:afterAutospacing="0" w:line="0" w:lineRule="atLeast"/>
              <w:ind w:left="0" w:right="0"/>
              <w:jc w:val="center"/>
              <w:rPr>
                <w:rFonts w:hint="default" w:ascii="宋体" w:hAnsi="宋体" w:cs="宋体"/>
                <w:color w:val="auto"/>
                <w:sz w:val="24"/>
                <w:highlight w:val="none"/>
              </w:rPr>
            </w:pPr>
            <w:r>
              <w:rPr>
                <w:rFonts w:hint="eastAsia" w:ascii="宋体" w:hAnsi="宋体" w:cs="宋体"/>
                <w:color w:val="auto"/>
                <w:sz w:val="24"/>
                <w:highlight w:val="none"/>
              </w:rPr>
              <w:t>报价内容</w:t>
            </w:r>
          </w:p>
        </w:tc>
        <w:tc>
          <w:tcPr>
            <w:tcW w:w="1705" w:type="pct"/>
            <w:tcBorders>
              <w:top w:val="single" w:color="auto" w:sz="4" w:space="0"/>
              <w:left w:val="single" w:color="auto" w:sz="4" w:space="0"/>
              <w:bottom w:val="single" w:color="auto" w:sz="4" w:space="0"/>
              <w:right w:val="single" w:color="auto" w:sz="4" w:space="0"/>
            </w:tcBorders>
            <w:vAlign w:val="center"/>
          </w:tcPr>
          <w:p w14:paraId="0147BBB3">
            <w:pPr>
              <w:keepNext w:val="0"/>
              <w:keepLines w:val="0"/>
              <w:suppressLineNumbers w:val="0"/>
              <w:spacing w:before="0" w:beforeAutospacing="0" w:after="0" w:afterAutospacing="0" w:line="0" w:lineRule="atLeast"/>
              <w:ind w:left="0" w:right="0"/>
              <w:jc w:val="center"/>
              <w:rPr>
                <w:rFonts w:hint="default" w:ascii="宋体" w:hAnsi="宋体" w:cs="宋体"/>
                <w:color w:val="auto"/>
                <w:sz w:val="24"/>
                <w:highlight w:val="none"/>
              </w:rPr>
            </w:pPr>
            <w:r>
              <w:rPr>
                <w:rFonts w:hint="eastAsia" w:ascii="宋体" w:hAnsi="宋体" w:cs="宋体"/>
                <w:color w:val="auto"/>
                <w:sz w:val="24"/>
                <w:highlight w:val="none"/>
              </w:rPr>
              <w:t>小计（元）</w:t>
            </w:r>
          </w:p>
        </w:tc>
      </w:tr>
      <w:tr w14:paraId="3E6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3ED8251">
            <w:pPr>
              <w:pStyle w:val="60"/>
              <w:keepNext w:val="0"/>
              <w:keepLines w:val="0"/>
              <w:widowControl w:val="0"/>
              <w:suppressLineNumbers w:val="0"/>
              <w:snapToGrid w:val="0"/>
              <w:spacing w:after="120" w:line="360" w:lineRule="auto"/>
              <w:ind w:left="0" w:right="0"/>
              <w:jc w:val="center"/>
              <w:rPr>
                <w:rFonts w:hint="default" w:cs="宋体"/>
                <w:color w:val="auto"/>
                <w:highlight w:val="none"/>
              </w:rPr>
            </w:pPr>
            <w:r>
              <w:rPr>
                <w:rFonts w:hint="eastAsia" w:cs="宋体"/>
                <w:color w:val="auto"/>
                <w:highlight w:val="none"/>
              </w:rPr>
              <w:t>1</w:t>
            </w:r>
          </w:p>
        </w:tc>
        <w:tc>
          <w:tcPr>
            <w:tcW w:w="2969" w:type="pct"/>
            <w:tcBorders>
              <w:top w:val="single" w:color="auto" w:sz="4" w:space="0"/>
              <w:left w:val="single" w:color="auto" w:sz="4" w:space="0"/>
              <w:bottom w:val="single" w:color="auto" w:sz="4" w:space="0"/>
              <w:right w:val="single" w:color="auto" w:sz="4" w:space="0"/>
            </w:tcBorders>
            <w:vAlign w:val="center"/>
          </w:tcPr>
          <w:p w14:paraId="0D2BF555">
            <w:pPr>
              <w:pStyle w:val="60"/>
              <w:keepNext w:val="0"/>
              <w:keepLines w:val="0"/>
              <w:widowControl w:val="0"/>
              <w:suppressLineNumbers w:val="0"/>
              <w:spacing w:after="120" w:line="360" w:lineRule="auto"/>
              <w:ind w:left="0" w:right="0"/>
              <w:jc w:val="center"/>
              <w:rPr>
                <w:rFonts w:hint="default" w:cs="宋体"/>
                <w:color w:val="auto"/>
                <w:highlight w:val="none"/>
              </w:rPr>
            </w:pPr>
          </w:p>
        </w:tc>
        <w:tc>
          <w:tcPr>
            <w:tcW w:w="1705" w:type="pct"/>
            <w:tcBorders>
              <w:top w:val="single" w:color="auto" w:sz="4" w:space="0"/>
              <w:left w:val="single" w:color="auto" w:sz="4" w:space="0"/>
              <w:bottom w:val="single" w:color="auto" w:sz="4" w:space="0"/>
              <w:right w:val="single" w:color="auto" w:sz="4" w:space="0"/>
            </w:tcBorders>
            <w:vAlign w:val="center"/>
          </w:tcPr>
          <w:p w14:paraId="2B991B88">
            <w:pPr>
              <w:pStyle w:val="60"/>
              <w:keepNext w:val="0"/>
              <w:keepLines w:val="0"/>
              <w:widowControl w:val="0"/>
              <w:suppressLineNumbers w:val="0"/>
              <w:spacing w:after="120" w:line="360" w:lineRule="auto"/>
              <w:ind w:left="0" w:right="0"/>
              <w:jc w:val="center"/>
              <w:rPr>
                <w:rFonts w:hint="default" w:cs="宋体"/>
                <w:color w:val="auto"/>
                <w:highlight w:val="none"/>
              </w:rPr>
            </w:pPr>
          </w:p>
        </w:tc>
      </w:tr>
      <w:tr w14:paraId="5F8C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30378FE">
            <w:pPr>
              <w:pStyle w:val="60"/>
              <w:keepNext w:val="0"/>
              <w:keepLines w:val="0"/>
              <w:widowControl w:val="0"/>
              <w:suppressLineNumbers w:val="0"/>
              <w:snapToGrid w:val="0"/>
              <w:spacing w:after="120" w:line="360" w:lineRule="auto"/>
              <w:ind w:left="0" w:right="0"/>
              <w:jc w:val="center"/>
              <w:rPr>
                <w:rFonts w:hint="default" w:cs="宋体"/>
                <w:color w:val="auto"/>
                <w:highlight w:val="none"/>
              </w:rPr>
            </w:pPr>
            <w:r>
              <w:rPr>
                <w:rFonts w:hint="eastAsia" w:cs="宋体"/>
                <w:color w:val="auto"/>
                <w:highlight w:val="none"/>
              </w:rPr>
              <w:t>2</w:t>
            </w:r>
          </w:p>
        </w:tc>
        <w:tc>
          <w:tcPr>
            <w:tcW w:w="2969" w:type="pct"/>
            <w:tcBorders>
              <w:top w:val="single" w:color="auto" w:sz="4" w:space="0"/>
              <w:left w:val="single" w:color="auto" w:sz="4" w:space="0"/>
              <w:bottom w:val="single" w:color="auto" w:sz="4" w:space="0"/>
              <w:right w:val="single" w:color="auto" w:sz="4" w:space="0"/>
            </w:tcBorders>
            <w:vAlign w:val="center"/>
          </w:tcPr>
          <w:p w14:paraId="347F8F09">
            <w:pPr>
              <w:pStyle w:val="60"/>
              <w:keepNext w:val="0"/>
              <w:keepLines w:val="0"/>
              <w:widowControl w:val="0"/>
              <w:suppressLineNumbers w:val="0"/>
              <w:spacing w:after="120" w:line="360" w:lineRule="auto"/>
              <w:ind w:left="0" w:right="0"/>
              <w:jc w:val="center"/>
              <w:rPr>
                <w:rFonts w:hint="default" w:cs="宋体"/>
                <w:color w:val="auto"/>
                <w:highlight w:val="none"/>
              </w:rPr>
            </w:pPr>
          </w:p>
        </w:tc>
        <w:tc>
          <w:tcPr>
            <w:tcW w:w="1705" w:type="pct"/>
            <w:tcBorders>
              <w:top w:val="single" w:color="auto" w:sz="4" w:space="0"/>
              <w:left w:val="single" w:color="auto" w:sz="4" w:space="0"/>
              <w:bottom w:val="single" w:color="auto" w:sz="4" w:space="0"/>
              <w:right w:val="single" w:color="auto" w:sz="4" w:space="0"/>
            </w:tcBorders>
            <w:vAlign w:val="center"/>
          </w:tcPr>
          <w:p w14:paraId="61DD4866">
            <w:pPr>
              <w:pStyle w:val="60"/>
              <w:keepNext w:val="0"/>
              <w:keepLines w:val="0"/>
              <w:widowControl w:val="0"/>
              <w:suppressLineNumbers w:val="0"/>
              <w:spacing w:after="120" w:line="360" w:lineRule="auto"/>
              <w:ind w:left="0" w:right="0"/>
              <w:jc w:val="center"/>
              <w:rPr>
                <w:rFonts w:hint="default" w:cs="宋体"/>
                <w:color w:val="auto"/>
                <w:highlight w:val="none"/>
              </w:rPr>
            </w:pPr>
          </w:p>
        </w:tc>
      </w:tr>
      <w:tr w14:paraId="7615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4A7823F">
            <w:pPr>
              <w:pStyle w:val="60"/>
              <w:keepNext w:val="0"/>
              <w:keepLines w:val="0"/>
              <w:widowControl w:val="0"/>
              <w:suppressLineNumbers w:val="0"/>
              <w:snapToGrid w:val="0"/>
              <w:spacing w:after="120" w:line="360" w:lineRule="auto"/>
              <w:ind w:left="0" w:right="0"/>
              <w:jc w:val="center"/>
              <w:rPr>
                <w:rFonts w:hint="default" w:cs="宋体"/>
                <w:color w:val="auto"/>
                <w:highlight w:val="none"/>
              </w:rPr>
            </w:pPr>
            <w:r>
              <w:rPr>
                <w:rFonts w:hint="eastAsia" w:cs="宋体"/>
                <w:color w:val="auto"/>
                <w:highlight w:val="none"/>
              </w:rPr>
              <w:t>3</w:t>
            </w:r>
          </w:p>
        </w:tc>
        <w:tc>
          <w:tcPr>
            <w:tcW w:w="2969" w:type="pct"/>
            <w:tcBorders>
              <w:top w:val="single" w:color="auto" w:sz="4" w:space="0"/>
              <w:left w:val="single" w:color="auto" w:sz="4" w:space="0"/>
              <w:bottom w:val="single" w:color="auto" w:sz="4" w:space="0"/>
              <w:right w:val="single" w:color="auto" w:sz="4" w:space="0"/>
            </w:tcBorders>
            <w:vAlign w:val="center"/>
          </w:tcPr>
          <w:p w14:paraId="50E72F92">
            <w:pPr>
              <w:pStyle w:val="60"/>
              <w:keepNext w:val="0"/>
              <w:keepLines w:val="0"/>
              <w:widowControl w:val="0"/>
              <w:suppressLineNumbers w:val="0"/>
              <w:spacing w:after="120" w:line="360" w:lineRule="auto"/>
              <w:ind w:left="0" w:right="0"/>
              <w:jc w:val="center"/>
              <w:rPr>
                <w:rFonts w:hint="default" w:cs="宋体"/>
                <w:color w:val="auto"/>
                <w:highlight w:val="none"/>
              </w:rPr>
            </w:pPr>
          </w:p>
        </w:tc>
        <w:tc>
          <w:tcPr>
            <w:tcW w:w="1705" w:type="pct"/>
            <w:tcBorders>
              <w:top w:val="single" w:color="auto" w:sz="4" w:space="0"/>
              <w:left w:val="single" w:color="auto" w:sz="4" w:space="0"/>
              <w:bottom w:val="single" w:color="auto" w:sz="4" w:space="0"/>
              <w:right w:val="single" w:color="auto" w:sz="4" w:space="0"/>
            </w:tcBorders>
            <w:vAlign w:val="center"/>
          </w:tcPr>
          <w:p w14:paraId="25F3CC46">
            <w:pPr>
              <w:pStyle w:val="60"/>
              <w:keepNext w:val="0"/>
              <w:keepLines w:val="0"/>
              <w:widowControl w:val="0"/>
              <w:suppressLineNumbers w:val="0"/>
              <w:spacing w:after="120" w:line="360" w:lineRule="auto"/>
              <w:ind w:left="0" w:right="0"/>
              <w:jc w:val="center"/>
              <w:rPr>
                <w:rFonts w:hint="default" w:cs="宋体"/>
                <w:color w:val="auto"/>
                <w:highlight w:val="none"/>
              </w:rPr>
            </w:pPr>
          </w:p>
        </w:tc>
      </w:tr>
      <w:tr w14:paraId="1FDE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BECA5DD">
            <w:pPr>
              <w:pStyle w:val="60"/>
              <w:keepNext w:val="0"/>
              <w:keepLines w:val="0"/>
              <w:widowControl w:val="0"/>
              <w:suppressLineNumbers w:val="0"/>
              <w:snapToGrid w:val="0"/>
              <w:spacing w:after="120" w:line="360" w:lineRule="auto"/>
              <w:ind w:left="0" w:right="0"/>
              <w:jc w:val="center"/>
              <w:rPr>
                <w:rFonts w:hint="default" w:cs="宋体"/>
                <w:color w:val="auto"/>
                <w:highlight w:val="none"/>
              </w:rPr>
            </w:pPr>
            <w:r>
              <w:rPr>
                <w:rFonts w:hint="eastAsia" w:cs="宋体"/>
                <w:color w:val="auto"/>
                <w:highlight w:val="none"/>
              </w:rPr>
              <w:t>4</w:t>
            </w:r>
          </w:p>
        </w:tc>
        <w:tc>
          <w:tcPr>
            <w:tcW w:w="2969" w:type="pct"/>
            <w:tcBorders>
              <w:top w:val="single" w:color="auto" w:sz="4" w:space="0"/>
              <w:left w:val="single" w:color="auto" w:sz="4" w:space="0"/>
              <w:bottom w:val="single" w:color="auto" w:sz="4" w:space="0"/>
              <w:right w:val="single" w:color="auto" w:sz="4" w:space="0"/>
            </w:tcBorders>
            <w:vAlign w:val="center"/>
          </w:tcPr>
          <w:p w14:paraId="44A0A23E">
            <w:pPr>
              <w:pStyle w:val="60"/>
              <w:keepNext w:val="0"/>
              <w:keepLines w:val="0"/>
              <w:widowControl w:val="0"/>
              <w:suppressLineNumbers w:val="0"/>
              <w:spacing w:after="120" w:line="360" w:lineRule="auto"/>
              <w:ind w:left="0" w:right="0"/>
              <w:jc w:val="center"/>
              <w:rPr>
                <w:rFonts w:hint="default" w:cs="宋体"/>
                <w:color w:val="auto"/>
                <w:highlight w:val="none"/>
              </w:rPr>
            </w:pPr>
          </w:p>
        </w:tc>
        <w:tc>
          <w:tcPr>
            <w:tcW w:w="1705" w:type="pct"/>
            <w:tcBorders>
              <w:top w:val="single" w:color="auto" w:sz="4" w:space="0"/>
              <w:left w:val="single" w:color="auto" w:sz="4" w:space="0"/>
              <w:bottom w:val="single" w:color="auto" w:sz="4" w:space="0"/>
              <w:right w:val="single" w:color="auto" w:sz="4" w:space="0"/>
            </w:tcBorders>
            <w:vAlign w:val="center"/>
          </w:tcPr>
          <w:p w14:paraId="6B284F07">
            <w:pPr>
              <w:pStyle w:val="60"/>
              <w:keepNext w:val="0"/>
              <w:keepLines w:val="0"/>
              <w:widowControl w:val="0"/>
              <w:suppressLineNumbers w:val="0"/>
              <w:spacing w:after="120" w:line="360" w:lineRule="auto"/>
              <w:ind w:left="0" w:right="0"/>
              <w:jc w:val="center"/>
              <w:rPr>
                <w:rFonts w:hint="default" w:cs="宋体"/>
                <w:color w:val="auto"/>
                <w:highlight w:val="none"/>
              </w:rPr>
            </w:pPr>
          </w:p>
        </w:tc>
      </w:tr>
      <w:tr w14:paraId="620F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94" w:type="pct"/>
            <w:gridSpan w:val="2"/>
            <w:tcBorders>
              <w:top w:val="single" w:color="auto" w:sz="4" w:space="0"/>
              <w:left w:val="single" w:color="auto" w:sz="4" w:space="0"/>
              <w:bottom w:val="single" w:color="auto" w:sz="4" w:space="0"/>
              <w:right w:val="single" w:color="auto" w:sz="4" w:space="0"/>
            </w:tcBorders>
            <w:vAlign w:val="center"/>
          </w:tcPr>
          <w:p w14:paraId="72010FFE">
            <w:pPr>
              <w:pStyle w:val="60"/>
              <w:keepNext w:val="0"/>
              <w:keepLines w:val="0"/>
              <w:widowControl w:val="0"/>
              <w:suppressLineNumbers w:val="0"/>
              <w:spacing w:after="120" w:line="360" w:lineRule="auto"/>
              <w:ind w:left="0" w:right="0"/>
              <w:jc w:val="center"/>
              <w:rPr>
                <w:rFonts w:hint="default"/>
                <w:bCs/>
                <w:color w:val="auto"/>
                <w:highlight w:val="none"/>
              </w:rPr>
            </w:pPr>
            <w:r>
              <w:rPr>
                <w:rFonts w:hint="eastAsia" w:cs="宋体"/>
                <w:color w:val="auto"/>
                <w:highlight w:val="none"/>
              </w:rPr>
              <w:t>投标总价（元）</w:t>
            </w:r>
          </w:p>
        </w:tc>
        <w:tc>
          <w:tcPr>
            <w:tcW w:w="1705" w:type="pct"/>
            <w:tcBorders>
              <w:top w:val="single" w:color="auto" w:sz="4" w:space="0"/>
              <w:left w:val="single" w:color="auto" w:sz="4" w:space="0"/>
              <w:bottom w:val="single" w:color="auto" w:sz="4" w:space="0"/>
              <w:right w:val="single" w:color="auto" w:sz="4" w:space="0"/>
            </w:tcBorders>
            <w:vAlign w:val="center"/>
          </w:tcPr>
          <w:p w14:paraId="631AFAA3">
            <w:pPr>
              <w:pStyle w:val="60"/>
              <w:keepNext w:val="0"/>
              <w:keepLines w:val="0"/>
              <w:widowControl w:val="0"/>
              <w:suppressLineNumbers w:val="0"/>
              <w:spacing w:after="120" w:line="360" w:lineRule="auto"/>
              <w:ind w:left="0" w:right="0"/>
              <w:jc w:val="center"/>
              <w:rPr>
                <w:rFonts w:hint="default" w:cs="宋体"/>
                <w:color w:val="auto"/>
                <w:highlight w:val="none"/>
              </w:rPr>
            </w:pPr>
          </w:p>
        </w:tc>
      </w:tr>
      <w:tr w14:paraId="6AF3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94" w:type="pct"/>
            <w:gridSpan w:val="2"/>
            <w:tcBorders>
              <w:top w:val="single" w:color="auto" w:sz="4" w:space="0"/>
              <w:left w:val="single" w:color="auto" w:sz="4" w:space="0"/>
              <w:bottom w:val="single" w:color="auto" w:sz="4" w:space="0"/>
              <w:right w:val="single" w:color="auto" w:sz="4" w:space="0"/>
            </w:tcBorders>
            <w:vAlign w:val="center"/>
          </w:tcPr>
          <w:p w14:paraId="672D5760">
            <w:pPr>
              <w:pStyle w:val="60"/>
              <w:keepNext w:val="0"/>
              <w:keepLines w:val="0"/>
              <w:widowControl w:val="0"/>
              <w:suppressLineNumbers w:val="0"/>
              <w:spacing w:after="120" w:line="360" w:lineRule="auto"/>
              <w:ind w:left="0" w:right="0"/>
              <w:jc w:val="center"/>
              <w:rPr>
                <w:rFonts w:hint="default" w:cs="宋体"/>
                <w:color w:val="auto"/>
                <w:highlight w:val="none"/>
              </w:rPr>
            </w:pPr>
            <w:r>
              <w:rPr>
                <w:rFonts w:hint="eastAsia" w:cs="宋体"/>
                <w:color w:val="auto"/>
                <w:highlight w:val="none"/>
              </w:rPr>
              <w:t>项目完成时间</w:t>
            </w:r>
          </w:p>
        </w:tc>
        <w:tc>
          <w:tcPr>
            <w:tcW w:w="1705" w:type="pct"/>
            <w:tcBorders>
              <w:top w:val="single" w:color="auto" w:sz="4" w:space="0"/>
              <w:left w:val="single" w:color="auto" w:sz="4" w:space="0"/>
              <w:bottom w:val="single" w:color="auto" w:sz="4" w:space="0"/>
              <w:right w:val="single" w:color="auto" w:sz="4" w:space="0"/>
            </w:tcBorders>
            <w:vAlign w:val="center"/>
          </w:tcPr>
          <w:p w14:paraId="5F823DD2">
            <w:pPr>
              <w:pStyle w:val="60"/>
              <w:keepNext w:val="0"/>
              <w:keepLines w:val="0"/>
              <w:widowControl w:val="0"/>
              <w:suppressLineNumbers w:val="0"/>
              <w:spacing w:after="120" w:line="360" w:lineRule="auto"/>
              <w:ind w:left="0" w:right="0"/>
              <w:jc w:val="center"/>
              <w:rPr>
                <w:rFonts w:hint="default" w:cs="宋体"/>
                <w:color w:val="auto"/>
                <w:highlight w:val="none"/>
              </w:rPr>
            </w:pPr>
          </w:p>
        </w:tc>
      </w:tr>
    </w:tbl>
    <w:p w14:paraId="17BD8E8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912B48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FF996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292BDC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3、特别提示：采购代理机构将对项目名称和项目编号，中标投标人名称、地址和中标金额，主要中标标的名称、品牌（如果有）、规格型号（如果有）、数量、单价等予以公示。</w:t>
      </w:r>
    </w:p>
    <w:p w14:paraId="4DC6C34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9F7BB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2219FA65">
      <w:pPr>
        <w:pStyle w:val="694"/>
        <w:numPr>
          <w:ilvl w:val="0"/>
          <w:numId w:val="13"/>
        </w:numPr>
        <w:ind w:firstLine="0"/>
        <w:jc w:val="center"/>
        <w:rPr>
          <w:b/>
          <w:bCs/>
          <w:color w:val="auto"/>
          <w:sz w:val="32"/>
          <w:szCs w:val="32"/>
          <w:highlight w:val="none"/>
        </w:rPr>
      </w:pPr>
      <w:bookmarkStart w:id="454" w:name="_Toc8239"/>
      <w:r>
        <w:rPr>
          <w:rFonts w:hint="eastAsia"/>
          <w:b/>
          <w:bCs/>
          <w:color w:val="auto"/>
          <w:sz w:val="32"/>
          <w:szCs w:val="32"/>
          <w:highlight w:val="none"/>
        </w:rPr>
        <w:t>中小企业声明函</w:t>
      </w:r>
      <w:bookmarkStart w:id="455" w:name="_Hlk101259491"/>
      <w:r>
        <w:rPr>
          <w:rFonts w:hint="eastAsia"/>
          <w:b/>
          <w:bCs/>
          <w:color w:val="auto"/>
          <w:sz w:val="32"/>
          <w:szCs w:val="32"/>
          <w:highlight w:val="none"/>
        </w:rPr>
        <w:t>（如果有）</w:t>
      </w:r>
      <w:bookmarkEnd w:id="454"/>
      <w:bookmarkEnd w:id="455"/>
    </w:p>
    <w:p w14:paraId="33030FB0">
      <w:pPr>
        <w:pStyle w:val="694"/>
        <w:ind w:firstLine="0"/>
        <w:jc w:val="both"/>
        <w:rPr>
          <w:b/>
          <w:bCs/>
          <w:color w:val="auto"/>
          <w:sz w:val="32"/>
          <w:szCs w:val="32"/>
          <w:highlight w:val="none"/>
        </w:rPr>
      </w:pPr>
    </w:p>
    <w:p w14:paraId="2B813B6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E1A673F">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E0DB735">
      <w:pPr>
        <w:spacing w:line="360" w:lineRule="auto"/>
        <w:ind w:right="420" w:firstLine="3614" w:firstLineChars="1000"/>
        <w:rPr>
          <w:rFonts w:ascii="宋体" w:hAnsi="宋体" w:cs="宋体"/>
          <w:b/>
          <w:color w:val="auto"/>
          <w:kern w:val="0"/>
          <w:sz w:val="36"/>
          <w:szCs w:val="36"/>
          <w:highlight w:val="none"/>
        </w:rPr>
      </w:pPr>
    </w:p>
    <w:p w14:paraId="64DA3C34">
      <w:pPr>
        <w:spacing w:line="360" w:lineRule="auto"/>
        <w:ind w:right="420" w:firstLine="3614" w:firstLineChars="1000"/>
        <w:rPr>
          <w:rFonts w:ascii="宋体" w:hAnsi="宋体" w:cs="宋体"/>
          <w:b/>
          <w:color w:val="auto"/>
          <w:kern w:val="0"/>
          <w:sz w:val="36"/>
          <w:szCs w:val="36"/>
          <w:highlight w:val="none"/>
        </w:rPr>
      </w:pPr>
    </w:p>
    <w:p w14:paraId="474D3BA1">
      <w:pPr>
        <w:spacing w:line="360" w:lineRule="auto"/>
        <w:ind w:right="420" w:firstLine="3614" w:firstLineChars="1000"/>
        <w:rPr>
          <w:rFonts w:ascii="宋体" w:hAnsi="宋体" w:cs="宋体"/>
          <w:b/>
          <w:color w:val="auto"/>
          <w:kern w:val="0"/>
          <w:sz w:val="36"/>
          <w:szCs w:val="36"/>
          <w:highlight w:val="none"/>
        </w:rPr>
      </w:pPr>
    </w:p>
    <w:p w14:paraId="0939A364">
      <w:pPr>
        <w:spacing w:line="360" w:lineRule="auto"/>
        <w:ind w:right="420" w:firstLine="3614" w:firstLineChars="1000"/>
        <w:rPr>
          <w:rFonts w:ascii="宋体" w:hAnsi="宋体" w:cs="宋体"/>
          <w:b/>
          <w:color w:val="auto"/>
          <w:kern w:val="0"/>
          <w:sz w:val="36"/>
          <w:szCs w:val="36"/>
          <w:highlight w:val="none"/>
        </w:rPr>
      </w:pPr>
    </w:p>
    <w:p w14:paraId="1B07816F">
      <w:pPr>
        <w:spacing w:line="360" w:lineRule="auto"/>
        <w:ind w:right="420" w:firstLine="3614" w:firstLineChars="1000"/>
        <w:rPr>
          <w:rFonts w:ascii="宋体" w:hAnsi="宋体" w:cs="宋体"/>
          <w:b/>
          <w:color w:val="auto"/>
          <w:kern w:val="0"/>
          <w:sz w:val="36"/>
          <w:szCs w:val="36"/>
          <w:highlight w:val="none"/>
        </w:rPr>
      </w:pPr>
    </w:p>
    <w:p w14:paraId="6D84F065">
      <w:pPr>
        <w:spacing w:line="360" w:lineRule="auto"/>
        <w:ind w:right="420" w:firstLine="3614" w:firstLineChars="1000"/>
        <w:rPr>
          <w:rFonts w:ascii="宋体" w:hAnsi="宋体" w:cs="宋体"/>
          <w:b/>
          <w:color w:val="auto"/>
          <w:kern w:val="0"/>
          <w:sz w:val="36"/>
          <w:szCs w:val="36"/>
          <w:highlight w:val="none"/>
        </w:rPr>
      </w:pPr>
    </w:p>
    <w:p w14:paraId="470EE924">
      <w:pPr>
        <w:spacing w:line="360" w:lineRule="auto"/>
        <w:ind w:right="420" w:firstLine="3614" w:firstLineChars="1000"/>
        <w:rPr>
          <w:rFonts w:ascii="宋体" w:hAnsi="宋体" w:cs="宋体"/>
          <w:b/>
          <w:color w:val="auto"/>
          <w:kern w:val="0"/>
          <w:sz w:val="36"/>
          <w:szCs w:val="36"/>
          <w:highlight w:val="none"/>
        </w:rPr>
      </w:pPr>
    </w:p>
    <w:p w14:paraId="76D742B3">
      <w:pPr>
        <w:spacing w:line="360" w:lineRule="auto"/>
        <w:ind w:right="420" w:firstLine="3614" w:firstLineChars="1000"/>
        <w:rPr>
          <w:rFonts w:ascii="宋体" w:hAnsi="宋体" w:cs="宋体"/>
          <w:b/>
          <w:color w:val="auto"/>
          <w:kern w:val="0"/>
          <w:sz w:val="36"/>
          <w:szCs w:val="36"/>
          <w:highlight w:val="none"/>
        </w:rPr>
      </w:pPr>
    </w:p>
    <w:p w14:paraId="09779461">
      <w:pPr>
        <w:spacing w:line="360" w:lineRule="auto"/>
        <w:ind w:right="420" w:firstLine="3614" w:firstLineChars="1000"/>
        <w:rPr>
          <w:rFonts w:ascii="宋体" w:hAnsi="宋体" w:cs="宋体"/>
          <w:b/>
          <w:color w:val="auto"/>
          <w:kern w:val="0"/>
          <w:sz w:val="36"/>
          <w:szCs w:val="36"/>
          <w:highlight w:val="none"/>
        </w:rPr>
      </w:pPr>
    </w:p>
    <w:p w14:paraId="203F9240">
      <w:pPr>
        <w:pStyle w:val="63"/>
        <w:ind w:firstLine="420"/>
        <w:rPr>
          <w:color w:val="auto"/>
          <w:highlight w:val="none"/>
        </w:rPr>
      </w:pPr>
    </w:p>
    <w:p w14:paraId="2817BC4C">
      <w:pPr>
        <w:rPr>
          <w:color w:val="auto"/>
          <w:highlight w:val="none"/>
        </w:rPr>
      </w:pPr>
    </w:p>
    <w:p w14:paraId="6A84A51A">
      <w:pPr>
        <w:pStyle w:val="63"/>
        <w:ind w:firstLine="420"/>
        <w:rPr>
          <w:color w:val="auto"/>
          <w:highlight w:val="none"/>
        </w:rPr>
      </w:pPr>
    </w:p>
    <w:p w14:paraId="025A03C4">
      <w:pPr>
        <w:rPr>
          <w:color w:val="auto"/>
          <w:highlight w:val="none"/>
        </w:rPr>
      </w:pPr>
    </w:p>
    <w:p w14:paraId="53B0C448">
      <w:pPr>
        <w:pStyle w:val="63"/>
        <w:ind w:firstLine="420"/>
        <w:rPr>
          <w:color w:val="auto"/>
          <w:highlight w:val="none"/>
        </w:rPr>
      </w:pPr>
    </w:p>
    <w:p w14:paraId="4705C4F0">
      <w:pPr>
        <w:rPr>
          <w:color w:val="auto"/>
          <w:highlight w:val="none"/>
        </w:rPr>
      </w:pPr>
    </w:p>
    <w:p w14:paraId="795727D6">
      <w:pPr>
        <w:pStyle w:val="63"/>
        <w:ind w:firstLine="420"/>
        <w:rPr>
          <w:color w:val="auto"/>
          <w:highlight w:val="none"/>
        </w:rPr>
      </w:pPr>
    </w:p>
    <w:p w14:paraId="55929631">
      <w:pPr>
        <w:rPr>
          <w:color w:val="auto"/>
          <w:highlight w:val="none"/>
        </w:rPr>
      </w:pPr>
    </w:p>
    <w:p w14:paraId="61AC4C96">
      <w:pPr>
        <w:pStyle w:val="63"/>
        <w:ind w:firstLine="420"/>
        <w:rPr>
          <w:color w:val="auto"/>
          <w:highlight w:val="none"/>
        </w:rPr>
      </w:pPr>
    </w:p>
    <w:p w14:paraId="7DB1BC09">
      <w:pPr>
        <w:rPr>
          <w:color w:val="auto"/>
          <w:highlight w:val="none"/>
        </w:rPr>
      </w:pPr>
    </w:p>
    <w:p w14:paraId="2EEFB2BE">
      <w:pPr>
        <w:pStyle w:val="63"/>
        <w:ind w:firstLine="420"/>
        <w:rPr>
          <w:color w:val="auto"/>
          <w:highlight w:val="none"/>
        </w:rPr>
      </w:pPr>
    </w:p>
    <w:p w14:paraId="1503E094">
      <w:pPr>
        <w:rPr>
          <w:color w:val="auto"/>
          <w:highlight w:val="none"/>
        </w:rPr>
      </w:pPr>
    </w:p>
    <w:p w14:paraId="1EF146F1">
      <w:pPr>
        <w:pStyle w:val="63"/>
        <w:ind w:firstLine="420"/>
        <w:rPr>
          <w:color w:val="auto"/>
          <w:highlight w:val="none"/>
        </w:rPr>
      </w:pPr>
    </w:p>
    <w:p w14:paraId="318E8D03">
      <w:pPr>
        <w:pStyle w:val="82"/>
        <w:ind w:left="0" w:leftChars="0" w:firstLine="0" w:firstLineChars="0"/>
        <w:rPr>
          <w:color w:val="auto"/>
          <w:highlight w:val="none"/>
        </w:rPr>
      </w:pPr>
    </w:p>
    <w:p w14:paraId="3FE755FA">
      <w:pPr>
        <w:jc w:val="center"/>
        <w:rPr>
          <w:b/>
          <w:bCs/>
          <w:color w:val="auto"/>
          <w:sz w:val="44"/>
          <w:szCs w:val="44"/>
          <w:highlight w:val="none"/>
        </w:rPr>
      </w:pPr>
      <w:bookmarkStart w:id="456" w:name="_Toc465665161"/>
      <w:bookmarkStart w:id="457" w:name="_Toc20847"/>
      <w:r>
        <w:rPr>
          <w:rFonts w:hint="eastAsia"/>
          <w:b/>
          <w:bCs/>
          <w:color w:val="auto"/>
          <w:sz w:val="44"/>
          <w:szCs w:val="44"/>
          <w:highlight w:val="none"/>
        </w:rPr>
        <w:t>附件</w:t>
      </w:r>
      <w:bookmarkEnd w:id="456"/>
      <w:bookmarkEnd w:id="457"/>
    </w:p>
    <w:p w14:paraId="4CA9443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AFB9735">
      <w:pPr>
        <w:spacing w:line="360" w:lineRule="auto"/>
        <w:jc w:val="center"/>
        <w:rPr>
          <w:rFonts w:ascii="宋体" w:hAnsi="宋体" w:cs="宋体"/>
          <w:b/>
          <w:color w:val="auto"/>
          <w:spacing w:val="6"/>
          <w:sz w:val="32"/>
          <w:szCs w:val="32"/>
          <w:highlight w:val="none"/>
        </w:rPr>
      </w:pPr>
      <w:bookmarkStart w:id="458" w:name="OLE_LINK14"/>
      <w:bookmarkStart w:id="459" w:name="OLE_LINK13"/>
      <w:r>
        <w:rPr>
          <w:rFonts w:hint="eastAsia" w:ascii="宋体" w:hAnsi="宋体" w:cs="宋体"/>
          <w:b/>
          <w:color w:val="auto"/>
          <w:spacing w:val="6"/>
          <w:sz w:val="32"/>
          <w:szCs w:val="32"/>
          <w:highlight w:val="none"/>
        </w:rPr>
        <w:t>残疾人福利性单位声明函</w:t>
      </w:r>
    </w:p>
    <w:bookmarkEnd w:id="458"/>
    <w:bookmarkEnd w:id="459"/>
    <w:p w14:paraId="45A9527E">
      <w:pPr>
        <w:spacing w:line="360" w:lineRule="auto"/>
        <w:rPr>
          <w:rFonts w:ascii="宋体" w:hAnsi="宋体" w:cs="宋体"/>
          <w:b/>
          <w:color w:val="auto"/>
          <w:spacing w:val="6"/>
          <w:sz w:val="30"/>
          <w:szCs w:val="30"/>
          <w:highlight w:val="none"/>
        </w:rPr>
      </w:pPr>
    </w:p>
    <w:p w14:paraId="1F5C31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2B4BE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1715320">
      <w:pPr>
        <w:spacing w:line="360" w:lineRule="auto"/>
        <w:ind w:firstLine="480" w:firstLineChars="200"/>
        <w:rPr>
          <w:rFonts w:ascii="宋体" w:hAnsi="宋体" w:cs="宋体"/>
          <w:color w:val="auto"/>
          <w:sz w:val="24"/>
          <w:highlight w:val="none"/>
        </w:rPr>
      </w:pPr>
    </w:p>
    <w:p w14:paraId="43219ECE">
      <w:pPr>
        <w:spacing w:line="360" w:lineRule="auto"/>
        <w:ind w:firstLine="480" w:firstLineChars="200"/>
        <w:rPr>
          <w:rFonts w:ascii="宋体" w:hAnsi="宋体" w:cs="宋体"/>
          <w:color w:val="auto"/>
          <w:sz w:val="24"/>
          <w:highlight w:val="none"/>
        </w:rPr>
      </w:pPr>
    </w:p>
    <w:p w14:paraId="5A5D17F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042AC90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4DB5D89">
      <w:pPr>
        <w:spacing w:line="360" w:lineRule="auto"/>
        <w:ind w:firstLine="480" w:firstLineChars="200"/>
        <w:rPr>
          <w:rFonts w:ascii="宋体" w:hAnsi="宋体" w:cs="宋体"/>
          <w:color w:val="auto"/>
          <w:sz w:val="24"/>
          <w:highlight w:val="none"/>
        </w:rPr>
      </w:pPr>
    </w:p>
    <w:p w14:paraId="64A86435">
      <w:pPr>
        <w:spacing w:line="360" w:lineRule="auto"/>
        <w:ind w:firstLine="420" w:firstLineChars="200"/>
        <w:rPr>
          <w:rFonts w:ascii="宋体" w:hAnsi="宋体" w:cs="宋体"/>
          <w:color w:val="auto"/>
          <w:highlight w:val="none"/>
        </w:rPr>
      </w:pPr>
    </w:p>
    <w:p w14:paraId="2806A71A">
      <w:pPr>
        <w:spacing w:line="360" w:lineRule="auto"/>
        <w:rPr>
          <w:rFonts w:ascii="宋体" w:hAnsi="宋体" w:cs="宋体"/>
          <w:b/>
          <w:color w:val="auto"/>
          <w:sz w:val="24"/>
          <w:highlight w:val="none"/>
        </w:rPr>
      </w:pPr>
    </w:p>
    <w:p w14:paraId="7F24CDCD">
      <w:pPr>
        <w:autoSpaceDE w:val="0"/>
        <w:autoSpaceDN w:val="0"/>
        <w:jc w:val="center"/>
        <w:rPr>
          <w:rFonts w:hint="eastAsia" w:ascii="宋体" w:hAnsi="宋体" w:cs="宋体"/>
          <w:b/>
          <w:color w:val="auto"/>
          <w:spacing w:val="6"/>
          <w:sz w:val="32"/>
          <w:szCs w:val="32"/>
          <w:highlight w:val="none"/>
        </w:rPr>
      </w:pPr>
    </w:p>
    <w:p w14:paraId="44AF4BD9">
      <w:pPr>
        <w:autoSpaceDE w:val="0"/>
        <w:autoSpaceDN w:val="0"/>
        <w:jc w:val="center"/>
        <w:rPr>
          <w:rFonts w:hint="eastAsia" w:ascii="宋体" w:hAnsi="宋体" w:cs="宋体"/>
          <w:b/>
          <w:color w:val="auto"/>
          <w:spacing w:val="6"/>
          <w:sz w:val="32"/>
          <w:szCs w:val="32"/>
          <w:highlight w:val="none"/>
        </w:rPr>
      </w:pPr>
    </w:p>
    <w:p w14:paraId="50413292">
      <w:pPr>
        <w:autoSpaceDE w:val="0"/>
        <w:autoSpaceDN w:val="0"/>
        <w:jc w:val="center"/>
        <w:rPr>
          <w:rFonts w:hint="eastAsia" w:ascii="宋体" w:hAnsi="宋体" w:cs="宋体"/>
          <w:b/>
          <w:color w:val="auto"/>
          <w:spacing w:val="6"/>
          <w:sz w:val="32"/>
          <w:szCs w:val="32"/>
          <w:highlight w:val="none"/>
        </w:rPr>
      </w:pPr>
    </w:p>
    <w:p w14:paraId="15474469">
      <w:pPr>
        <w:autoSpaceDE w:val="0"/>
        <w:autoSpaceDN w:val="0"/>
        <w:jc w:val="center"/>
        <w:rPr>
          <w:rFonts w:hint="eastAsia" w:ascii="宋体" w:hAnsi="宋体" w:cs="宋体"/>
          <w:b/>
          <w:color w:val="auto"/>
          <w:spacing w:val="6"/>
          <w:sz w:val="32"/>
          <w:szCs w:val="32"/>
          <w:highlight w:val="none"/>
        </w:rPr>
      </w:pPr>
    </w:p>
    <w:p w14:paraId="4F7946FD">
      <w:pPr>
        <w:autoSpaceDE w:val="0"/>
        <w:autoSpaceDN w:val="0"/>
        <w:jc w:val="center"/>
        <w:rPr>
          <w:rFonts w:hint="eastAsia" w:ascii="宋体" w:hAnsi="宋体" w:cs="宋体"/>
          <w:b/>
          <w:color w:val="auto"/>
          <w:spacing w:val="6"/>
          <w:sz w:val="32"/>
          <w:szCs w:val="32"/>
          <w:highlight w:val="none"/>
        </w:rPr>
      </w:pPr>
    </w:p>
    <w:p w14:paraId="6C3C4375">
      <w:pPr>
        <w:autoSpaceDE w:val="0"/>
        <w:autoSpaceDN w:val="0"/>
        <w:jc w:val="center"/>
        <w:rPr>
          <w:rFonts w:hint="eastAsia" w:ascii="宋体" w:hAnsi="宋体" w:cs="宋体"/>
          <w:b/>
          <w:color w:val="auto"/>
          <w:spacing w:val="6"/>
          <w:sz w:val="32"/>
          <w:szCs w:val="32"/>
          <w:highlight w:val="none"/>
        </w:rPr>
      </w:pPr>
    </w:p>
    <w:p w14:paraId="3CCE12D5">
      <w:pPr>
        <w:autoSpaceDE w:val="0"/>
        <w:autoSpaceDN w:val="0"/>
        <w:jc w:val="center"/>
        <w:rPr>
          <w:rFonts w:hint="eastAsia" w:ascii="宋体" w:hAnsi="宋体" w:cs="宋体"/>
          <w:b/>
          <w:color w:val="auto"/>
          <w:spacing w:val="6"/>
          <w:sz w:val="32"/>
          <w:szCs w:val="32"/>
          <w:highlight w:val="none"/>
        </w:rPr>
      </w:pPr>
    </w:p>
    <w:p w14:paraId="77F61C05">
      <w:pPr>
        <w:autoSpaceDE w:val="0"/>
        <w:autoSpaceDN w:val="0"/>
        <w:jc w:val="center"/>
        <w:rPr>
          <w:rFonts w:hint="eastAsia" w:ascii="宋体" w:hAnsi="宋体" w:cs="宋体"/>
          <w:b/>
          <w:color w:val="auto"/>
          <w:spacing w:val="6"/>
          <w:sz w:val="32"/>
          <w:szCs w:val="32"/>
          <w:highlight w:val="none"/>
        </w:rPr>
      </w:pPr>
    </w:p>
    <w:p w14:paraId="48D04BF9">
      <w:pPr>
        <w:autoSpaceDE w:val="0"/>
        <w:autoSpaceDN w:val="0"/>
        <w:jc w:val="center"/>
        <w:rPr>
          <w:rFonts w:hint="eastAsia" w:ascii="宋体" w:hAnsi="宋体" w:cs="宋体"/>
          <w:b/>
          <w:color w:val="auto"/>
          <w:spacing w:val="6"/>
          <w:sz w:val="32"/>
          <w:szCs w:val="32"/>
          <w:highlight w:val="none"/>
        </w:rPr>
      </w:pPr>
    </w:p>
    <w:p w14:paraId="513459FE">
      <w:pPr>
        <w:autoSpaceDE w:val="0"/>
        <w:autoSpaceDN w:val="0"/>
        <w:jc w:val="center"/>
        <w:rPr>
          <w:rFonts w:hint="eastAsia" w:ascii="宋体" w:hAnsi="宋体" w:cs="宋体"/>
          <w:b/>
          <w:color w:val="auto"/>
          <w:spacing w:val="6"/>
          <w:sz w:val="32"/>
          <w:szCs w:val="32"/>
          <w:highlight w:val="none"/>
        </w:rPr>
      </w:pPr>
    </w:p>
    <w:p w14:paraId="026E8076">
      <w:pPr>
        <w:autoSpaceDE w:val="0"/>
        <w:autoSpaceDN w:val="0"/>
        <w:jc w:val="center"/>
        <w:rPr>
          <w:rFonts w:hint="eastAsia" w:ascii="宋体" w:hAnsi="宋体" w:cs="宋体"/>
          <w:b/>
          <w:color w:val="auto"/>
          <w:spacing w:val="6"/>
          <w:sz w:val="32"/>
          <w:szCs w:val="32"/>
          <w:highlight w:val="none"/>
        </w:rPr>
      </w:pPr>
    </w:p>
    <w:p w14:paraId="41BE72BC">
      <w:pPr>
        <w:autoSpaceDE w:val="0"/>
        <w:autoSpaceDN w:val="0"/>
        <w:jc w:val="center"/>
        <w:rPr>
          <w:rFonts w:hint="eastAsia" w:ascii="宋体" w:hAnsi="宋体" w:cs="宋体"/>
          <w:b/>
          <w:color w:val="auto"/>
          <w:spacing w:val="6"/>
          <w:sz w:val="32"/>
          <w:szCs w:val="32"/>
          <w:highlight w:val="none"/>
        </w:rPr>
      </w:pPr>
    </w:p>
    <w:p w14:paraId="6BBA5A5A">
      <w:pPr>
        <w:autoSpaceDE w:val="0"/>
        <w:autoSpaceDN w:val="0"/>
        <w:jc w:val="center"/>
        <w:rPr>
          <w:rFonts w:hint="eastAsia" w:ascii="宋体" w:hAnsi="宋体" w:cs="宋体"/>
          <w:b/>
          <w:color w:val="auto"/>
          <w:spacing w:val="6"/>
          <w:sz w:val="32"/>
          <w:szCs w:val="32"/>
          <w:highlight w:val="none"/>
        </w:rPr>
      </w:pPr>
    </w:p>
    <w:p w14:paraId="03978D1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4D34C927">
      <w:pPr>
        <w:spacing w:line="360" w:lineRule="auto"/>
        <w:rPr>
          <w:rFonts w:ascii="宋体" w:hAnsi="宋体" w:cs="宋体"/>
          <w:color w:val="auto"/>
          <w:sz w:val="24"/>
          <w:highlight w:val="none"/>
          <w:u w:val="single"/>
        </w:rPr>
      </w:pPr>
    </w:p>
    <w:p w14:paraId="7D9C7C47">
      <w:pPr>
        <w:pStyle w:val="2"/>
        <w:rPr>
          <w:color w:val="auto"/>
          <w:highlight w:val="none"/>
        </w:rPr>
      </w:pPr>
    </w:p>
    <w:p w14:paraId="20F5DF1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D1C4E8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 xml:space="preserve">（项目名称）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val="en-US" w:eastAsia="zh-CN"/>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9A22F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94D833A">
      <w:pPr>
        <w:spacing w:line="360" w:lineRule="auto"/>
        <w:ind w:firstLine="494"/>
        <w:rPr>
          <w:rFonts w:ascii="宋体" w:hAnsi="宋体" w:cs="宋体"/>
          <w:color w:val="auto"/>
          <w:sz w:val="24"/>
          <w:highlight w:val="none"/>
        </w:rPr>
      </w:pPr>
    </w:p>
    <w:p w14:paraId="5D7C87B9">
      <w:pPr>
        <w:spacing w:line="360" w:lineRule="auto"/>
        <w:ind w:firstLine="494"/>
        <w:rPr>
          <w:rFonts w:ascii="宋体" w:hAnsi="宋体" w:cs="宋体"/>
          <w:color w:val="auto"/>
          <w:sz w:val="24"/>
          <w:highlight w:val="none"/>
        </w:rPr>
      </w:pPr>
    </w:p>
    <w:p w14:paraId="41C32788">
      <w:pPr>
        <w:spacing w:line="360" w:lineRule="auto"/>
        <w:ind w:firstLine="494"/>
        <w:rPr>
          <w:rFonts w:ascii="宋体" w:hAnsi="宋体" w:cs="宋体"/>
          <w:color w:val="auto"/>
          <w:sz w:val="24"/>
          <w:highlight w:val="none"/>
        </w:rPr>
      </w:pPr>
    </w:p>
    <w:p w14:paraId="66B1DE2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158FA7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3EE7431">
      <w:pPr>
        <w:rPr>
          <w:rFonts w:ascii="宋体" w:hAnsi="宋体" w:cs="宋体"/>
          <w:color w:val="auto"/>
          <w:sz w:val="24"/>
          <w:highlight w:val="none"/>
        </w:rPr>
      </w:pPr>
      <w:r>
        <w:rPr>
          <w:rFonts w:hint="eastAsia" w:ascii="宋体" w:hAnsi="宋体" w:cs="宋体"/>
          <w:b/>
          <w:bCs/>
          <w:color w:val="auto"/>
          <w:sz w:val="24"/>
          <w:highlight w:val="none"/>
        </w:rPr>
        <w:t>附：</w:t>
      </w:r>
    </w:p>
    <w:p w14:paraId="57148097">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278416681"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3A0A2E7">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WQDz/YAAAACgEAAA8AAAAAAAAAAQAgAAAAIgAA&#10;AGRycy9kb3ducmV2LnhtbFBLAQIUABQAAAAIAIdO4kDc2wHRQQIAAIQEAAAOAAAAAAAAAAEAIAAA&#10;ACcBAABkcnMvZTJvRG9jLnhtbFBLBQYAAAAABgAGAFkBAADaBQAAAAA=&#10;">
                <v:fill on="t" focussize="0,0"/>
                <v:stroke color="#000000" miterlimit="2" joinstyle="miter"/>
                <v:imagedata o:title=""/>
                <o:lock v:ext="edit" aspectratio="f"/>
                <v:textbox>
                  <w:txbxContent>
                    <w:p w14:paraId="63A0A2E7">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699360494"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E51C2D9">
                            <w:pPr>
                              <w:jc w:val="center"/>
                            </w:pP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BgKCTwPgIAAIMEAAAOAAAAAAAAAAEAIAAAACcB&#10;AABkcnMvZTJvRG9jLnhtbFBLBQYAAAAABgAGAFkBAADXBQAAAAA=&#10;">
                <v:fill on="t" focussize="0,0"/>
                <v:stroke color="#000000" miterlimit="2" joinstyle="miter"/>
                <v:imagedata o:title=""/>
                <o:lock v:ext="edit" aspectratio="f"/>
                <v:textbox>
                  <w:txbxContent>
                    <w:p w14:paraId="3E51C2D9">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BAFCA5E">
      <w:pPr>
        <w:autoSpaceDE w:val="0"/>
        <w:autoSpaceDN w:val="0"/>
        <w:jc w:val="center"/>
        <w:rPr>
          <w:rFonts w:ascii="宋体" w:hAnsi="宋体" w:cs="宋体"/>
          <w:b/>
          <w:color w:val="auto"/>
          <w:spacing w:val="6"/>
          <w:sz w:val="32"/>
          <w:szCs w:val="32"/>
          <w:highlight w:val="none"/>
        </w:rPr>
      </w:pPr>
    </w:p>
    <w:p w14:paraId="12E30BF1">
      <w:pPr>
        <w:autoSpaceDE w:val="0"/>
        <w:autoSpaceDN w:val="0"/>
        <w:jc w:val="center"/>
        <w:rPr>
          <w:rFonts w:ascii="宋体" w:hAnsi="宋体" w:cs="宋体"/>
          <w:b/>
          <w:color w:val="auto"/>
          <w:spacing w:val="6"/>
          <w:sz w:val="32"/>
          <w:szCs w:val="32"/>
          <w:highlight w:val="none"/>
        </w:rPr>
      </w:pPr>
    </w:p>
    <w:p w14:paraId="00EF36E9">
      <w:pPr>
        <w:autoSpaceDE w:val="0"/>
        <w:autoSpaceDN w:val="0"/>
        <w:jc w:val="center"/>
        <w:rPr>
          <w:rFonts w:ascii="宋体" w:hAnsi="宋体" w:cs="宋体"/>
          <w:b/>
          <w:color w:val="auto"/>
          <w:spacing w:val="6"/>
          <w:sz w:val="32"/>
          <w:szCs w:val="32"/>
          <w:highlight w:val="none"/>
        </w:rPr>
      </w:pPr>
    </w:p>
    <w:p w14:paraId="4BE68B40">
      <w:pPr>
        <w:autoSpaceDE w:val="0"/>
        <w:autoSpaceDN w:val="0"/>
        <w:jc w:val="center"/>
        <w:rPr>
          <w:rFonts w:ascii="宋体" w:hAnsi="宋体" w:cs="宋体"/>
          <w:b/>
          <w:color w:val="auto"/>
          <w:spacing w:val="6"/>
          <w:sz w:val="32"/>
          <w:szCs w:val="32"/>
          <w:highlight w:val="none"/>
        </w:rPr>
      </w:pPr>
    </w:p>
    <w:p w14:paraId="4D6F0647">
      <w:pPr>
        <w:autoSpaceDE w:val="0"/>
        <w:autoSpaceDN w:val="0"/>
        <w:jc w:val="center"/>
        <w:rPr>
          <w:rFonts w:ascii="宋体" w:hAnsi="宋体" w:cs="宋体"/>
          <w:b/>
          <w:color w:val="auto"/>
          <w:spacing w:val="6"/>
          <w:sz w:val="32"/>
          <w:szCs w:val="32"/>
          <w:highlight w:val="none"/>
        </w:rPr>
      </w:pPr>
    </w:p>
    <w:p w14:paraId="4DAB8167">
      <w:pPr>
        <w:autoSpaceDE w:val="0"/>
        <w:autoSpaceDN w:val="0"/>
        <w:jc w:val="center"/>
        <w:rPr>
          <w:rFonts w:ascii="宋体" w:hAnsi="宋体" w:cs="宋体"/>
          <w:b/>
          <w:color w:val="auto"/>
          <w:spacing w:val="6"/>
          <w:sz w:val="32"/>
          <w:szCs w:val="32"/>
          <w:highlight w:val="none"/>
        </w:rPr>
      </w:pPr>
    </w:p>
    <w:p w14:paraId="159FA7A1">
      <w:pPr>
        <w:autoSpaceDE w:val="0"/>
        <w:autoSpaceDN w:val="0"/>
        <w:jc w:val="center"/>
        <w:rPr>
          <w:rFonts w:ascii="宋体" w:hAnsi="宋体" w:cs="宋体"/>
          <w:b/>
          <w:color w:val="auto"/>
          <w:spacing w:val="6"/>
          <w:sz w:val="32"/>
          <w:szCs w:val="32"/>
          <w:highlight w:val="none"/>
        </w:rPr>
      </w:pPr>
    </w:p>
    <w:p w14:paraId="6B650CA1">
      <w:pPr>
        <w:autoSpaceDE w:val="0"/>
        <w:autoSpaceDN w:val="0"/>
        <w:jc w:val="center"/>
        <w:rPr>
          <w:rFonts w:ascii="宋体" w:hAnsi="宋体" w:cs="宋体"/>
          <w:b/>
          <w:color w:val="auto"/>
          <w:spacing w:val="6"/>
          <w:sz w:val="32"/>
          <w:szCs w:val="32"/>
          <w:highlight w:val="none"/>
        </w:rPr>
      </w:pPr>
    </w:p>
    <w:p w14:paraId="7E3860E8">
      <w:pPr>
        <w:autoSpaceDE w:val="0"/>
        <w:autoSpaceDN w:val="0"/>
        <w:jc w:val="center"/>
        <w:rPr>
          <w:rFonts w:ascii="宋体" w:hAnsi="宋体" w:cs="宋体"/>
          <w:b/>
          <w:color w:val="auto"/>
          <w:spacing w:val="6"/>
          <w:sz w:val="32"/>
          <w:szCs w:val="32"/>
          <w:highlight w:val="none"/>
        </w:rPr>
      </w:pPr>
    </w:p>
    <w:p w14:paraId="54B5F167">
      <w:pPr>
        <w:autoSpaceDE w:val="0"/>
        <w:autoSpaceDN w:val="0"/>
        <w:jc w:val="center"/>
        <w:rPr>
          <w:rFonts w:ascii="宋体" w:hAnsi="宋体" w:cs="宋体"/>
          <w:b/>
          <w:color w:val="auto"/>
          <w:spacing w:val="6"/>
          <w:sz w:val="32"/>
          <w:szCs w:val="32"/>
          <w:highlight w:val="none"/>
        </w:rPr>
      </w:pPr>
    </w:p>
    <w:p w14:paraId="58C696F1">
      <w:pPr>
        <w:autoSpaceDE w:val="0"/>
        <w:autoSpaceDN w:val="0"/>
        <w:jc w:val="center"/>
        <w:rPr>
          <w:rFonts w:ascii="宋体" w:hAnsi="宋体" w:cs="宋体"/>
          <w:b/>
          <w:color w:val="auto"/>
          <w:spacing w:val="6"/>
          <w:sz w:val="32"/>
          <w:szCs w:val="32"/>
          <w:highlight w:val="none"/>
        </w:rPr>
      </w:pPr>
    </w:p>
    <w:p w14:paraId="6E31FA53">
      <w:pPr>
        <w:autoSpaceDE w:val="0"/>
        <w:autoSpaceDN w:val="0"/>
        <w:jc w:val="center"/>
        <w:rPr>
          <w:rFonts w:ascii="宋体" w:hAnsi="宋体" w:cs="宋体"/>
          <w:b/>
          <w:color w:val="auto"/>
          <w:spacing w:val="6"/>
          <w:sz w:val="32"/>
          <w:szCs w:val="32"/>
          <w:highlight w:val="none"/>
        </w:rPr>
      </w:pPr>
    </w:p>
    <w:p w14:paraId="0BE40494">
      <w:pPr>
        <w:autoSpaceDE w:val="0"/>
        <w:autoSpaceDN w:val="0"/>
        <w:jc w:val="center"/>
        <w:rPr>
          <w:rFonts w:ascii="宋体" w:hAnsi="宋体" w:cs="宋体"/>
          <w:b/>
          <w:color w:val="auto"/>
          <w:spacing w:val="6"/>
          <w:sz w:val="32"/>
          <w:szCs w:val="32"/>
          <w:highlight w:val="none"/>
        </w:rPr>
      </w:pPr>
    </w:p>
    <w:p w14:paraId="629FE2E2">
      <w:pPr>
        <w:autoSpaceDE w:val="0"/>
        <w:autoSpaceDN w:val="0"/>
        <w:jc w:val="center"/>
        <w:rPr>
          <w:rFonts w:ascii="宋体" w:hAnsi="宋体" w:cs="宋体"/>
          <w:b/>
          <w:color w:val="auto"/>
          <w:spacing w:val="6"/>
          <w:sz w:val="32"/>
          <w:szCs w:val="32"/>
          <w:highlight w:val="none"/>
        </w:rPr>
      </w:pPr>
    </w:p>
    <w:p w14:paraId="27FD602B">
      <w:pPr>
        <w:autoSpaceDE w:val="0"/>
        <w:autoSpaceDN w:val="0"/>
        <w:jc w:val="center"/>
        <w:rPr>
          <w:rFonts w:ascii="宋体" w:hAnsi="宋体" w:cs="宋体"/>
          <w:b/>
          <w:color w:val="auto"/>
          <w:spacing w:val="6"/>
          <w:sz w:val="32"/>
          <w:szCs w:val="32"/>
          <w:highlight w:val="none"/>
        </w:rPr>
      </w:pPr>
    </w:p>
    <w:p w14:paraId="7CB25E51">
      <w:pPr>
        <w:autoSpaceDE w:val="0"/>
        <w:autoSpaceDN w:val="0"/>
        <w:jc w:val="center"/>
        <w:rPr>
          <w:rFonts w:ascii="宋体" w:hAnsi="宋体" w:cs="宋体"/>
          <w:b/>
          <w:color w:val="auto"/>
          <w:spacing w:val="6"/>
          <w:sz w:val="32"/>
          <w:szCs w:val="32"/>
          <w:highlight w:val="none"/>
        </w:rPr>
      </w:pPr>
    </w:p>
    <w:p w14:paraId="11FE088D">
      <w:pPr>
        <w:autoSpaceDE w:val="0"/>
        <w:autoSpaceDN w:val="0"/>
        <w:jc w:val="center"/>
        <w:rPr>
          <w:rFonts w:ascii="宋体" w:hAnsi="宋体" w:cs="宋体"/>
          <w:b/>
          <w:color w:val="auto"/>
          <w:spacing w:val="6"/>
          <w:sz w:val="32"/>
          <w:szCs w:val="32"/>
          <w:highlight w:val="none"/>
        </w:rPr>
      </w:pPr>
    </w:p>
    <w:p w14:paraId="234942EF">
      <w:pPr>
        <w:autoSpaceDE w:val="0"/>
        <w:autoSpaceDN w:val="0"/>
        <w:jc w:val="center"/>
        <w:rPr>
          <w:rFonts w:ascii="宋体" w:hAnsi="宋体" w:cs="宋体"/>
          <w:b/>
          <w:color w:val="auto"/>
          <w:spacing w:val="6"/>
          <w:sz w:val="32"/>
          <w:szCs w:val="32"/>
          <w:highlight w:val="none"/>
        </w:rPr>
      </w:pPr>
    </w:p>
    <w:p w14:paraId="0D74DA1C">
      <w:pPr>
        <w:jc w:val="center"/>
        <w:rPr>
          <w:rFonts w:asciiTheme="minorEastAsia" w:hAnsiTheme="minorEastAsia" w:eastAsiaTheme="minorEastAsia"/>
          <w:b/>
          <w:bCs/>
          <w:color w:val="auto"/>
          <w:sz w:val="32"/>
          <w:szCs w:val="32"/>
          <w:highlight w:val="none"/>
        </w:rPr>
      </w:pPr>
      <w:bookmarkStart w:id="460" w:name="_Toc27865"/>
      <w:r>
        <w:rPr>
          <w:rFonts w:hint="eastAsia" w:asciiTheme="minorEastAsia" w:hAnsiTheme="minorEastAsia" w:eastAsiaTheme="minorEastAsia"/>
          <w:b/>
          <w:bCs/>
          <w:color w:val="auto"/>
          <w:sz w:val="32"/>
          <w:szCs w:val="32"/>
          <w:highlight w:val="none"/>
        </w:rPr>
        <w:t>附件3：联合协议</w:t>
      </w:r>
      <w:bookmarkEnd w:id="460"/>
    </w:p>
    <w:p w14:paraId="2F3A6B45">
      <w:pPr>
        <w:pStyle w:val="63"/>
        <w:ind w:firstLine="420"/>
        <w:rPr>
          <w:rFonts w:asciiTheme="minorEastAsia" w:hAnsiTheme="minorEastAsia" w:eastAsiaTheme="minorEastAsia"/>
          <w:color w:val="auto"/>
          <w:highlight w:val="none"/>
        </w:rPr>
      </w:pPr>
    </w:p>
    <w:p w14:paraId="01EEBF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CA8B4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 xml:space="preserve">（项目名称）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 xml:space="preserve">投标。 </w:t>
      </w:r>
    </w:p>
    <w:p w14:paraId="53B6D3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42369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A0251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3861632">
      <w:pPr>
        <w:snapToGrid w:val="0"/>
        <w:spacing w:line="360" w:lineRule="auto"/>
        <w:ind w:firstLine="576"/>
        <w:rPr>
          <w:rFonts w:ascii="宋体" w:hAnsi="宋体" w:cs="宋体"/>
          <w:color w:val="auto"/>
          <w:kern w:val="0"/>
          <w:sz w:val="24"/>
          <w:highlight w:val="none"/>
          <w:lang w:val="zh-CN"/>
        </w:rPr>
      </w:pPr>
      <w:bookmarkStart w:id="46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036AB5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2DF562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61"/>
    <w:p w14:paraId="02C9A8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7E73B4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15F66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5C73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82B9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FC517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1、联合体各方不再单独参加或者与其他投标人另外组成联合体参加同一合同项下的政府采购活动。</w:t>
      </w:r>
    </w:p>
    <w:p w14:paraId="39BA8C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2、联合体中有同类资质的各方按照联合体分工承担相同工作的，按照资质等级较低的投标人确定资质等级。</w:t>
      </w:r>
    </w:p>
    <w:p w14:paraId="5A3A46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8606ED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C7B191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22214E4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715BB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AF0B9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12E123">
      <w:pPr>
        <w:autoSpaceDE w:val="0"/>
        <w:autoSpaceDN w:val="0"/>
        <w:jc w:val="center"/>
        <w:rPr>
          <w:rFonts w:ascii="宋体" w:hAnsi="宋体" w:cs="宋体"/>
          <w:b/>
          <w:color w:val="auto"/>
          <w:spacing w:val="6"/>
          <w:sz w:val="32"/>
          <w:szCs w:val="32"/>
          <w:highlight w:val="none"/>
        </w:rPr>
      </w:pPr>
    </w:p>
    <w:p w14:paraId="5DF0ACC2">
      <w:pPr>
        <w:autoSpaceDE w:val="0"/>
        <w:autoSpaceDN w:val="0"/>
        <w:jc w:val="center"/>
        <w:rPr>
          <w:rFonts w:ascii="宋体" w:hAnsi="宋体" w:cs="宋体"/>
          <w:b/>
          <w:color w:val="auto"/>
          <w:spacing w:val="6"/>
          <w:sz w:val="32"/>
          <w:szCs w:val="32"/>
          <w:highlight w:val="none"/>
        </w:rPr>
      </w:pPr>
    </w:p>
    <w:p w14:paraId="7B9B65BA">
      <w:pPr>
        <w:autoSpaceDE w:val="0"/>
        <w:autoSpaceDN w:val="0"/>
        <w:jc w:val="center"/>
        <w:rPr>
          <w:rFonts w:ascii="宋体" w:hAnsi="宋体" w:cs="宋体"/>
          <w:b/>
          <w:color w:val="auto"/>
          <w:spacing w:val="6"/>
          <w:sz w:val="32"/>
          <w:szCs w:val="32"/>
          <w:highlight w:val="none"/>
        </w:rPr>
      </w:pPr>
    </w:p>
    <w:p w14:paraId="3F73FF36">
      <w:pPr>
        <w:autoSpaceDE w:val="0"/>
        <w:autoSpaceDN w:val="0"/>
        <w:jc w:val="center"/>
        <w:rPr>
          <w:rFonts w:ascii="宋体" w:hAnsi="宋体" w:cs="宋体"/>
          <w:b/>
          <w:color w:val="auto"/>
          <w:spacing w:val="6"/>
          <w:sz w:val="32"/>
          <w:szCs w:val="32"/>
          <w:highlight w:val="none"/>
        </w:rPr>
      </w:pPr>
    </w:p>
    <w:p w14:paraId="75AD9903">
      <w:pPr>
        <w:autoSpaceDE w:val="0"/>
        <w:autoSpaceDN w:val="0"/>
        <w:jc w:val="center"/>
        <w:rPr>
          <w:rFonts w:ascii="宋体" w:hAnsi="宋体" w:cs="宋体"/>
          <w:b/>
          <w:color w:val="auto"/>
          <w:spacing w:val="6"/>
          <w:sz w:val="32"/>
          <w:szCs w:val="32"/>
          <w:highlight w:val="none"/>
        </w:rPr>
      </w:pPr>
    </w:p>
    <w:p w14:paraId="1FFD4775">
      <w:pPr>
        <w:autoSpaceDE w:val="0"/>
        <w:autoSpaceDN w:val="0"/>
        <w:jc w:val="center"/>
        <w:rPr>
          <w:rFonts w:ascii="宋体" w:hAnsi="宋体" w:cs="宋体"/>
          <w:b/>
          <w:color w:val="auto"/>
          <w:spacing w:val="6"/>
          <w:sz w:val="32"/>
          <w:szCs w:val="32"/>
          <w:highlight w:val="none"/>
        </w:rPr>
      </w:pPr>
    </w:p>
    <w:p w14:paraId="3B79E5E6">
      <w:pPr>
        <w:autoSpaceDE w:val="0"/>
        <w:autoSpaceDN w:val="0"/>
        <w:jc w:val="center"/>
        <w:rPr>
          <w:rFonts w:ascii="宋体" w:hAnsi="宋体" w:cs="宋体"/>
          <w:b/>
          <w:color w:val="auto"/>
          <w:spacing w:val="6"/>
          <w:sz w:val="32"/>
          <w:szCs w:val="32"/>
          <w:highlight w:val="none"/>
        </w:rPr>
      </w:pPr>
    </w:p>
    <w:p w14:paraId="3F5983AB">
      <w:pPr>
        <w:autoSpaceDE w:val="0"/>
        <w:autoSpaceDN w:val="0"/>
        <w:jc w:val="center"/>
        <w:rPr>
          <w:rFonts w:ascii="宋体" w:hAnsi="宋体" w:cs="宋体"/>
          <w:b/>
          <w:color w:val="auto"/>
          <w:spacing w:val="6"/>
          <w:sz w:val="32"/>
          <w:szCs w:val="32"/>
          <w:highlight w:val="none"/>
        </w:rPr>
      </w:pPr>
    </w:p>
    <w:p w14:paraId="0D3578EB">
      <w:pPr>
        <w:autoSpaceDE w:val="0"/>
        <w:autoSpaceDN w:val="0"/>
        <w:jc w:val="center"/>
        <w:rPr>
          <w:rFonts w:ascii="宋体" w:hAnsi="宋体" w:cs="宋体"/>
          <w:b/>
          <w:color w:val="auto"/>
          <w:spacing w:val="6"/>
          <w:sz w:val="32"/>
          <w:szCs w:val="32"/>
          <w:highlight w:val="none"/>
        </w:rPr>
      </w:pPr>
    </w:p>
    <w:p w14:paraId="7B6509B9">
      <w:pPr>
        <w:autoSpaceDE w:val="0"/>
        <w:autoSpaceDN w:val="0"/>
        <w:jc w:val="center"/>
        <w:rPr>
          <w:rFonts w:ascii="宋体" w:hAnsi="宋体" w:cs="宋体"/>
          <w:b/>
          <w:color w:val="auto"/>
          <w:spacing w:val="6"/>
          <w:sz w:val="32"/>
          <w:szCs w:val="32"/>
          <w:highlight w:val="none"/>
        </w:rPr>
      </w:pPr>
    </w:p>
    <w:p w14:paraId="05598F78">
      <w:pPr>
        <w:autoSpaceDE w:val="0"/>
        <w:autoSpaceDN w:val="0"/>
        <w:jc w:val="center"/>
        <w:rPr>
          <w:rFonts w:ascii="宋体" w:hAnsi="宋体" w:cs="宋体"/>
          <w:b/>
          <w:color w:val="auto"/>
          <w:spacing w:val="6"/>
          <w:sz w:val="32"/>
          <w:szCs w:val="32"/>
          <w:highlight w:val="none"/>
        </w:rPr>
      </w:pPr>
    </w:p>
    <w:p w14:paraId="21CA8915">
      <w:pPr>
        <w:autoSpaceDE w:val="0"/>
        <w:autoSpaceDN w:val="0"/>
        <w:jc w:val="center"/>
        <w:rPr>
          <w:rFonts w:ascii="宋体" w:hAnsi="宋体" w:cs="宋体"/>
          <w:b/>
          <w:color w:val="auto"/>
          <w:spacing w:val="6"/>
          <w:sz w:val="32"/>
          <w:szCs w:val="32"/>
          <w:highlight w:val="none"/>
        </w:rPr>
      </w:pPr>
    </w:p>
    <w:p w14:paraId="0C4772B4">
      <w:pPr>
        <w:autoSpaceDE w:val="0"/>
        <w:autoSpaceDN w:val="0"/>
        <w:jc w:val="center"/>
        <w:rPr>
          <w:rFonts w:ascii="宋体" w:hAnsi="宋体" w:cs="宋体"/>
          <w:b/>
          <w:color w:val="auto"/>
          <w:spacing w:val="6"/>
          <w:sz w:val="32"/>
          <w:szCs w:val="32"/>
          <w:highlight w:val="none"/>
        </w:rPr>
      </w:pPr>
    </w:p>
    <w:p w14:paraId="7251EDAB">
      <w:pPr>
        <w:autoSpaceDE w:val="0"/>
        <w:autoSpaceDN w:val="0"/>
        <w:jc w:val="center"/>
        <w:rPr>
          <w:rFonts w:ascii="宋体" w:hAnsi="宋体" w:cs="宋体"/>
          <w:b/>
          <w:color w:val="auto"/>
          <w:spacing w:val="6"/>
          <w:sz w:val="32"/>
          <w:szCs w:val="32"/>
          <w:highlight w:val="none"/>
        </w:rPr>
      </w:pPr>
    </w:p>
    <w:p w14:paraId="6159FB50">
      <w:pPr>
        <w:autoSpaceDE w:val="0"/>
        <w:autoSpaceDN w:val="0"/>
        <w:jc w:val="center"/>
        <w:rPr>
          <w:rFonts w:ascii="宋体" w:hAnsi="宋体" w:cs="宋体"/>
          <w:b/>
          <w:color w:val="auto"/>
          <w:spacing w:val="6"/>
          <w:sz w:val="32"/>
          <w:szCs w:val="32"/>
          <w:highlight w:val="none"/>
        </w:rPr>
      </w:pPr>
    </w:p>
    <w:p w14:paraId="065D7EFB">
      <w:pPr>
        <w:autoSpaceDE w:val="0"/>
        <w:autoSpaceDN w:val="0"/>
        <w:jc w:val="center"/>
        <w:rPr>
          <w:rFonts w:ascii="宋体" w:hAnsi="宋体" w:cs="宋体"/>
          <w:b/>
          <w:color w:val="auto"/>
          <w:spacing w:val="6"/>
          <w:sz w:val="32"/>
          <w:szCs w:val="32"/>
          <w:highlight w:val="none"/>
        </w:rPr>
      </w:pPr>
    </w:p>
    <w:p w14:paraId="6612AFFF">
      <w:pPr>
        <w:autoSpaceDE w:val="0"/>
        <w:autoSpaceDN w:val="0"/>
        <w:jc w:val="center"/>
        <w:rPr>
          <w:rFonts w:ascii="宋体" w:hAnsi="宋体" w:cs="宋体"/>
          <w:b/>
          <w:color w:val="auto"/>
          <w:spacing w:val="6"/>
          <w:sz w:val="32"/>
          <w:szCs w:val="32"/>
          <w:highlight w:val="none"/>
        </w:rPr>
      </w:pPr>
    </w:p>
    <w:p w14:paraId="5AC292BA">
      <w:pPr>
        <w:autoSpaceDE w:val="0"/>
        <w:autoSpaceDN w:val="0"/>
        <w:jc w:val="center"/>
        <w:rPr>
          <w:rFonts w:ascii="宋体" w:hAnsi="宋体" w:cs="宋体"/>
          <w:b/>
          <w:color w:val="auto"/>
          <w:spacing w:val="6"/>
          <w:sz w:val="32"/>
          <w:szCs w:val="32"/>
          <w:highlight w:val="none"/>
        </w:rPr>
      </w:pPr>
    </w:p>
    <w:p w14:paraId="566B4ACD">
      <w:pPr>
        <w:autoSpaceDE w:val="0"/>
        <w:autoSpaceDN w:val="0"/>
        <w:jc w:val="center"/>
        <w:rPr>
          <w:rFonts w:ascii="宋体" w:hAnsi="宋体" w:cs="宋体"/>
          <w:b/>
          <w:color w:val="auto"/>
          <w:spacing w:val="6"/>
          <w:sz w:val="32"/>
          <w:szCs w:val="32"/>
          <w:highlight w:val="none"/>
        </w:rPr>
      </w:pPr>
    </w:p>
    <w:p w14:paraId="61AAD3E1">
      <w:pPr>
        <w:autoSpaceDE w:val="0"/>
        <w:autoSpaceDN w:val="0"/>
        <w:jc w:val="center"/>
        <w:rPr>
          <w:rFonts w:ascii="宋体" w:hAnsi="宋体" w:cs="宋体"/>
          <w:b/>
          <w:color w:val="auto"/>
          <w:spacing w:val="6"/>
          <w:sz w:val="32"/>
          <w:szCs w:val="32"/>
          <w:highlight w:val="none"/>
        </w:rPr>
      </w:pPr>
    </w:p>
    <w:p w14:paraId="5E4C067F">
      <w:pPr>
        <w:autoSpaceDE w:val="0"/>
        <w:autoSpaceDN w:val="0"/>
        <w:jc w:val="center"/>
        <w:rPr>
          <w:rFonts w:ascii="宋体" w:hAnsi="宋体" w:cs="宋体"/>
          <w:b/>
          <w:color w:val="auto"/>
          <w:spacing w:val="6"/>
          <w:sz w:val="32"/>
          <w:szCs w:val="32"/>
          <w:highlight w:val="none"/>
        </w:rPr>
      </w:pPr>
    </w:p>
    <w:p w14:paraId="53315860">
      <w:pPr>
        <w:autoSpaceDE w:val="0"/>
        <w:autoSpaceDN w:val="0"/>
        <w:jc w:val="center"/>
        <w:rPr>
          <w:rFonts w:ascii="宋体" w:hAnsi="宋体" w:cs="宋体"/>
          <w:b/>
          <w:color w:val="auto"/>
          <w:spacing w:val="6"/>
          <w:sz w:val="32"/>
          <w:szCs w:val="32"/>
          <w:highlight w:val="none"/>
        </w:rPr>
      </w:pPr>
    </w:p>
    <w:p w14:paraId="21C5F9D2">
      <w:pPr>
        <w:autoSpaceDE w:val="0"/>
        <w:autoSpaceDN w:val="0"/>
        <w:jc w:val="center"/>
        <w:rPr>
          <w:rFonts w:ascii="宋体" w:hAnsi="宋体" w:cs="宋体"/>
          <w:b/>
          <w:color w:val="auto"/>
          <w:spacing w:val="6"/>
          <w:sz w:val="32"/>
          <w:szCs w:val="32"/>
          <w:highlight w:val="none"/>
        </w:rPr>
      </w:pPr>
    </w:p>
    <w:p w14:paraId="1B99C6C6">
      <w:pPr>
        <w:jc w:val="center"/>
        <w:rPr>
          <w:b/>
          <w:bCs/>
          <w:color w:val="auto"/>
          <w:sz w:val="32"/>
          <w:szCs w:val="32"/>
          <w:highlight w:val="none"/>
        </w:rPr>
      </w:pPr>
      <w:bookmarkStart w:id="462" w:name="_Toc22286"/>
      <w:r>
        <w:rPr>
          <w:rFonts w:hint="eastAsia"/>
          <w:b/>
          <w:bCs/>
          <w:color w:val="auto"/>
          <w:sz w:val="32"/>
          <w:szCs w:val="32"/>
          <w:highlight w:val="none"/>
        </w:rPr>
        <w:t>附件4：分包意向协议</w:t>
      </w:r>
      <w:bookmarkEnd w:id="462"/>
    </w:p>
    <w:p w14:paraId="324492EC">
      <w:pPr>
        <w:pStyle w:val="63"/>
        <w:ind w:firstLine="420"/>
        <w:rPr>
          <w:color w:val="auto"/>
          <w:highlight w:val="none"/>
        </w:rPr>
      </w:pPr>
    </w:p>
    <w:p w14:paraId="7FC220F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4AECB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 xml:space="preserve">（项目名称）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的中标投标人，将依法采取分包方式履行合同。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（所有分包投标人名称）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BA3E3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5743B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（分包投标人1名称）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（分包投标人1名称），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542CB02">
      <w:pPr>
        <w:pStyle w:val="7"/>
        <w:ind w:left="664" w:leftChars="316" w:firstLine="229" w:firstLineChars="95"/>
        <w:rPr>
          <w:rFonts w:ascii="宋体" w:hAnsi="宋体" w:eastAsia="宋体" w:cs="宋体"/>
          <w:color w:val="auto"/>
          <w:kern w:val="0"/>
          <w:sz w:val="24"/>
          <w:szCs w:val="24"/>
          <w:highlight w:val="none"/>
        </w:rPr>
      </w:pPr>
      <w:bookmarkStart w:id="463" w:name="_Toc17735"/>
      <w:r>
        <w:rPr>
          <w:rFonts w:hint="eastAsia" w:ascii="宋体" w:hAnsi="宋体" w:eastAsia="宋体" w:cs="宋体"/>
          <w:color w:val="auto"/>
          <w:kern w:val="0"/>
          <w:sz w:val="24"/>
          <w:szCs w:val="24"/>
          <w:highlight w:val="none"/>
        </w:rPr>
        <w:t>……</w:t>
      </w:r>
      <w:bookmarkEnd w:id="463"/>
    </w:p>
    <w:p w14:paraId="128EE3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二、分包投标人中小企业合同份额</w:t>
      </w:r>
    </w:p>
    <w:p w14:paraId="1F32AD6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（分包投标人X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0A1F3F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4"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要求合同分包形式参加的项目或采购包，投标人按招标文件第一部分招标公告申请人的资格要求中规定的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4"/>
    </w:p>
    <w:p w14:paraId="69BEC6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4BD7936">
      <w:pPr>
        <w:snapToGrid w:val="0"/>
        <w:spacing w:line="360" w:lineRule="auto"/>
        <w:ind w:firstLine="576"/>
        <w:rPr>
          <w:rFonts w:ascii="宋体" w:hAnsi="宋体" w:cs="宋体"/>
          <w:color w:val="auto"/>
          <w:highlight w:val="none"/>
          <w:u w:val="single"/>
        </w:rPr>
      </w:pPr>
    </w:p>
    <w:p w14:paraId="1C6173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F75E0C2">
      <w:pPr>
        <w:snapToGrid w:val="0"/>
        <w:spacing w:line="360" w:lineRule="auto"/>
        <w:ind w:firstLine="576"/>
        <w:rPr>
          <w:rFonts w:ascii="宋体" w:hAnsi="宋体" w:cs="宋体"/>
          <w:color w:val="auto"/>
          <w:kern w:val="0"/>
          <w:sz w:val="24"/>
          <w:highlight w:val="none"/>
          <w:lang w:val="zh-CN"/>
        </w:rPr>
      </w:pPr>
    </w:p>
    <w:p w14:paraId="251962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852F19">
      <w:pPr>
        <w:snapToGrid w:val="0"/>
        <w:spacing w:line="360" w:lineRule="auto"/>
        <w:ind w:left="573" w:leftChars="273"/>
        <w:rPr>
          <w:rFonts w:ascii="宋体" w:hAnsi="宋体" w:cs="宋体"/>
          <w:color w:val="auto"/>
          <w:kern w:val="0"/>
          <w:sz w:val="24"/>
          <w:highlight w:val="none"/>
          <w:lang w:val="zh-CN"/>
        </w:rPr>
      </w:pPr>
    </w:p>
    <w:p w14:paraId="7109D6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51FC794">
      <w:pPr>
        <w:snapToGrid w:val="0"/>
        <w:spacing w:line="360" w:lineRule="auto"/>
        <w:ind w:firstLine="576"/>
        <w:rPr>
          <w:rFonts w:ascii="宋体" w:hAnsi="宋体" w:cs="宋体"/>
          <w:color w:val="auto"/>
          <w:kern w:val="0"/>
          <w:sz w:val="24"/>
          <w:highlight w:val="none"/>
          <w:lang w:val="zh-CN"/>
        </w:rPr>
      </w:pPr>
    </w:p>
    <w:p w14:paraId="69129D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CF37D3">
      <w:pPr>
        <w:snapToGrid w:val="0"/>
        <w:spacing w:line="360" w:lineRule="auto"/>
        <w:ind w:firstLine="576"/>
        <w:rPr>
          <w:rFonts w:ascii="宋体" w:hAnsi="宋体" w:cs="宋体"/>
          <w:color w:val="auto"/>
          <w:kern w:val="0"/>
          <w:sz w:val="24"/>
          <w:highlight w:val="none"/>
          <w:lang w:val="zh-CN"/>
        </w:rPr>
      </w:pPr>
    </w:p>
    <w:p w14:paraId="4C47A27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14:paraId="614D651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4C71284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FB8F6B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5A65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2A1476">
      <w:pPr>
        <w:autoSpaceDE w:val="0"/>
        <w:autoSpaceDN w:val="0"/>
        <w:jc w:val="center"/>
        <w:rPr>
          <w:rFonts w:ascii="宋体" w:hAnsi="宋体" w:cs="宋体"/>
          <w:b/>
          <w:color w:val="auto"/>
          <w:spacing w:val="6"/>
          <w:sz w:val="32"/>
          <w:szCs w:val="32"/>
          <w:highlight w:val="none"/>
        </w:rPr>
      </w:pPr>
    </w:p>
    <w:p w14:paraId="325DB106">
      <w:pPr>
        <w:autoSpaceDE w:val="0"/>
        <w:autoSpaceDN w:val="0"/>
        <w:jc w:val="center"/>
        <w:rPr>
          <w:rFonts w:ascii="宋体" w:hAnsi="宋体" w:cs="宋体"/>
          <w:b/>
          <w:color w:val="auto"/>
          <w:spacing w:val="6"/>
          <w:sz w:val="32"/>
          <w:szCs w:val="32"/>
          <w:highlight w:val="none"/>
        </w:rPr>
      </w:pPr>
    </w:p>
    <w:p w14:paraId="377C86FA">
      <w:pPr>
        <w:autoSpaceDE w:val="0"/>
        <w:autoSpaceDN w:val="0"/>
        <w:jc w:val="center"/>
        <w:rPr>
          <w:rFonts w:ascii="宋体" w:hAnsi="宋体" w:cs="宋体"/>
          <w:b/>
          <w:color w:val="auto"/>
          <w:spacing w:val="6"/>
          <w:sz w:val="32"/>
          <w:szCs w:val="32"/>
          <w:highlight w:val="none"/>
        </w:rPr>
      </w:pPr>
    </w:p>
    <w:p w14:paraId="04D3A205">
      <w:pPr>
        <w:autoSpaceDE w:val="0"/>
        <w:autoSpaceDN w:val="0"/>
        <w:jc w:val="center"/>
        <w:rPr>
          <w:rFonts w:ascii="宋体" w:hAnsi="宋体" w:cs="宋体"/>
          <w:b/>
          <w:color w:val="auto"/>
          <w:spacing w:val="6"/>
          <w:sz w:val="32"/>
          <w:szCs w:val="32"/>
          <w:highlight w:val="none"/>
        </w:rPr>
      </w:pPr>
    </w:p>
    <w:p w14:paraId="0BE4E40E">
      <w:pPr>
        <w:autoSpaceDE w:val="0"/>
        <w:autoSpaceDN w:val="0"/>
        <w:jc w:val="center"/>
        <w:rPr>
          <w:rFonts w:ascii="宋体" w:hAnsi="宋体" w:cs="宋体"/>
          <w:b/>
          <w:color w:val="auto"/>
          <w:spacing w:val="6"/>
          <w:sz w:val="32"/>
          <w:szCs w:val="32"/>
          <w:highlight w:val="none"/>
        </w:rPr>
      </w:pPr>
    </w:p>
    <w:p w14:paraId="757192F5">
      <w:pPr>
        <w:autoSpaceDE w:val="0"/>
        <w:autoSpaceDN w:val="0"/>
        <w:jc w:val="center"/>
        <w:rPr>
          <w:rFonts w:ascii="宋体" w:hAnsi="宋体" w:cs="宋体"/>
          <w:b/>
          <w:color w:val="auto"/>
          <w:spacing w:val="6"/>
          <w:sz w:val="32"/>
          <w:szCs w:val="32"/>
          <w:highlight w:val="none"/>
        </w:rPr>
      </w:pPr>
    </w:p>
    <w:p w14:paraId="762CD8FE">
      <w:pPr>
        <w:autoSpaceDE w:val="0"/>
        <w:autoSpaceDN w:val="0"/>
        <w:jc w:val="center"/>
        <w:rPr>
          <w:rFonts w:ascii="宋体" w:hAnsi="宋体" w:cs="宋体"/>
          <w:b/>
          <w:color w:val="auto"/>
          <w:spacing w:val="6"/>
          <w:sz w:val="32"/>
          <w:szCs w:val="32"/>
          <w:highlight w:val="none"/>
        </w:rPr>
      </w:pPr>
    </w:p>
    <w:p w14:paraId="6BEB5368">
      <w:pPr>
        <w:autoSpaceDE w:val="0"/>
        <w:autoSpaceDN w:val="0"/>
        <w:jc w:val="center"/>
        <w:rPr>
          <w:rFonts w:ascii="宋体" w:hAnsi="宋体" w:cs="宋体"/>
          <w:b/>
          <w:color w:val="auto"/>
          <w:spacing w:val="6"/>
          <w:sz w:val="32"/>
          <w:szCs w:val="32"/>
          <w:highlight w:val="none"/>
        </w:rPr>
      </w:pPr>
    </w:p>
    <w:p w14:paraId="5F2BD003">
      <w:pPr>
        <w:autoSpaceDE w:val="0"/>
        <w:autoSpaceDN w:val="0"/>
        <w:jc w:val="center"/>
        <w:rPr>
          <w:rFonts w:ascii="宋体" w:hAnsi="宋体" w:cs="宋体"/>
          <w:b/>
          <w:color w:val="auto"/>
          <w:spacing w:val="6"/>
          <w:sz w:val="32"/>
          <w:szCs w:val="32"/>
          <w:highlight w:val="none"/>
        </w:rPr>
      </w:pPr>
    </w:p>
    <w:p w14:paraId="47606887">
      <w:pPr>
        <w:autoSpaceDE w:val="0"/>
        <w:autoSpaceDN w:val="0"/>
        <w:jc w:val="center"/>
        <w:rPr>
          <w:rFonts w:ascii="宋体" w:hAnsi="宋体" w:cs="宋体"/>
          <w:b/>
          <w:color w:val="auto"/>
          <w:spacing w:val="6"/>
          <w:sz w:val="32"/>
          <w:szCs w:val="32"/>
          <w:highlight w:val="none"/>
        </w:rPr>
      </w:pPr>
    </w:p>
    <w:p w14:paraId="0BFD8776">
      <w:pPr>
        <w:autoSpaceDE w:val="0"/>
        <w:autoSpaceDN w:val="0"/>
        <w:jc w:val="center"/>
        <w:rPr>
          <w:rFonts w:ascii="宋体" w:hAnsi="宋体" w:cs="宋体"/>
          <w:b/>
          <w:color w:val="auto"/>
          <w:spacing w:val="6"/>
          <w:sz w:val="32"/>
          <w:szCs w:val="32"/>
          <w:highlight w:val="none"/>
        </w:rPr>
      </w:pPr>
    </w:p>
    <w:p w14:paraId="7EC06A5D">
      <w:pPr>
        <w:autoSpaceDE w:val="0"/>
        <w:autoSpaceDN w:val="0"/>
        <w:jc w:val="center"/>
        <w:rPr>
          <w:rFonts w:ascii="宋体" w:hAnsi="宋体" w:cs="宋体"/>
          <w:b/>
          <w:color w:val="auto"/>
          <w:spacing w:val="6"/>
          <w:sz w:val="32"/>
          <w:szCs w:val="32"/>
          <w:highlight w:val="none"/>
        </w:rPr>
      </w:pPr>
    </w:p>
    <w:p w14:paraId="7E6D2811">
      <w:pPr>
        <w:autoSpaceDE w:val="0"/>
        <w:autoSpaceDN w:val="0"/>
        <w:jc w:val="center"/>
        <w:rPr>
          <w:rFonts w:ascii="宋体" w:hAnsi="宋体" w:cs="宋体"/>
          <w:b/>
          <w:color w:val="auto"/>
          <w:spacing w:val="6"/>
          <w:sz w:val="32"/>
          <w:szCs w:val="32"/>
          <w:highlight w:val="none"/>
        </w:rPr>
      </w:pPr>
    </w:p>
    <w:p w14:paraId="2C5C804D">
      <w:pPr>
        <w:autoSpaceDE w:val="0"/>
        <w:autoSpaceDN w:val="0"/>
        <w:jc w:val="center"/>
        <w:rPr>
          <w:rFonts w:ascii="宋体" w:hAnsi="宋体" w:cs="宋体"/>
          <w:b/>
          <w:color w:val="auto"/>
          <w:spacing w:val="6"/>
          <w:sz w:val="32"/>
          <w:szCs w:val="32"/>
          <w:highlight w:val="none"/>
        </w:rPr>
      </w:pPr>
    </w:p>
    <w:p w14:paraId="68B6DD32">
      <w:pPr>
        <w:autoSpaceDE w:val="0"/>
        <w:autoSpaceDN w:val="0"/>
        <w:jc w:val="center"/>
        <w:rPr>
          <w:rFonts w:ascii="宋体" w:hAnsi="宋体" w:cs="宋体"/>
          <w:b/>
          <w:color w:val="auto"/>
          <w:spacing w:val="6"/>
          <w:sz w:val="32"/>
          <w:szCs w:val="32"/>
          <w:highlight w:val="none"/>
        </w:rPr>
      </w:pPr>
    </w:p>
    <w:p w14:paraId="0539208A">
      <w:pPr>
        <w:autoSpaceDE w:val="0"/>
        <w:autoSpaceDN w:val="0"/>
        <w:jc w:val="center"/>
        <w:rPr>
          <w:rFonts w:ascii="宋体" w:hAnsi="宋体" w:cs="宋体"/>
          <w:b/>
          <w:color w:val="auto"/>
          <w:spacing w:val="6"/>
          <w:sz w:val="32"/>
          <w:szCs w:val="32"/>
          <w:highlight w:val="none"/>
        </w:rPr>
      </w:pPr>
    </w:p>
    <w:p w14:paraId="3F9B208A">
      <w:pPr>
        <w:autoSpaceDE w:val="0"/>
        <w:autoSpaceDN w:val="0"/>
        <w:jc w:val="center"/>
        <w:rPr>
          <w:rFonts w:ascii="宋体" w:hAnsi="宋体" w:cs="宋体"/>
          <w:b/>
          <w:color w:val="auto"/>
          <w:spacing w:val="6"/>
          <w:sz w:val="32"/>
          <w:szCs w:val="32"/>
          <w:highlight w:val="none"/>
        </w:rPr>
      </w:pPr>
    </w:p>
    <w:p w14:paraId="0F4734E9">
      <w:pPr>
        <w:autoSpaceDE w:val="0"/>
        <w:autoSpaceDN w:val="0"/>
        <w:jc w:val="center"/>
        <w:rPr>
          <w:rFonts w:ascii="宋体" w:hAnsi="宋体" w:cs="宋体"/>
          <w:b/>
          <w:color w:val="auto"/>
          <w:spacing w:val="6"/>
          <w:sz w:val="32"/>
          <w:szCs w:val="32"/>
          <w:highlight w:val="none"/>
        </w:rPr>
      </w:pPr>
    </w:p>
    <w:p w14:paraId="074ABD40">
      <w:pPr>
        <w:autoSpaceDE w:val="0"/>
        <w:autoSpaceDN w:val="0"/>
        <w:jc w:val="center"/>
        <w:rPr>
          <w:rFonts w:ascii="宋体" w:hAnsi="宋体" w:cs="宋体"/>
          <w:b/>
          <w:color w:val="auto"/>
          <w:spacing w:val="6"/>
          <w:sz w:val="32"/>
          <w:szCs w:val="32"/>
          <w:highlight w:val="none"/>
        </w:rPr>
      </w:pPr>
    </w:p>
    <w:p w14:paraId="69A141A9">
      <w:pPr>
        <w:autoSpaceDE w:val="0"/>
        <w:autoSpaceDN w:val="0"/>
        <w:jc w:val="center"/>
        <w:rPr>
          <w:rFonts w:ascii="宋体" w:hAnsi="宋体" w:cs="宋体"/>
          <w:b/>
          <w:color w:val="auto"/>
          <w:spacing w:val="6"/>
          <w:sz w:val="32"/>
          <w:szCs w:val="32"/>
          <w:highlight w:val="none"/>
        </w:rPr>
      </w:pPr>
    </w:p>
    <w:p w14:paraId="4948F131">
      <w:pPr>
        <w:autoSpaceDE w:val="0"/>
        <w:autoSpaceDN w:val="0"/>
        <w:jc w:val="center"/>
        <w:rPr>
          <w:rFonts w:ascii="宋体" w:hAnsi="宋体" w:cs="宋体"/>
          <w:b/>
          <w:color w:val="auto"/>
          <w:spacing w:val="6"/>
          <w:sz w:val="32"/>
          <w:szCs w:val="32"/>
          <w:highlight w:val="none"/>
        </w:rPr>
      </w:pPr>
    </w:p>
    <w:p w14:paraId="19F94187">
      <w:pPr>
        <w:autoSpaceDE w:val="0"/>
        <w:autoSpaceDN w:val="0"/>
        <w:jc w:val="center"/>
        <w:rPr>
          <w:rFonts w:ascii="宋体" w:hAnsi="宋体" w:cs="宋体"/>
          <w:b/>
          <w:color w:val="auto"/>
          <w:spacing w:val="6"/>
          <w:sz w:val="32"/>
          <w:szCs w:val="32"/>
          <w:highlight w:val="none"/>
        </w:rPr>
      </w:pPr>
    </w:p>
    <w:p w14:paraId="579D6337">
      <w:pPr>
        <w:autoSpaceDE w:val="0"/>
        <w:autoSpaceDN w:val="0"/>
        <w:jc w:val="center"/>
        <w:rPr>
          <w:rFonts w:ascii="宋体" w:hAnsi="宋体" w:cs="宋体"/>
          <w:b/>
          <w:color w:val="auto"/>
          <w:spacing w:val="6"/>
          <w:sz w:val="32"/>
          <w:szCs w:val="32"/>
          <w:highlight w:val="none"/>
        </w:rPr>
      </w:pPr>
    </w:p>
    <w:p w14:paraId="27C965F2">
      <w:pPr>
        <w:autoSpaceDE w:val="0"/>
        <w:autoSpaceDN w:val="0"/>
        <w:jc w:val="center"/>
        <w:rPr>
          <w:rFonts w:ascii="宋体" w:hAnsi="宋体" w:cs="宋体"/>
          <w:b/>
          <w:color w:val="auto"/>
          <w:spacing w:val="6"/>
          <w:sz w:val="32"/>
          <w:szCs w:val="32"/>
          <w:highlight w:val="none"/>
        </w:rPr>
      </w:pPr>
    </w:p>
    <w:p w14:paraId="6BC6B1D0">
      <w:pPr>
        <w:autoSpaceDE w:val="0"/>
        <w:autoSpaceDN w:val="0"/>
        <w:jc w:val="center"/>
        <w:rPr>
          <w:rFonts w:ascii="宋体" w:hAnsi="宋体" w:cs="宋体"/>
          <w:b/>
          <w:color w:val="auto"/>
          <w:spacing w:val="6"/>
          <w:sz w:val="32"/>
          <w:szCs w:val="32"/>
          <w:highlight w:val="none"/>
        </w:rPr>
      </w:pPr>
    </w:p>
    <w:p w14:paraId="5DFB1B23">
      <w:pPr>
        <w:autoSpaceDE w:val="0"/>
        <w:autoSpaceDN w:val="0"/>
        <w:jc w:val="center"/>
        <w:rPr>
          <w:rFonts w:ascii="宋体" w:hAnsi="宋体" w:cs="宋体"/>
          <w:b/>
          <w:color w:val="auto"/>
          <w:spacing w:val="6"/>
          <w:sz w:val="32"/>
          <w:szCs w:val="32"/>
          <w:highlight w:val="none"/>
        </w:rPr>
      </w:pPr>
    </w:p>
    <w:p w14:paraId="7A2D37A1">
      <w:pPr>
        <w:autoSpaceDE w:val="0"/>
        <w:autoSpaceDN w:val="0"/>
        <w:jc w:val="center"/>
        <w:rPr>
          <w:rFonts w:ascii="宋体" w:hAnsi="宋体" w:cs="宋体"/>
          <w:b/>
          <w:color w:val="auto"/>
          <w:spacing w:val="6"/>
          <w:sz w:val="32"/>
          <w:szCs w:val="32"/>
          <w:highlight w:val="none"/>
        </w:rPr>
      </w:pPr>
    </w:p>
    <w:p w14:paraId="5BCF134F">
      <w:pPr>
        <w:autoSpaceDE w:val="0"/>
        <w:autoSpaceDN w:val="0"/>
        <w:jc w:val="center"/>
        <w:rPr>
          <w:rFonts w:ascii="宋体" w:hAnsi="宋体" w:cs="宋体"/>
          <w:b/>
          <w:color w:val="auto"/>
          <w:spacing w:val="6"/>
          <w:sz w:val="32"/>
          <w:szCs w:val="32"/>
          <w:highlight w:val="none"/>
        </w:rPr>
      </w:pPr>
    </w:p>
    <w:p w14:paraId="2255AF89">
      <w:pPr>
        <w:jc w:val="center"/>
        <w:rPr>
          <w:b/>
          <w:bCs/>
          <w:color w:val="auto"/>
          <w:sz w:val="32"/>
          <w:szCs w:val="32"/>
          <w:highlight w:val="none"/>
        </w:rPr>
      </w:pPr>
      <w:bookmarkStart w:id="465" w:name="_Toc3460"/>
      <w:r>
        <w:rPr>
          <w:rFonts w:hint="eastAsia"/>
          <w:b/>
          <w:bCs/>
          <w:color w:val="auto"/>
          <w:sz w:val="32"/>
          <w:szCs w:val="32"/>
          <w:highlight w:val="none"/>
        </w:rPr>
        <w:t>附件5：中小企业声明函</w:t>
      </w:r>
      <w:bookmarkEnd w:id="465"/>
    </w:p>
    <w:p w14:paraId="55CF4D14">
      <w:pPr>
        <w:spacing w:line="360" w:lineRule="auto"/>
        <w:jc w:val="center"/>
        <w:rPr>
          <w:rFonts w:ascii="宋体" w:hAnsi="宋体" w:cs="宋体"/>
          <w:color w:val="auto"/>
          <w:sz w:val="24"/>
          <w:highlight w:val="none"/>
          <w:u w:val="single"/>
        </w:rPr>
      </w:pPr>
    </w:p>
    <w:p w14:paraId="37295B6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D6F16CE">
      <w:pPr>
        <w:spacing w:line="360" w:lineRule="auto"/>
        <w:jc w:val="center"/>
        <w:rPr>
          <w:rFonts w:cs="宋体" w:asciiTheme="minorEastAsia" w:hAnsiTheme="minorEastAsia" w:eastAsiaTheme="minorEastAsia"/>
          <w:b/>
          <w:color w:val="auto"/>
          <w:sz w:val="32"/>
          <w:szCs w:val="32"/>
          <w:highlight w:val="none"/>
        </w:rPr>
      </w:pPr>
    </w:p>
    <w:p w14:paraId="63EEEF67">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419296">
      <w:pPr>
        <w:spacing w:line="360" w:lineRule="auto"/>
        <w:ind w:firstLine="482"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u w:val="single"/>
        </w:rPr>
        <w:t>宁波市海曙区卫健系统民生工程信息化改造</w:t>
      </w:r>
      <w:r>
        <w:rPr>
          <w:rFonts w:hint="eastAsia" w:cs="宋体" w:asciiTheme="minorEastAsia" w:hAnsiTheme="minorEastAsia" w:eastAsiaTheme="minorEastAsia"/>
          <w:color w:val="auto"/>
          <w:sz w:val="24"/>
          <w:highlight w:val="none"/>
        </w:rPr>
        <w:t>，属于</w:t>
      </w:r>
      <w:r>
        <w:rPr>
          <w:rFonts w:hint="eastAsia" w:ascii="宋体" w:hAnsi="宋体" w:cs="宋体"/>
          <w:b/>
          <w:bCs/>
          <w:color w:val="auto"/>
          <w:kern w:val="0"/>
          <w:sz w:val="24"/>
          <w:highlight w:val="none"/>
          <w:u w:val="single"/>
        </w:rPr>
        <w:t>软件和信息技术服务业</w:t>
      </w:r>
      <w:r>
        <w:rPr>
          <w:rFonts w:hint="eastAsia" w:cs="宋体" w:asciiTheme="minorEastAsia" w:hAnsiTheme="minorEastAsia" w:eastAsiaTheme="minorEastAsia"/>
          <w:color w:val="auto"/>
          <w:sz w:val="24"/>
          <w:highlight w:val="none"/>
        </w:rPr>
        <w:t xml:space="preserve"> ；承建（承接）企业为</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lang w:val="en-US" w:eastAsia="zh-CN"/>
        </w:rPr>
        <w:t>__</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lang w:val="en-US" w:eastAsia="zh-CN"/>
        </w:rPr>
        <w:t>__</w:t>
      </w:r>
      <w:r>
        <w:rPr>
          <w:rFonts w:hint="eastAsia" w:cs="宋体" w:asciiTheme="minorEastAsia" w:hAnsiTheme="minorEastAsia" w:eastAsiaTheme="minorEastAsia"/>
          <w:color w:val="auto"/>
          <w:sz w:val="24"/>
          <w:highlight w:val="none"/>
        </w:rPr>
        <w:t>万元，资产总额为万元属于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4E8F4C1B">
      <w:pPr>
        <w:spacing w:line="360" w:lineRule="auto"/>
        <w:ind w:firstLine="480" w:firstLineChars="200"/>
        <w:jc w:val="left"/>
        <w:rPr>
          <w:rFonts w:cs="宋体" w:asciiTheme="minorEastAsia" w:hAnsiTheme="minorEastAsia" w:eastAsiaTheme="minorEastAsia"/>
          <w:color w:val="auto"/>
          <w:sz w:val="24"/>
          <w:highlight w:val="none"/>
        </w:rPr>
      </w:pPr>
    </w:p>
    <w:p w14:paraId="6BD02A5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44B49B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6C1DEEB">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投标人名称（电子签名）：</w:t>
      </w:r>
    </w:p>
    <w:p w14:paraId="650EC0C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31D18987">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57465D22">
      <w:pPr>
        <w:spacing w:line="360" w:lineRule="auto"/>
        <w:ind w:right="420"/>
        <w:rPr>
          <w:rFonts w:cs="宋体" w:asciiTheme="minorEastAsia" w:hAnsiTheme="minorEastAsia" w:eastAsiaTheme="minorEastAsia"/>
          <w:color w:val="auto"/>
          <w:sz w:val="24"/>
          <w:highlight w:val="none"/>
        </w:rPr>
      </w:pPr>
    </w:p>
    <w:p w14:paraId="0A13DB4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2ED3768">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中小企业声明函无效，不享受中小企业扶持政策。声明内容不实的，属于提供虚假材料谋取中标、成交的，依法承担法律责任。</w:t>
      </w:r>
    </w:p>
    <w:p w14:paraId="1E99F1D5">
      <w:pPr>
        <w:spacing w:line="360" w:lineRule="auto"/>
        <w:ind w:right="420"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5AEAD7">
      <w:pPr>
        <w:spacing w:line="360" w:lineRule="auto"/>
        <w:jc w:val="center"/>
        <w:rPr>
          <w:rFonts w:ascii="宋体" w:hAnsi="宋体" w:cs="宋体"/>
          <w:b/>
          <w:color w:val="auto"/>
          <w:sz w:val="32"/>
          <w:szCs w:val="32"/>
          <w:highlight w:val="none"/>
        </w:rPr>
      </w:pPr>
    </w:p>
    <w:p w14:paraId="5EB4A444">
      <w:pPr>
        <w:spacing w:line="360" w:lineRule="auto"/>
        <w:jc w:val="center"/>
        <w:rPr>
          <w:rFonts w:ascii="宋体" w:hAnsi="宋体" w:cs="宋体"/>
          <w:b/>
          <w:color w:val="auto"/>
          <w:sz w:val="32"/>
          <w:szCs w:val="32"/>
          <w:highlight w:val="none"/>
        </w:rPr>
      </w:pPr>
    </w:p>
    <w:p w14:paraId="65D74BD2">
      <w:pPr>
        <w:spacing w:line="360" w:lineRule="auto"/>
        <w:jc w:val="center"/>
        <w:rPr>
          <w:rFonts w:ascii="宋体" w:hAnsi="宋体" w:cs="宋体"/>
          <w:b/>
          <w:color w:val="auto"/>
          <w:sz w:val="32"/>
          <w:szCs w:val="32"/>
          <w:highlight w:val="none"/>
        </w:rPr>
      </w:pPr>
    </w:p>
    <w:p w14:paraId="62BC834F">
      <w:pPr>
        <w:spacing w:line="360" w:lineRule="auto"/>
        <w:jc w:val="center"/>
        <w:rPr>
          <w:rFonts w:ascii="宋体" w:hAnsi="宋体" w:cs="宋体"/>
          <w:b/>
          <w:color w:val="auto"/>
          <w:sz w:val="32"/>
          <w:szCs w:val="32"/>
          <w:highlight w:val="none"/>
        </w:rPr>
      </w:pPr>
    </w:p>
    <w:p w14:paraId="5C265FDD">
      <w:pPr>
        <w:spacing w:line="360" w:lineRule="auto"/>
        <w:jc w:val="center"/>
        <w:rPr>
          <w:rFonts w:ascii="宋体" w:hAnsi="宋体" w:cs="宋体"/>
          <w:b/>
          <w:color w:val="auto"/>
          <w:sz w:val="32"/>
          <w:szCs w:val="32"/>
          <w:highlight w:val="none"/>
        </w:rPr>
      </w:pPr>
    </w:p>
    <w:p w14:paraId="154C02BD">
      <w:pPr>
        <w:spacing w:line="360" w:lineRule="auto"/>
        <w:jc w:val="center"/>
        <w:rPr>
          <w:rFonts w:ascii="宋体" w:hAnsi="宋体" w:cs="宋体"/>
          <w:b/>
          <w:color w:val="auto"/>
          <w:sz w:val="32"/>
          <w:szCs w:val="32"/>
          <w:highlight w:val="none"/>
        </w:rPr>
      </w:pPr>
    </w:p>
    <w:p w14:paraId="09FE0106">
      <w:pPr>
        <w:spacing w:line="360" w:lineRule="auto"/>
        <w:jc w:val="center"/>
        <w:rPr>
          <w:rFonts w:ascii="宋体" w:hAnsi="宋体" w:cs="宋体"/>
          <w:b/>
          <w:color w:val="auto"/>
          <w:sz w:val="32"/>
          <w:szCs w:val="32"/>
          <w:highlight w:val="none"/>
        </w:rPr>
      </w:pPr>
    </w:p>
    <w:p w14:paraId="5EC722D8">
      <w:pPr>
        <w:spacing w:line="360" w:lineRule="auto"/>
        <w:jc w:val="center"/>
        <w:rPr>
          <w:rFonts w:ascii="宋体" w:hAnsi="宋体" w:cs="宋体"/>
          <w:b/>
          <w:color w:val="auto"/>
          <w:sz w:val="32"/>
          <w:szCs w:val="32"/>
          <w:highlight w:val="none"/>
        </w:rPr>
      </w:pPr>
    </w:p>
    <w:p w14:paraId="2D9C86E2">
      <w:pPr>
        <w:spacing w:line="360" w:lineRule="auto"/>
        <w:jc w:val="center"/>
        <w:rPr>
          <w:rFonts w:ascii="宋体" w:hAnsi="宋体" w:cs="宋体"/>
          <w:b/>
          <w:color w:val="auto"/>
          <w:sz w:val="32"/>
          <w:szCs w:val="32"/>
          <w:highlight w:val="none"/>
        </w:rPr>
      </w:pPr>
    </w:p>
    <w:p w14:paraId="63EC213C">
      <w:pPr>
        <w:spacing w:line="360" w:lineRule="auto"/>
        <w:jc w:val="center"/>
        <w:rPr>
          <w:rFonts w:ascii="宋体" w:hAnsi="宋体" w:cs="宋体"/>
          <w:b/>
          <w:color w:val="auto"/>
          <w:sz w:val="32"/>
          <w:szCs w:val="32"/>
          <w:highlight w:val="none"/>
        </w:rPr>
      </w:pPr>
    </w:p>
    <w:p w14:paraId="2D5568D4">
      <w:pPr>
        <w:spacing w:line="360" w:lineRule="auto"/>
        <w:jc w:val="center"/>
        <w:rPr>
          <w:rFonts w:ascii="宋体" w:hAnsi="宋体" w:cs="宋体"/>
          <w:b/>
          <w:color w:val="auto"/>
          <w:sz w:val="32"/>
          <w:szCs w:val="32"/>
          <w:highlight w:val="none"/>
        </w:rPr>
      </w:pPr>
    </w:p>
    <w:p w14:paraId="006A8277">
      <w:pPr>
        <w:spacing w:line="360" w:lineRule="auto"/>
        <w:jc w:val="center"/>
        <w:rPr>
          <w:rFonts w:ascii="宋体" w:hAnsi="宋体" w:cs="宋体"/>
          <w:b/>
          <w:color w:val="auto"/>
          <w:sz w:val="32"/>
          <w:szCs w:val="32"/>
          <w:highlight w:val="none"/>
        </w:rPr>
      </w:pPr>
    </w:p>
    <w:p w14:paraId="02FCC57F">
      <w:pPr>
        <w:pStyle w:val="82"/>
        <w:ind w:firstLine="480"/>
        <w:rPr>
          <w:color w:val="auto"/>
          <w:highlight w:val="none"/>
        </w:rPr>
      </w:pPr>
    </w:p>
    <w:p w14:paraId="4BD52B7B">
      <w:pPr>
        <w:pStyle w:val="82"/>
        <w:ind w:firstLine="480"/>
        <w:rPr>
          <w:color w:val="auto"/>
          <w:highlight w:val="none"/>
        </w:rPr>
      </w:pPr>
    </w:p>
    <w:p w14:paraId="5F9012EC">
      <w:pPr>
        <w:pStyle w:val="82"/>
        <w:ind w:firstLine="480"/>
        <w:rPr>
          <w:color w:val="auto"/>
          <w:highlight w:val="none"/>
        </w:rPr>
      </w:pPr>
    </w:p>
    <w:p w14:paraId="296ABDC9">
      <w:pPr>
        <w:pStyle w:val="82"/>
        <w:ind w:firstLine="480"/>
        <w:rPr>
          <w:color w:val="auto"/>
          <w:highlight w:val="none"/>
        </w:rPr>
      </w:pPr>
    </w:p>
    <w:p w14:paraId="2ADF5604">
      <w:pPr>
        <w:pStyle w:val="82"/>
        <w:ind w:firstLine="480"/>
        <w:rPr>
          <w:color w:val="auto"/>
          <w:highlight w:val="none"/>
        </w:rPr>
      </w:pPr>
    </w:p>
    <w:p w14:paraId="1B1CEDFF">
      <w:pPr>
        <w:pStyle w:val="82"/>
        <w:ind w:firstLine="480"/>
        <w:rPr>
          <w:color w:val="auto"/>
          <w:highlight w:val="none"/>
        </w:rPr>
      </w:pPr>
    </w:p>
    <w:p w14:paraId="7DB7E7EB">
      <w:pPr>
        <w:pStyle w:val="82"/>
        <w:ind w:firstLine="480"/>
        <w:rPr>
          <w:color w:val="auto"/>
          <w:highlight w:val="none"/>
        </w:rPr>
      </w:pPr>
    </w:p>
    <w:p w14:paraId="31276F71">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C9E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1F19">
    <w:pPr>
      <w:pStyle w:val="43"/>
      <w:framePr w:wrap="around" w:vAnchor="text" w:hAnchor="margin" w:xAlign="right" w:y="1"/>
      <w:rPr>
        <w:rStyle w:val="74"/>
      </w:rPr>
    </w:pPr>
    <w:r>
      <w:fldChar w:fldCharType="begin"/>
    </w:r>
    <w:r>
      <w:rPr>
        <w:rStyle w:val="74"/>
      </w:rPr>
      <w:instrText xml:space="preserve">PAGE  </w:instrText>
    </w:r>
    <w:r>
      <w:fldChar w:fldCharType="end"/>
    </w:r>
  </w:p>
  <w:p w14:paraId="40D1D8F3">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746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66" w:name="_Toc36110187"/>
    <w:bookmarkStart w:id="467" w:name="_Toc164085800"/>
    <w:bookmarkStart w:id="468" w:name="_Toc91899912"/>
    <w:bookmarkStart w:id="469" w:name="_Toc131845147"/>
    <w:r>
      <w:rPr>
        <w:rFonts w:hint="eastAsia" w:ascii="仿宋_GB2312" w:eastAsia="仿宋_GB2312"/>
        <w:kern w:val="0"/>
        <w:szCs w:val="21"/>
      </w:rPr>
      <w:t xml:space="preserve"> 页</w:t>
    </w:r>
    <w:bookmarkEnd w:id="466"/>
    <w:bookmarkEnd w:id="467"/>
    <w:bookmarkEnd w:id="468"/>
    <w:bookmarkEnd w:id="46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87E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359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C247A5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6A7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DE3FB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0A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11DAD3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1D7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F7AF4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3B7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3E141A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C2A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9AEA10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A2DC">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2BDD">
    <w:pPr>
      <w:pStyle w:val="44"/>
      <w:pBdr>
        <w:bottom w:val="single" w:color="auto" w:sz="6" w:space="4"/>
      </w:pBdr>
      <w:jc w:val="right"/>
    </w:pPr>
    <w:r>
      <w:t>政府采购公开招标文件</w:t>
    </w:r>
  </w:p>
  <w:p w14:paraId="1EC45DA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8E55">
    <w:pPr>
      <w:pStyle w:val="44"/>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4C5E">
    <w:pPr>
      <w:pStyle w:val="44"/>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B9E8">
    <w:pPr>
      <w:pStyle w:val="44"/>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1867">
    <w:pPr>
      <w:pStyle w:val="44"/>
    </w:pPr>
  </w:p>
  <w:p w14:paraId="4B9A26E4">
    <w:pPr>
      <w:pStyle w:val="44"/>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38342">
    <w:pPr>
      <w:pStyle w:val="44"/>
      <w:rPr>
        <w:rFonts w:ascii="仿宋_GB2312" w:eastAsia="仿宋_GB2312"/>
        <w:b/>
        <w:i/>
        <w:u w:val="single"/>
      </w:rPr>
    </w:pPr>
    <w:r>
      <w:t>政府采购公开招标文件</w:t>
    </w:r>
  </w:p>
  <w:p w14:paraId="2D8C206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402C">
    <w:pPr>
      <w:pStyle w:val="44"/>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2EA9">
    <w:pPr>
      <w:pStyle w:val="44"/>
      <w:jc w:val="right"/>
      <w:rPr>
        <w:rFonts w:ascii="仿宋_GB2312" w:eastAsia="仿宋_GB2312"/>
        <w:b/>
        <w:i/>
        <w:u w:val="single"/>
      </w:rPr>
    </w:pPr>
    <w:r>
      <w:t>政府采购公开招标文件</w:t>
    </w:r>
  </w:p>
  <w:p w14:paraId="6E7EC33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6873">
    <w:pPr>
      <w:pStyle w:val="44"/>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ED05">
    <w:pPr>
      <w:pStyle w:val="44"/>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3CD3A"/>
    <w:multiLevelType w:val="singleLevel"/>
    <w:tmpl w:val="ADC3CD3A"/>
    <w:lvl w:ilvl="0" w:tentative="0">
      <w:start w:val="1"/>
      <w:numFmt w:val="decimal"/>
      <w:suff w:val="nothing"/>
      <w:lvlText w:val="%1）"/>
      <w:lvlJc w:val="left"/>
    </w:lvl>
  </w:abstractNum>
  <w:abstractNum w:abstractNumId="1">
    <w:nsid w:val="B325B16B"/>
    <w:multiLevelType w:val="singleLevel"/>
    <w:tmpl w:val="B325B16B"/>
    <w:lvl w:ilvl="0" w:tentative="0">
      <w:start w:val="1"/>
      <w:numFmt w:val="decimal"/>
      <w:suff w:val="nothing"/>
      <w:lvlText w:val="%1）"/>
      <w:lvlJc w:val="left"/>
    </w:lvl>
  </w:abstractNum>
  <w:abstractNum w:abstractNumId="2">
    <w:nsid w:val="B347C239"/>
    <w:multiLevelType w:val="multilevel"/>
    <w:tmpl w:val="B347C239"/>
    <w:lvl w:ilvl="0" w:tentative="0">
      <w:start w:val="1"/>
      <w:numFmt w:val="decimal"/>
      <w:suff w:val="nothing"/>
      <w:lvlText w:val="%1"/>
      <w:lvlJc w:val="center"/>
      <w:pPr>
        <w:ind w:left="440" w:hanging="440"/>
      </w:pPr>
      <w:rPr>
        <w:rFonts w:hint="eastAsia" w:ascii="仿宋" w:hAnsi="仿宋" w:eastAsia="仿宋" w:cs="仿宋"/>
        <w:b w:val="0"/>
        <w:i w:val="0"/>
        <w:sz w:val="24"/>
        <w:szCs w:val="24"/>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3">
    <w:nsid w:val="C279139E"/>
    <w:multiLevelType w:val="singleLevel"/>
    <w:tmpl w:val="C279139E"/>
    <w:lvl w:ilvl="0" w:tentative="0">
      <w:start w:val="1"/>
      <w:numFmt w:val="decimal"/>
      <w:suff w:val="nothing"/>
      <w:lvlText w:val="%1）"/>
      <w:lvlJc w:val="left"/>
    </w:lvl>
  </w:abstractNum>
  <w:abstractNum w:abstractNumId="4">
    <w:nsid w:val="F5E80F08"/>
    <w:multiLevelType w:val="singleLevel"/>
    <w:tmpl w:val="F5E80F08"/>
    <w:lvl w:ilvl="0" w:tentative="0">
      <w:start w:val="23"/>
      <w:numFmt w:val="decimal"/>
      <w:suff w:val="space"/>
      <w:lvlText w:val="%1."/>
      <w:lvlJc w:val="left"/>
    </w:lvl>
  </w:abstractNum>
  <w:abstractNum w:abstractNumId="5">
    <w:nsid w:val="FD80CE24"/>
    <w:multiLevelType w:val="singleLevel"/>
    <w:tmpl w:val="FD80CE24"/>
    <w:lvl w:ilvl="0" w:tentative="0">
      <w:start w:val="1"/>
      <w:numFmt w:val="decimal"/>
      <w:suff w:val="nothing"/>
      <w:lvlText w:val="%1）"/>
      <w:lvlJc w:val="left"/>
    </w:lvl>
  </w:abstractNum>
  <w:abstractNum w:abstractNumId="6">
    <w:nsid w:val="0D43D065"/>
    <w:multiLevelType w:val="singleLevel"/>
    <w:tmpl w:val="0D43D065"/>
    <w:lvl w:ilvl="0" w:tentative="0">
      <w:start w:val="1"/>
      <w:numFmt w:val="chineseCounting"/>
      <w:suff w:val="nothing"/>
      <w:lvlText w:val="%1、"/>
      <w:lvlJc w:val="left"/>
      <w:rPr>
        <w:rFonts w:hint="eastAsia"/>
      </w:rPr>
    </w:lvl>
  </w:abstractNum>
  <w:abstractNum w:abstractNumId="7">
    <w:nsid w:val="3B500D3E"/>
    <w:multiLevelType w:val="singleLevel"/>
    <w:tmpl w:val="3B500D3E"/>
    <w:lvl w:ilvl="0" w:tentative="0">
      <w:start w:val="1"/>
      <w:numFmt w:val="decimal"/>
      <w:suff w:val="nothing"/>
      <w:lvlText w:val="%1、"/>
      <w:lvlJc w:val="left"/>
    </w:lvl>
  </w:abstractNum>
  <w:abstractNum w:abstractNumId="8">
    <w:nsid w:val="4E2C3D1E"/>
    <w:multiLevelType w:val="multilevel"/>
    <w:tmpl w:val="4E2C3D1E"/>
    <w:lvl w:ilvl="0" w:tentative="0">
      <w:start w:val="1"/>
      <w:numFmt w:val="decimal"/>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10">
    <w:nsid w:val="5992103B"/>
    <w:multiLevelType w:val="multilevel"/>
    <w:tmpl w:val="5992103B"/>
    <w:lvl w:ilvl="0" w:tentative="0">
      <w:start w:val="1"/>
      <w:numFmt w:val="decimal"/>
      <w:lvlText w:val="%1"/>
      <w:lvlJc w:val="left"/>
      <w:pPr>
        <w:ind w:left="703"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5A1C839"/>
    <w:multiLevelType w:val="singleLevel"/>
    <w:tmpl w:val="65A1C839"/>
    <w:lvl w:ilvl="0" w:tentative="0">
      <w:start w:val="1"/>
      <w:numFmt w:val="decimal"/>
      <w:suff w:val="nothing"/>
      <w:lvlText w:val="%1）"/>
      <w:lvlJc w:val="left"/>
    </w:lvl>
  </w:abstractNum>
  <w:abstractNum w:abstractNumId="12">
    <w:nsid w:val="67595EEE"/>
    <w:multiLevelType w:val="multilevel"/>
    <w:tmpl w:val="67595EEE"/>
    <w:lvl w:ilvl="0" w:tentative="0">
      <w:start w:val="1"/>
      <w:numFmt w:val="decimal"/>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7605B030"/>
    <w:multiLevelType w:val="multilevel"/>
    <w:tmpl w:val="7605B030"/>
    <w:lvl w:ilvl="0" w:tentative="0">
      <w:start w:val="1"/>
      <w:numFmt w:val="decimal"/>
      <w:lvlText w:val="%1"/>
      <w:lvlJc w:val="left"/>
      <w:pPr>
        <w:ind w:left="703"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10"/>
  </w:num>
  <w:num w:numId="3">
    <w:abstractNumId w:val="8"/>
  </w:num>
  <w:num w:numId="4">
    <w:abstractNumId w:val="12"/>
  </w:num>
  <w:num w:numId="5">
    <w:abstractNumId w:val="2"/>
  </w:num>
  <w:num w:numId="6">
    <w:abstractNumId w:val="13"/>
  </w:num>
  <w:num w:numId="7">
    <w:abstractNumId w:val="3"/>
  </w:num>
  <w:num w:numId="8">
    <w:abstractNumId w:val="0"/>
  </w:num>
  <w:num w:numId="9">
    <w:abstractNumId w:val="1"/>
  </w:num>
  <w:num w:numId="10">
    <w:abstractNumId w:val="11"/>
  </w:num>
  <w:num w:numId="11">
    <w:abstractNumId w:val="5"/>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0FF1"/>
    <w:rsid w:val="0001122F"/>
    <w:rsid w:val="00011A4B"/>
    <w:rsid w:val="00011A5C"/>
    <w:rsid w:val="00012251"/>
    <w:rsid w:val="0001337C"/>
    <w:rsid w:val="000138C4"/>
    <w:rsid w:val="00013C1F"/>
    <w:rsid w:val="00013F31"/>
    <w:rsid w:val="000140D8"/>
    <w:rsid w:val="00014530"/>
    <w:rsid w:val="00014BBC"/>
    <w:rsid w:val="000150EE"/>
    <w:rsid w:val="00015826"/>
    <w:rsid w:val="000164D9"/>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FA7"/>
    <w:rsid w:val="0003533D"/>
    <w:rsid w:val="000357E4"/>
    <w:rsid w:val="00035ACA"/>
    <w:rsid w:val="00035FFB"/>
    <w:rsid w:val="00036C29"/>
    <w:rsid w:val="00037B93"/>
    <w:rsid w:val="00040447"/>
    <w:rsid w:val="00040494"/>
    <w:rsid w:val="00040B70"/>
    <w:rsid w:val="00042441"/>
    <w:rsid w:val="00042533"/>
    <w:rsid w:val="00042DBB"/>
    <w:rsid w:val="00042E65"/>
    <w:rsid w:val="0004347C"/>
    <w:rsid w:val="00043907"/>
    <w:rsid w:val="00044F48"/>
    <w:rsid w:val="00045A1D"/>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698"/>
    <w:rsid w:val="00056791"/>
    <w:rsid w:val="00056868"/>
    <w:rsid w:val="00056876"/>
    <w:rsid w:val="000568DF"/>
    <w:rsid w:val="000576D1"/>
    <w:rsid w:val="00057811"/>
    <w:rsid w:val="000578A3"/>
    <w:rsid w:val="00057D4C"/>
    <w:rsid w:val="00060C48"/>
    <w:rsid w:val="00061A3C"/>
    <w:rsid w:val="00061C48"/>
    <w:rsid w:val="000627C2"/>
    <w:rsid w:val="00063589"/>
    <w:rsid w:val="00064278"/>
    <w:rsid w:val="000646CA"/>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EF7"/>
    <w:rsid w:val="00092FE9"/>
    <w:rsid w:val="000936BF"/>
    <w:rsid w:val="0009382F"/>
    <w:rsid w:val="00093A30"/>
    <w:rsid w:val="00093E26"/>
    <w:rsid w:val="00094342"/>
    <w:rsid w:val="000945BA"/>
    <w:rsid w:val="00095954"/>
    <w:rsid w:val="000960BA"/>
    <w:rsid w:val="0009662A"/>
    <w:rsid w:val="0009690D"/>
    <w:rsid w:val="00096DFF"/>
    <w:rsid w:val="000A0729"/>
    <w:rsid w:val="000A0E69"/>
    <w:rsid w:val="000A1A52"/>
    <w:rsid w:val="000A1F98"/>
    <w:rsid w:val="000A2103"/>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1DC"/>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59B"/>
    <w:rsid w:val="000D11E5"/>
    <w:rsid w:val="000D19E8"/>
    <w:rsid w:val="000D1FA1"/>
    <w:rsid w:val="000D2834"/>
    <w:rsid w:val="000D2CAC"/>
    <w:rsid w:val="000D34C8"/>
    <w:rsid w:val="000D34FD"/>
    <w:rsid w:val="000D3BE5"/>
    <w:rsid w:val="000D3C37"/>
    <w:rsid w:val="000D453A"/>
    <w:rsid w:val="000D4AFA"/>
    <w:rsid w:val="000D5EA6"/>
    <w:rsid w:val="000D5F00"/>
    <w:rsid w:val="000D6C36"/>
    <w:rsid w:val="000D6C9F"/>
    <w:rsid w:val="000D6E3B"/>
    <w:rsid w:val="000D6F30"/>
    <w:rsid w:val="000D74E4"/>
    <w:rsid w:val="000D7C9D"/>
    <w:rsid w:val="000D7CE0"/>
    <w:rsid w:val="000E2785"/>
    <w:rsid w:val="000E27BB"/>
    <w:rsid w:val="000E3153"/>
    <w:rsid w:val="000E31CF"/>
    <w:rsid w:val="000E3484"/>
    <w:rsid w:val="000E386F"/>
    <w:rsid w:val="000E4051"/>
    <w:rsid w:val="000E4139"/>
    <w:rsid w:val="000E4765"/>
    <w:rsid w:val="000E5B7E"/>
    <w:rsid w:val="000E5FF9"/>
    <w:rsid w:val="000E6AA6"/>
    <w:rsid w:val="000E6AE1"/>
    <w:rsid w:val="000E7142"/>
    <w:rsid w:val="000E7632"/>
    <w:rsid w:val="000E7737"/>
    <w:rsid w:val="000E7739"/>
    <w:rsid w:val="000E77EE"/>
    <w:rsid w:val="000F131E"/>
    <w:rsid w:val="000F1604"/>
    <w:rsid w:val="000F287A"/>
    <w:rsid w:val="000F2940"/>
    <w:rsid w:val="000F2AB3"/>
    <w:rsid w:val="000F3D08"/>
    <w:rsid w:val="000F4495"/>
    <w:rsid w:val="000F4A05"/>
    <w:rsid w:val="000F4AA8"/>
    <w:rsid w:val="000F4AEA"/>
    <w:rsid w:val="000F4E67"/>
    <w:rsid w:val="000F4E88"/>
    <w:rsid w:val="000F505B"/>
    <w:rsid w:val="000F5677"/>
    <w:rsid w:val="000F5DDB"/>
    <w:rsid w:val="000F6177"/>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1E"/>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B6"/>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D98"/>
    <w:rsid w:val="0014042F"/>
    <w:rsid w:val="00140575"/>
    <w:rsid w:val="00140693"/>
    <w:rsid w:val="00140D7A"/>
    <w:rsid w:val="00141D28"/>
    <w:rsid w:val="00141DC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DF"/>
    <w:rsid w:val="00147EA7"/>
    <w:rsid w:val="00151336"/>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26C"/>
    <w:rsid w:val="00173631"/>
    <w:rsid w:val="0017372D"/>
    <w:rsid w:val="00173826"/>
    <w:rsid w:val="00173C58"/>
    <w:rsid w:val="00173E59"/>
    <w:rsid w:val="001741DC"/>
    <w:rsid w:val="00174C4F"/>
    <w:rsid w:val="00174F57"/>
    <w:rsid w:val="00174FF4"/>
    <w:rsid w:val="00175078"/>
    <w:rsid w:val="001755DC"/>
    <w:rsid w:val="00175914"/>
    <w:rsid w:val="001763D8"/>
    <w:rsid w:val="00176AA6"/>
    <w:rsid w:val="00177063"/>
    <w:rsid w:val="0018095E"/>
    <w:rsid w:val="00180A47"/>
    <w:rsid w:val="0018133C"/>
    <w:rsid w:val="001815A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8D"/>
    <w:rsid w:val="001969F2"/>
    <w:rsid w:val="00196CD6"/>
    <w:rsid w:val="0019756A"/>
    <w:rsid w:val="001A06B5"/>
    <w:rsid w:val="001A07F8"/>
    <w:rsid w:val="001A0A23"/>
    <w:rsid w:val="001A0C98"/>
    <w:rsid w:val="001A128B"/>
    <w:rsid w:val="001A1475"/>
    <w:rsid w:val="001A1F0E"/>
    <w:rsid w:val="001A23FC"/>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317"/>
    <w:rsid w:val="001C6698"/>
    <w:rsid w:val="001C6C5B"/>
    <w:rsid w:val="001C6EB7"/>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3A"/>
    <w:rsid w:val="001E17E3"/>
    <w:rsid w:val="001E2052"/>
    <w:rsid w:val="001E2492"/>
    <w:rsid w:val="001E257C"/>
    <w:rsid w:val="001E286C"/>
    <w:rsid w:val="001E2F34"/>
    <w:rsid w:val="001E35EE"/>
    <w:rsid w:val="001E4B2C"/>
    <w:rsid w:val="001E507F"/>
    <w:rsid w:val="001E56C2"/>
    <w:rsid w:val="001E59FB"/>
    <w:rsid w:val="001E6E81"/>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5CE6"/>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2D85"/>
    <w:rsid w:val="00233538"/>
    <w:rsid w:val="00234248"/>
    <w:rsid w:val="0023449F"/>
    <w:rsid w:val="002344F5"/>
    <w:rsid w:val="0023454D"/>
    <w:rsid w:val="00234679"/>
    <w:rsid w:val="002359FC"/>
    <w:rsid w:val="002361C8"/>
    <w:rsid w:val="00236690"/>
    <w:rsid w:val="0023669D"/>
    <w:rsid w:val="00236B5C"/>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E62"/>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301"/>
    <w:rsid w:val="0026470B"/>
    <w:rsid w:val="0026486D"/>
    <w:rsid w:val="00264C4B"/>
    <w:rsid w:val="00264ED0"/>
    <w:rsid w:val="00265346"/>
    <w:rsid w:val="002657FA"/>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37"/>
    <w:rsid w:val="002802A5"/>
    <w:rsid w:val="00280CFB"/>
    <w:rsid w:val="00280D24"/>
    <w:rsid w:val="002815C4"/>
    <w:rsid w:val="00281BCB"/>
    <w:rsid w:val="00281C76"/>
    <w:rsid w:val="0028316D"/>
    <w:rsid w:val="00283296"/>
    <w:rsid w:val="00283F88"/>
    <w:rsid w:val="002851A5"/>
    <w:rsid w:val="0028583E"/>
    <w:rsid w:val="00285853"/>
    <w:rsid w:val="00285B1A"/>
    <w:rsid w:val="00285FF3"/>
    <w:rsid w:val="002866EC"/>
    <w:rsid w:val="002867C6"/>
    <w:rsid w:val="0028744E"/>
    <w:rsid w:val="002876D2"/>
    <w:rsid w:val="00287936"/>
    <w:rsid w:val="00287BB7"/>
    <w:rsid w:val="00290166"/>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9FE"/>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13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2E"/>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4"/>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987"/>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73D"/>
    <w:rsid w:val="00337E18"/>
    <w:rsid w:val="003405AF"/>
    <w:rsid w:val="0034088F"/>
    <w:rsid w:val="00340B3E"/>
    <w:rsid w:val="00340E1A"/>
    <w:rsid w:val="003413D2"/>
    <w:rsid w:val="00341525"/>
    <w:rsid w:val="0034257E"/>
    <w:rsid w:val="003429A1"/>
    <w:rsid w:val="003429FC"/>
    <w:rsid w:val="00343079"/>
    <w:rsid w:val="00343127"/>
    <w:rsid w:val="00343320"/>
    <w:rsid w:val="00343AFE"/>
    <w:rsid w:val="00344066"/>
    <w:rsid w:val="00344BBF"/>
    <w:rsid w:val="0034509B"/>
    <w:rsid w:val="00345644"/>
    <w:rsid w:val="00345D0E"/>
    <w:rsid w:val="00345D7A"/>
    <w:rsid w:val="0034607E"/>
    <w:rsid w:val="00346A96"/>
    <w:rsid w:val="00346B6D"/>
    <w:rsid w:val="00346BA3"/>
    <w:rsid w:val="00346C69"/>
    <w:rsid w:val="00347356"/>
    <w:rsid w:val="0035005C"/>
    <w:rsid w:val="003507BF"/>
    <w:rsid w:val="00350896"/>
    <w:rsid w:val="00350C31"/>
    <w:rsid w:val="00350C9F"/>
    <w:rsid w:val="00351391"/>
    <w:rsid w:val="00351624"/>
    <w:rsid w:val="003519CD"/>
    <w:rsid w:val="00351A3A"/>
    <w:rsid w:val="0035224C"/>
    <w:rsid w:val="00353623"/>
    <w:rsid w:val="0035455F"/>
    <w:rsid w:val="00355D75"/>
    <w:rsid w:val="00355D8F"/>
    <w:rsid w:val="00356A73"/>
    <w:rsid w:val="00356FF0"/>
    <w:rsid w:val="003577EF"/>
    <w:rsid w:val="00357A3A"/>
    <w:rsid w:val="00357A60"/>
    <w:rsid w:val="00360304"/>
    <w:rsid w:val="00360A78"/>
    <w:rsid w:val="00360EF9"/>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6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CCF"/>
    <w:rsid w:val="003B0D79"/>
    <w:rsid w:val="003B2930"/>
    <w:rsid w:val="003B31A7"/>
    <w:rsid w:val="003B4587"/>
    <w:rsid w:val="003B4A98"/>
    <w:rsid w:val="003B4B51"/>
    <w:rsid w:val="003B4FE1"/>
    <w:rsid w:val="003B514E"/>
    <w:rsid w:val="003B53DD"/>
    <w:rsid w:val="003B5531"/>
    <w:rsid w:val="003B636A"/>
    <w:rsid w:val="003B69CE"/>
    <w:rsid w:val="003B7403"/>
    <w:rsid w:val="003C011C"/>
    <w:rsid w:val="003C0E32"/>
    <w:rsid w:val="003C11D7"/>
    <w:rsid w:val="003C16CB"/>
    <w:rsid w:val="003C1B97"/>
    <w:rsid w:val="003C247B"/>
    <w:rsid w:val="003C28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377"/>
    <w:rsid w:val="003D75D8"/>
    <w:rsid w:val="003E006E"/>
    <w:rsid w:val="003E0947"/>
    <w:rsid w:val="003E0E96"/>
    <w:rsid w:val="003E20F7"/>
    <w:rsid w:val="003E2AEF"/>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B1"/>
    <w:rsid w:val="003F1AA2"/>
    <w:rsid w:val="003F26DC"/>
    <w:rsid w:val="003F3B8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46"/>
    <w:rsid w:val="004056B6"/>
    <w:rsid w:val="00405764"/>
    <w:rsid w:val="00405776"/>
    <w:rsid w:val="00406745"/>
    <w:rsid w:val="0040674B"/>
    <w:rsid w:val="00406B32"/>
    <w:rsid w:val="004074FA"/>
    <w:rsid w:val="00407A56"/>
    <w:rsid w:val="00407FCC"/>
    <w:rsid w:val="00410117"/>
    <w:rsid w:val="0041035A"/>
    <w:rsid w:val="00410E76"/>
    <w:rsid w:val="004112D1"/>
    <w:rsid w:val="004113C9"/>
    <w:rsid w:val="00411D1E"/>
    <w:rsid w:val="00411DF2"/>
    <w:rsid w:val="004120DF"/>
    <w:rsid w:val="004123B7"/>
    <w:rsid w:val="004126B5"/>
    <w:rsid w:val="00413FEE"/>
    <w:rsid w:val="00414909"/>
    <w:rsid w:val="00415034"/>
    <w:rsid w:val="00415B1A"/>
    <w:rsid w:val="00415DFD"/>
    <w:rsid w:val="00416208"/>
    <w:rsid w:val="0041690F"/>
    <w:rsid w:val="004169D3"/>
    <w:rsid w:val="00416C2B"/>
    <w:rsid w:val="00416D41"/>
    <w:rsid w:val="00416E70"/>
    <w:rsid w:val="00417264"/>
    <w:rsid w:val="00420D3F"/>
    <w:rsid w:val="004210C0"/>
    <w:rsid w:val="004211DD"/>
    <w:rsid w:val="00421762"/>
    <w:rsid w:val="00421D4B"/>
    <w:rsid w:val="00421ED8"/>
    <w:rsid w:val="00422907"/>
    <w:rsid w:val="00423125"/>
    <w:rsid w:val="00423309"/>
    <w:rsid w:val="004233AD"/>
    <w:rsid w:val="00424446"/>
    <w:rsid w:val="00424867"/>
    <w:rsid w:val="00424C4D"/>
    <w:rsid w:val="00425341"/>
    <w:rsid w:val="004255FE"/>
    <w:rsid w:val="00425674"/>
    <w:rsid w:val="00425A82"/>
    <w:rsid w:val="00425AD4"/>
    <w:rsid w:val="00425C60"/>
    <w:rsid w:val="00426B2C"/>
    <w:rsid w:val="00427FA8"/>
    <w:rsid w:val="0043009D"/>
    <w:rsid w:val="0043026B"/>
    <w:rsid w:val="00430299"/>
    <w:rsid w:val="004306D4"/>
    <w:rsid w:val="00431A2A"/>
    <w:rsid w:val="00432116"/>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105D"/>
    <w:rsid w:val="00441203"/>
    <w:rsid w:val="00441424"/>
    <w:rsid w:val="00441877"/>
    <w:rsid w:val="00441B3F"/>
    <w:rsid w:val="00441CF1"/>
    <w:rsid w:val="00442731"/>
    <w:rsid w:val="00442C12"/>
    <w:rsid w:val="00442C2F"/>
    <w:rsid w:val="004434DF"/>
    <w:rsid w:val="0044354B"/>
    <w:rsid w:val="0044493E"/>
    <w:rsid w:val="00444A1F"/>
    <w:rsid w:val="00444FC6"/>
    <w:rsid w:val="00445874"/>
    <w:rsid w:val="00445C38"/>
    <w:rsid w:val="0044686B"/>
    <w:rsid w:val="004475F7"/>
    <w:rsid w:val="0045057B"/>
    <w:rsid w:val="0045069B"/>
    <w:rsid w:val="00450873"/>
    <w:rsid w:val="00450B22"/>
    <w:rsid w:val="00451709"/>
    <w:rsid w:val="004518FA"/>
    <w:rsid w:val="00451A02"/>
    <w:rsid w:val="0045277C"/>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6028A"/>
    <w:rsid w:val="00460E3A"/>
    <w:rsid w:val="00460E68"/>
    <w:rsid w:val="004614BC"/>
    <w:rsid w:val="004619A5"/>
    <w:rsid w:val="00461A4D"/>
    <w:rsid w:val="00461F80"/>
    <w:rsid w:val="0046238F"/>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23C"/>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948"/>
    <w:rsid w:val="00486516"/>
    <w:rsid w:val="0048664F"/>
    <w:rsid w:val="004868AD"/>
    <w:rsid w:val="00486D00"/>
    <w:rsid w:val="00487FE1"/>
    <w:rsid w:val="00490707"/>
    <w:rsid w:val="00490815"/>
    <w:rsid w:val="0049086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232"/>
    <w:rsid w:val="004A03D0"/>
    <w:rsid w:val="004A1049"/>
    <w:rsid w:val="004A1AFA"/>
    <w:rsid w:val="004A1EA7"/>
    <w:rsid w:val="004A26F5"/>
    <w:rsid w:val="004A2EF8"/>
    <w:rsid w:val="004A3A21"/>
    <w:rsid w:val="004A407A"/>
    <w:rsid w:val="004A4E3B"/>
    <w:rsid w:val="004A608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87"/>
    <w:rsid w:val="004B5C96"/>
    <w:rsid w:val="004B6124"/>
    <w:rsid w:val="004B67FF"/>
    <w:rsid w:val="004B6945"/>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D25"/>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269"/>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EBC"/>
    <w:rsid w:val="004E2393"/>
    <w:rsid w:val="004E289D"/>
    <w:rsid w:val="004E3117"/>
    <w:rsid w:val="004E3A2A"/>
    <w:rsid w:val="004E3AB1"/>
    <w:rsid w:val="004E4003"/>
    <w:rsid w:val="004E428D"/>
    <w:rsid w:val="004E4626"/>
    <w:rsid w:val="004E4984"/>
    <w:rsid w:val="004E4EDC"/>
    <w:rsid w:val="004E5101"/>
    <w:rsid w:val="004E5380"/>
    <w:rsid w:val="004E6746"/>
    <w:rsid w:val="004E6CAC"/>
    <w:rsid w:val="004E6F69"/>
    <w:rsid w:val="004E75C1"/>
    <w:rsid w:val="004E777F"/>
    <w:rsid w:val="004F07F2"/>
    <w:rsid w:val="004F07F9"/>
    <w:rsid w:val="004F0A50"/>
    <w:rsid w:val="004F0D1F"/>
    <w:rsid w:val="004F0E82"/>
    <w:rsid w:val="004F0FB0"/>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01F"/>
    <w:rsid w:val="004F531B"/>
    <w:rsid w:val="004F560C"/>
    <w:rsid w:val="004F5DBB"/>
    <w:rsid w:val="004F60B4"/>
    <w:rsid w:val="004F61A3"/>
    <w:rsid w:val="004F6874"/>
    <w:rsid w:val="004F7922"/>
    <w:rsid w:val="004F7A1F"/>
    <w:rsid w:val="004F7B47"/>
    <w:rsid w:val="0050079C"/>
    <w:rsid w:val="0050106A"/>
    <w:rsid w:val="005010BC"/>
    <w:rsid w:val="00501848"/>
    <w:rsid w:val="00502211"/>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1A5"/>
    <w:rsid w:val="00511A7A"/>
    <w:rsid w:val="00512217"/>
    <w:rsid w:val="00512459"/>
    <w:rsid w:val="005131A2"/>
    <w:rsid w:val="005137E4"/>
    <w:rsid w:val="00513BB9"/>
    <w:rsid w:val="0051440E"/>
    <w:rsid w:val="00514480"/>
    <w:rsid w:val="005148CD"/>
    <w:rsid w:val="00515180"/>
    <w:rsid w:val="00515973"/>
    <w:rsid w:val="00516069"/>
    <w:rsid w:val="00516EB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0D9"/>
    <w:rsid w:val="00543519"/>
    <w:rsid w:val="00543640"/>
    <w:rsid w:val="00544019"/>
    <w:rsid w:val="005444C6"/>
    <w:rsid w:val="00544806"/>
    <w:rsid w:val="00544BF9"/>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76"/>
    <w:rsid w:val="00583D43"/>
    <w:rsid w:val="005846C3"/>
    <w:rsid w:val="00584F04"/>
    <w:rsid w:val="0058544C"/>
    <w:rsid w:val="00585623"/>
    <w:rsid w:val="005857F7"/>
    <w:rsid w:val="005865E9"/>
    <w:rsid w:val="005868FD"/>
    <w:rsid w:val="005875BF"/>
    <w:rsid w:val="0058769F"/>
    <w:rsid w:val="00587D7B"/>
    <w:rsid w:val="005904DB"/>
    <w:rsid w:val="005905ED"/>
    <w:rsid w:val="00590D11"/>
    <w:rsid w:val="00591424"/>
    <w:rsid w:val="00591BA6"/>
    <w:rsid w:val="00592825"/>
    <w:rsid w:val="00593746"/>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1A8A"/>
    <w:rsid w:val="005B1AAB"/>
    <w:rsid w:val="005B2578"/>
    <w:rsid w:val="005B2821"/>
    <w:rsid w:val="005B2930"/>
    <w:rsid w:val="005B2B87"/>
    <w:rsid w:val="005B2FAA"/>
    <w:rsid w:val="005B33C8"/>
    <w:rsid w:val="005B387B"/>
    <w:rsid w:val="005B3B01"/>
    <w:rsid w:val="005B4333"/>
    <w:rsid w:val="005B48BE"/>
    <w:rsid w:val="005B4CD7"/>
    <w:rsid w:val="005B58F7"/>
    <w:rsid w:val="005B5981"/>
    <w:rsid w:val="005B5994"/>
    <w:rsid w:val="005B6474"/>
    <w:rsid w:val="005B666D"/>
    <w:rsid w:val="005B667A"/>
    <w:rsid w:val="005B6865"/>
    <w:rsid w:val="005B7840"/>
    <w:rsid w:val="005C039B"/>
    <w:rsid w:val="005C059F"/>
    <w:rsid w:val="005C07CE"/>
    <w:rsid w:val="005C0B8F"/>
    <w:rsid w:val="005C107E"/>
    <w:rsid w:val="005C194E"/>
    <w:rsid w:val="005C1C83"/>
    <w:rsid w:val="005C1DB1"/>
    <w:rsid w:val="005C226F"/>
    <w:rsid w:val="005C2294"/>
    <w:rsid w:val="005C2E48"/>
    <w:rsid w:val="005C2E6B"/>
    <w:rsid w:val="005C3344"/>
    <w:rsid w:val="005C4E4D"/>
    <w:rsid w:val="005C58F2"/>
    <w:rsid w:val="005C5A97"/>
    <w:rsid w:val="005C5ABE"/>
    <w:rsid w:val="005C5F77"/>
    <w:rsid w:val="005C6AAB"/>
    <w:rsid w:val="005C6D5D"/>
    <w:rsid w:val="005C6FD0"/>
    <w:rsid w:val="005C7F10"/>
    <w:rsid w:val="005D01C3"/>
    <w:rsid w:val="005D05FF"/>
    <w:rsid w:val="005D0879"/>
    <w:rsid w:val="005D0FB4"/>
    <w:rsid w:val="005D1176"/>
    <w:rsid w:val="005D1747"/>
    <w:rsid w:val="005D266D"/>
    <w:rsid w:val="005D306D"/>
    <w:rsid w:val="005D3327"/>
    <w:rsid w:val="005D4854"/>
    <w:rsid w:val="005D56F9"/>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405"/>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1F2"/>
    <w:rsid w:val="005F5506"/>
    <w:rsid w:val="005F5A0D"/>
    <w:rsid w:val="005F60DF"/>
    <w:rsid w:val="005F615B"/>
    <w:rsid w:val="005F61DF"/>
    <w:rsid w:val="005F61F6"/>
    <w:rsid w:val="005F65A9"/>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6C"/>
    <w:rsid w:val="006108FA"/>
    <w:rsid w:val="0061098D"/>
    <w:rsid w:val="00610B78"/>
    <w:rsid w:val="006115EF"/>
    <w:rsid w:val="00611B59"/>
    <w:rsid w:val="00611FBA"/>
    <w:rsid w:val="00612098"/>
    <w:rsid w:val="0061272A"/>
    <w:rsid w:val="0061299B"/>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1E1"/>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19"/>
    <w:rsid w:val="00633FE3"/>
    <w:rsid w:val="00634276"/>
    <w:rsid w:val="00634570"/>
    <w:rsid w:val="0063487C"/>
    <w:rsid w:val="00635B73"/>
    <w:rsid w:val="00635BB7"/>
    <w:rsid w:val="00636140"/>
    <w:rsid w:val="00636AC1"/>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4F"/>
    <w:rsid w:val="006600BF"/>
    <w:rsid w:val="00660AF7"/>
    <w:rsid w:val="00660D3E"/>
    <w:rsid w:val="0066165E"/>
    <w:rsid w:val="00661691"/>
    <w:rsid w:val="00662D3D"/>
    <w:rsid w:val="00662F1F"/>
    <w:rsid w:val="00663D15"/>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6F6"/>
    <w:rsid w:val="00674821"/>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1FA"/>
    <w:rsid w:val="00683068"/>
    <w:rsid w:val="00683371"/>
    <w:rsid w:val="00683DAD"/>
    <w:rsid w:val="00683F81"/>
    <w:rsid w:val="0068400B"/>
    <w:rsid w:val="00684592"/>
    <w:rsid w:val="00684963"/>
    <w:rsid w:val="00685033"/>
    <w:rsid w:val="0068517F"/>
    <w:rsid w:val="00685D65"/>
    <w:rsid w:val="00685FC8"/>
    <w:rsid w:val="00686E80"/>
    <w:rsid w:val="0068790B"/>
    <w:rsid w:val="00687AF2"/>
    <w:rsid w:val="00687CB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CC"/>
    <w:rsid w:val="006B0C76"/>
    <w:rsid w:val="006B0DA2"/>
    <w:rsid w:val="006B0E09"/>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CC2"/>
    <w:rsid w:val="006B7F74"/>
    <w:rsid w:val="006C0230"/>
    <w:rsid w:val="006C05BE"/>
    <w:rsid w:val="006C05C7"/>
    <w:rsid w:val="006C1D0C"/>
    <w:rsid w:val="006C25AB"/>
    <w:rsid w:val="006C2DA6"/>
    <w:rsid w:val="006C3581"/>
    <w:rsid w:val="006C39A0"/>
    <w:rsid w:val="006C3EFE"/>
    <w:rsid w:val="006C46C7"/>
    <w:rsid w:val="006C4767"/>
    <w:rsid w:val="006C4A1A"/>
    <w:rsid w:val="006C4BD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696"/>
    <w:rsid w:val="006D2F72"/>
    <w:rsid w:val="006D43C1"/>
    <w:rsid w:val="006D5442"/>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302"/>
    <w:rsid w:val="006F3442"/>
    <w:rsid w:val="006F36A5"/>
    <w:rsid w:val="006F41F4"/>
    <w:rsid w:val="006F4576"/>
    <w:rsid w:val="006F5813"/>
    <w:rsid w:val="006F59A8"/>
    <w:rsid w:val="006F5A1D"/>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EF9"/>
    <w:rsid w:val="00732FE9"/>
    <w:rsid w:val="007333EE"/>
    <w:rsid w:val="00733772"/>
    <w:rsid w:val="00733A43"/>
    <w:rsid w:val="00733AE4"/>
    <w:rsid w:val="00733D5F"/>
    <w:rsid w:val="00734920"/>
    <w:rsid w:val="00734932"/>
    <w:rsid w:val="00734AF7"/>
    <w:rsid w:val="00735D53"/>
    <w:rsid w:val="0073618A"/>
    <w:rsid w:val="007364A3"/>
    <w:rsid w:val="00736740"/>
    <w:rsid w:val="00737070"/>
    <w:rsid w:val="0073760F"/>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722"/>
    <w:rsid w:val="00762948"/>
    <w:rsid w:val="00762A81"/>
    <w:rsid w:val="00762BD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5FA0"/>
    <w:rsid w:val="0077710B"/>
    <w:rsid w:val="0077765A"/>
    <w:rsid w:val="007778AE"/>
    <w:rsid w:val="00780032"/>
    <w:rsid w:val="0078038E"/>
    <w:rsid w:val="00780636"/>
    <w:rsid w:val="00780E86"/>
    <w:rsid w:val="0078108C"/>
    <w:rsid w:val="00781727"/>
    <w:rsid w:val="00781AAF"/>
    <w:rsid w:val="007823E8"/>
    <w:rsid w:val="00782CF3"/>
    <w:rsid w:val="00783959"/>
    <w:rsid w:val="00783B65"/>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D2"/>
    <w:rsid w:val="007A7FE8"/>
    <w:rsid w:val="007B00C9"/>
    <w:rsid w:val="007B02C7"/>
    <w:rsid w:val="007B0306"/>
    <w:rsid w:val="007B06E3"/>
    <w:rsid w:val="007B08E4"/>
    <w:rsid w:val="007B0D86"/>
    <w:rsid w:val="007B13C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48C8"/>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2384"/>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69F"/>
    <w:rsid w:val="007E07B8"/>
    <w:rsid w:val="007E0A63"/>
    <w:rsid w:val="007E0C63"/>
    <w:rsid w:val="007E0E05"/>
    <w:rsid w:val="007E0F5D"/>
    <w:rsid w:val="007E1059"/>
    <w:rsid w:val="007E23A1"/>
    <w:rsid w:val="007E259F"/>
    <w:rsid w:val="007E347E"/>
    <w:rsid w:val="007E354A"/>
    <w:rsid w:val="007E3E31"/>
    <w:rsid w:val="007E41A4"/>
    <w:rsid w:val="007E43E3"/>
    <w:rsid w:val="007E54B8"/>
    <w:rsid w:val="007E5D12"/>
    <w:rsid w:val="007E6420"/>
    <w:rsid w:val="007E677F"/>
    <w:rsid w:val="007E6B25"/>
    <w:rsid w:val="007E6E06"/>
    <w:rsid w:val="007E6F4A"/>
    <w:rsid w:val="007E79CC"/>
    <w:rsid w:val="007F004B"/>
    <w:rsid w:val="007F1124"/>
    <w:rsid w:val="007F152D"/>
    <w:rsid w:val="007F20C4"/>
    <w:rsid w:val="007F20EE"/>
    <w:rsid w:val="007F23D8"/>
    <w:rsid w:val="007F307A"/>
    <w:rsid w:val="007F30C6"/>
    <w:rsid w:val="007F336F"/>
    <w:rsid w:val="007F38FD"/>
    <w:rsid w:val="007F3C18"/>
    <w:rsid w:val="007F4318"/>
    <w:rsid w:val="007F4709"/>
    <w:rsid w:val="007F4720"/>
    <w:rsid w:val="007F47DA"/>
    <w:rsid w:val="007F4E52"/>
    <w:rsid w:val="007F4F84"/>
    <w:rsid w:val="007F5382"/>
    <w:rsid w:val="007F54B5"/>
    <w:rsid w:val="007F55A4"/>
    <w:rsid w:val="007F5D28"/>
    <w:rsid w:val="007F6260"/>
    <w:rsid w:val="007F682B"/>
    <w:rsid w:val="007F77D1"/>
    <w:rsid w:val="007F78E8"/>
    <w:rsid w:val="007F79FA"/>
    <w:rsid w:val="007F7F8F"/>
    <w:rsid w:val="00800509"/>
    <w:rsid w:val="0080078E"/>
    <w:rsid w:val="00800B7F"/>
    <w:rsid w:val="008012B1"/>
    <w:rsid w:val="008019E5"/>
    <w:rsid w:val="00801A29"/>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353"/>
    <w:rsid w:val="00817416"/>
    <w:rsid w:val="00817658"/>
    <w:rsid w:val="008206AE"/>
    <w:rsid w:val="00820C3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26AB4"/>
    <w:rsid w:val="00830052"/>
    <w:rsid w:val="008300D0"/>
    <w:rsid w:val="008308D8"/>
    <w:rsid w:val="0083107B"/>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6"/>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2D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4F"/>
    <w:rsid w:val="008920B4"/>
    <w:rsid w:val="008925EB"/>
    <w:rsid w:val="0089275E"/>
    <w:rsid w:val="00892B43"/>
    <w:rsid w:val="00893432"/>
    <w:rsid w:val="00893936"/>
    <w:rsid w:val="00893CE2"/>
    <w:rsid w:val="00893F41"/>
    <w:rsid w:val="00894DFD"/>
    <w:rsid w:val="00895144"/>
    <w:rsid w:val="00895226"/>
    <w:rsid w:val="00895963"/>
    <w:rsid w:val="00896F70"/>
    <w:rsid w:val="008972B6"/>
    <w:rsid w:val="00897339"/>
    <w:rsid w:val="00897697"/>
    <w:rsid w:val="008977E1"/>
    <w:rsid w:val="00897BFA"/>
    <w:rsid w:val="00897D19"/>
    <w:rsid w:val="008A0044"/>
    <w:rsid w:val="008A0156"/>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66B"/>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70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F0913"/>
    <w:rsid w:val="008F1764"/>
    <w:rsid w:val="008F1E3D"/>
    <w:rsid w:val="008F235C"/>
    <w:rsid w:val="008F290B"/>
    <w:rsid w:val="008F2F11"/>
    <w:rsid w:val="008F3369"/>
    <w:rsid w:val="008F33A6"/>
    <w:rsid w:val="008F35EC"/>
    <w:rsid w:val="008F40D7"/>
    <w:rsid w:val="008F4FE8"/>
    <w:rsid w:val="008F4FED"/>
    <w:rsid w:val="008F5D5A"/>
    <w:rsid w:val="008F6200"/>
    <w:rsid w:val="008F62F8"/>
    <w:rsid w:val="008F6893"/>
    <w:rsid w:val="008F7292"/>
    <w:rsid w:val="008F76C0"/>
    <w:rsid w:val="009000F2"/>
    <w:rsid w:val="0090079D"/>
    <w:rsid w:val="0090086A"/>
    <w:rsid w:val="00900D2C"/>
    <w:rsid w:val="00901807"/>
    <w:rsid w:val="00901B38"/>
    <w:rsid w:val="00901F0E"/>
    <w:rsid w:val="00902A26"/>
    <w:rsid w:val="00902A57"/>
    <w:rsid w:val="00902B29"/>
    <w:rsid w:val="009030D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28B"/>
    <w:rsid w:val="0092077A"/>
    <w:rsid w:val="00920DC0"/>
    <w:rsid w:val="009219F3"/>
    <w:rsid w:val="009221CB"/>
    <w:rsid w:val="00922320"/>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727"/>
    <w:rsid w:val="00942F8E"/>
    <w:rsid w:val="00943543"/>
    <w:rsid w:val="009441DB"/>
    <w:rsid w:val="009446E3"/>
    <w:rsid w:val="00944834"/>
    <w:rsid w:val="00946128"/>
    <w:rsid w:val="0094633F"/>
    <w:rsid w:val="00947BA5"/>
    <w:rsid w:val="00950785"/>
    <w:rsid w:val="00950805"/>
    <w:rsid w:val="009517E4"/>
    <w:rsid w:val="009518D4"/>
    <w:rsid w:val="009520BC"/>
    <w:rsid w:val="009521D2"/>
    <w:rsid w:val="00952403"/>
    <w:rsid w:val="00952581"/>
    <w:rsid w:val="00952589"/>
    <w:rsid w:val="00952BD8"/>
    <w:rsid w:val="00953573"/>
    <w:rsid w:val="009537C0"/>
    <w:rsid w:val="009557A9"/>
    <w:rsid w:val="009562C6"/>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5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0B"/>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3EE"/>
    <w:rsid w:val="009A0B32"/>
    <w:rsid w:val="009A113D"/>
    <w:rsid w:val="009A1ECA"/>
    <w:rsid w:val="009A2BE9"/>
    <w:rsid w:val="009A2BF3"/>
    <w:rsid w:val="009A3688"/>
    <w:rsid w:val="009A3713"/>
    <w:rsid w:val="009A3C3E"/>
    <w:rsid w:val="009A4153"/>
    <w:rsid w:val="009A49B7"/>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11D"/>
    <w:rsid w:val="009C620F"/>
    <w:rsid w:val="009C657D"/>
    <w:rsid w:val="009C724B"/>
    <w:rsid w:val="009C7266"/>
    <w:rsid w:val="009C748A"/>
    <w:rsid w:val="009C775E"/>
    <w:rsid w:val="009C7B09"/>
    <w:rsid w:val="009D03B7"/>
    <w:rsid w:val="009D07AD"/>
    <w:rsid w:val="009D0824"/>
    <w:rsid w:val="009D1172"/>
    <w:rsid w:val="009D13CC"/>
    <w:rsid w:val="009D1654"/>
    <w:rsid w:val="009D1AAC"/>
    <w:rsid w:val="009D1BDB"/>
    <w:rsid w:val="009D298F"/>
    <w:rsid w:val="009D2F9C"/>
    <w:rsid w:val="009D4207"/>
    <w:rsid w:val="009D4C04"/>
    <w:rsid w:val="009D4E4A"/>
    <w:rsid w:val="009D5130"/>
    <w:rsid w:val="009D53D1"/>
    <w:rsid w:val="009D53FB"/>
    <w:rsid w:val="009D56A4"/>
    <w:rsid w:val="009D5887"/>
    <w:rsid w:val="009D6081"/>
    <w:rsid w:val="009D6515"/>
    <w:rsid w:val="009D678C"/>
    <w:rsid w:val="009D6B9A"/>
    <w:rsid w:val="009D6D30"/>
    <w:rsid w:val="009D7523"/>
    <w:rsid w:val="009D76B5"/>
    <w:rsid w:val="009D7AF1"/>
    <w:rsid w:val="009D7BC7"/>
    <w:rsid w:val="009D7DA5"/>
    <w:rsid w:val="009D7FAC"/>
    <w:rsid w:val="009E0109"/>
    <w:rsid w:val="009E0342"/>
    <w:rsid w:val="009E046C"/>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3D"/>
    <w:rsid w:val="009F2186"/>
    <w:rsid w:val="009F227C"/>
    <w:rsid w:val="009F28DC"/>
    <w:rsid w:val="009F2E2B"/>
    <w:rsid w:val="009F2EDB"/>
    <w:rsid w:val="009F33DC"/>
    <w:rsid w:val="009F3572"/>
    <w:rsid w:val="009F3B27"/>
    <w:rsid w:val="009F4550"/>
    <w:rsid w:val="009F4F41"/>
    <w:rsid w:val="009F56C0"/>
    <w:rsid w:val="009F591C"/>
    <w:rsid w:val="009F5C76"/>
    <w:rsid w:val="009F70B8"/>
    <w:rsid w:val="00A000C5"/>
    <w:rsid w:val="00A007B4"/>
    <w:rsid w:val="00A00930"/>
    <w:rsid w:val="00A00CA0"/>
    <w:rsid w:val="00A00E00"/>
    <w:rsid w:val="00A01221"/>
    <w:rsid w:val="00A012A8"/>
    <w:rsid w:val="00A012F1"/>
    <w:rsid w:val="00A016FF"/>
    <w:rsid w:val="00A01886"/>
    <w:rsid w:val="00A0207F"/>
    <w:rsid w:val="00A021AF"/>
    <w:rsid w:val="00A023E9"/>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0E"/>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10C"/>
    <w:rsid w:val="00A254AB"/>
    <w:rsid w:val="00A259F2"/>
    <w:rsid w:val="00A266CC"/>
    <w:rsid w:val="00A26BF7"/>
    <w:rsid w:val="00A26DB4"/>
    <w:rsid w:val="00A27425"/>
    <w:rsid w:val="00A2786B"/>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BF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233"/>
    <w:rsid w:val="00A63335"/>
    <w:rsid w:val="00A634EB"/>
    <w:rsid w:val="00A635B2"/>
    <w:rsid w:val="00A63685"/>
    <w:rsid w:val="00A63EA5"/>
    <w:rsid w:val="00A64545"/>
    <w:rsid w:val="00A645AC"/>
    <w:rsid w:val="00A64C79"/>
    <w:rsid w:val="00A65060"/>
    <w:rsid w:val="00A65A1B"/>
    <w:rsid w:val="00A65EFB"/>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5B1"/>
    <w:rsid w:val="00A766E9"/>
    <w:rsid w:val="00A768F6"/>
    <w:rsid w:val="00A772F2"/>
    <w:rsid w:val="00A77828"/>
    <w:rsid w:val="00A77BAA"/>
    <w:rsid w:val="00A800F9"/>
    <w:rsid w:val="00A803A6"/>
    <w:rsid w:val="00A8073D"/>
    <w:rsid w:val="00A80D02"/>
    <w:rsid w:val="00A815FB"/>
    <w:rsid w:val="00A81AEB"/>
    <w:rsid w:val="00A82D32"/>
    <w:rsid w:val="00A82EAE"/>
    <w:rsid w:val="00A82FC7"/>
    <w:rsid w:val="00A847F9"/>
    <w:rsid w:val="00A84806"/>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3E1"/>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CB"/>
    <w:rsid w:val="00AB33FA"/>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453"/>
    <w:rsid w:val="00AD6A5B"/>
    <w:rsid w:val="00AD6B4F"/>
    <w:rsid w:val="00AD6D19"/>
    <w:rsid w:val="00AD7812"/>
    <w:rsid w:val="00AD7C42"/>
    <w:rsid w:val="00AD7CFA"/>
    <w:rsid w:val="00AE05B6"/>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A6"/>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479"/>
    <w:rsid w:val="00B1550D"/>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5342"/>
    <w:rsid w:val="00B2547E"/>
    <w:rsid w:val="00B2551D"/>
    <w:rsid w:val="00B25F8C"/>
    <w:rsid w:val="00B260BE"/>
    <w:rsid w:val="00B26677"/>
    <w:rsid w:val="00B26A96"/>
    <w:rsid w:val="00B26C61"/>
    <w:rsid w:val="00B26F5E"/>
    <w:rsid w:val="00B274E3"/>
    <w:rsid w:val="00B2765C"/>
    <w:rsid w:val="00B27C4B"/>
    <w:rsid w:val="00B30563"/>
    <w:rsid w:val="00B3069E"/>
    <w:rsid w:val="00B3088A"/>
    <w:rsid w:val="00B30A76"/>
    <w:rsid w:val="00B31246"/>
    <w:rsid w:val="00B320A7"/>
    <w:rsid w:val="00B32295"/>
    <w:rsid w:val="00B33AB5"/>
    <w:rsid w:val="00B3412E"/>
    <w:rsid w:val="00B343E0"/>
    <w:rsid w:val="00B34478"/>
    <w:rsid w:val="00B35B6D"/>
    <w:rsid w:val="00B35D53"/>
    <w:rsid w:val="00B367C4"/>
    <w:rsid w:val="00B36D3E"/>
    <w:rsid w:val="00B37B8E"/>
    <w:rsid w:val="00B40222"/>
    <w:rsid w:val="00B404C3"/>
    <w:rsid w:val="00B41A04"/>
    <w:rsid w:val="00B42318"/>
    <w:rsid w:val="00B42743"/>
    <w:rsid w:val="00B430E9"/>
    <w:rsid w:val="00B4311F"/>
    <w:rsid w:val="00B431AE"/>
    <w:rsid w:val="00B43A43"/>
    <w:rsid w:val="00B44288"/>
    <w:rsid w:val="00B448BF"/>
    <w:rsid w:val="00B45A59"/>
    <w:rsid w:val="00B45E9F"/>
    <w:rsid w:val="00B45F9F"/>
    <w:rsid w:val="00B4627C"/>
    <w:rsid w:val="00B4641F"/>
    <w:rsid w:val="00B46793"/>
    <w:rsid w:val="00B46953"/>
    <w:rsid w:val="00B47455"/>
    <w:rsid w:val="00B47979"/>
    <w:rsid w:val="00B47A59"/>
    <w:rsid w:val="00B47ECD"/>
    <w:rsid w:val="00B47FF3"/>
    <w:rsid w:val="00B503D6"/>
    <w:rsid w:val="00B51039"/>
    <w:rsid w:val="00B51520"/>
    <w:rsid w:val="00B515C3"/>
    <w:rsid w:val="00B517C2"/>
    <w:rsid w:val="00B518CE"/>
    <w:rsid w:val="00B51F56"/>
    <w:rsid w:val="00B52234"/>
    <w:rsid w:val="00B53623"/>
    <w:rsid w:val="00B53D1D"/>
    <w:rsid w:val="00B53E98"/>
    <w:rsid w:val="00B53F9B"/>
    <w:rsid w:val="00B54B19"/>
    <w:rsid w:val="00B54E2D"/>
    <w:rsid w:val="00B55F64"/>
    <w:rsid w:val="00B56ECA"/>
    <w:rsid w:val="00B56EFD"/>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90B"/>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35"/>
    <w:rsid w:val="00B81274"/>
    <w:rsid w:val="00B815D3"/>
    <w:rsid w:val="00B81742"/>
    <w:rsid w:val="00B817B5"/>
    <w:rsid w:val="00B823A6"/>
    <w:rsid w:val="00B83E76"/>
    <w:rsid w:val="00B83FA0"/>
    <w:rsid w:val="00B84156"/>
    <w:rsid w:val="00B846E6"/>
    <w:rsid w:val="00B8537B"/>
    <w:rsid w:val="00B85586"/>
    <w:rsid w:val="00B859FB"/>
    <w:rsid w:val="00B8622F"/>
    <w:rsid w:val="00B86289"/>
    <w:rsid w:val="00B863B3"/>
    <w:rsid w:val="00B869D3"/>
    <w:rsid w:val="00B86CF8"/>
    <w:rsid w:val="00B86E44"/>
    <w:rsid w:val="00B87359"/>
    <w:rsid w:val="00B87764"/>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1FB6"/>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47B"/>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2C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3A0"/>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AB2"/>
    <w:rsid w:val="00C33E51"/>
    <w:rsid w:val="00C34C45"/>
    <w:rsid w:val="00C34C47"/>
    <w:rsid w:val="00C34FCE"/>
    <w:rsid w:val="00C35411"/>
    <w:rsid w:val="00C35EED"/>
    <w:rsid w:val="00C36B2C"/>
    <w:rsid w:val="00C3701A"/>
    <w:rsid w:val="00C3784D"/>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1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EC3"/>
    <w:rsid w:val="00C81716"/>
    <w:rsid w:val="00C832CB"/>
    <w:rsid w:val="00C84085"/>
    <w:rsid w:val="00C852DC"/>
    <w:rsid w:val="00C854A8"/>
    <w:rsid w:val="00C85677"/>
    <w:rsid w:val="00C85E17"/>
    <w:rsid w:val="00C868A7"/>
    <w:rsid w:val="00C86ABA"/>
    <w:rsid w:val="00C86BF7"/>
    <w:rsid w:val="00C87009"/>
    <w:rsid w:val="00C87164"/>
    <w:rsid w:val="00C874FA"/>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09"/>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617"/>
    <w:rsid w:val="00CC4701"/>
    <w:rsid w:val="00CC56B4"/>
    <w:rsid w:val="00CC5F95"/>
    <w:rsid w:val="00CC642A"/>
    <w:rsid w:val="00CC6AC7"/>
    <w:rsid w:val="00CC733D"/>
    <w:rsid w:val="00CC7617"/>
    <w:rsid w:val="00CC7E0D"/>
    <w:rsid w:val="00CC7E97"/>
    <w:rsid w:val="00CD008C"/>
    <w:rsid w:val="00CD00EB"/>
    <w:rsid w:val="00CD1255"/>
    <w:rsid w:val="00CD1358"/>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019"/>
    <w:rsid w:val="00D054EF"/>
    <w:rsid w:val="00D05637"/>
    <w:rsid w:val="00D05BA9"/>
    <w:rsid w:val="00D05EB1"/>
    <w:rsid w:val="00D0650B"/>
    <w:rsid w:val="00D067AB"/>
    <w:rsid w:val="00D068AA"/>
    <w:rsid w:val="00D06AC4"/>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6DE8"/>
    <w:rsid w:val="00D373D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F9"/>
    <w:rsid w:val="00D70D42"/>
    <w:rsid w:val="00D71285"/>
    <w:rsid w:val="00D712F5"/>
    <w:rsid w:val="00D71ABC"/>
    <w:rsid w:val="00D71D50"/>
    <w:rsid w:val="00D721C5"/>
    <w:rsid w:val="00D72454"/>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A8"/>
    <w:rsid w:val="00D85FDE"/>
    <w:rsid w:val="00D862AD"/>
    <w:rsid w:val="00D8665E"/>
    <w:rsid w:val="00D869C1"/>
    <w:rsid w:val="00D86EC6"/>
    <w:rsid w:val="00D87418"/>
    <w:rsid w:val="00D87A39"/>
    <w:rsid w:val="00D87AB4"/>
    <w:rsid w:val="00D87CF8"/>
    <w:rsid w:val="00D87FE6"/>
    <w:rsid w:val="00D90B78"/>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3F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485"/>
    <w:rsid w:val="00DC2B3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0F78"/>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D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0E9"/>
    <w:rsid w:val="00DF3798"/>
    <w:rsid w:val="00DF4C81"/>
    <w:rsid w:val="00DF4FF1"/>
    <w:rsid w:val="00DF56A3"/>
    <w:rsid w:val="00DF5B33"/>
    <w:rsid w:val="00DF6FD2"/>
    <w:rsid w:val="00DF72EF"/>
    <w:rsid w:val="00DF743D"/>
    <w:rsid w:val="00DF7724"/>
    <w:rsid w:val="00DF7AFB"/>
    <w:rsid w:val="00DF7B7A"/>
    <w:rsid w:val="00E000D8"/>
    <w:rsid w:val="00E00C1E"/>
    <w:rsid w:val="00E00F5F"/>
    <w:rsid w:val="00E010E6"/>
    <w:rsid w:val="00E01377"/>
    <w:rsid w:val="00E014E7"/>
    <w:rsid w:val="00E017DE"/>
    <w:rsid w:val="00E0232F"/>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B8F"/>
    <w:rsid w:val="00E10712"/>
    <w:rsid w:val="00E10DD1"/>
    <w:rsid w:val="00E1157D"/>
    <w:rsid w:val="00E1224C"/>
    <w:rsid w:val="00E1254C"/>
    <w:rsid w:val="00E12BDF"/>
    <w:rsid w:val="00E13326"/>
    <w:rsid w:val="00E135CB"/>
    <w:rsid w:val="00E13D07"/>
    <w:rsid w:val="00E14356"/>
    <w:rsid w:val="00E14961"/>
    <w:rsid w:val="00E14D76"/>
    <w:rsid w:val="00E15183"/>
    <w:rsid w:val="00E15D6C"/>
    <w:rsid w:val="00E1720B"/>
    <w:rsid w:val="00E203DE"/>
    <w:rsid w:val="00E20CE7"/>
    <w:rsid w:val="00E2147F"/>
    <w:rsid w:val="00E217B1"/>
    <w:rsid w:val="00E222FA"/>
    <w:rsid w:val="00E229CE"/>
    <w:rsid w:val="00E22B4A"/>
    <w:rsid w:val="00E2376D"/>
    <w:rsid w:val="00E2449B"/>
    <w:rsid w:val="00E24A62"/>
    <w:rsid w:val="00E24F52"/>
    <w:rsid w:val="00E255CC"/>
    <w:rsid w:val="00E25636"/>
    <w:rsid w:val="00E25755"/>
    <w:rsid w:val="00E25F90"/>
    <w:rsid w:val="00E266DD"/>
    <w:rsid w:val="00E26BDE"/>
    <w:rsid w:val="00E26D2E"/>
    <w:rsid w:val="00E279B2"/>
    <w:rsid w:val="00E303C0"/>
    <w:rsid w:val="00E3055B"/>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4B"/>
    <w:rsid w:val="00E510CF"/>
    <w:rsid w:val="00E510D8"/>
    <w:rsid w:val="00E513D7"/>
    <w:rsid w:val="00E519FE"/>
    <w:rsid w:val="00E5206C"/>
    <w:rsid w:val="00E52AAB"/>
    <w:rsid w:val="00E5448E"/>
    <w:rsid w:val="00E54E0D"/>
    <w:rsid w:val="00E55247"/>
    <w:rsid w:val="00E558E5"/>
    <w:rsid w:val="00E55B3C"/>
    <w:rsid w:val="00E56795"/>
    <w:rsid w:val="00E57932"/>
    <w:rsid w:val="00E57F92"/>
    <w:rsid w:val="00E606C4"/>
    <w:rsid w:val="00E60811"/>
    <w:rsid w:val="00E60AB8"/>
    <w:rsid w:val="00E6103E"/>
    <w:rsid w:val="00E6119E"/>
    <w:rsid w:val="00E6185F"/>
    <w:rsid w:val="00E61D32"/>
    <w:rsid w:val="00E627F3"/>
    <w:rsid w:val="00E62B5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6B79"/>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1"/>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A23"/>
    <w:rsid w:val="00E95C2A"/>
    <w:rsid w:val="00E95F03"/>
    <w:rsid w:val="00E961CB"/>
    <w:rsid w:val="00E963BC"/>
    <w:rsid w:val="00E966A6"/>
    <w:rsid w:val="00E96E91"/>
    <w:rsid w:val="00E9751D"/>
    <w:rsid w:val="00E97DC6"/>
    <w:rsid w:val="00E97F7A"/>
    <w:rsid w:val="00EA0010"/>
    <w:rsid w:val="00EA0143"/>
    <w:rsid w:val="00EA089B"/>
    <w:rsid w:val="00EA1ACC"/>
    <w:rsid w:val="00EA238B"/>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5CF"/>
    <w:rsid w:val="00EB6257"/>
    <w:rsid w:val="00EB68E6"/>
    <w:rsid w:val="00EB6AE9"/>
    <w:rsid w:val="00EB6B2D"/>
    <w:rsid w:val="00EB71C9"/>
    <w:rsid w:val="00EB763E"/>
    <w:rsid w:val="00EB7B67"/>
    <w:rsid w:val="00EC07F1"/>
    <w:rsid w:val="00EC1E8A"/>
    <w:rsid w:val="00EC301F"/>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B3"/>
    <w:rsid w:val="00ED5981"/>
    <w:rsid w:val="00ED613A"/>
    <w:rsid w:val="00ED6514"/>
    <w:rsid w:val="00ED66B2"/>
    <w:rsid w:val="00ED71BA"/>
    <w:rsid w:val="00ED728F"/>
    <w:rsid w:val="00ED73A1"/>
    <w:rsid w:val="00ED7CA2"/>
    <w:rsid w:val="00EE04F9"/>
    <w:rsid w:val="00EE05E0"/>
    <w:rsid w:val="00EE0FF6"/>
    <w:rsid w:val="00EE13DA"/>
    <w:rsid w:val="00EE13EF"/>
    <w:rsid w:val="00EE1595"/>
    <w:rsid w:val="00EE1E71"/>
    <w:rsid w:val="00EE2087"/>
    <w:rsid w:val="00EE20C2"/>
    <w:rsid w:val="00EE2A9D"/>
    <w:rsid w:val="00EE3384"/>
    <w:rsid w:val="00EE499F"/>
    <w:rsid w:val="00EE56E2"/>
    <w:rsid w:val="00EE5FCD"/>
    <w:rsid w:val="00EE6296"/>
    <w:rsid w:val="00EE63BF"/>
    <w:rsid w:val="00EE6D45"/>
    <w:rsid w:val="00EE6E89"/>
    <w:rsid w:val="00EF0057"/>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1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6EFF"/>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94D"/>
    <w:rsid w:val="00F21A5D"/>
    <w:rsid w:val="00F21C13"/>
    <w:rsid w:val="00F21D32"/>
    <w:rsid w:val="00F22362"/>
    <w:rsid w:val="00F22796"/>
    <w:rsid w:val="00F2296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30034"/>
    <w:rsid w:val="00F30313"/>
    <w:rsid w:val="00F303BC"/>
    <w:rsid w:val="00F30472"/>
    <w:rsid w:val="00F31052"/>
    <w:rsid w:val="00F318A1"/>
    <w:rsid w:val="00F31CF5"/>
    <w:rsid w:val="00F31DBE"/>
    <w:rsid w:val="00F3265C"/>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2A"/>
    <w:rsid w:val="00F50CDF"/>
    <w:rsid w:val="00F51A82"/>
    <w:rsid w:val="00F51B78"/>
    <w:rsid w:val="00F51BDD"/>
    <w:rsid w:val="00F52065"/>
    <w:rsid w:val="00F521CE"/>
    <w:rsid w:val="00F5253E"/>
    <w:rsid w:val="00F5254B"/>
    <w:rsid w:val="00F52CB7"/>
    <w:rsid w:val="00F53A44"/>
    <w:rsid w:val="00F54E5E"/>
    <w:rsid w:val="00F551DB"/>
    <w:rsid w:val="00F55810"/>
    <w:rsid w:val="00F558EE"/>
    <w:rsid w:val="00F559BE"/>
    <w:rsid w:val="00F56F7E"/>
    <w:rsid w:val="00F56FEF"/>
    <w:rsid w:val="00F57521"/>
    <w:rsid w:val="00F57E2D"/>
    <w:rsid w:val="00F60938"/>
    <w:rsid w:val="00F60B07"/>
    <w:rsid w:val="00F60C7E"/>
    <w:rsid w:val="00F60E0A"/>
    <w:rsid w:val="00F61606"/>
    <w:rsid w:val="00F61918"/>
    <w:rsid w:val="00F62151"/>
    <w:rsid w:val="00F62CA8"/>
    <w:rsid w:val="00F62F92"/>
    <w:rsid w:val="00F630B4"/>
    <w:rsid w:val="00F635EF"/>
    <w:rsid w:val="00F63BF4"/>
    <w:rsid w:val="00F63C55"/>
    <w:rsid w:val="00F63C60"/>
    <w:rsid w:val="00F64381"/>
    <w:rsid w:val="00F64991"/>
    <w:rsid w:val="00F65BA9"/>
    <w:rsid w:val="00F65BC8"/>
    <w:rsid w:val="00F65BED"/>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1F7"/>
    <w:rsid w:val="00F773A9"/>
    <w:rsid w:val="00F8056E"/>
    <w:rsid w:val="00F805B7"/>
    <w:rsid w:val="00F80E94"/>
    <w:rsid w:val="00F810C1"/>
    <w:rsid w:val="00F8150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5138"/>
    <w:rsid w:val="00FB547F"/>
    <w:rsid w:val="00FB5A71"/>
    <w:rsid w:val="00FB63F6"/>
    <w:rsid w:val="00FB7823"/>
    <w:rsid w:val="00FC05B2"/>
    <w:rsid w:val="00FC08B3"/>
    <w:rsid w:val="00FC09D7"/>
    <w:rsid w:val="00FC0ABE"/>
    <w:rsid w:val="00FC1269"/>
    <w:rsid w:val="00FC227F"/>
    <w:rsid w:val="00FC22D0"/>
    <w:rsid w:val="00FC25C2"/>
    <w:rsid w:val="00FC38D4"/>
    <w:rsid w:val="00FC391E"/>
    <w:rsid w:val="00FC39B3"/>
    <w:rsid w:val="00FC3BB7"/>
    <w:rsid w:val="00FC4284"/>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6BA"/>
    <w:rsid w:val="00FD3AE2"/>
    <w:rsid w:val="00FD3E41"/>
    <w:rsid w:val="00FD3EFA"/>
    <w:rsid w:val="00FD44F0"/>
    <w:rsid w:val="00FD54A8"/>
    <w:rsid w:val="00FD5AE4"/>
    <w:rsid w:val="00FD5F25"/>
    <w:rsid w:val="00FD5F53"/>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0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C73C8F"/>
    <w:rsid w:val="01D55165"/>
    <w:rsid w:val="01DF6BF8"/>
    <w:rsid w:val="01EC2C57"/>
    <w:rsid w:val="025F0711"/>
    <w:rsid w:val="026B2E25"/>
    <w:rsid w:val="026F1D07"/>
    <w:rsid w:val="02824D4D"/>
    <w:rsid w:val="02C80F80"/>
    <w:rsid w:val="02DC4B10"/>
    <w:rsid w:val="02DD76CE"/>
    <w:rsid w:val="02F36323"/>
    <w:rsid w:val="02F5619C"/>
    <w:rsid w:val="0326446A"/>
    <w:rsid w:val="032D5555"/>
    <w:rsid w:val="036634D2"/>
    <w:rsid w:val="0367619D"/>
    <w:rsid w:val="03821AF9"/>
    <w:rsid w:val="03DD35E4"/>
    <w:rsid w:val="03E24B14"/>
    <w:rsid w:val="04032235"/>
    <w:rsid w:val="04076900"/>
    <w:rsid w:val="041A5A3B"/>
    <w:rsid w:val="042311BA"/>
    <w:rsid w:val="042B157A"/>
    <w:rsid w:val="048F763B"/>
    <w:rsid w:val="049F330E"/>
    <w:rsid w:val="04AA775C"/>
    <w:rsid w:val="04AF1889"/>
    <w:rsid w:val="04F66F48"/>
    <w:rsid w:val="05251E14"/>
    <w:rsid w:val="05A16594"/>
    <w:rsid w:val="05A7762D"/>
    <w:rsid w:val="05DD192D"/>
    <w:rsid w:val="060E2E9D"/>
    <w:rsid w:val="060E5941"/>
    <w:rsid w:val="06110FAF"/>
    <w:rsid w:val="06493CA7"/>
    <w:rsid w:val="065A6178"/>
    <w:rsid w:val="066F1CF3"/>
    <w:rsid w:val="067856F1"/>
    <w:rsid w:val="06930BB8"/>
    <w:rsid w:val="06C831BB"/>
    <w:rsid w:val="07245D42"/>
    <w:rsid w:val="07264C62"/>
    <w:rsid w:val="0779354C"/>
    <w:rsid w:val="079153A6"/>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8366C"/>
    <w:rsid w:val="0AE44D9B"/>
    <w:rsid w:val="0B30404E"/>
    <w:rsid w:val="0B461066"/>
    <w:rsid w:val="0B4C6C14"/>
    <w:rsid w:val="0B547599"/>
    <w:rsid w:val="0B631A88"/>
    <w:rsid w:val="0B683D45"/>
    <w:rsid w:val="0B7F3F11"/>
    <w:rsid w:val="0B884417"/>
    <w:rsid w:val="0BB55272"/>
    <w:rsid w:val="0BEE69CD"/>
    <w:rsid w:val="0BF6188C"/>
    <w:rsid w:val="0BF73C91"/>
    <w:rsid w:val="0C170175"/>
    <w:rsid w:val="0C571A41"/>
    <w:rsid w:val="0C5C1171"/>
    <w:rsid w:val="0C5E1CBC"/>
    <w:rsid w:val="0C615B50"/>
    <w:rsid w:val="0C8445DA"/>
    <w:rsid w:val="0C87121B"/>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75C95"/>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E5613"/>
    <w:rsid w:val="10646583"/>
    <w:rsid w:val="107D4B15"/>
    <w:rsid w:val="1088784A"/>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1780"/>
    <w:rsid w:val="13813A60"/>
    <w:rsid w:val="139B1A0A"/>
    <w:rsid w:val="139D25C7"/>
    <w:rsid w:val="13BF3CE4"/>
    <w:rsid w:val="13EE2C54"/>
    <w:rsid w:val="141008D8"/>
    <w:rsid w:val="14125FE6"/>
    <w:rsid w:val="146D271E"/>
    <w:rsid w:val="149356C1"/>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426F3"/>
    <w:rsid w:val="17D1049D"/>
    <w:rsid w:val="17D349C1"/>
    <w:rsid w:val="18111EBF"/>
    <w:rsid w:val="18244F26"/>
    <w:rsid w:val="1830729E"/>
    <w:rsid w:val="1870062C"/>
    <w:rsid w:val="18817102"/>
    <w:rsid w:val="18830A15"/>
    <w:rsid w:val="18852B28"/>
    <w:rsid w:val="188B5321"/>
    <w:rsid w:val="19932372"/>
    <w:rsid w:val="19A20DD5"/>
    <w:rsid w:val="19AE03F1"/>
    <w:rsid w:val="1A071A03"/>
    <w:rsid w:val="1A1F16AE"/>
    <w:rsid w:val="1A376B1C"/>
    <w:rsid w:val="1A3B5C77"/>
    <w:rsid w:val="1A984BAD"/>
    <w:rsid w:val="1AB8220E"/>
    <w:rsid w:val="1AC175F7"/>
    <w:rsid w:val="1AE4166C"/>
    <w:rsid w:val="1AF06CFB"/>
    <w:rsid w:val="1AF11B8D"/>
    <w:rsid w:val="1B11359C"/>
    <w:rsid w:val="1B2A271F"/>
    <w:rsid w:val="1B530544"/>
    <w:rsid w:val="1B713184"/>
    <w:rsid w:val="1BA209CF"/>
    <w:rsid w:val="1BB4777D"/>
    <w:rsid w:val="1BD75AB8"/>
    <w:rsid w:val="1C0459C2"/>
    <w:rsid w:val="1C1B3B4A"/>
    <w:rsid w:val="1C88086E"/>
    <w:rsid w:val="1CF30EF7"/>
    <w:rsid w:val="1D266CE1"/>
    <w:rsid w:val="1D3963AF"/>
    <w:rsid w:val="1D4A664D"/>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44118"/>
    <w:rsid w:val="1FB87851"/>
    <w:rsid w:val="1FD52574"/>
    <w:rsid w:val="1FE868A9"/>
    <w:rsid w:val="1FED511E"/>
    <w:rsid w:val="20034907"/>
    <w:rsid w:val="20173E4B"/>
    <w:rsid w:val="204E48BC"/>
    <w:rsid w:val="204F0140"/>
    <w:rsid w:val="208921B3"/>
    <w:rsid w:val="20973DEB"/>
    <w:rsid w:val="20B26522"/>
    <w:rsid w:val="20B44310"/>
    <w:rsid w:val="211116EB"/>
    <w:rsid w:val="216133FC"/>
    <w:rsid w:val="21C7436B"/>
    <w:rsid w:val="21D56769"/>
    <w:rsid w:val="21E52EF3"/>
    <w:rsid w:val="21FB5D7B"/>
    <w:rsid w:val="22015E94"/>
    <w:rsid w:val="220B1C3D"/>
    <w:rsid w:val="221D1D20"/>
    <w:rsid w:val="22334A87"/>
    <w:rsid w:val="225B2CCF"/>
    <w:rsid w:val="228B1BC6"/>
    <w:rsid w:val="22BE6801"/>
    <w:rsid w:val="233500BF"/>
    <w:rsid w:val="23377FF7"/>
    <w:rsid w:val="23535406"/>
    <w:rsid w:val="236B425F"/>
    <w:rsid w:val="237417DD"/>
    <w:rsid w:val="23836192"/>
    <w:rsid w:val="23901F29"/>
    <w:rsid w:val="239C0061"/>
    <w:rsid w:val="23B908A4"/>
    <w:rsid w:val="23E95BEF"/>
    <w:rsid w:val="23E96F21"/>
    <w:rsid w:val="23FD0064"/>
    <w:rsid w:val="245375B0"/>
    <w:rsid w:val="24642C0A"/>
    <w:rsid w:val="247E1EC3"/>
    <w:rsid w:val="24970DA1"/>
    <w:rsid w:val="24B22173"/>
    <w:rsid w:val="24B95AD9"/>
    <w:rsid w:val="24BD2CC4"/>
    <w:rsid w:val="24BE24DA"/>
    <w:rsid w:val="24CF5825"/>
    <w:rsid w:val="24D663E6"/>
    <w:rsid w:val="24D77F2B"/>
    <w:rsid w:val="2573672D"/>
    <w:rsid w:val="2585779A"/>
    <w:rsid w:val="258B00E2"/>
    <w:rsid w:val="258C2D1D"/>
    <w:rsid w:val="25A416A2"/>
    <w:rsid w:val="25A917A6"/>
    <w:rsid w:val="25BE27CC"/>
    <w:rsid w:val="25E87C00"/>
    <w:rsid w:val="25F74A5C"/>
    <w:rsid w:val="2628662C"/>
    <w:rsid w:val="262D45DE"/>
    <w:rsid w:val="267954A1"/>
    <w:rsid w:val="26871DC8"/>
    <w:rsid w:val="26A53EF9"/>
    <w:rsid w:val="26A94201"/>
    <w:rsid w:val="26AC274F"/>
    <w:rsid w:val="26AE6CBB"/>
    <w:rsid w:val="27044A29"/>
    <w:rsid w:val="271D34C8"/>
    <w:rsid w:val="272A34C2"/>
    <w:rsid w:val="273F7692"/>
    <w:rsid w:val="276142BF"/>
    <w:rsid w:val="27783712"/>
    <w:rsid w:val="27907362"/>
    <w:rsid w:val="27C543F8"/>
    <w:rsid w:val="28151D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23D58"/>
    <w:rsid w:val="2AF117EA"/>
    <w:rsid w:val="2B09293F"/>
    <w:rsid w:val="2B437463"/>
    <w:rsid w:val="2B7807EE"/>
    <w:rsid w:val="2B824444"/>
    <w:rsid w:val="2BA50BF7"/>
    <w:rsid w:val="2BBF00EC"/>
    <w:rsid w:val="2BC37CFD"/>
    <w:rsid w:val="2BD5237F"/>
    <w:rsid w:val="2BE536CE"/>
    <w:rsid w:val="2BE758D9"/>
    <w:rsid w:val="2BF346BB"/>
    <w:rsid w:val="2C09049E"/>
    <w:rsid w:val="2C0A653C"/>
    <w:rsid w:val="2C191F85"/>
    <w:rsid w:val="2CE82D6F"/>
    <w:rsid w:val="2CF61068"/>
    <w:rsid w:val="2D2D557A"/>
    <w:rsid w:val="2D343236"/>
    <w:rsid w:val="2D575011"/>
    <w:rsid w:val="2DD15014"/>
    <w:rsid w:val="2DF72DE4"/>
    <w:rsid w:val="2E0220AF"/>
    <w:rsid w:val="2E1D349F"/>
    <w:rsid w:val="2E4B082A"/>
    <w:rsid w:val="2E5D4E86"/>
    <w:rsid w:val="2E5D790B"/>
    <w:rsid w:val="2E9A3C18"/>
    <w:rsid w:val="2EAC2A14"/>
    <w:rsid w:val="2EBB0FEE"/>
    <w:rsid w:val="2EC63002"/>
    <w:rsid w:val="2F0A6B38"/>
    <w:rsid w:val="2F946CCB"/>
    <w:rsid w:val="2F9E23BE"/>
    <w:rsid w:val="2FAC0244"/>
    <w:rsid w:val="2FD25781"/>
    <w:rsid w:val="2FDC745C"/>
    <w:rsid w:val="2FFD7934"/>
    <w:rsid w:val="30733ACD"/>
    <w:rsid w:val="308C3862"/>
    <w:rsid w:val="309379D8"/>
    <w:rsid w:val="30A270F7"/>
    <w:rsid w:val="30DF1478"/>
    <w:rsid w:val="30EC586F"/>
    <w:rsid w:val="3102224A"/>
    <w:rsid w:val="311B7D98"/>
    <w:rsid w:val="312323C5"/>
    <w:rsid w:val="319C6071"/>
    <w:rsid w:val="31AC537E"/>
    <w:rsid w:val="31E3679B"/>
    <w:rsid w:val="31E732FD"/>
    <w:rsid w:val="32174209"/>
    <w:rsid w:val="32517576"/>
    <w:rsid w:val="32B23C2D"/>
    <w:rsid w:val="32BE5C2C"/>
    <w:rsid w:val="32CD7542"/>
    <w:rsid w:val="32FB6478"/>
    <w:rsid w:val="33263B3F"/>
    <w:rsid w:val="33381AFC"/>
    <w:rsid w:val="333F3CB7"/>
    <w:rsid w:val="336668AD"/>
    <w:rsid w:val="336963EB"/>
    <w:rsid w:val="33816EEB"/>
    <w:rsid w:val="33EB55CD"/>
    <w:rsid w:val="33EC4C02"/>
    <w:rsid w:val="340D2360"/>
    <w:rsid w:val="3410665D"/>
    <w:rsid w:val="34211214"/>
    <w:rsid w:val="342E63AB"/>
    <w:rsid w:val="34950E68"/>
    <w:rsid w:val="34986E94"/>
    <w:rsid w:val="34AF62C9"/>
    <w:rsid w:val="34CB4388"/>
    <w:rsid w:val="34FA6E12"/>
    <w:rsid w:val="35333921"/>
    <w:rsid w:val="35340685"/>
    <w:rsid w:val="354D7158"/>
    <w:rsid w:val="358D5588"/>
    <w:rsid w:val="35DA1C76"/>
    <w:rsid w:val="363A3B40"/>
    <w:rsid w:val="365302AE"/>
    <w:rsid w:val="36607A0A"/>
    <w:rsid w:val="366E227C"/>
    <w:rsid w:val="366F2E0D"/>
    <w:rsid w:val="367B6A5C"/>
    <w:rsid w:val="36A74ADA"/>
    <w:rsid w:val="36AD60D5"/>
    <w:rsid w:val="36B224F9"/>
    <w:rsid w:val="36C11399"/>
    <w:rsid w:val="36EC0CC9"/>
    <w:rsid w:val="36F44085"/>
    <w:rsid w:val="373F410B"/>
    <w:rsid w:val="37EE7094"/>
    <w:rsid w:val="38296C89"/>
    <w:rsid w:val="382C02CD"/>
    <w:rsid w:val="383002EB"/>
    <w:rsid w:val="38586797"/>
    <w:rsid w:val="385D15DF"/>
    <w:rsid w:val="38BC0149"/>
    <w:rsid w:val="38D87D1C"/>
    <w:rsid w:val="39636459"/>
    <w:rsid w:val="396B7F6C"/>
    <w:rsid w:val="39B417A9"/>
    <w:rsid w:val="39FC5695"/>
    <w:rsid w:val="3A006D8E"/>
    <w:rsid w:val="3A3651E5"/>
    <w:rsid w:val="3A744481"/>
    <w:rsid w:val="3A7E1C56"/>
    <w:rsid w:val="3A8C7BEF"/>
    <w:rsid w:val="3A906246"/>
    <w:rsid w:val="3B2349B7"/>
    <w:rsid w:val="3B616CFF"/>
    <w:rsid w:val="3B6259F6"/>
    <w:rsid w:val="3B976654"/>
    <w:rsid w:val="3BC01EFC"/>
    <w:rsid w:val="3BCA786A"/>
    <w:rsid w:val="3BD31E2F"/>
    <w:rsid w:val="3BE42827"/>
    <w:rsid w:val="3BF15831"/>
    <w:rsid w:val="3C105946"/>
    <w:rsid w:val="3C2F6CE0"/>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117EF"/>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151D"/>
    <w:rsid w:val="3FFE62DF"/>
    <w:rsid w:val="40045C0D"/>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D15DD"/>
    <w:rsid w:val="45C63B94"/>
    <w:rsid w:val="460E7DA5"/>
    <w:rsid w:val="46422483"/>
    <w:rsid w:val="465054AF"/>
    <w:rsid w:val="4659254A"/>
    <w:rsid w:val="465B0637"/>
    <w:rsid w:val="465E3F0D"/>
    <w:rsid w:val="466A16E6"/>
    <w:rsid w:val="46893F2B"/>
    <w:rsid w:val="46C4144B"/>
    <w:rsid w:val="46C4686E"/>
    <w:rsid w:val="46F838C8"/>
    <w:rsid w:val="474F22F4"/>
    <w:rsid w:val="477B778F"/>
    <w:rsid w:val="478203EC"/>
    <w:rsid w:val="47AD21B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201CB"/>
    <w:rsid w:val="49B00A5E"/>
    <w:rsid w:val="49B64211"/>
    <w:rsid w:val="49F6167F"/>
    <w:rsid w:val="4A064FA0"/>
    <w:rsid w:val="4A16615C"/>
    <w:rsid w:val="4A4424D7"/>
    <w:rsid w:val="4A8810AE"/>
    <w:rsid w:val="4AB82D0F"/>
    <w:rsid w:val="4AEB7664"/>
    <w:rsid w:val="4AFD7C19"/>
    <w:rsid w:val="4B0567D1"/>
    <w:rsid w:val="4B236AAE"/>
    <w:rsid w:val="4B707271"/>
    <w:rsid w:val="4B9739F7"/>
    <w:rsid w:val="4BE85FBF"/>
    <w:rsid w:val="4BEE2503"/>
    <w:rsid w:val="4BFC570A"/>
    <w:rsid w:val="4C245A30"/>
    <w:rsid w:val="4C867B36"/>
    <w:rsid w:val="4CB6685F"/>
    <w:rsid w:val="4CC367FE"/>
    <w:rsid w:val="4CE75EFE"/>
    <w:rsid w:val="4D077F3C"/>
    <w:rsid w:val="4D123355"/>
    <w:rsid w:val="4D2A3B31"/>
    <w:rsid w:val="4D2A3C09"/>
    <w:rsid w:val="4D312C52"/>
    <w:rsid w:val="4D7E1BFE"/>
    <w:rsid w:val="4D905305"/>
    <w:rsid w:val="4D964A72"/>
    <w:rsid w:val="4D9C1254"/>
    <w:rsid w:val="4DD42E92"/>
    <w:rsid w:val="4E793892"/>
    <w:rsid w:val="4E800872"/>
    <w:rsid w:val="4EC569ED"/>
    <w:rsid w:val="4ED50EA1"/>
    <w:rsid w:val="4EEC050C"/>
    <w:rsid w:val="4F104EC3"/>
    <w:rsid w:val="4F47354A"/>
    <w:rsid w:val="4F911C54"/>
    <w:rsid w:val="4FAD422B"/>
    <w:rsid w:val="4FE625E0"/>
    <w:rsid w:val="5021480F"/>
    <w:rsid w:val="50962ECB"/>
    <w:rsid w:val="50A42E38"/>
    <w:rsid w:val="50A4577F"/>
    <w:rsid w:val="50B73D1F"/>
    <w:rsid w:val="50BD5BC9"/>
    <w:rsid w:val="50C11EEE"/>
    <w:rsid w:val="50E97CFC"/>
    <w:rsid w:val="50FA4028"/>
    <w:rsid w:val="510D65B7"/>
    <w:rsid w:val="511157AB"/>
    <w:rsid w:val="5142540C"/>
    <w:rsid w:val="515C399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427E9"/>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249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6E4037"/>
    <w:rsid w:val="59753C26"/>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2185E"/>
    <w:rsid w:val="5B2E1A1D"/>
    <w:rsid w:val="5B843A1C"/>
    <w:rsid w:val="5B845820"/>
    <w:rsid w:val="5B873E3F"/>
    <w:rsid w:val="5BDF44D5"/>
    <w:rsid w:val="5C02690E"/>
    <w:rsid w:val="5C196DA7"/>
    <w:rsid w:val="5C2A048C"/>
    <w:rsid w:val="5C80234E"/>
    <w:rsid w:val="5C8A680C"/>
    <w:rsid w:val="5D0C4701"/>
    <w:rsid w:val="5D0F0395"/>
    <w:rsid w:val="5D221076"/>
    <w:rsid w:val="5D397964"/>
    <w:rsid w:val="5D5A391C"/>
    <w:rsid w:val="5D5F10C0"/>
    <w:rsid w:val="5D891B7B"/>
    <w:rsid w:val="5DAD38EE"/>
    <w:rsid w:val="5DB85AE5"/>
    <w:rsid w:val="5DDC103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A112F"/>
    <w:rsid w:val="609F2AC4"/>
    <w:rsid w:val="60DF620F"/>
    <w:rsid w:val="60FA2EE8"/>
    <w:rsid w:val="61054A27"/>
    <w:rsid w:val="610A52BC"/>
    <w:rsid w:val="611D2366"/>
    <w:rsid w:val="61421856"/>
    <w:rsid w:val="615227C4"/>
    <w:rsid w:val="61654E3F"/>
    <w:rsid w:val="6182292A"/>
    <w:rsid w:val="619F7F92"/>
    <w:rsid w:val="61E81EE3"/>
    <w:rsid w:val="61F94C26"/>
    <w:rsid w:val="62000E56"/>
    <w:rsid w:val="624F3E49"/>
    <w:rsid w:val="62632286"/>
    <w:rsid w:val="627E4805"/>
    <w:rsid w:val="62885958"/>
    <w:rsid w:val="62F40B65"/>
    <w:rsid w:val="62FC2CFE"/>
    <w:rsid w:val="63024505"/>
    <w:rsid w:val="631808D5"/>
    <w:rsid w:val="635600A5"/>
    <w:rsid w:val="635B1DB5"/>
    <w:rsid w:val="63711FED"/>
    <w:rsid w:val="63880DDC"/>
    <w:rsid w:val="638D750D"/>
    <w:rsid w:val="63A00807"/>
    <w:rsid w:val="63AC6CC0"/>
    <w:rsid w:val="64055776"/>
    <w:rsid w:val="64240056"/>
    <w:rsid w:val="643E143A"/>
    <w:rsid w:val="64491666"/>
    <w:rsid w:val="64694725"/>
    <w:rsid w:val="648B6EEF"/>
    <w:rsid w:val="64C158BF"/>
    <w:rsid w:val="64CE2EAA"/>
    <w:rsid w:val="653C3090"/>
    <w:rsid w:val="65854376"/>
    <w:rsid w:val="658767BE"/>
    <w:rsid w:val="65892531"/>
    <w:rsid w:val="65C23955"/>
    <w:rsid w:val="66195831"/>
    <w:rsid w:val="662E75B1"/>
    <w:rsid w:val="66342C2E"/>
    <w:rsid w:val="663E784C"/>
    <w:rsid w:val="668B6A45"/>
    <w:rsid w:val="670452C9"/>
    <w:rsid w:val="671372D5"/>
    <w:rsid w:val="672F3F24"/>
    <w:rsid w:val="67367F11"/>
    <w:rsid w:val="673E055F"/>
    <w:rsid w:val="67551CE3"/>
    <w:rsid w:val="67A22552"/>
    <w:rsid w:val="67B22DCC"/>
    <w:rsid w:val="67BE71AA"/>
    <w:rsid w:val="67D90273"/>
    <w:rsid w:val="67DE5875"/>
    <w:rsid w:val="67E55852"/>
    <w:rsid w:val="67EB1AB4"/>
    <w:rsid w:val="67FA1285"/>
    <w:rsid w:val="68196427"/>
    <w:rsid w:val="68551F4F"/>
    <w:rsid w:val="687C10C9"/>
    <w:rsid w:val="68840C16"/>
    <w:rsid w:val="68876EFB"/>
    <w:rsid w:val="68884654"/>
    <w:rsid w:val="689F444F"/>
    <w:rsid w:val="68B96DBB"/>
    <w:rsid w:val="68CA2805"/>
    <w:rsid w:val="68E937A3"/>
    <w:rsid w:val="693E15D3"/>
    <w:rsid w:val="69623E63"/>
    <w:rsid w:val="69627681"/>
    <w:rsid w:val="6977531D"/>
    <w:rsid w:val="69CC2BFF"/>
    <w:rsid w:val="69FD55B8"/>
    <w:rsid w:val="6A0B1C62"/>
    <w:rsid w:val="6A2406C8"/>
    <w:rsid w:val="6ABA108A"/>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D3E5E"/>
    <w:rsid w:val="6D4772EC"/>
    <w:rsid w:val="6D9078AF"/>
    <w:rsid w:val="6DAA3FEF"/>
    <w:rsid w:val="6DC0172B"/>
    <w:rsid w:val="6DCB690C"/>
    <w:rsid w:val="6DD41A5B"/>
    <w:rsid w:val="6DF43C2E"/>
    <w:rsid w:val="6DF51CA3"/>
    <w:rsid w:val="6E474311"/>
    <w:rsid w:val="6E8335BD"/>
    <w:rsid w:val="6E8365FD"/>
    <w:rsid w:val="6E8E12EF"/>
    <w:rsid w:val="6E972936"/>
    <w:rsid w:val="6EAC5706"/>
    <w:rsid w:val="6ED446C5"/>
    <w:rsid w:val="6F2A7D94"/>
    <w:rsid w:val="6F8331F1"/>
    <w:rsid w:val="6FAE1A09"/>
    <w:rsid w:val="6FD75BF8"/>
    <w:rsid w:val="707723D0"/>
    <w:rsid w:val="70F5661B"/>
    <w:rsid w:val="71360107"/>
    <w:rsid w:val="713B688E"/>
    <w:rsid w:val="71C0067F"/>
    <w:rsid w:val="71D43752"/>
    <w:rsid w:val="71F1796A"/>
    <w:rsid w:val="72154626"/>
    <w:rsid w:val="72262B5D"/>
    <w:rsid w:val="72283FF7"/>
    <w:rsid w:val="722E7212"/>
    <w:rsid w:val="723A0474"/>
    <w:rsid w:val="723C70A4"/>
    <w:rsid w:val="725923E4"/>
    <w:rsid w:val="727953CE"/>
    <w:rsid w:val="72864BF7"/>
    <w:rsid w:val="729023FC"/>
    <w:rsid w:val="73C0646E"/>
    <w:rsid w:val="742222F5"/>
    <w:rsid w:val="74476126"/>
    <w:rsid w:val="74706664"/>
    <w:rsid w:val="747F3682"/>
    <w:rsid w:val="749C4185"/>
    <w:rsid w:val="75067759"/>
    <w:rsid w:val="752E6DCD"/>
    <w:rsid w:val="75481CC7"/>
    <w:rsid w:val="7551380D"/>
    <w:rsid w:val="75600BE5"/>
    <w:rsid w:val="7564475C"/>
    <w:rsid w:val="7583797F"/>
    <w:rsid w:val="759B3FF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64824"/>
    <w:rsid w:val="79E27E8B"/>
    <w:rsid w:val="79F850CE"/>
    <w:rsid w:val="79FD443C"/>
    <w:rsid w:val="7A1D1975"/>
    <w:rsid w:val="7A282137"/>
    <w:rsid w:val="7A3E5150"/>
    <w:rsid w:val="7A4670D6"/>
    <w:rsid w:val="7A534B63"/>
    <w:rsid w:val="7A615382"/>
    <w:rsid w:val="7A67303B"/>
    <w:rsid w:val="7A754297"/>
    <w:rsid w:val="7AAB1D04"/>
    <w:rsid w:val="7ABA4368"/>
    <w:rsid w:val="7AD05746"/>
    <w:rsid w:val="7B257FFD"/>
    <w:rsid w:val="7B343476"/>
    <w:rsid w:val="7B5A2978"/>
    <w:rsid w:val="7B5A7E4C"/>
    <w:rsid w:val="7B667AF9"/>
    <w:rsid w:val="7B7468F8"/>
    <w:rsid w:val="7BEE0103"/>
    <w:rsid w:val="7C0A0FE4"/>
    <w:rsid w:val="7C254906"/>
    <w:rsid w:val="7C590818"/>
    <w:rsid w:val="7C7016B5"/>
    <w:rsid w:val="7C7C10F6"/>
    <w:rsid w:val="7C7F31FF"/>
    <w:rsid w:val="7C853BEA"/>
    <w:rsid w:val="7C881368"/>
    <w:rsid w:val="7CE27788"/>
    <w:rsid w:val="7D0C32F1"/>
    <w:rsid w:val="7D0F408D"/>
    <w:rsid w:val="7D303299"/>
    <w:rsid w:val="7D491C6C"/>
    <w:rsid w:val="7D5429C0"/>
    <w:rsid w:val="7D6E6D43"/>
    <w:rsid w:val="7D9B6BA2"/>
    <w:rsid w:val="7DB57A34"/>
    <w:rsid w:val="7DC510DA"/>
    <w:rsid w:val="7DC6485A"/>
    <w:rsid w:val="7DE60973"/>
    <w:rsid w:val="7DEF0916"/>
    <w:rsid w:val="7E1E5218"/>
    <w:rsid w:val="7E8B6218"/>
    <w:rsid w:val="7E9A4E1F"/>
    <w:rsid w:val="7EA7723A"/>
    <w:rsid w:val="7EF56FBB"/>
    <w:rsid w:val="7F0768EB"/>
    <w:rsid w:val="7F143BEC"/>
    <w:rsid w:val="7F715AF2"/>
    <w:rsid w:val="7F886E69"/>
    <w:rsid w:val="7F9F2816"/>
    <w:rsid w:val="7FA35E5E"/>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5"/>
    <w:link w:val="321"/>
    <w:qFormat/>
    <w:uiPriority w:val="0"/>
    <w:pPr>
      <w:ind w:firstLine="420"/>
    </w:pPr>
    <w:rPr>
      <w:rFonts w:hAnsi="Calibri" w:cs="Times New Roman"/>
      <w:snapToGrid/>
      <w:szCs w:val="20"/>
    </w:rPr>
  </w:style>
  <w:style w:type="paragraph" w:styleId="5">
    <w:name w:val="toc 6"/>
    <w:basedOn w:val="1"/>
    <w:next w:val="1"/>
    <w:qFormat/>
    <w:uiPriority w:val="0"/>
    <w:pPr>
      <w:ind w:left="2100" w:leftChars="10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5"/>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3"/>
    <w:qFormat/>
    <w:uiPriority w:val="0"/>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7"/>
    <w:qFormat/>
    <w:uiPriority w:val="0"/>
    <w:rPr>
      <w:b/>
      <w:bCs/>
    </w:rPr>
  </w:style>
  <w:style w:type="paragraph" w:styleId="63">
    <w:name w:val="Body Text First Indent 2"/>
    <w:basedOn w:val="27"/>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0"/>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7"/>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9"/>
    <w:qFormat/>
    <w:uiPriority w:val="0"/>
    <w:rPr>
      <w:rFonts w:ascii="宋体"/>
      <w:kern w:val="2"/>
      <w:sz w:val="24"/>
      <w:szCs w:val="21"/>
      <w:lang w:val="zh-CN"/>
    </w:rPr>
  </w:style>
  <w:style w:type="character" w:customStyle="1" w:styleId="183">
    <w:name w:val="标题 9 字符"/>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9"/>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34"/>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6"/>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2"/>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3"/>
    <w:qFormat/>
    <w:uiPriority w:val="0"/>
    <w:rPr>
      <w:kern w:val="2"/>
      <w:sz w:val="21"/>
      <w:szCs w:val="24"/>
    </w:rPr>
  </w:style>
  <w:style w:type="character" w:customStyle="1" w:styleId="345">
    <w:name w:val="签名 字符"/>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4"/>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0"/>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9"/>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6"/>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7"/>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7"/>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8"/>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8"/>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6"/>
    <w:qFormat/>
    <w:uiPriority w:val="0"/>
    <w:pPr>
      <w:tabs>
        <w:tab w:val="left" w:pos="840"/>
      </w:tabs>
      <w:adjustRightInd/>
      <w:ind w:left="840" w:hanging="420"/>
    </w:pPr>
  </w:style>
  <w:style w:type="paragraph" w:customStyle="1" w:styleId="625">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8"/>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81"/>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link w:val="970"/>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6"/>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1"/>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未处理的提及2"/>
    <w:basedOn w:val="71"/>
    <w:semiHidden/>
    <w:unhideWhenUsed/>
    <w:qFormat/>
    <w:uiPriority w:val="99"/>
    <w:rPr>
      <w:color w:val="605E5C"/>
      <w:shd w:val="clear" w:color="auto" w:fill="E1DFDD"/>
    </w:rPr>
  </w:style>
  <w:style w:type="paragraph" w:customStyle="1" w:styleId="967">
    <w:name w:val="BodyText1I2"/>
    <w:basedOn w:val="1"/>
    <w:qFormat/>
    <w:uiPriority w:val="0"/>
    <w:pPr>
      <w:adjustRightInd/>
      <w:spacing w:after="120"/>
      <w:ind w:left="420" w:leftChars="200" w:firstLine="420" w:firstLineChars="200"/>
      <w:textAlignment w:val="baseline"/>
    </w:p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表"/>
    <w:basedOn w:val="64"/>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character" w:customStyle="1" w:styleId="970">
    <w:name w:val="正文1 字符"/>
    <w:basedOn w:val="71"/>
    <w:link w:val="838"/>
    <w:qFormat/>
    <w:uiPriority w:val="0"/>
    <w:rPr>
      <w:rFonts w:ascii="仿宋_GB2312" w:hAnsi="Courier New" w:eastAsia="仿宋_GB2312"/>
      <w:kern w:val="28"/>
      <w:sz w:val="24"/>
      <w:szCs w:val="24"/>
    </w:rPr>
  </w:style>
  <w:style w:type="paragraph" w:customStyle="1" w:styleId="971">
    <w:name w:val="p19"/>
    <w:basedOn w:val="1"/>
    <w:qFormat/>
    <w:uiPriority w:val="0"/>
    <w:pPr>
      <w:widowControl/>
      <w:adjustRightInd/>
      <w:snapToGrid w:val="0"/>
      <w:spacing w:before="60" w:after="120" w:line="360" w:lineRule="auto"/>
      <w:ind w:firstLine="420" w:firstLineChars="200"/>
    </w:pPr>
    <w:rPr>
      <w:rFonts w:ascii="宋体" w:hAnsi="宋体" w:cs="宋体"/>
      <w:color w:val="000000"/>
      <w:kern w:val="0"/>
      <w:sz w:val="24"/>
    </w:rPr>
  </w:style>
  <w:style w:type="character" w:customStyle="1" w:styleId="972">
    <w:name w:val="未处理的提及3"/>
    <w:basedOn w:val="71"/>
    <w:semiHidden/>
    <w:unhideWhenUsed/>
    <w:qFormat/>
    <w:uiPriority w:val="99"/>
    <w:rPr>
      <w:color w:val="605E5C"/>
      <w:shd w:val="clear" w:color="auto" w:fill="E1DFDD"/>
    </w:rPr>
  </w:style>
  <w:style w:type="paragraph" w:customStyle="1" w:styleId="973">
    <w:name w:val="表格用"/>
    <w:basedOn w:val="1"/>
    <w:qFormat/>
    <w:uiPriority w:val="99"/>
    <w:pPr>
      <w:spacing w:before="0" w:beforeLines="0" w:after="0" w:afterLines="0"/>
      <w:ind w:left="0" w:firstLine="0"/>
      <w:jc w:val="both"/>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36960</Words>
  <Characters>39257</Characters>
  <Lines>1</Lines>
  <Paragraphs>1</Paragraphs>
  <TotalTime>9</TotalTime>
  <ScaleCrop>false</ScaleCrop>
  <LinksUpToDate>false</LinksUpToDate>
  <CharactersWithSpaces>41008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2023-07-31T03:57:00Z</dcterms:created>
  <dc:creator>玥</dc:creator>
  <cp:lastModifiedBy>BigBearΨ熊﹏</cp:lastModifiedBy>
  <cp:lastPrinted>2023-04-23T08:09:00Z</cp:lastPrinted>
  <dcterms:modified xsi:type="dcterms:W3CDTF">2024-09-03T11:02:23Z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