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B6923">
      <w:pPr>
        <w:spacing w:line="360" w:lineRule="auto"/>
        <w:jc w:val="center"/>
        <w:rPr>
          <w:rFonts w:ascii="宋体" w:hAnsi="宋体" w:cs="宋体"/>
          <w:b/>
          <w:color w:val="auto"/>
          <w:sz w:val="44"/>
          <w:szCs w:val="44"/>
          <w:highlight w:val="none"/>
        </w:rPr>
      </w:pPr>
    </w:p>
    <w:p w14:paraId="0179A735">
      <w:pPr>
        <w:adjustRightInd/>
        <w:spacing w:line="360" w:lineRule="auto"/>
        <w:jc w:val="center"/>
        <w:rPr>
          <w:rFonts w:ascii="宋体" w:hAnsi="宋体" w:cs="宋体"/>
          <w:b/>
          <w:color w:val="auto"/>
          <w:sz w:val="48"/>
          <w:szCs w:val="48"/>
          <w:highlight w:val="none"/>
        </w:rPr>
      </w:pPr>
    </w:p>
    <w:p w14:paraId="0A67D1D4">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宁波经贸学校</w:t>
      </w:r>
    </w:p>
    <w:p w14:paraId="672EE539">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2024年综合高中维修项目（</w:t>
      </w:r>
      <w:r>
        <w:rPr>
          <w:rFonts w:hint="eastAsia" w:ascii="宋体" w:hAnsi="宋体" w:cs="宋体"/>
          <w:color w:val="auto"/>
          <w:sz w:val="48"/>
          <w:szCs w:val="48"/>
          <w:highlight w:val="none"/>
          <w:lang w:val="en-US" w:eastAsia="zh-CN"/>
        </w:rPr>
        <w:t>重发</w:t>
      </w:r>
      <w:r>
        <w:rPr>
          <w:rFonts w:hint="eastAsia" w:ascii="宋体" w:hAnsi="宋体" w:cs="宋体"/>
          <w:color w:val="auto"/>
          <w:sz w:val="48"/>
          <w:szCs w:val="48"/>
          <w:highlight w:val="none"/>
          <w:lang w:eastAsia="zh-CN"/>
        </w:rPr>
        <w:t>）</w:t>
      </w:r>
    </w:p>
    <w:p w14:paraId="4BA99C35">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竞争性磋商文件</w:t>
      </w:r>
    </w:p>
    <w:p w14:paraId="4BCC5D2E">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14:paraId="177C51A6">
      <w:pPr>
        <w:snapToGrid w:val="0"/>
        <w:spacing w:line="360" w:lineRule="auto"/>
        <w:jc w:val="center"/>
        <w:rPr>
          <w:rFonts w:hint="default" w:ascii="宋体" w:hAnsi="宋体" w:cs="宋体"/>
          <w:color w:val="auto"/>
          <w:sz w:val="30"/>
          <w:szCs w:val="30"/>
          <w:highlight w:val="none"/>
          <w:lang w:val="en-US" w:eastAsia="zh-CN"/>
        </w:rPr>
      </w:pPr>
      <w:r>
        <w:rPr>
          <w:rFonts w:hint="eastAsia" w:ascii="宋体" w:hAnsi="宋体" w:cs="宋体"/>
          <w:color w:val="auto"/>
          <w:sz w:val="30"/>
          <w:szCs w:val="30"/>
          <w:highlight w:val="none"/>
          <w:lang w:val="en-US" w:eastAsia="zh-CN"/>
        </w:rPr>
        <w:t>项目</w:t>
      </w:r>
      <w:r>
        <w:rPr>
          <w:rFonts w:hint="eastAsia" w:ascii="宋体" w:hAnsi="宋体" w:cs="宋体"/>
          <w:color w:val="auto"/>
          <w:sz w:val="30"/>
          <w:szCs w:val="30"/>
          <w:highlight w:val="none"/>
        </w:rPr>
        <w:t>编</w:t>
      </w:r>
      <w:r>
        <w:rPr>
          <w:rFonts w:hint="eastAsia" w:ascii="宋体" w:hAnsi="宋体" w:cs="宋体"/>
          <w:color w:val="auto"/>
          <w:sz w:val="30"/>
          <w:szCs w:val="30"/>
          <w:highlight w:val="none"/>
          <w:lang w:val="en-US" w:eastAsia="zh-CN"/>
        </w:rPr>
        <w:t>号：CBNB-20241373GGC-2</w:t>
      </w:r>
    </w:p>
    <w:p w14:paraId="690BC966">
      <w:pPr>
        <w:adjustRightInd/>
        <w:spacing w:line="360" w:lineRule="auto"/>
        <w:rPr>
          <w:rFonts w:ascii="宋体" w:hAnsi="宋体" w:cs="宋体"/>
          <w:color w:val="auto"/>
          <w:sz w:val="28"/>
          <w:szCs w:val="20"/>
          <w:highlight w:val="none"/>
        </w:rPr>
      </w:pPr>
    </w:p>
    <w:p w14:paraId="1F6E16D7">
      <w:pPr>
        <w:spacing w:line="360" w:lineRule="auto"/>
        <w:jc w:val="center"/>
        <w:rPr>
          <w:rFonts w:hint="eastAsia" w:ascii="宋体" w:hAnsi="宋体" w:cs="宋体"/>
          <w:b/>
          <w:color w:val="auto"/>
          <w:sz w:val="44"/>
          <w:szCs w:val="44"/>
          <w:highlight w:val="none"/>
        </w:rPr>
      </w:pPr>
    </w:p>
    <w:p w14:paraId="2D98E9F7">
      <w:pPr>
        <w:spacing w:line="360" w:lineRule="auto"/>
        <w:jc w:val="center"/>
        <w:rPr>
          <w:rFonts w:hint="eastAsia" w:ascii="宋体" w:hAnsi="宋体" w:cs="宋体"/>
          <w:b/>
          <w:color w:val="auto"/>
          <w:sz w:val="44"/>
          <w:szCs w:val="44"/>
          <w:highlight w:val="none"/>
        </w:rPr>
      </w:pPr>
    </w:p>
    <w:p w14:paraId="002AAE1F">
      <w:pPr>
        <w:spacing w:line="360" w:lineRule="auto"/>
        <w:jc w:val="center"/>
        <w:rPr>
          <w:rFonts w:ascii="宋体" w:hAnsi="宋体" w:cs="宋体"/>
          <w:b/>
          <w:color w:val="auto"/>
          <w:sz w:val="44"/>
          <w:szCs w:val="44"/>
          <w:highlight w:val="none"/>
        </w:rPr>
      </w:pPr>
    </w:p>
    <w:p w14:paraId="176F9880">
      <w:pPr>
        <w:spacing w:line="360" w:lineRule="auto"/>
        <w:jc w:val="center"/>
        <w:rPr>
          <w:rFonts w:ascii="宋体" w:hAnsi="宋体" w:cs="宋体"/>
          <w:b/>
          <w:color w:val="auto"/>
          <w:sz w:val="44"/>
          <w:szCs w:val="44"/>
          <w:highlight w:val="none"/>
        </w:rPr>
      </w:pPr>
    </w:p>
    <w:p w14:paraId="7113EF54">
      <w:pPr>
        <w:spacing w:line="360" w:lineRule="auto"/>
        <w:rPr>
          <w:rFonts w:ascii="宋体" w:hAnsi="宋体" w:cs="宋体"/>
          <w:color w:val="auto"/>
          <w:sz w:val="32"/>
          <w:szCs w:val="32"/>
          <w:highlight w:val="none"/>
        </w:rPr>
      </w:pPr>
    </w:p>
    <w:p w14:paraId="2543032D">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采购</w:t>
      </w:r>
      <w:r>
        <w:rPr>
          <w:rFonts w:hint="eastAsia" w:ascii="宋体" w:hAnsi="宋体" w:cs="宋体"/>
          <w:color w:val="auto"/>
          <w:sz w:val="32"/>
          <w:szCs w:val="32"/>
          <w:highlight w:val="none"/>
          <w:lang w:val="en-US" w:eastAsia="zh-CN"/>
        </w:rPr>
        <w:t>人</w:t>
      </w:r>
      <w:r>
        <w:rPr>
          <w:rFonts w:hint="eastAsia" w:ascii="宋体" w:hAnsi="宋体" w:cs="宋体"/>
          <w:color w:val="auto"/>
          <w:sz w:val="32"/>
          <w:szCs w:val="32"/>
          <w:highlight w:val="none"/>
        </w:rPr>
        <w:t>：</w:t>
      </w:r>
      <w:r>
        <w:rPr>
          <w:rFonts w:hint="eastAsia" w:ascii="宋体" w:hAnsi="宋体" w:cs="宋体"/>
          <w:color w:val="auto"/>
          <w:sz w:val="32"/>
          <w:szCs w:val="32"/>
          <w:highlight w:val="none"/>
          <w:lang w:eastAsia="zh-CN"/>
        </w:rPr>
        <w:t>宁波经贸学校</w:t>
      </w:r>
    </w:p>
    <w:p w14:paraId="04728FC9">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采购代理机构：宁波中基国际招标有限公司</w:t>
      </w:r>
    </w:p>
    <w:p w14:paraId="33A72AB3">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八</w:t>
      </w:r>
      <w:r>
        <w:rPr>
          <w:rFonts w:hint="eastAsia" w:ascii="宋体" w:hAnsi="宋体" w:cs="宋体"/>
          <w:bCs/>
          <w:color w:val="auto"/>
          <w:sz w:val="32"/>
          <w:szCs w:val="32"/>
          <w:highlight w:val="none"/>
        </w:rPr>
        <w:t>月</w:t>
      </w:r>
    </w:p>
    <w:p w14:paraId="203772CA">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705E7B3E">
      <w:pPr>
        <w:spacing w:line="360" w:lineRule="auto"/>
        <w:jc w:val="center"/>
        <w:rPr>
          <w:rFonts w:ascii="宋体" w:hAnsi="宋体" w:cs="宋体"/>
          <w:color w:val="auto"/>
          <w:sz w:val="24"/>
          <w:highlight w:val="none"/>
        </w:rPr>
      </w:pPr>
    </w:p>
    <w:p w14:paraId="181BECB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2624E1B8">
      <w:pPr>
        <w:spacing w:line="360" w:lineRule="auto"/>
        <w:rPr>
          <w:rFonts w:ascii="宋体" w:hAnsi="宋体" w:cs="宋体"/>
          <w:color w:val="auto"/>
          <w:sz w:val="32"/>
          <w:szCs w:val="32"/>
          <w:highlight w:val="none"/>
        </w:rPr>
      </w:pPr>
    </w:p>
    <w:p w14:paraId="79950E79">
      <w:pPr>
        <w:spacing w:line="360" w:lineRule="auto"/>
        <w:rPr>
          <w:rFonts w:ascii="宋体" w:hAnsi="宋体" w:cs="宋体"/>
          <w:color w:val="auto"/>
          <w:sz w:val="32"/>
          <w:szCs w:val="32"/>
          <w:highlight w:val="none"/>
        </w:rPr>
      </w:pPr>
    </w:p>
    <w:p w14:paraId="0D7DACB0">
      <w:pPr>
        <w:pStyle w:val="42"/>
        <w:tabs>
          <w:tab w:val="right" w:leader="dot" w:pos="9025"/>
        </w:tabs>
        <w:spacing w:line="360" w:lineRule="auto"/>
        <w:rPr>
          <w:rFonts w:hint="eastAsia" w:ascii="宋体" w:hAnsi="宋体" w:eastAsia="宋体" w:cs="宋体"/>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"1-3"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fldChar w:fldCharType="begin"/>
      </w:r>
      <w:r>
        <w:rPr>
          <w:rFonts w:hint="eastAsia" w:ascii="宋体" w:hAnsi="宋体" w:eastAsia="宋体" w:cs="宋体"/>
          <w:sz w:val="32"/>
          <w:szCs w:val="32"/>
          <w:highlight w:val="none"/>
        </w:rPr>
        <w:instrText xml:space="preserve"> HYPERLINK \l _Toc7957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第一部分 竞争性磋商公告</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_Toc7957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3</w:t>
      </w:r>
      <w:r>
        <w:rPr>
          <w:rFonts w:hint="eastAsia" w:ascii="宋体" w:hAnsi="宋体" w:eastAsia="宋体" w:cs="宋体"/>
          <w:sz w:val="32"/>
          <w:szCs w:val="32"/>
          <w:highlight w:val="none"/>
        </w:rPr>
        <w:fldChar w:fldCharType="end"/>
      </w:r>
      <w:r>
        <w:rPr>
          <w:rFonts w:hint="eastAsia" w:ascii="宋体" w:hAnsi="宋体" w:eastAsia="宋体" w:cs="宋体"/>
          <w:color w:val="auto"/>
          <w:sz w:val="32"/>
          <w:szCs w:val="32"/>
          <w:highlight w:val="none"/>
        </w:rPr>
        <w:fldChar w:fldCharType="end"/>
      </w:r>
    </w:p>
    <w:p w14:paraId="782FBA74">
      <w:pPr>
        <w:pStyle w:val="42"/>
        <w:tabs>
          <w:tab w:val="right" w:leader="dot" w:pos="9025"/>
        </w:tabs>
        <w:spacing w:line="360" w:lineRule="auto"/>
        <w:rPr>
          <w:rFonts w:hint="eastAsia" w:ascii="宋体" w:hAnsi="宋体" w:eastAsia="宋体" w:cs="宋体"/>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sz w:val="32"/>
          <w:szCs w:val="32"/>
          <w:highlight w:val="none"/>
        </w:rPr>
        <w:instrText xml:space="preserve"> HYPERLINK \l _Toc21235 </w:instrText>
      </w:r>
      <w:r>
        <w:rPr>
          <w:rFonts w:hint="eastAsia" w:ascii="宋体" w:hAnsi="宋体" w:eastAsia="宋体" w:cs="宋体"/>
          <w:sz w:val="32"/>
          <w:szCs w:val="32"/>
          <w:highlight w:val="none"/>
        </w:rPr>
        <w:fldChar w:fldCharType="separate"/>
      </w:r>
      <w:r>
        <w:rPr>
          <w:rFonts w:hint="eastAsia" w:ascii="宋体" w:hAnsi="宋体" w:eastAsia="宋体" w:cs="宋体"/>
          <w:snapToGrid/>
          <w:sz w:val="32"/>
          <w:szCs w:val="32"/>
          <w:highlight w:val="none"/>
        </w:rPr>
        <w:t>第二部分 供应商须知</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_Toc21235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7</w:t>
      </w:r>
      <w:r>
        <w:rPr>
          <w:rFonts w:hint="eastAsia" w:ascii="宋体" w:hAnsi="宋体" w:eastAsia="宋体" w:cs="宋体"/>
          <w:sz w:val="32"/>
          <w:szCs w:val="32"/>
          <w:highlight w:val="none"/>
        </w:rPr>
        <w:fldChar w:fldCharType="end"/>
      </w:r>
      <w:r>
        <w:rPr>
          <w:rFonts w:hint="eastAsia" w:ascii="宋体" w:hAnsi="宋体" w:eastAsia="宋体" w:cs="宋体"/>
          <w:color w:val="auto"/>
          <w:sz w:val="32"/>
          <w:szCs w:val="32"/>
          <w:highlight w:val="none"/>
        </w:rPr>
        <w:fldChar w:fldCharType="end"/>
      </w:r>
    </w:p>
    <w:p w14:paraId="2D3CB7F7">
      <w:pPr>
        <w:pStyle w:val="42"/>
        <w:tabs>
          <w:tab w:val="right" w:leader="dot" w:pos="9025"/>
        </w:tabs>
        <w:spacing w:line="360" w:lineRule="auto"/>
        <w:rPr>
          <w:rFonts w:hint="eastAsia" w:ascii="宋体" w:hAnsi="宋体" w:eastAsia="宋体" w:cs="宋体"/>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sz w:val="32"/>
          <w:szCs w:val="32"/>
          <w:highlight w:val="none"/>
        </w:rPr>
        <w:instrText xml:space="preserve"> HYPERLINK \l _Toc12835 </w:instrText>
      </w:r>
      <w:r>
        <w:rPr>
          <w:rFonts w:hint="eastAsia" w:ascii="宋体" w:hAnsi="宋体" w:eastAsia="宋体" w:cs="宋体"/>
          <w:sz w:val="32"/>
          <w:szCs w:val="32"/>
          <w:highlight w:val="none"/>
        </w:rPr>
        <w:fldChar w:fldCharType="separate"/>
      </w:r>
      <w:r>
        <w:rPr>
          <w:rFonts w:hint="eastAsia" w:ascii="宋体" w:hAnsi="宋体" w:eastAsia="宋体" w:cs="宋体"/>
          <w:snapToGrid/>
          <w:sz w:val="32"/>
          <w:szCs w:val="32"/>
          <w:highlight w:val="none"/>
        </w:rPr>
        <w:t>第三部分 采购需求</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_Toc12835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23</w:t>
      </w:r>
      <w:r>
        <w:rPr>
          <w:rFonts w:hint="eastAsia" w:ascii="宋体" w:hAnsi="宋体" w:eastAsia="宋体" w:cs="宋体"/>
          <w:sz w:val="32"/>
          <w:szCs w:val="32"/>
          <w:highlight w:val="none"/>
        </w:rPr>
        <w:fldChar w:fldCharType="end"/>
      </w:r>
      <w:r>
        <w:rPr>
          <w:rFonts w:hint="eastAsia" w:ascii="宋体" w:hAnsi="宋体" w:eastAsia="宋体" w:cs="宋体"/>
          <w:color w:val="auto"/>
          <w:sz w:val="32"/>
          <w:szCs w:val="32"/>
          <w:highlight w:val="none"/>
        </w:rPr>
        <w:fldChar w:fldCharType="end"/>
      </w:r>
    </w:p>
    <w:p w14:paraId="475FB4D1">
      <w:pPr>
        <w:pStyle w:val="42"/>
        <w:tabs>
          <w:tab w:val="right" w:leader="dot" w:pos="9025"/>
        </w:tabs>
        <w:spacing w:line="360" w:lineRule="auto"/>
        <w:rPr>
          <w:rFonts w:hint="eastAsia" w:ascii="宋体" w:hAnsi="宋体" w:eastAsia="宋体" w:cs="宋体"/>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sz w:val="32"/>
          <w:szCs w:val="32"/>
          <w:highlight w:val="none"/>
        </w:rPr>
        <w:instrText xml:space="preserve"> HYPERLINK \l _Toc8460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第四部分 评审办法</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_Toc8460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27</w:t>
      </w:r>
      <w:r>
        <w:rPr>
          <w:rFonts w:hint="eastAsia" w:ascii="宋体" w:hAnsi="宋体" w:eastAsia="宋体" w:cs="宋体"/>
          <w:sz w:val="32"/>
          <w:szCs w:val="32"/>
          <w:highlight w:val="none"/>
        </w:rPr>
        <w:fldChar w:fldCharType="end"/>
      </w:r>
      <w:r>
        <w:rPr>
          <w:rFonts w:hint="eastAsia" w:ascii="宋体" w:hAnsi="宋体" w:eastAsia="宋体" w:cs="宋体"/>
          <w:color w:val="auto"/>
          <w:sz w:val="32"/>
          <w:szCs w:val="32"/>
          <w:highlight w:val="none"/>
        </w:rPr>
        <w:fldChar w:fldCharType="end"/>
      </w:r>
    </w:p>
    <w:p w14:paraId="0C3A6D58">
      <w:pPr>
        <w:pStyle w:val="42"/>
        <w:tabs>
          <w:tab w:val="right" w:leader="dot" w:pos="9025"/>
        </w:tabs>
        <w:spacing w:line="360" w:lineRule="auto"/>
        <w:rPr>
          <w:rFonts w:hint="eastAsia" w:ascii="宋体" w:hAnsi="宋体" w:eastAsia="宋体" w:cs="宋体"/>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sz w:val="32"/>
          <w:szCs w:val="32"/>
          <w:highlight w:val="none"/>
        </w:rPr>
        <w:instrText xml:space="preserve"> HYPERLINK \l _Toc8825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第五部分 拟签订的合同文本</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_Toc8825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36</w:t>
      </w:r>
      <w:r>
        <w:rPr>
          <w:rFonts w:hint="eastAsia" w:ascii="宋体" w:hAnsi="宋体" w:eastAsia="宋体" w:cs="宋体"/>
          <w:sz w:val="32"/>
          <w:szCs w:val="32"/>
          <w:highlight w:val="none"/>
        </w:rPr>
        <w:fldChar w:fldCharType="end"/>
      </w:r>
      <w:r>
        <w:rPr>
          <w:rFonts w:hint="eastAsia" w:ascii="宋体" w:hAnsi="宋体" w:eastAsia="宋体" w:cs="宋体"/>
          <w:color w:val="auto"/>
          <w:sz w:val="32"/>
          <w:szCs w:val="32"/>
          <w:highlight w:val="none"/>
        </w:rPr>
        <w:fldChar w:fldCharType="end"/>
      </w:r>
    </w:p>
    <w:p w14:paraId="2B887347">
      <w:pPr>
        <w:pStyle w:val="42"/>
        <w:tabs>
          <w:tab w:val="right" w:leader="dot" w:pos="9025"/>
        </w:tabs>
        <w:spacing w:line="360" w:lineRule="auto"/>
        <w:rPr>
          <w:rFonts w:hint="eastAsia" w:ascii="宋体" w:hAnsi="宋体" w:eastAsia="宋体" w:cs="宋体"/>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sz w:val="32"/>
          <w:szCs w:val="32"/>
          <w:highlight w:val="none"/>
        </w:rPr>
        <w:instrText xml:space="preserve"> HYPERLINK \l _Toc30607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第六部分 应提交的有关格式范例</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_Toc30607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57</w:t>
      </w:r>
      <w:r>
        <w:rPr>
          <w:rFonts w:hint="eastAsia" w:ascii="宋体" w:hAnsi="宋体" w:eastAsia="宋体" w:cs="宋体"/>
          <w:sz w:val="32"/>
          <w:szCs w:val="32"/>
          <w:highlight w:val="none"/>
        </w:rPr>
        <w:fldChar w:fldCharType="end"/>
      </w:r>
      <w:r>
        <w:rPr>
          <w:rFonts w:hint="eastAsia" w:ascii="宋体" w:hAnsi="宋体" w:eastAsia="宋体" w:cs="宋体"/>
          <w:color w:val="auto"/>
          <w:sz w:val="32"/>
          <w:szCs w:val="32"/>
          <w:highlight w:val="none"/>
        </w:rPr>
        <w:fldChar w:fldCharType="end"/>
      </w:r>
    </w:p>
    <w:p w14:paraId="64547481">
      <w:pPr>
        <w:spacing w:line="360" w:lineRule="auto"/>
        <w:ind w:firstLine="1280" w:firstLineChars="400"/>
        <w:rPr>
          <w:rFonts w:ascii="宋体" w:hAnsi="宋体" w:cs="宋体"/>
          <w:color w:val="auto"/>
          <w:sz w:val="32"/>
          <w:szCs w:val="32"/>
          <w:highlight w:val="none"/>
        </w:rPr>
      </w:pPr>
      <w:r>
        <w:rPr>
          <w:rFonts w:hint="eastAsia" w:ascii="宋体" w:hAnsi="宋体" w:eastAsia="宋体" w:cs="宋体"/>
          <w:color w:val="auto"/>
          <w:sz w:val="32"/>
          <w:szCs w:val="32"/>
          <w:highlight w:val="none"/>
        </w:rPr>
        <w:fldChar w:fldCharType="end"/>
      </w:r>
    </w:p>
    <w:p w14:paraId="498A293E">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4ED0D1CA">
      <w:pPr>
        <w:spacing w:line="360" w:lineRule="auto"/>
        <w:ind w:firstLine="549" w:firstLineChars="229"/>
        <w:rPr>
          <w:rFonts w:ascii="宋体" w:hAnsi="宋体" w:cs="宋体"/>
          <w:color w:val="auto"/>
          <w:sz w:val="24"/>
          <w:highlight w:val="none"/>
        </w:rPr>
      </w:pPr>
    </w:p>
    <w:p w14:paraId="56ACC0A0">
      <w:pPr>
        <w:spacing w:line="360" w:lineRule="auto"/>
        <w:ind w:firstLine="549" w:firstLineChars="229"/>
        <w:rPr>
          <w:rFonts w:ascii="宋体" w:hAnsi="宋体" w:cs="宋体"/>
          <w:color w:val="auto"/>
          <w:sz w:val="24"/>
          <w:highlight w:val="none"/>
        </w:rPr>
      </w:pPr>
    </w:p>
    <w:p w14:paraId="6F3C4EE5">
      <w:pPr>
        <w:spacing w:line="360" w:lineRule="auto"/>
        <w:ind w:firstLine="549" w:firstLineChars="229"/>
        <w:rPr>
          <w:rFonts w:ascii="宋体" w:hAnsi="宋体" w:cs="宋体"/>
          <w:color w:val="auto"/>
          <w:sz w:val="24"/>
          <w:highlight w:val="none"/>
        </w:rPr>
      </w:pPr>
    </w:p>
    <w:p w14:paraId="76EA76B0">
      <w:pPr>
        <w:spacing w:line="360" w:lineRule="auto"/>
        <w:ind w:firstLine="549" w:firstLineChars="229"/>
        <w:rPr>
          <w:rFonts w:ascii="宋体" w:hAnsi="宋体" w:cs="宋体"/>
          <w:color w:val="auto"/>
          <w:sz w:val="24"/>
          <w:highlight w:val="none"/>
        </w:rPr>
      </w:pPr>
    </w:p>
    <w:p w14:paraId="5853A61E">
      <w:pPr>
        <w:spacing w:line="360" w:lineRule="auto"/>
        <w:ind w:firstLine="549" w:firstLineChars="229"/>
        <w:rPr>
          <w:rFonts w:ascii="宋体" w:hAnsi="宋体" w:cs="宋体"/>
          <w:color w:val="auto"/>
          <w:sz w:val="24"/>
          <w:highlight w:val="none"/>
        </w:rPr>
      </w:pPr>
    </w:p>
    <w:p w14:paraId="0A0E88D7">
      <w:pPr>
        <w:spacing w:line="360" w:lineRule="auto"/>
        <w:ind w:firstLine="549" w:firstLineChars="229"/>
        <w:rPr>
          <w:rFonts w:ascii="宋体" w:hAnsi="宋体" w:cs="宋体"/>
          <w:color w:val="auto"/>
          <w:sz w:val="24"/>
          <w:highlight w:val="none"/>
        </w:rPr>
      </w:pPr>
    </w:p>
    <w:p w14:paraId="44AF9E7B">
      <w:pPr>
        <w:spacing w:line="360" w:lineRule="auto"/>
        <w:ind w:firstLine="549" w:firstLineChars="229"/>
        <w:rPr>
          <w:rFonts w:ascii="宋体" w:hAnsi="宋体" w:cs="宋体"/>
          <w:color w:val="auto"/>
          <w:sz w:val="24"/>
          <w:highlight w:val="none"/>
        </w:rPr>
      </w:pPr>
    </w:p>
    <w:p w14:paraId="6B224FAD">
      <w:pPr>
        <w:spacing w:line="360" w:lineRule="auto"/>
        <w:ind w:firstLine="549" w:firstLineChars="229"/>
        <w:rPr>
          <w:rFonts w:ascii="宋体" w:hAnsi="宋体" w:cs="宋体"/>
          <w:color w:val="auto"/>
          <w:sz w:val="24"/>
          <w:highlight w:val="none"/>
        </w:rPr>
      </w:pPr>
    </w:p>
    <w:p w14:paraId="692CB364">
      <w:pPr>
        <w:spacing w:line="360" w:lineRule="auto"/>
        <w:ind w:firstLine="549" w:firstLineChars="229"/>
        <w:rPr>
          <w:rFonts w:ascii="宋体" w:hAnsi="宋体" w:cs="宋体"/>
          <w:color w:val="auto"/>
          <w:sz w:val="24"/>
          <w:highlight w:val="none"/>
        </w:rPr>
      </w:pPr>
    </w:p>
    <w:p w14:paraId="52D9801D">
      <w:pPr>
        <w:spacing w:line="360" w:lineRule="auto"/>
        <w:ind w:firstLine="549" w:firstLineChars="229"/>
        <w:rPr>
          <w:rFonts w:ascii="宋体" w:hAnsi="宋体" w:cs="宋体"/>
          <w:color w:val="auto"/>
          <w:sz w:val="24"/>
          <w:highlight w:val="none"/>
        </w:rPr>
      </w:pPr>
    </w:p>
    <w:p w14:paraId="3D32E4F9">
      <w:pPr>
        <w:spacing w:line="360" w:lineRule="auto"/>
        <w:ind w:firstLine="549" w:firstLineChars="229"/>
        <w:rPr>
          <w:rFonts w:ascii="宋体" w:hAnsi="宋体" w:cs="宋体"/>
          <w:color w:val="auto"/>
          <w:sz w:val="24"/>
          <w:highlight w:val="none"/>
        </w:rPr>
      </w:pPr>
    </w:p>
    <w:p w14:paraId="48F81F69">
      <w:pPr>
        <w:spacing w:line="360" w:lineRule="auto"/>
        <w:ind w:firstLine="549" w:firstLineChars="229"/>
        <w:rPr>
          <w:rFonts w:ascii="宋体" w:hAnsi="宋体" w:cs="宋体"/>
          <w:color w:val="auto"/>
          <w:sz w:val="24"/>
          <w:highlight w:val="none"/>
        </w:rPr>
      </w:pPr>
    </w:p>
    <w:p w14:paraId="5A36CEFC">
      <w:pPr>
        <w:spacing w:line="360" w:lineRule="auto"/>
        <w:rPr>
          <w:rFonts w:ascii="宋体" w:hAnsi="宋体" w:cs="宋体"/>
          <w:color w:val="auto"/>
          <w:sz w:val="24"/>
          <w:highlight w:val="none"/>
        </w:rPr>
      </w:pPr>
    </w:p>
    <w:p w14:paraId="0EB698DC">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_Toc7957"/>
      <w:bookmarkStart w:id="9" w:name="第二部分"/>
      <w:bookmarkStart w:id="10" w:name="_Toc91899870"/>
      <w:bookmarkStart w:id="11" w:name="_Toc91899871"/>
      <w:r>
        <w:rPr>
          <w:rFonts w:hint="eastAsia" w:ascii="宋体" w:hAnsi="宋体" w:cs="宋体"/>
          <w:b/>
          <w:color w:val="auto"/>
          <w:sz w:val="36"/>
          <w:szCs w:val="20"/>
          <w:highlight w:val="none"/>
        </w:rPr>
        <w:t>第一部分 竞争性磋商公告</w:t>
      </w:r>
      <w:bookmarkEnd w:id="8"/>
    </w:p>
    <w:p w14:paraId="7D04ED4B">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4"/>
          <w:highlight w:val="none"/>
        </w:rPr>
      </w:pPr>
      <w:r>
        <w:rPr>
          <w:rFonts w:hint="eastAsia" w:ascii="宋体" w:hAnsi="宋体" w:cs="宋体"/>
          <w:color w:val="auto"/>
          <w:sz w:val="24"/>
          <w:highlight w:val="none"/>
        </w:rPr>
        <w:t>项目概况</w:t>
      </w:r>
    </w:p>
    <w:p w14:paraId="72073EB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u w:val="single"/>
          <w:lang w:eastAsia="zh-CN"/>
        </w:rPr>
        <w:t>宁波经贸学校2024年综合高中维修项目（</w:t>
      </w:r>
      <w:r>
        <w:rPr>
          <w:rFonts w:hint="eastAsia" w:ascii="宋体" w:hAnsi="宋体" w:cs="宋体"/>
          <w:color w:val="auto"/>
          <w:sz w:val="24"/>
          <w:szCs w:val="24"/>
          <w:highlight w:val="none"/>
          <w:u w:val="single"/>
          <w:lang w:val="en-US" w:eastAsia="zh-CN"/>
        </w:rPr>
        <w:t>重发</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rPr>
        <w:t>采购项目的潜在供应商应在政采云平台（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"https://www.zcygov.cn/）获取（下载）招标文件，并于2021年" </w:instrText>
      </w:r>
      <w:r>
        <w:rPr>
          <w:rFonts w:hint="eastAsia" w:ascii="宋体" w:hAnsi="宋体" w:eastAsia="宋体" w:cs="宋体"/>
          <w:color w:val="auto"/>
          <w:sz w:val="24"/>
          <w:szCs w:val="24"/>
          <w:highlight w:val="none"/>
        </w:rPr>
        <w:fldChar w:fldCharType="separate"/>
      </w:r>
      <w:r>
        <w:rPr>
          <w:rStyle w:val="76"/>
          <w:rFonts w:hint="eastAsia" w:ascii="宋体" w:hAnsi="宋体" w:eastAsia="宋体" w:cs="宋体"/>
          <w:snapToGrid/>
          <w:color w:val="auto"/>
          <w:kern w:val="2"/>
          <w:sz w:val="24"/>
          <w:szCs w:val="24"/>
          <w:highlight w:val="none"/>
        </w:rPr>
        <w:t>https://www.zcygov.cn/）获取（下载）采购文件，并于</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rPr>
        <w:t>点</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分</w:t>
      </w:r>
      <w:r>
        <w:rPr>
          <w:rFonts w:hint="eastAsia" w:ascii="宋体" w:hAnsi="宋体" w:eastAsia="宋体" w:cs="宋体"/>
          <w:bCs/>
          <w:color w:val="auto"/>
          <w:sz w:val="24"/>
          <w:szCs w:val="24"/>
          <w:highlight w:val="none"/>
          <w:u w:val="single"/>
        </w:rPr>
        <w:t>00秒</w:t>
      </w:r>
      <w:r>
        <w:rPr>
          <w:rFonts w:hint="eastAsia" w:ascii="宋体" w:hAnsi="宋体" w:eastAsia="宋体" w:cs="宋体"/>
          <w:bCs/>
          <w:color w:val="auto"/>
          <w:sz w:val="24"/>
          <w:szCs w:val="24"/>
          <w:highlight w:val="none"/>
          <w:u w:val="single"/>
        </w:rPr>
        <w:fldChar w:fldCharType="end"/>
      </w:r>
      <w:r>
        <w:rPr>
          <w:rFonts w:hint="eastAsia" w:ascii="宋体" w:hAnsi="宋体" w:eastAsia="宋体" w:cs="宋体"/>
          <w:bCs/>
          <w:color w:val="auto"/>
          <w:sz w:val="24"/>
          <w:szCs w:val="24"/>
          <w:highlight w:val="none"/>
        </w:rPr>
        <w:t>（北京时间）前</w:t>
      </w:r>
      <w:r>
        <w:rPr>
          <w:rFonts w:hint="eastAsia" w:ascii="宋体" w:hAnsi="宋体" w:eastAsia="宋体" w:cs="宋体"/>
          <w:color w:val="auto"/>
          <w:sz w:val="24"/>
          <w:szCs w:val="24"/>
          <w:highlight w:val="none"/>
        </w:rPr>
        <w:t>提交（上传）响应文件。</w:t>
      </w:r>
    </w:p>
    <w:p w14:paraId="2383BA6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5354D65">
      <w:pPr>
        <w:snapToGrid w:val="0"/>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CBNB-20241</w:t>
      </w:r>
      <w:r>
        <w:rPr>
          <w:rFonts w:hint="eastAsia" w:ascii="宋体" w:hAnsi="宋体" w:cs="宋体"/>
          <w:color w:val="auto"/>
          <w:sz w:val="24"/>
          <w:highlight w:val="none"/>
          <w:lang w:val="en-US" w:eastAsia="zh-CN"/>
        </w:rPr>
        <w:t>373</w:t>
      </w:r>
      <w:r>
        <w:rPr>
          <w:rFonts w:hint="eastAsia" w:ascii="宋体" w:hAnsi="宋体" w:cs="宋体"/>
          <w:color w:val="auto"/>
          <w:sz w:val="24"/>
          <w:highlight w:val="none"/>
          <w:lang w:eastAsia="zh-CN"/>
        </w:rPr>
        <w:t>GGC</w:t>
      </w:r>
      <w:r>
        <w:rPr>
          <w:rFonts w:hint="eastAsia" w:ascii="宋体" w:hAnsi="宋体" w:cs="宋体"/>
          <w:color w:val="auto"/>
          <w:sz w:val="24"/>
          <w:highlight w:val="none"/>
          <w:lang w:val="en-US" w:eastAsia="zh-CN"/>
        </w:rPr>
        <w:t>-2</w:t>
      </w:r>
    </w:p>
    <w:p w14:paraId="18548CE5">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snapToGrid w:val="0"/>
          <w:color w:val="auto"/>
          <w:spacing w:val="-6"/>
          <w:kern w:val="21"/>
          <w:sz w:val="24"/>
          <w:highlight w:val="none"/>
          <w:lang w:eastAsia="zh-CN"/>
        </w:rPr>
        <w:t>宁波经贸学校2024年综合高中维修项目（</w:t>
      </w:r>
      <w:r>
        <w:rPr>
          <w:rFonts w:hint="eastAsia" w:ascii="宋体" w:hAnsi="宋体" w:cs="宋体"/>
          <w:snapToGrid w:val="0"/>
          <w:color w:val="auto"/>
          <w:spacing w:val="-6"/>
          <w:kern w:val="21"/>
          <w:sz w:val="24"/>
          <w:highlight w:val="none"/>
          <w:lang w:val="en-US" w:eastAsia="zh-CN"/>
        </w:rPr>
        <w:t>重发</w:t>
      </w:r>
      <w:r>
        <w:rPr>
          <w:rFonts w:hint="eastAsia" w:ascii="宋体" w:hAnsi="宋体" w:cs="宋体"/>
          <w:snapToGrid w:val="0"/>
          <w:color w:val="auto"/>
          <w:spacing w:val="-6"/>
          <w:kern w:val="21"/>
          <w:sz w:val="24"/>
          <w:highlight w:val="none"/>
          <w:lang w:eastAsia="zh-CN"/>
        </w:rPr>
        <w:t>）</w:t>
      </w:r>
    </w:p>
    <w:p w14:paraId="5BF883FD">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 w:val="0"/>
          <w:bCs/>
          <w:color w:val="auto"/>
          <w:sz w:val="24"/>
          <w:highlight w:val="none"/>
        </w:rPr>
        <w:t>1097533</w:t>
      </w:r>
      <w:r>
        <w:rPr>
          <w:rFonts w:hint="eastAsia" w:ascii="宋体" w:hAnsi="宋体" w:cs="宋体"/>
          <w:b w:val="0"/>
          <w:bCs/>
          <w:color w:val="auto"/>
          <w:sz w:val="24"/>
          <w:highlight w:val="none"/>
          <w:lang w:val="en-US" w:eastAsia="zh-CN"/>
        </w:rPr>
        <w:t xml:space="preserve">.00 </w:t>
      </w:r>
      <w:r>
        <w:rPr>
          <w:rFonts w:hint="eastAsia" w:ascii="宋体" w:hAnsi="宋体" w:cs="宋体"/>
          <w:b w:val="0"/>
          <w:bCs/>
          <w:color w:val="auto"/>
          <w:sz w:val="24"/>
          <w:highlight w:val="none"/>
        </w:rPr>
        <w:t xml:space="preserve"> </w:t>
      </w:r>
    </w:p>
    <w:p w14:paraId="46F50F64">
      <w:pPr>
        <w:snapToGrid w:val="0"/>
        <w:spacing w:line="360" w:lineRule="auto"/>
        <w:ind w:firstLine="482" w:firstLineChars="200"/>
        <w:rPr>
          <w:rFonts w:hint="eastAsia" w:ascii="宋体" w:hAnsi="宋体" w:cs="宋体"/>
          <w:b w:val="0"/>
          <w:bCs/>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rPr>
        <w:t>1097533</w:t>
      </w:r>
      <w:r>
        <w:rPr>
          <w:rFonts w:hint="eastAsia" w:ascii="宋体" w:hAnsi="宋体" w:cs="宋体"/>
          <w:b w:val="0"/>
          <w:bCs/>
          <w:color w:val="auto"/>
          <w:sz w:val="24"/>
          <w:highlight w:val="none"/>
          <w:lang w:val="en-US" w:eastAsia="zh-CN"/>
        </w:rPr>
        <w:t xml:space="preserve">.00 </w:t>
      </w:r>
      <w:r>
        <w:rPr>
          <w:rFonts w:hint="eastAsia" w:ascii="宋体" w:hAnsi="宋体" w:cs="宋体"/>
          <w:b w:val="0"/>
          <w:bCs/>
          <w:color w:val="auto"/>
          <w:sz w:val="24"/>
          <w:highlight w:val="none"/>
        </w:rPr>
        <w:t xml:space="preserve">  </w:t>
      </w:r>
    </w:p>
    <w:p w14:paraId="0DD9AC1A">
      <w:pPr>
        <w:snapToGrid w:val="0"/>
        <w:spacing w:line="360" w:lineRule="auto"/>
        <w:ind w:firstLine="482" w:firstLineChars="200"/>
        <w:rPr>
          <w:rFonts w:hint="eastAsia" w:hAnsi="宋体" w:cs="宋体"/>
          <w:b/>
          <w:color w:val="auto"/>
          <w:sz w:val="24"/>
          <w:highlight w:val="none"/>
        </w:rPr>
      </w:pPr>
      <w:r>
        <w:rPr>
          <w:rFonts w:hint="eastAsia" w:hAnsi="宋体" w:cs="宋体"/>
          <w:b/>
          <w:color w:val="auto"/>
          <w:sz w:val="24"/>
          <w:highlight w:val="none"/>
        </w:rPr>
        <w:t>采购需求：</w:t>
      </w:r>
    </w:p>
    <w:p w14:paraId="40026A1C">
      <w:pPr>
        <w:snapToGrid w:val="0"/>
        <w:spacing w:line="360" w:lineRule="auto"/>
        <w:ind w:firstLine="482" w:firstLineChars="200"/>
        <w:rPr>
          <w:rFonts w:hint="eastAsia" w:ascii="宋体" w:hAnsi="宋体" w:cs="宋体"/>
          <w:color w:val="auto"/>
          <w:spacing w:val="-6"/>
          <w:kern w:val="21"/>
          <w:sz w:val="24"/>
          <w:highlight w:val="none"/>
          <w:lang w:eastAsia="zh-CN"/>
        </w:rPr>
      </w:pPr>
      <w:r>
        <w:rPr>
          <w:rFonts w:hint="eastAsia" w:hAnsi="宋体" w:cs="宋体"/>
          <w:b/>
          <w:color w:val="auto"/>
          <w:sz w:val="24"/>
          <w:highlight w:val="none"/>
        </w:rPr>
        <w:t>标项名称：</w:t>
      </w:r>
      <w:r>
        <w:rPr>
          <w:rFonts w:hint="eastAsia" w:ascii="宋体" w:hAnsi="宋体" w:cs="宋体"/>
          <w:snapToGrid w:val="0"/>
          <w:color w:val="auto"/>
          <w:spacing w:val="-6"/>
          <w:kern w:val="21"/>
          <w:sz w:val="24"/>
          <w:highlight w:val="none"/>
          <w:lang w:eastAsia="zh-CN"/>
        </w:rPr>
        <w:t>宁波经贸学校</w:t>
      </w:r>
      <w:r>
        <w:rPr>
          <w:rFonts w:hint="eastAsia" w:ascii="宋体" w:hAnsi="宋体" w:cs="宋体"/>
          <w:snapToGrid w:val="0"/>
          <w:color w:val="auto"/>
          <w:spacing w:val="-6"/>
          <w:kern w:val="21"/>
          <w:sz w:val="24"/>
          <w:highlight w:val="none"/>
          <w:lang w:val="en-US" w:eastAsia="zh-CN"/>
        </w:rPr>
        <w:t>2024年</w:t>
      </w:r>
      <w:r>
        <w:rPr>
          <w:rFonts w:hint="eastAsia" w:ascii="宋体" w:hAnsi="宋体" w:cs="宋体"/>
          <w:snapToGrid w:val="0"/>
          <w:color w:val="auto"/>
          <w:spacing w:val="-6"/>
          <w:kern w:val="21"/>
          <w:sz w:val="24"/>
          <w:highlight w:val="none"/>
          <w:lang w:eastAsia="zh-CN"/>
        </w:rPr>
        <w:t>综合高中维修</w:t>
      </w:r>
    </w:p>
    <w:p w14:paraId="20AE19BF">
      <w:pPr>
        <w:snapToGrid w:val="0"/>
        <w:spacing w:line="360" w:lineRule="auto"/>
        <w:ind w:firstLine="482" w:firstLineChars="200"/>
        <w:rPr>
          <w:rFonts w:hint="eastAsia" w:hAnsi="宋体" w:cs="宋体"/>
          <w:b/>
          <w:color w:val="auto"/>
          <w:sz w:val="24"/>
          <w:highlight w:val="none"/>
        </w:rPr>
      </w:pPr>
      <w:r>
        <w:rPr>
          <w:rFonts w:hint="eastAsia" w:hAnsi="宋体" w:cs="宋体"/>
          <w:b/>
          <w:color w:val="auto"/>
          <w:sz w:val="24"/>
          <w:highlight w:val="none"/>
          <w:lang w:val="en-US" w:eastAsia="zh-CN"/>
        </w:rPr>
        <w:t>数量：</w:t>
      </w:r>
      <w:r>
        <w:rPr>
          <w:rFonts w:hint="eastAsia" w:ascii="宋体" w:hAnsi="宋体" w:eastAsia="宋体" w:cs="宋体"/>
          <w:b w:val="0"/>
          <w:bCs/>
          <w:color w:val="auto"/>
          <w:sz w:val="24"/>
          <w:highlight w:val="none"/>
          <w:lang w:val="en-US" w:eastAsia="zh-CN"/>
        </w:rPr>
        <w:t>1 </w:t>
      </w:r>
      <w:r>
        <w:rPr>
          <w:rFonts w:hint="eastAsia" w:hAnsi="宋体" w:cs="宋体"/>
          <w:b/>
          <w:color w:val="auto"/>
          <w:sz w:val="24"/>
          <w:highlight w:val="none"/>
          <w:lang w:val="en-US" w:eastAsia="zh-CN"/>
        </w:rPr>
        <w:t>      </w:t>
      </w:r>
    </w:p>
    <w:p w14:paraId="05643458">
      <w:pPr>
        <w:snapToGrid w:val="0"/>
        <w:spacing w:line="360" w:lineRule="auto"/>
        <w:ind w:firstLine="482" w:firstLineChars="200"/>
        <w:rPr>
          <w:rFonts w:hint="eastAsia" w:hAnsi="宋体" w:cs="宋体"/>
          <w:b/>
          <w:color w:val="auto"/>
          <w:sz w:val="24"/>
          <w:highlight w:val="none"/>
        </w:rPr>
      </w:pPr>
      <w:r>
        <w:rPr>
          <w:rFonts w:hint="eastAsia" w:hAnsi="宋体" w:cs="宋体"/>
          <w:b/>
          <w:color w:val="auto"/>
          <w:sz w:val="24"/>
          <w:highlight w:val="none"/>
        </w:rPr>
        <w:t>预算金额（元）：</w:t>
      </w:r>
      <w:r>
        <w:rPr>
          <w:rFonts w:hint="eastAsia" w:ascii="宋体" w:hAnsi="宋体" w:cs="宋体"/>
          <w:b w:val="0"/>
          <w:bCs/>
          <w:color w:val="auto"/>
          <w:sz w:val="24"/>
          <w:highlight w:val="none"/>
        </w:rPr>
        <w:t>1097533</w:t>
      </w:r>
      <w:r>
        <w:rPr>
          <w:rFonts w:hint="eastAsia" w:ascii="宋体" w:hAnsi="宋体" w:cs="宋体"/>
          <w:b w:val="0"/>
          <w:bCs/>
          <w:color w:val="auto"/>
          <w:sz w:val="24"/>
          <w:highlight w:val="none"/>
          <w:lang w:val="en-US" w:eastAsia="zh-CN"/>
        </w:rPr>
        <w:t>.00</w:t>
      </w:r>
      <w:r>
        <w:rPr>
          <w:rFonts w:hint="eastAsia" w:ascii="宋体" w:hAnsi="宋体" w:cs="宋体"/>
          <w:color w:val="auto"/>
          <w:sz w:val="24"/>
          <w:highlight w:val="none"/>
        </w:rPr>
        <w:t xml:space="preserve">  </w:t>
      </w:r>
    </w:p>
    <w:p w14:paraId="13979386">
      <w:pPr>
        <w:snapToGrid w:val="0"/>
        <w:spacing w:line="360" w:lineRule="auto"/>
        <w:ind w:firstLine="482" w:firstLineChars="200"/>
        <w:rPr>
          <w:rFonts w:hint="eastAsia" w:hAnsi="宋体" w:cs="宋体"/>
          <w:b/>
          <w:color w:val="auto"/>
          <w:sz w:val="24"/>
          <w:highlight w:val="none"/>
        </w:rPr>
      </w:pPr>
      <w:r>
        <w:rPr>
          <w:rFonts w:hint="eastAsia" w:hAnsi="宋体" w:cs="宋体"/>
          <w:b/>
          <w:color w:val="auto"/>
          <w:sz w:val="24"/>
          <w:highlight w:val="none"/>
        </w:rPr>
        <w:t>单位：</w:t>
      </w:r>
      <w:r>
        <w:rPr>
          <w:rFonts w:hint="eastAsia" w:hAnsi="宋体" w:cs="宋体"/>
          <w:b w:val="0"/>
          <w:bCs/>
          <w:color w:val="auto"/>
          <w:sz w:val="24"/>
          <w:highlight w:val="none"/>
        </w:rPr>
        <w:t>项</w:t>
      </w:r>
      <w:r>
        <w:rPr>
          <w:rFonts w:hint="eastAsia" w:hAnsi="宋体" w:cs="宋体"/>
          <w:b/>
          <w:color w:val="auto"/>
          <w:sz w:val="24"/>
          <w:highlight w:val="none"/>
        </w:rPr>
        <w:t> </w:t>
      </w:r>
    </w:p>
    <w:p w14:paraId="1C8A868C">
      <w:pPr>
        <w:spacing w:line="360" w:lineRule="auto"/>
        <w:ind w:firstLine="482" w:firstLineChars="200"/>
        <w:rPr>
          <w:rFonts w:hint="eastAsia" w:ascii="宋体" w:hAnsi="宋体" w:eastAsia="宋体" w:cs="宋体"/>
          <w:bCs/>
          <w:snapToGrid/>
          <w:color w:val="auto"/>
          <w:kern w:val="2"/>
          <w:sz w:val="24"/>
          <w:szCs w:val="24"/>
          <w:highlight w:val="none"/>
        </w:rPr>
      </w:pPr>
      <w:r>
        <w:rPr>
          <w:rFonts w:hint="eastAsia" w:hAnsi="宋体" w:cs="宋体"/>
          <w:b/>
          <w:color w:val="auto"/>
          <w:sz w:val="24"/>
          <w:highlight w:val="none"/>
        </w:rPr>
        <w:t>简要规格描述：</w:t>
      </w:r>
      <w:r>
        <w:rPr>
          <w:rFonts w:hint="eastAsia" w:hAnsi="宋体" w:cs="宋体"/>
          <w:b w:val="0"/>
          <w:bCs/>
          <w:color w:val="auto"/>
          <w:sz w:val="24"/>
          <w:highlight w:val="none"/>
          <w:lang w:val="en-US" w:eastAsia="zh-CN"/>
        </w:rPr>
        <w:t>采购</w:t>
      </w:r>
      <w:r>
        <w:rPr>
          <w:rFonts w:hint="eastAsia" w:ascii="宋体" w:hAnsi="宋体" w:eastAsia="宋体" w:cs="宋体"/>
          <w:b w:val="0"/>
          <w:bCs/>
          <w:color w:val="auto"/>
          <w:sz w:val="24"/>
          <w:highlight w:val="none"/>
          <w:lang w:val="en-US" w:eastAsia="zh-CN"/>
        </w:rPr>
        <w:t>范围包括工程图纸设计范围内的</w:t>
      </w:r>
      <w:r>
        <w:rPr>
          <w:rFonts w:hint="eastAsia" w:ascii="宋体" w:hAnsi="宋体" w:cs="宋体"/>
          <w:b w:val="0"/>
          <w:bCs/>
          <w:color w:val="auto"/>
          <w:sz w:val="24"/>
          <w:highlight w:val="none"/>
          <w:lang w:val="en-US" w:eastAsia="zh-CN"/>
        </w:rPr>
        <w:t>食堂、实验室改造；</w:t>
      </w:r>
      <w:r>
        <w:rPr>
          <w:rFonts w:hint="eastAsia" w:ascii="宋体" w:hAnsi="宋体" w:eastAsia="宋体" w:cs="宋体"/>
          <w:bCs/>
          <w:snapToGrid/>
          <w:color w:val="auto"/>
          <w:kern w:val="2"/>
          <w:sz w:val="24"/>
          <w:szCs w:val="24"/>
          <w:highlight w:val="none"/>
        </w:rPr>
        <w:t>详见采购文件第三部分采购需求。</w:t>
      </w:r>
    </w:p>
    <w:p w14:paraId="42563F17">
      <w:pPr>
        <w:snapToGrid w:val="0"/>
        <w:spacing w:line="360" w:lineRule="auto"/>
        <w:ind w:firstLine="482" w:firstLineChars="200"/>
        <w:rPr>
          <w:rFonts w:hint="eastAsia" w:hAnsi="宋体" w:cs="宋体"/>
          <w:b/>
          <w:color w:val="auto"/>
          <w:sz w:val="24"/>
          <w:highlight w:val="none"/>
        </w:rPr>
      </w:pPr>
      <w:r>
        <w:rPr>
          <w:rFonts w:hint="eastAsia" w:hAnsi="宋体" w:cs="宋体"/>
          <w:b/>
          <w:color w:val="auto"/>
          <w:sz w:val="24"/>
          <w:highlight w:val="none"/>
        </w:rPr>
        <w:t>备注：</w:t>
      </w:r>
      <w:r>
        <w:rPr>
          <w:rFonts w:hint="eastAsia" w:hAnsi="宋体" w:cs="宋体"/>
          <w:b w:val="0"/>
          <w:bCs/>
          <w:color w:val="auto"/>
          <w:sz w:val="24"/>
          <w:highlight w:val="none"/>
          <w:lang w:val="en-US" w:eastAsia="zh-CN"/>
        </w:rPr>
        <w:t>/。</w:t>
      </w:r>
      <w:r>
        <w:rPr>
          <w:rFonts w:hint="eastAsia" w:hAnsi="宋体" w:cs="宋体"/>
          <w:b/>
          <w:color w:val="auto"/>
          <w:sz w:val="24"/>
          <w:highlight w:val="none"/>
        </w:rPr>
        <w:t> </w:t>
      </w:r>
    </w:p>
    <w:p w14:paraId="0EB69A6B">
      <w:pPr>
        <w:pStyle w:val="132"/>
        <w:snapToGrid w:val="0"/>
        <w:spacing w:before="0"/>
        <w:ind w:firstLine="482"/>
        <w:outlineLvl w:val="2"/>
        <w:rPr>
          <w:rFonts w:ascii="宋体" w:hAnsi="宋体" w:cs="宋体"/>
          <w:color w:val="auto"/>
          <w:highlight w:val="none"/>
        </w:rPr>
      </w:pPr>
      <w:bookmarkStart w:id="12" w:name="_Toc20655"/>
      <w:r>
        <w:rPr>
          <w:rFonts w:hint="eastAsia" w:ascii="宋体" w:hAnsi="宋体" w:cs="宋体"/>
          <w:b/>
          <w:color w:val="auto"/>
          <w:highlight w:val="none"/>
        </w:rPr>
        <w:t>合同履约期限：</w:t>
      </w:r>
      <w:r>
        <w:rPr>
          <w:rFonts w:hint="eastAsia" w:ascii="宋体" w:hAnsi="宋体" w:eastAsia="宋体" w:cs="宋体"/>
          <w:bCs/>
          <w:snapToGrid/>
          <w:color w:val="auto"/>
          <w:kern w:val="2"/>
          <w:sz w:val="24"/>
          <w:szCs w:val="24"/>
          <w:highlight w:val="none"/>
          <w:lang w:val="en-US" w:eastAsia="zh-CN" w:bidi="ar-SA"/>
        </w:rPr>
        <w:t>自合同签订</w:t>
      </w:r>
      <w:r>
        <w:rPr>
          <w:rFonts w:hint="eastAsia" w:ascii="Times New Roman" w:hAnsi="宋体" w:eastAsia="宋体" w:cs="宋体"/>
          <w:bCs/>
          <w:snapToGrid/>
          <w:color w:val="auto"/>
          <w:kern w:val="2"/>
          <w:sz w:val="24"/>
          <w:szCs w:val="24"/>
          <w:highlight w:val="none"/>
          <w:lang w:val="en-US" w:eastAsia="zh-CN" w:bidi="ar-SA"/>
        </w:rPr>
        <w:t>之日起至合同全部义务履行完毕止。</w:t>
      </w:r>
      <w:bookmarkEnd w:id="12"/>
    </w:p>
    <w:p w14:paraId="6B9648F7">
      <w:pPr>
        <w:spacing w:line="360" w:lineRule="auto"/>
        <w:ind w:firstLine="482" w:firstLineChars="200"/>
        <w:rPr>
          <w:rFonts w:hint="eastAsia" w:hAnsi="宋体" w:eastAsia="宋体" w:cs="宋体"/>
          <w:b/>
          <w:color w:val="auto"/>
          <w:sz w:val="24"/>
          <w:highlight w:val="none"/>
          <w:lang w:eastAsia="zh-CN"/>
        </w:rPr>
      </w:pPr>
      <w:r>
        <w:rPr>
          <w:rFonts w:hint="eastAsia" w:hAnsi="宋体" w:cs="宋体"/>
          <w:b/>
          <w:color w:val="auto"/>
          <w:sz w:val="24"/>
          <w:highlight w:val="none"/>
        </w:rPr>
        <w:t>本项目</w:t>
      </w:r>
      <w:r>
        <w:rPr>
          <w:rFonts w:hint="eastAsia" w:hAnsi="宋体" w:cs="宋体"/>
          <w:b/>
          <w:color w:val="auto"/>
          <w:sz w:val="24"/>
          <w:highlight w:val="none"/>
          <w:lang w:val="en-US" w:eastAsia="zh-CN"/>
        </w:rPr>
        <w:t>不</w:t>
      </w:r>
      <w:r>
        <w:rPr>
          <w:rFonts w:hint="eastAsia" w:hAnsi="宋体" w:cs="宋体"/>
          <w:b/>
          <w:color w:val="auto"/>
          <w:sz w:val="24"/>
          <w:highlight w:val="none"/>
        </w:rPr>
        <w:t>接受联合体</w:t>
      </w:r>
      <w:r>
        <w:rPr>
          <w:rFonts w:hint="eastAsia" w:hAnsi="宋体" w:cs="宋体"/>
          <w:b/>
          <w:color w:val="auto"/>
          <w:sz w:val="24"/>
          <w:highlight w:val="none"/>
          <w:lang w:val="en-US" w:eastAsia="zh-CN"/>
        </w:rPr>
        <w:t>响应</w:t>
      </w:r>
      <w:r>
        <w:rPr>
          <w:rFonts w:hint="eastAsia" w:hAnsi="宋体" w:cs="宋体"/>
          <w:b/>
          <w:color w:val="auto"/>
          <w:sz w:val="24"/>
          <w:highlight w:val="none"/>
          <w:lang w:eastAsia="zh-CN"/>
        </w:rPr>
        <w:t>。</w:t>
      </w:r>
    </w:p>
    <w:p w14:paraId="1934A1E9">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3" w:name="_Hlk101132948"/>
      <w:r>
        <w:rPr>
          <w:rFonts w:hint="eastAsia" w:ascii="宋体" w:hAnsi="宋体" w:cs="宋体"/>
          <w:b/>
          <w:color w:val="auto"/>
          <w:sz w:val="24"/>
          <w:highlight w:val="none"/>
        </w:rPr>
        <w:t>申请人的资格要求</w:t>
      </w:r>
      <w:bookmarkEnd w:id="13"/>
      <w:r>
        <w:rPr>
          <w:rFonts w:hint="eastAsia" w:ascii="宋体" w:hAnsi="宋体" w:cs="宋体"/>
          <w:b/>
          <w:color w:val="auto"/>
          <w:sz w:val="24"/>
          <w:highlight w:val="none"/>
        </w:rPr>
        <w:t>：</w:t>
      </w:r>
    </w:p>
    <w:p w14:paraId="1839011E">
      <w:pPr>
        <w:spacing w:line="360" w:lineRule="auto"/>
        <w:ind w:firstLine="480"/>
        <w:rPr>
          <w:rFonts w:hint="eastAsia" w:ascii="宋体" w:hAnsi="宋体" w:eastAsia="宋体" w:cs="宋体"/>
          <w:snapToGrid w:val="0"/>
          <w:color w:val="auto"/>
          <w:kern w:val="28"/>
          <w:sz w:val="24"/>
          <w:szCs w:val="20"/>
          <w:highlight w:val="none"/>
          <w:lang w:eastAsia="zh-CN"/>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w:t>
      </w:r>
      <w:r>
        <w:rPr>
          <w:rFonts w:hint="eastAsia" w:ascii="宋体" w:hAnsi="宋体" w:cs="宋体"/>
          <w:snapToGrid w:val="0"/>
          <w:color w:val="auto"/>
          <w:kern w:val="28"/>
          <w:sz w:val="24"/>
          <w:szCs w:val="20"/>
          <w:highlight w:val="none"/>
          <w:lang w:eastAsia="zh-CN"/>
        </w:rPr>
        <w:t>重大税收违法失信主体</w:t>
      </w:r>
      <w:r>
        <w:rPr>
          <w:rFonts w:hint="eastAsia" w:ascii="宋体" w:hAnsi="宋体" w:cs="宋体"/>
          <w:snapToGrid w:val="0"/>
          <w:color w:val="auto"/>
          <w:kern w:val="28"/>
          <w:sz w:val="24"/>
          <w:szCs w:val="20"/>
          <w:highlight w:val="none"/>
        </w:rPr>
        <w:t>、政府采购严重违法失信行为记录名单</w:t>
      </w:r>
      <w:r>
        <w:rPr>
          <w:rFonts w:hint="eastAsia" w:ascii="宋体" w:hAnsi="宋体" w:cs="宋体"/>
          <w:snapToGrid w:val="0"/>
          <w:color w:val="auto"/>
          <w:kern w:val="28"/>
          <w:sz w:val="24"/>
          <w:szCs w:val="20"/>
          <w:highlight w:val="none"/>
          <w:lang w:eastAsia="zh-CN"/>
        </w:rPr>
        <w:t>。</w:t>
      </w:r>
    </w:p>
    <w:p w14:paraId="02CA8004">
      <w:pPr>
        <w:spacing w:line="360" w:lineRule="auto"/>
        <w:ind w:firstLine="480" w:firstLineChars="200"/>
        <w:rPr>
          <w:rFonts w:hint="default" w:ascii="宋体" w:hAnsi="宋体" w:eastAsia="宋体" w:cs="宋体"/>
          <w:snapToGrid w:val="0"/>
          <w:color w:val="auto"/>
          <w:kern w:val="28"/>
          <w:sz w:val="24"/>
          <w:szCs w:val="20"/>
          <w:highlight w:val="none"/>
          <w:lang w:val="en-US" w:eastAsia="zh-CN"/>
        </w:rPr>
      </w:pPr>
      <w:r>
        <w:rPr>
          <w:rFonts w:hint="eastAsia" w:ascii="宋体" w:hAnsi="宋体" w:cs="宋体"/>
          <w:snapToGrid w:val="0"/>
          <w:color w:val="auto"/>
          <w:kern w:val="28"/>
          <w:sz w:val="24"/>
          <w:szCs w:val="20"/>
          <w:highlight w:val="none"/>
          <w:lang w:val="en-US" w:eastAsia="zh-CN"/>
        </w:rPr>
        <w:t>2</w:t>
      </w:r>
      <w:r>
        <w:rPr>
          <w:rFonts w:hint="eastAsia" w:ascii="宋体" w:hAnsi="宋体" w:cs="宋体"/>
          <w:snapToGrid w:val="0"/>
          <w:color w:val="auto"/>
          <w:kern w:val="28"/>
          <w:sz w:val="24"/>
          <w:szCs w:val="20"/>
          <w:highlight w:val="none"/>
        </w:rPr>
        <w:t>.落实政府采购政策需满足的资格要求：</w:t>
      </w:r>
      <w:r>
        <w:rPr>
          <w:rFonts w:hint="eastAsia" w:ascii="宋体" w:hAnsi="宋体" w:cs="宋体"/>
          <w:snapToGrid w:val="0"/>
          <w:color w:val="auto"/>
          <w:kern w:val="28"/>
          <w:sz w:val="24"/>
          <w:szCs w:val="20"/>
          <w:highlight w:val="none"/>
          <w:lang w:val="en-US" w:eastAsia="zh-CN"/>
        </w:rPr>
        <w:t>本项目专门面向中小企业采购，</w:t>
      </w:r>
      <w:r>
        <w:rPr>
          <w:rFonts w:hint="eastAsia" w:ascii="宋体" w:hAnsi="宋体" w:eastAsia="宋体" w:cs="宋体"/>
          <w:sz w:val="24"/>
          <w:highlight w:val="none"/>
          <w:lang w:val="en-US" w:eastAsia="zh-CN"/>
        </w:rPr>
        <w:t>工程</w:t>
      </w:r>
      <w:r>
        <w:rPr>
          <w:rFonts w:hint="eastAsia" w:ascii="宋体" w:hAnsi="宋体" w:eastAsia="宋体" w:cs="宋体"/>
          <w:sz w:val="24"/>
          <w:highlight w:val="none"/>
        </w:rPr>
        <w:t>全部由符合政策要求的中小企业</w:t>
      </w:r>
      <w:r>
        <w:rPr>
          <w:rFonts w:hint="eastAsia" w:ascii="宋体" w:hAnsi="宋体" w:cs="宋体"/>
          <w:color w:val="auto"/>
          <w:sz w:val="24"/>
          <w:highlight w:val="none"/>
        </w:rPr>
        <w:t>承建</w:t>
      </w:r>
      <w:r>
        <w:rPr>
          <w:rFonts w:hint="eastAsia" w:ascii="宋体" w:hAnsi="宋体" w:eastAsia="宋体" w:cs="宋体"/>
          <w:sz w:val="24"/>
          <w:highlight w:val="none"/>
        </w:rPr>
        <w:t>，提供中小企业声明函</w:t>
      </w:r>
      <w:r>
        <w:rPr>
          <w:rFonts w:hint="eastAsia" w:ascii="宋体" w:hAnsi="宋体" w:cs="宋体"/>
          <w:sz w:val="24"/>
          <w:highlight w:val="none"/>
        </w:rPr>
        <w:t>。</w:t>
      </w:r>
    </w:p>
    <w:p w14:paraId="5D4AA1E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供应商具有</w:t>
      </w:r>
      <w:r>
        <w:rPr>
          <w:rFonts w:hint="eastAsia" w:ascii="宋体" w:hAnsi="宋体" w:cs="宋体"/>
          <w:color w:val="auto"/>
          <w:sz w:val="24"/>
          <w:highlight w:val="none"/>
          <w:lang w:eastAsia="zh-CN"/>
        </w:rPr>
        <w:t>建筑工程施工总承包</w:t>
      </w:r>
      <w:r>
        <w:rPr>
          <w:rFonts w:hint="eastAsia" w:ascii="宋体" w:hAnsi="宋体" w:cs="宋体"/>
          <w:color w:val="auto"/>
          <w:sz w:val="24"/>
          <w:highlight w:val="none"/>
          <w:lang w:val="en-US" w:eastAsia="zh-CN"/>
        </w:rPr>
        <w:t>三级</w:t>
      </w:r>
      <w:r>
        <w:rPr>
          <w:rFonts w:hint="eastAsia" w:ascii="宋体" w:hAnsi="宋体" w:cs="宋体"/>
          <w:color w:val="auto"/>
          <w:sz w:val="24"/>
          <w:highlight w:val="none"/>
          <w:lang w:eastAsia="zh-CN"/>
        </w:rPr>
        <w:t>及以上</w:t>
      </w:r>
      <w:r>
        <w:rPr>
          <w:rFonts w:hint="eastAsia" w:ascii="宋体" w:hAnsi="宋体" w:cs="宋体"/>
          <w:color w:val="auto"/>
          <w:sz w:val="24"/>
          <w:highlight w:val="none"/>
          <w:lang w:val="en-US" w:eastAsia="zh-CN"/>
        </w:rPr>
        <w:t>资质</w:t>
      </w:r>
      <w:r>
        <w:rPr>
          <w:rFonts w:hint="eastAsia" w:ascii="宋体" w:hAnsi="宋体" w:cs="宋体"/>
          <w:color w:val="auto"/>
          <w:sz w:val="24"/>
          <w:highlight w:val="none"/>
          <w:lang w:eastAsia="zh-CN"/>
        </w:rPr>
        <w:t>（资质须在有效期内）</w:t>
      </w:r>
      <w:r>
        <w:rPr>
          <w:rFonts w:hint="eastAsia" w:ascii="宋体" w:hAnsi="宋体" w:cs="宋体"/>
          <w:color w:val="auto"/>
          <w:sz w:val="24"/>
          <w:highlight w:val="none"/>
        </w:rPr>
        <w:t>，并具备有效的安全生产许可证。</w:t>
      </w:r>
    </w:p>
    <w:p w14:paraId="0F76671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AF08C59">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472CC44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日</w:t>
      </w:r>
      <w:r>
        <w:rPr>
          <w:rFonts w:hint="eastAsia" w:ascii="宋体" w:hAnsi="宋体" w:cs="宋体"/>
          <w:color w:val="auto"/>
          <w:sz w:val="24"/>
          <w:highlight w:val="none"/>
        </w:rPr>
        <w:t>，每天上午00:00至12:00 ，下午12:00至23:59（北京时间，线上获取法定节假日均可）</w:t>
      </w:r>
    </w:p>
    <w:p w14:paraId="198DA88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ABFCDE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023A44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AA963DF">
      <w:pPr>
        <w:spacing w:line="360" w:lineRule="auto"/>
        <w:rPr>
          <w:rFonts w:ascii="宋体" w:hAnsi="宋体" w:cs="宋体"/>
          <w:b/>
          <w:color w:val="auto"/>
          <w:sz w:val="24"/>
          <w:highlight w:val="none"/>
        </w:rPr>
      </w:pPr>
      <w:r>
        <w:rPr>
          <w:rFonts w:hint="eastAsia" w:ascii="宋体" w:hAnsi="宋体" w:cs="宋体"/>
          <w:b/>
          <w:color w:val="auto"/>
          <w:sz w:val="24"/>
          <w:highlight w:val="none"/>
        </w:rPr>
        <w:t>四、响应文件提交（上传）</w:t>
      </w:r>
    </w:p>
    <w:p w14:paraId="2C64738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15</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18C4A0F2">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379666E">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14:paraId="4EA60865">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15</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p>
    <w:p w14:paraId="738F362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14:paraId="60C67905">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六、公告期限 </w:t>
      </w:r>
    </w:p>
    <w:p w14:paraId="645018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68841DAA">
      <w:pP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14:paraId="438063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982AFD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.其他事项：</w:t>
      </w:r>
    </w:p>
    <w:p w14:paraId="20C00AD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w:t>
      </w:r>
    </w:p>
    <w:p w14:paraId="18D62FC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w:t>
      </w:r>
    </w:p>
    <w:p w14:paraId="07971C2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）采购文件公告期限与竞争性磋商公告的公告期限一致。</w:t>
      </w:r>
    </w:p>
    <w:p w14:paraId="36D6DBB2">
      <w:pP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02F36C3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66C55063">
      <w:pPr>
        <w:spacing w:line="360" w:lineRule="auto"/>
        <w:ind w:firstLine="480"/>
        <w:rPr>
          <w:rFonts w:hint="eastAsia" w:ascii="宋体" w:hAnsi="宋体" w:cs="宋体"/>
          <w:color w:val="auto"/>
          <w:sz w:val="24"/>
          <w:highlight w:val="none"/>
          <w:lang w:eastAsia="zh-CN"/>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宁波经贸学校</w:t>
      </w:r>
    </w:p>
    <w:p w14:paraId="511C9A6C">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地址：宁波市鄞州高教园区文华路222号</w:t>
      </w:r>
    </w:p>
    <w:p w14:paraId="4F408382">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传真：</w:t>
      </w:r>
      <w:r>
        <w:rPr>
          <w:rFonts w:hint="eastAsia" w:ascii="宋体" w:hAnsi="宋体" w:cs="宋体"/>
          <w:color w:val="auto"/>
          <w:sz w:val="24"/>
          <w:highlight w:val="none"/>
          <w:lang w:val="en-US" w:eastAsia="zh-CN"/>
        </w:rPr>
        <w:t>/</w:t>
      </w:r>
    </w:p>
    <w:p w14:paraId="6FBA10BD">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宋涛</w:t>
      </w:r>
    </w:p>
    <w:p w14:paraId="535AF5D8">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0574-83060082</w:t>
      </w:r>
    </w:p>
    <w:p w14:paraId="4DE3AE54">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质疑联系人：金水德</w:t>
      </w:r>
    </w:p>
    <w:p w14:paraId="2E4DAB35">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质疑联系方式：0574-83060082</w:t>
      </w:r>
    </w:p>
    <w:p w14:paraId="02D5117C">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2.采购代理机构信息</w:t>
      </w:r>
    </w:p>
    <w:p w14:paraId="6CEC04C1">
      <w:pPr>
        <w:spacing w:line="360" w:lineRule="auto"/>
        <w:ind w:firstLine="480"/>
        <w:rPr>
          <w:rFonts w:hint="eastAsia" w:ascii="宋体" w:hAnsi="宋体" w:cs="宋体"/>
          <w:color w:val="auto"/>
          <w:sz w:val="24"/>
          <w:highlight w:val="none"/>
          <w:lang w:eastAsia="zh-CN"/>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 xml:space="preserve">宁波中基国际招标有限公司 </w:t>
      </w:r>
    </w:p>
    <w:p w14:paraId="30B44371">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地址：宁波市鄞州区天童南路666号中基大厦19楼 </w:t>
      </w:r>
    </w:p>
    <w:p w14:paraId="4F7D9120">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传真：</w:t>
      </w:r>
      <w:r>
        <w:rPr>
          <w:rFonts w:hint="eastAsia" w:ascii="宋体" w:hAnsi="宋体" w:cs="宋体"/>
          <w:color w:val="auto"/>
          <w:sz w:val="24"/>
          <w:highlight w:val="none"/>
          <w:lang w:val="en-US" w:eastAsia="zh-CN"/>
        </w:rPr>
        <w:t>0574-87425386</w:t>
      </w:r>
    </w:p>
    <w:p w14:paraId="5A1B4728">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王鸯鸯</w:t>
      </w:r>
    </w:p>
    <w:p w14:paraId="2D1C4958">
      <w:pPr>
        <w:spacing w:line="360" w:lineRule="auto"/>
        <w:ind w:firstLine="480"/>
        <w:rPr>
          <w:rFonts w:hint="default" w:ascii="宋体" w:hAnsi="宋体" w:cs="宋体"/>
          <w:color w:val="auto"/>
          <w:sz w:val="24"/>
          <w:highlight w:val="none"/>
          <w:lang w:val="en-US" w:eastAsia="zh-CN"/>
        </w:rPr>
      </w:pPr>
      <w:r>
        <w:rPr>
          <w:rFonts w:hint="eastAsia" w:ascii="宋体" w:hAnsi="宋体" w:cs="宋体"/>
          <w:color w:val="auto"/>
          <w:sz w:val="24"/>
          <w:highlight w:val="none"/>
        </w:rPr>
        <w:t>项目联系方式（询问）：0574-</w:t>
      </w:r>
      <w:r>
        <w:rPr>
          <w:rFonts w:hint="eastAsia" w:ascii="宋体" w:hAnsi="宋体" w:cs="宋体"/>
          <w:color w:val="auto"/>
          <w:sz w:val="24"/>
          <w:highlight w:val="none"/>
          <w:lang w:val="en-US" w:eastAsia="zh-CN"/>
        </w:rPr>
        <w:t>88090157</w:t>
      </w:r>
    </w:p>
    <w:p w14:paraId="32B91E20">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徐承</w:t>
      </w:r>
    </w:p>
    <w:p w14:paraId="192D60EA">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质疑联系方式：0574-</w:t>
      </w:r>
      <w:r>
        <w:rPr>
          <w:rFonts w:hint="eastAsia" w:ascii="宋体" w:hAnsi="宋体" w:cs="宋体"/>
          <w:color w:val="auto"/>
          <w:sz w:val="24"/>
          <w:highlight w:val="none"/>
          <w:lang w:val="en-US" w:eastAsia="zh-CN"/>
        </w:rPr>
        <w:t>87425387</w:t>
      </w:r>
    </w:p>
    <w:p w14:paraId="3418811A">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3.同级政府采购监督管理部门</w:t>
      </w:r>
    </w:p>
    <w:p w14:paraId="54D15C15">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名称：宁波市财政局政府采购监管处</w:t>
      </w:r>
    </w:p>
    <w:p w14:paraId="6238E43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地址：宁波市海曙区中山西路19号</w:t>
      </w:r>
    </w:p>
    <w:p w14:paraId="122CBED1">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传真：/ </w:t>
      </w:r>
    </w:p>
    <w:p w14:paraId="2286C184">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李</w:t>
      </w:r>
      <w:r>
        <w:rPr>
          <w:rFonts w:hint="eastAsia" w:ascii="宋体" w:hAnsi="宋体" w:cs="宋体"/>
          <w:color w:val="auto"/>
          <w:sz w:val="24"/>
          <w:highlight w:val="none"/>
        </w:rPr>
        <w:t>老师</w:t>
      </w:r>
    </w:p>
    <w:p w14:paraId="03D2621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监督投诉电话：0574-89388042</w:t>
      </w:r>
    </w:p>
    <w:p w14:paraId="66F28B8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445E4A10">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b/>
          <w:bCs/>
          <w:color w:val="auto"/>
          <w:sz w:val="24"/>
          <w:highlight w:val="none"/>
        </w:rPr>
        <w:t>95763</w:t>
      </w:r>
      <w:r>
        <w:rPr>
          <w:rFonts w:hint="eastAsia" w:ascii="宋体" w:hAnsi="宋体" w:cs="宋体"/>
          <w:b/>
          <w:bCs/>
          <w:color w:val="auto"/>
          <w:sz w:val="24"/>
          <w:highlight w:val="none"/>
        </w:rPr>
        <w:t>获取热线服务帮助。</w:t>
      </w:r>
    </w:p>
    <w:p w14:paraId="34F57042">
      <w:pPr>
        <w:snapToGrid w:val="0"/>
        <w:spacing w:line="360" w:lineRule="auto"/>
        <w:ind w:firstLine="482" w:firstLineChars="200"/>
        <w:rPr>
          <w:rFonts w:ascii="宋体" w:hAnsi="宋体" w:cs="宋体"/>
          <w:color w:val="auto"/>
          <w:sz w:val="24"/>
          <w:highlight w:val="none"/>
        </w:rPr>
        <w:sectPr>
          <w:headerReference r:id="rId4" w:type="first"/>
          <w:footerReference r:id="rId7" w:type="first"/>
          <w:headerReference r:id="rId3" w:type="default"/>
          <w:footerReference r:id="rId5" w:type="default"/>
          <w:footerReference r:id="rId6" w:type="even"/>
          <w:pgSz w:w="11905" w:h="16838"/>
          <w:pgMar w:top="1440" w:right="1440" w:bottom="1440" w:left="1440" w:header="851" w:footer="992" w:gutter="0"/>
          <w:pgBorders>
            <w:top w:val="none" w:sz="0" w:space="0"/>
            <w:left w:val="none" w:sz="0" w:space="0"/>
            <w:bottom w:val="none" w:sz="0" w:space="0"/>
            <w:right w:val="none" w:sz="0" w:space="0"/>
          </w:pgBorders>
          <w:cols w:space="0" w:num="1"/>
          <w:titlePg/>
          <w:rtlGutter w:val="0"/>
          <w:docGrid w:linePitch="312" w:charSpace="0"/>
        </w:sectPr>
      </w:pPr>
      <w:r>
        <w:rPr>
          <w:rFonts w:hint="eastAsia" w:ascii="宋体" w:hAnsi="宋体" w:cs="宋体"/>
          <w:b/>
          <w:bCs/>
          <w:color w:val="auto"/>
          <w:sz w:val="24"/>
          <w:highlight w:val="none"/>
        </w:rPr>
        <w:t>CA问题联系电话（人工）：汇信CA 400-888-4636；天谷CA 400-087-8198。</w:t>
      </w:r>
    </w:p>
    <w:p w14:paraId="71B9C399">
      <w:pPr>
        <w:pStyle w:val="32"/>
        <w:spacing w:line="360" w:lineRule="auto"/>
        <w:jc w:val="center"/>
        <w:outlineLvl w:val="0"/>
        <w:rPr>
          <w:rFonts w:hAnsi="宋体" w:cs="宋体"/>
          <w:b/>
          <w:snapToGrid/>
          <w:color w:val="auto"/>
          <w:sz w:val="36"/>
          <w:szCs w:val="20"/>
          <w:highlight w:val="none"/>
        </w:rPr>
      </w:pPr>
      <w:bookmarkStart w:id="14" w:name="_Toc21235"/>
      <w:r>
        <w:rPr>
          <w:rFonts w:hint="eastAsia" w:hAnsi="宋体" w:cs="宋体"/>
          <w:b/>
          <w:snapToGrid/>
          <w:color w:val="auto"/>
          <w:sz w:val="36"/>
          <w:szCs w:val="20"/>
          <w:highlight w:val="none"/>
        </w:rPr>
        <w:t>第二部分</w:t>
      </w:r>
      <w:bookmarkEnd w:id="9"/>
      <w:r>
        <w:rPr>
          <w:rFonts w:hint="eastAsia" w:hAnsi="宋体" w:cs="宋体"/>
          <w:b/>
          <w:snapToGrid/>
          <w:color w:val="auto"/>
          <w:sz w:val="36"/>
          <w:szCs w:val="20"/>
          <w:highlight w:val="none"/>
        </w:rPr>
        <w:t xml:space="preserve"> 供应商须知</w:t>
      </w:r>
      <w:bookmarkEnd w:id="10"/>
      <w:bookmarkEnd w:id="14"/>
    </w:p>
    <w:p w14:paraId="61E75405">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5104" w:type="pct"/>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28" w:type="dxa"/>
          <w:bottom w:w="0" w:type="dxa"/>
          <w:right w:w="28" w:type="dxa"/>
        </w:tblCellMar>
      </w:tblPr>
      <w:tblGrid>
        <w:gridCol w:w="657"/>
        <w:gridCol w:w="1951"/>
        <w:gridCol w:w="6662"/>
      </w:tblGrid>
      <w:tr w14:paraId="2B969B83">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tcBorders>
              <w:tl2br w:val="nil"/>
              <w:tr2bl w:val="nil"/>
            </w:tcBorders>
          </w:tcPr>
          <w:p w14:paraId="60816120">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napToGrid/>
                <w:color w:val="auto"/>
                <w:sz w:val="24"/>
                <w:szCs w:val="24"/>
                <w:highlight w:val="none"/>
              </w:rPr>
            </w:pPr>
            <w:r>
              <w:rPr>
                <w:rFonts w:hint="eastAsia" w:ascii="宋体" w:hAnsi="宋体" w:eastAsia="宋体" w:cs="宋体"/>
                <w:b/>
                <w:snapToGrid/>
                <w:color w:val="auto"/>
                <w:sz w:val="24"/>
                <w:szCs w:val="24"/>
                <w:highlight w:val="none"/>
              </w:rPr>
              <w:t>序号</w:t>
            </w:r>
          </w:p>
        </w:tc>
        <w:tc>
          <w:tcPr>
            <w:tcW w:w="1052" w:type="pct"/>
            <w:tcBorders>
              <w:tl2br w:val="nil"/>
              <w:tr2bl w:val="nil"/>
            </w:tcBorders>
            <w:vAlign w:val="center"/>
          </w:tcPr>
          <w:p w14:paraId="25DDB951">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napToGrid/>
                <w:color w:val="auto"/>
                <w:sz w:val="24"/>
                <w:szCs w:val="24"/>
                <w:highlight w:val="none"/>
              </w:rPr>
            </w:pPr>
            <w:r>
              <w:rPr>
                <w:rFonts w:hint="eastAsia" w:ascii="宋体" w:hAnsi="宋体" w:eastAsia="宋体" w:cs="宋体"/>
                <w:b/>
                <w:snapToGrid/>
                <w:color w:val="auto"/>
                <w:sz w:val="24"/>
                <w:szCs w:val="24"/>
                <w:highlight w:val="none"/>
              </w:rPr>
              <w:t>事项</w:t>
            </w:r>
          </w:p>
        </w:tc>
        <w:tc>
          <w:tcPr>
            <w:tcW w:w="3592" w:type="pct"/>
            <w:tcBorders>
              <w:tl2br w:val="nil"/>
              <w:tr2bl w:val="nil"/>
            </w:tcBorders>
            <w:vAlign w:val="center"/>
          </w:tcPr>
          <w:p w14:paraId="44517638">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napToGrid/>
                <w:color w:val="auto"/>
                <w:sz w:val="24"/>
                <w:szCs w:val="24"/>
                <w:highlight w:val="none"/>
              </w:rPr>
            </w:pPr>
            <w:r>
              <w:rPr>
                <w:rFonts w:hint="eastAsia" w:ascii="宋体" w:hAnsi="宋体" w:eastAsia="宋体" w:cs="宋体"/>
                <w:b/>
                <w:snapToGrid/>
                <w:color w:val="auto"/>
                <w:sz w:val="24"/>
                <w:szCs w:val="24"/>
                <w:highlight w:val="none"/>
              </w:rPr>
              <w:t>本项目的特别规定</w:t>
            </w:r>
          </w:p>
        </w:tc>
      </w:tr>
      <w:tr w14:paraId="4A2A49B0">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tcBorders>
              <w:tl2br w:val="nil"/>
              <w:tr2bl w:val="nil"/>
            </w:tcBorders>
            <w:vAlign w:val="center"/>
          </w:tcPr>
          <w:p w14:paraId="55A6E462">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1</w:t>
            </w:r>
          </w:p>
        </w:tc>
        <w:tc>
          <w:tcPr>
            <w:tcW w:w="1052" w:type="pct"/>
            <w:tcBorders>
              <w:tl2br w:val="nil"/>
              <w:tr2bl w:val="nil"/>
            </w:tcBorders>
            <w:vAlign w:val="center"/>
          </w:tcPr>
          <w:p w14:paraId="2A01642A">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napToGrid/>
                <w:color w:val="auto"/>
                <w:sz w:val="24"/>
                <w:szCs w:val="24"/>
                <w:highlight w:val="none"/>
              </w:rPr>
            </w:pPr>
            <w:r>
              <w:rPr>
                <w:rFonts w:hint="eastAsia" w:ascii="宋体" w:hAnsi="宋体" w:eastAsia="宋体" w:cs="宋体"/>
                <w:b/>
                <w:snapToGrid/>
                <w:color w:val="auto"/>
                <w:sz w:val="24"/>
                <w:szCs w:val="24"/>
                <w:highlight w:val="none"/>
              </w:rPr>
              <w:t>项目属性</w:t>
            </w:r>
          </w:p>
        </w:tc>
        <w:tc>
          <w:tcPr>
            <w:tcW w:w="3592" w:type="pct"/>
            <w:tcBorders>
              <w:tl2br w:val="nil"/>
              <w:tr2bl w:val="nil"/>
            </w:tcBorders>
            <w:vAlign w:val="center"/>
          </w:tcPr>
          <w:p w14:paraId="1B3CF1D7">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sz w:val="24"/>
                <w:szCs w:val="24"/>
                <w:highlight w:val="none"/>
                <w:lang w:val="en-US" w:eastAsia="zh-CN"/>
              </w:rPr>
            </w:pPr>
            <w:r>
              <w:rPr>
                <w:rFonts w:hint="eastAsia" w:ascii="宋体" w:hAnsi="宋体" w:eastAsia="宋体" w:cs="宋体"/>
                <w:snapToGrid/>
                <w:color w:val="auto"/>
                <w:kern w:val="0"/>
                <w:sz w:val="24"/>
                <w:szCs w:val="24"/>
                <w:highlight w:val="none"/>
              </w:rPr>
              <w:t>工程</w:t>
            </w:r>
            <w:r>
              <w:rPr>
                <w:rFonts w:hint="eastAsia" w:ascii="宋体" w:hAnsi="宋体" w:eastAsia="宋体" w:cs="宋体"/>
                <w:snapToGrid/>
                <w:color w:val="auto"/>
                <w:sz w:val="24"/>
                <w:szCs w:val="24"/>
                <w:highlight w:val="none"/>
              </w:rPr>
              <w:t>类</w:t>
            </w:r>
          </w:p>
        </w:tc>
      </w:tr>
      <w:tr w14:paraId="02D580DC">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tcBorders>
              <w:tl2br w:val="nil"/>
              <w:tr2bl w:val="nil"/>
            </w:tcBorders>
            <w:vAlign w:val="center"/>
          </w:tcPr>
          <w:p w14:paraId="41074E37">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2</w:t>
            </w:r>
          </w:p>
        </w:tc>
        <w:tc>
          <w:tcPr>
            <w:tcW w:w="1052" w:type="pct"/>
            <w:tcBorders>
              <w:tl2br w:val="nil"/>
              <w:tr2bl w:val="nil"/>
            </w:tcBorders>
            <w:vAlign w:val="center"/>
          </w:tcPr>
          <w:p w14:paraId="76D7EE26">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napToGrid/>
                <w:color w:val="auto"/>
                <w:sz w:val="24"/>
                <w:szCs w:val="24"/>
                <w:highlight w:val="none"/>
              </w:rPr>
            </w:pPr>
            <w:r>
              <w:rPr>
                <w:rFonts w:hint="eastAsia" w:ascii="宋体" w:hAnsi="宋体" w:eastAsia="宋体" w:cs="宋体"/>
                <w:b/>
                <w:snapToGrid/>
                <w:color w:val="auto"/>
                <w:sz w:val="24"/>
                <w:szCs w:val="24"/>
                <w:highlight w:val="none"/>
              </w:rPr>
              <w:t>采购标的及其对应的中小企业划分标准所属行业</w:t>
            </w:r>
          </w:p>
        </w:tc>
        <w:tc>
          <w:tcPr>
            <w:tcW w:w="3592" w:type="pct"/>
            <w:tcBorders>
              <w:tl2br w:val="nil"/>
              <w:tr2bl w:val="nil"/>
            </w:tcBorders>
            <w:vAlign w:val="center"/>
          </w:tcPr>
          <w:p w14:paraId="35B51D58">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0"/>
                <w:sz w:val="24"/>
                <w:szCs w:val="24"/>
                <w:highlight w:val="none"/>
              </w:rPr>
            </w:pPr>
            <w:r>
              <w:rPr>
                <w:rFonts w:hint="eastAsia" w:ascii="宋体" w:hAnsi="宋体" w:eastAsia="宋体" w:cs="宋体"/>
                <w:snapToGrid/>
                <w:color w:val="auto"/>
                <w:kern w:val="0"/>
                <w:sz w:val="24"/>
                <w:szCs w:val="24"/>
                <w:highlight w:val="none"/>
              </w:rPr>
              <w:t>（1）标的：</w:t>
            </w:r>
            <w:r>
              <w:rPr>
                <w:rFonts w:hint="eastAsia" w:ascii="宋体" w:hAnsi="宋体" w:cs="宋体"/>
                <w:b/>
                <w:bCs/>
                <w:snapToGrid/>
                <w:color w:val="auto"/>
                <w:kern w:val="0"/>
                <w:sz w:val="24"/>
                <w:szCs w:val="24"/>
                <w:highlight w:val="none"/>
                <w:u w:val="single"/>
                <w:lang w:eastAsia="zh-CN"/>
              </w:rPr>
              <w:t>宁波经贸学校综合高中维修</w:t>
            </w:r>
            <w:r>
              <w:rPr>
                <w:rFonts w:hint="eastAsia" w:ascii="宋体" w:hAnsi="宋体" w:eastAsia="宋体" w:cs="宋体"/>
                <w:snapToGrid/>
                <w:color w:val="auto"/>
                <w:kern w:val="0"/>
                <w:sz w:val="24"/>
                <w:szCs w:val="24"/>
                <w:highlight w:val="none"/>
              </w:rPr>
              <w:t>，属于</w:t>
            </w:r>
            <w:r>
              <w:rPr>
                <w:rFonts w:hint="eastAsia" w:ascii="宋体" w:hAnsi="宋体" w:eastAsia="宋体" w:cs="宋体"/>
                <w:b/>
                <w:bCs/>
                <w:snapToGrid/>
                <w:color w:val="auto"/>
                <w:kern w:val="0"/>
                <w:sz w:val="24"/>
                <w:szCs w:val="24"/>
                <w:highlight w:val="none"/>
                <w:u w:val="single"/>
                <w:lang w:val="en-US" w:eastAsia="zh-CN"/>
              </w:rPr>
              <w:t>建筑业</w:t>
            </w:r>
            <w:r>
              <w:rPr>
                <w:rFonts w:hint="eastAsia" w:ascii="宋体" w:hAnsi="宋体" w:eastAsia="宋体" w:cs="宋体"/>
                <w:snapToGrid/>
                <w:color w:val="auto"/>
                <w:kern w:val="0"/>
                <w:sz w:val="24"/>
                <w:szCs w:val="24"/>
                <w:highlight w:val="none"/>
              </w:rPr>
              <w:t>行业；</w:t>
            </w:r>
          </w:p>
          <w:p w14:paraId="24F5AEE2">
            <w:pPr>
              <w:pageBreakBefore w:val="0"/>
              <w:widowControl w:val="0"/>
              <w:tabs>
                <w:tab w:val="left" w:pos="432"/>
              </w:tabs>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宋体" w:hAnsi="宋体" w:eastAsia="宋体" w:cs="宋体"/>
                <w:snapToGrid/>
                <w:color w:val="auto"/>
                <w:sz w:val="24"/>
                <w:szCs w:val="24"/>
                <w:highlight w:val="none"/>
                <w:lang w:val="en-US"/>
              </w:rPr>
            </w:pPr>
            <w:r>
              <w:rPr>
                <w:rFonts w:hint="eastAsia" w:ascii="宋体" w:hAnsi="宋体" w:eastAsia="宋体" w:cs="宋体"/>
                <w:snapToGrid/>
                <w:color w:val="auto"/>
                <w:sz w:val="24"/>
                <w:szCs w:val="24"/>
                <w:highlight w:val="none"/>
                <w:lang w:val="en-US" w:eastAsia="zh-CN"/>
              </w:rPr>
              <w:t>中小企业的划分标准依据《关于印发中小企业划型标准规定的通知》（工信部联企业〔2011〕300号）文件执行。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72D7904E">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tcBorders>
              <w:tl2br w:val="nil"/>
              <w:tr2bl w:val="nil"/>
            </w:tcBorders>
            <w:vAlign w:val="center"/>
          </w:tcPr>
          <w:p w14:paraId="10CF44D8">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3</w:t>
            </w:r>
          </w:p>
        </w:tc>
        <w:tc>
          <w:tcPr>
            <w:tcW w:w="1052" w:type="pct"/>
            <w:tcBorders>
              <w:tl2br w:val="nil"/>
              <w:tr2bl w:val="nil"/>
            </w:tcBorders>
            <w:vAlign w:val="center"/>
          </w:tcPr>
          <w:p w14:paraId="0F687611">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napToGrid/>
                <w:color w:val="auto"/>
                <w:sz w:val="24"/>
                <w:szCs w:val="24"/>
                <w:highlight w:val="none"/>
              </w:rPr>
            </w:pPr>
            <w:r>
              <w:rPr>
                <w:rFonts w:hint="eastAsia" w:ascii="宋体" w:hAnsi="宋体" w:eastAsia="宋体" w:cs="宋体"/>
                <w:b/>
                <w:snapToGrid/>
                <w:color w:val="auto"/>
                <w:sz w:val="24"/>
                <w:szCs w:val="24"/>
                <w:highlight w:val="none"/>
              </w:rPr>
              <w:t>是否允许采购进口产品</w:t>
            </w:r>
          </w:p>
        </w:tc>
        <w:tc>
          <w:tcPr>
            <w:tcW w:w="3592" w:type="pct"/>
            <w:tcBorders>
              <w:tl2br w:val="nil"/>
              <w:tr2bl w:val="nil"/>
            </w:tcBorders>
            <w:vAlign w:val="center"/>
          </w:tcPr>
          <w:p w14:paraId="5531F94C">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0"/>
                <w:sz w:val="24"/>
                <w:szCs w:val="24"/>
                <w:highlight w:val="none"/>
              </w:rPr>
            </w:pPr>
            <w:sdt>
              <w:sdtPr>
                <w:rPr>
                  <w:rFonts w:hint="eastAsia" w:ascii="宋体" w:hAnsi="宋体" w:eastAsia="宋体" w:cs="宋体"/>
                  <w:snapToGrid/>
                  <w:color w:val="auto"/>
                  <w:kern w:val="0"/>
                  <w:sz w:val="24"/>
                  <w:szCs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snapToGrid/>
                  <w:color w:val="auto"/>
                  <w:kern w:val="0"/>
                  <w:sz w:val="24"/>
                  <w:szCs w:val="24"/>
                  <w:highlight w:val="none"/>
                </w:rPr>
              </w:sdtEndPr>
              <w:sdtContent>
                <w:r>
                  <w:rPr>
                    <w:rFonts w:hint="eastAsia" w:ascii="宋体" w:hAnsi="宋体" w:eastAsia="宋体" w:cs="宋体"/>
                    <w:snapToGrid/>
                    <w:color w:val="auto"/>
                    <w:kern w:val="0"/>
                    <w:sz w:val="24"/>
                    <w:szCs w:val="24"/>
                    <w:highlight w:val="none"/>
                  </w:rPr>
                  <w:sym w:font="Wingdings" w:char="F0FE"/>
                </w:r>
              </w:sdtContent>
            </w:sdt>
            <w:r>
              <w:rPr>
                <w:rFonts w:hint="eastAsia" w:ascii="宋体" w:hAnsi="宋体" w:eastAsia="宋体" w:cs="宋体"/>
                <w:snapToGrid/>
                <w:color w:val="auto"/>
                <w:kern w:val="0"/>
                <w:sz w:val="24"/>
                <w:szCs w:val="24"/>
                <w:highlight w:val="none"/>
              </w:rPr>
              <w:t>本项目不允许采购进口产品。</w:t>
            </w:r>
          </w:p>
          <w:p w14:paraId="16209059">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sz w:val="24"/>
                <w:szCs w:val="24"/>
                <w:highlight w:val="none"/>
              </w:rPr>
            </w:pPr>
            <w:sdt>
              <w:sdtPr>
                <w:rPr>
                  <w:rFonts w:hint="eastAsia" w:ascii="宋体" w:hAnsi="宋体" w:eastAsia="宋体" w:cs="宋体"/>
                  <w:snapToGrid/>
                  <w:color w:val="auto"/>
                  <w:kern w:val="0"/>
                  <w:sz w:val="24"/>
                  <w:szCs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snapToGrid/>
                  <w:color w:val="auto"/>
                  <w:kern w:val="0"/>
                  <w:sz w:val="24"/>
                  <w:szCs w:val="24"/>
                  <w:highlight w:val="none"/>
                </w:rPr>
              </w:sdtEndPr>
              <w:sdtContent>
                <w:r>
                  <w:rPr>
                    <w:rFonts w:hint="eastAsia" w:ascii="宋体" w:hAnsi="宋体" w:eastAsia="宋体" w:cs="宋体"/>
                    <w:snapToGrid/>
                    <w:color w:val="auto"/>
                    <w:kern w:val="0"/>
                    <w:sz w:val="24"/>
                    <w:szCs w:val="24"/>
                    <w:highlight w:val="none"/>
                  </w:rPr>
                  <w:t>☐</w:t>
                </w:r>
              </w:sdtContent>
            </w:sdt>
            <w:r>
              <w:rPr>
                <w:rFonts w:hint="eastAsia" w:ascii="宋体" w:hAnsi="宋体" w:eastAsia="宋体" w:cs="宋体"/>
                <w:snapToGrid/>
                <w:color w:val="auto"/>
                <w:kern w:val="0"/>
                <w:sz w:val="24"/>
                <w:szCs w:val="24"/>
                <w:highlight w:val="none"/>
              </w:rPr>
              <w:t>可以就</w:t>
            </w:r>
            <w:r>
              <w:rPr>
                <w:rFonts w:hint="eastAsia" w:ascii="宋体" w:hAnsi="宋体" w:eastAsia="宋体" w:cs="宋体"/>
                <w:snapToGrid/>
                <w:color w:val="auto"/>
                <w:sz w:val="24"/>
                <w:szCs w:val="24"/>
                <w:highlight w:val="none"/>
                <w:u w:val="single"/>
                <w:lang w:val="en-US" w:eastAsia="zh-CN"/>
              </w:rPr>
              <w:t>/</w:t>
            </w:r>
            <w:r>
              <w:rPr>
                <w:rFonts w:hint="eastAsia" w:ascii="宋体" w:hAnsi="宋体" w:eastAsia="宋体" w:cs="宋体"/>
                <w:snapToGrid/>
                <w:color w:val="auto"/>
                <w:kern w:val="0"/>
                <w:sz w:val="24"/>
                <w:szCs w:val="24"/>
                <w:highlight w:val="none"/>
              </w:rPr>
              <w:t>采购进口产品。</w:t>
            </w:r>
          </w:p>
        </w:tc>
      </w:tr>
      <w:tr w14:paraId="46A54684">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tcBorders>
              <w:tl2br w:val="nil"/>
              <w:tr2bl w:val="nil"/>
            </w:tcBorders>
            <w:vAlign w:val="center"/>
          </w:tcPr>
          <w:p w14:paraId="7E42B2DF">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4</w:t>
            </w:r>
          </w:p>
        </w:tc>
        <w:tc>
          <w:tcPr>
            <w:tcW w:w="1052" w:type="pct"/>
            <w:tcBorders>
              <w:tl2br w:val="nil"/>
              <w:tr2bl w:val="nil"/>
            </w:tcBorders>
            <w:vAlign w:val="center"/>
          </w:tcPr>
          <w:p w14:paraId="660BEFA2">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napToGrid/>
                <w:color w:val="auto"/>
                <w:sz w:val="24"/>
                <w:szCs w:val="24"/>
                <w:highlight w:val="none"/>
              </w:rPr>
            </w:pPr>
            <w:r>
              <w:rPr>
                <w:rFonts w:hint="eastAsia" w:ascii="宋体" w:hAnsi="宋体" w:eastAsia="宋体" w:cs="宋体"/>
                <w:b/>
                <w:snapToGrid/>
                <w:color w:val="auto"/>
                <w:sz w:val="24"/>
                <w:szCs w:val="24"/>
                <w:highlight w:val="none"/>
              </w:rPr>
              <w:t>分包</w:t>
            </w:r>
          </w:p>
        </w:tc>
        <w:tc>
          <w:tcPr>
            <w:tcW w:w="3592" w:type="pct"/>
            <w:tcBorders>
              <w:tl2br w:val="nil"/>
              <w:tr2bl w:val="nil"/>
            </w:tcBorders>
            <w:vAlign w:val="center"/>
          </w:tcPr>
          <w:p w14:paraId="54D280BC">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sz w:val="24"/>
                <w:szCs w:val="24"/>
                <w:highlight w:val="none"/>
              </w:rPr>
            </w:pPr>
            <w:sdt>
              <w:sdtPr>
                <w:rPr>
                  <w:rFonts w:hint="eastAsia" w:ascii="宋体" w:hAnsi="宋体" w:eastAsia="宋体" w:cs="宋体"/>
                  <w:snapToGrid/>
                  <w:color w:val="auto"/>
                  <w:kern w:val="0"/>
                  <w:sz w:val="24"/>
                  <w:szCs w:val="24"/>
                  <w:highlight w:val="none"/>
                </w:rPr>
                <w:id w:val="-1477286927"/>
                <w14:checkbox>
                  <w14:checked w14:val="1"/>
                  <w14:checkedState w14:val="00FE" w14:font="Wingdings"/>
                  <w14:uncheckedState w14:val="2610" w14:font="MS Gothic"/>
                </w14:checkbox>
              </w:sdtPr>
              <w:sdtEndPr>
                <w:rPr>
                  <w:rFonts w:hint="eastAsia" w:ascii="宋体" w:hAnsi="宋体" w:eastAsia="宋体" w:cs="宋体"/>
                  <w:snapToGrid/>
                  <w:color w:val="auto"/>
                  <w:kern w:val="0"/>
                  <w:sz w:val="24"/>
                  <w:szCs w:val="24"/>
                  <w:highlight w:val="none"/>
                </w:rPr>
              </w:sdtEndPr>
              <w:sdtContent>
                <w:r>
                  <w:rPr>
                    <w:rFonts w:hint="eastAsia" w:ascii="Wingdings" w:hAnsi="Wingdings" w:eastAsia="宋体" w:cs="宋体"/>
                    <w:snapToGrid/>
                    <w:color w:val="auto"/>
                    <w:kern w:val="0"/>
                    <w:sz w:val="24"/>
                    <w:szCs w:val="24"/>
                    <w:highlight w:val="none"/>
                    <w:lang w:val="en-US" w:eastAsia="zh-CN" w:bidi="ar-SA"/>
                  </w:rPr>
                  <w:t>þ</w:t>
                </w:r>
              </w:sdtContent>
            </w:sdt>
            <w:r>
              <w:rPr>
                <w:rFonts w:hint="eastAsia" w:ascii="宋体" w:hAnsi="宋体" w:eastAsia="宋体" w:cs="宋体"/>
                <w:snapToGrid/>
                <w:color w:val="auto"/>
                <w:kern w:val="0"/>
                <w:sz w:val="24"/>
                <w:szCs w:val="24"/>
                <w:highlight w:val="none"/>
              </w:rPr>
              <w:t xml:space="preserve"> A</w:t>
            </w:r>
            <w:r>
              <w:rPr>
                <w:rFonts w:hint="eastAsia" w:ascii="宋体" w:hAnsi="宋体" w:eastAsia="宋体" w:cs="宋体"/>
                <w:snapToGrid/>
                <w:color w:val="auto"/>
                <w:sz w:val="24"/>
                <w:szCs w:val="24"/>
                <w:highlight w:val="none"/>
              </w:rPr>
              <w:t>同意将非主体、非关键性的工作分包。</w:t>
            </w:r>
          </w:p>
          <w:p w14:paraId="78C9ADAD">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sz w:val="24"/>
                <w:szCs w:val="24"/>
                <w:highlight w:val="none"/>
              </w:rPr>
            </w:pPr>
            <w:sdt>
              <w:sdtPr>
                <w:rPr>
                  <w:rFonts w:hint="eastAsia" w:ascii="宋体" w:hAnsi="宋体" w:eastAsia="宋体" w:cs="宋体"/>
                  <w:snapToGrid/>
                  <w:color w:val="auto"/>
                  <w:kern w:val="0"/>
                  <w:sz w:val="24"/>
                  <w:szCs w:val="24"/>
                  <w:highlight w:val="none"/>
                </w:rPr>
                <w:id w:val="-1276331357"/>
                <w14:checkbox>
                  <w14:checked w14:val="0"/>
                  <w14:checkedState w14:val="00FE" w14:font="Wingdings"/>
                  <w14:uncheckedState w14:val="2610" w14:font="MS Gothic"/>
                </w14:checkbox>
              </w:sdtPr>
              <w:sdtEndPr>
                <w:rPr>
                  <w:rFonts w:hint="eastAsia" w:ascii="宋体" w:hAnsi="宋体" w:eastAsia="宋体" w:cs="宋体"/>
                  <w:snapToGrid/>
                  <w:color w:val="auto"/>
                  <w:kern w:val="0"/>
                  <w:sz w:val="24"/>
                  <w:szCs w:val="24"/>
                  <w:highlight w:val="none"/>
                </w:rPr>
              </w:sdtEndPr>
              <w:sdtContent>
                <w:r>
                  <w:rPr>
                    <w:rFonts w:hint="eastAsia" w:ascii="宋体" w:hAnsi="宋体" w:eastAsia="宋体" w:cs="宋体"/>
                    <w:snapToGrid/>
                    <w:color w:val="auto"/>
                    <w:kern w:val="0"/>
                    <w:sz w:val="24"/>
                    <w:szCs w:val="24"/>
                    <w:highlight w:val="none"/>
                    <w:lang w:val="en-US" w:eastAsia="zh-CN" w:bidi="ar-SA"/>
                  </w:rPr>
                  <w:t>☐</w:t>
                </w:r>
              </w:sdtContent>
            </w:sdt>
            <w:r>
              <w:rPr>
                <w:rFonts w:hint="eastAsia" w:ascii="宋体" w:hAnsi="宋体" w:eastAsia="宋体" w:cs="宋体"/>
                <w:snapToGrid/>
                <w:color w:val="auto"/>
                <w:kern w:val="0"/>
                <w:sz w:val="24"/>
                <w:szCs w:val="24"/>
                <w:highlight w:val="none"/>
              </w:rPr>
              <w:t xml:space="preserve"> B</w:t>
            </w:r>
            <w:r>
              <w:rPr>
                <w:rFonts w:hint="eastAsia" w:ascii="宋体" w:hAnsi="宋体" w:eastAsia="宋体" w:cs="宋体"/>
                <w:snapToGrid/>
                <w:color w:val="auto"/>
                <w:sz w:val="24"/>
                <w:szCs w:val="24"/>
                <w:highlight w:val="none"/>
              </w:rPr>
              <w:t>不同意分包，具体理由：</w:t>
            </w:r>
            <w:r>
              <w:rPr>
                <w:rFonts w:hint="eastAsia" w:ascii="宋体" w:hAnsi="宋体" w:eastAsia="宋体" w:cs="宋体"/>
                <w:snapToGrid/>
                <w:color w:val="auto"/>
                <w:sz w:val="24"/>
                <w:szCs w:val="24"/>
                <w:highlight w:val="none"/>
                <w:u w:val="single"/>
                <w:lang w:val="en-US" w:eastAsia="zh-CN"/>
              </w:rPr>
              <w:t>/</w:t>
            </w:r>
            <w:r>
              <w:rPr>
                <w:rFonts w:hint="eastAsia" w:ascii="宋体" w:hAnsi="宋体" w:eastAsia="宋体" w:cs="宋体"/>
                <w:snapToGrid/>
                <w:color w:val="auto"/>
                <w:sz w:val="24"/>
                <w:szCs w:val="24"/>
                <w:highlight w:val="none"/>
              </w:rPr>
              <w:t>。</w:t>
            </w:r>
          </w:p>
          <w:p w14:paraId="4BEEF313">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注：不得限制大中型企业向小微企业合理分包。</w:t>
            </w:r>
          </w:p>
        </w:tc>
      </w:tr>
      <w:tr w14:paraId="452CEFA1">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tcBorders>
              <w:tl2br w:val="nil"/>
              <w:tr2bl w:val="nil"/>
            </w:tcBorders>
            <w:vAlign w:val="center"/>
          </w:tcPr>
          <w:p w14:paraId="35222460">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5</w:t>
            </w:r>
          </w:p>
        </w:tc>
        <w:tc>
          <w:tcPr>
            <w:tcW w:w="1052" w:type="pct"/>
            <w:tcBorders>
              <w:tl2br w:val="nil"/>
              <w:tr2bl w:val="nil"/>
            </w:tcBorders>
            <w:vAlign w:val="center"/>
          </w:tcPr>
          <w:p w14:paraId="22B78B11">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napToGrid/>
                <w:color w:val="auto"/>
                <w:sz w:val="24"/>
                <w:szCs w:val="24"/>
                <w:highlight w:val="none"/>
              </w:rPr>
            </w:pPr>
            <w:r>
              <w:rPr>
                <w:rFonts w:hint="eastAsia" w:ascii="宋体" w:hAnsi="宋体" w:eastAsia="宋体" w:cs="宋体"/>
                <w:b/>
                <w:snapToGrid/>
                <w:color w:val="auto"/>
                <w:sz w:val="24"/>
                <w:szCs w:val="24"/>
                <w:highlight w:val="none"/>
              </w:rPr>
              <w:t>磋商前答疑会或现场考察</w:t>
            </w:r>
          </w:p>
        </w:tc>
        <w:tc>
          <w:tcPr>
            <w:tcW w:w="3592" w:type="pct"/>
            <w:tcBorders>
              <w:tl2br w:val="nil"/>
              <w:tr2bl w:val="nil"/>
            </w:tcBorders>
            <w:vAlign w:val="center"/>
          </w:tcPr>
          <w:p w14:paraId="30522287">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sz w:val="24"/>
                <w:szCs w:val="24"/>
                <w:highlight w:val="none"/>
              </w:rPr>
            </w:pPr>
            <w:sdt>
              <w:sdtPr>
                <w:rPr>
                  <w:rFonts w:hint="eastAsia" w:ascii="宋体" w:hAnsi="宋体" w:eastAsia="宋体" w:cs="宋体"/>
                  <w:snapToGrid/>
                  <w:color w:val="auto"/>
                  <w:kern w:val="0"/>
                  <w:sz w:val="24"/>
                  <w:szCs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snapToGrid/>
                  <w:color w:val="auto"/>
                  <w:kern w:val="0"/>
                  <w:sz w:val="24"/>
                  <w:szCs w:val="24"/>
                  <w:highlight w:val="none"/>
                </w:rPr>
              </w:sdtEndPr>
              <w:sdtContent>
                <w:r>
                  <w:rPr>
                    <w:rFonts w:hint="eastAsia" w:ascii="Wingdings" w:hAnsi="Wingdings" w:eastAsia="宋体" w:cs="宋体"/>
                    <w:snapToGrid/>
                    <w:color w:val="auto"/>
                    <w:kern w:val="0"/>
                    <w:sz w:val="24"/>
                    <w:szCs w:val="24"/>
                    <w:highlight w:val="none"/>
                    <w:lang w:val="en-US" w:eastAsia="zh-CN" w:bidi="ar-SA"/>
                  </w:rPr>
                  <w:t>þ</w:t>
                </w:r>
              </w:sdtContent>
            </w:sdt>
            <w:r>
              <w:rPr>
                <w:rFonts w:hint="eastAsia" w:ascii="宋体" w:hAnsi="宋体" w:eastAsia="宋体" w:cs="宋体"/>
                <w:snapToGrid/>
                <w:color w:val="auto"/>
                <w:kern w:val="0"/>
                <w:sz w:val="24"/>
                <w:szCs w:val="24"/>
                <w:highlight w:val="none"/>
              </w:rPr>
              <w:t>A</w:t>
            </w:r>
            <w:r>
              <w:rPr>
                <w:rFonts w:hint="eastAsia" w:ascii="宋体" w:hAnsi="宋体" w:eastAsia="宋体" w:cs="宋体"/>
                <w:snapToGrid/>
                <w:color w:val="auto"/>
                <w:sz w:val="24"/>
                <w:szCs w:val="24"/>
                <w:highlight w:val="none"/>
              </w:rPr>
              <w:t>不组织。</w:t>
            </w:r>
            <w:r>
              <w:rPr>
                <w:rFonts w:hint="eastAsia" w:ascii="宋体" w:hAnsi="宋体" w:cs="宋体"/>
                <w:snapToGrid/>
                <w:color w:val="auto"/>
                <w:sz w:val="24"/>
                <w:szCs w:val="24"/>
                <w:highlight w:val="none"/>
                <w:lang w:val="en-US" w:eastAsia="zh-CN"/>
              </w:rPr>
              <w:t>本项目不统一组织现场考察</w:t>
            </w:r>
            <w:r>
              <w:rPr>
                <w:rFonts w:hint="eastAsia" w:ascii="宋体" w:hAnsi="宋体" w:eastAsia="宋体" w:cs="宋体"/>
                <w:snapToGrid/>
                <w:color w:val="auto"/>
                <w:sz w:val="24"/>
                <w:szCs w:val="24"/>
                <w:highlight w:val="none"/>
              </w:rPr>
              <w:t>，</w:t>
            </w:r>
            <w:r>
              <w:rPr>
                <w:rFonts w:hint="eastAsia" w:ascii="宋体" w:hAnsi="宋体" w:cs="宋体"/>
                <w:snapToGrid/>
                <w:color w:val="auto"/>
                <w:sz w:val="24"/>
                <w:szCs w:val="24"/>
                <w:highlight w:val="none"/>
                <w:lang w:val="en-US" w:eastAsia="zh-CN"/>
              </w:rPr>
              <w:t>供应商可自行前往现场考察。现场考察</w:t>
            </w:r>
            <w:r>
              <w:rPr>
                <w:rFonts w:hint="eastAsia" w:ascii="宋体" w:hAnsi="宋体" w:eastAsia="宋体" w:cs="宋体"/>
                <w:snapToGrid/>
                <w:color w:val="auto"/>
                <w:sz w:val="24"/>
                <w:szCs w:val="24"/>
                <w:highlight w:val="none"/>
              </w:rPr>
              <w:t>联系人：</w:t>
            </w:r>
            <w:r>
              <w:rPr>
                <w:rFonts w:hint="eastAsia" w:ascii="宋体" w:hAnsi="宋体" w:cs="宋体"/>
                <w:snapToGrid/>
                <w:color w:val="auto"/>
                <w:sz w:val="24"/>
                <w:szCs w:val="24"/>
                <w:highlight w:val="none"/>
                <w:u w:val="single"/>
                <w:lang w:val="en-US" w:eastAsia="zh-CN"/>
              </w:rPr>
              <w:t>宋老师</w:t>
            </w:r>
            <w:r>
              <w:rPr>
                <w:rFonts w:hint="eastAsia" w:ascii="宋体" w:hAnsi="宋体" w:eastAsia="宋体" w:cs="宋体"/>
                <w:snapToGrid/>
                <w:color w:val="auto"/>
                <w:sz w:val="24"/>
                <w:szCs w:val="24"/>
                <w:highlight w:val="none"/>
              </w:rPr>
              <w:t>，联系方式：</w:t>
            </w:r>
            <w:r>
              <w:rPr>
                <w:rFonts w:hint="eastAsia" w:ascii="宋体" w:hAnsi="宋体" w:cs="宋体"/>
                <w:snapToGrid/>
                <w:color w:val="auto"/>
                <w:sz w:val="24"/>
                <w:szCs w:val="24"/>
                <w:highlight w:val="none"/>
                <w:u w:val="single"/>
                <w:lang w:val="en-US" w:eastAsia="zh-CN"/>
              </w:rPr>
              <w:t>0574-83060082</w:t>
            </w:r>
          </w:p>
          <w:p w14:paraId="04A56066">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sz w:val="24"/>
                <w:szCs w:val="24"/>
                <w:highlight w:val="none"/>
              </w:rPr>
            </w:pPr>
            <w:sdt>
              <w:sdtPr>
                <w:rPr>
                  <w:rFonts w:hint="eastAsia" w:ascii="宋体" w:hAnsi="宋体" w:eastAsia="宋体" w:cs="宋体"/>
                  <w:snapToGrid/>
                  <w:color w:val="auto"/>
                  <w:kern w:val="0"/>
                  <w:sz w:val="24"/>
                  <w:szCs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snapToGrid/>
                  <w:color w:val="auto"/>
                  <w:kern w:val="0"/>
                  <w:sz w:val="24"/>
                  <w:szCs w:val="24"/>
                  <w:highlight w:val="none"/>
                </w:rPr>
              </w:sdtEndPr>
              <w:sdtContent>
                <w:r>
                  <w:rPr>
                    <w:rFonts w:hint="eastAsia" w:ascii="MS Gothic" w:hAnsi="MS Gothic" w:eastAsia="宋体" w:cs="宋体"/>
                    <w:snapToGrid/>
                    <w:color w:val="auto"/>
                    <w:kern w:val="0"/>
                    <w:sz w:val="24"/>
                    <w:szCs w:val="24"/>
                    <w:highlight w:val="none"/>
                    <w:lang w:val="en-US" w:eastAsia="zh-CN" w:bidi="ar-SA"/>
                  </w:rPr>
                  <w:t>☐</w:t>
                </w:r>
              </w:sdtContent>
            </w:sdt>
            <w:r>
              <w:rPr>
                <w:rFonts w:hint="eastAsia" w:ascii="宋体" w:hAnsi="宋体" w:eastAsia="宋体" w:cs="宋体"/>
                <w:snapToGrid/>
                <w:color w:val="auto"/>
                <w:kern w:val="0"/>
                <w:sz w:val="24"/>
                <w:szCs w:val="24"/>
                <w:highlight w:val="none"/>
              </w:rPr>
              <w:t>B组织</w:t>
            </w:r>
            <w:r>
              <w:rPr>
                <w:rFonts w:hint="eastAsia" w:ascii="宋体" w:hAnsi="宋体" w:eastAsia="宋体" w:cs="宋体"/>
                <w:snapToGrid/>
                <w:color w:val="auto"/>
                <w:sz w:val="24"/>
                <w:szCs w:val="24"/>
                <w:highlight w:val="none"/>
              </w:rPr>
              <w:t>。</w:t>
            </w:r>
          </w:p>
        </w:tc>
      </w:tr>
      <w:tr w14:paraId="1D7B7867">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tcBorders>
              <w:tl2br w:val="nil"/>
              <w:tr2bl w:val="nil"/>
            </w:tcBorders>
            <w:vAlign w:val="center"/>
          </w:tcPr>
          <w:p w14:paraId="6D7FDC57">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6</w:t>
            </w:r>
          </w:p>
        </w:tc>
        <w:tc>
          <w:tcPr>
            <w:tcW w:w="1052" w:type="pct"/>
            <w:tcBorders>
              <w:tl2br w:val="nil"/>
              <w:tr2bl w:val="nil"/>
            </w:tcBorders>
            <w:vAlign w:val="center"/>
          </w:tcPr>
          <w:p w14:paraId="2E081C7E">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napToGrid/>
                <w:color w:val="auto"/>
                <w:sz w:val="24"/>
                <w:szCs w:val="24"/>
                <w:highlight w:val="none"/>
              </w:rPr>
            </w:pPr>
            <w:r>
              <w:rPr>
                <w:rFonts w:hint="eastAsia" w:ascii="宋体" w:hAnsi="宋体" w:eastAsia="宋体" w:cs="宋体"/>
                <w:b/>
                <w:snapToGrid/>
                <w:color w:val="auto"/>
                <w:sz w:val="24"/>
                <w:szCs w:val="24"/>
                <w:highlight w:val="none"/>
              </w:rPr>
              <w:t>样品提供</w:t>
            </w:r>
          </w:p>
        </w:tc>
        <w:tc>
          <w:tcPr>
            <w:tcW w:w="3592" w:type="pct"/>
            <w:tcBorders>
              <w:tl2br w:val="nil"/>
              <w:tr2bl w:val="nil"/>
            </w:tcBorders>
            <w:vAlign w:val="center"/>
          </w:tcPr>
          <w:p w14:paraId="000A862E">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sz w:val="24"/>
                <w:szCs w:val="24"/>
                <w:highlight w:val="none"/>
              </w:rPr>
            </w:pPr>
            <w:sdt>
              <w:sdtPr>
                <w:rPr>
                  <w:rFonts w:hint="eastAsia" w:ascii="宋体" w:hAnsi="宋体" w:eastAsia="宋体" w:cs="宋体"/>
                  <w:snapToGrid/>
                  <w:color w:val="auto"/>
                  <w:kern w:val="0"/>
                  <w:sz w:val="24"/>
                  <w:szCs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snapToGrid/>
                  <w:color w:val="auto"/>
                  <w:kern w:val="0"/>
                  <w:sz w:val="24"/>
                  <w:szCs w:val="24"/>
                  <w:highlight w:val="none"/>
                </w:rPr>
              </w:sdtEndPr>
              <w:sdtContent>
                <w:r>
                  <w:rPr>
                    <w:rFonts w:hint="eastAsia" w:ascii="Wingdings" w:hAnsi="Wingdings" w:eastAsia="宋体" w:cs="宋体"/>
                    <w:snapToGrid/>
                    <w:color w:val="auto"/>
                    <w:kern w:val="0"/>
                    <w:sz w:val="24"/>
                    <w:szCs w:val="24"/>
                    <w:highlight w:val="none"/>
                    <w:lang w:val="en-US" w:eastAsia="zh-CN" w:bidi="ar-SA"/>
                  </w:rPr>
                  <w:t>þ</w:t>
                </w:r>
              </w:sdtContent>
            </w:sdt>
            <w:r>
              <w:rPr>
                <w:rFonts w:hint="eastAsia" w:ascii="宋体" w:hAnsi="宋体" w:eastAsia="宋体" w:cs="宋体"/>
                <w:snapToGrid/>
                <w:color w:val="auto"/>
                <w:kern w:val="0"/>
                <w:sz w:val="24"/>
                <w:szCs w:val="24"/>
                <w:highlight w:val="none"/>
              </w:rPr>
              <w:t>A</w:t>
            </w:r>
            <w:r>
              <w:rPr>
                <w:rFonts w:hint="eastAsia" w:ascii="宋体" w:hAnsi="宋体" w:eastAsia="宋体" w:cs="宋体"/>
                <w:snapToGrid/>
                <w:color w:val="auto"/>
                <w:sz w:val="24"/>
                <w:szCs w:val="24"/>
                <w:highlight w:val="none"/>
              </w:rPr>
              <w:t>不要求提供。</w:t>
            </w:r>
          </w:p>
          <w:p w14:paraId="1BB34EF5">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0"/>
                <w:sz w:val="24"/>
                <w:szCs w:val="24"/>
                <w:highlight w:val="none"/>
              </w:rPr>
            </w:pPr>
            <w:sdt>
              <w:sdtPr>
                <w:rPr>
                  <w:rFonts w:hint="eastAsia" w:ascii="宋体" w:hAnsi="宋体" w:eastAsia="宋体" w:cs="宋体"/>
                  <w:snapToGrid/>
                  <w:color w:val="auto"/>
                  <w:kern w:val="0"/>
                  <w:sz w:val="24"/>
                  <w:szCs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snapToGrid/>
                  <w:color w:val="auto"/>
                  <w:kern w:val="0"/>
                  <w:sz w:val="24"/>
                  <w:szCs w:val="24"/>
                  <w:highlight w:val="none"/>
                </w:rPr>
              </w:sdtEndPr>
              <w:sdtContent>
                <w:r>
                  <w:rPr>
                    <w:rFonts w:hint="eastAsia" w:ascii="宋体" w:hAnsi="宋体" w:eastAsia="宋体" w:cs="宋体"/>
                    <w:snapToGrid/>
                    <w:color w:val="auto"/>
                    <w:kern w:val="0"/>
                    <w:sz w:val="24"/>
                    <w:szCs w:val="24"/>
                    <w:highlight w:val="none"/>
                  </w:rPr>
                  <w:t>☐</w:t>
                </w:r>
              </w:sdtContent>
            </w:sdt>
            <w:r>
              <w:rPr>
                <w:rFonts w:hint="eastAsia" w:ascii="宋体" w:hAnsi="宋体" w:eastAsia="宋体" w:cs="宋体"/>
                <w:snapToGrid/>
                <w:color w:val="auto"/>
                <w:kern w:val="0"/>
                <w:sz w:val="24"/>
                <w:szCs w:val="24"/>
                <w:highlight w:val="none"/>
              </w:rPr>
              <w:t>B要求提供，</w:t>
            </w:r>
          </w:p>
          <w:p w14:paraId="3F5DC63D">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0"/>
                <w:sz w:val="24"/>
                <w:szCs w:val="24"/>
                <w:highlight w:val="none"/>
              </w:rPr>
            </w:pPr>
            <w:r>
              <w:rPr>
                <w:rFonts w:hint="eastAsia" w:ascii="宋体" w:hAnsi="宋体" w:eastAsia="宋体" w:cs="宋体"/>
                <w:snapToGrid/>
                <w:color w:val="auto"/>
                <w:kern w:val="0"/>
                <w:sz w:val="24"/>
                <w:szCs w:val="24"/>
                <w:highlight w:val="none"/>
              </w:rPr>
              <w:t>（1）</w:t>
            </w:r>
            <w:r>
              <w:rPr>
                <w:rFonts w:hint="eastAsia" w:ascii="宋体" w:hAnsi="宋体" w:eastAsia="宋体" w:cs="宋体"/>
                <w:snapToGrid/>
                <w:color w:val="auto"/>
                <w:kern w:val="28"/>
                <w:sz w:val="24"/>
                <w:szCs w:val="24"/>
                <w:highlight w:val="none"/>
              </w:rPr>
              <w:t>样品：</w:t>
            </w:r>
            <w:r>
              <w:rPr>
                <w:rFonts w:hint="eastAsia" w:ascii="宋体" w:hAnsi="宋体" w:eastAsia="宋体" w:cs="宋体"/>
                <w:snapToGrid/>
                <w:color w:val="auto"/>
                <w:sz w:val="24"/>
                <w:szCs w:val="24"/>
                <w:highlight w:val="none"/>
                <w:u w:val="single"/>
                <w:lang w:val="en-US" w:eastAsia="zh-CN"/>
              </w:rPr>
              <w:t>/</w:t>
            </w:r>
            <w:r>
              <w:rPr>
                <w:rFonts w:hint="eastAsia" w:ascii="宋体" w:hAnsi="宋体" w:eastAsia="宋体" w:cs="宋体"/>
                <w:snapToGrid/>
                <w:color w:val="auto"/>
                <w:kern w:val="0"/>
                <w:sz w:val="24"/>
                <w:szCs w:val="24"/>
                <w:highlight w:val="none"/>
              </w:rPr>
              <w:t>；</w:t>
            </w:r>
          </w:p>
          <w:p w14:paraId="14188231">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0"/>
                <w:sz w:val="24"/>
                <w:szCs w:val="24"/>
                <w:highlight w:val="none"/>
              </w:rPr>
            </w:pPr>
            <w:r>
              <w:rPr>
                <w:rFonts w:hint="eastAsia" w:ascii="宋体" w:hAnsi="宋体" w:eastAsia="宋体" w:cs="宋体"/>
                <w:snapToGrid/>
                <w:color w:val="auto"/>
                <w:kern w:val="0"/>
                <w:sz w:val="24"/>
                <w:szCs w:val="24"/>
                <w:highlight w:val="none"/>
              </w:rPr>
              <w:t>（2）</w:t>
            </w:r>
            <w:r>
              <w:rPr>
                <w:rFonts w:hint="eastAsia" w:ascii="宋体" w:hAnsi="宋体" w:eastAsia="宋体" w:cs="宋体"/>
                <w:snapToGrid/>
                <w:color w:val="auto"/>
                <w:kern w:val="28"/>
                <w:sz w:val="24"/>
                <w:szCs w:val="24"/>
                <w:highlight w:val="none"/>
              </w:rPr>
              <w:t>样品制作的标准和要求：</w:t>
            </w:r>
            <w:r>
              <w:rPr>
                <w:rFonts w:hint="eastAsia" w:ascii="宋体" w:hAnsi="宋体" w:eastAsia="宋体" w:cs="宋体"/>
                <w:snapToGrid/>
                <w:color w:val="auto"/>
                <w:sz w:val="24"/>
                <w:szCs w:val="24"/>
                <w:highlight w:val="none"/>
                <w:u w:val="single"/>
                <w:lang w:val="en-US" w:eastAsia="zh-CN"/>
              </w:rPr>
              <w:t>/</w:t>
            </w:r>
            <w:r>
              <w:rPr>
                <w:rFonts w:hint="eastAsia" w:ascii="宋体" w:hAnsi="宋体" w:eastAsia="宋体" w:cs="宋体"/>
                <w:snapToGrid/>
                <w:color w:val="auto"/>
                <w:kern w:val="0"/>
                <w:sz w:val="24"/>
                <w:szCs w:val="24"/>
                <w:highlight w:val="none"/>
              </w:rPr>
              <w:t>；</w:t>
            </w:r>
          </w:p>
          <w:p w14:paraId="60227118">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0"/>
                <w:sz w:val="24"/>
                <w:szCs w:val="24"/>
                <w:highlight w:val="none"/>
              </w:rPr>
            </w:pPr>
            <w:r>
              <w:rPr>
                <w:rFonts w:hint="eastAsia" w:ascii="宋体" w:hAnsi="宋体" w:eastAsia="宋体" w:cs="宋体"/>
                <w:snapToGrid/>
                <w:color w:val="auto"/>
                <w:kern w:val="0"/>
                <w:sz w:val="24"/>
                <w:szCs w:val="24"/>
                <w:highlight w:val="none"/>
              </w:rPr>
              <w:t>（3）样品的评审方法以及评审标准</w:t>
            </w:r>
            <w:r>
              <w:rPr>
                <w:rFonts w:hint="eastAsia" w:ascii="宋体" w:hAnsi="宋体" w:eastAsia="宋体" w:cs="宋体"/>
                <w:snapToGrid/>
                <w:color w:val="auto"/>
                <w:kern w:val="28"/>
                <w:sz w:val="24"/>
                <w:szCs w:val="24"/>
                <w:highlight w:val="none"/>
              </w:rPr>
              <w:t>：详见</w:t>
            </w:r>
            <w:r>
              <w:rPr>
                <w:rFonts w:hint="eastAsia" w:ascii="宋体" w:hAnsi="宋体" w:eastAsia="宋体" w:cs="宋体"/>
                <w:snapToGrid/>
                <w:color w:val="auto"/>
                <w:sz w:val="24"/>
                <w:szCs w:val="24"/>
                <w:highlight w:val="none"/>
                <w:u w:val="single"/>
                <w:lang w:val="en-US" w:eastAsia="zh-CN"/>
              </w:rPr>
              <w:t>/</w:t>
            </w:r>
            <w:r>
              <w:rPr>
                <w:rFonts w:hint="eastAsia" w:ascii="宋体" w:hAnsi="宋体" w:eastAsia="宋体" w:cs="宋体"/>
                <w:snapToGrid/>
                <w:color w:val="auto"/>
                <w:kern w:val="0"/>
                <w:sz w:val="24"/>
                <w:szCs w:val="24"/>
                <w:highlight w:val="none"/>
              </w:rPr>
              <w:t>；</w:t>
            </w:r>
          </w:p>
          <w:p w14:paraId="0365B9D8">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0"/>
                <w:sz w:val="24"/>
                <w:szCs w:val="24"/>
                <w:highlight w:val="none"/>
              </w:rPr>
            </w:pPr>
            <w:r>
              <w:rPr>
                <w:rFonts w:hint="eastAsia" w:ascii="宋体" w:hAnsi="宋体" w:eastAsia="宋体" w:cs="宋体"/>
                <w:snapToGrid/>
                <w:color w:val="auto"/>
                <w:kern w:val="0"/>
                <w:sz w:val="24"/>
                <w:szCs w:val="24"/>
                <w:highlight w:val="none"/>
              </w:rPr>
              <w:t>（4）是否需要随样品提交检测报告：</w:t>
            </w:r>
            <w:sdt>
              <w:sdtPr>
                <w:rPr>
                  <w:rFonts w:hint="eastAsia" w:ascii="宋体" w:hAnsi="宋体" w:eastAsia="宋体" w:cs="宋体"/>
                  <w:snapToGrid/>
                  <w:color w:val="auto"/>
                  <w:kern w:val="0"/>
                  <w:sz w:val="24"/>
                  <w:szCs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snapToGrid/>
                  <w:color w:val="auto"/>
                  <w:kern w:val="0"/>
                  <w:sz w:val="24"/>
                  <w:szCs w:val="24"/>
                  <w:highlight w:val="none"/>
                </w:rPr>
              </w:sdtEndPr>
              <w:sdtContent>
                <w:r>
                  <w:rPr>
                    <w:rFonts w:hint="eastAsia" w:ascii="宋体" w:hAnsi="宋体" w:eastAsia="宋体" w:cs="宋体"/>
                    <w:snapToGrid/>
                    <w:color w:val="auto"/>
                    <w:kern w:val="0"/>
                    <w:sz w:val="24"/>
                    <w:szCs w:val="24"/>
                    <w:highlight w:val="none"/>
                  </w:rPr>
                  <w:t>☐</w:t>
                </w:r>
              </w:sdtContent>
            </w:sdt>
            <w:r>
              <w:rPr>
                <w:rFonts w:hint="eastAsia" w:ascii="宋体" w:hAnsi="宋体" w:eastAsia="宋体" w:cs="宋体"/>
                <w:snapToGrid/>
                <w:color w:val="auto"/>
                <w:kern w:val="0"/>
                <w:sz w:val="24"/>
                <w:szCs w:val="24"/>
                <w:highlight w:val="none"/>
              </w:rPr>
              <w:t>否；</w:t>
            </w:r>
            <w:sdt>
              <w:sdtPr>
                <w:rPr>
                  <w:rFonts w:hint="eastAsia" w:ascii="宋体" w:hAnsi="宋体" w:eastAsia="宋体" w:cs="宋体"/>
                  <w:snapToGrid/>
                  <w:color w:val="auto"/>
                  <w:kern w:val="0"/>
                  <w:sz w:val="24"/>
                  <w:szCs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snapToGrid/>
                  <w:color w:val="auto"/>
                  <w:kern w:val="0"/>
                  <w:sz w:val="24"/>
                  <w:szCs w:val="24"/>
                  <w:highlight w:val="none"/>
                </w:rPr>
              </w:sdtEndPr>
              <w:sdtContent>
                <w:r>
                  <w:rPr>
                    <w:rFonts w:hint="eastAsia" w:ascii="宋体" w:hAnsi="宋体" w:eastAsia="宋体" w:cs="宋体"/>
                    <w:snapToGrid/>
                    <w:color w:val="auto"/>
                    <w:kern w:val="0"/>
                    <w:sz w:val="24"/>
                    <w:szCs w:val="24"/>
                    <w:highlight w:val="none"/>
                  </w:rPr>
                  <w:t>☐</w:t>
                </w:r>
              </w:sdtContent>
            </w:sdt>
            <w:r>
              <w:rPr>
                <w:rFonts w:hint="eastAsia" w:ascii="宋体" w:hAnsi="宋体" w:eastAsia="宋体" w:cs="宋体"/>
                <w:snapToGrid/>
                <w:color w:val="auto"/>
                <w:kern w:val="0"/>
                <w:sz w:val="24"/>
                <w:szCs w:val="24"/>
                <w:highlight w:val="none"/>
              </w:rPr>
              <w:t>是，检测机构的要求</w:t>
            </w:r>
            <w:r>
              <w:rPr>
                <w:rFonts w:hint="eastAsia" w:ascii="宋体" w:hAnsi="宋体" w:eastAsia="宋体" w:cs="宋体"/>
                <w:snapToGrid/>
                <w:color w:val="auto"/>
                <w:sz w:val="24"/>
                <w:szCs w:val="24"/>
                <w:highlight w:val="none"/>
              </w:rPr>
              <w:t>：</w:t>
            </w:r>
            <w:r>
              <w:rPr>
                <w:rFonts w:hint="eastAsia" w:ascii="宋体" w:hAnsi="宋体" w:eastAsia="宋体" w:cs="宋体"/>
                <w:snapToGrid/>
                <w:color w:val="auto"/>
                <w:sz w:val="24"/>
                <w:szCs w:val="24"/>
                <w:highlight w:val="none"/>
                <w:u w:val="single"/>
                <w:lang w:val="en-US" w:eastAsia="zh-CN"/>
              </w:rPr>
              <w:t>/</w:t>
            </w:r>
            <w:r>
              <w:rPr>
                <w:rFonts w:hint="eastAsia" w:ascii="宋体" w:hAnsi="宋体" w:eastAsia="宋体" w:cs="宋体"/>
                <w:snapToGrid/>
                <w:color w:val="auto"/>
                <w:kern w:val="0"/>
                <w:sz w:val="24"/>
                <w:szCs w:val="24"/>
                <w:highlight w:val="none"/>
              </w:rPr>
              <w:t>；检测内容</w:t>
            </w:r>
            <w:r>
              <w:rPr>
                <w:rFonts w:hint="eastAsia" w:ascii="宋体" w:hAnsi="宋体" w:eastAsia="宋体" w:cs="宋体"/>
                <w:snapToGrid/>
                <w:color w:val="auto"/>
                <w:sz w:val="24"/>
                <w:szCs w:val="24"/>
                <w:highlight w:val="none"/>
              </w:rPr>
              <w:t>：</w:t>
            </w:r>
            <w:r>
              <w:rPr>
                <w:rFonts w:hint="eastAsia" w:ascii="宋体" w:hAnsi="宋体" w:eastAsia="宋体" w:cs="宋体"/>
                <w:snapToGrid/>
                <w:color w:val="auto"/>
                <w:sz w:val="24"/>
                <w:szCs w:val="24"/>
                <w:highlight w:val="none"/>
                <w:u w:val="single"/>
                <w:lang w:val="en-US" w:eastAsia="zh-CN"/>
              </w:rPr>
              <w:t>/</w:t>
            </w:r>
            <w:r>
              <w:rPr>
                <w:rFonts w:hint="eastAsia" w:ascii="宋体" w:hAnsi="宋体" w:eastAsia="宋体" w:cs="宋体"/>
                <w:snapToGrid/>
                <w:color w:val="auto"/>
                <w:kern w:val="0"/>
                <w:sz w:val="24"/>
                <w:szCs w:val="24"/>
                <w:highlight w:val="none"/>
              </w:rPr>
              <w:t>。</w:t>
            </w:r>
          </w:p>
          <w:p w14:paraId="2833E3F3">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（5）提供样品的时间：</w:t>
            </w:r>
            <w:r>
              <w:rPr>
                <w:rFonts w:hint="eastAsia" w:ascii="宋体" w:hAnsi="宋体" w:eastAsia="宋体" w:cs="宋体"/>
                <w:snapToGrid/>
                <w:color w:val="auto"/>
                <w:sz w:val="24"/>
                <w:szCs w:val="24"/>
                <w:highlight w:val="none"/>
                <w:u w:val="single"/>
                <w:lang w:val="en-US" w:eastAsia="zh-CN"/>
              </w:rPr>
              <w:t>/</w:t>
            </w:r>
            <w:r>
              <w:rPr>
                <w:rFonts w:hint="eastAsia" w:ascii="宋体" w:hAnsi="宋体" w:eastAsia="宋体" w:cs="宋体"/>
                <w:snapToGrid/>
                <w:color w:val="auto"/>
                <w:kern w:val="0"/>
                <w:sz w:val="24"/>
                <w:szCs w:val="24"/>
                <w:highlight w:val="none"/>
              </w:rPr>
              <w:t>；地点：</w:t>
            </w:r>
            <w:r>
              <w:rPr>
                <w:rFonts w:hint="eastAsia" w:ascii="宋体" w:hAnsi="宋体" w:eastAsia="宋体" w:cs="宋体"/>
                <w:snapToGrid/>
                <w:color w:val="auto"/>
                <w:sz w:val="24"/>
                <w:szCs w:val="24"/>
                <w:highlight w:val="none"/>
                <w:u w:val="single"/>
                <w:lang w:val="en-US" w:eastAsia="zh-CN"/>
              </w:rPr>
              <w:t>/</w:t>
            </w:r>
            <w:r>
              <w:rPr>
                <w:rFonts w:hint="eastAsia" w:ascii="宋体" w:hAnsi="宋体" w:eastAsia="宋体" w:cs="宋体"/>
                <w:snapToGrid/>
                <w:color w:val="auto"/>
                <w:kern w:val="0"/>
                <w:sz w:val="24"/>
                <w:szCs w:val="24"/>
                <w:highlight w:val="none"/>
              </w:rPr>
              <w:t>；联系人</w:t>
            </w:r>
            <w:r>
              <w:rPr>
                <w:rFonts w:hint="eastAsia" w:ascii="宋体" w:hAnsi="宋体" w:eastAsia="宋体" w:cs="宋体"/>
                <w:snapToGrid/>
                <w:color w:val="auto"/>
                <w:sz w:val="24"/>
                <w:szCs w:val="24"/>
                <w:highlight w:val="none"/>
              </w:rPr>
              <w:t>：</w:t>
            </w:r>
            <w:r>
              <w:rPr>
                <w:rFonts w:hint="eastAsia" w:ascii="宋体" w:hAnsi="宋体" w:eastAsia="宋体" w:cs="宋体"/>
                <w:snapToGrid/>
                <w:color w:val="auto"/>
                <w:sz w:val="24"/>
                <w:szCs w:val="24"/>
                <w:highlight w:val="none"/>
                <w:u w:val="single"/>
                <w:lang w:val="en-US" w:eastAsia="zh-CN"/>
              </w:rPr>
              <w:t>/</w:t>
            </w:r>
            <w:r>
              <w:rPr>
                <w:rFonts w:hint="eastAsia" w:ascii="宋体" w:hAnsi="宋体" w:eastAsia="宋体" w:cs="宋体"/>
                <w:snapToGrid/>
                <w:color w:val="auto"/>
                <w:sz w:val="24"/>
                <w:szCs w:val="24"/>
                <w:highlight w:val="none"/>
              </w:rPr>
              <w:t>，</w:t>
            </w:r>
            <w:r>
              <w:rPr>
                <w:rFonts w:hint="eastAsia" w:ascii="宋体" w:hAnsi="宋体" w:eastAsia="宋体" w:cs="宋体"/>
                <w:snapToGrid/>
                <w:color w:val="auto"/>
                <w:kern w:val="28"/>
                <w:sz w:val="24"/>
                <w:szCs w:val="24"/>
                <w:highlight w:val="none"/>
              </w:rPr>
              <w:t>联系电话：</w:t>
            </w:r>
            <w:r>
              <w:rPr>
                <w:rFonts w:hint="eastAsia" w:ascii="宋体" w:hAnsi="宋体" w:eastAsia="宋体" w:cs="宋体"/>
                <w:snapToGrid/>
                <w:color w:val="auto"/>
                <w:sz w:val="24"/>
                <w:szCs w:val="24"/>
                <w:highlight w:val="none"/>
                <w:u w:val="single"/>
                <w:lang w:val="en-US" w:eastAsia="zh-CN"/>
              </w:rPr>
              <w:t>/</w:t>
            </w:r>
            <w:r>
              <w:rPr>
                <w:rFonts w:hint="eastAsia" w:ascii="宋体" w:hAnsi="宋体" w:eastAsia="宋体" w:cs="宋体"/>
                <w:snapToGrid/>
                <w:color w:val="auto"/>
                <w:sz w:val="24"/>
                <w:szCs w:val="24"/>
                <w:highlight w:val="none"/>
              </w:rPr>
              <w:t>。请供应商在上述时间内提供样品并按规定位置安装完毕。超过截止时间的，采购人或采购代理机构将不予接收，并将清场并封闭样品现场。</w:t>
            </w:r>
          </w:p>
          <w:p w14:paraId="4FDBC107">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（6）采购活动结束后，对于未成交供应商提供的样品，采购人、</w:t>
            </w:r>
            <w:r>
              <w:rPr>
                <w:rFonts w:hint="eastAsia" w:ascii="宋体" w:hAnsi="宋体" w:eastAsia="宋体" w:cs="宋体"/>
                <w:snapToGrid/>
                <w:color w:val="auto"/>
                <w:sz w:val="24"/>
                <w:szCs w:val="24"/>
                <w:highlight w:val="none"/>
                <w:lang w:eastAsia="zh-CN"/>
              </w:rPr>
              <w:t>采购代理机构</w:t>
            </w:r>
            <w:r>
              <w:rPr>
                <w:rFonts w:hint="eastAsia" w:ascii="宋体" w:hAnsi="宋体" w:eastAsia="宋体" w:cs="宋体"/>
                <w:snapToGrid/>
                <w:color w:val="auto"/>
                <w:sz w:val="24"/>
                <w:szCs w:val="24"/>
                <w:highlight w:val="none"/>
              </w:rPr>
              <w:t>将通知未成交供应商在规定的时间内取回，逾期未取回的，采购人、</w:t>
            </w:r>
            <w:r>
              <w:rPr>
                <w:rFonts w:hint="eastAsia" w:ascii="宋体" w:hAnsi="宋体" w:eastAsia="宋体" w:cs="宋体"/>
                <w:snapToGrid/>
                <w:color w:val="auto"/>
                <w:sz w:val="24"/>
                <w:szCs w:val="24"/>
                <w:highlight w:val="none"/>
                <w:lang w:eastAsia="zh-CN"/>
              </w:rPr>
              <w:t>采购代理机构</w:t>
            </w:r>
            <w:r>
              <w:rPr>
                <w:rFonts w:hint="eastAsia" w:ascii="宋体" w:hAnsi="宋体" w:eastAsia="宋体" w:cs="宋体"/>
                <w:snapToGrid/>
                <w:color w:val="auto"/>
                <w:sz w:val="24"/>
                <w:szCs w:val="24"/>
                <w:highlight w:val="none"/>
              </w:rPr>
              <w:t>不负保管义务；对于成交供应商提供的样品，采购人将进行保管、封存，并作为履约验收的参考。</w:t>
            </w:r>
          </w:p>
          <w:p w14:paraId="6C6D1BBE">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snapToGrid/>
                <w:color w:val="auto"/>
                <w:sz w:val="24"/>
                <w:szCs w:val="24"/>
                <w:highlight w:val="none"/>
              </w:rPr>
            </w:pPr>
            <w:r>
              <w:rPr>
                <w:rFonts w:hint="eastAsia" w:ascii="宋体" w:hAnsi="宋体" w:eastAsia="宋体" w:cs="宋体"/>
                <w:snapToGrid/>
                <w:color w:val="auto"/>
                <w:sz w:val="24"/>
                <w:szCs w:val="24"/>
                <w:highlight w:val="none"/>
              </w:rPr>
              <w:t>（7）制作、运输、安装和保管样品所发生的一切费用由供应商自理。</w:t>
            </w:r>
          </w:p>
        </w:tc>
      </w:tr>
      <w:tr w14:paraId="13FAFB3C">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tcBorders>
              <w:tl2br w:val="nil"/>
              <w:tr2bl w:val="nil"/>
            </w:tcBorders>
            <w:vAlign w:val="center"/>
          </w:tcPr>
          <w:p w14:paraId="038060AC">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7</w:t>
            </w:r>
          </w:p>
        </w:tc>
        <w:tc>
          <w:tcPr>
            <w:tcW w:w="1052" w:type="pct"/>
            <w:tcBorders>
              <w:tl2br w:val="nil"/>
              <w:tr2bl w:val="nil"/>
            </w:tcBorders>
            <w:vAlign w:val="center"/>
          </w:tcPr>
          <w:p w14:paraId="73CCEC23">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Cs/>
                <w:snapToGrid/>
                <w:color w:val="auto"/>
                <w:sz w:val="24"/>
                <w:szCs w:val="24"/>
                <w:highlight w:val="none"/>
              </w:rPr>
            </w:pPr>
            <w:r>
              <w:rPr>
                <w:rFonts w:hint="eastAsia" w:ascii="宋体" w:hAnsi="宋体" w:eastAsia="宋体" w:cs="宋体"/>
                <w:b/>
                <w:snapToGrid/>
                <w:color w:val="auto"/>
                <w:sz w:val="24"/>
                <w:szCs w:val="24"/>
                <w:highlight w:val="none"/>
              </w:rPr>
              <w:t>方案讲解演示</w:t>
            </w:r>
          </w:p>
        </w:tc>
        <w:tc>
          <w:tcPr>
            <w:tcW w:w="3592" w:type="pct"/>
            <w:tcBorders>
              <w:tl2br w:val="nil"/>
              <w:tr2bl w:val="nil"/>
            </w:tcBorders>
            <w:vAlign w:val="center"/>
          </w:tcPr>
          <w:p w14:paraId="78C10EBC">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sz w:val="24"/>
                <w:szCs w:val="24"/>
                <w:highlight w:val="none"/>
              </w:rPr>
            </w:pPr>
            <w:sdt>
              <w:sdtPr>
                <w:rPr>
                  <w:rFonts w:hint="eastAsia" w:ascii="宋体" w:hAnsi="宋体" w:eastAsia="宋体" w:cs="宋体"/>
                  <w:snapToGrid/>
                  <w:color w:val="auto"/>
                  <w:kern w:val="0"/>
                  <w:sz w:val="24"/>
                  <w:szCs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snapToGrid/>
                  <w:color w:val="auto"/>
                  <w:kern w:val="0"/>
                  <w:sz w:val="24"/>
                  <w:szCs w:val="24"/>
                  <w:highlight w:val="none"/>
                </w:rPr>
              </w:sdtEndPr>
              <w:sdtContent>
                <w:r>
                  <w:rPr>
                    <w:rFonts w:hint="eastAsia" w:ascii="Wingdings" w:hAnsi="Wingdings" w:eastAsia="宋体" w:cs="宋体"/>
                    <w:snapToGrid/>
                    <w:color w:val="auto"/>
                    <w:kern w:val="0"/>
                    <w:sz w:val="24"/>
                    <w:szCs w:val="24"/>
                    <w:highlight w:val="none"/>
                    <w:lang w:val="en-US" w:eastAsia="zh-CN" w:bidi="ar-SA"/>
                  </w:rPr>
                  <w:t>þ</w:t>
                </w:r>
              </w:sdtContent>
            </w:sdt>
            <w:r>
              <w:rPr>
                <w:rFonts w:hint="eastAsia" w:ascii="宋体" w:hAnsi="宋体" w:eastAsia="宋体" w:cs="宋体"/>
                <w:snapToGrid/>
                <w:color w:val="auto"/>
                <w:kern w:val="0"/>
                <w:sz w:val="24"/>
                <w:szCs w:val="24"/>
                <w:highlight w:val="none"/>
              </w:rPr>
              <w:t>A</w:t>
            </w:r>
            <w:r>
              <w:rPr>
                <w:rFonts w:hint="eastAsia" w:ascii="宋体" w:hAnsi="宋体" w:eastAsia="宋体" w:cs="宋体"/>
                <w:snapToGrid/>
                <w:color w:val="auto"/>
                <w:sz w:val="24"/>
                <w:szCs w:val="24"/>
                <w:highlight w:val="none"/>
              </w:rPr>
              <w:t>不组织。</w:t>
            </w:r>
          </w:p>
          <w:p w14:paraId="738F1ED4">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0"/>
                <w:sz w:val="24"/>
                <w:szCs w:val="24"/>
                <w:highlight w:val="none"/>
              </w:rPr>
            </w:pPr>
            <w:sdt>
              <w:sdtPr>
                <w:rPr>
                  <w:rFonts w:hint="eastAsia" w:ascii="宋体" w:hAnsi="宋体" w:eastAsia="宋体" w:cs="宋体"/>
                  <w:snapToGrid/>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snapToGrid/>
                  <w:color w:val="auto"/>
                  <w:kern w:val="0"/>
                  <w:sz w:val="24"/>
                  <w:szCs w:val="24"/>
                  <w:highlight w:val="none"/>
                </w:rPr>
              </w:sdtEndPr>
              <w:sdtContent>
                <w:r>
                  <w:rPr>
                    <w:rFonts w:hint="eastAsia" w:ascii="宋体" w:hAnsi="宋体" w:eastAsia="宋体" w:cs="宋体"/>
                    <w:snapToGrid/>
                    <w:color w:val="auto"/>
                    <w:kern w:val="0"/>
                    <w:sz w:val="24"/>
                    <w:szCs w:val="24"/>
                    <w:highlight w:val="none"/>
                  </w:rPr>
                  <w:t>☐</w:t>
                </w:r>
              </w:sdtContent>
            </w:sdt>
            <w:r>
              <w:rPr>
                <w:rFonts w:hint="eastAsia" w:ascii="宋体" w:hAnsi="宋体" w:eastAsia="宋体" w:cs="宋体"/>
                <w:snapToGrid/>
                <w:color w:val="auto"/>
                <w:kern w:val="0"/>
                <w:sz w:val="24"/>
                <w:szCs w:val="24"/>
                <w:highlight w:val="none"/>
              </w:rPr>
              <w:t>B组织。</w:t>
            </w:r>
          </w:p>
          <w:p w14:paraId="3753D40A">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0"/>
                <w:sz w:val="24"/>
                <w:szCs w:val="24"/>
                <w:highlight w:val="none"/>
              </w:rPr>
            </w:pPr>
            <w:r>
              <w:rPr>
                <w:rFonts w:hint="eastAsia" w:ascii="宋体" w:hAnsi="宋体" w:eastAsia="宋体" w:cs="宋体"/>
                <w:snapToGrid/>
                <w:color w:val="auto"/>
                <w:kern w:val="0"/>
                <w:sz w:val="24"/>
                <w:szCs w:val="24"/>
                <w:highlight w:val="none"/>
              </w:rPr>
              <w:t>（1）在评审时安排每个供应商进行方案讲解演示。每个供应商时间不超过</w:t>
            </w:r>
            <w:r>
              <w:rPr>
                <w:rFonts w:hint="eastAsia" w:ascii="宋体" w:hAnsi="宋体" w:eastAsia="宋体" w:cs="宋体"/>
                <w:snapToGrid/>
                <w:color w:val="auto"/>
                <w:kern w:val="0"/>
                <w:sz w:val="24"/>
                <w:szCs w:val="24"/>
                <w:highlight w:val="none"/>
                <w:u w:val="single"/>
              </w:rPr>
              <w:t>20</w:t>
            </w:r>
            <w:r>
              <w:rPr>
                <w:rFonts w:hint="eastAsia" w:ascii="宋体" w:hAnsi="宋体" w:eastAsia="宋体" w:cs="宋体"/>
                <w:snapToGrid/>
                <w:color w:val="auto"/>
                <w:kern w:val="0"/>
                <w:sz w:val="24"/>
                <w:szCs w:val="24"/>
                <w:highlight w:val="none"/>
                <w:u w:val="single"/>
                <w:lang w:eastAsia="zh-CN"/>
              </w:rPr>
              <w:t>（</w:t>
            </w:r>
            <w:r>
              <w:rPr>
                <w:rFonts w:hint="eastAsia" w:ascii="宋体" w:hAnsi="宋体" w:eastAsia="宋体" w:cs="宋体"/>
                <w:snapToGrid/>
                <w:color w:val="auto"/>
                <w:kern w:val="0"/>
                <w:sz w:val="24"/>
                <w:szCs w:val="24"/>
                <w:highlight w:val="none"/>
                <w:u w:val="single"/>
                <w:lang w:val="en-US" w:eastAsia="zh-CN"/>
              </w:rPr>
              <w:t>编制时可根据项目情况进行调整</w:t>
            </w:r>
            <w:r>
              <w:rPr>
                <w:rFonts w:hint="eastAsia" w:ascii="宋体" w:hAnsi="宋体" w:eastAsia="宋体" w:cs="宋体"/>
                <w:snapToGrid/>
                <w:color w:val="auto"/>
                <w:kern w:val="0"/>
                <w:sz w:val="24"/>
                <w:szCs w:val="24"/>
                <w:highlight w:val="none"/>
                <w:u w:val="single"/>
                <w:lang w:eastAsia="zh-CN"/>
              </w:rPr>
              <w:t>）</w:t>
            </w:r>
            <w:r>
              <w:rPr>
                <w:rFonts w:hint="eastAsia" w:ascii="宋体" w:hAnsi="宋体" w:eastAsia="宋体" w:cs="宋体"/>
                <w:snapToGrid/>
                <w:color w:val="auto"/>
                <w:kern w:val="0"/>
                <w:sz w:val="24"/>
                <w:szCs w:val="24"/>
                <w:highlight w:val="none"/>
              </w:rPr>
              <w:t>分钟，讲解次序以响应文件解密时间先后次序为准，讲解演示人员不超过</w:t>
            </w:r>
            <w:r>
              <w:rPr>
                <w:rFonts w:hint="eastAsia" w:ascii="宋体" w:hAnsi="宋体" w:eastAsia="宋体" w:cs="宋体"/>
                <w:snapToGrid/>
                <w:color w:val="auto"/>
                <w:kern w:val="0"/>
                <w:sz w:val="24"/>
                <w:szCs w:val="24"/>
                <w:highlight w:val="none"/>
                <w:u w:val="single"/>
              </w:rPr>
              <w:t>3</w:t>
            </w:r>
            <w:r>
              <w:rPr>
                <w:rFonts w:hint="eastAsia" w:ascii="宋体" w:hAnsi="宋体" w:eastAsia="宋体" w:cs="宋体"/>
                <w:snapToGrid/>
                <w:color w:val="auto"/>
                <w:kern w:val="0"/>
                <w:sz w:val="24"/>
                <w:szCs w:val="24"/>
                <w:highlight w:val="none"/>
                <w:u w:val="single"/>
                <w:lang w:eastAsia="zh-CN"/>
              </w:rPr>
              <w:t>（</w:t>
            </w:r>
            <w:r>
              <w:rPr>
                <w:rFonts w:hint="eastAsia" w:ascii="宋体" w:hAnsi="宋体" w:eastAsia="宋体" w:cs="宋体"/>
                <w:snapToGrid/>
                <w:color w:val="auto"/>
                <w:kern w:val="0"/>
                <w:sz w:val="24"/>
                <w:szCs w:val="24"/>
                <w:highlight w:val="none"/>
                <w:u w:val="single"/>
                <w:lang w:val="en-US" w:eastAsia="zh-CN"/>
              </w:rPr>
              <w:t>编制时可根据项目情况进行调整</w:t>
            </w:r>
            <w:r>
              <w:rPr>
                <w:rFonts w:hint="eastAsia" w:ascii="宋体" w:hAnsi="宋体" w:eastAsia="宋体" w:cs="宋体"/>
                <w:snapToGrid/>
                <w:color w:val="auto"/>
                <w:kern w:val="0"/>
                <w:sz w:val="24"/>
                <w:szCs w:val="24"/>
                <w:highlight w:val="none"/>
                <w:u w:val="single"/>
                <w:lang w:eastAsia="zh-CN"/>
              </w:rPr>
              <w:t>）</w:t>
            </w:r>
            <w:r>
              <w:rPr>
                <w:rFonts w:hint="eastAsia" w:ascii="宋体" w:hAnsi="宋体" w:eastAsia="宋体" w:cs="宋体"/>
                <w:snapToGrid/>
                <w:color w:val="auto"/>
                <w:kern w:val="0"/>
                <w:sz w:val="24"/>
                <w:szCs w:val="24"/>
                <w:highlight w:val="none"/>
              </w:rPr>
              <w:t>人。讲解演示结束后按要求解答磋商小组提问。</w:t>
            </w:r>
          </w:p>
          <w:p w14:paraId="48B97724">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0"/>
                <w:sz w:val="24"/>
                <w:szCs w:val="24"/>
                <w:highlight w:val="none"/>
              </w:rPr>
            </w:pPr>
            <w:r>
              <w:rPr>
                <w:rFonts w:hint="eastAsia" w:ascii="宋体" w:hAnsi="宋体" w:eastAsia="宋体" w:cs="宋体"/>
                <w:snapToGrid/>
                <w:color w:val="auto"/>
                <w:kern w:val="0"/>
                <w:sz w:val="24"/>
                <w:szCs w:val="24"/>
                <w:highlight w:val="none"/>
              </w:rPr>
              <w:t>（2）方案讲解演示可选择以下其中一种方式：</w:t>
            </w:r>
          </w:p>
          <w:p w14:paraId="3AA735B8">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0"/>
                <w:sz w:val="24"/>
                <w:szCs w:val="24"/>
                <w:highlight w:val="none"/>
              </w:rPr>
            </w:pPr>
            <w:r>
              <w:rPr>
                <w:rFonts w:hint="eastAsia" w:ascii="宋体" w:hAnsi="宋体" w:eastAsia="宋体" w:cs="宋体"/>
                <w:snapToGrid/>
                <w:color w:val="auto"/>
                <w:kern w:val="0"/>
                <w:sz w:val="24"/>
                <w:szCs w:val="24"/>
                <w:highlight w:val="none"/>
              </w:rPr>
              <w:t>方式一：政采云平台在线讲解演示。政采云平台在线讲解需供应商根据政采云平台操作要求做好准备工作，提前完善软硬件配置环境。</w:t>
            </w:r>
          </w:p>
          <w:p w14:paraId="6A03121C">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0"/>
                <w:sz w:val="24"/>
                <w:szCs w:val="24"/>
                <w:highlight w:val="none"/>
              </w:rPr>
            </w:pPr>
            <w:r>
              <w:rPr>
                <w:rFonts w:hint="eastAsia" w:ascii="宋体" w:hAnsi="宋体" w:eastAsia="宋体" w:cs="宋体"/>
                <w:snapToGrid/>
                <w:color w:val="auto"/>
                <w:kern w:val="0"/>
                <w:sz w:val="24"/>
                <w:szCs w:val="24"/>
                <w:highlight w:val="none"/>
              </w:rPr>
              <w:t>方式二：现场讲解演示。现场讲解地点为</w:t>
            </w:r>
            <w:r>
              <w:rPr>
                <w:rFonts w:hint="eastAsia" w:ascii="宋体" w:hAnsi="宋体" w:eastAsia="宋体" w:cs="宋体"/>
                <w:snapToGrid/>
                <w:color w:val="auto"/>
                <w:sz w:val="24"/>
                <w:szCs w:val="24"/>
                <w:highlight w:val="none"/>
                <w:u w:val="single"/>
                <w:lang w:val="en-US" w:eastAsia="zh-CN"/>
              </w:rPr>
              <w:t>/</w:t>
            </w:r>
            <w:r>
              <w:rPr>
                <w:rFonts w:hint="eastAsia" w:ascii="宋体" w:hAnsi="宋体" w:eastAsia="宋体" w:cs="宋体"/>
                <w:snapToGrid/>
                <w:color w:val="auto"/>
                <w:kern w:val="0"/>
                <w:sz w:val="24"/>
                <w:szCs w:val="24"/>
                <w:highlight w:val="none"/>
              </w:rPr>
              <w:t>，讲解演示所用电脑等设备由供应商自备。现场讲解演示人员进场时提供讲解人员名单（加盖公章或授权代表签名）及身份证明，否则不得讲解演示。</w:t>
            </w:r>
          </w:p>
          <w:p w14:paraId="2486F52F">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snapToGrid/>
                <w:color w:val="auto"/>
                <w:kern w:val="0"/>
                <w:sz w:val="24"/>
                <w:szCs w:val="24"/>
                <w:highlight w:val="none"/>
                <w:lang w:val="zh-CN"/>
              </w:rPr>
            </w:pPr>
            <w:r>
              <w:rPr>
                <w:rFonts w:hint="eastAsia" w:ascii="宋体" w:hAnsi="宋体" w:eastAsia="宋体" w:cs="宋体"/>
                <w:snapToGrid/>
                <w:color w:val="auto"/>
                <w:kern w:val="0"/>
                <w:sz w:val="24"/>
                <w:szCs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344F1487">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vMerge w:val="restart"/>
            <w:tcBorders>
              <w:tl2br w:val="nil"/>
              <w:tr2bl w:val="nil"/>
            </w:tcBorders>
            <w:vAlign w:val="center"/>
          </w:tcPr>
          <w:p w14:paraId="18152D79">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8</w:t>
            </w:r>
          </w:p>
        </w:tc>
        <w:tc>
          <w:tcPr>
            <w:tcW w:w="1052" w:type="pct"/>
            <w:vMerge w:val="restart"/>
            <w:tcBorders>
              <w:tl2br w:val="nil"/>
              <w:tr2bl w:val="nil"/>
            </w:tcBorders>
            <w:vAlign w:val="center"/>
          </w:tcPr>
          <w:p w14:paraId="3B4DE927">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napToGrid/>
                <w:color w:val="auto"/>
                <w:sz w:val="24"/>
                <w:szCs w:val="24"/>
                <w:highlight w:val="none"/>
              </w:rPr>
            </w:pPr>
            <w:r>
              <w:rPr>
                <w:rFonts w:hint="eastAsia" w:ascii="宋体" w:hAnsi="宋体" w:eastAsia="宋体" w:cs="宋体"/>
                <w:b/>
                <w:snapToGrid/>
                <w:color w:val="auto"/>
                <w:sz w:val="24"/>
                <w:szCs w:val="24"/>
                <w:highlight w:val="none"/>
              </w:rPr>
              <w:t>供应商应当提供的资格、资信证明文件</w:t>
            </w:r>
          </w:p>
        </w:tc>
        <w:tc>
          <w:tcPr>
            <w:tcW w:w="3592" w:type="pct"/>
            <w:tcBorders>
              <w:tl2br w:val="nil"/>
              <w:tr2bl w:val="nil"/>
            </w:tcBorders>
            <w:vAlign w:val="center"/>
          </w:tcPr>
          <w:p w14:paraId="023D6C7F">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（1）资格证明文件：见采购文件第二部分11.1。</w:t>
            </w:r>
          </w:p>
          <w:p w14:paraId="448F9905">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0"/>
                <w:sz w:val="24"/>
                <w:szCs w:val="24"/>
                <w:highlight w:val="none"/>
              </w:rPr>
            </w:pPr>
            <w:r>
              <w:rPr>
                <w:rFonts w:hint="eastAsia" w:ascii="宋体" w:hAnsi="宋体" w:eastAsia="宋体" w:cs="宋体"/>
                <w:snapToGrid/>
                <w:color w:val="auto"/>
                <w:kern w:val="0"/>
                <w:sz w:val="24"/>
                <w:szCs w:val="24"/>
                <w:highlight w:val="none"/>
                <w:lang w:val="zh-CN"/>
              </w:rPr>
              <w:t>供应商未提供有效的资格证明文件的，视为供应商不具备采购文件中规定的资格要求，响应文件无效。</w:t>
            </w:r>
          </w:p>
        </w:tc>
      </w:tr>
      <w:tr w14:paraId="6B39405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vMerge w:val="continue"/>
            <w:tcBorders>
              <w:tl2br w:val="nil"/>
              <w:tr2bl w:val="nil"/>
            </w:tcBorders>
            <w:vAlign w:val="center"/>
          </w:tcPr>
          <w:p w14:paraId="452119CC">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napToGrid/>
                <w:color w:val="auto"/>
                <w:sz w:val="24"/>
                <w:szCs w:val="24"/>
                <w:highlight w:val="none"/>
              </w:rPr>
            </w:pPr>
          </w:p>
        </w:tc>
        <w:tc>
          <w:tcPr>
            <w:tcW w:w="1052" w:type="pct"/>
            <w:vMerge w:val="continue"/>
            <w:tcBorders>
              <w:tl2br w:val="nil"/>
              <w:tr2bl w:val="nil"/>
            </w:tcBorders>
            <w:vAlign w:val="center"/>
          </w:tcPr>
          <w:p w14:paraId="5065EB20">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napToGrid/>
                <w:color w:val="auto"/>
                <w:sz w:val="24"/>
                <w:szCs w:val="24"/>
                <w:highlight w:val="none"/>
              </w:rPr>
            </w:pPr>
          </w:p>
        </w:tc>
        <w:tc>
          <w:tcPr>
            <w:tcW w:w="3592" w:type="pct"/>
            <w:tcBorders>
              <w:tl2br w:val="nil"/>
              <w:tr2bl w:val="nil"/>
            </w:tcBorders>
            <w:vAlign w:val="center"/>
          </w:tcPr>
          <w:p w14:paraId="0AC5CB83">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（2）资信证明文件：根据采购文件第四部分评审标准提供。</w:t>
            </w:r>
          </w:p>
        </w:tc>
      </w:tr>
      <w:tr w14:paraId="7D5FD1B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tcBorders>
              <w:tl2br w:val="nil"/>
              <w:tr2bl w:val="nil"/>
            </w:tcBorders>
            <w:vAlign w:val="center"/>
          </w:tcPr>
          <w:p w14:paraId="7B7E2D49">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9</w:t>
            </w:r>
          </w:p>
        </w:tc>
        <w:tc>
          <w:tcPr>
            <w:tcW w:w="1052" w:type="pct"/>
            <w:tcBorders>
              <w:tl2br w:val="nil"/>
              <w:tr2bl w:val="nil"/>
            </w:tcBorders>
            <w:vAlign w:val="center"/>
          </w:tcPr>
          <w:p w14:paraId="4020C21B">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napToGrid/>
                <w:color w:val="auto"/>
                <w:sz w:val="24"/>
                <w:szCs w:val="24"/>
                <w:highlight w:val="none"/>
              </w:rPr>
            </w:pPr>
            <w:r>
              <w:rPr>
                <w:rFonts w:hint="eastAsia" w:ascii="宋体" w:hAnsi="宋体" w:eastAsia="宋体" w:cs="宋体"/>
                <w:b/>
                <w:snapToGrid/>
                <w:color w:val="auto"/>
                <w:sz w:val="24"/>
                <w:szCs w:val="24"/>
                <w:highlight w:val="none"/>
              </w:rPr>
              <w:t>节能产品、环境标志产品</w:t>
            </w:r>
          </w:p>
        </w:tc>
        <w:tc>
          <w:tcPr>
            <w:tcW w:w="3592" w:type="pct"/>
            <w:tcBorders>
              <w:tl2br w:val="nil"/>
              <w:tr2bl w:val="nil"/>
            </w:tcBorders>
            <w:vAlign w:val="center"/>
          </w:tcPr>
          <w:p w14:paraId="0FE2E4C7">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sz w:val="24"/>
                <w:szCs w:val="24"/>
                <w:highlight w:val="none"/>
              </w:rPr>
            </w:pPr>
            <w:r>
              <w:rPr>
                <w:rFonts w:hint="eastAsia" w:ascii="宋体" w:hAnsi="宋体" w:eastAsia="宋体" w:cs="宋体"/>
                <w:snapToGrid/>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8E9B83A">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tcBorders>
              <w:tl2br w:val="nil"/>
              <w:tr2bl w:val="nil"/>
            </w:tcBorders>
            <w:vAlign w:val="center"/>
          </w:tcPr>
          <w:p w14:paraId="20A3C4F4">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10</w:t>
            </w:r>
          </w:p>
        </w:tc>
        <w:tc>
          <w:tcPr>
            <w:tcW w:w="1052" w:type="pct"/>
            <w:tcBorders>
              <w:tl2br w:val="nil"/>
              <w:tr2bl w:val="nil"/>
            </w:tcBorders>
            <w:vAlign w:val="center"/>
          </w:tcPr>
          <w:p w14:paraId="5AD6E3CE">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napToGrid/>
                <w:color w:val="auto"/>
                <w:sz w:val="24"/>
                <w:szCs w:val="24"/>
                <w:highlight w:val="none"/>
              </w:rPr>
            </w:pPr>
            <w:r>
              <w:rPr>
                <w:rFonts w:hint="eastAsia" w:ascii="宋体" w:hAnsi="宋体" w:eastAsia="宋体" w:cs="宋体"/>
                <w:b/>
                <w:snapToGrid/>
                <w:color w:val="auto"/>
                <w:sz w:val="24"/>
                <w:szCs w:val="24"/>
                <w:highlight w:val="none"/>
              </w:rPr>
              <w:t>报价要求</w:t>
            </w:r>
          </w:p>
        </w:tc>
        <w:tc>
          <w:tcPr>
            <w:tcW w:w="3592" w:type="pct"/>
            <w:tcBorders>
              <w:tl2br w:val="nil"/>
              <w:tr2bl w:val="nil"/>
            </w:tcBorders>
            <w:vAlign w:val="center"/>
          </w:tcPr>
          <w:p w14:paraId="11EBCA94">
            <w:pPr>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color w:val="auto"/>
                <w:kern w:val="0"/>
                <w:sz w:val="24"/>
                <w:szCs w:val="24"/>
                <w:highlight w:val="none"/>
                <w:lang w:val="zh-CN"/>
              </w:rPr>
            </w:pPr>
            <w:r>
              <w:rPr>
                <w:rFonts w:hint="eastAsia" w:ascii="宋体" w:hAnsi="宋体" w:eastAsia="宋体" w:cs="宋体"/>
                <w:snapToGrid/>
                <w:color w:val="auto"/>
                <w:kern w:val="0"/>
                <w:sz w:val="24"/>
                <w:szCs w:val="24"/>
                <w:highlight w:val="none"/>
                <w:lang w:val="zh-CN"/>
              </w:rPr>
              <w:t>有关本项目实施所需的所有费用（含税费）均计入报价。</w:t>
            </w:r>
            <w:r>
              <w:rPr>
                <w:rFonts w:hint="eastAsia" w:ascii="宋体" w:hAnsi="宋体" w:eastAsia="宋体" w:cs="宋体"/>
                <w:snapToGrid/>
                <w:color w:val="auto"/>
                <w:sz w:val="24"/>
                <w:szCs w:val="24"/>
                <w:highlight w:val="none"/>
              </w:rPr>
              <w:t>报价单是报价的唯一载体</w:t>
            </w:r>
            <w:r>
              <w:rPr>
                <w:rFonts w:hint="eastAsia" w:ascii="宋体" w:hAnsi="宋体" w:eastAsia="宋体" w:cs="宋体"/>
                <w:snapToGrid/>
                <w:color w:val="auto"/>
                <w:kern w:val="0"/>
                <w:sz w:val="24"/>
                <w:szCs w:val="24"/>
                <w:highlight w:val="none"/>
                <w:lang w:val="zh-CN"/>
              </w:rPr>
              <w:t>。响应文件中价格全部采用人民币报价。采购文件未列明，而供应商认为必需的费用也需列入报价。</w:t>
            </w:r>
          </w:p>
          <w:p w14:paraId="2EF5DCB2">
            <w:pPr>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snapToGrid/>
                <w:color w:val="auto"/>
                <w:kern w:val="0"/>
                <w:sz w:val="24"/>
                <w:szCs w:val="24"/>
                <w:highlight w:val="none"/>
                <w:lang w:val="zh-CN"/>
              </w:rPr>
            </w:pPr>
            <w:r>
              <w:rPr>
                <w:rFonts w:hint="eastAsia" w:ascii="宋体" w:hAnsi="宋体" w:eastAsia="宋体" w:cs="宋体"/>
                <w:b/>
                <w:sz w:val="24"/>
                <w:szCs w:val="24"/>
                <w:highlight w:val="none"/>
              </w:rPr>
              <w:t>▲本磋商项目最高限价（即磋商控制价）：</w:t>
            </w:r>
            <w:r>
              <w:rPr>
                <w:rFonts w:hint="eastAsia" w:ascii="宋体" w:hAnsi="宋体" w:cs="宋体"/>
                <w:b/>
                <w:sz w:val="24"/>
                <w:szCs w:val="24"/>
                <w:highlight w:val="none"/>
                <w:lang w:val="en-US" w:eastAsia="zh-CN"/>
              </w:rPr>
              <w:t>1097533.00</w:t>
            </w:r>
            <w:r>
              <w:rPr>
                <w:rFonts w:hint="eastAsia" w:ascii="宋体" w:hAnsi="宋体" w:eastAsia="宋体" w:cs="宋体"/>
                <w:b/>
                <w:sz w:val="24"/>
                <w:szCs w:val="24"/>
                <w:highlight w:val="none"/>
              </w:rPr>
              <w:t>元</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其中暂估价（</w:t>
            </w:r>
            <w:r>
              <w:rPr>
                <w:rFonts w:hint="eastAsia" w:ascii="宋体" w:hAnsi="宋体" w:cs="宋体"/>
                <w:b/>
                <w:sz w:val="24"/>
                <w:szCs w:val="24"/>
                <w:highlight w:val="none"/>
                <w:lang w:val="en-US" w:eastAsia="zh-CN"/>
              </w:rPr>
              <w:t>不</w:t>
            </w:r>
            <w:r>
              <w:rPr>
                <w:rFonts w:hint="eastAsia" w:ascii="宋体" w:hAnsi="宋体" w:eastAsia="宋体" w:cs="宋体"/>
                <w:b/>
                <w:sz w:val="24"/>
                <w:szCs w:val="24"/>
                <w:highlight w:val="none"/>
              </w:rPr>
              <w:t>含税）</w:t>
            </w:r>
            <w:r>
              <w:rPr>
                <w:rFonts w:hint="eastAsia" w:ascii="宋体" w:hAnsi="宋体" w:cs="宋体"/>
                <w:b/>
                <w:sz w:val="24"/>
                <w:szCs w:val="24"/>
                <w:highlight w:val="none"/>
                <w:lang w:val="en-US" w:eastAsia="zh-CN"/>
              </w:rPr>
              <w:t>：10000.00</w:t>
            </w:r>
            <w:r>
              <w:rPr>
                <w:rFonts w:hint="eastAsia" w:ascii="宋体" w:hAnsi="宋体" w:eastAsia="宋体" w:cs="宋体"/>
                <w:b/>
                <w:sz w:val="24"/>
                <w:szCs w:val="24"/>
                <w:highlight w:val="none"/>
              </w:rPr>
              <w:t>元，暂列金额（含税）：</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元</w:t>
            </w:r>
            <w:r>
              <w:rPr>
                <w:rFonts w:hint="eastAsia" w:ascii="宋体" w:hAnsi="宋体" w:eastAsia="宋体" w:cs="宋体"/>
                <w:b/>
                <w:sz w:val="24"/>
                <w:szCs w:val="24"/>
                <w:highlight w:val="none"/>
                <w:lang w:eastAsia="zh-CN"/>
              </w:rPr>
              <w:t>，安全文明施工费</w:t>
            </w:r>
            <w:r>
              <w:rPr>
                <w:rFonts w:hint="eastAsia" w:ascii="宋体" w:hAnsi="宋体" w:cs="宋体"/>
                <w:b/>
                <w:sz w:val="24"/>
                <w:szCs w:val="24"/>
                <w:highlight w:val="none"/>
                <w:lang w:val="en-US" w:eastAsia="zh-CN"/>
              </w:rPr>
              <w:t>低限值</w:t>
            </w:r>
            <w:r>
              <w:rPr>
                <w:rFonts w:hint="eastAsia" w:ascii="宋体" w:hAnsi="宋体" w:cs="宋体"/>
                <w:b/>
                <w:sz w:val="24"/>
                <w:szCs w:val="24"/>
                <w:highlight w:val="none"/>
                <w:lang w:eastAsia="zh-CN"/>
              </w:rPr>
              <w:t>（含税）：</w:t>
            </w:r>
            <w:r>
              <w:rPr>
                <w:rFonts w:hint="eastAsia" w:ascii="宋体" w:hAnsi="宋体" w:cs="宋体"/>
                <w:b/>
                <w:sz w:val="24"/>
                <w:szCs w:val="24"/>
                <w:highlight w:val="none"/>
                <w:lang w:val="en-US" w:eastAsia="zh-CN"/>
              </w:rPr>
              <w:t>14518.73元</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。报价超过最高限价作无效响应处理。</w:t>
            </w:r>
          </w:p>
          <w:p w14:paraId="0D6621F8">
            <w:pPr>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snapToGrid/>
                <w:color w:val="auto"/>
                <w:kern w:val="0"/>
                <w:sz w:val="24"/>
                <w:szCs w:val="24"/>
                <w:highlight w:val="none"/>
                <w:lang w:val="zh-CN"/>
              </w:rPr>
            </w:pPr>
            <w:r>
              <w:rPr>
                <w:rFonts w:hint="eastAsia" w:ascii="宋体" w:hAnsi="宋体" w:eastAsia="宋体" w:cs="宋体"/>
                <w:b/>
                <w:snapToGrid/>
                <w:color w:val="auto"/>
                <w:kern w:val="0"/>
                <w:sz w:val="24"/>
                <w:szCs w:val="24"/>
                <w:highlight w:val="none"/>
                <w:lang w:val="zh-CN"/>
              </w:rPr>
              <w:t>提醒：验收时检测费用由采购人承担，不包含在总价中。</w:t>
            </w:r>
          </w:p>
          <w:p w14:paraId="25DE71E4">
            <w:pPr>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snapToGrid/>
                <w:color w:val="auto"/>
                <w:kern w:val="0"/>
                <w:sz w:val="24"/>
                <w:szCs w:val="24"/>
                <w:highlight w:val="none"/>
                <w:lang w:val="zh-CN"/>
              </w:rPr>
            </w:pPr>
            <w:r>
              <w:rPr>
                <w:rFonts w:hint="eastAsia" w:ascii="宋体" w:hAnsi="宋体" w:eastAsia="宋体" w:cs="宋体"/>
                <w:b/>
                <w:snapToGrid/>
                <w:color w:val="auto"/>
                <w:kern w:val="0"/>
                <w:sz w:val="24"/>
                <w:szCs w:val="24"/>
                <w:highlight w:val="none"/>
                <w:lang w:val="zh-CN"/>
              </w:rPr>
              <w:t>最后报价出现下列情形的，响应文件无效：</w:t>
            </w:r>
          </w:p>
          <w:p w14:paraId="03D1D0AF">
            <w:pPr>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snapToGrid/>
                <w:color w:val="auto"/>
                <w:kern w:val="0"/>
                <w:sz w:val="24"/>
                <w:szCs w:val="24"/>
                <w:highlight w:val="none"/>
                <w:lang w:val="zh-CN"/>
              </w:rPr>
            </w:pPr>
            <w:r>
              <w:rPr>
                <w:rFonts w:hint="eastAsia" w:ascii="宋体" w:hAnsi="宋体" w:eastAsia="宋体" w:cs="宋体"/>
                <w:b/>
                <w:snapToGrid/>
                <w:color w:val="auto"/>
                <w:kern w:val="0"/>
                <w:sz w:val="24"/>
                <w:szCs w:val="24"/>
                <w:highlight w:val="none"/>
                <w:lang w:val="zh-CN"/>
              </w:rPr>
              <w:t>响应文件出现不是唯一的、有选择性最后报价的；</w:t>
            </w:r>
          </w:p>
          <w:p w14:paraId="6BD9CA93">
            <w:pPr>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snapToGrid/>
                <w:color w:val="auto"/>
                <w:kern w:val="0"/>
                <w:sz w:val="24"/>
                <w:szCs w:val="24"/>
                <w:highlight w:val="none"/>
                <w:lang w:val="zh-CN"/>
              </w:rPr>
            </w:pPr>
            <w:r>
              <w:rPr>
                <w:rFonts w:hint="eastAsia" w:ascii="宋体" w:hAnsi="宋体" w:eastAsia="宋体" w:cs="宋体"/>
                <w:b/>
                <w:snapToGrid/>
                <w:color w:val="auto"/>
                <w:kern w:val="0"/>
                <w:sz w:val="24"/>
                <w:szCs w:val="24"/>
                <w:highlight w:val="none"/>
                <w:lang w:val="zh-CN"/>
              </w:rPr>
              <w:t>最后报价超过采购文件中规定的预算金额或者最高限价的;</w:t>
            </w:r>
          </w:p>
          <w:p w14:paraId="58608D52">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snapToGrid/>
                <w:color w:val="auto"/>
                <w:sz w:val="24"/>
                <w:szCs w:val="24"/>
                <w:highlight w:val="none"/>
              </w:rPr>
            </w:pPr>
            <w:r>
              <w:rPr>
                <w:rFonts w:hint="eastAsia" w:ascii="宋体" w:hAnsi="宋体" w:eastAsia="宋体" w:cs="宋体"/>
                <w:b/>
                <w:snapToGrid/>
                <w:color w:val="auto"/>
                <w:kern w:val="0"/>
                <w:sz w:val="24"/>
                <w:szCs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snapToGrid/>
                <w:color w:val="auto"/>
                <w:sz w:val="24"/>
                <w:szCs w:val="24"/>
                <w:highlight w:val="none"/>
              </w:rPr>
              <w:t>;</w:t>
            </w:r>
          </w:p>
          <w:p w14:paraId="061BE90D">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sz w:val="24"/>
                <w:szCs w:val="24"/>
                <w:highlight w:val="none"/>
              </w:rPr>
            </w:pPr>
            <w:r>
              <w:rPr>
                <w:rFonts w:hint="eastAsia" w:ascii="宋体" w:hAnsi="宋体" w:eastAsia="宋体" w:cs="宋体"/>
                <w:b/>
                <w:snapToGrid/>
                <w:color w:val="auto"/>
                <w:kern w:val="0"/>
                <w:sz w:val="24"/>
                <w:szCs w:val="24"/>
                <w:highlight w:val="none"/>
              </w:rPr>
              <w:t>供应商对根据修正原则修正后的报价不确认的</w:t>
            </w:r>
            <w:r>
              <w:rPr>
                <w:rFonts w:hint="eastAsia" w:ascii="宋体" w:hAnsi="宋体" w:eastAsia="宋体" w:cs="宋体"/>
                <w:b/>
                <w:snapToGrid/>
                <w:color w:val="auto"/>
                <w:sz w:val="24"/>
                <w:szCs w:val="24"/>
                <w:highlight w:val="none"/>
              </w:rPr>
              <w:t>。</w:t>
            </w:r>
          </w:p>
        </w:tc>
      </w:tr>
      <w:tr w14:paraId="644AB3A4">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tcBorders>
              <w:tl2br w:val="nil"/>
              <w:tr2bl w:val="nil"/>
            </w:tcBorders>
            <w:vAlign w:val="center"/>
          </w:tcPr>
          <w:p w14:paraId="709BB681">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1</w:t>
            </w:r>
            <w:r>
              <w:rPr>
                <w:rFonts w:hint="eastAsia" w:ascii="宋体" w:hAnsi="宋体" w:eastAsia="宋体" w:cs="宋体"/>
                <w:snapToGrid/>
                <w:color w:val="auto"/>
                <w:sz w:val="24"/>
                <w:szCs w:val="24"/>
                <w:highlight w:val="none"/>
                <w:lang w:val="en-US" w:eastAsia="zh-CN"/>
              </w:rPr>
              <w:t>1</w:t>
            </w:r>
          </w:p>
        </w:tc>
        <w:tc>
          <w:tcPr>
            <w:tcW w:w="1052" w:type="pct"/>
            <w:tcBorders>
              <w:tl2br w:val="nil"/>
              <w:tr2bl w:val="nil"/>
            </w:tcBorders>
            <w:vAlign w:val="center"/>
          </w:tcPr>
          <w:p w14:paraId="07C78AE3">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napToGrid/>
                <w:color w:val="auto"/>
                <w:sz w:val="24"/>
                <w:szCs w:val="24"/>
                <w:highlight w:val="none"/>
              </w:rPr>
            </w:pPr>
            <w:r>
              <w:rPr>
                <w:rFonts w:hint="eastAsia" w:ascii="宋体" w:hAnsi="宋体" w:eastAsia="宋体" w:cs="宋体"/>
                <w:b/>
                <w:snapToGrid/>
                <w:color w:val="auto"/>
                <w:sz w:val="24"/>
                <w:szCs w:val="24"/>
                <w:highlight w:val="none"/>
              </w:rPr>
              <w:t>备份响应文件送达地点和签收人员</w:t>
            </w:r>
          </w:p>
        </w:tc>
        <w:tc>
          <w:tcPr>
            <w:tcW w:w="3592" w:type="pct"/>
            <w:tcBorders>
              <w:tl2br w:val="nil"/>
              <w:tr2bl w:val="nil"/>
            </w:tcBorders>
            <w:vAlign w:val="center"/>
          </w:tcPr>
          <w:p w14:paraId="333E36B3">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sz w:val="24"/>
                <w:szCs w:val="24"/>
                <w:highlight w:val="none"/>
                <w:lang w:val="en-US" w:eastAsia="zh-CN"/>
              </w:rPr>
            </w:pPr>
            <w:r>
              <w:rPr>
                <w:rFonts w:hint="eastAsia" w:ascii="宋体" w:hAnsi="宋体" w:eastAsia="宋体" w:cs="宋体"/>
                <w:snapToGrid/>
                <w:color w:val="auto"/>
                <w:sz w:val="24"/>
                <w:szCs w:val="24"/>
                <w:highlight w:val="none"/>
                <w:lang w:val="en-US" w:eastAsia="zh-CN"/>
              </w:rPr>
              <w:t>各供应商拟在磋商日前一个工作日16时00分（北京时间）前将备份响应文件以快递方式提交至规定地点，由采购代理工作人员进行签收，各供应商自行考虑邮寄在途时间，邮寄过程中无论何种因素导致响应文件未按时递交的后果，均由供应商自行负责。响应文件提交时间以采购代理实际收到响应文件的时间为准。</w:t>
            </w:r>
          </w:p>
          <w:p w14:paraId="6CD0FCF4">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sz w:val="24"/>
                <w:szCs w:val="24"/>
                <w:highlight w:val="none"/>
                <w:lang w:val="en-US" w:eastAsia="zh-CN"/>
              </w:rPr>
            </w:pPr>
            <w:r>
              <w:rPr>
                <w:rFonts w:hint="eastAsia" w:ascii="宋体" w:hAnsi="宋体" w:eastAsia="宋体" w:cs="宋体"/>
                <w:snapToGrid/>
                <w:color w:val="auto"/>
                <w:sz w:val="24"/>
                <w:szCs w:val="24"/>
                <w:highlight w:val="none"/>
                <w:lang w:val="en-US" w:eastAsia="zh-CN"/>
              </w:rPr>
              <w:t>请各供应商确保密封包装在邮寄过程密封包装完好，因邮寄过程的密封破损造成不符合响应要求的，本采购代理及采购人概不负责。</w:t>
            </w:r>
          </w:p>
          <w:p w14:paraId="0E6E1F9A">
            <w:pPr>
              <w:pStyle w:val="32"/>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28"/>
                <w:sz w:val="24"/>
                <w:szCs w:val="24"/>
                <w:highlight w:val="none"/>
                <w:lang w:eastAsia="zh-CN"/>
              </w:rPr>
            </w:pPr>
            <w:r>
              <w:rPr>
                <w:rFonts w:hint="eastAsia" w:ascii="宋体" w:hAnsi="宋体" w:eastAsia="宋体" w:cs="宋体"/>
                <w:b/>
                <w:bCs/>
                <w:snapToGrid/>
                <w:color w:val="auto"/>
                <w:kern w:val="28"/>
                <w:sz w:val="24"/>
                <w:szCs w:val="24"/>
                <w:highlight w:val="none"/>
              </w:rPr>
              <w:t>备份响应文件送达地点：</w:t>
            </w:r>
            <w:r>
              <w:rPr>
                <w:rFonts w:hint="eastAsia" w:ascii="宋体" w:hAnsi="宋体" w:eastAsia="宋体" w:cs="宋体"/>
                <w:b/>
                <w:bCs/>
                <w:snapToGrid/>
                <w:color w:val="auto"/>
                <w:kern w:val="28"/>
                <w:sz w:val="24"/>
                <w:szCs w:val="24"/>
                <w:highlight w:val="none"/>
                <w:u w:val="single"/>
              </w:rPr>
              <w:t>宁波市鄞州区天童南路666号中基大厦19楼</w:t>
            </w:r>
            <w:r>
              <w:rPr>
                <w:rFonts w:hint="eastAsia" w:ascii="宋体" w:hAnsi="宋体" w:eastAsia="宋体" w:cs="宋体"/>
                <w:b/>
                <w:bCs/>
                <w:snapToGrid/>
                <w:color w:val="auto"/>
                <w:sz w:val="24"/>
                <w:szCs w:val="24"/>
                <w:highlight w:val="none"/>
                <w:u w:val="single"/>
                <w:lang w:val="en-US" w:eastAsia="zh-CN"/>
              </w:rPr>
              <w:t>业务一部</w:t>
            </w:r>
            <w:r>
              <w:rPr>
                <w:rFonts w:hint="eastAsia" w:ascii="宋体" w:hAnsi="宋体" w:eastAsia="宋体" w:cs="宋体"/>
                <w:b/>
                <w:bCs/>
                <w:snapToGrid/>
                <w:color w:val="auto"/>
                <w:kern w:val="28"/>
                <w:sz w:val="24"/>
                <w:szCs w:val="24"/>
                <w:highlight w:val="none"/>
                <w:lang w:eastAsia="zh-CN"/>
              </w:rPr>
              <w:t>。</w:t>
            </w:r>
          </w:p>
          <w:p w14:paraId="58004619">
            <w:pPr>
              <w:pStyle w:val="32"/>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sz w:val="24"/>
                <w:szCs w:val="24"/>
                <w:highlight w:val="none"/>
              </w:rPr>
            </w:pPr>
            <w:r>
              <w:rPr>
                <w:rFonts w:hint="eastAsia" w:ascii="宋体" w:hAnsi="宋体" w:eastAsia="宋体" w:cs="宋体"/>
                <w:b/>
                <w:bCs/>
                <w:snapToGrid/>
                <w:color w:val="auto"/>
                <w:kern w:val="28"/>
                <w:sz w:val="24"/>
                <w:szCs w:val="24"/>
                <w:highlight w:val="none"/>
              </w:rPr>
              <w:t>备份响应文件签收人员联系电话：</w:t>
            </w:r>
            <w:r>
              <w:rPr>
                <w:rFonts w:hint="eastAsia" w:hAnsi="宋体" w:cs="宋体"/>
                <w:b/>
                <w:bCs/>
                <w:snapToGrid/>
                <w:color w:val="auto"/>
                <w:kern w:val="28"/>
                <w:sz w:val="24"/>
                <w:szCs w:val="24"/>
                <w:highlight w:val="none"/>
                <w:lang w:val="en-US" w:eastAsia="zh-CN"/>
              </w:rPr>
              <w:t>王鸯鸯13373888477</w:t>
            </w:r>
            <w:r>
              <w:rPr>
                <w:rFonts w:hint="eastAsia" w:ascii="宋体" w:hAnsi="宋体" w:eastAsia="宋体" w:cs="宋体"/>
                <w:b/>
                <w:bCs/>
                <w:snapToGrid/>
                <w:color w:val="auto"/>
                <w:sz w:val="24"/>
                <w:szCs w:val="24"/>
                <w:highlight w:val="none"/>
              </w:rPr>
              <w:t>。</w:t>
            </w:r>
          </w:p>
          <w:p w14:paraId="42E647A9">
            <w:pPr>
              <w:pStyle w:val="32"/>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snapToGrid/>
                <w:color w:val="auto"/>
                <w:kern w:val="0"/>
                <w:sz w:val="24"/>
                <w:szCs w:val="24"/>
                <w:highlight w:val="none"/>
              </w:rPr>
            </w:pPr>
            <w:r>
              <w:rPr>
                <w:rFonts w:hint="eastAsia" w:ascii="宋体" w:hAnsi="宋体" w:eastAsia="宋体" w:cs="宋体"/>
                <w:b/>
                <w:snapToGrid/>
                <w:color w:val="auto"/>
                <w:sz w:val="24"/>
                <w:szCs w:val="24"/>
                <w:highlight w:val="none"/>
              </w:rPr>
              <w:t>采购人、</w:t>
            </w:r>
            <w:r>
              <w:rPr>
                <w:rFonts w:hint="eastAsia" w:ascii="宋体" w:hAnsi="宋体" w:eastAsia="宋体" w:cs="宋体"/>
                <w:b/>
                <w:snapToGrid/>
                <w:color w:val="auto"/>
                <w:sz w:val="24"/>
                <w:szCs w:val="24"/>
                <w:highlight w:val="none"/>
                <w:lang w:eastAsia="zh-CN"/>
              </w:rPr>
              <w:t>采购代理机构</w:t>
            </w:r>
            <w:r>
              <w:rPr>
                <w:rFonts w:hint="eastAsia" w:ascii="宋体" w:hAnsi="宋体" w:eastAsia="宋体" w:cs="宋体"/>
                <w:b/>
                <w:snapToGrid/>
                <w:color w:val="auto"/>
                <w:sz w:val="24"/>
                <w:szCs w:val="24"/>
                <w:highlight w:val="none"/>
              </w:rPr>
              <w:t>不强制或变相强制供应商提交备份响应文件。</w:t>
            </w:r>
          </w:p>
        </w:tc>
      </w:tr>
      <w:tr w14:paraId="568A110B">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90" w:hRule="atLeast"/>
        </w:trPr>
        <w:tc>
          <w:tcPr>
            <w:tcW w:w="354" w:type="pct"/>
            <w:tcBorders>
              <w:tl2br w:val="nil"/>
              <w:tr2bl w:val="nil"/>
            </w:tcBorders>
            <w:vAlign w:val="center"/>
          </w:tcPr>
          <w:p w14:paraId="6D49014D">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napToGrid/>
                <w:color w:val="auto"/>
                <w:sz w:val="24"/>
                <w:szCs w:val="24"/>
                <w:highlight w:val="none"/>
                <w:lang w:val="en-US" w:eastAsia="zh-CN"/>
              </w:rPr>
            </w:pPr>
            <w:r>
              <w:rPr>
                <w:rFonts w:hint="eastAsia" w:ascii="宋体" w:hAnsi="宋体" w:eastAsia="宋体" w:cs="宋体"/>
                <w:snapToGrid/>
                <w:color w:val="auto"/>
                <w:sz w:val="24"/>
                <w:szCs w:val="24"/>
                <w:highlight w:val="none"/>
              </w:rPr>
              <w:t>1</w:t>
            </w:r>
            <w:r>
              <w:rPr>
                <w:rFonts w:hint="eastAsia" w:ascii="宋体" w:hAnsi="宋体" w:cs="宋体"/>
                <w:snapToGrid/>
                <w:color w:val="auto"/>
                <w:sz w:val="24"/>
                <w:szCs w:val="24"/>
                <w:highlight w:val="none"/>
                <w:lang w:val="en-US" w:eastAsia="zh-CN"/>
              </w:rPr>
              <w:t>2</w:t>
            </w:r>
          </w:p>
        </w:tc>
        <w:tc>
          <w:tcPr>
            <w:tcW w:w="1052" w:type="pct"/>
            <w:tcBorders>
              <w:tl2br w:val="nil"/>
              <w:tr2bl w:val="nil"/>
            </w:tcBorders>
            <w:vAlign w:val="center"/>
          </w:tcPr>
          <w:p w14:paraId="3F30A7DE">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napToGrid/>
                <w:color w:val="auto"/>
                <w:kern w:val="2"/>
                <w:sz w:val="24"/>
                <w:szCs w:val="24"/>
                <w:highlight w:val="none"/>
                <w:lang w:val="en-US" w:eastAsia="zh-CN" w:bidi="ar-SA"/>
              </w:rPr>
            </w:pPr>
            <w:r>
              <w:rPr>
                <w:rFonts w:hint="eastAsia" w:ascii="宋体" w:hAnsi="宋体" w:eastAsia="宋体" w:cs="宋体"/>
                <w:b/>
                <w:snapToGrid/>
                <w:color w:val="auto"/>
                <w:sz w:val="24"/>
                <w:szCs w:val="24"/>
                <w:highlight w:val="none"/>
              </w:rPr>
              <w:t>采购代理服务费</w:t>
            </w:r>
          </w:p>
        </w:tc>
        <w:tc>
          <w:tcPr>
            <w:tcW w:w="3592" w:type="pct"/>
            <w:tcBorders>
              <w:tl2br w:val="nil"/>
              <w:tr2bl w:val="nil"/>
            </w:tcBorders>
            <w:vAlign w:val="center"/>
          </w:tcPr>
          <w:p w14:paraId="302D6140">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28"/>
                <w:sz w:val="24"/>
                <w:szCs w:val="24"/>
                <w:highlight w:val="none"/>
              </w:rPr>
            </w:pPr>
            <w:r>
              <w:rPr>
                <w:rFonts w:hint="eastAsia" w:ascii="宋体" w:hAnsi="宋体" w:eastAsia="宋体" w:cs="宋体"/>
                <w:snapToGrid/>
                <w:color w:val="auto"/>
                <w:kern w:val="28"/>
                <w:sz w:val="24"/>
                <w:szCs w:val="24"/>
                <w:highlight w:val="none"/>
              </w:rPr>
              <w:t>成交服务费的收取标准：本项目采购代理服务费用参照《招标代理服务收费管理暂行办法》(计价格【2002】1980号)规定的</w:t>
            </w:r>
            <w:r>
              <w:rPr>
                <w:rFonts w:hint="eastAsia" w:ascii="宋体" w:hAnsi="宋体" w:eastAsia="宋体" w:cs="宋体"/>
                <w:snapToGrid/>
                <w:color w:val="auto"/>
                <w:kern w:val="28"/>
                <w:sz w:val="24"/>
                <w:szCs w:val="24"/>
                <w:highlight w:val="none"/>
                <w:lang w:val="en-US" w:eastAsia="zh-CN"/>
              </w:rPr>
              <w:t>工程</w:t>
            </w:r>
            <w:r>
              <w:rPr>
                <w:rFonts w:hint="eastAsia" w:ascii="宋体" w:hAnsi="宋体" w:eastAsia="宋体" w:cs="宋体"/>
                <w:snapToGrid/>
                <w:color w:val="auto"/>
                <w:kern w:val="28"/>
                <w:sz w:val="24"/>
                <w:szCs w:val="24"/>
                <w:highlight w:val="none"/>
              </w:rPr>
              <w:t>费率</w:t>
            </w:r>
            <w:r>
              <w:rPr>
                <w:rFonts w:hint="eastAsia" w:ascii="宋体" w:hAnsi="宋体" w:cs="宋体"/>
                <w:snapToGrid/>
                <w:color w:val="auto"/>
                <w:kern w:val="28"/>
                <w:sz w:val="24"/>
                <w:szCs w:val="24"/>
                <w:highlight w:val="none"/>
                <w:lang w:val="en-US" w:eastAsia="zh-CN"/>
              </w:rPr>
              <w:t>下浮20%</w:t>
            </w:r>
            <w:r>
              <w:rPr>
                <w:rFonts w:hint="eastAsia" w:ascii="宋体" w:hAnsi="宋体" w:eastAsia="宋体" w:cs="宋体"/>
                <w:snapToGrid/>
                <w:color w:val="auto"/>
                <w:kern w:val="28"/>
                <w:sz w:val="24"/>
                <w:szCs w:val="24"/>
                <w:highlight w:val="none"/>
              </w:rPr>
              <w:t>，以</w:t>
            </w:r>
            <w:r>
              <w:rPr>
                <w:rFonts w:hint="eastAsia" w:ascii="宋体" w:hAnsi="宋体" w:eastAsia="宋体" w:cs="宋体"/>
                <w:snapToGrid/>
                <w:color w:val="auto"/>
                <w:kern w:val="28"/>
                <w:sz w:val="24"/>
                <w:szCs w:val="24"/>
                <w:highlight w:val="none"/>
                <w:lang w:val="en-US" w:eastAsia="zh-CN"/>
              </w:rPr>
              <w:t>成交</w:t>
            </w:r>
            <w:r>
              <w:rPr>
                <w:rFonts w:hint="eastAsia" w:ascii="宋体" w:hAnsi="宋体" w:eastAsia="宋体" w:cs="宋体"/>
                <w:snapToGrid/>
                <w:color w:val="auto"/>
                <w:kern w:val="28"/>
                <w:sz w:val="24"/>
                <w:szCs w:val="24"/>
                <w:highlight w:val="none"/>
              </w:rPr>
              <w:t>金额为计费基数，按费率差额定律累进计取</w:t>
            </w:r>
            <w:r>
              <w:rPr>
                <w:rFonts w:hint="eastAsia" w:ascii="宋体" w:hAnsi="宋体" w:eastAsia="宋体" w:cs="宋体"/>
                <w:snapToGrid/>
                <w:color w:val="auto"/>
                <w:kern w:val="28"/>
                <w:sz w:val="24"/>
                <w:szCs w:val="24"/>
                <w:highlight w:val="none"/>
                <w:lang w:eastAsia="zh-CN"/>
              </w:rPr>
              <w:t>，</w:t>
            </w:r>
            <w:r>
              <w:rPr>
                <w:rFonts w:hint="eastAsia" w:ascii="宋体" w:hAnsi="宋体" w:eastAsia="宋体" w:cs="宋体"/>
                <w:snapToGrid/>
                <w:color w:val="auto"/>
                <w:kern w:val="28"/>
                <w:sz w:val="24"/>
                <w:szCs w:val="24"/>
                <w:highlight w:val="none"/>
                <w:lang w:val="en-US" w:eastAsia="zh-CN"/>
              </w:rPr>
              <w:t>向成交供应商收取代理服务费</w:t>
            </w:r>
            <w:r>
              <w:rPr>
                <w:rFonts w:hint="eastAsia" w:ascii="宋体" w:hAnsi="宋体" w:eastAsia="宋体" w:cs="宋体"/>
                <w:snapToGrid/>
                <w:color w:val="auto"/>
                <w:kern w:val="28"/>
                <w:sz w:val="24"/>
                <w:szCs w:val="24"/>
                <w:highlight w:val="none"/>
              </w:rPr>
              <w:t>。</w:t>
            </w:r>
          </w:p>
          <w:p w14:paraId="7268EF67">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28"/>
                <w:sz w:val="24"/>
                <w:szCs w:val="24"/>
                <w:highlight w:val="none"/>
              </w:rPr>
            </w:pPr>
            <w:r>
              <w:rPr>
                <w:rFonts w:hint="eastAsia" w:ascii="宋体" w:hAnsi="宋体" w:eastAsia="宋体" w:cs="宋体"/>
                <w:snapToGrid/>
                <w:color w:val="auto"/>
                <w:kern w:val="28"/>
                <w:sz w:val="24"/>
                <w:szCs w:val="24"/>
                <w:highlight w:val="none"/>
              </w:rPr>
              <w:t>备注：成交服务费只收现金、银行票汇款、电汇款。汇入以下账户：</w:t>
            </w:r>
          </w:p>
          <w:p w14:paraId="57F6513D">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28"/>
                <w:sz w:val="24"/>
                <w:szCs w:val="24"/>
                <w:highlight w:val="none"/>
              </w:rPr>
            </w:pPr>
            <w:r>
              <w:rPr>
                <w:rFonts w:hint="eastAsia" w:ascii="宋体" w:hAnsi="宋体" w:eastAsia="宋体" w:cs="宋体"/>
                <w:snapToGrid/>
                <w:color w:val="auto"/>
                <w:kern w:val="28"/>
                <w:sz w:val="24"/>
                <w:szCs w:val="24"/>
                <w:highlight w:val="none"/>
              </w:rPr>
              <w:t>开户银行：宁波银行科技支行</w:t>
            </w:r>
          </w:p>
          <w:p w14:paraId="3E62B65B">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28"/>
                <w:sz w:val="24"/>
                <w:szCs w:val="24"/>
                <w:highlight w:val="none"/>
              </w:rPr>
            </w:pPr>
            <w:r>
              <w:rPr>
                <w:rFonts w:hint="eastAsia" w:ascii="宋体" w:hAnsi="宋体" w:eastAsia="宋体" w:cs="宋体"/>
                <w:snapToGrid/>
                <w:color w:val="auto"/>
                <w:kern w:val="28"/>
                <w:sz w:val="24"/>
                <w:szCs w:val="24"/>
                <w:highlight w:val="none"/>
              </w:rPr>
              <w:t>账号：31010122000005488</w:t>
            </w:r>
          </w:p>
          <w:p w14:paraId="1A0C0485">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28"/>
                <w:sz w:val="24"/>
                <w:szCs w:val="24"/>
                <w:highlight w:val="none"/>
                <w:lang w:val="en-US" w:eastAsia="zh-CN" w:bidi="ar-SA"/>
              </w:rPr>
            </w:pPr>
            <w:r>
              <w:rPr>
                <w:rFonts w:hint="eastAsia" w:ascii="宋体" w:hAnsi="宋体" w:eastAsia="宋体" w:cs="宋体"/>
                <w:snapToGrid/>
                <w:color w:val="auto"/>
                <w:kern w:val="28"/>
                <w:sz w:val="24"/>
                <w:szCs w:val="24"/>
                <w:highlight w:val="none"/>
              </w:rPr>
              <w:t>户名：宁波中基国际招标有限公司</w:t>
            </w:r>
          </w:p>
        </w:tc>
      </w:tr>
      <w:tr w14:paraId="1AA4E2F3">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tcBorders>
              <w:tl2br w:val="nil"/>
              <w:tr2bl w:val="nil"/>
            </w:tcBorders>
            <w:vAlign w:val="center"/>
          </w:tcPr>
          <w:p w14:paraId="35960C33">
            <w:pPr>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宋体" w:cs="宋体"/>
                <w:snapToGrid/>
                <w:color w:val="auto"/>
                <w:sz w:val="24"/>
                <w:szCs w:val="24"/>
                <w:highlight w:val="none"/>
                <w:lang w:val="en-US" w:eastAsia="zh-CN"/>
              </w:rPr>
            </w:pPr>
            <w:bookmarkStart w:id="15" w:name="第三部分"/>
            <w:bookmarkStart w:id="16" w:name="_Toc164416483"/>
            <w:r>
              <w:rPr>
                <w:rFonts w:hint="eastAsia" w:ascii="宋体" w:hAnsi="宋体" w:cs="宋体"/>
                <w:snapToGrid/>
                <w:color w:val="auto"/>
                <w:sz w:val="24"/>
                <w:szCs w:val="24"/>
                <w:highlight w:val="none"/>
                <w:lang w:val="en-US" w:eastAsia="zh-CN"/>
              </w:rPr>
              <w:t>13</w:t>
            </w:r>
          </w:p>
        </w:tc>
        <w:tc>
          <w:tcPr>
            <w:tcW w:w="1052" w:type="pct"/>
            <w:tcBorders>
              <w:tl2br w:val="nil"/>
              <w:tr2bl w:val="nil"/>
            </w:tcBorders>
            <w:vAlign w:val="center"/>
          </w:tcPr>
          <w:p w14:paraId="27054A58">
            <w:pPr>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宋体" w:cs="宋体"/>
                <w:b/>
                <w:snapToGrid/>
                <w:color w:val="auto"/>
                <w:sz w:val="24"/>
                <w:szCs w:val="24"/>
                <w:highlight w:val="none"/>
                <w:lang w:val="en-US" w:eastAsia="zh-CN"/>
              </w:rPr>
            </w:pPr>
            <w:r>
              <w:rPr>
                <w:rFonts w:hint="eastAsia" w:ascii="宋体" w:hAnsi="宋体" w:cs="宋体"/>
                <w:b/>
                <w:snapToGrid/>
                <w:color w:val="auto"/>
                <w:sz w:val="24"/>
                <w:szCs w:val="24"/>
                <w:highlight w:val="none"/>
                <w:lang w:val="en-US" w:eastAsia="zh-CN"/>
              </w:rPr>
              <w:t>其他说明</w:t>
            </w:r>
          </w:p>
        </w:tc>
        <w:tc>
          <w:tcPr>
            <w:tcW w:w="3592" w:type="pct"/>
            <w:tcBorders>
              <w:tl2br w:val="nil"/>
              <w:tr2bl w:val="nil"/>
            </w:tcBorders>
            <w:vAlign w:val="center"/>
          </w:tcPr>
          <w:p w14:paraId="1BB9A004">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28"/>
                <w:sz w:val="24"/>
                <w:szCs w:val="24"/>
                <w:highlight w:val="none"/>
              </w:rPr>
            </w:pPr>
            <w:r>
              <w:rPr>
                <w:rFonts w:hint="eastAsia" w:ascii="宋体" w:hAnsi="宋体" w:eastAsia="宋体" w:cs="宋体"/>
                <w:snapToGrid/>
                <w:color w:val="auto"/>
                <w:kern w:val="28"/>
                <w:sz w:val="24"/>
                <w:szCs w:val="24"/>
                <w:highlight w:val="none"/>
              </w:rPr>
              <w:t>1</w:t>
            </w:r>
            <w:r>
              <w:rPr>
                <w:rFonts w:hint="eastAsia" w:ascii="宋体" w:hAnsi="宋体" w:cs="宋体"/>
                <w:snapToGrid/>
                <w:color w:val="auto"/>
                <w:kern w:val="28"/>
                <w:sz w:val="24"/>
                <w:szCs w:val="24"/>
                <w:highlight w:val="none"/>
                <w:lang w:val="en-US" w:eastAsia="zh-CN"/>
              </w:rPr>
              <w:t>3</w:t>
            </w:r>
            <w:r>
              <w:rPr>
                <w:rFonts w:hint="eastAsia" w:ascii="宋体" w:hAnsi="宋体" w:eastAsia="宋体" w:cs="宋体"/>
                <w:snapToGrid/>
                <w:color w:val="auto"/>
                <w:kern w:val="28"/>
                <w:sz w:val="24"/>
                <w:szCs w:val="24"/>
                <w:highlight w:val="none"/>
              </w:rPr>
              <w:t>.1磋商文件的标题和序号只是为了查阅方便，不影响对磋商文件的理解。</w:t>
            </w:r>
          </w:p>
          <w:p w14:paraId="20594B74">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28"/>
                <w:sz w:val="24"/>
                <w:szCs w:val="24"/>
                <w:highlight w:val="none"/>
              </w:rPr>
            </w:pPr>
            <w:r>
              <w:rPr>
                <w:rFonts w:hint="eastAsia" w:ascii="宋体" w:hAnsi="宋体" w:eastAsia="宋体" w:cs="宋体"/>
                <w:snapToGrid/>
                <w:color w:val="auto"/>
                <w:kern w:val="28"/>
                <w:sz w:val="24"/>
                <w:szCs w:val="24"/>
                <w:highlight w:val="none"/>
              </w:rPr>
              <w:t>1</w:t>
            </w:r>
            <w:r>
              <w:rPr>
                <w:rFonts w:hint="eastAsia" w:ascii="宋体" w:hAnsi="宋体" w:cs="宋体"/>
                <w:snapToGrid/>
                <w:color w:val="auto"/>
                <w:kern w:val="28"/>
                <w:sz w:val="24"/>
                <w:szCs w:val="24"/>
                <w:highlight w:val="none"/>
                <w:lang w:val="en-US" w:eastAsia="zh-CN"/>
              </w:rPr>
              <w:t>3</w:t>
            </w:r>
            <w:r>
              <w:rPr>
                <w:rFonts w:hint="eastAsia" w:ascii="宋体" w:hAnsi="宋体" w:eastAsia="宋体" w:cs="宋体"/>
                <w:snapToGrid/>
                <w:color w:val="auto"/>
                <w:kern w:val="28"/>
                <w:sz w:val="24"/>
                <w:szCs w:val="24"/>
                <w:highlight w:val="none"/>
              </w:rPr>
              <w:t>.2磋商文件如出现某品牌、型号的内容是为了更好的描述产品的性能、规格及要求，并无指定产品品牌、型号的意思表达。</w:t>
            </w:r>
          </w:p>
          <w:p w14:paraId="3FD13DC2">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28"/>
                <w:sz w:val="24"/>
                <w:szCs w:val="24"/>
                <w:highlight w:val="none"/>
              </w:rPr>
            </w:pPr>
            <w:r>
              <w:rPr>
                <w:rFonts w:hint="eastAsia" w:ascii="宋体" w:hAnsi="宋体" w:eastAsia="宋体" w:cs="宋体"/>
                <w:snapToGrid/>
                <w:color w:val="auto"/>
                <w:kern w:val="28"/>
                <w:sz w:val="24"/>
                <w:szCs w:val="24"/>
                <w:highlight w:val="none"/>
              </w:rPr>
              <w:t>1</w:t>
            </w:r>
            <w:r>
              <w:rPr>
                <w:rFonts w:hint="eastAsia" w:ascii="宋体" w:hAnsi="宋体" w:cs="宋体"/>
                <w:snapToGrid/>
                <w:color w:val="auto"/>
                <w:kern w:val="28"/>
                <w:sz w:val="24"/>
                <w:szCs w:val="24"/>
                <w:highlight w:val="none"/>
                <w:lang w:val="en-US" w:eastAsia="zh-CN"/>
              </w:rPr>
              <w:t>3</w:t>
            </w:r>
            <w:r>
              <w:rPr>
                <w:rFonts w:hint="eastAsia" w:ascii="宋体" w:hAnsi="宋体" w:eastAsia="宋体" w:cs="宋体"/>
                <w:snapToGrid/>
                <w:color w:val="auto"/>
                <w:kern w:val="28"/>
                <w:sz w:val="24"/>
                <w:szCs w:val="24"/>
                <w:highlight w:val="none"/>
              </w:rPr>
              <w:t>.3供应商提交的响应文件针对磋商文件同一条款出现不同表述（响应）的，按照不利于供应商的标准进行认定；在合同签订或履行中发现存在上述情形的，按照有利于采购人的标准执行。</w:t>
            </w:r>
          </w:p>
          <w:p w14:paraId="0E44C729">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28"/>
                <w:sz w:val="24"/>
                <w:szCs w:val="24"/>
                <w:highlight w:val="none"/>
              </w:rPr>
            </w:pPr>
            <w:r>
              <w:rPr>
                <w:rFonts w:hint="eastAsia" w:ascii="宋体" w:hAnsi="宋体" w:eastAsia="宋体" w:cs="宋体"/>
                <w:snapToGrid/>
                <w:color w:val="auto"/>
                <w:kern w:val="28"/>
                <w:sz w:val="24"/>
                <w:szCs w:val="24"/>
                <w:highlight w:val="none"/>
              </w:rPr>
              <w:t>1</w:t>
            </w:r>
            <w:r>
              <w:rPr>
                <w:rFonts w:hint="eastAsia" w:ascii="宋体" w:hAnsi="宋体" w:cs="宋体"/>
                <w:snapToGrid/>
                <w:color w:val="auto"/>
                <w:kern w:val="28"/>
                <w:sz w:val="24"/>
                <w:szCs w:val="24"/>
                <w:highlight w:val="none"/>
                <w:lang w:val="en-US" w:eastAsia="zh-CN"/>
              </w:rPr>
              <w:t>3</w:t>
            </w:r>
            <w:r>
              <w:rPr>
                <w:rFonts w:hint="eastAsia" w:ascii="宋体" w:hAnsi="宋体" w:eastAsia="宋体" w:cs="宋体"/>
                <w:snapToGrid/>
                <w:color w:val="auto"/>
                <w:kern w:val="28"/>
                <w:sz w:val="24"/>
                <w:szCs w:val="24"/>
                <w:highlight w:val="none"/>
              </w:rPr>
              <w:t>.4磋商文件要求携带原件备查的资料，如该资料可以通过互联网或者相关信息系统查询的，供应商能够当场提供账号、网址等进行查询、核实资料真伪及有关数据的，视同提供了原件。</w:t>
            </w:r>
          </w:p>
          <w:p w14:paraId="531F39D7">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28"/>
                <w:sz w:val="24"/>
                <w:szCs w:val="24"/>
                <w:highlight w:val="none"/>
              </w:rPr>
            </w:pPr>
            <w:r>
              <w:rPr>
                <w:rFonts w:hint="eastAsia" w:ascii="宋体" w:hAnsi="宋体" w:eastAsia="宋体" w:cs="宋体"/>
                <w:snapToGrid/>
                <w:color w:val="auto"/>
                <w:kern w:val="28"/>
                <w:sz w:val="24"/>
                <w:szCs w:val="24"/>
                <w:highlight w:val="none"/>
              </w:rPr>
              <w:t>1</w:t>
            </w:r>
            <w:r>
              <w:rPr>
                <w:rFonts w:hint="eastAsia" w:ascii="宋体" w:hAnsi="宋体" w:cs="宋体"/>
                <w:snapToGrid/>
                <w:color w:val="auto"/>
                <w:kern w:val="28"/>
                <w:sz w:val="24"/>
                <w:szCs w:val="24"/>
                <w:highlight w:val="none"/>
                <w:lang w:val="en-US" w:eastAsia="zh-CN"/>
              </w:rPr>
              <w:t>3</w:t>
            </w:r>
            <w:r>
              <w:rPr>
                <w:rFonts w:hint="eastAsia" w:ascii="宋体" w:hAnsi="宋体" w:eastAsia="宋体" w:cs="宋体"/>
                <w:snapToGrid/>
                <w:color w:val="auto"/>
                <w:kern w:val="28"/>
                <w:sz w:val="24"/>
                <w:szCs w:val="24"/>
                <w:highlight w:val="none"/>
              </w:rPr>
              <w:t>.5供应商应当及时维护政府采购云平台（https://www.zcygov.cn/）注册信息，包含但不仅限于单位银行账户信息等。</w:t>
            </w:r>
          </w:p>
        </w:tc>
      </w:tr>
      <w:bookmarkEnd w:id="11"/>
    </w:tbl>
    <w:p w14:paraId="7CD857E6">
      <w:pPr>
        <w:pageBreakBefore w:val="0"/>
        <w:kinsoku/>
        <w:wordWrap/>
        <w:overflowPunct/>
        <w:topLinePunct w:val="0"/>
        <w:bidi w:val="0"/>
        <w:adjustRightInd/>
        <w:snapToGrid/>
        <w:spacing w:beforeAutospacing="0" w:line="360" w:lineRule="auto"/>
        <w:jc w:val="center"/>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6F6CA125">
      <w:pPr>
        <w:pageBreakBefore w:val="0"/>
        <w:kinsoku/>
        <w:wordWrap/>
        <w:overflowPunct/>
        <w:topLinePunct w:val="0"/>
        <w:bidi w:val="0"/>
        <w:adjustRightInd/>
        <w:snapToGrid/>
        <w:spacing w:beforeAutospacing="0" w:line="360" w:lineRule="auto"/>
        <w:ind w:firstLine="482" w:firstLineChars="200"/>
        <w:jc w:val="both"/>
        <w:textAlignment w:val="auto"/>
        <w:outlineLvl w:val="9"/>
        <w:rPr>
          <w:rFonts w:ascii="宋体" w:hAnsi="宋体" w:cs="宋体"/>
          <w:b/>
          <w:color w:val="auto"/>
          <w:sz w:val="24"/>
          <w:highlight w:val="none"/>
        </w:rPr>
      </w:pPr>
      <w:r>
        <w:rPr>
          <w:rFonts w:hint="eastAsia" w:ascii="宋体" w:hAnsi="宋体" w:cs="宋体"/>
          <w:b/>
          <w:color w:val="auto"/>
          <w:sz w:val="24"/>
          <w:highlight w:val="none"/>
        </w:rPr>
        <w:t>1.适用范围</w:t>
      </w:r>
    </w:p>
    <w:p w14:paraId="7F973715">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079FA89B">
      <w:pPr>
        <w:pageBreakBefore w:val="0"/>
        <w:kinsoku/>
        <w:wordWrap/>
        <w:overflowPunct/>
        <w:topLinePunct w:val="0"/>
        <w:bidi w:val="0"/>
        <w:adjustRightInd/>
        <w:snapToGrid/>
        <w:spacing w:beforeAutospacing="0" w:line="360" w:lineRule="auto"/>
        <w:ind w:firstLine="482" w:firstLineChars="200"/>
        <w:jc w:val="both"/>
        <w:textAlignment w:val="auto"/>
        <w:outlineLvl w:val="9"/>
        <w:rPr>
          <w:rFonts w:ascii="宋体" w:hAnsi="宋体" w:cs="宋体"/>
          <w:b/>
          <w:color w:val="auto"/>
          <w:sz w:val="24"/>
          <w:highlight w:val="none"/>
        </w:rPr>
      </w:pPr>
      <w:r>
        <w:rPr>
          <w:rFonts w:hint="eastAsia" w:ascii="宋体" w:hAnsi="宋体" w:cs="宋体"/>
          <w:b/>
          <w:color w:val="auto"/>
          <w:sz w:val="24"/>
          <w:highlight w:val="none"/>
        </w:rPr>
        <w:t>2.定义</w:t>
      </w:r>
    </w:p>
    <w:p w14:paraId="79A6F10A">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2.1“采购人”系指竞争性磋商公告中载明的本项目的采购人。</w:t>
      </w:r>
    </w:p>
    <w:p w14:paraId="03C807AE">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”系指竞争性磋商公告中载明的本项目的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2BD519C0">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2.3“供应商”系指是指提交响应文件和报价、参与竞争性磋商采购活动的法人、其他组织或者自然人。</w:t>
      </w:r>
    </w:p>
    <w:p w14:paraId="40AEB5F7">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2.4“负责人”系指法人企业的法定负责人，或其他组织为法律、行政法规规定代表单位行使职权的主要负责人，或自然人本人。</w:t>
      </w:r>
    </w:p>
    <w:p w14:paraId="08D80759">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w:t>
      </w:r>
      <w:r>
        <w:rPr>
          <w:rFonts w:hint="eastAsia" w:ascii="宋体" w:hAnsi="宋体" w:cs="宋体"/>
          <w:color w:val="auto"/>
          <w:sz w:val="24"/>
          <w:highlight w:val="none"/>
          <w:lang w:val="en-US" w:eastAsia="zh-CN"/>
        </w:rPr>
        <w:t>格式详见附件</w:t>
      </w:r>
      <w:r>
        <w:rPr>
          <w:rFonts w:hint="eastAsia" w:ascii="宋体" w:hAnsi="宋体" w:cs="宋体"/>
          <w:color w:val="auto"/>
          <w:sz w:val="24"/>
          <w:highlight w:val="none"/>
        </w:rPr>
        <w:t>）。</w:t>
      </w:r>
    </w:p>
    <w:p w14:paraId="5698E8B1">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43108A36">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2.7“▲”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”系指不适用本项目的要求。</w:t>
      </w:r>
    </w:p>
    <w:p w14:paraId="61C83D7A">
      <w:pPr>
        <w:pageBreakBefore w:val="0"/>
        <w:kinsoku/>
        <w:wordWrap/>
        <w:overflowPunct/>
        <w:topLinePunct w:val="0"/>
        <w:bidi w:val="0"/>
        <w:adjustRightInd/>
        <w:snapToGrid/>
        <w:spacing w:beforeAutospacing="0" w:line="360" w:lineRule="auto"/>
        <w:ind w:firstLine="482" w:firstLineChars="200"/>
        <w:jc w:val="both"/>
        <w:textAlignment w:val="auto"/>
        <w:outlineLvl w:val="9"/>
        <w:rPr>
          <w:rFonts w:ascii="宋体" w:hAnsi="宋体" w:cs="宋体"/>
          <w:b/>
          <w:color w:val="auto"/>
          <w:sz w:val="24"/>
          <w:highlight w:val="none"/>
        </w:rPr>
      </w:pPr>
      <w:r>
        <w:rPr>
          <w:rFonts w:hint="eastAsia" w:ascii="宋体" w:hAnsi="宋体" w:cs="宋体"/>
          <w:b/>
          <w:color w:val="auto"/>
          <w:sz w:val="24"/>
          <w:highlight w:val="none"/>
        </w:rPr>
        <w:t>3.采购项目需要落实的政府采购政策</w:t>
      </w:r>
    </w:p>
    <w:p w14:paraId="0699E187">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FA58E28">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3.2 支持绿色发展</w:t>
      </w:r>
    </w:p>
    <w:p w14:paraId="78113787">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260345E1">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w:t>
      </w:r>
    </w:p>
    <w:p w14:paraId="28B9D31F">
      <w:pPr>
        <w:pageBreakBefore w:val="0"/>
        <w:tabs>
          <w:tab w:val="left" w:pos="0"/>
        </w:tabs>
        <w:kinsoku/>
        <w:wordWrap/>
        <w:overflowPunct/>
        <w:topLinePunct w:val="0"/>
        <w:bidi w:val="0"/>
        <w:adjustRightInd/>
        <w:snapToGrid/>
        <w:spacing w:beforeAutospacing="0" w:line="360" w:lineRule="auto"/>
        <w:ind w:left="0" w:leftChars="0" w:firstLine="480" w:firstLineChars="200"/>
        <w:jc w:val="both"/>
        <w:textAlignment w:val="auto"/>
        <w:outlineLvl w:val="9"/>
        <w:rPr>
          <w:color w:val="auto"/>
          <w:highlight w:val="none"/>
          <w:lang w:val="en-US"/>
        </w:rPr>
      </w:pPr>
      <w:r>
        <w:rPr>
          <w:rFonts w:ascii="宋体" w:hAnsi="宋体" w:eastAsia="宋体" w:cs="宋体"/>
          <w:b w:val="0"/>
          <w:bCs w:val="0"/>
          <w:color w:val="auto"/>
          <w:sz w:val="24"/>
          <w:szCs w:val="24"/>
          <w:highlight w:val="none"/>
          <w:lang w:val="en-US"/>
        </w:rPr>
        <w:t>3.2.</w:t>
      </w:r>
      <w:r>
        <w:rPr>
          <w:rFonts w:hint="eastAsia" w:ascii="宋体" w:hAnsi="宋体" w:cs="宋体"/>
          <w:b w:val="0"/>
          <w:bCs w:val="0"/>
          <w:color w:val="auto"/>
          <w:sz w:val="24"/>
          <w:szCs w:val="24"/>
          <w:highlight w:val="none"/>
          <w:lang w:val="en-US" w:eastAsia="zh-CN"/>
        </w:rPr>
        <w:t>3</w:t>
      </w:r>
      <w:r>
        <w:rPr>
          <w:rFonts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szCs w:val="24"/>
          <w:highlight w:val="none"/>
          <w:lang w:val="en-US"/>
        </w:rPr>
        <w:t>鼓励供应商在参加政府采购过程中开展绿色设计、选择绿色材料、打造绿色制造工艺、开展绿色运输、做好废弃产品回收处理，实现产品全周期的绿色环保。</w:t>
      </w:r>
    </w:p>
    <w:p w14:paraId="0E9D2737">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3.3支持中小企业发展</w:t>
      </w:r>
    </w:p>
    <w:p w14:paraId="53617F19">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85AE2C4">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A15B557">
      <w:pPr>
        <w:pageBreakBefore w:val="0"/>
        <w:widowControl/>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13B1F99C">
      <w:pPr>
        <w:pageBreakBefore w:val="0"/>
        <w:widowControl/>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C842592">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%的扣除，用扣除后的价格参与评审。接受大中型企业与小微企业组成联合体或者允许大中型企业向一家或者多家小微企业分包的政府采购工程项目，对于</w:t>
      </w:r>
      <w:bookmarkStart w:id="17" w:name="_Hlk101132181"/>
      <w:r>
        <w:rPr>
          <w:rFonts w:hint="eastAsia" w:ascii="宋体" w:hAnsi="宋体" w:cs="宋体"/>
          <w:color w:val="auto"/>
          <w:sz w:val="24"/>
          <w:highlight w:val="none"/>
        </w:rPr>
        <w:t>联合协议或者分包意向协议约定小微企业的合同份额占到合同总金额30%以上的</w:t>
      </w:r>
      <w:bookmarkEnd w:id="17"/>
      <w:r>
        <w:rPr>
          <w:rFonts w:hint="eastAsia" w:ascii="宋体" w:hAnsi="宋体" w:cs="宋体"/>
          <w:color w:val="auto"/>
          <w:sz w:val="24"/>
          <w:highlight w:val="none"/>
        </w:rPr>
        <w:t>，对联合体或者大中型企业的报价给予</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69F0959">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w:t>
      </w:r>
      <w:r>
        <w:rPr>
          <w:rFonts w:hint="eastAsia" w:ascii="宋体" w:hAnsi="宋体" w:cs="宋体"/>
          <w:color w:val="auto"/>
          <w:sz w:val="24"/>
          <w:highlight w:val="none"/>
          <w:lang w:val="en-US" w:eastAsia="zh-CN"/>
        </w:rPr>
        <w:t>格式详见附件</w:t>
      </w:r>
      <w:r>
        <w:rPr>
          <w:rFonts w:hint="eastAsia" w:ascii="宋体" w:hAnsi="宋体" w:cs="宋体"/>
          <w:color w:val="auto"/>
          <w:sz w:val="24"/>
          <w:highlight w:val="none"/>
        </w:rPr>
        <w:t>）的残疾人福利性单位视同小型、微型企业；</w:t>
      </w:r>
    </w:p>
    <w:p w14:paraId="63322342">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DAE4DDB">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6B2BC39E">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983EDC7">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04F6CEFC">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lang w:val="en-US" w:eastAsia="zh-CN"/>
        </w:rPr>
        <w:t>对省级以上主管部门认定的首台套产品，自纳入《省推广应用指导目录》起三年内参加政府采购活动，视同已具备相应销售业绩，业绩分为满分</w:t>
      </w:r>
      <w:r>
        <w:rPr>
          <w:rFonts w:hint="eastAsia" w:ascii="宋体" w:hAnsi="宋体" w:cs="宋体"/>
          <w:color w:val="auto"/>
          <w:sz w:val="24"/>
          <w:highlight w:val="none"/>
        </w:rPr>
        <w:t>。</w:t>
      </w:r>
    </w:p>
    <w:p w14:paraId="09311867">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5B23979F">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color w:val="auto"/>
          <w:sz w:val="24"/>
          <w:highlight w:val="none"/>
          <w:lang w:val="en-US" w:eastAsia="zh-CN"/>
        </w:rPr>
        <w:t xml:space="preserve">    </w:t>
      </w:r>
      <w:r>
        <w:rPr>
          <w:rFonts w:hint="eastAsia" w:ascii="宋体" w:hAnsi="宋体" w:cs="宋体"/>
          <w:b/>
          <w:color w:val="auto"/>
          <w:sz w:val="24"/>
          <w:highlight w:val="none"/>
        </w:rPr>
        <w:t>4.询问、质疑、投诉</w:t>
      </w:r>
    </w:p>
    <w:p w14:paraId="6300F97B">
      <w:pPr>
        <w:pStyle w:val="890"/>
        <w:pageBreakBefore w:val="0"/>
        <w:shd w:val="clear" w:color="auto" w:fill="FFFFFF"/>
        <w:kinsoku/>
        <w:wordWrap/>
        <w:overflowPunct/>
        <w:topLinePunct w:val="0"/>
        <w:bidi w:val="0"/>
        <w:adjustRightInd/>
        <w:snapToGrid/>
        <w:spacing w:before="0" w:beforeAutospacing="0" w:after="0" w:afterAutospacing="0" w:line="360" w:lineRule="auto"/>
        <w:ind w:left="0" w:leftChars="0" w:firstLine="480" w:firstLineChars="200"/>
        <w:contextualSpacing/>
        <w:jc w:val="both"/>
        <w:textAlignment w:val="auto"/>
        <w:outlineLvl w:val="9"/>
        <w:rPr>
          <w:color w:val="auto"/>
          <w:highlight w:val="none"/>
        </w:rPr>
      </w:pPr>
      <w:r>
        <w:rPr>
          <w:rFonts w:hint="eastAsia"/>
          <w:color w:val="auto"/>
          <w:highlight w:val="none"/>
        </w:rPr>
        <w:t>4.1在线询问、质疑</w:t>
      </w:r>
    </w:p>
    <w:p w14:paraId="54247D2B">
      <w:pPr>
        <w:pStyle w:val="890"/>
        <w:pageBreakBefore w:val="0"/>
        <w:shd w:val="clear" w:color="auto" w:fill="FFFFFF"/>
        <w:kinsoku/>
        <w:wordWrap/>
        <w:overflowPunct/>
        <w:topLinePunct w:val="0"/>
        <w:bidi w:val="0"/>
        <w:adjustRightInd/>
        <w:snapToGrid/>
        <w:spacing w:before="0" w:beforeAutospacing="0" w:after="0" w:afterAutospacing="0" w:line="360" w:lineRule="auto"/>
        <w:ind w:left="0" w:leftChars="0" w:firstLine="480" w:firstLineChars="200"/>
        <w:contextualSpacing/>
        <w:jc w:val="both"/>
        <w:textAlignment w:val="auto"/>
        <w:outlineLvl w:val="9"/>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w:t>
      </w:r>
    </w:p>
    <w:p w14:paraId="01C11336">
      <w:pPr>
        <w:pageBreakBefore w:val="0"/>
        <w:kinsoku/>
        <w:wordWrap/>
        <w:overflowPunct/>
        <w:topLinePunct w:val="0"/>
        <w:autoSpaceDE w:val="0"/>
        <w:autoSpaceDN w:val="0"/>
        <w:bidi w:val="0"/>
        <w:adjustRightInd/>
        <w:snapToGrid/>
        <w:spacing w:beforeAutospacing="0" w:line="360" w:lineRule="auto"/>
        <w:ind w:left="0" w:leftChars="0" w:firstLine="480" w:firstLineChars="200"/>
        <w:jc w:val="both"/>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5C4F935C">
      <w:pPr>
        <w:pageBreakBefore w:val="0"/>
        <w:kinsoku/>
        <w:wordWrap/>
        <w:overflowPunct/>
        <w:topLinePunct w:val="0"/>
        <w:autoSpaceDE w:val="0"/>
        <w:autoSpaceDN w:val="0"/>
        <w:bidi w:val="0"/>
        <w:adjustRightInd/>
        <w:snapToGrid/>
        <w:spacing w:beforeAutospacing="0" w:line="360" w:lineRule="auto"/>
        <w:ind w:left="0" w:leftChars="0" w:firstLine="480" w:firstLineChars="200"/>
        <w:jc w:val="both"/>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F420DC1">
      <w:pPr>
        <w:pageBreakBefore w:val="0"/>
        <w:kinsoku/>
        <w:wordWrap/>
        <w:overflowPunct/>
        <w:topLinePunct w:val="0"/>
        <w:autoSpaceDE w:val="0"/>
        <w:autoSpaceDN w:val="0"/>
        <w:bidi w:val="0"/>
        <w:adjustRightInd/>
        <w:snapToGrid/>
        <w:spacing w:beforeAutospacing="0" w:line="360" w:lineRule="auto"/>
        <w:ind w:left="0" w:leftChars="0" w:firstLine="480" w:firstLineChars="200"/>
        <w:jc w:val="both"/>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3D77322A">
      <w:pPr>
        <w:pStyle w:val="32"/>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36FF3E85">
      <w:pPr>
        <w:pStyle w:val="32"/>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5829CFF3">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5D92C364">
      <w:pPr>
        <w:pStyle w:val="32"/>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1553E109">
      <w:pPr>
        <w:pStyle w:val="32"/>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0AA97D43">
      <w:pPr>
        <w:pStyle w:val="32"/>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4C5EEF2E">
      <w:pPr>
        <w:pStyle w:val="32"/>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3B4D3519">
      <w:pPr>
        <w:pStyle w:val="32"/>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7C379117">
      <w:pPr>
        <w:pStyle w:val="32"/>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41039705">
      <w:pPr>
        <w:pStyle w:val="32"/>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6AFE920B">
      <w:pPr>
        <w:pStyle w:val="32"/>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79DB6781">
      <w:pPr>
        <w:pStyle w:val="32"/>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421D8F0">
      <w:pPr>
        <w:pStyle w:val="890"/>
        <w:pageBreakBefore w:val="0"/>
        <w:shd w:val="clear" w:color="auto" w:fill="FFFFFF"/>
        <w:kinsoku/>
        <w:wordWrap/>
        <w:overflowPunct/>
        <w:topLinePunct w:val="0"/>
        <w:bidi w:val="0"/>
        <w:adjustRightInd/>
        <w:snapToGrid/>
        <w:spacing w:before="0" w:beforeAutospacing="0" w:after="0" w:afterAutospacing="0" w:line="360" w:lineRule="auto"/>
        <w:ind w:left="0" w:leftChars="0" w:firstLine="480" w:firstLineChars="200"/>
        <w:contextualSpacing/>
        <w:jc w:val="both"/>
        <w:textAlignment w:val="auto"/>
        <w:outlineLvl w:val="9"/>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7FDC630">
      <w:pPr>
        <w:pStyle w:val="890"/>
        <w:pageBreakBefore w:val="0"/>
        <w:shd w:val="clear" w:color="auto" w:fill="FFFFFF"/>
        <w:kinsoku/>
        <w:wordWrap/>
        <w:overflowPunct/>
        <w:topLinePunct w:val="0"/>
        <w:bidi w:val="0"/>
        <w:adjustRightInd/>
        <w:snapToGrid/>
        <w:spacing w:before="0" w:beforeAutospacing="0" w:after="0" w:afterAutospacing="0" w:line="360" w:lineRule="auto"/>
        <w:ind w:left="0" w:leftChars="0" w:firstLine="480" w:firstLineChars="200"/>
        <w:contextualSpacing/>
        <w:jc w:val="both"/>
        <w:textAlignment w:val="auto"/>
        <w:outlineLvl w:val="9"/>
        <w:rPr>
          <w:color w:val="auto"/>
          <w:highlight w:val="none"/>
        </w:rPr>
      </w:pPr>
      <w:r>
        <w:rPr>
          <w:rFonts w:hint="eastAsia" w:hAnsi="宋体" w:cs="宋体"/>
          <w:kern w:val="0"/>
          <w:sz w:val="24"/>
          <w:szCs w:val="24"/>
          <w:highlight w:val="none"/>
          <w:lang w:val="zh-CN"/>
        </w:rPr>
        <w:t>质疑函范本请到浙江政府采购网下载专区下载</w:t>
      </w:r>
      <w:r>
        <w:rPr>
          <w:rFonts w:hint="eastAsia"/>
          <w:color w:val="auto"/>
          <w:highlight w:val="none"/>
        </w:rPr>
        <w:t>。</w:t>
      </w:r>
    </w:p>
    <w:p w14:paraId="70BA87B2">
      <w:pPr>
        <w:widowControl/>
        <w:adjustRightInd/>
        <w:jc w:val="center"/>
        <w:rPr>
          <w:rFonts w:ascii="宋体" w:hAnsi="宋体" w:eastAsia="宋体"/>
          <w:b/>
          <w:color w:val="auto"/>
          <w:sz w:val="28"/>
          <w:szCs w:val="28"/>
          <w:highlight w:val="none"/>
        </w:rPr>
      </w:pPr>
      <w:r>
        <w:rPr>
          <w:rFonts w:hint="eastAsia" w:ascii="宋体" w:hAnsi="宋体" w:eastAsia="宋体"/>
          <w:b/>
          <w:color w:val="auto"/>
          <w:sz w:val="28"/>
          <w:szCs w:val="28"/>
          <w:highlight w:val="none"/>
        </w:rPr>
        <w:t>质疑答复责任主体一览表</w:t>
      </w:r>
    </w:p>
    <w:tbl>
      <w:tblPr>
        <w:tblStyle w:val="63"/>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2506"/>
        <w:gridCol w:w="4513"/>
        <w:gridCol w:w="2222"/>
      </w:tblGrid>
      <w:tr w14:paraId="11701A7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054" w:type="dxa"/>
            <w:gridSpan w:val="2"/>
            <w:tcBorders>
              <w:tl2br w:val="nil"/>
              <w:tr2bl w:val="nil"/>
            </w:tcBorders>
            <w:noWrap w:val="0"/>
            <w:vAlign w:val="center"/>
          </w:tcPr>
          <w:p w14:paraId="2E8D0082">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b/>
                <w:bCs/>
                <w:color w:val="auto"/>
                <w:sz w:val="24"/>
                <w:szCs w:val="24"/>
                <w:highlight w:val="none"/>
              </w:rPr>
            </w:pPr>
            <w:r>
              <w:rPr>
                <w:rFonts w:hint="eastAsia" w:ascii="宋体" w:hAnsi="宋体" w:eastAsia="宋体"/>
                <w:b/>
                <w:bCs/>
                <w:color w:val="auto"/>
                <w:sz w:val="24"/>
                <w:szCs w:val="24"/>
                <w:highlight w:val="none"/>
              </w:rPr>
              <w:t>质疑内容</w:t>
            </w:r>
          </w:p>
        </w:tc>
        <w:tc>
          <w:tcPr>
            <w:tcW w:w="2232" w:type="dxa"/>
            <w:tcBorders>
              <w:tl2br w:val="nil"/>
              <w:tr2bl w:val="nil"/>
            </w:tcBorders>
            <w:noWrap w:val="0"/>
            <w:vAlign w:val="center"/>
          </w:tcPr>
          <w:p w14:paraId="03A36553">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b/>
                <w:bCs/>
                <w:color w:val="auto"/>
                <w:sz w:val="24"/>
                <w:szCs w:val="24"/>
                <w:highlight w:val="none"/>
              </w:rPr>
            </w:pPr>
            <w:r>
              <w:rPr>
                <w:rFonts w:hint="eastAsia" w:ascii="宋体" w:hAnsi="宋体" w:eastAsia="宋体"/>
                <w:b/>
                <w:bCs/>
                <w:color w:val="auto"/>
                <w:sz w:val="24"/>
                <w:szCs w:val="24"/>
                <w:highlight w:val="none"/>
              </w:rPr>
              <w:t>质疑答复责任主体</w:t>
            </w:r>
          </w:p>
        </w:tc>
      </w:tr>
      <w:tr w14:paraId="4262CAD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518" w:type="dxa"/>
            <w:vMerge w:val="restart"/>
            <w:tcBorders>
              <w:tl2br w:val="nil"/>
              <w:tr2bl w:val="nil"/>
            </w:tcBorders>
            <w:noWrap w:val="0"/>
            <w:vAlign w:val="center"/>
          </w:tcPr>
          <w:p w14:paraId="2A5E77BB">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olor w:val="auto"/>
                <w:sz w:val="24"/>
                <w:szCs w:val="24"/>
                <w:highlight w:val="none"/>
              </w:rPr>
            </w:pPr>
            <w:r>
              <w:rPr>
                <w:rFonts w:hint="eastAsia" w:ascii="宋体" w:hAnsi="宋体" w:eastAsia="宋体"/>
                <w:color w:val="auto"/>
                <w:sz w:val="24"/>
                <w:szCs w:val="24"/>
                <w:highlight w:val="none"/>
              </w:rPr>
              <w:t>对采购文件提出质疑</w:t>
            </w:r>
          </w:p>
        </w:tc>
        <w:tc>
          <w:tcPr>
            <w:tcW w:w="4536" w:type="dxa"/>
            <w:tcBorders>
              <w:tl2br w:val="nil"/>
              <w:tr2bl w:val="nil"/>
            </w:tcBorders>
            <w:noWrap w:val="0"/>
            <w:vAlign w:val="center"/>
          </w:tcPr>
          <w:p w14:paraId="4335C583">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eastAsia="宋体"/>
                <w:color w:val="auto"/>
                <w:sz w:val="24"/>
                <w:szCs w:val="24"/>
                <w:highlight w:val="none"/>
              </w:rPr>
            </w:pPr>
            <w:r>
              <w:rPr>
                <w:rFonts w:hint="eastAsia" w:ascii="宋体" w:hAnsi="宋体" w:eastAsia="宋体"/>
                <w:color w:val="auto"/>
                <w:sz w:val="24"/>
                <w:szCs w:val="24"/>
                <w:highlight w:val="none"/>
              </w:rPr>
              <w:t>对采购文件中特定资格条件、采购需求、评审办法、评审标准提出的质疑</w:t>
            </w:r>
          </w:p>
        </w:tc>
        <w:tc>
          <w:tcPr>
            <w:tcW w:w="2232" w:type="dxa"/>
            <w:tcBorders>
              <w:tl2br w:val="nil"/>
              <w:tr2bl w:val="nil"/>
            </w:tcBorders>
            <w:noWrap w:val="0"/>
            <w:vAlign w:val="center"/>
          </w:tcPr>
          <w:p w14:paraId="61FF2367">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olor w:val="auto"/>
                <w:sz w:val="24"/>
                <w:szCs w:val="24"/>
                <w:highlight w:val="none"/>
              </w:rPr>
            </w:pPr>
            <w:r>
              <w:rPr>
                <w:rFonts w:hint="eastAsia" w:ascii="宋体" w:hAnsi="宋体" w:eastAsia="宋体"/>
                <w:color w:val="auto"/>
                <w:sz w:val="24"/>
                <w:szCs w:val="24"/>
                <w:highlight w:val="none"/>
              </w:rPr>
              <w:t>采购人</w:t>
            </w:r>
          </w:p>
        </w:tc>
      </w:tr>
      <w:tr w14:paraId="1DCA203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518" w:type="dxa"/>
            <w:vMerge w:val="continue"/>
            <w:tcBorders>
              <w:tl2br w:val="nil"/>
              <w:tr2bl w:val="nil"/>
            </w:tcBorders>
            <w:noWrap w:val="0"/>
            <w:vAlign w:val="center"/>
          </w:tcPr>
          <w:p w14:paraId="116507E0">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olor w:val="auto"/>
                <w:sz w:val="24"/>
                <w:szCs w:val="24"/>
                <w:highlight w:val="none"/>
              </w:rPr>
            </w:pPr>
          </w:p>
        </w:tc>
        <w:tc>
          <w:tcPr>
            <w:tcW w:w="4536" w:type="dxa"/>
            <w:tcBorders>
              <w:tl2br w:val="nil"/>
              <w:tr2bl w:val="nil"/>
            </w:tcBorders>
            <w:noWrap w:val="0"/>
            <w:vAlign w:val="center"/>
          </w:tcPr>
          <w:p w14:paraId="46FD35ED">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eastAsia="宋体"/>
                <w:color w:val="auto"/>
                <w:sz w:val="24"/>
                <w:szCs w:val="24"/>
                <w:highlight w:val="none"/>
              </w:rPr>
            </w:pPr>
            <w:r>
              <w:rPr>
                <w:rFonts w:hint="eastAsia" w:ascii="宋体" w:hAnsi="宋体" w:eastAsia="宋体"/>
                <w:color w:val="auto"/>
                <w:sz w:val="24"/>
                <w:szCs w:val="24"/>
                <w:highlight w:val="none"/>
              </w:rPr>
              <w:t>对采购文件中其他内容提出的质疑</w:t>
            </w:r>
          </w:p>
        </w:tc>
        <w:tc>
          <w:tcPr>
            <w:tcW w:w="2232" w:type="dxa"/>
            <w:tcBorders>
              <w:tl2br w:val="nil"/>
              <w:tr2bl w:val="nil"/>
            </w:tcBorders>
            <w:noWrap w:val="0"/>
            <w:vAlign w:val="center"/>
          </w:tcPr>
          <w:p w14:paraId="2E891DFC">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olor w:val="auto"/>
                <w:sz w:val="24"/>
                <w:szCs w:val="24"/>
                <w:highlight w:val="none"/>
              </w:rPr>
            </w:pPr>
            <w:r>
              <w:rPr>
                <w:rFonts w:hint="eastAsia" w:ascii="宋体" w:hAnsi="宋体" w:eastAsia="宋体"/>
                <w:color w:val="auto"/>
                <w:sz w:val="24"/>
                <w:szCs w:val="24"/>
                <w:highlight w:val="none"/>
              </w:rPr>
              <w:t>采购代理机构</w:t>
            </w:r>
          </w:p>
        </w:tc>
      </w:tr>
      <w:tr w14:paraId="227403C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518" w:type="dxa"/>
            <w:vMerge w:val="restart"/>
            <w:tcBorders>
              <w:tl2br w:val="nil"/>
              <w:tr2bl w:val="nil"/>
            </w:tcBorders>
            <w:noWrap w:val="0"/>
            <w:vAlign w:val="center"/>
          </w:tcPr>
          <w:p w14:paraId="6D325A8D">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olor w:val="auto"/>
                <w:sz w:val="24"/>
                <w:szCs w:val="24"/>
                <w:highlight w:val="none"/>
              </w:rPr>
            </w:pPr>
            <w:r>
              <w:rPr>
                <w:rFonts w:hint="eastAsia" w:ascii="宋体" w:hAnsi="宋体" w:eastAsia="宋体"/>
                <w:color w:val="auto"/>
                <w:sz w:val="24"/>
                <w:szCs w:val="24"/>
                <w:highlight w:val="none"/>
              </w:rPr>
              <w:t>对采购过程提出质疑</w:t>
            </w:r>
          </w:p>
        </w:tc>
        <w:tc>
          <w:tcPr>
            <w:tcW w:w="4536" w:type="dxa"/>
            <w:tcBorders>
              <w:tl2br w:val="nil"/>
              <w:tr2bl w:val="nil"/>
            </w:tcBorders>
            <w:noWrap w:val="0"/>
            <w:vAlign w:val="center"/>
          </w:tcPr>
          <w:p w14:paraId="4BE18C70">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eastAsia="宋体"/>
                <w:color w:val="auto"/>
                <w:sz w:val="24"/>
                <w:szCs w:val="24"/>
                <w:highlight w:val="none"/>
              </w:rPr>
            </w:pPr>
            <w:r>
              <w:rPr>
                <w:rFonts w:hint="eastAsia" w:ascii="宋体" w:hAnsi="宋体" w:eastAsia="宋体"/>
                <w:color w:val="auto"/>
                <w:sz w:val="24"/>
                <w:szCs w:val="24"/>
                <w:highlight w:val="none"/>
              </w:rPr>
              <w:t>有关现场考察或开启响应文件前答疑会事项提出的质疑</w:t>
            </w:r>
          </w:p>
        </w:tc>
        <w:tc>
          <w:tcPr>
            <w:tcW w:w="2232" w:type="dxa"/>
            <w:tcBorders>
              <w:tl2br w:val="nil"/>
              <w:tr2bl w:val="nil"/>
            </w:tcBorders>
            <w:noWrap w:val="0"/>
            <w:vAlign w:val="center"/>
          </w:tcPr>
          <w:p w14:paraId="6F3D62C5">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olor w:val="auto"/>
                <w:sz w:val="24"/>
                <w:szCs w:val="24"/>
                <w:highlight w:val="none"/>
              </w:rPr>
            </w:pPr>
            <w:r>
              <w:rPr>
                <w:rFonts w:hint="eastAsia" w:ascii="宋体" w:hAnsi="宋体" w:eastAsia="宋体"/>
                <w:color w:val="auto"/>
                <w:sz w:val="24"/>
                <w:szCs w:val="24"/>
                <w:highlight w:val="none"/>
              </w:rPr>
              <w:t>采购人</w:t>
            </w:r>
          </w:p>
        </w:tc>
      </w:tr>
      <w:tr w14:paraId="6E53CE0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518" w:type="dxa"/>
            <w:vMerge w:val="continue"/>
            <w:tcBorders>
              <w:tl2br w:val="nil"/>
              <w:tr2bl w:val="nil"/>
            </w:tcBorders>
            <w:noWrap w:val="0"/>
            <w:vAlign w:val="center"/>
          </w:tcPr>
          <w:p w14:paraId="40029A71">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olor w:val="auto"/>
                <w:sz w:val="24"/>
                <w:szCs w:val="24"/>
                <w:highlight w:val="none"/>
              </w:rPr>
            </w:pPr>
          </w:p>
        </w:tc>
        <w:tc>
          <w:tcPr>
            <w:tcW w:w="4536" w:type="dxa"/>
            <w:tcBorders>
              <w:tl2br w:val="nil"/>
              <w:tr2bl w:val="nil"/>
            </w:tcBorders>
            <w:noWrap w:val="0"/>
            <w:vAlign w:val="center"/>
          </w:tcPr>
          <w:p w14:paraId="2DB6E084">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eastAsia="宋体"/>
                <w:color w:val="auto"/>
                <w:sz w:val="24"/>
                <w:szCs w:val="24"/>
                <w:highlight w:val="none"/>
              </w:rPr>
            </w:pPr>
            <w:r>
              <w:rPr>
                <w:rFonts w:hint="eastAsia" w:ascii="宋体" w:hAnsi="宋体" w:eastAsia="宋体"/>
                <w:color w:val="auto"/>
                <w:sz w:val="24"/>
                <w:szCs w:val="24"/>
                <w:highlight w:val="none"/>
              </w:rPr>
              <w:t>对采购过程中其它事项提出的质疑</w:t>
            </w:r>
          </w:p>
        </w:tc>
        <w:tc>
          <w:tcPr>
            <w:tcW w:w="2232" w:type="dxa"/>
            <w:tcBorders>
              <w:tl2br w:val="nil"/>
              <w:tr2bl w:val="nil"/>
            </w:tcBorders>
            <w:noWrap w:val="0"/>
            <w:vAlign w:val="center"/>
          </w:tcPr>
          <w:p w14:paraId="4D85A5C2">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olor w:val="auto"/>
                <w:sz w:val="24"/>
                <w:szCs w:val="24"/>
                <w:highlight w:val="none"/>
              </w:rPr>
            </w:pPr>
            <w:r>
              <w:rPr>
                <w:rFonts w:hint="eastAsia" w:ascii="宋体" w:hAnsi="宋体" w:eastAsia="宋体"/>
                <w:color w:val="auto"/>
                <w:sz w:val="24"/>
                <w:szCs w:val="24"/>
                <w:highlight w:val="none"/>
              </w:rPr>
              <w:t>采购代理机构</w:t>
            </w:r>
          </w:p>
        </w:tc>
      </w:tr>
      <w:tr w14:paraId="0E28B2B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518" w:type="dxa"/>
            <w:tcBorders>
              <w:tl2br w:val="nil"/>
              <w:tr2bl w:val="nil"/>
            </w:tcBorders>
            <w:noWrap w:val="0"/>
            <w:vAlign w:val="center"/>
          </w:tcPr>
          <w:p w14:paraId="2CB2EB40">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olor w:val="auto"/>
                <w:sz w:val="24"/>
                <w:szCs w:val="24"/>
                <w:highlight w:val="none"/>
              </w:rPr>
            </w:pPr>
            <w:r>
              <w:rPr>
                <w:rFonts w:hint="eastAsia" w:ascii="宋体" w:hAnsi="宋体" w:eastAsia="宋体"/>
                <w:color w:val="auto"/>
                <w:sz w:val="24"/>
                <w:szCs w:val="24"/>
                <w:highlight w:val="none"/>
              </w:rPr>
              <w:t>对采购结果提出质疑</w:t>
            </w:r>
          </w:p>
        </w:tc>
        <w:tc>
          <w:tcPr>
            <w:tcW w:w="4536" w:type="dxa"/>
            <w:tcBorders>
              <w:tl2br w:val="nil"/>
              <w:tr2bl w:val="nil"/>
            </w:tcBorders>
            <w:noWrap w:val="0"/>
            <w:vAlign w:val="center"/>
          </w:tcPr>
          <w:p w14:paraId="1CD83999">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eastAsia="宋体"/>
                <w:color w:val="auto"/>
                <w:sz w:val="24"/>
                <w:szCs w:val="24"/>
                <w:highlight w:val="none"/>
              </w:rPr>
            </w:pPr>
            <w:r>
              <w:rPr>
                <w:rFonts w:hint="eastAsia" w:ascii="宋体" w:hAnsi="宋体" w:eastAsia="宋体"/>
                <w:color w:val="auto"/>
                <w:sz w:val="24"/>
                <w:szCs w:val="24"/>
                <w:highlight w:val="none"/>
              </w:rPr>
              <w:t>对采购结果提出的质疑</w:t>
            </w:r>
          </w:p>
        </w:tc>
        <w:tc>
          <w:tcPr>
            <w:tcW w:w="2232" w:type="dxa"/>
            <w:tcBorders>
              <w:tl2br w:val="nil"/>
              <w:tr2bl w:val="nil"/>
            </w:tcBorders>
            <w:noWrap w:val="0"/>
            <w:vAlign w:val="center"/>
          </w:tcPr>
          <w:p w14:paraId="2409D1BB">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olor w:val="auto"/>
                <w:sz w:val="24"/>
                <w:szCs w:val="24"/>
                <w:highlight w:val="none"/>
              </w:rPr>
            </w:pPr>
            <w:r>
              <w:rPr>
                <w:rFonts w:hint="eastAsia" w:ascii="宋体" w:hAnsi="宋体" w:eastAsia="宋体"/>
                <w:color w:val="auto"/>
                <w:sz w:val="24"/>
                <w:szCs w:val="24"/>
                <w:highlight w:val="none"/>
              </w:rPr>
              <w:t>采购代理机构</w:t>
            </w:r>
          </w:p>
        </w:tc>
      </w:tr>
    </w:tbl>
    <w:p w14:paraId="2858EDFF">
      <w:pPr>
        <w:pStyle w:val="890"/>
        <w:pageBreakBefore w:val="0"/>
        <w:shd w:val="clear" w:color="auto" w:fill="FFFFFF"/>
        <w:kinsoku/>
        <w:wordWrap/>
        <w:overflowPunct/>
        <w:topLinePunct w:val="0"/>
        <w:bidi w:val="0"/>
        <w:adjustRightInd/>
        <w:snapToGrid/>
        <w:spacing w:before="0" w:beforeAutospacing="0" w:after="0" w:afterAutospacing="0" w:line="360" w:lineRule="auto"/>
        <w:ind w:left="0" w:leftChars="0" w:firstLine="480" w:firstLineChars="200"/>
        <w:contextualSpacing/>
        <w:jc w:val="both"/>
        <w:textAlignment w:val="auto"/>
        <w:outlineLvl w:val="9"/>
        <w:rPr>
          <w:color w:val="auto"/>
          <w:highlight w:val="none"/>
        </w:rPr>
      </w:pPr>
      <w:r>
        <w:rPr>
          <w:rFonts w:hint="eastAsia"/>
          <w:color w:val="auto"/>
          <w:highlight w:val="none"/>
        </w:rPr>
        <w:t>4.3.4对同一采购程序环节的质疑，供应商须在法定质疑期内一次性提出。</w:t>
      </w:r>
    </w:p>
    <w:p w14:paraId="7FEBB9D8">
      <w:pPr>
        <w:pStyle w:val="890"/>
        <w:pageBreakBefore w:val="0"/>
        <w:shd w:val="clear" w:color="auto" w:fill="FFFFFF"/>
        <w:kinsoku/>
        <w:wordWrap/>
        <w:overflowPunct/>
        <w:topLinePunct w:val="0"/>
        <w:bidi w:val="0"/>
        <w:adjustRightInd/>
        <w:snapToGrid/>
        <w:spacing w:before="0" w:beforeAutospacing="0" w:after="0" w:afterAutospacing="0" w:line="360" w:lineRule="auto"/>
        <w:ind w:left="0" w:leftChars="0" w:firstLine="480" w:firstLineChars="200"/>
        <w:contextualSpacing/>
        <w:jc w:val="both"/>
        <w:textAlignment w:val="auto"/>
        <w:outlineLvl w:val="9"/>
        <w:rPr>
          <w:rFonts w:hint="eastAsia"/>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color w:val="auto"/>
          <w:sz w:val="24"/>
          <w:highlight w:val="none"/>
        </w:rPr>
        <w:t>根据《</w:t>
      </w:r>
      <w:r>
        <w:rPr>
          <w:rFonts w:hint="eastAsia" w:asciiTheme="minorEastAsia" w:hAnsiTheme="minorEastAsia" w:eastAsiaTheme="minorEastAsia"/>
          <w:color w:val="auto"/>
          <w:sz w:val="24"/>
          <w:highlight w:val="none"/>
          <w:lang w:val="en-US" w:eastAsia="zh-CN"/>
        </w:rPr>
        <w:t>浙江省财政厅</w:t>
      </w:r>
      <w:r>
        <w:rPr>
          <w:rFonts w:hint="eastAsia" w:asciiTheme="minorEastAsia" w:hAnsiTheme="minorEastAsia" w:eastAsiaTheme="minorEastAsia"/>
          <w:color w:val="auto"/>
          <w:sz w:val="24"/>
          <w:highlight w:val="none"/>
        </w:rPr>
        <w:t>关于进一步加强政府采购公</w:t>
      </w:r>
      <w:r>
        <w:rPr>
          <w:rFonts w:hint="eastAsia" w:asciiTheme="minorEastAsia" w:hAnsiTheme="minorEastAsia" w:eastAsiaTheme="minorEastAsia"/>
          <w:color w:val="auto"/>
          <w:sz w:val="24"/>
          <w:highlight w:val="none"/>
          <w:lang w:val="en-US" w:eastAsia="zh-CN"/>
        </w:rPr>
        <w:t>平竞争打造最</w:t>
      </w:r>
      <w:r>
        <w:rPr>
          <w:rFonts w:hint="eastAsia" w:asciiTheme="minorEastAsia" w:hAnsiTheme="minorEastAsia" w:eastAsiaTheme="minorEastAsia"/>
          <w:color w:val="auto"/>
          <w:sz w:val="24"/>
          <w:highlight w:val="none"/>
        </w:rPr>
        <w:t>优营商环境的通知》（</w:t>
      </w:r>
      <w:r>
        <w:rPr>
          <w:rFonts w:hint="eastAsia" w:asciiTheme="minorEastAsia" w:hAnsiTheme="minorEastAsia" w:eastAsiaTheme="minorEastAsia"/>
          <w:color w:val="auto"/>
          <w:sz w:val="24"/>
          <w:highlight w:val="none"/>
          <w:lang w:val="en-US" w:eastAsia="zh-CN"/>
        </w:rPr>
        <w:t>浙</w:t>
      </w:r>
      <w:r>
        <w:rPr>
          <w:rFonts w:hint="eastAsia" w:asciiTheme="minorEastAsia" w:hAnsiTheme="minorEastAsia" w:eastAsiaTheme="minorEastAsia"/>
          <w:color w:val="auto"/>
          <w:sz w:val="24"/>
          <w:highlight w:val="none"/>
        </w:rPr>
        <w:t>财采监〔</w:t>
      </w:r>
      <w:r>
        <w:rPr>
          <w:rFonts w:asciiTheme="minorEastAsia" w:hAnsiTheme="minorEastAsia" w:eastAsiaTheme="minorEastAsia"/>
          <w:color w:val="auto"/>
          <w:sz w:val="24"/>
          <w:highlight w:val="none"/>
        </w:rPr>
        <w:t>2021〕</w:t>
      </w:r>
      <w:r>
        <w:rPr>
          <w:rFonts w:hint="eastAsia" w:asciiTheme="minorEastAsia" w:hAnsiTheme="minorEastAsia" w:eastAsiaTheme="minorEastAsia"/>
          <w:color w:val="auto"/>
          <w:sz w:val="24"/>
          <w:highlight w:val="none"/>
          <w:lang w:val="en-US" w:eastAsia="zh-CN"/>
        </w:rPr>
        <w:t>22</w:t>
      </w:r>
      <w:r>
        <w:rPr>
          <w:rFonts w:asciiTheme="minorEastAsia" w:hAnsiTheme="minorEastAsia" w:eastAsiaTheme="minorEastAsia"/>
          <w:color w:val="auto"/>
          <w:sz w:val="24"/>
          <w:highlight w:val="none"/>
        </w:rPr>
        <w:t>号）</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1B69B656">
      <w:pPr>
        <w:pStyle w:val="890"/>
        <w:pageBreakBefore w:val="0"/>
        <w:shd w:val="clear" w:color="auto" w:fill="FFFFFF"/>
        <w:kinsoku/>
        <w:wordWrap/>
        <w:overflowPunct/>
        <w:topLinePunct w:val="0"/>
        <w:bidi w:val="0"/>
        <w:adjustRightInd/>
        <w:snapToGrid/>
        <w:spacing w:before="0" w:beforeAutospacing="0" w:after="0" w:afterAutospacing="0" w:line="360" w:lineRule="auto"/>
        <w:ind w:left="0" w:leftChars="0" w:firstLine="480" w:firstLineChars="200"/>
        <w:contextualSpacing/>
        <w:jc w:val="both"/>
        <w:textAlignment w:val="auto"/>
        <w:outlineLvl w:val="9"/>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7FEDEA44">
      <w:pPr>
        <w:pStyle w:val="890"/>
        <w:pageBreakBefore w:val="0"/>
        <w:shd w:val="clear" w:color="auto" w:fill="FFFFFF"/>
        <w:kinsoku/>
        <w:wordWrap/>
        <w:overflowPunct/>
        <w:topLinePunct w:val="0"/>
        <w:bidi w:val="0"/>
        <w:adjustRightInd/>
        <w:snapToGrid/>
        <w:spacing w:before="0" w:beforeAutospacing="0" w:after="0" w:afterAutospacing="0" w:line="360" w:lineRule="auto"/>
        <w:ind w:left="0" w:leftChars="0" w:firstLine="480" w:firstLineChars="200"/>
        <w:contextualSpacing/>
        <w:jc w:val="both"/>
        <w:textAlignment w:val="auto"/>
        <w:outlineLvl w:val="9"/>
        <w:rPr>
          <w:color w:val="auto"/>
          <w:highlight w:val="none"/>
          <w:lang w:val="zh-CN"/>
        </w:rPr>
      </w:pPr>
      <w:r>
        <w:rPr>
          <w:rFonts w:hint="eastAsia"/>
          <w:color w:val="auto"/>
          <w:highlight w:val="none"/>
          <w:lang w:val="zh-CN"/>
        </w:rPr>
        <w:t>4.4供应商投诉</w:t>
      </w:r>
    </w:p>
    <w:p w14:paraId="5FD03838">
      <w:pPr>
        <w:pStyle w:val="890"/>
        <w:pageBreakBefore w:val="0"/>
        <w:shd w:val="clear" w:color="auto" w:fill="FFFFFF"/>
        <w:kinsoku/>
        <w:wordWrap/>
        <w:overflowPunct/>
        <w:topLinePunct w:val="0"/>
        <w:bidi w:val="0"/>
        <w:adjustRightInd/>
        <w:snapToGrid/>
        <w:spacing w:before="0" w:beforeAutospacing="0" w:after="0" w:afterAutospacing="0" w:line="360" w:lineRule="auto"/>
        <w:ind w:left="0" w:leftChars="0" w:firstLine="480" w:firstLineChars="200"/>
        <w:contextualSpacing/>
        <w:jc w:val="both"/>
        <w:textAlignment w:val="auto"/>
        <w:outlineLvl w:val="9"/>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454C8D3A">
      <w:pPr>
        <w:pStyle w:val="890"/>
        <w:pageBreakBefore w:val="0"/>
        <w:shd w:val="clear" w:color="auto" w:fill="FFFFFF"/>
        <w:kinsoku/>
        <w:wordWrap/>
        <w:overflowPunct/>
        <w:topLinePunct w:val="0"/>
        <w:bidi w:val="0"/>
        <w:adjustRightInd/>
        <w:snapToGrid/>
        <w:spacing w:before="0" w:beforeAutospacing="0" w:after="0" w:afterAutospacing="0" w:line="360" w:lineRule="auto"/>
        <w:ind w:left="0" w:leftChars="0" w:firstLine="480" w:firstLineChars="200"/>
        <w:contextualSpacing/>
        <w:jc w:val="both"/>
        <w:textAlignment w:val="auto"/>
        <w:outlineLvl w:val="9"/>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5F936ABA">
      <w:pPr>
        <w:pStyle w:val="890"/>
        <w:pageBreakBefore w:val="0"/>
        <w:shd w:val="clear" w:color="auto" w:fill="FFFFFF"/>
        <w:kinsoku/>
        <w:wordWrap/>
        <w:overflowPunct/>
        <w:topLinePunct w:val="0"/>
        <w:bidi w:val="0"/>
        <w:adjustRightInd/>
        <w:snapToGrid/>
        <w:spacing w:before="0" w:beforeAutospacing="0" w:after="0" w:afterAutospacing="0" w:line="360" w:lineRule="auto"/>
        <w:ind w:left="0" w:leftChars="0" w:firstLine="480" w:firstLineChars="200"/>
        <w:contextualSpacing/>
        <w:jc w:val="both"/>
        <w:textAlignment w:val="auto"/>
        <w:outlineLvl w:val="9"/>
        <w:rPr>
          <w:color w:val="auto"/>
          <w:highlight w:val="none"/>
        </w:rPr>
      </w:pPr>
      <w:r>
        <w:rPr>
          <w:rFonts w:hint="eastAsia"/>
          <w:color w:val="auto"/>
          <w:highlight w:val="none"/>
        </w:rPr>
        <w:t>4.4.3供应商投诉应当有明确的请求和必要的证明材料。</w:t>
      </w:r>
    </w:p>
    <w:p w14:paraId="7F0B1548">
      <w:pPr>
        <w:pStyle w:val="890"/>
        <w:pageBreakBefore w:val="0"/>
        <w:shd w:val="clear" w:color="auto" w:fill="FFFFFF"/>
        <w:kinsoku/>
        <w:wordWrap/>
        <w:overflowPunct/>
        <w:topLinePunct w:val="0"/>
        <w:bidi w:val="0"/>
        <w:adjustRightInd/>
        <w:snapToGrid/>
        <w:spacing w:before="0" w:beforeAutospacing="0" w:after="0" w:afterAutospacing="0" w:line="360" w:lineRule="auto"/>
        <w:ind w:left="0" w:leftChars="0" w:firstLine="480" w:firstLineChars="200"/>
        <w:contextualSpacing/>
        <w:jc w:val="both"/>
        <w:textAlignment w:val="auto"/>
        <w:outlineLvl w:val="9"/>
        <w:rPr>
          <w:color w:val="auto"/>
          <w:highlight w:val="none"/>
        </w:rPr>
      </w:pPr>
      <w:r>
        <w:rPr>
          <w:rFonts w:hint="eastAsia"/>
          <w:color w:val="auto"/>
          <w:highlight w:val="none"/>
        </w:rPr>
        <w:t>4.4.4以联合体形式参加政府采购活动的，其投诉应当由组成联合体的所有供应商共同提出。</w:t>
      </w:r>
    </w:p>
    <w:p w14:paraId="5A548E4D">
      <w:pPr>
        <w:pStyle w:val="890"/>
        <w:pageBreakBefore w:val="0"/>
        <w:shd w:val="clear" w:color="auto" w:fill="FFFFFF"/>
        <w:kinsoku/>
        <w:wordWrap/>
        <w:overflowPunct/>
        <w:topLinePunct w:val="0"/>
        <w:bidi w:val="0"/>
        <w:adjustRightInd/>
        <w:snapToGrid/>
        <w:spacing w:before="0" w:beforeAutospacing="0" w:after="0" w:afterAutospacing="0" w:line="360" w:lineRule="auto"/>
        <w:ind w:left="0" w:leftChars="0" w:firstLine="480" w:firstLineChars="200"/>
        <w:contextualSpacing/>
        <w:jc w:val="both"/>
        <w:textAlignment w:val="auto"/>
        <w:outlineLvl w:val="9"/>
        <w:rPr>
          <w:rFonts w:hint="default" w:eastAsia="宋体"/>
          <w:color w:val="auto"/>
          <w:highlight w:val="none"/>
          <w:lang w:val="en-US" w:eastAsia="zh-CN"/>
        </w:rPr>
      </w:pPr>
      <w:r>
        <w:rPr>
          <w:rFonts w:hint="eastAsia" w:asciiTheme="minorEastAsia" w:hAnsiTheme="minorEastAsia" w:eastAsiaTheme="minorEastAsia"/>
          <w:color w:val="auto"/>
          <w:highlight w:val="none"/>
        </w:rPr>
        <w:t>4.5.5</w:t>
      </w:r>
      <w:r>
        <w:rPr>
          <w:rFonts w:hint="eastAsia"/>
          <w:color w:val="auto"/>
          <w:highlight w:val="none"/>
        </w:rPr>
        <w:t>投诉材料可寄送至</w:t>
      </w:r>
      <w:r>
        <w:rPr>
          <w:rFonts w:hint="eastAsia"/>
          <w:color w:val="auto"/>
          <w:highlight w:val="none"/>
          <w:lang w:eastAsia="zh-CN"/>
        </w:rPr>
        <w:t>：宁波市政府采购管理办公室</w:t>
      </w:r>
      <w:r>
        <w:rPr>
          <w:rFonts w:hint="eastAsia"/>
          <w:color w:val="auto"/>
          <w:highlight w:val="none"/>
        </w:rPr>
        <w:t>，地址：宁波市海曙区中山西路19号，收件人：李老师，电话：0574-89388042</w:t>
      </w:r>
      <w:r>
        <w:rPr>
          <w:rFonts w:hint="eastAsia"/>
          <w:color w:val="auto"/>
          <w:highlight w:val="none"/>
          <w:lang w:val="en-US" w:eastAsia="zh-CN"/>
        </w:rPr>
        <w:t xml:space="preserve">  </w:t>
      </w:r>
    </w:p>
    <w:p w14:paraId="618F7503">
      <w:pPr>
        <w:pStyle w:val="890"/>
        <w:pageBreakBefore w:val="0"/>
        <w:shd w:val="clear" w:color="auto" w:fill="FFFFFF"/>
        <w:kinsoku/>
        <w:wordWrap/>
        <w:overflowPunct/>
        <w:topLinePunct w:val="0"/>
        <w:bidi w:val="0"/>
        <w:adjustRightInd/>
        <w:snapToGrid/>
        <w:spacing w:before="0" w:beforeAutospacing="0" w:after="0" w:afterAutospacing="0" w:line="360" w:lineRule="auto"/>
        <w:ind w:left="0" w:leftChars="0" w:firstLine="480" w:firstLineChars="200"/>
        <w:contextualSpacing/>
        <w:jc w:val="both"/>
        <w:textAlignment w:val="auto"/>
        <w:outlineLvl w:val="9"/>
        <w:rPr>
          <w:color w:val="auto"/>
          <w:highlight w:val="none"/>
        </w:rPr>
      </w:pPr>
      <w:r>
        <w:rPr>
          <w:rFonts w:hint="eastAsia" w:hAnsi="宋体" w:cs="宋体"/>
          <w:kern w:val="0"/>
          <w:sz w:val="24"/>
          <w:szCs w:val="24"/>
          <w:highlight w:val="none"/>
        </w:rPr>
        <w:t>投诉书范本请到浙江政府采购网下载专区下载</w:t>
      </w:r>
      <w:r>
        <w:rPr>
          <w:rFonts w:hint="eastAsia"/>
          <w:color w:val="auto"/>
          <w:highlight w:val="none"/>
        </w:rPr>
        <w:t>。</w:t>
      </w:r>
    </w:p>
    <w:p w14:paraId="7249DE33">
      <w:pPr>
        <w:pStyle w:val="132"/>
        <w:pageBreakBefore w:val="0"/>
        <w:kinsoku/>
        <w:wordWrap/>
        <w:overflowPunct/>
        <w:topLinePunct w:val="0"/>
        <w:bidi w:val="0"/>
        <w:adjustRightInd/>
        <w:snapToGrid/>
        <w:spacing w:before="0" w:beforeAutospacing="0" w:line="360" w:lineRule="auto"/>
        <w:ind w:left="0" w:leftChars="0" w:firstLine="360" w:firstLineChars="200"/>
        <w:jc w:val="both"/>
        <w:textAlignment w:val="auto"/>
        <w:outlineLvl w:val="9"/>
        <w:rPr>
          <w:rFonts w:ascii="宋体" w:hAnsi="宋体" w:cs="宋体"/>
          <w:color w:val="auto"/>
          <w:sz w:val="18"/>
          <w:szCs w:val="18"/>
          <w:highlight w:val="none"/>
        </w:rPr>
      </w:pPr>
    </w:p>
    <w:p w14:paraId="424CDE7E">
      <w:pPr>
        <w:pageBreakBefore w:val="0"/>
        <w:kinsoku/>
        <w:wordWrap/>
        <w:overflowPunct/>
        <w:topLinePunct w:val="0"/>
        <w:bidi w:val="0"/>
        <w:adjustRightInd/>
        <w:snapToGrid/>
        <w:spacing w:beforeAutospacing="0" w:line="360" w:lineRule="auto"/>
        <w:jc w:val="center"/>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706A7868">
      <w:pPr>
        <w:pStyle w:val="32"/>
        <w:pageBreakBefore w:val="0"/>
        <w:kinsoku/>
        <w:wordWrap/>
        <w:overflowPunct/>
        <w:topLinePunct w:val="0"/>
        <w:bidi w:val="0"/>
        <w:adjustRightInd/>
        <w:snapToGrid/>
        <w:spacing w:beforeAutospacing="0" w:line="360" w:lineRule="auto"/>
        <w:ind w:firstLine="482" w:firstLineChars="200"/>
        <w:jc w:val="both"/>
        <w:textAlignment w:val="auto"/>
        <w:outlineLvl w:val="9"/>
        <w:rPr>
          <w:rFonts w:hAnsi="宋体" w:cs="宋体"/>
          <w:b/>
          <w:color w:val="auto"/>
          <w:sz w:val="24"/>
          <w:szCs w:val="24"/>
          <w:highlight w:val="none"/>
        </w:rPr>
      </w:pPr>
      <w:r>
        <w:rPr>
          <w:rFonts w:hint="eastAsia" w:hAnsi="宋体" w:cs="宋体"/>
          <w:b/>
          <w:color w:val="auto"/>
          <w:sz w:val="24"/>
          <w:szCs w:val="24"/>
          <w:highlight w:val="none"/>
        </w:rPr>
        <w:t>5</w:t>
      </w:r>
      <w:r>
        <w:rPr>
          <w:rFonts w:hint="eastAsia" w:hAnsi="宋体" w:cs="宋体"/>
          <w:b/>
          <w:color w:val="auto"/>
          <w:sz w:val="24"/>
          <w:szCs w:val="24"/>
          <w:highlight w:val="none"/>
          <w:lang w:val="en-US" w:eastAsia="zh-CN"/>
        </w:rPr>
        <w:t>.</w:t>
      </w:r>
      <w:r>
        <w:rPr>
          <w:rFonts w:hint="eastAsia" w:hAnsi="宋体" w:cs="宋体"/>
          <w:b/>
          <w:color w:val="auto"/>
          <w:sz w:val="24"/>
          <w:szCs w:val="24"/>
          <w:highlight w:val="none"/>
        </w:rPr>
        <w:t>采购文件的构成</w:t>
      </w:r>
    </w:p>
    <w:p w14:paraId="115BF8E8">
      <w:pPr>
        <w:pStyle w:val="32"/>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14:paraId="01DCE999">
      <w:pPr>
        <w:pStyle w:val="32"/>
        <w:pageBreakBefore w:val="0"/>
        <w:tabs>
          <w:tab w:val="left" w:pos="840"/>
        </w:tabs>
        <w:kinsoku/>
        <w:wordWrap/>
        <w:overflowPunct/>
        <w:topLinePunct w:val="0"/>
        <w:bidi w:val="0"/>
        <w:adjustRightInd/>
        <w:snapToGrid/>
        <w:spacing w:beforeAutospacing="0" w:line="360" w:lineRule="auto"/>
        <w:ind w:left="0" w:leftChars="0" w:firstLine="480" w:firstLineChars="200"/>
        <w:jc w:val="both"/>
        <w:textAlignment w:val="auto"/>
        <w:outlineLvl w:val="9"/>
        <w:rPr>
          <w:rFonts w:hAnsi="宋体" w:cs="宋体"/>
          <w:color w:val="auto"/>
          <w:sz w:val="24"/>
          <w:szCs w:val="24"/>
          <w:highlight w:val="none"/>
        </w:rPr>
      </w:pPr>
      <w:r>
        <w:rPr>
          <w:rFonts w:hint="eastAsia" w:hAnsi="宋体" w:cs="宋体"/>
          <w:color w:val="auto"/>
          <w:sz w:val="24"/>
          <w:szCs w:val="24"/>
          <w:highlight w:val="none"/>
        </w:rPr>
        <w:t>5.1.1竞争性磋商公告；</w:t>
      </w:r>
    </w:p>
    <w:p w14:paraId="74883564">
      <w:pPr>
        <w:pStyle w:val="32"/>
        <w:pageBreakBefore w:val="0"/>
        <w:tabs>
          <w:tab w:val="left" w:pos="840"/>
        </w:tabs>
        <w:kinsoku/>
        <w:wordWrap/>
        <w:overflowPunct/>
        <w:topLinePunct w:val="0"/>
        <w:bidi w:val="0"/>
        <w:adjustRightInd/>
        <w:snapToGrid/>
        <w:spacing w:beforeAutospacing="0" w:line="360" w:lineRule="auto"/>
        <w:ind w:left="0" w:leftChars="0" w:firstLine="480" w:firstLineChars="200"/>
        <w:jc w:val="both"/>
        <w:textAlignment w:val="auto"/>
        <w:outlineLvl w:val="9"/>
        <w:rPr>
          <w:rFonts w:hAnsi="宋体" w:cs="宋体"/>
          <w:color w:val="auto"/>
          <w:sz w:val="24"/>
          <w:szCs w:val="24"/>
          <w:highlight w:val="none"/>
        </w:rPr>
      </w:pPr>
      <w:r>
        <w:rPr>
          <w:rFonts w:hint="eastAsia" w:hAnsi="宋体" w:cs="宋体"/>
          <w:color w:val="auto"/>
          <w:sz w:val="24"/>
          <w:szCs w:val="24"/>
          <w:highlight w:val="none"/>
        </w:rPr>
        <w:t>5.1.2供应商须知；</w:t>
      </w:r>
    </w:p>
    <w:p w14:paraId="6282DF5F">
      <w:pPr>
        <w:pStyle w:val="32"/>
        <w:pageBreakBefore w:val="0"/>
        <w:tabs>
          <w:tab w:val="left" w:pos="840"/>
        </w:tabs>
        <w:kinsoku/>
        <w:wordWrap/>
        <w:overflowPunct/>
        <w:topLinePunct w:val="0"/>
        <w:bidi w:val="0"/>
        <w:adjustRightInd/>
        <w:snapToGrid/>
        <w:spacing w:beforeAutospacing="0" w:line="360" w:lineRule="auto"/>
        <w:ind w:left="0" w:leftChars="0" w:firstLine="480" w:firstLineChars="200"/>
        <w:jc w:val="both"/>
        <w:textAlignment w:val="auto"/>
        <w:outlineLvl w:val="9"/>
        <w:rPr>
          <w:rFonts w:hAnsi="宋体" w:cs="宋体"/>
          <w:color w:val="auto"/>
          <w:sz w:val="24"/>
          <w:szCs w:val="24"/>
          <w:highlight w:val="none"/>
        </w:rPr>
      </w:pPr>
      <w:r>
        <w:rPr>
          <w:rFonts w:hint="eastAsia" w:hAnsi="宋体" w:cs="宋体"/>
          <w:color w:val="auto"/>
          <w:sz w:val="24"/>
          <w:szCs w:val="24"/>
          <w:highlight w:val="none"/>
        </w:rPr>
        <w:t>5.1.3采购需求；</w:t>
      </w:r>
    </w:p>
    <w:p w14:paraId="5D64B7A8">
      <w:pPr>
        <w:pStyle w:val="32"/>
        <w:pageBreakBefore w:val="0"/>
        <w:tabs>
          <w:tab w:val="left" w:pos="840"/>
        </w:tabs>
        <w:kinsoku/>
        <w:wordWrap/>
        <w:overflowPunct/>
        <w:topLinePunct w:val="0"/>
        <w:bidi w:val="0"/>
        <w:adjustRightInd/>
        <w:snapToGrid/>
        <w:spacing w:beforeAutospacing="0" w:line="360" w:lineRule="auto"/>
        <w:ind w:left="0" w:leftChars="0" w:firstLine="480" w:firstLineChars="200"/>
        <w:jc w:val="both"/>
        <w:textAlignment w:val="auto"/>
        <w:outlineLvl w:val="9"/>
        <w:rPr>
          <w:rFonts w:hAnsi="宋体" w:cs="宋体"/>
          <w:color w:val="auto"/>
          <w:sz w:val="24"/>
          <w:szCs w:val="24"/>
          <w:highlight w:val="none"/>
        </w:rPr>
      </w:pPr>
      <w:r>
        <w:rPr>
          <w:rFonts w:hint="eastAsia" w:hAnsi="宋体" w:cs="宋体"/>
          <w:color w:val="auto"/>
          <w:sz w:val="24"/>
          <w:szCs w:val="24"/>
          <w:highlight w:val="none"/>
        </w:rPr>
        <w:t>5.1.4评审办法；</w:t>
      </w:r>
    </w:p>
    <w:p w14:paraId="501564F2">
      <w:pPr>
        <w:pStyle w:val="32"/>
        <w:pageBreakBefore w:val="0"/>
        <w:tabs>
          <w:tab w:val="left" w:pos="840"/>
        </w:tabs>
        <w:kinsoku/>
        <w:wordWrap/>
        <w:overflowPunct/>
        <w:topLinePunct w:val="0"/>
        <w:bidi w:val="0"/>
        <w:adjustRightInd/>
        <w:snapToGrid/>
        <w:spacing w:beforeAutospacing="0" w:line="360" w:lineRule="auto"/>
        <w:ind w:left="0" w:leftChars="0" w:firstLine="480" w:firstLineChars="200"/>
        <w:jc w:val="both"/>
        <w:textAlignment w:val="auto"/>
        <w:outlineLvl w:val="9"/>
        <w:rPr>
          <w:rFonts w:hAnsi="宋体" w:cs="宋体"/>
          <w:color w:val="auto"/>
          <w:sz w:val="24"/>
          <w:szCs w:val="24"/>
          <w:highlight w:val="none"/>
        </w:rPr>
      </w:pPr>
      <w:r>
        <w:rPr>
          <w:rFonts w:hint="eastAsia" w:hAnsi="宋体" w:cs="宋体"/>
          <w:color w:val="auto"/>
          <w:sz w:val="24"/>
          <w:szCs w:val="24"/>
          <w:highlight w:val="none"/>
        </w:rPr>
        <w:t>5.1.5拟签订的合同文本；</w:t>
      </w:r>
    </w:p>
    <w:p w14:paraId="4413F36F">
      <w:pPr>
        <w:pStyle w:val="32"/>
        <w:pageBreakBefore w:val="0"/>
        <w:tabs>
          <w:tab w:val="left" w:pos="840"/>
        </w:tabs>
        <w:kinsoku/>
        <w:wordWrap/>
        <w:overflowPunct/>
        <w:topLinePunct w:val="0"/>
        <w:bidi w:val="0"/>
        <w:adjustRightInd/>
        <w:snapToGrid/>
        <w:spacing w:beforeAutospacing="0" w:line="360" w:lineRule="auto"/>
        <w:ind w:left="0" w:leftChars="0" w:firstLine="480" w:firstLineChars="200"/>
        <w:jc w:val="both"/>
        <w:textAlignment w:val="auto"/>
        <w:outlineLvl w:val="9"/>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497A26F2">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0A6B8048">
      <w:pPr>
        <w:pStyle w:val="32"/>
        <w:pageBreakBefore w:val="0"/>
        <w:kinsoku/>
        <w:wordWrap/>
        <w:overflowPunct/>
        <w:topLinePunct w:val="0"/>
        <w:bidi w:val="0"/>
        <w:adjustRightInd/>
        <w:snapToGrid/>
        <w:spacing w:beforeAutospacing="0" w:line="360" w:lineRule="auto"/>
        <w:ind w:firstLine="482" w:firstLineChars="200"/>
        <w:jc w:val="both"/>
        <w:textAlignment w:val="auto"/>
        <w:outlineLvl w:val="9"/>
        <w:rPr>
          <w:rFonts w:hAnsi="宋体" w:cs="宋体"/>
          <w:b/>
          <w:color w:val="auto"/>
          <w:sz w:val="24"/>
          <w:szCs w:val="24"/>
          <w:highlight w:val="none"/>
        </w:rPr>
      </w:pPr>
      <w:r>
        <w:rPr>
          <w:rFonts w:hint="eastAsia" w:hAnsi="宋体" w:cs="宋体"/>
          <w:b/>
          <w:color w:val="auto"/>
          <w:sz w:val="24"/>
          <w:szCs w:val="24"/>
          <w:highlight w:val="none"/>
        </w:rPr>
        <w:t>6.采购文件的澄清、修改</w:t>
      </w:r>
    </w:p>
    <w:p w14:paraId="6D810E74">
      <w:pPr>
        <w:pStyle w:val="132"/>
        <w:pageBreakBefore w:val="0"/>
        <w:kinsoku/>
        <w:wordWrap/>
        <w:overflowPunct/>
        <w:topLinePunct w:val="0"/>
        <w:bidi w:val="0"/>
        <w:adjustRightInd/>
        <w:snapToGrid/>
        <w:spacing w:before="0" w:beforeAutospacing="0" w:line="360" w:lineRule="auto"/>
        <w:ind w:left="0" w:leftChars="0" w:firstLine="480" w:firstLineChars="200"/>
        <w:jc w:val="both"/>
        <w:textAlignment w:val="auto"/>
        <w:outlineLvl w:val="9"/>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29E21BE4">
      <w:pPr>
        <w:pStyle w:val="132"/>
        <w:pageBreakBefore w:val="0"/>
        <w:kinsoku/>
        <w:wordWrap/>
        <w:overflowPunct/>
        <w:topLinePunct w:val="0"/>
        <w:bidi w:val="0"/>
        <w:adjustRightInd/>
        <w:snapToGrid/>
        <w:spacing w:before="0" w:beforeAutospacing="0" w:line="360" w:lineRule="auto"/>
        <w:ind w:left="0" w:leftChars="0" w:firstLine="480" w:firstLineChars="200"/>
        <w:jc w:val="both"/>
        <w:textAlignment w:val="auto"/>
        <w:outlineLvl w:val="9"/>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40C81BA1">
      <w:pPr>
        <w:pStyle w:val="23"/>
        <w:pageBreakBefore w:val="0"/>
        <w:kinsoku/>
        <w:wordWrap/>
        <w:overflowPunct/>
        <w:topLinePunct w:val="0"/>
        <w:bidi w:val="0"/>
        <w:adjustRightInd/>
        <w:snapToGrid/>
        <w:spacing w:beforeAutospacing="0" w:line="360" w:lineRule="auto"/>
        <w:ind w:left="0" w:leftChars="0" w:firstLine="360" w:firstLineChars="200"/>
        <w:jc w:val="both"/>
        <w:textAlignment w:val="auto"/>
        <w:outlineLvl w:val="9"/>
        <w:rPr>
          <w:rFonts w:hAnsi="宋体" w:cs="宋体"/>
          <w:color w:val="auto"/>
          <w:sz w:val="18"/>
          <w:szCs w:val="18"/>
          <w:highlight w:val="none"/>
          <w:lang w:val="en-US"/>
        </w:rPr>
      </w:pPr>
    </w:p>
    <w:p w14:paraId="21673FA6">
      <w:pPr>
        <w:pageBreakBefore w:val="0"/>
        <w:kinsoku/>
        <w:wordWrap/>
        <w:overflowPunct/>
        <w:topLinePunct w:val="0"/>
        <w:bidi w:val="0"/>
        <w:adjustRightInd/>
        <w:snapToGrid/>
        <w:spacing w:beforeAutospacing="0" w:line="360" w:lineRule="auto"/>
        <w:jc w:val="center"/>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14:paraId="1AC4607A">
      <w:pPr>
        <w:pStyle w:val="32"/>
        <w:pageBreakBefore w:val="0"/>
        <w:kinsoku/>
        <w:wordWrap/>
        <w:overflowPunct/>
        <w:topLinePunct w:val="0"/>
        <w:bidi w:val="0"/>
        <w:adjustRightInd/>
        <w:snapToGrid/>
        <w:spacing w:beforeAutospacing="0" w:line="360" w:lineRule="auto"/>
        <w:ind w:firstLine="482" w:firstLineChars="200"/>
        <w:jc w:val="both"/>
        <w:textAlignment w:val="auto"/>
        <w:outlineLvl w:val="9"/>
        <w:rPr>
          <w:rFonts w:hAnsi="宋体" w:cs="宋体"/>
          <w:b/>
          <w:color w:val="auto"/>
          <w:sz w:val="24"/>
          <w:szCs w:val="24"/>
          <w:highlight w:val="none"/>
        </w:rPr>
      </w:pPr>
      <w:r>
        <w:rPr>
          <w:rFonts w:hint="eastAsia" w:hAnsi="宋体" w:cs="宋体"/>
          <w:b/>
          <w:color w:val="auto"/>
          <w:sz w:val="24"/>
          <w:szCs w:val="24"/>
          <w:highlight w:val="none"/>
        </w:rPr>
        <w:t>7.采购文件的获取</w:t>
      </w:r>
    </w:p>
    <w:p w14:paraId="1A39381A">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3D4DB361">
      <w:pPr>
        <w:pStyle w:val="32"/>
        <w:pageBreakBefore w:val="0"/>
        <w:kinsoku/>
        <w:wordWrap/>
        <w:overflowPunct/>
        <w:topLinePunct w:val="0"/>
        <w:bidi w:val="0"/>
        <w:adjustRightInd/>
        <w:snapToGrid/>
        <w:spacing w:beforeAutospacing="0" w:line="360" w:lineRule="auto"/>
        <w:ind w:firstLine="482" w:firstLineChars="200"/>
        <w:jc w:val="both"/>
        <w:textAlignment w:val="auto"/>
        <w:outlineLvl w:val="9"/>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14:paraId="50E58634">
      <w:pPr>
        <w:pStyle w:val="32"/>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56858D95">
      <w:pPr>
        <w:pStyle w:val="32"/>
        <w:pageBreakBefore w:val="0"/>
        <w:kinsoku/>
        <w:wordWrap/>
        <w:overflowPunct/>
        <w:topLinePunct w:val="0"/>
        <w:bidi w:val="0"/>
        <w:adjustRightInd/>
        <w:snapToGrid/>
        <w:spacing w:beforeAutospacing="0" w:line="360" w:lineRule="auto"/>
        <w:ind w:firstLine="482" w:firstLineChars="200"/>
        <w:jc w:val="both"/>
        <w:textAlignment w:val="auto"/>
        <w:outlineLvl w:val="9"/>
        <w:rPr>
          <w:rFonts w:hAnsi="宋体" w:cs="宋体"/>
          <w:b/>
          <w:color w:val="auto"/>
          <w:szCs w:val="24"/>
          <w:highlight w:val="none"/>
        </w:rPr>
      </w:pPr>
      <w:r>
        <w:rPr>
          <w:rFonts w:hint="eastAsia" w:hAnsi="宋体" w:cs="宋体"/>
          <w:b/>
          <w:color w:val="auto"/>
          <w:kern w:val="28"/>
          <w:sz w:val="24"/>
          <w:szCs w:val="24"/>
          <w:highlight w:val="none"/>
        </w:rPr>
        <w:t>9.磋商保证金</w:t>
      </w:r>
    </w:p>
    <w:p w14:paraId="3993AD28">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hAnsi="宋体" w:cs="宋体"/>
          <w:color w:val="auto"/>
          <w:sz w:val="24"/>
          <w:highlight w:val="none"/>
        </w:rPr>
      </w:pPr>
      <w:r>
        <w:rPr>
          <w:rFonts w:hint="eastAsia" w:hAnsi="宋体" w:cs="宋体"/>
          <w:color w:val="auto"/>
          <w:sz w:val="24"/>
          <w:highlight w:val="none"/>
        </w:rPr>
        <w:t>本项目不需缴纳磋商保证金。</w:t>
      </w:r>
    </w:p>
    <w:p w14:paraId="2D4D465B">
      <w:pPr>
        <w:pStyle w:val="32"/>
        <w:pageBreakBefore w:val="0"/>
        <w:kinsoku/>
        <w:wordWrap/>
        <w:overflowPunct/>
        <w:topLinePunct w:val="0"/>
        <w:bidi w:val="0"/>
        <w:adjustRightInd/>
        <w:snapToGrid/>
        <w:spacing w:beforeAutospacing="0" w:line="360" w:lineRule="auto"/>
        <w:ind w:firstLine="482" w:firstLineChars="200"/>
        <w:jc w:val="both"/>
        <w:textAlignment w:val="auto"/>
        <w:outlineLvl w:val="9"/>
        <w:rPr>
          <w:rFonts w:hAnsi="宋体" w:cs="宋体"/>
          <w:b/>
          <w:color w:val="auto"/>
          <w:sz w:val="24"/>
          <w:szCs w:val="24"/>
          <w:highlight w:val="none"/>
        </w:rPr>
      </w:pPr>
      <w:r>
        <w:rPr>
          <w:rFonts w:hint="eastAsia" w:hAnsi="宋体" w:cs="宋体"/>
          <w:b/>
          <w:color w:val="auto"/>
          <w:sz w:val="24"/>
          <w:szCs w:val="24"/>
          <w:highlight w:val="none"/>
        </w:rPr>
        <w:t>10.响应文件的语言</w:t>
      </w:r>
    </w:p>
    <w:p w14:paraId="706F4D03">
      <w:pPr>
        <w:pageBreakBefore w:val="0"/>
        <w:kinsoku/>
        <w:wordWrap/>
        <w:overflowPunct/>
        <w:topLinePunct w:val="0"/>
        <w:autoSpaceDE w:val="0"/>
        <w:autoSpaceDN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22403B90">
      <w:pPr>
        <w:pStyle w:val="32"/>
        <w:pageBreakBefore w:val="0"/>
        <w:kinsoku/>
        <w:wordWrap/>
        <w:overflowPunct/>
        <w:topLinePunct w:val="0"/>
        <w:bidi w:val="0"/>
        <w:adjustRightInd/>
        <w:snapToGrid/>
        <w:spacing w:beforeAutospacing="0" w:line="360" w:lineRule="auto"/>
        <w:ind w:firstLine="482" w:firstLineChars="200"/>
        <w:jc w:val="both"/>
        <w:textAlignment w:val="auto"/>
        <w:outlineLvl w:val="9"/>
        <w:rPr>
          <w:rFonts w:hAnsi="宋体" w:cs="宋体"/>
          <w:b/>
          <w:color w:val="auto"/>
          <w:sz w:val="24"/>
          <w:szCs w:val="24"/>
          <w:highlight w:val="none"/>
        </w:rPr>
      </w:pPr>
      <w:r>
        <w:rPr>
          <w:rFonts w:hint="eastAsia" w:hAnsi="宋体" w:cs="宋体"/>
          <w:b/>
          <w:color w:val="auto"/>
          <w:sz w:val="24"/>
          <w:szCs w:val="24"/>
          <w:highlight w:val="none"/>
        </w:rPr>
        <w:t>11.响应文件的组成</w:t>
      </w:r>
    </w:p>
    <w:p w14:paraId="4ED73207">
      <w:pPr>
        <w:pageBreakBefore w:val="0"/>
        <w:kinsoku/>
        <w:wordWrap/>
        <w:overflowPunct/>
        <w:topLinePunct w:val="0"/>
        <w:bidi w:val="0"/>
        <w:adjustRightInd/>
        <w:snapToGrid/>
        <w:spacing w:beforeAutospacing="0" w:line="360" w:lineRule="auto"/>
        <w:ind w:left="0" w:leftChars="0" w:firstLine="482" w:firstLineChars="200"/>
        <w:jc w:val="both"/>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11.1资格文件：</w:t>
      </w:r>
    </w:p>
    <w:p w14:paraId="6EB2484D">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11.1.1有效的企业法人营业执照（或事业法人登记证）、其他组织（个体工商户）的营业执照或者民办非企业单位登记证书</w:t>
      </w:r>
      <w:r>
        <w:rPr>
          <w:rFonts w:hint="eastAsia" w:ascii="宋体" w:hAnsi="宋体" w:cs="宋体"/>
          <w:color w:val="auto"/>
          <w:sz w:val="24"/>
          <w:highlight w:val="none"/>
          <w:lang w:val="en-US" w:eastAsia="zh-CN"/>
        </w:rPr>
        <w:t>。</w:t>
      </w:r>
    </w:p>
    <w:p w14:paraId="40D0C94D">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lang w:val="en-US" w:eastAsia="zh-CN"/>
        </w:rPr>
        <w:t>11.1.2</w:t>
      </w:r>
      <w:r>
        <w:rPr>
          <w:rFonts w:hint="eastAsia" w:ascii="宋体" w:hAnsi="宋体" w:cs="宋体"/>
          <w:color w:val="auto"/>
          <w:sz w:val="24"/>
          <w:highlight w:val="none"/>
        </w:rPr>
        <w:t>符合参加政府采购活动应当具备的一般条件的承诺函；</w:t>
      </w:r>
    </w:p>
    <w:p w14:paraId="1B663CA3">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val="en-US" w:eastAsia="zh-CN"/>
        </w:rPr>
        <w:t>提供以下资料之一</w:t>
      </w:r>
      <w:r>
        <w:rPr>
          <w:rFonts w:hint="eastAsia" w:ascii="宋体" w:hAnsi="宋体" w:cs="宋体"/>
          <w:snapToGrid w:val="0"/>
          <w:color w:val="auto"/>
          <w:kern w:val="28"/>
          <w:sz w:val="24"/>
          <w:szCs w:val="20"/>
          <w:highlight w:val="none"/>
        </w:rPr>
        <w:t>)</w:t>
      </w:r>
      <w:r>
        <w:rPr>
          <w:rFonts w:hint="eastAsia" w:ascii="宋体" w:hAnsi="宋体" w:cs="宋体"/>
          <w:color w:val="auto"/>
          <w:sz w:val="24"/>
          <w:highlight w:val="none"/>
        </w:rPr>
        <w:t>；</w:t>
      </w:r>
    </w:p>
    <w:p w14:paraId="62752411">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本项目专门面向中小企业采购（监狱企业及残疾人福利性单位视同小型、微型企业）</w:t>
      </w:r>
    </w:p>
    <w:p w14:paraId="60415D41">
      <w:pPr>
        <w:pageBreakBefore w:val="0"/>
        <w:numPr>
          <w:ilvl w:val="0"/>
          <w:numId w:val="1"/>
        </w:numPr>
        <w:kinsoku/>
        <w:wordWrap/>
        <w:overflowPunct/>
        <w:topLinePunct w:val="0"/>
        <w:bidi w:val="0"/>
        <w:adjustRightInd/>
        <w:snapToGrid/>
        <w:spacing w:beforeAutospacing="0" w:line="360" w:lineRule="auto"/>
        <w:ind w:left="0" w:leftChars="0" w:firstLine="480" w:firstLineChars="200"/>
        <w:jc w:val="both"/>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中小企业声明函（如是，请提供）；</w:t>
      </w:r>
    </w:p>
    <w:p w14:paraId="2B63174D">
      <w:pPr>
        <w:pageBreakBefore w:val="0"/>
        <w:numPr>
          <w:ilvl w:val="0"/>
          <w:numId w:val="2"/>
        </w:numPr>
        <w:kinsoku/>
        <w:wordWrap/>
        <w:overflowPunct/>
        <w:topLinePunct w:val="0"/>
        <w:bidi w:val="0"/>
        <w:adjustRightInd/>
        <w:snapToGrid/>
        <w:spacing w:beforeAutospacing="0" w:line="360" w:lineRule="auto"/>
        <w:ind w:left="0" w:leftChars="0" w:firstLine="480" w:firstLineChars="200"/>
        <w:jc w:val="both"/>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供应商为监狱企业的证明文件：省级以上监狱管理局、戒毒管理局（含新疆生产建设兵团）出具（如是，请提供）；</w:t>
      </w:r>
    </w:p>
    <w:p w14:paraId="6E6D6B3F">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 xml:space="preserve">（3）残疾人福利性单位声明函（如是，请提供）。 </w:t>
      </w:r>
    </w:p>
    <w:p w14:paraId="4F5ED7FE">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w:t>
      </w:r>
    </w:p>
    <w:p w14:paraId="3CE2AAE3">
      <w:pPr>
        <w:pageBreakBefore w:val="0"/>
        <w:numPr>
          <w:ilvl w:val="0"/>
          <w:numId w:val="0"/>
        </w:numPr>
        <w:kinsoku/>
        <w:wordWrap/>
        <w:overflowPunct/>
        <w:topLinePunct w:val="0"/>
        <w:bidi w:val="0"/>
        <w:adjustRightInd/>
        <w:snapToGrid/>
        <w:spacing w:beforeAutospacing="0" w:line="360" w:lineRule="auto"/>
        <w:ind w:left="0" w:leftChars="0" w:firstLine="480" w:firstLineChars="200"/>
        <w:jc w:val="both"/>
        <w:textAlignment w:val="auto"/>
        <w:outlineLvl w:val="9"/>
        <w:rPr>
          <w:rFonts w:hint="eastAsia" w:ascii="宋体" w:hAnsi="宋体" w:cs="宋体"/>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sz w:val="24"/>
          <w:highlight w:val="none"/>
          <w:lang w:eastAsia="zh-CN"/>
        </w:rPr>
        <w:t>供应商</w:t>
      </w:r>
      <w:r>
        <w:rPr>
          <w:rFonts w:hint="eastAsia" w:ascii="宋体" w:hAnsi="宋体" w:cs="宋体"/>
          <w:color w:val="auto"/>
          <w:sz w:val="24"/>
          <w:highlight w:val="none"/>
          <w:lang w:val="en-US" w:eastAsia="zh-CN"/>
        </w:rPr>
        <w:t>提供有效</w:t>
      </w:r>
      <w:r>
        <w:rPr>
          <w:rFonts w:hint="eastAsia" w:ascii="宋体" w:hAnsi="宋体" w:cs="宋体"/>
          <w:color w:val="auto"/>
          <w:sz w:val="24"/>
          <w:highlight w:val="none"/>
          <w:lang w:eastAsia="zh-CN"/>
        </w:rPr>
        <w:t>建筑工程施工总承包</w:t>
      </w:r>
      <w:r>
        <w:rPr>
          <w:rFonts w:hint="eastAsia" w:ascii="宋体" w:hAnsi="宋体" w:cs="宋体"/>
          <w:color w:val="auto"/>
          <w:sz w:val="24"/>
          <w:highlight w:val="none"/>
          <w:lang w:val="en-US" w:eastAsia="zh-CN"/>
        </w:rPr>
        <w:t>三级</w:t>
      </w:r>
      <w:r>
        <w:rPr>
          <w:rFonts w:hint="eastAsia" w:ascii="宋体" w:hAnsi="宋体" w:cs="宋体"/>
          <w:color w:val="auto"/>
          <w:sz w:val="24"/>
          <w:highlight w:val="none"/>
          <w:lang w:eastAsia="zh-CN"/>
        </w:rPr>
        <w:t>及以上</w:t>
      </w:r>
      <w:r>
        <w:rPr>
          <w:rFonts w:hint="eastAsia" w:ascii="宋体" w:hAnsi="宋体" w:cs="宋体"/>
          <w:color w:val="auto"/>
          <w:sz w:val="24"/>
          <w:highlight w:val="none"/>
          <w:lang w:val="en-US" w:eastAsia="zh-CN"/>
        </w:rPr>
        <w:t>资质证书扫描件；</w:t>
      </w:r>
    </w:p>
    <w:p w14:paraId="2D9AA63F">
      <w:pPr>
        <w:pageBreakBefore w:val="0"/>
        <w:numPr>
          <w:ilvl w:val="0"/>
          <w:numId w:val="0"/>
        </w:numPr>
        <w:kinsoku/>
        <w:wordWrap/>
        <w:overflowPunct/>
        <w:topLinePunct w:val="0"/>
        <w:bidi w:val="0"/>
        <w:adjustRightInd/>
        <w:snapToGrid/>
        <w:spacing w:beforeAutospacing="0" w:line="360" w:lineRule="auto"/>
        <w:ind w:left="0" w:leftChars="0" w:firstLine="480" w:firstLineChars="200"/>
        <w:jc w:val="both"/>
        <w:textAlignment w:val="auto"/>
        <w:outlineLvl w:val="9"/>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auto"/>
          <w:sz w:val="24"/>
          <w:highlight w:val="none"/>
          <w:lang w:eastAsia="zh-CN"/>
        </w:rPr>
        <w:t>并</w:t>
      </w:r>
      <w:r>
        <w:rPr>
          <w:rFonts w:hint="eastAsia" w:ascii="宋体" w:hAnsi="宋体" w:cs="宋体"/>
          <w:color w:val="auto"/>
          <w:sz w:val="24"/>
          <w:highlight w:val="none"/>
          <w:lang w:val="en-US" w:eastAsia="zh-CN"/>
        </w:rPr>
        <w:t>提供</w:t>
      </w:r>
      <w:r>
        <w:rPr>
          <w:rFonts w:hint="eastAsia" w:ascii="宋体" w:hAnsi="宋体" w:cs="宋体"/>
          <w:color w:val="auto"/>
          <w:sz w:val="24"/>
          <w:highlight w:val="none"/>
          <w:lang w:eastAsia="zh-CN"/>
        </w:rPr>
        <w:t>有效的安全生产许可证</w:t>
      </w:r>
      <w:r>
        <w:rPr>
          <w:rFonts w:hint="eastAsia" w:ascii="宋体" w:hAnsi="宋体" w:cs="宋体"/>
          <w:color w:val="auto"/>
          <w:sz w:val="24"/>
          <w:highlight w:val="none"/>
          <w:lang w:val="en-US" w:eastAsia="zh-CN"/>
        </w:rPr>
        <w:t>扫描件。</w:t>
      </w:r>
    </w:p>
    <w:p w14:paraId="31A65B86">
      <w:pPr>
        <w:pageBreakBefore w:val="0"/>
        <w:kinsoku/>
        <w:wordWrap/>
        <w:overflowPunct/>
        <w:topLinePunct w:val="0"/>
        <w:bidi w:val="0"/>
        <w:adjustRightInd/>
        <w:snapToGrid/>
        <w:spacing w:beforeAutospacing="0" w:line="360" w:lineRule="auto"/>
        <w:ind w:left="0" w:leftChars="0" w:firstLine="482" w:firstLineChars="200"/>
        <w:jc w:val="both"/>
        <w:textAlignment w:val="auto"/>
        <w:outlineLvl w:val="9"/>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14:paraId="1EF3DFF0">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62D16759">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18D4119">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11.2.3分包意向协议（如果有)；</w:t>
      </w:r>
    </w:p>
    <w:p w14:paraId="6C64C5F1">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11.2.4符合性审查资料；</w:t>
      </w:r>
    </w:p>
    <w:p w14:paraId="713516DB">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14:paraId="0BB11112">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11.2.6商务技术偏离表；</w:t>
      </w:r>
    </w:p>
    <w:p w14:paraId="0549A886">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7项目管理机构；</w:t>
      </w:r>
    </w:p>
    <w:p w14:paraId="00AFC536">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8项目经理无在建项目承诺书；</w:t>
      </w:r>
    </w:p>
    <w:p w14:paraId="24B26C3E">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9施工组织设计；</w:t>
      </w:r>
    </w:p>
    <w:p w14:paraId="25CF58F6">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val="zh-CN"/>
        </w:rPr>
        <w:t>政府采购供应商廉洁自律承诺书；</w:t>
      </w:r>
    </w:p>
    <w:p w14:paraId="5FE1EB36">
      <w:pPr>
        <w:pageBreakBefore w:val="0"/>
        <w:kinsoku/>
        <w:wordWrap/>
        <w:overflowPunct/>
        <w:topLinePunct w:val="0"/>
        <w:bidi w:val="0"/>
        <w:adjustRightInd/>
        <w:snapToGrid/>
        <w:spacing w:beforeAutospacing="0" w:line="360" w:lineRule="auto"/>
        <w:ind w:left="0" w:leftChars="0" w:firstLine="482" w:firstLineChars="200"/>
        <w:jc w:val="both"/>
        <w:textAlignment w:val="auto"/>
        <w:outlineLvl w:val="9"/>
        <w:rPr>
          <w:rFonts w:ascii="宋体" w:hAnsi="宋体" w:cs="宋体"/>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03D19E8">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11.3.1报价单；</w:t>
      </w:r>
    </w:p>
    <w:p w14:paraId="4F614815">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11.3.2已标价工程量清单。</w:t>
      </w:r>
    </w:p>
    <w:p w14:paraId="4A59F12A">
      <w:pPr>
        <w:pageBreakBefore w:val="0"/>
        <w:kinsoku/>
        <w:wordWrap/>
        <w:overflowPunct/>
        <w:topLinePunct w:val="0"/>
        <w:bidi w:val="0"/>
        <w:adjustRightInd/>
        <w:snapToGrid/>
        <w:spacing w:beforeAutospacing="0" w:line="360" w:lineRule="auto"/>
        <w:ind w:left="0" w:leftChars="0" w:firstLine="482" w:firstLineChars="200"/>
        <w:jc w:val="both"/>
        <w:textAlignment w:val="auto"/>
        <w:outlineLvl w:val="9"/>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0AE4A3FE">
      <w:pPr>
        <w:pageBreakBefore w:val="0"/>
        <w:kinsoku/>
        <w:wordWrap/>
        <w:overflowPunct/>
        <w:topLinePunct w:val="0"/>
        <w:bidi w:val="0"/>
        <w:adjustRightInd/>
        <w:snapToGrid/>
        <w:spacing w:beforeAutospacing="0" w:line="360" w:lineRule="auto"/>
        <w:ind w:left="0" w:leftChars="0" w:firstLine="482" w:firstLineChars="200"/>
        <w:jc w:val="both"/>
        <w:textAlignment w:val="auto"/>
        <w:outlineLvl w:val="9"/>
        <w:rPr>
          <w:rFonts w:ascii="宋体" w:hAnsi="宋体" w:cs="宋体"/>
          <w:b/>
          <w:color w:val="auto"/>
          <w:sz w:val="24"/>
          <w:szCs w:val="21"/>
          <w:highlight w:val="none"/>
        </w:rPr>
      </w:pPr>
      <w:r>
        <w:rPr>
          <w:rFonts w:hint="eastAsia" w:ascii="宋体" w:hAnsi="宋体" w:cs="宋体"/>
          <w:b/>
          <w:color w:val="auto"/>
          <w:sz w:val="24"/>
          <w:highlight w:val="none"/>
        </w:rPr>
        <w:t>供应商提供虚假材料的，响应文件无效。</w:t>
      </w:r>
    </w:p>
    <w:p w14:paraId="49EC8018">
      <w:pPr>
        <w:pStyle w:val="132"/>
        <w:pageBreakBefore w:val="0"/>
        <w:kinsoku/>
        <w:wordWrap/>
        <w:overflowPunct/>
        <w:topLinePunct w:val="0"/>
        <w:bidi w:val="0"/>
        <w:adjustRightInd/>
        <w:snapToGrid/>
        <w:spacing w:before="0" w:beforeAutospacing="0" w:line="360" w:lineRule="auto"/>
        <w:ind w:left="0" w:leftChars="0" w:firstLine="482" w:firstLineChars="200"/>
        <w:jc w:val="both"/>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w:t>
      </w:r>
      <w:r>
        <w:rPr>
          <w:rFonts w:hint="eastAsia" w:ascii="宋体" w:hAnsi="宋体" w:cs="宋体"/>
          <w:b/>
          <w:color w:val="auto"/>
          <w:szCs w:val="24"/>
          <w:highlight w:val="none"/>
        </w:rPr>
        <w:t>响应文件的编制</w:t>
      </w:r>
    </w:p>
    <w:p w14:paraId="5ACEEE1A">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17A8538B">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6A2AE2F5">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AEA6A77">
      <w:pPr>
        <w:pageBreakBefore w:val="0"/>
        <w:kinsoku/>
        <w:wordWrap/>
        <w:overflowPunct/>
        <w:topLinePunct w:val="0"/>
        <w:bidi w:val="0"/>
        <w:adjustRightInd/>
        <w:snapToGrid/>
        <w:spacing w:beforeAutospacing="0" w:line="360" w:lineRule="auto"/>
        <w:ind w:firstLine="482" w:firstLineChars="200"/>
        <w:jc w:val="both"/>
        <w:textAlignment w:val="auto"/>
        <w:outlineLvl w:val="9"/>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0D7AC5E3">
      <w:pPr>
        <w:pStyle w:val="132"/>
        <w:pageBreakBefore w:val="0"/>
        <w:kinsoku/>
        <w:wordWrap/>
        <w:overflowPunct/>
        <w:topLinePunct w:val="0"/>
        <w:bidi w:val="0"/>
        <w:adjustRightInd/>
        <w:snapToGrid/>
        <w:spacing w:before="0" w:beforeAutospacing="0" w:line="360" w:lineRule="auto"/>
        <w:ind w:left="0" w:leftChars="0" w:firstLine="480" w:firstLineChars="200"/>
        <w:jc w:val="both"/>
        <w:textAlignment w:val="auto"/>
        <w:outlineLvl w:val="9"/>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7C521B56">
      <w:pPr>
        <w:pStyle w:val="132"/>
        <w:pageBreakBefore w:val="0"/>
        <w:kinsoku/>
        <w:wordWrap/>
        <w:overflowPunct/>
        <w:topLinePunct w:val="0"/>
        <w:bidi w:val="0"/>
        <w:adjustRightInd/>
        <w:snapToGrid/>
        <w:spacing w:before="0" w:beforeAutospacing="0" w:line="360" w:lineRule="auto"/>
        <w:ind w:left="0" w:leftChars="0" w:firstLine="480" w:firstLineChars="200"/>
        <w:jc w:val="both"/>
        <w:textAlignment w:val="auto"/>
        <w:outlineLvl w:val="9"/>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12243770">
      <w:pPr>
        <w:pStyle w:val="132"/>
        <w:pageBreakBefore w:val="0"/>
        <w:kinsoku/>
        <w:wordWrap/>
        <w:overflowPunct/>
        <w:topLinePunct w:val="0"/>
        <w:bidi w:val="0"/>
        <w:adjustRightInd/>
        <w:snapToGrid/>
        <w:spacing w:before="0" w:beforeAutospacing="0" w:line="360" w:lineRule="auto"/>
        <w:ind w:left="0" w:leftChars="0" w:firstLine="480" w:firstLineChars="200"/>
        <w:jc w:val="both"/>
        <w:textAlignment w:val="auto"/>
        <w:outlineLvl w:val="9"/>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14:paraId="66A61CD8">
      <w:pPr>
        <w:pStyle w:val="132"/>
        <w:pageBreakBefore w:val="0"/>
        <w:kinsoku/>
        <w:wordWrap/>
        <w:overflowPunct/>
        <w:topLinePunct w:val="0"/>
        <w:bidi w:val="0"/>
        <w:adjustRightInd/>
        <w:snapToGrid/>
        <w:spacing w:before="0" w:beforeAutospacing="0" w:line="360" w:lineRule="auto"/>
        <w:ind w:left="0" w:leftChars="0" w:firstLine="482" w:firstLineChars="200"/>
        <w:jc w:val="both"/>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14.响应文件的提交、补充、修改、撤回</w:t>
      </w:r>
    </w:p>
    <w:p w14:paraId="7369D843">
      <w:pPr>
        <w:pStyle w:val="132"/>
        <w:pageBreakBefore w:val="0"/>
        <w:kinsoku/>
        <w:wordWrap/>
        <w:overflowPunct/>
        <w:topLinePunct w:val="0"/>
        <w:bidi w:val="0"/>
        <w:adjustRightInd/>
        <w:snapToGrid/>
        <w:spacing w:before="0" w:beforeAutospacing="0" w:line="360" w:lineRule="auto"/>
        <w:ind w:left="0" w:leftChars="0" w:firstLine="480" w:firstLineChars="200"/>
        <w:jc w:val="both"/>
        <w:textAlignment w:val="auto"/>
        <w:outlineLvl w:val="9"/>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2922953F">
      <w:pPr>
        <w:pStyle w:val="132"/>
        <w:pageBreakBefore w:val="0"/>
        <w:kinsoku/>
        <w:wordWrap/>
        <w:overflowPunct/>
        <w:topLinePunct w:val="0"/>
        <w:bidi w:val="0"/>
        <w:adjustRightInd/>
        <w:snapToGrid/>
        <w:spacing w:before="0" w:beforeAutospacing="0" w:line="360" w:lineRule="auto"/>
        <w:ind w:left="0" w:leftChars="0" w:firstLine="480" w:firstLineChars="200"/>
        <w:jc w:val="both"/>
        <w:textAlignment w:val="auto"/>
        <w:outlineLvl w:val="9"/>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579F358E">
      <w:pPr>
        <w:pStyle w:val="132"/>
        <w:pageBreakBefore w:val="0"/>
        <w:kinsoku/>
        <w:wordWrap/>
        <w:overflowPunct/>
        <w:topLinePunct w:val="0"/>
        <w:bidi w:val="0"/>
        <w:adjustRightInd/>
        <w:snapToGrid/>
        <w:spacing w:before="0" w:beforeAutospacing="0" w:line="360" w:lineRule="auto"/>
        <w:ind w:left="0" w:leftChars="0" w:firstLine="480" w:firstLineChars="200"/>
        <w:jc w:val="both"/>
        <w:textAlignment w:val="auto"/>
        <w:outlineLvl w:val="9"/>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可以视情况延长响应文件提交的截止时间。在上述情况下，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与供应商以前在响应文件提交截止时间方面的全部权利、责任和义务，将适用于延长至新的响应文件提交截止时间。</w:t>
      </w:r>
    </w:p>
    <w:p w14:paraId="343F4891">
      <w:pPr>
        <w:pStyle w:val="32"/>
        <w:pageBreakBefore w:val="0"/>
        <w:kinsoku/>
        <w:wordWrap/>
        <w:overflowPunct/>
        <w:topLinePunct w:val="0"/>
        <w:bidi w:val="0"/>
        <w:adjustRightInd/>
        <w:snapToGrid/>
        <w:spacing w:beforeAutospacing="0" w:line="360" w:lineRule="auto"/>
        <w:ind w:firstLine="482" w:firstLineChars="200"/>
        <w:jc w:val="both"/>
        <w:textAlignment w:val="auto"/>
        <w:outlineLvl w:val="9"/>
        <w:rPr>
          <w:rFonts w:hAnsi="宋体" w:cs="宋体"/>
          <w:b/>
          <w:color w:val="auto"/>
          <w:sz w:val="24"/>
          <w:szCs w:val="24"/>
          <w:highlight w:val="none"/>
        </w:rPr>
      </w:pPr>
      <w:r>
        <w:rPr>
          <w:rFonts w:hint="eastAsia" w:hAnsi="宋体" w:cs="宋体"/>
          <w:b/>
          <w:color w:val="auto"/>
          <w:sz w:val="24"/>
          <w:szCs w:val="24"/>
          <w:highlight w:val="none"/>
        </w:rPr>
        <w:t>15.备份响应文件</w:t>
      </w:r>
    </w:p>
    <w:p w14:paraId="0262B3AB">
      <w:pPr>
        <w:pStyle w:val="32"/>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hAnsi="宋体" w:cs="宋体"/>
          <w:b/>
          <w:color w:val="auto"/>
          <w:sz w:val="24"/>
          <w:szCs w:val="24"/>
          <w:highlight w:val="none"/>
        </w:rPr>
      </w:pPr>
      <w:r>
        <w:rPr>
          <w:rFonts w:hint="eastAsia" w:hAnsi="宋体" w:cs="宋体"/>
          <w:color w:val="auto"/>
          <w:sz w:val="24"/>
          <w:szCs w:val="24"/>
          <w:highlight w:val="none"/>
        </w:rPr>
        <w:t>15.1供应商在电子交易平台传输递交响应文件后，还可以在响应文件提交（上传）截止时间前直接提交或者以快递方式递交备份响应文件1份，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p w14:paraId="2EDD7927">
      <w:pPr>
        <w:pStyle w:val="32"/>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highlight w:val="none"/>
          <w:lang w:val="en-US" w:eastAsia="zh-CN"/>
        </w:rPr>
        <w:t>U</w:t>
      </w:r>
      <w:r>
        <w:rPr>
          <w:rFonts w:hint="eastAsia" w:hAnsi="宋体" w:cs="宋体"/>
          <w:color w:val="auto"/>
          <w:sz w:val="24"/>
          <w:highlight w:val="none"/>
        </w:rPr>
        <w:t>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中。备份响应文件应当密封包装并在包装上加盖公章并注明采购项目名称，供应商名称。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6B52C39C">
      <w:pPr>
        <w:pStyle w:val="32"/>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w:t>
      </w:r>
    </w:p>
    <w:p w14:paraId="7A452849">
      <w:pPr>
        <w:pStyle w:val="32"/>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hAnsi="宋体" w:cs="宋体"/>
          <w:color w:val="auto"/>
          <w:sz w:val="24"/>
          <w:szCs w:val="24"/>
          <w:highlight w:val="none"/>
        </w:rPr>
      </w:pPr>
      <w:r>
        <w:rPr>
          <w:rFonts w:hint="eastAsia" w:hAnsi="宋体" w:cs="宋体"/>
          <w:color w:val="auto"/>
          <w:sz w:val="24"/>
          <w:szCs w:val="24"/>
          <w:highlight w:val="none"/>
        </w:rPr>
        <w:t>15.4以快递方式递交备份响应文件的，供应商应先将备份响应文件按要求密封和标记，再进行快递包装后邮寄。备份响应文件须在响应文件提交（上传）截止时间之前送达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将拒绝接受逾期送达的备份响应文件。邮寄过程中，电子备份响应文件发生泄露、遗失、损坏或延期送达等情况的，由供应商自行负责。</w:t>
      </w:r>
    </w:p>
    <w:p w14:paraId="6AC7A864">
      <w:pPr>
        <w:pStyle w:val="32"/>
        <w:pageBreakBefore w:val="0"/>
        <w:kinsoku/>
        <w:wordWrap/>
        <w:overflowPunct/>
        <w:topLinePunct w:val="0"/>
        <w:bidi w:val="0"/>
        <w:adjustRightInd/>
        <w:snapToGrid/>
        <w:spacing w:beforeAutospacing="0" w:line="360" w:lineRule="auto"/>
        <w:ind w:left="0" w:leftChars="0" w:firstLine="482" w:firstLineChars="200"/>
        <w:jc w:val="both"/>
        <w:textAlignment w:val="auto"/>
        <w:outlineLvl w:val="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2C7224CB">
      <w:pPr>
        <w:pStyle w:val="132"/>
        <w:pageBreakBefore w:val="0"/>
        <w:kinsoku/>
        <w:wordWrap/>
        <w:overflowPunct/>
        <w:topLinePunct w:val="0"/>
        <w:bidi w:val="0"/>
        <w:adjustRightInd/>
        <w:snapToGrid/>
        <w:spacing w:before="0" w:beforeAutospacing="0" w:line="360" w:lineRule="auto"/>
        <w:ind w:left="0" w:leftChars="0" w:firstLine="482" w:firstLineChars="200"/>
        <w:jc w:val="both"/>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005FDFF7">
      <w:pPr>
        <w:pStyle w:val="24"/>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0FC2ACCB">
      <w:pPr>
        <w:pStyle w:val="132"/>
        <w:pageBreakBefore w:val="0"/>
        <w:kinsoku/>
        <w:wordWrap/>
        <w:overflowPunct/>
        <w:topLinePunct w:val="0"/>
        <w:bidi w:val="0"/>
        <w:adjustRightInd/>
        <w:snapToGrid/>
        <w:spacing w:before="0" w:beforeAutospacing="0" w:line="360" w:lineRule="auto"/>
        <w:ind w:left="0" w:leftChars="0" w:firstLine="482" w:firstLineChars="200"/>
        <w:jc w:val="both"/>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17.响应文件有效期</w:t>
      </w:r>
    </w:p>
    <w:p w14:paraId="211B47DA">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2AF57F2A">
      <w:pPr>
        <w:pStyle w:val="132"/>
        <w:pageBreakBefore w:val="0"/>
        <w:kinsoku/>
        <w:wordWrap/>
        <w:overflowPunct/>
        <w:topLinePunct w:val="0"/>
        <w:bidi w:val="0"/>
        <w:adjustRightInd/>
        <w:snapToGrid/>
        <w:spacing w:before="0" w:beforeAutospacing="0" w:line="360" w:lineRule="auto"/>
        <w:ind w:left="0" w:leftChars="0" w:firstLine="480" w:firstLineChars="200"/>
        <w:jc w:val="both"/>
        <w:textAlignment w:val="auto"/>
        <w:outlineLvl w:val="9"/>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6944D5EF">
      <w:pPr>
        <w:pStyle w:val="132"/>
        <w:pageBreakBefore w:val="0"/>
        <w:kinsoku/>
        <w:wordWrap/>
        <w:overflowPunct/>
        <w:topLinePunct w:val="0"/>
        <w:bidi w:val="0"/>
        <w:adjustRightInd/>
        <w:snapToGrid/>
        <w:spacing w:before="0" w:beforeAutospacing="0" w:line="360" w:lineRule="auto"/>
        <w:ind w:left="0" w:leftChars="0" w:firstLine="480" w:firstLineChars="200"/>
        <w:jc w:val="both"/>
        <w:textAlignment w:val="auto"/>
        <w:outlineLvl w:val="9"/>
        <w:rPr>
          <w:rFonts w:ascii="宋体" w:hAnsi="宋体" w:cs="宋体"/>
          <w:color w:val="auto"/>
          <w:highlight w:val="none"/>
        </w:rPr>
      </w:pPr>
      <w:r>
        <w:rPr>
          <w:rFonts w:hint="eastAsia" w:ascii="宋体" w:hAnsi="宋体" w:cs="宋体"/>
          <w:color w:val="auto"/>
          <w:highlight w:val="none"/>
        </w:rPr>
        <w:t>17.3在原定响应文件有效期满之前，如果出现特殊情况，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可以以书面形式通知供应商延长响应文件有效期。供应商同意延长的，不得要求或被允许修改其响应文件，供应商拒绝延长的，其响应文件无效。</w:t>
      </w:r>
    </w:p>
    <w:p w14:paraId="7227E440">
      <w:pPr>
        <w:pStyle w:val="132"/>
        <w:pageBreakBefore w:val="0"/>
        <w:kinsoku/>
        <w:wordWrap/>
        <w:overflowPunct/>
        <w:topLinePunct w:val="0"/>
        <w:bidi w:val="0"/>
        <w:adjustRightInd/>
        <w:snapToGrid/>
        <w:spacing w:before="0" w:beforeAutospacing="0" w:line="360" w:lineRule="auto"/>
        <w:ind w:left="0" w:leftChars="0" w:firstLine="643" w:firstLineChars="200"/>
        <w:jc w:val="both"/>
        <w:textAlignment w:val="auto"/>
        <w:outlineLvl w:val="9"/>
        <w:rPr>
          <w:rFonts w:ascii="宋体" w:hAnsi="宋体" w:cs="宋体"/>
          <w:b/>
          <w:color w:val="auto"/>
          <w:sz w:val="32"/>
          <w:highlight w:val="none"/>
        </w:rPr>
      </w:pPr>
    </w:p>
    <w:p w14:paraId="122A104F">
      <w:pPr>
        <w:pageBreakBefore w:val="0"/>
        <w:kinsoku/>
        <w:wordWrap/>
        <w:overflowPunct/>
        <w:topLinePunct w:val="0"/>
        <w:bidi w:val="0"/>
        <w:adjustRightInd/>
        <w:snapToGrid/>
        <w:spacing w:beforeAutospacing="0" w:line="360" w:lineRule="auto"/>
        <w:jc w:val="center"/>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14:paraId="7BD28BF7">
      <w:pPr>
        <w:pStyle w:val="558"/>
        <w:pageBreakBefore w:val="0"/>
        <w:kinsoku/>
        <w:wordWrap/>
        <w:overflowPunct/>
        <w:topLinePunct w:val="0"/>
        <w:bidi w:val="0"/>
        <w:adjustRightInd/>
        <w:snapToGrid/>
        <w:spacing w:before="0" w:beforeAutospacing="0" w:line="360" w:lineRule="auto"/>
        <w:ind w:left="0" w:leftChars="0" w:firstLine="482" w:firstLineChars="200"/>
        <w:contextualSpacing/>
        <w:jc w:val="both"/>
        <w:textAlignment w:val="auto"/>
        <w:outlineLvl w:val="9"/>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14:paraId="542DCC7F">
      <w:pPr>
        <w:pStyle w:val="558"/>
        <w:pageBreakBefore w:val="0"/>
        <w:kinsoku/>
        <w:wordWrap/>
        <w:overflowPunct/>
        <w:topLinePunct w:val="0"/>
        <w:bidi w:val="0"/>
        <w:adjustRightInd/>
        <w:snapToGrid/>
        <w:spacing w:before="0" w:beforeAutospacing="0" w:line="360" w:lineRule="auto"/>
        <w:ind w:left="0" w:leftChars="0" w:firstLine="480" w:firstLineChars="200"/>
        <w:contextualSpacing/>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按照采购文件规定的时间通过电子交易平台组织响应文件开启，所有供应商均应当准时在线参加。供应商不足3家的，不得开启。</w:t>
      </w:r>
    </w:p>
    <w:p w14:paraId="7D3712C9">
      <w:pPr>
        <w:pStyle w:val="558"/>
        <w:pageBreakBefore w:val="0"/>
        <w:kinsoku/>
        <w:wordWrap/>
        <w:overflowPunct/>
        <w:topLinePunct w:val="0"/>
        <w:bidi w:val="0"/>
        <w:adjustRightInd/>
        <w:snapToGrid/>
        <w:spacing w:before="0" w:beforeAutospacing="0" w:line="360" w:lineRule="auto"/>
        <w:ind w:left="0" w:leftChars="0" w:firstLine="480" w:firstLineChars="200"/>
        <w:contextualSpacing/>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依托电子交易平台发起开始解密指令，供应商按照平台提示和采购文件的规定在半小时内完成在线解密。</w:t>
      </w:r>
    </w:p>
    <w:p w14:paraId="765334ED">
      <w:pPr>
        <w:pStyle w:val="558"/>
        <w:pageBreakBefore w:val="0"/>
        <w:kinsoku/>
        <w:wordWrap/>
        <w:overflowPunct/>
        <w:topLinePunct w:val="0"/>
        <w:bidi w:val="0"/>
        <w:adjustRightInd/>
        <w:snapToGrid/>
        <w:spacing w:before="0" w:beforeAutospacing="0" w:line="360" w:lineRule="auto"/>
        <w:ind w:left="0" w:leftChars="0" w:firstLine="480" w:firstLineChars="200"/>
        <w:contextualSpacing/>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00083651">
      <w:pPr>
        <w:pStyle w:val="558"/>
        <w:pageBreakBefore w:val="0"/>
        <w:kinsoku/>
        <w:wordWrap/>
        <w:overflowPunct/>
        <w:topLinePunct w:val="0"/>
        <w:bidi w:val="0"/>
        <w:adjustRightInd/>
        <w:snapToGrid/>
        <w:spacing w:before="0" w:beforeAutospacing="0" w:line="360" w:lineRule="auto"/>
        <w:ind w:left="0" w:leftChars="0" w:firstLine="482" w:firstLineChars="200"/>
        <w:contextualSpacing/>
        <w:jc w:val="both"/>
        <w:textAlignment w:val="auto"/>
        <w:outlineLvl w:val="9"/>
        <w:rPr>
          <w:rFonts w:ascii="宋体" w:hAnsi="宋体" w:cs="宋体"/>
          <w:b/>
          <w:color w:val="auto"/>
          <w:sz w:val="24"/>
          <w:szCs w:val="24"/>
          <w:highlight w:val="none"/>
        </w:rPr>
      </w:pPr>
      <w:r>
        <w:rPr>
          <w:rFonts w:hint="eastAsia" w:ascii="宋体" w:hAnsi="宋体" w:cs="宋体"/>
          <w:b/>
          <w:color w:val="auto"/>
          <w:sz w:val="24"/>
          <w:szCs w:val="24"/>
          <w:highlight w:val="none"/>
        </w:rPr>
        <w:t>19</w:t>
      </w:r>
      <w:r>
        <w:rPr>
          <w:rFonts w:hint="eastAsia" w:ascii="宋体" w:hAnsi="宋体" w:cs="宋体"/>
          <w:b/>
          <w:color w:val="auto"/>
          <w:sz w:val="24"/>
          <w:szCs w:val="24"/>
          <w:highlight w:val="none"/>
          <w:lang w:val="en-US" w:eastAsia="zh-CN"/>
        </w:rPr>
        <w:t>.</w:t>
      </w:r>
      <w:r>
        <w:rPr>
          <w:rFonts w:hint="eastAsia" w:ascii="宋体" w:hAnsi="宋体" w:cs="宋体"/>
          <w:b/>
          <w:color w:val="auto"/>
          <w:sz w:val="24"/>
          <w:szCs w:val="24"/>
          <w:highlight w:val="none"/>
        </w:rPr>
        <w:t>资格审查</w:t>
      </w:r>
    </w:p>
    <w:p w14:paraId="41F09442">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或磋商小组依据法律法规和采购文件的规定，对供应商的资格进行审查。</w:t>
      </w:r>
    </w:p>
    <w:p w14:paraId="25EB4C07">
      <w:pPr>
        <w:pStyle w:val="132"/>
        <w:pageBreakBefore w:val="0"/>
        <w:kinsoku/>
        <w:wordWrap/>
        <w:overflowPunct/>
        <w:topLinePunct w:val="0"/>
        <w:bidi w:val="0"/>
        <w:adjustRightInd/>
        <w:snapToGrid/>
        <w:spacing w:before="0" w:beforeAutospacing="0" w:line="360" w:lineRule="auto"/>
        <w:ind w:left="0" w:leftChars="0" w:firstLine="480" w:firstLineChars="200"/>
        <w:jc w:val="both"/>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14:paraId="52D0A401">
      <w:pPr>
        <w:pStyle w:val="132"/>
        <w:pageBreakBefore w:val="0"/>
        <w:kinsoku/>
        <w:wordWrap/>
        <w:overflowPunct/>
        <w:topLinePunct w:val="0"/>
        <w:bidi w:val="0"/>
        <w:adjustRightInd/>
        <w:snapToGrid/>
        <w:spacing w:before="0" w:beforeAutospacing="0" w:line="360" w:lineRule="auto"/>
        <w:ind w:left="0" w:leftChars="0" w:firstLine="480" w:firstLineChars="200"/>
        <w:jc w:val="both"/>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对未通过资格审查的供应商，采购人或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EC71269">
      <w:pPr>
        <w:pStyle w:val="132"/>
        <w:pageBreakBefore w:val="0"/>
        <w:kinsoku/>
        <w:wordWrap/>
        <w:overflowPunct/>
        <w:topLinePunct w:val="0"/>
        <w:bidi w:val="0"/>
        <w:adjustRightInd/>
        <w:snapToGrid/>
        <w:spacing w:before="0" w:beforeAutospacing="0" w:line="360" w:lineRule="auto"/>
        <w:ind w:left="0" w:leftChars="0" w:firstLine="480" w:firstLineChars="200"/>
        <w:jc w:val="both"/>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合格供应商不足3家的，不再评审。</w:t>
      </w:r>
    </w:p>
    <w:p w14:paraId="315B520A">
      <w:pPr>
        <w:pStyle w:val="132"/>
        <w:pageBreakBefore w:val="0"/>
        <w:kinsoku/>
        <w:wordWrap/>
        <w:overflowPunct/>
        <w:topLinePunct w:val="0"/>
        <w:bidi w:val="0"/>
        <w:adjustRightInd/>
        <w:snapToGrid/>
        <w:spacing w:before="0" w:beforeAutospacing="0" w:line="360" w:lineRule="auto"/>
        <w:ind w:left="0" w:leftChars="0" w:firstLine="482" w:firstLineChars="200"/>
        <w:jc w:val="both"/>
        <w:textAlignment w:val="auto"/>
        <w:outlineLvl w:val="9"/>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42B3D529">
      <w:pPr>
        <w:pStyle w:val="132"/>
        <w:pageBreakBefore w:val="0"/>
        <w:kinsoku/>
        <w:wordWrap/>
        <w:overflowPunct/>
        <w:topLinePunct w:val="0"/>
        <w:bidi w:val="0"/>
        <w:adjustRightInd/>
        <w:snapToGrid/>
        <w:spacing w:before="0" w:beforeAutospacing="0" w:line="360" w:lineRule="auto"/>
        <w:ind w:left="0" w:leftChars="0" w:firstLine="480" w:firstLineChars="200"/>
        <w:jc w:val="both"/>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将在资格审查时通过“信用中国”网站(www.creditchina.gov.cn)、中国政府采购网(www.ccgp.gov.cn)渠道查询供应商接受资格审查时的信用记录。</w:t>
      </w:r>
    </w:p>
    <w:p w14:paraId="2FA9950D">
      <w:pPr>
        <w:pStyle w:val="132"/>
        <w:pageBreakBefore w:val="0"/>
        <w:kinsoku/>
        <w:wordWrap/>
        <w:overflowPunct/>
        <w:topLinePunct w:val="0"/>
        <w:bidi w:val="0"/>
        <w:adjustRightInd/>
        <w:snapToGrid/>
        <w:spacing w:before="0" w:beforeAutospacing="0" w:line="360" w:lineRule="auto"/>
        <w:ind w:left="0" w:leftChars="0" w:firstLine="480" w:firstLineChars="200"/>
        <w:jc w:val="both"/>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7E316472">
      <w:pPr>
        <w:pStyle w:val="132"/>
        <w:pageBreakBefore w:val="0"/>
        <w:kinsoku/>
        <w:wordWrap/>
        <w:overflowPunct/>
        <w:topLinePunct w:val="0"/>
        <w:bidi w:val="0"/>
        <w:adjustRightInd/>
        <w:snapToGrid/>
        <w:spacing w:before="0" w:beforeAutospacing="0" w:line="360" w:lineRule="auto"/>
        <w:ind w:left="0" w:leftChars="0" w:firstLine="480" w:firstLineChars="200"/>
        <w:jc w:val="both"/>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w:t>
      </w:r>
      <w:r>
        <w:rPr>
          <w:rFonts w:hint="eastAsia" w:ascii="宋体" w:hAnsi="宋体" w:cs="宋体"/>
          <w:color w:val="auto"/>
          <w:kern w:val="0"/>
          <w:szCs w:val="24"/>
          <w:highlight w:val="none"/>
          <w:lang w:eastAsia="zh-CN"/>
        </w:rPr>
        <w:t>重大税收违法失信主体</w:t>
      </w:r>
      <w:r>
        <w:rPr>
          <w:rFonts w:hint="eastAsia" w:ascii="宋体" w:hAnsi="宋体" w:cs="宋体"/>
          <w:color w:val="auto"/>
          <w:kern w:val="0"/>
          <w:szCs w:val="24"/>
          <w:highlight w:val="none"/>
        </w:rPr>
        <w:t>、政府采购严重违法失信行为记录名单的供应商将被拒绝参与政府采购活动。</w:t>
      </w:r>
    </w:p>
    <w:p w14:paraId="06ECA7E2">
      <w:pPr>
        <w:pStyle w:val="132"/>
        <w:pageBreakBefore w:val="0"/>
        <w:kinsoku/>
        <w:wordWrap/>
        <w:overflowPunct/>
        <w:topLinePunct w:val="0"/>
        <w:bidi w:val="0"/>
        <w:adjustRightInd/>
        <w:snapToGrid/>
        <w:spacing w:before="0" w:beforeAutospacing="0" w:line="360" w:lineRule="auto"/>
        <w:ind w:left="0" w:leftChars="0" w:firstLine="480" w:firstLineChars="200"/>
        <w:jc w:val="both"/>
        <w:textAlignment w:val="auto"/>
        <w:outlineLvl w:val="9"/>
        <w:rPr>
          <w:rFonts w:ascii="宋体" w:hAnsi="宋体" w:cs="宋体"/>
          <w:color w:val="auto"/>
          <w:kern w:val="0"/>
          <w:szCs w:val="24"/>
          <w:highlight w:val="none"/>
        </w:rPr>
      </w:pPr>
    </w:p>
    <w:p w14:paraId="1DEA9718">
      <w:pPr>
        <w:pageBreakBefore w:val="0"/>
        <w:kinsoku/>
        <w:wordWrap/>
        <w:overflowPunct/>
        <w:topLinePunct w:val="0"/>
        <w:bidi w:val="0"/>
        <w:adjustRightInd/>
        <w:snapToGrid/>
        <w:spacing w:beforeAutospacing="0" w:line="360" w:lineRule="auto"/>
        <w:jc w:val="center"/>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14:paraId="605081E0">
      <w:pPr>
        <w:pageBreakBefore w:val="0"/>
        <w:kinsoku/>
        <w:wordWrap/>
        <w:overflowPunct/>
        <w:topLinePunct w:val="0"/>
        <w:bidi w:val="0"/>
        <w:adjustRightInd/>
        <w:snapToGrid/>
        <w:spacing w:beforeAutospacing="0" w:line="360" w:lineRule="auto"/>
        <w:ind w:left="0" w:leftChars="0" w:firstLine="482" w:firstLineChars="200"/>
        <w:jc w:val="both"/>
        <w:textAlignment w:val="auto"/>
        <w:outlineLvl w:val="9"/>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2236EA7B">
      <w:pPr>
        <w:pageBreakBefore w:val="0"/>
        <w:kinsoku/>
        <w:wordWrap/>
        <w:overflowPunct/>
        <w:topLinePunct w:val="0"/>
        <w:bidi w:val="0"/>
        <w:adjustRightInd/>
        <w:snapToGrid/>
        <w:spacing w:beforeAutospacing="0" w:line="360" w:lineRule="auto"/>
        <w:ind w:left="0" w:leftChars="0" w:firstLine="482" w:firstLineChars="200"/>
        <w:jc w:val="both"/>
        <w:textAlignment w:val="auto"/>
        <w:outlineLvl w:val="9"/>
        <w:rPr>
          <w:rFonts w:ascii="宋体" w:hAnsi="宋体" w:cs="宋体"/>
          <w:b/>
          <w:color w:val="auto"/>
          <w:sz w:val="24"/>
          <w:highlight w:val="none"/>
        </w:rPr>
      </w:pPr>
    </w:p>
    <w:p w14:paraId="626DF0D1">
      <w:pPr>
        <w:pageBreakBefore w:val="0"/>
        <w:kinsoku/>
        <w:wordWrap/>
        <w:overflowPunct/>
        <w:topLinePunct w:val="0"/>
        <w:bidi w:val="0"/>
        <w:adjustRightInd/>
        <w:snapToGrid/>
        <w:spacing w:beforeAutospacing="0" w:line="360" w:lineRule="auto"/>
        <w:jc w:val="center"/>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14:paraId="07860385">
      <w:pPr>
        <w:pStyle w:val="24"/>
        <w:pageBreakBefore w:val="0"/>
        <w:kinsoku/>
        <w:wordWrap/>
        <w:overflowPunct/>
        <w:topLinePunct w:val="0"/>
        <w:bidi w:val="0"/>
        <w:adjustRightInd/>
        <w:snapToGrid/>
        <w:spacing w:beforeAutospacing="0" w:line="360" w:lineRule="auto"/>
        <w:ind w:left="0" w:leftChars="0" w:firstLine="482" w:firstLineChars="200"/>
        <w:jc w:val="both"/>
        <w:textAlignment w:val="auto"/>
        <w:outlineLvl w:val="9"/>
        <w:rPr>
          <w:rFonts w:cs="宋体"/>
          <w:b/>
          <w:color w:val="auto"/>
          <w:highlight w:val="none"/>
        </w:rPr>
      </w:pPr>
      <w:r>
        <w:rPr>
          <w:rFonts w:hint="eastAsia" w:cs="宋体"/>
          <w:b/>
          <w:color w:val="auto"/>
          <w:highlight w:val="none"/>
        </w:rPr>
        <w:t>22.确定成交供应商</w:t>
      </w:r>
    </w:p>
    <w:p w14:paraId="4E177B11">
      <w:pPr>
        <w:pStyle w:val="132"/>
        <w:pageBreakBefore w:val="0"/>
        <w:kinsoku/>
        <w:wordWrap/>
        <w:overflowPunct/>
        <w:topLinePunct w:val="0"/>
        <w:bidi w:val="0"/>
        <w:adjustRightInd/>
        <w:snapToGrid/>
        <w:spacing w:before="0" w:beforeAutospacing="0" w:line="360" w:lineRule="auto"/>
        <w:ind w:left="0" w:leftChars="0" w:firstLine="480" w:firstLineChars="200"/>
        <w:jc w:val="both"/>
        <w:textAlignment w:val="auto"/>
        <w:outlineLvl w:val="9"/>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8B953FF">
      <w:pPr>
        <w:pStyle w:val="132"/>
        <w:pageBreakBefore w:val="0"/>
        <w:kinsoku/>
        <w:wordWrap/>
        <w:overflowPunct/>
        <w:topLinePunct w:val="0"/>
        <w:bidi w:val="0"/>
        <w:adjustRightInd/>
        <w:snapToGrid/>
        <w:spacing w:before="0" w:beforeAutospacing="0" w:line="360" w:lineRule="auto"/>
        <w:ind w:left="0" w:leftChars="0" w:firstLine="482" w:firstLineChars="200"/>
        <w:jc w:val="both"/>
        <w:textAlignment w:val="auto"/>
        <w:outlineLvl w:val="9"/>
        <w:rPr>
          <w:rFonts w:ascii="宋体" w:hAnsi="宋体" w:cs="宋体"/>
          <w:b/>
          <w:color w:val="auto"/>
          <w:szCs w:val="24"/>
          <w:highlight w:val="none"/>
        </w:rPr>
      </w:pPr>
      <w:r>
        <w:rPr>
          <w:rFonts w:hint="eastAsia" w:ascii="宋体" w:hAnsi="宋体" w:cs="宋体"/>
          <w:b/>
          <w:color w:val="auto"/>
          <w:szCs w:val="24"/>
          <w:highlight w:val="none"/>
        </w:rPr>
        <w:t>23.成交通知与成交结果公告</w:t>
      </w:r>
    </w:p>
    <w:p w14:paraId="447D2F70">
      <w:pPr>
        <w:pageBreakBefore w:val="0"/>
        <w:widowControl/>
        <w:shd w:val="clear" w:color="auto" w:fill="FFFFFF"/>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23.1自成交供应商确定之日起</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通过电子交易平台向成交供应商发出成交通知书，同时编制发布采购结果公告。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5226C30E">
      <w:pPr>
        <w:pageBreakBefore w:val="0"/>
        <w:widowControl/>
        <w:shd w:val="clear" w:color="auto" w:fill="FFFFFF"/>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成交供应商名称、地址和成交金额，主要成交标的的名称、规格型号、数量、单价、服务要求，开标记录、资格审查情况、评审专家抽取规则、符合性审查情况、成交结果公告期限以及评审专家名单、评分汇总及明细。</w:t>
      </w:r>
    </w:p>
    <w:p w14:paraId="49BE6321">
      <w:pPr>
        <w:pageBreakBefore w:val="0"/>
        <w:widowControl/>
        <w:shd w:val="clear" w:color="auto" w:fill="FFFFFF"/>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23.3公告期限为1个工作日。</w:t>
      </w:r>
    </w:p>
    <w:p w14:paraId="3150C5F1">
      <w:pPr>
        <w:pageBreakBefore w:val="0"/>
        <w:kinsoku/>
        <w:wordWrap/>
        <w:overflowPunct/>
        <w:topLinePunct w:val="0"/>
        <w:bidi w:val="0"/>
        <w:adjustRightInd/>
        <w:snapToGrid/>
        <w:spacing w:beforeAutospacing="0" w:line="360" w:lineRule="auto"/>
        <w:jc w:val="center"/>
        <w:textAlignment w:val="auto"/>
        <w:outlineLvl w:val="9"/>
        <w:rPr>
          <w:rFonts w:hint="eastAsia" w:ascii="宋体" w:hAnsi="宋体" w:cs="宋体"/>
          <w:b/>
          <w:color w:val="auto"/>
          <w:sz w:val="32"/>
          <w:szCs w:val="20"/>
          <w:highlight w:val="none"/>
        </w:rPr>
      </w:pPr>
    </w:p>
    <w:p w14:paraId="030F2F39">
      <w:pPr>
        <w:pageBreakBefore w:val="0"/>
        <w:kinsoku/>
        <w:wordWrap/>
        <w:overflowPunct/>
        <w:topLinePunct w:val="0"/>
        <w:bidi w:val="0"/>
        <w:adjustRightInd/>
        <w:snapToGrid/>
        <w:spacing w:beforeAutospacing="0" w:line="360" w:lineRule="auto"/>
        <w:jc w:val="center"/>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14:paraId="7F17CA36">
      <w:pPr>
        <w:pStyle w:val="24"/>
        <w:pageBreakBefore w:val="0"/>
        <w:kinsoku/>
        <w:wordWrap/>
        <w:overflowPunct/>
        <w:topLinePunct w:val="0"/>
        <w:bidi w:val="0"/>
        <w:adjustRightInd/>
        <w:snapToGrid/>
        <w:spacing w:beforeAutospacing="0" w:line="360" w:lineRule="auto"/>
        <w:ind w:left="0" w:leftChars="0" w:firstLine="482" w:firstLineChars="200"/>
        <w:jc w:val="both"/>
        <w:textAlignment w:val="auto"/>
        <w:outlineLvl w:val="9"/>
        <w:rPr>
          <w:rFonts w:cs="宋体"/>
          <w:b/>
          <w:color w:val="auto"/>
          <w:highlight w:val="none"/>
        </w:rPr>
      </w:pPr>
      <w:r>
        <w:rPr>
          <w:rFonts w:hint="eastAsia" w:cs="宋体"/>
          <w:b/>
          <w:color w:val="auto"/>
          <w:highlight w:val="none"/>
        </w:rPr>
        <w:t>24.</w:t>
      </w:r>
      <w:r>
        <w:rPr>
          <w:rFonts w:hint="eastAsia" w:cs="宋体"/>
          <w:color w:val="auto"/>
          <w:highlight w:val="none"/>
        </w:rPr>
        <w:t>合同主要条款详见第五部分拟签订的合同文本。</w:t>
      </w:r>
    </w:p>
    <w:p w14:paraId="285D6E8E">
      <w:pPr>
        <w:pStyle w:val="24"/>
        <w:pageBreakBefore w:val="0"/>
        <w:kinsoku/>
        <w:wordWrap/>
        <w:overflowPunct/>
        <w:topLinePunct w:val="0"/>
        <w:bidi w:val="0"/>
        <w:adjustRightInd/>
        <w:snapToGrid/>
        <w:spacing w:beforeAutospacing="0" w:line="360" w:lineRule="auto"/>
        <w:ind w:left="0" w:leftChars="0" w:firstLine="482" w:firstLineChars="200"/>
        <w:jc w:val="both"/>
        <w:textAlignment w:val="auto"/>
        <w:outlineLvl w:val="9"/>
        <w:rPr>
          <w:rFonts w:cs="宋体"/>
          <w:b/>
          <w:color w:val="auto"/>
          <w:highlight w:val="none"/>
        </w:rPr>
      </w:pPr>
      <w:r>
        <w:rPr>
          <w:rFonts w:hint="eastAsia" w:cs="宋体"/>
          <w:b/>
          <w:color w:val="auto"/>
          <w:highlight w:val="none"/>
        </w:rPr>
        <w:t>25.合同的签订</w:t>
      </w:r>
    </w:p>
    <w:p w14:paraId="57FDAD78">
      <w:pPr>
        <w:pageBreakBefore w:val="0"/>
        <w:widowControl/>
        <w:shd w:val="clear" w:color="auto" w:fill="FFFFFF"/>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采购人与成交供应商应当在成交通知书发出之日起三十日内，按照采购文件确定的事项签订政府采购合同，并在签订之日起2个工作日内将政府采购合同在浙江政府采购网上公告。</w:t>
      </w:r>
    </w:p>
    <w:p w14:paraId="2F24A8C9">
      <w:pPr>
        <w:pStyle w:val="132"/>
        <w:pageBreakBefore w:val="0"/>
        <w:kinsoku/>
        <w:wordWrap/>
        <w:overflowPunct/>
        <w:topLinePunct w:val="0"/>
        <w:bidi w:val="0"/>
        <w:adjustRightInd/>
        <w:snapToGrid/>
        <w:spacing w:before="0" w:beforeAutospacing="0" w:line="360" w:lineRule="auto"/>
        <w:ind w:left="0" w:leftChars="0" w:firstLine="480" w:firstLineChars="200"/>
        <w:jc w:val="both"/>
        <w:textAlignment w:val="auto"/>
        <w:outlineLvl w:val="9"/>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w:t>
      </w:r>
    </w:p>
    <w:p w14:paraId="01036E6E">
      <w:pPr>
        <w:pStyle w:val="132"/>
        <w:pageBreakBefore w:val="0"/>
        <w:kinsoku/>
        <w:wordWrap/>
        <w:overflowPunct/>
        <w:topLinePunct w:val="0"/>
        <w:bidi w:val="0"/>
        <w:adjustRightInd/>
        <w:snapToGrid/>
        <w:spacing w:before="0" w:beforeAutospacing="0" w:line="360" w:lineRule="auto"/>
        <w:ind w:left="0" w:leftChars="0" w:firstLine="480" w:firstLineChars="200"/>
        <w:jc w:val="both"/>
        <w:textAlignment w:val="auto"/>
        <w:outlineLvl w:val="9"/>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03ADC5BE">
      <w:pPr>
        <w:pStyle w:val="132"/>
        <w:pageBreakBefore w:val="0"/>
        <w:kinsoku/>
        <w:wordWrap/>
        <w:overflowPunct/>
        <w:topLinePunct w:val="0"/>
        <w:bidi w:val="0"/>
        <w:adjustRightInd/>
        <w:snapToGrid/>
        <w:spacing w:before="0" w:beforeAutospacing="0" w:line="360" w:lineRule="auto"/>
        <w:ind w:left="0" w:leftChars="0" w:firstLine="480" w:firstLineChars="200"/>
        <w:jc w:val="both"/>
        <w:textAlignment w:val="auto"/>
        <w:outlineLvl w:val="9"/>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40BD68C2">
      <w:pPr>
        <w:pStyle w:val="132"/>
        <w:pageBreakBefore w:val="0"/>
        <w:kinsoku/>
        <w:wordWrap/>
        <w:overflowPunct/>
        <w:topLinePunct w:val="0"/>
        <w:bidi w:val="0"/>
        <w:adjustRightInd/>
        <w:snapToGrid/>
        <w:spacing w:before="0" w:beforeAutospacing="0" w:line="360" w:lineRule="auto"/>
        <w:ind w:left="0" w:leftChars="0" w:firstLine="480" w:firstLineChars="200"/>
        <w:jc w:val="both"/>
        <w:textAlignment w:val="auto"/>
        <w:outlineLvl w:val="9"/>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14:paraId="1C0CE59B">
      <w:pPr>
        <w:pStyle w:val="24"/>
        <w:pageBreakBefore w:val="0"/>
        <w:kinsoku/>
        <w:wordWrap/>
        <w:overflowPunct/>
        <w:topLinePunct w:val="0"/>
        <w:bidi w:val="0"/>
        <w:adjustRightInd/>
        <w:snapToGrid/>
        <w:spacing w:beforeAutospacing="0" w:line="360" w:lineRule="auto"/>
        <w:ind w:left="0" w:leftChars="0" w:firstLine="482" w:firstLineChars="200"/>
        <w:jc w:val="both"/>
        <w:textAlignment w:val="auto"/>
        <w:outlineLvl w:val="9"/>
        <w:rPr>
          <w:rFonts w:cs="宋体"/>
          <w:b/>
          <w:color w:val="auto"/>
          <w:highlight w:val="none"/>
        </w:rPr>
      </w:pPr>
      <w:r>
        <w:rPr>
          <w:rFonts w:hint="eastAsia" w:cs="宋体"/>
          <w:b/>
          <w:color w:val="auto"/>
          <w:highlight w:val="none"/>
        </w:rPr>
        <w:t>26.履约保证金</w:t>
      </w:r>
    </w:p>
    <w:p w14:paraId="1CE0412E">
      <w:pPr>
        <w:pageBreakBefore w:val="0"/>
        <w:tabs>
          <w:tab w:val="left" w:pos="0"/>
        </w:tabs>
        <w:kinsoku/>
        <w:wordWrap/>
        <w:overflowPunct/>
        <w:topLinePunct w:val="0"/>
        <w:bidi w:val="0"/>
        <w:adjustRightInd/>
        <w:snapToGrid/>
        <w:spacing w:beforeAutospacing="0" w:line="360" w:lineRule="auto"/>
        <w:ind w:left="0" w:leftChars="0" w:firstLine="480" w:firstLineChars="200"/>
        <w:jc w:val="both"/>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。确需收取履约保证金的，履约保证金缴纳最高比例由不超过</w:t>
      </w:r>
      <w:r>
        <w:rPr>
          <w:rFonts w:hint="eastAsia" w:ascii="宋体" w:hAnsi="宋体" w:cs="宋体"/>
          <w:color w:val="auto"/>
          <w:kern w:val="2"/>
          <w:sz w:val="24"/>
          <w:highlight w:val="none"/>
        </w:rPr>
        <w:t>合同金额的</w:t>
      </w:r>
      <w:r>
        <w:rPr>
          <w:rFonts w:ascii="宋体" w:hAnsi="宋体" w:cs="宋体"/>
          <w:color w:val="auto"/>
          <w:kern w:val="2"/>
          <w:sz w:val="24"/>
          <w:highlight w:val="none"/>
        </w:rPr>
        <w:t>1%</w:t>
      </w:r>
      <w:r>
        <w:rPr>
          <w:rFonts w:hint="eastAsia" w:ascii="宋体" w:hAnsi="宋体" w:cs="宋体"/>
          <w:color w:val="auto"/>
          <w:kern w:val="2"/>
          <w:sz w:val="24"/>
          <w:highlight w:val="none"/>
          <w:lang w:eastAsia="zh-CN"/>
        </w:rPr>
        <w:t>。</w:t>
      </w:r>
    </w:p>
    <w:p w14:paraId="0A99287A">
      <w:pPr>
        <w:pageBreakBefore w:val="0"/>
        <w:tabs>
          <w:tab w:val="left" w:pos="432"/>
        </w:tabs>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ascii="宋体" w:hAnsi="宋体" w:eastAsia="宋体"/>
          <w:b w:val="0"/>
          <w:bCs w:val="0"/>
          <w:color w:val="auto"/>
          <w:sz w:val="24"/>
          <w:szCs w:val="24"/>
          <w:highlight w:val="none"/>
          <w:lang w:val="en-US"/>
        </w:rPr>
        <w:t>400-903-9583</w:t>
      </w:r>
      <w:r>
        <w:rPr>
          <w:rFonts w:hint="eastAsia" w:ascii="宋体" w:hAnsi="宋体" w:eastAsia="宋体" w:cs="宋体"/>
          <w:b w:val="0"/>
          <w:bCs w:val="0"/>
          <w:snapToGrid w:val="0"/>
          <w:color w:val="auto"/>
          <w:kern w:val="28"/>
          <w:sz w:val="24"/>
          <w:highlight w:val="none"/>
        </w:rPr>
        <w:t>。</w:t>
      </w:r>
    </w:p>
    <w:p w14:paraId="3996CA80">
      <w:pPr>
        <w:pageBreakBefore w:val="0"/>
        <w:tabs>
          <w:tab w:val="left" w:pos="432"/>
        </w:tabs>
        <w:kinsoku/>
        <w:wordWrap/>
        <w:overflowPunct/>
        <w:topLinePunct w:val="0"/>
        <w:bidi w:val="0"/>
        <w:adjustRightInd/>
        <w:snapToGrid/>
        <w:spacing w:beforeAutospacing="0" w:line="360" w:lineRule="auto"/>
        <w:ind w:left="0" w:leftChars="0" w:firstLine="482" w:firstLineChars="200"/>
        <w:jc w:val="both"/>
        <w:textAlignment w:val="auto"/>
        <w:outlineLvl w:val="9"/>
        <w:rPr>
          <w:color w:val="auto"/>
          <w:highlight w:val="none"/>
        </w:rPr>
      </w:pPr>
      <w:r>
        <w:rPr>
          <w:rFonts w:ascii="宋体" w:hAnsi="宋体" w:eastAsia="宋体" w:cs="Times New Roman"/>
          <w:b/>
          <w:bCs/>
          <w:color w:val="auto"/>
          <w:kern w:val="2"/>
          <w:sz w:val="24"/>
          <w:szCs w:val="32"/>
          <w:highlight w:val="none"/>
          <w:lang w:val="en-US"/>
        </w:rPr>
        <w:t>27.预付款</w:t>
      </w:r>
    </w:p>
    <w:p w14:paraId="6FF8E85D">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color w:val="auto"/>
          <w:highlight w:val="none"/>
        </w:rPr>
      </w:pPr>
      <w:r>
        <w:rPr>
          <w:rFonts w:hint="eastAsia" w:ascii="宋体" w:hAnsi="宋体" w:cs="Times New Roman"/>
          <w:color w:val="auto"/>
          <w:kern w:val="2"/>
          <w:sz w:val="24"/>
          <w:highlight w:val="none"/>
          <w:lang w:val="en-US" w:eastAsia="zh-CN"/>
        </w:rPr>
        <w:t>详见第三部分采购需求</w:t>
      </w:r>
      <w:r>
        <w:rPr>
          <w:rFonts w:ascii="宋体" w:hAnsi="宋体" w:cs="Times New Roman"/>
          <w:color w:val="auto"/>
          <w:kern w:val="2"/>
          <w:sz w:val="24"/>
          <w:highlight w:val="none"/>
        </w:rPr>
        <w:t>。</w:t>
      </w:r>
    </w:p>
    <w:p w14:paraId="214B764A">
      <w:pPr>
        <w:pageBreakBefore w:val="0"/>
        <w:kinsoku/>
        <w:wordWrap/>
        <w:overflowPunct/>
        <w:topLinePunct w:val="0"/>
        <w:bidi w:val="0"/>
        <w:adjustRightInd/>
        <w:snapToGrid/>
        <w:spacing w:beforeAutospacing="0" w:line="360" w:lineRule="auto"/>
        <w:jc w:val="center"/>
        <w:textAlignment w:val="auto"/>
        <w:outlineLvl w:val="9"/>
        <w:rPr>
          <w:rFonts w:hint="eastAsia" w:ascii="宋体" w:hAnsi="宋体" w:cs="宋体"/>
          <w:b/>
          <w:color w:val="auto"/>
          <w:sz w:val="32"/>
          <w:szCs w:val="20"/>
          <w:highlight w:val="none"/>
        </w:rPr>
      </w:pPr>
    </w:p>
    <w:p w14:paraId="5E0E0541">
      <w:pPr>
        <w:pageBreakBefore w:val="0"/>
        <w:kinsoku/>
        <w:wordWrap/>
        <w:overflowPunct/>
        <w:topLinePunct w:val="0"/>
        <w:bidi w:val="0"/>
        <w:adjustRightInd/>
        <w:snapToGrid/>
        <w:spacing w:beforeAutospacing="0" w:line="360" w:lineRule="auto"/>
        <w:jc w:val="center"/>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14:paraId="7183B259">
      <w:pPr>
        <w:pStyle w:val="132"/>
        <w:pageBreakBefore w:val="0"/>
        <w:kinsoku/>
        <w:wordWrap/>
        <w:overflowPunct/>
        <w:topLinePunct w:val="0"/>
        <w:bidi w:val="0"/>
        <w:adjustRightInd/>
        <w:snapToGrid/>
        <w:spacing w:before="0" w:beforeAutospacing="0" w:line="360" w:lineRule="auto"/>
        <w:ind w:left="0" w:leftChars="0" w:firstLine="482" w:firstLineChars="200"/>
        <w:jc w:val="both"/>
        <w:textAlignment w:val="auto"/>
        <w:outlineLvl w:val="9"/>
        <w:rPr>
          <w:rFonts w:ascii="宋体" w:hAnsi="宋体" w:cs="宋体"/>
          <w:color w:val="auto"/>
          <w:highlight w:val="none"/>
        </w:rPr>
      </w:pPr>
      <w:r>
        <w:rPr>
          <w:rFonts w:ascii="宋体" w:hAnsi="宋体" w:cs="宋体"/>
          <w:b/>
          <w:bCs/>
          <w:color w:val="auto"/>
          <w:kern w:val="2"/>
          <w:szCs w:val="20"/>
          <w:highlight w:val="none"/>
        </w:rPr>
        <w:t>2</w:t>
      </w:r>
      <w:r>
        <w:rPr>
          <w:rFonts w:ascii="宋体" w:hAnsi="宋体" w:cs="宋体"/>
          <w:b/>
          <w:bCs/>
          <w:color w:val="auto"/>
          <w:kern w:val="2"/>
          <w:szCs w:val="24"/>
          <w:highlight w:val="none"/>
        </w:rPr>
        <w:t>8</w:t>
      </w:r>
      <w:r>
        <w:rPr>
          <w:rFonts w:hint="eastAsia" w:ascii="宋体" w:hAnsi="宋体" w:cs="宋体"/>
          <w:b/>
          <w:color w:val="auto"/>
          <w:szCs w:val="24"/>
          <w:highlight w:val="none"/>
        </w:rPr>
        <w:t>.电子交易活动的中止。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795AF157">
      <w:pPr>
        <w:pStyle w:val="132"/>
        <w:pageBreakBefore w:val="0"/>
        <w:kinsoku/>
        <w:wordWrap/>
        <w:overflowPunct/>
        <w:topLinePunct w:val="0"/>
        <w:bidi w:val="0"/>
        <w:adjustRightInd/>
        <w:snapToGrid/>
        <w:spacing w:before="0" w:beforeAutospacing="0" w:line="360" w:lineRule="auto"/>
        <w:ind w:left="0" w:leftChars="0" w:firstLine="480" w:firstLineChars="200"/>
        <w:jc w:val="both"/>
        <w:textAlignment w:val="auto"/>
        <w:outlineLvl w:val="9"/>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A22490E">
      <w:pPr>
        <w:pStyle w:val="132"/>
        <w:pageBreakBefore w:val="0"/>
        <w:kinsoku/>
        <w:wordWrap/>
        <w:overflowPunct/>
        <w:topLinePunct w:val="0"/>
        <w:bidi w:val="0"/>
        <w:adjustRightInd/>
        <w:snapToGrid/>
        <w:spacing w:before="0" w:beforeAutospacing="0" w:line="360" w:lineRule="auto"/>
        <w:ind w:left="0" w:leftChars="0" w:firstLine="480" w:firstLineChars="200"/>
        <w:jc w:val="both"/>
        <w:textAlignment w:val="auto"/>
        <w:outlineLvl w:val="9"/>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5A14343F">
      <w:pPr>
        <w:pStyle w:val="132"/>
        <w:pageBreakBefore w:val="0"/>
        <w:kinsoku/>
        <w:wordWrap/>
        <w:overflowPunct/>
        <w:topLinePunct w:val="0"/>
        <w:bidi w:val="0"/>
        <w:adjustRightInd/>
        <w:snapToGrid/>
        <w:spacing w:before="0" w:beforeAutospacing="0" w:line="360" w:lineRule="auto"/>
        <w:ind w:left="0" w:leftChars="0" w:firstLine="480" w:firstLineChars="200"/>
        <w:jc w:val="both"/>
        <w:textAlignment w:val="auto"/>
        <w:outlineLvl w:val="9"/>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C5E635D">
      <w:pPr>
        <w:pStyle w:val="132"/>
        <w:pageBreakBefore w:val="0"/>
        <w:kinsoku/>
        <w:wordWrap/>
        <w:overflowPunct/>
        <w:topLinePunct w:val="0"/>
        <w:bidi w:val="0"/>
        <w:adjustRightInd/>
        <w:snapToGrid/>
        <w:spacing w:before="0" w:beforeAutospacing="0" w:line="360" w:lineRule="auto"/>
        <w:ind w:left="0" w:leftChars="0" w:firstLine="480" w:firstLineChars="200"/>
        <w:jc w:val="both"/>
        <w:textAlignment w:val="auto"/>
        <w:outlineLvl w:val="9"/>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54D7D35E">
      <w:pPr>
        <w:pStyle w:val="132"/>
        <w:pageBreakBefore w:val="0"/>
        <w:kinsoku/>
        <w:wordWrap/>
        <w:overflowPunct/>
        <w:topLinePunct w:val="0"/>
        <w:bidi w:val="0"/>
        <w:adjustRightInd/>
        <w:snapToGrid/>
        <w:spacing w:before="0" w:beforeAutospacing="0" w:line="360" w:lineRule="auto"/>
        <w:ind w:left="0" w:leftChars="0" w:firstLine="480" w:firstLineChars="200"/>
        <w:jc w:val="both"/>
        <w:textAlignment w:val="auto"/>
        <w:outlineLvl w:val="9"/>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8BB1A22">
      <w:pPr>
        <w:pStyle w:val="132"/>
        <w:pageBreakBefore w:val="0"/>
        <w:kinsoku/>
        <w:wordWrap/>
        <w:overflowPunct/>
        <w:topLinePunct w:val="0"/>
        <w:bidi w:val="0"/>
        <w:adjustRightInd/>
        <w:snapToGrid/>
        <w:spacing w:before="0" w:beforeAutospacing="0" w:line="360" w:lineRule="auto"/>
        <w:ind w:left="0" w:leftChars="0" w:firstLine="480" w:firstLineChars="200"/>
        <w:jc w:val="both"/>
        <w:textAlignment w:val="auto"/>
        <w:outlineLvl w:val="9"/>
        <w:rPr>
          <w:rFonts w:ascii="宋体" w:hAnsi="宋体" w:cs="宋体"/>
          <w:color w:val="auto"/>
          <w:highlight w:val="none"/>
        </w:rPr>
      </w:pPr>
      <w:r>
        <w:rPr>
          <w:rFonts w:hint="eastAsia" w:ascii="宋体" w:hAnsi="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715E2E81">
      <w:pPr>
        <w:pageBreakBefore w:val="0"/>
        <w:tabs>
          <w:tab w:val="left" w:pos="0"/>
        </w:tabs>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p>
    <w:p w14:paraId="026E350A">
      <w:pPr>
        <w:pageBreakBefore w:val="0"/>
        <w:kinsoku/>
        <w:wordWrap/>
        <w:overflowPunct/>
        <w:topLinePunct w:val="0"/>
        <w:bidi w:val="0"/>
        <w:adjustRightInd/>
        <w:snapToGrid/>
        <w:spacing w:beforeAutospacing="0" w:line="360" w:lineRule="auto"/>
        <w:jc w:val="center"/>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14:paraId="4D6B7543">
      <w:pPr>
        <w:pStyle w:val="24"/>
        <w:pageBreakBefore w:val="0"/>
        <w:kinsoku/>
        <w:wordWrap/>
        <w:overflowPunct/>
        <w:topLinePunct w:val="0"/>
        <w:bidi w:val="0"/>
        <w:adjustRightInd/>
        <w:snapToGrid/>
        <w:spacing w:beforeAutospacing="0" w:line="360" w:lineRule="auto"/>
        <w:ind w:left="0" w:leftChars="0" w:firstLine="482" w:firstLineChars="200"/>
        <w:jc w:val="both"/>
        <w:textAlignment w:val="auto"/>
        <w:outlineLvl w:val="9"/>
        <w:rPr>
          <w:rFonts w:cs="宋体"/>
          <w:b/>
          <w:color w:val="auto"/>
          <w:highlight w:val="none"/>
        </w:rPr>
      </w:pPr>
      <w:r>
        <w:rPr>
          <w:rFonts w:hint="eastAsia" w:cs="宋体"/>
          <w:b/>
          <w:color w:val="auto"/>
          <w:highlight w:val="none"/>
        </w:rPr>
        <w:t>30.验收</w:t>
      </w:r>
    </w:p>
    <w:p w14:paraId="29715544">
      <w:pPr>
        <w:pageBreakBefore w:val="0"/>
        <w:tabs>
          <w:tab w:val="left" w:pos="0"/>
        </w:tabs>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E4EEF53">
      <w:pPr>
        <w:pageBreakBefore w:val="0"/>
        <w:tabs>
          <w:tab w:val="left" w:pos="0"/>
        </w:tabs>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299D0E3C">
      <w:pPr>
        <w:pageBreakBefore w:val="0"/>
        <w:tabs>
          <w:tab w:val="left" w:pos="0"/>
        </w:tabs>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A7533A4">
      <w:pPr>
        <w:pageBreakBefore w:val="0"/>
        <w:tabs>
          <w:tab w:val="left" w:pos="0"/>
        </w:tabs>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0B040076">
      <w:pPr>
        <w:tabs>
          <w:tab w:val="left" w:pos="0"/>
        </w:tabs>
        <w:spacing w:line="360" w:lineRule="auto"/>
        <w:ind w:firstLine="480"/>
        <w:rPr>
          <w:rFonts w:ascii="宋体" w:hAnsi="宋体" w:cs="宋体"/>
          <w:color w:val="auto"/>
          <w:kern w:val="0"/>
          <w:sz w:val="24"/>
          <w:highlight w:val="none"/>
        </w:rPr>
        <w:sectPr>
          <w:pgSz w:w="11905" w:h="16838"/>
          <w:pgMar w:top="1440" w:right="1440" w:bottom="1440" w:left="1440" w:header="851" w:footer="992" w:gutter="0"/>
          <w:pgBorders>
            <w:top w:val="none" w:sz="0" w:space="0"/>
            <w:left w:val="none" w:sz="0" w:space="0"/>
            <w:bottom w:val="none" w:sz="0" w:space="0"/>
            <w:right w:val="none" w:sz="0" w:space="0"/>
          </w:pgBorders>
          <w:cols w:space="0" w:num="1"/>
          <w:titlePg/>
          <w:rtlGutter w:val="0"/>
          <w:docGrid w:linePitch="312" w:charSpace="0"/>
        </w:sectPr>
      </w:pPr>
      <w:bookmarkStart w:id="19" w:name="_Hlt74714665"/>
      <w:bookmarkEnd w:id="19"/>
      <w:bookmarkStart w:id="20" w:name="_Hlt75236101"/>
      <w:bookmarkEnd w:id="20"/>
      <w:bookmarkStart w:id="21" w:name="_Hlt74729768"/>
      <w:bookmarkEnd w:id="21"/>
      <w:bookmarkStart w:id="22" w:name="_Hlt74707468"/>
      <w:bookmarkEnd w:id="22"/>
      <w:bookmarkStart w:id="23" w:name="_Hlt68057669"/>
      <w:bookmarkEnd w:id="23"/>
      <w:bookmarkStart w:id="24" w:name="_Hlt75236011"/>
      <w:bookmarkEnd w:id="24"/>
      <w:bookmarkStart w:id="25" w:name="_Hlt75236290"/>
      <w:bookmarkEnd w:id="25"/>
      <w:bookmarkStart w:id="26" w:name="_Hlt68072990"/>
      <w:bookmarkEnd w:id="26"/>
      <w:bookmarkStart w:id="27" w:name="_Hlt68403820"/>
      <w:bookmarkEnd w:id="27"/>
      <w:bookmarkStart w:id="28" w:name="_Hlt68073093"/>
      <w:bookmarkEnd w:id="28"/>
      <w:bookmarkStart w:id="29" w:name="_Hlt74730295"/>
      <w:bookmarkEnd w:id="29"/>
      <w:bookmarkStart w:id="30" w:name="_Hlt68072998"/>
      <w:bookmarkEnd w:id="30"/>
    </w:p>
    <w:bookmarkEnd w:id="15"/>
    <w:bookmarkEnd w:id="16"/>
    <w:p w14:paraId="7230FEB6">
      <w:pPr>
        <w:pStyle w:val="32"/>
        <w:spacing w:line="360" w:lineRule="auto"/>
        <w:jc w:val="center"/>
        <w:outlineLvl w:val="0"/>
        <w:rPr>
          <w:rFonts w:hAnsi="宋体" w:cs="宋体"/>
          <w:b/>
          <w:snapToGrid/>
          <w:color w:val="auto"/>
          <w:sz w:val="36"/>
          <w:szCs w:val="20"/>
          <w:highlight w:val="none"/>
        </w:rPr>
      </w:pPr>
      <w:bookmarkStart w:id="31" w:name="_Toc12835"/>
      <w:bookmarkStart w:id="32" w:name="第四部分"/>
      <w:r>
        <w:rPr>
          <w:rFonts w:hint="eastAsia" w:hAnsi="宋体" w:cs="宋体"/>
          <w:b/>
          <w:snapToGrid/>
          <w:color w:val="auto"/>
          <w:sz w:val="36"/>
          <w:szCs w:val="20"/>
          <w:highlight w:val="none"/>
        </w:rPr>
        <w:t>第三部分 采购需求</w:t>
      </w:r>
      <w:bookmarkEnd w:id="31"/>
    </w:p>
    <w:p w14:paraId="72435B5F">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一、工程概况</w:t>
      </w:r>
    </w:p>
    <w:p w14:paraId="12923492">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none"/>
        </w:rPr>
        <w:t>本工程位于</w:t>
      </w:r>
      <w:r>
        <w:rPr>
          <w:rFonts w:hint="eastAsia" w:ascii="宋体" w:hAnsi="宋体"/>
          <w:color w:val="auto"/>
          <w:sz w:val="24"/>
          <w:highlight w:val="none"/>
          <w:u w:val="none"/>
          <w:lang w:val="en-US" w:eastAsia="zh-CN"/>
        </w:rPr>
        <w:t>宁波经贸学校，由宁波经贸学校组织建设。主要内容包括食堂、实验室改造，电气、给排水、排烟管道、消防等。</w:t>
      </w:r>
    </w:p>
    <w:p w14:paraId="4EF35D72">
      <w:pPr>
        <w:spacing w:line="360" w:lineRule="auto"/>
        <w:jc w:val="left"/>
        <w:rPr>
          <w:rFonts w:hint="eastAsia" w:ascii="宋体" w:hAnsi="宋体" w:cs="仿宋_GB2312"/>
          <w:b/>
          <w:bCs/>
          <w:color w:val="auto"/>
          <w:sz w:val="24"/>
          <w:highlight w:val="none"/>
        </w:rPr>
      </w:pPr>
    </w:p>
    <w:p w14:paraId="2EE1AADE">
      <w:pPr>
        <w:spacing w:line="360" w:lineRule="auto"/>
        <w:jc w:val="left"/>
        <w:rPr>
          <w:rFonts w:ascii="宋体" w:hAnsi="宋体" w:cs="仿宋_GB2312"/>
          <w:color w:val="auto"/>
          <w:sz w:val="24"/>
          <w:highlight w:val="none"/>
        </w:rPr>
      </w:pPr>
      <w:r>
        <w:rPr>
          <w:rFonts w:hint="eastAsia" w:ascii="宋体" w:hAnsi="宋体" w:cs="仿宋_GB2312"/>
          <w:b/>
          <w:bCs/>
          <w:color w:val="auto"/>
          <w:sz w:val="24"/>
          <w:highlight w:val="none"/>
        </w:rPr>
        <w:t xml:space="preserve">二、技术需求 </w:t>
      </w:r>
    </w:p>
    <w:p w14:paraId="6F05A712">
      <w:pPr>
        <w:spacing w:line="360" w:lineRule="auto"/>
        <w:ind w:firstLine="480" w:firstLineChars="200"/>
        <w:jc w:val="left"/>
        <w:rPr>
          <w:rFonts w:hint="eastAsia" w:ascii="宋体" w:hAnsi="宋体" w:cs="仿宋_GB2312"/>
          <w:b w:val="0"/>
          <w:bCs w:val="0"/>
          <w:color w:val="auto"/>
          <w:sz w:val="24"/>
          <w:highlight w:val="none"/>
        </w:rPr>
      </w:pPr>
      <w:r>
        <w:rPr>
          <w:rFonts w:hint="eastAsia" w:ascii="宋体" w:hAnsi="宋体" w:cs="仿宋_GB2312"/>
          <w:b w:val="0"/>
          <w:bCs w:val="0"/>
          <w:color w:val="auto"/>
          <w:sz w:val="24"/>
          <w:highlight w:val="none"/>
          <w:lang w:val="en-US" w:eastAsia="zh-CN"/>
        </w:rPr>
        <w:t>1.</w:t>
      </w:r>
      <w:r>
        <w:rPr>
          <w:rFonts w:hint="eastAsia" w:ascii="宋体" w:hAnsi="宋体" w:cs="仿宋_GB2312"/>
          <w:b w:val="0"/>
          <w:bCs w:val="0"/>
          <w:color w:val="auto"/>
          <w:sz w:val="24"/>
          <w:highlight w:val="none"/>
        </w:rPr>
        <w:t>按照国家及地方颁发的现行相关建筑工程施工及验收规范、标准，组织实施本项目工程的施工。</w:t>
      </w:r>
    </w:p>
    <w:p w14:paraId="675C13BD">
      <w:pPr>
        <w:spacing w:line="360" w:lineRule="auto"/>
        <w:ind w:firstLine="480" w:firstLineChars="200"/>
        <w:jc w:val="left"/>
        <w:rPr>
          <w:rFonts w:hint="default" w:ascii="宋体" w:hAnsi="宋体" w:cs="仿宋_GB2312"/>
          <w:b w:val="0"/>
          <w:bCs w:val="0"/>
          <w:color w:val="auto"/>
          <w:sz w:val="24"/>
          <w:highlight w:val="none"/>
          <w:lang w:val="en-US" w:eastAsia="zh-CN"/>
        </w:rPr>
      </w:pPr>
      <w:r>
        <w:rPr>
          <w:rFonts w:hint="eastAsia" w:ascii="宋体" w:hAnsi="宋体" w:cs="仿宋_GB2312"/>
          <w:b w:val="0"/>
          <w:bCs w:val="0"/>
          <w:color w:val="auto"/>
          <w:sz w:val="24"/>
          <w:highlight w:val="none"/>
        </w:rPr>
        <w:t>▲</w:t>
      </w:r>
      <w:r>
        <w:rPr>
          <w:rFonts w:hint="eastAsia" w:ascii="宋体" w:hAnsi="宋体" w:cs="仿宋_GB2312"/>
          <w:b w:val="0"/>
          <w:bCs w:val="0"/>
          <w:color w:val="auto"/>
          <w:sz w:val="24"/>
          <w:highlight w:val="none"/>
          <w:lang w:val="en-US" w:eastAsia="zh-CN"/>
        </w:rPr>
        <w:t>2</w:t>
      </w:r>
      <w:r>
        <w:rPr>
          <w:rFonts w:hint="eastAsia" w:ascii="宋体" w:hAnsi="宋体" w:cs="仿宋_GB2312"/>
          <w:b w:val="0"/>
          <w:bCs w:val="0"/>
          <w:color w:val="auto"/>
          <w:sz w:val="24"/>
          <w:highlight w:val="none"/>
        </w:rPr>
        <w:t>.</w:t>
      </w:r>
      <w:r>
        <w:rPr>
          <w:rFonts w:hint="eastAsia" w:ascii="宋体" w:hAnsi="宋体" w:cs="仿宋_GB2312"/>
          <w:b w:val="0"/>
          <w:bCs w:val="0"/>
          <w:color w:val="auto"/>
          <w:sz w:val="24"/>
          <w:highlight w:val="none"/>
          <w:lang w:val="en-US" w:eastAsia="zh-CN"/>
        </w:rPr>
        <w:t>拟派本项目项目经理要求：须具备注册建造师贰级及以上执业资格，（注册）专业建筑工程，具有有效的安全生产考核合格证（B证）。</w:t>
      </w:r>
    </w:p>
    <w:p w14:paraId="3495C621">
      <w:pPr>
        <w:spacing w:line="360" w:lineRule="auto"/>
        <w:ind w:firstLine="480" w:firstLineChars="200"/>
        <w:jc w:val="left"/>
        <w:rPr>
          <w:rFonts w:hint="eastAsia" w:ascii="宋体" w:hAnsi="宋体" w:cs="仿宋_GB2312"/>
          <w:b w:val="0"/>
          <w:bCs w:val="0"/>
          <w:color w:val="auto"/>
          <w:sz w:val="24"/>
          <w:highlight w:val="none"/>
        </w:rPr>
      </w:pPr>
      <w:r>
        <w:rPr>
          <w:rFonts w:hint="eastAsia" w:ascii="宋体" w:hAnsi="宋体" w:cs="仿宋_GB2312"/>
          <w:b w:val="0"/>
          <w:bCs w:val="0"/>
          <w:color w:val="auto"/>
          <w:sz w:val="24"/>
          <w:highlight w:val="none"/>
          <w:lang w:val="en-US" w:eastAsia="zh-CN"/>
        </w:rPr>
        <w:t>3.</w:t>
      </w:r>
      <w:r>
        <w:rPr>
          <w:rFonts w:hint="eastAsia" w:ascii="宋体" w:hAnsi="宋体" w:cs="仿宋_GB2312"/>
          <w:b w:val="0"/>
          <w:bCs w:val="0"/>
          <w:color w:val="auto"/>
          <w:sz w:val="24"/>
          <w:highlight w:val="none"/>
        </w:rPr>
        <w:t>本工程项目范围内所有要求拆除项目（拆除方式及拆除程度需要满足施工图要求）产生的费用、垃圾清运及处置费、保洁费及成品保护费需投标单位自行考虑，该项费用一次性包干，结算时不作调整。</w:t>
      </w:r>
    </w:p>
    <w:p w14:paraId="4CA0EBA9">
      <w:pPr>
        <w:spacing w:line="360" w:lineRule="auto"/>
        <w:ind w:firstLine="480" w:firstLineChars="200"/>
        <w:jc w:val="left"/>
        <w:rPr>
          <w:rFonts w:ascii="宋体" w:hAnsi="宋体" w:cs="仿宋_GB2312"/>
          <w:b w:val="0"/>
          <w:bCs w:val="0"/>
          <w:color w:val="auto"/>
          <w:sz w:val="24"/>
          <w:highlight w:val="none"/>
        </w:rPr>
      </w:pPr>
      <w:r>
        <w:rPr>
          <w:rFonts w:hint="eastAsia" w:ascii="宋体" w:hAnsi="宋体" w:cs="仿宋_GB2312"/>
          <w:b w:val="0"/>
          <w:bCs w:val="0"/>
          <w:color w:val="auto"/>
          <w:sz w:val="24"/>
          <w:highlight w:val="none"/>
          <w:lang w:val="en-US" w:eastAsia="zh-CN"/>
        </w:rPr>
        <w:t>4</w:t>
      </w:r>
      <w:r>
        <w:rPr>
          <w:rFonts w:hint="eastAsia" w:ascii="宋体" w:hAnsi="宋体" w:cs="仿宋_GB2312"/>
          <w:b w:val="0"/>
          <w:bCs w:val="0"/>
          <w:color w:val="auto"/>
          <w:sz w:val="24"/>
          <w:highlight w:val="none"/>
        </w:rPr>
        <w:t>.工程量清单中的任何内容不得随意更改及删除，不得擅自对招标人提供的工程量清单内容（计量单位、工程数量等）进行变动。工程量清单中所列工程量如有变动，不免除承包人按规定的标准进行施工和修复缺陷的责任。</w:t>
      </w:r>
    </w:p>
    <w:p w14:paraId="3B2F9A4F">
      <w:pPr>
        <w:spacing w:line="360" w:lineRule="auto"/>
        <w:ind w:firstLine="480" w:firstLineChars="200"/>
        <w:jc w:val="left"/>
        <w:rPr>
          <w:rFonts w:hint="eastAsia" w:ascii="宋体" w:hAnsi="宋体" w:cs="仿宋_GB2312"/>
          <w:b w:val="0"/>
          <w:bCs w:val="0"/>
          <w:color w:val="auto"/>
          <w:sz w:val="24"/>
          <w:highlight w:val="none"/>
        </w:rPr>
      </w:pPr>
      <w:r>
        <w:rPr>
          <w:rFonts w:hint="eastAsia" w:ascii="宋体" w:hAnsi="宋体" w:cs="仿宋_GB2312"/>
          <w:b w:val="0"/>
          <w:bCs w:val="0"/>
          <w:color w:val="auto"/>
          <w:sz w:val="24"/>
          <w:highlight w:val="none"/>
          <w:lang w:val="en-US" w:eastAsia="zh-CN"/>
        </w:rPr>
        <w:t>5.</w:t>
      </w:r>
      <w:r>
        <w:rPr>
          <w:rFonts w:hint="eastAsia" w:ascii="宋体" w:hAnsi="宋体" w:cs="仿宋_GB2312"/>
          <w:b w:val="0"/>
          <w:bCs w:val="0"/>
          <w:color w:val="auto"/>
          <w:sz w:val="24"/>
          <w:highlight w:val="none"/>
        </w:rPr>
        <w:t>供应商需提供</w:t>
      </w:r>
      <w:r>
        <w:rPr>
          <w:rFonts w:hint="eastAsia" w:ascii="宋体" w:hAnsi="宋体" w:cs="宋体"/>
          <w:snapToGrid w:val="0"/>
          <w:color w:val="auto"/>
          <w:sz w:val="24"/>
          <w:highlight w:val="none"/>
          <w:lang w:eastAsia="zh-CN"/>
        </w:rPr>
        <w:t>施工</w:t>
      </w:r>
      <w:r>
        <w:rPr>
          <w:rFonts w:hint="eastAsia" w:ascii="宋体" w:hAnsi="宋体" w:cs="宋体"/>
          <w:snapToGrid w:val="0"/>
          <w:color w:val="auto"/>
          <w:sz w:val="24"/>
          <w:highlight w:val="none"/>
        </w:rPr>
        <w:t>现场平面布置情况</w:t>
      </w:r>
      <w:r>
        <w:rPr>
          <w:rFonts w:hint="eastAsia" w:ascii="宋体" w:hAnsi="宋体" w:cs="宋体"/>
          <w:snapToGrid w:val="0"/>
          <w:color w:val="auto"/>
          <w:sz w:val="24"/>
          <w:highlight w:val="none"/>
          <w:lang w:eastAsia="zh-CN"/>
        </w:rPr>
        <w:t>（包含但不仅限于方案详实情况；施工现场临时设置布置情况；施工设备、原材料堆放情况；安全警示情况；施工现场安全通道、消防设施配备情况等）</w:t>
      </w:r>
      <w:r>
        <w:rPr>
          <w:rFonts w:hint="eastAsia" w:ascii="宋体" w:hAnsi="宋体" w:cs="仿宋_GB2312"/>
          <w:b w:val="0"/>
          <w:bCs w:val="0"/>
          <w:color w:val="auto"/>
          <w:sz w:val="24"/>
          <w:highlight w:val="none"/>
        </w:rPr>
        <w:t>；</w:t>
      </w:r>
    </w:p>
    <w:p w14:paraId="4C41E0ED">
      <w:pPr>
        <w:spacing w:line="360" w:lineRule="auto"/>
        <w:ind w:firstLine="480" w:firstLineChars="200"/>
        <w:jc w:val="left"/>
        <w:rPr>
          <w:rFonts w:hint="eastAsia" w:ascii="宋体" w:hAnsi="宋体" w:cs="仿宋_GB2312"/>
          <w:b w:val="0"/>
          <w:bCs w:val="0"/>
          <w:color w:val="auto"/>
          <w:sz w:val="24"/>
          <w:highlight w:val="none"/>
        </w:rPr>
      </w:pPr>
      <w:r>
        <w:rPr>
          <w:rFonts w:hint="eastAsia" w:ascii="宋体" w:hAnsi="宋体" w:cs="仿宋_GB2312"/>
          <w:b w:val="0"/>
          <w:bCs w:val="0"/>
          <w:color w:val="auto"/>
          <w:sz w:val="24"/>
          <w:highlight w:val="none"/>
          <w:lang w:val="en-US" w:eastAsia="zh-CN"/>
        </w:rPr>
        <w:t>6.</w:t>
      </w:r>
      <w:r>
        <w:rPr>
          <w:rFonts w:hint="eastAsia" w:ascii="宋体" w:hAnsi="宋体" w:cs="仿宋_GB2312"/>
          <w:b w:val="0"/>
          <w:bCs w:val="0"/>
          <w:color w:val="auto"/>
          <w:sz w:val="24"/>
          <w:highlight w:val="none"/>
        </w:rPr>
        <w:t>供应商需提供</w:t>
      </w:r>
      <w:r>
        <w:rPr>
          <w:rFonts w:hint="eastAsia" w:ascii="宋体" w:hAnsi="宋体" w:cs="宋体"/>
          <w:color w:val="auto"/>
          <w:sz w:val="24"/>
          <w:szCs w:val="24"/>
          <w:highlight w:val="none"/>
          <w:lang w:eastAsia="zh-CN"/>
        </w:rPr>
        <w:t>施工</w:t>
      </w:r>
      <w:r>
        <w:rPr>
          <w:rFonts w:hint="eastAsia" w:ascii="宋体" w:hAnsi="宋体" w:cs="宋体"/>
          <w:color w:val="auto"/>
          <w:sz w:val="24"/>
          <w:szCs w:val="24"/>
          <w:highlight w:val="none"/>
        </w:rPr>
        <w:t>方案（</w:t>
      </w:r>
      <w:r>
        <w:rPr>
          <w:rFonts w:hint="eastAsia" w:ascii="宋体" w:hAnsi="宋体" w:cs="宋体"/>
          <w:color w:val="auto"/>
          <w:sz w:val="24"/>
          <w:szCs w:val="24"/>
          <w:highlight w:val="none"/>
          <w:lang w:eastAsia="zh-CN"/>
        </w:rPr>
        <w:t>包含但不仅限于安全保障措施，安全文明施工方案及措施，装修改造工程、电气工程、给排水</w:t>
      </w:r>
      <w:r>
        <w:rPr>
          <w:rFonts w:hint="eastAsia" w:ascii="宋体" w:hAnsi="宋体" w:cs="宋体"/>
          <w:color w:val="auto"/>
          <w:sz w:val="24"/>
          <w:szCs w:val="24"/>
          <w:highlight w:val="none"/>
          <w:lang w:val="en-US" w:eastAsia="zh-CN"/>
        </w:rPr>
        <w:t>工程、</w:t>
      </w:r>
      <w:r>
        <w:rPr>
          <w:rFonts w:hint="eastAsia" w:ascii="宋体" w:hAnsi="宋体" w:cs="宋体"/>
          <w:color w:val="auto"/>
          <w:sz w:val="24"/>
          <w:szCs w:val="24"/>
          <w:highlight w:val="none"/>
          <w:lang w:eastAsia="zh-CN"/>
        </w:rPr>
        <w:t>消防水工程、消防电</w:t>
      </w:r>
      <w:r>
        <w:rPr>
          <w:rFonts w:hint="eastAsia" w:ascii="宋体" w:hAnsi="宋体" w:cs="宋体"/>
          <w:color w:val="auto"/>
          <w:sz w:val="24"/>
          <w:szCs w:val="24"/>
          <w:highlight w:val="none"/>
          <w:lang w:val="en-US" w:eastAsia="zh-CN"/>
        </w:rPr>
        <w:t>工程</w:t>
      </w:r>
      <w:r>
        <w:rPr>
          <w:rFonts w:hint="eastAsia" w:ascii="宋体" w:hAnsi="宋体" w:cs="宋体"/>
          <w:color w:val="auto"/>
          <w:sz w:val="24"/>
          <w:szCs w:val="24"/>
          <w:highlight w:val="none"/>
          <w:lang w:eastAsia="zh-CN"/>
        </w:rPr>
        <w:t>等</w:t>
      </w:r>
      <w:r>
        <w:rPr>
          <w:rFonts w:hint="eastAsia" w:ascii="宋体" w:hAnsi="宋体" w:cs="宋体"/>
          <w:color w:val="auto"/>
          <w:sz w:val="24"/>
          <w:szCs w:val="24"/>
          <w:highlight w:val="none"/>
        </w:rPr>
        <w:t>）</w:t>
      </w:r>
      <w:r>
        <w:rPr>
          <w:rFonts w:hint="eastAsia" w:ascii="宋体" w:hAnsi="宋体" w:cs="仿宋_GB2312"/>
          <w:b w:val="0"/>
          <w:bCs w:val="0"/>
          <w:color w:val="auto"/>
          <w:sz w:val="24"/>
          <w:highlight w:val="none"/>
        </w:rPr>
        <w:t>；</w:t>
      </w:r>
    </w:p>
    <w:p w14:paraId="4A364B7C">
      <w:pPr>
        <w:spacing w:line="360" w:lineRule="auto"/>
        <w:ind w:firstLine="480" w:firstLineChars="200"/>
        <w:jc w:val="left"/>
        <w:rPr>
          <w:rFonts w:hint="eastAsia" w:ascii="宋体" w:hAnsi="宋体" w:cs="仿宋_GB2312"/>
          <w:b w:val="0"/>
          <w:bCs w:val="0"/>
          <w:color w:val="auto"/>
          <w:sz w:val="24"/>
          <w:highlight w:val="none"/>
        </w:rPr>
      </w:pPr>
      <w:r>
        <w:rPr>
          <w:rFonts w:hint="eastAsia" w:ascii="宋体" w:hAnsi="宋体" w:cs="仿宋_GB2312"/>
          <w:b w:val="0"/>
          <w:bCs w:val="0"/>
          <w:color w:val="auto"/>
          <w:sz w:val="24"/>
          <w:highlight w:val="none"/>
          <w:lang w:val="en-US" w:eastAsia="zh-CN"/>
        </w:rPr>
        <w:t>7.</w:t>
      </w:r>
      <w:r>
        <w:rPr>
          <w:rFonts w:hint="eastAsia" w:ascii="宋体" w:hAnsi="宋体" w:cs="仿宋_GB2312"/>
          <w:b w:val="0"/>
          <w:bCs w:val="0"/>
          <w:color w:val="auto"/>
          <w:sz w:val="24"/>
          <w:highlight w:val="none"/>
        </w:rPr>
        <w:t>供应商需提供</w:t>
      </w:r>
      <w:r>
        <w:rPr>
          <w:rFonts w:hint="eastAsia" w:ascii="宋体" w:hAnsi="宋体" w:cs="宋体"/>
          <w:color w:val="auto"/>
          <w:sz w:val="24"/>
          <w:szCs w:val="24"/>
          <w:highlight w:val="none"/>
        </w:rPr>
        <w:t>施工进度计划安排</w:t>
      </w:r>
      <w:r>
        <w:rPr>
          <w:rFonts w:hint="eastAsia" w:ascii="宋体" w:hAnsi="宋体" w:cs="宋体"/>
          <w:color w:val="auto"/>
          <w:sz w:val="24"/>
          <w:szCs w:val="24"/>
          <w:highlight w:val="none"/>
          <w:lang w:eastAsia="zh-CN"/>
        </w:rPr>
        <w:t>（包含但不仅限于方案详实情况、时间节点安排情况等）</w:t>
      </w:r>
      <w:r>
        <w:rPr>
          <w:rFonts w:hint="eastAsia" w:ascii="宋体" w:hAnsi="宋体" w:cs="仿宋_GB2312"/>
          <w:b w:val="0"/>
          <w:bCs w:val="0"/>
          <w:color w:val="auto"/>
          <w:sz w:val="24"/>
          <w:highlight w:val="none"/>
        </w:rPr>
        <w:t>；</w:t>
      </w:r>
    </w:p>
    <w:p w14:paraId="7F710100">
      <w:pPr>
        <w:spacing w:line="360" w:lineRule="auto"/>
        <w:ind w:firstLine="480" w:firstLineChars="200"/>
        <w:jc w:val="left"/>
        <w:rPr>
          <w:rFonts w:hint="eastAsia" w:ascii="宋体" w:hAnsi="宋体" w:cs="仿宋_GB2312"/>
          <w:b w:val="0"/>
          <w:bCs w:val="0"/>
          <w:color w:val="auto"/>
          <w:sz w:val="24"/>
          <w:highlight w:val="none"/>
        </w:rPr>
      </w:pPr>
      <w:r>
        <w:rPr>
          <w:rFonts w:hint="eastAsia" w:ascii="宋体" w:hAnsi="宋体" w:cs="仿宋_GB2312"/>
          <w:b w:val="0"/>
          <w:bCs w:val="0"/>
          <w:color w:val="auto"/>
          <w:sz w:val="24"/>
          <w:highlight w:val="none"/>
          <w:lang w:val="en-US" w:eastAsia="zh-CN"/>
        </w:rPr>
        <w:t>8.</w:t>
      </w:r>
      <w:r>
        <w:rPr>
          <w:rFonts w:hint="eastAsia" w:ascii="宋体" w:hAnsi="宋体" w:cs="仿宋_GB2312"/>
          <w:b w:val="0"/>
          <w:bCs w:val="0"/>
          <w:color w:val="auto"/>
          <w:sz w:val="24"/>
          <w:highlight w:val="none"/>
        </w:rPr>
        <w:t>供应商需提供</w:t>
      </w:r>
      <w:r>
        <w:rPr>
          <w:rFonts w:hint="eastAsia" w:ascii="宋体" w:hAnsi="宋体" w:cs="宋体"/>
          <w:color w:val="auto"/>
          <w:sz w:val="24"/>
          <w:szCs w:val="24"/>
          <w:highlight w:val="none"/>
        </w:rPr>
        <w:t>施工质量保证措施（包含但不仅限于材料及设备质量保证措施等）</w:t>
      </w:r>
      <w:r>
        <w:rPr>
          <w:rFonts w:hint="eastAsia" w:ascii="宋体" w:hAnsi="宋体" w:cs="仿宋_GB2312"/>
          <w:b w:val="0"/>
          <w:bCs w:val="0"/>
          <w:color w:val="auto"/>
          <w:sz w:val="24"/>
          <w:highlight w:val="none"/>
        </w:rPr>
        <w:t>；</w:t>
      </w:r>
    </w:p>
    <w:p w14:paraId="19F82E5B">
      <w:pPr>
        <w:spacing w:line="360" w:lineRule="auto"/>
        <w:ind w:firstLine="480" w:firstLineChars="200"/>
        <w:jc w:val="left"/>
        <w:rPr>
          <w:rFonts w:hint="eastAsia" w:ascii="宋体" w:hAnsi="宋体" w:cs="仿宋_GB2312"/>
          <w:b w:val="0"/>
          <w:bCs w:val="0"/>
          <w:color w:val="auto"/>
          <w:sz w:val="24"/>
          <w:highlight w:val="none"/>
        </w:rPr>
      </w:pPr>
      <w:r>
        <w:rPr>
          <w:rFonts w:hint="eastAsia" w:ascii="宋体" w:hAnsi="宋体" w:cs="仿宋_GB2312"/>
          <w:b w:val="0"/>
          <w:bCs w:val="0"/>
          <w:color w:val="auto"/>
          <w:sz w:val="24"/>
          <w:highlight w:val="none"/>
          <w:lang w:val="en-US" w:eastAsia="zh-CN"/>
        </w:rPr>
        <w:t>9.</w:t>
      </w:r>
      <w:r>
        <w:rPr>
          <w:rFonts w:hint="eastAsia" w:ascii="宋体" w:hAnsi="宋体" w:cs="仿宋_GB2312"/>
          <w:b w:val="0"/>
          <w:bCs w:val="0"/>
          <w:color w:val="auto"/>
          <w:sz w:val="24"/>
          <w:highlight w:val="none"/>
        </w:rPr>
        <w:t>供应商需提供</w:t>
      </w:r>
      <w:r>
        <w:rPr>
          <w:rFonts w:ascii="宋体" w:hAnsi="宋体" w:cs="宋体"/>
          <w:color w:val="auto"/>
          <w:sz w:val="24"/>
          <w:szCs w:val="24"/>
          <w:highlight w:val="none"/>
        </w:rPr>
        <w:t>项目关键点</w:t>
      </w:r>
      <w:r>
        <w:rPr>
          <w:rFonts w:hint="eastAsia" w:ascii="宋体" w:hAnsi="宋体" w:cs="宋体"/>
          <w:color w:val="auto"/>
          <w:sz w:val="24"/>
          <w:szCs w:val="24"/>
          <w:highlight w:val="none"/>
          <w:lang w:val="en-US" w:eastAsia="zh-CN"/>
        </w:rPr>
        <w:t>和</w:t>
      </w:r>
      <w:r>
        <w:rPr>
          <w:rFonts w:hint="eastAsia" w:ascii="宋体" w:hAnsi="宋体" w:cs="宋体"/>
          <w:color w:val="auto"/>
          <w:sz w:val="24"/>
          <w:szCs w:val="24"/>
          <w:highlight w:val="none"/>
          <w:lang w:eastAsia="zh-CN"/>
        </w:rPr>
        <w:t>重难点分析（包含但不仅限于装修改造工程、电气工程、给排水</w:t>
      </w:r>
      <w:r>
        <w:rPr>
          <w:rFonts w:hint="eastAsia" w:ascii="宋体" w:hAnsi="宋体" w:cs="宋体"/>
          <w:color w:val="auto"/>
          <w:sz w:val="24"/>
          <w:szCs w:val="24"/>
          <w:highlight w:val="none"/>
          <w:lang w:val="en-US" w:eastAsia="zh-CN"/>
        </w:rPr>
        <w:t>工程、</w:t>
      </w:r>
      <w:r>
        <w:rPr>
          <w:rFonts w:hint="eastAsia" w:ascii="宋体" w:hAnsi="宋体" w:cs="宋体"/>
          <w:color w:val="auto"/>
          <w:sz w:val="24"/>
          <w:szCs w:val="24"/>
          <w:highlight w:val="none"/>
          <w:lang w:eastAsia="zh-CN"/>
        </w:rPr>
        <w:t>消防水工程、消防电</w:t>
      </w:r>
      <w:r>
        <w:rPr>
          <w:rFonts w:hint="eastAsia" w:ascii="宋体" w:hAnsi="宋体" w:cs="宋体"/>
          <w:color w:val="auto"/>
          <w:sz w:val="24"/>
          <w:szCs w:val="24"/>
          <w:highlight w:val="none"/>
          <w:lang w:val="en-US" w:eastAsia="zh-CN"/>
        </w:rPr>
        <w:t>工程</w:t>
      </w:r>
      <w:r>
        <w:rPr>
          <w:rFonts w:hint="eastAsia" w:ascii="宋体" w:hAnsi="宋体" w:cs="宋体"/>
          <w:color w:val="auto"/>
          <w:sz w:val="24"/>
          <w:szCs w:val="24"/>
          <w:highlight w:val="none"/>
          <w:lang w:eastAsia="zh-CN"/>
        </w:rPr>
        <w:t>等）</w:t>
      </w:r>
      <w:r>
        <w:rPr>
          <w:rFonts w:hint="eastAsia" w:ascii="宋体" w:hAnsi="宋体" w:cs="仿宋_GB2312"/>
          <w:b w:val="0"/>
          <w:bCs w:val="0"/>
          <w:color w:val="auto"/>
          <w:sz w:val="24"/>
          <w:highlight w:val="none"/>
        </w:rPr>
        <w:t>；</w:t>
      </w:r>
    </w:p>
    <w:p w14:paraId="10C26FD8">
      <w:pPr>
        <w:spacing w:line="360" w:lineRule="auto"/>
        <w:ind w:firstLine="480" w:firstLineChars="200"/>
        <w:jc w:val="left"/>
        <w:rPr>
          <w:rFonts w:hint="eastAsia" w:ascii="宋体" w:hAnsi="宋体" w:cs="仿宋_GB2312"/>
          <w:b w:val="0"/>
          <w:bCs w:val="0"/>
          <w:color w:val="auto"/>
          <w:sz w:val="24"/>
          <w:highlight w:val="none"/>
          <w:lang w:val="en-US" w:eastAsia="zh-CN"/>
        </w:rPr>
      </w:pPr>
      <w:r>
        <w:rPr>
          <w:rFonts w:hint="eastAsia" w:ascii="宋体" w:hAnsi="宋体" w:cs="仿宋_GB2312"/>
          <w:b w:val="0"/>
          <w:bCs w:val="0"/>
          <w:color w:val="auto"/>
          <w:sz w:val="24"/>
          <w:highlight w:val="none"/>
          <w:lang w:val="en-US" w:eastAsia="zh-CN"/>
        </w:rPr>
        <w:t>10.</w:t>
      </w:r>
      <w:r>
        <w:rPr>
          <w:rFonts w:hint="eastAsia" w:ascii="宋体" w:hAnsi="宋体" w:cs="仿宋_GB2312"/>
          <w:b w:val="0"/>
          <w:bCs w:val="0"/>
          <w:color w:val="auto"/>
          <w:sz w:val="24"/>
          <w:highlight w:val="none"/>
        </w:rPr>
        <w:t>供应商需提供</w:t>
      </w:r>
      <w:r>
        <w:rPr>
          <w:rFonts w:ascii="宋体" w:hAnsi="宋体" w:cs="宋体"/>
          <w:color w:val="auto"/>
          <w:sz w:val="24"/>
          <w:szCs w:val="24"/>
          <w:highlight w:val="none"/>
        </w:rPr>
        <w:t>项目关键点</w:t>
      </w:r>
      <w:r>
        <w:rPr>
          <w:rFonts w:hint="eastAsia" w:ascii="宋体" w:hAnsi="宋体" w:cs="宋体"/>
          <w:color w:val="auto"/>
          <w:sz w:val="24"/>
          <w:szCs w:val="24"/>
          <w:highlight w:val="none"/>
          <w:lang w:val="en-US" w:eastAsia="zh-CN"/>
        </w:rPr>
        <w:t>和</w:t>
      </w:r>
      <w:r>
        <w:rPr>
          <w:rFonts w:hint="eastAsia" w:ascii="宋体" w:hAnsi="宋体" w:cs="宋体"/>
          <w:color w:val="auto"/>
          <w:sz w:val="24"/>
          <w:szCs w:val="24"/>
          <w:highlight w:val="none"/>
          <w:lang w:eastAsia="zh-CN"/>
        </w:rPr>
        <w:t>重难点分析（包含但不仅限于装修改造工程、电气工程、给排水</w:t>
      </w:r>
      <w:r>
        <w:rPr>
          <w:rFonts w:hint="eastAsia" w:ascii="宋体" w:hAnsi="宋体" w:cs="宋体"/>
          <w:color w:val="auto"/>
          <w:sz w:val="24"/>
          <w:szCs w:val="24"/>
          <w:highlight w:val="none"/>
          <w:lang w:val="en-US" w:eastAsia="zh-CN"/>
        </w:rPr>
        <w:t>工程、</w:t>
      </w:r>
      <w:r>
        <w:rPr>
          <w:rFonts w:hint="eastAsia" w:ascii="宋体" w:hAnsi="宋体" w:cs="宋体"/>
          <w:color w:val="auto"/>
          <w:sz w:val="24"/>
          <w:szCs w:val="24"/>
          <w:highlight w:val="none"/>
          <w:lang w:eastAsia="zh-CN"/>
        </w:rPr>
        <w:t>消防水工程、消防电</w:t>
      </w:r>
      <w:r>
        <w:rPr>
          <w:rFonts w:hint="eastAsia" w:ascii="宋体" w:hAnsi="宋体" w:cs="宋体"/>
          <w:color w:val="auto"/>
          <w:sz w:val="24"/>
          <w:szCs w:val="24"/>
          <w:highlight w:val="none"/>
          <w:lang w:val="en-US" w:eastAsia="zh-CN"/>
        </w:rPr>
        <w:t>工程</w:t>
      </w:r>
      <w:r>
        <w:rPr>
          <w:rFonts w:hint="eastAsia" w:ascii="宋体" w:hAnsi="宋体" w:cs="宋体"/>
          <w:color w:val="auto"/>
          <w:sz w:val="24"/>
          <w:szCs w:val="24"/>
          <w:highlight w:val="none"/>
          <w:lang w:eastAsia="zh-CN"/>
        </w:rPr>
        <w:t>等）</w:t>
      </w:r>
      <w:r>
        <w:rPr>
          <w:rFonts w:hint="eastAsia" w:ascii="宋体" w:hAnsi="宋体" w:cs="宋体"/>
          <w:color w:val="auto"/>
          <w:sz w:val="24"/>
          <w:szCs w:val="24"/>
          <w:highlight w:val="none"/>
          <w:lang w:val="en-US" w:eastAsia="zh-CN"/>
        </w:rPr>
        <w:t>的解决措施</w:t>
      </w:r>
    </w:p>
    <w:p w14:paraId="50B53B82">
      <w:pPr>
        <w:spacing w:line="360" w:lineRule="auto"/>
        <w:ind w:firstLine="480" w:firstLineChars="200"/>
        <w:jc w:val="left"/>
        <w:rPr>
          <w:rFonts w:hint="eastAsia" w:ascii="宋体" w:hAnsi="宋体" w:cs="仿宋_GB2312"/>
          <w:b w:val="0"/>
          <w:bCs w:val="0"/>
          <w:color w:val="auto"/>
          <w:sz w:val="24"/>
          <w:highlight w:val="none"/>
        </w:rPr>
      </w:pPr>
      <w:r>
        <w:rPr>
          <w:rFonts w:hint="eastAsia" w:ascii="宋体" w:hAnsi="宋体" w:cs="仿宋_GB2312"/>
          <w:b w:val="0"/>
          <w:bCs w:val="0"/>
          <w:color w:val="auto"/>
          <w:sz w:val="24"/>
          <w:highlight w:val="none"/>
          <w:lang w:val="en-US" w:eastAsia="zh-CN"/>
        </w:rPr>
        <w:t>11.</w:t>
      </w:r>
      <w:r>
        <w:rPr>
          <w:rFonts w:hint="eastAsia" w:ascii="宋体" w:hAnsi="宋体" w:cs="仿宋_GB2312"/>
          <w:b w:val="0"/>
          <w:bCs w:val="0"/>
          <w:color w:val="auto"/>
          <w:sz w:val="24"/>
          <w:highlight w:val="none"/>
        </w:rPr>
        <w:t>供应商需提供</w:t>
      </w:r>
      <w:r>
        <w:rPr>
          <w:rFonts w:hint="eastAsia" w:ascii="宋体" w:hAnsi="宋体" w:cs="宋体"/>
          <w:color w:val="auto"/>
          <w:sz w:val="24"/>
          <w:szCs w:val="24"/>
          <w:highlight w:val="none"/>
        </w:rPr>
        <w:t>施工环保管理措施</w:t>
      </w:r>
      <w:r>
        <w:rPr>
          <w:rFonts w:hint="eastAsia" w:ascii="宋体" w:hAnsi="宋体" w:cs="宋体"/>
          <w:color w:val="auto"/>
          <w:sz w:val="24"/>
          <w:szCs w:val="24"/>
          <w:highlight w:val="none"/>
          <w:lang w:eastAsia="zh-CN"/>
        </w:rPr>
        <w:t>（包含但不仅限于防噪音、防扬尘、防刺鼻气味，空气检测、空气治理等施工环境维护保障措施等）</w:t>
      </w:r>
      <w:r>
        <w:rPr>
          <w:rFonts w:hint="eastAsia" w:ascii="宋体" w:hAnsi="宋体" w:cs="仿宋_GB2312"/>
          <w:b w:val="0"/>
          <w:bCs w:val="0"/>
          <w:color w:val="auto"/>
          <w:sz w:val="24"/>
          <w:highlight w:val="none"/>
        </w:rPr>
        <w:t>；</w:t>
      </w:r>
    </w:p>
    <w:p w14:paraId="641839AC">
      <w:pPr>
        <w:spacing w:line="360" w:lineRule="auto"/>
        <w:ind w:firstLine="480" w:firstLineChars="200"/>
        <w:jc w:val="left"/>
        <w:rPr>
          <w:rFonts w:hint="eastAsia" w:ascii="宋体" w:hAnsi="宋体" w:cs="仿宋_GB2312"/>
          <w:b w:val="0"/>
          <w:bCs w:val="0"/>
          <w:color w:val="auto"/>
          <w:sz w:val="24"/>
          <w:highlight w:val="none"/>
        </w:rPr>
      </w:pPr>
      <w:r>
        <w:rPr>
          <w:rFonts w:hint="eastAsia" w:ascii="宋体" w:hAnsi="宋体" w:cs="仿宋_GB2312"/>
          <w:b w:val="0"/>
          <w:bCs w:val="0"/>
          <w:color w:val="auto"/>
          <w:sz w:val="24"/>
          <w:highlight w:val="none"/>
          <w:lang w:val="en-US" w:eastAsia="zh-CN"/>
        </w:rPr>
        <w:t>12.</w:t>
      </w:r>
      <w:r>
        <w:rPr>
          <w:rFonts w:hint="eastAsia" w:ascii="宋体" w:hAnsi="宋体" w:cs="仿宋_GB2312"/>
          <w:b w:val="0"/>
          <w:bCs w:val="0"/>
          <w:color w:val="auto"/>
          <w:sz w:val="24"/>
          <w:highlight w:val="none"/>
        </w:rPr>
        <w:t>供应商需提供</w:t>
      </w:r>
      <w:r>
        <w:rPr>
          <w:rFonts w:hint="eastAsia" w:ascii="宋体" w:hAnsi="宋体" w:eastAsia="宋体" w:cs="宋体"/>
          <w:color w:val="auto"/>
          <w:sz w:val="24"/>
          <w:szCs w:val="24"/>
          <w:highlight w:val="none"/>
          <w:lang w:val="en-US" w:eastAsia="zh-CN"/>
        </w:rPr>
        <w:t>突发事件应急措施（包含但不仅限于发生火灾、触电、机械伤害、化学品伤害等事故的逃生和急救方案等）</w:t>
      </w:r>
      <w:r>
        <w:rPr>
          <w:rFonts w:hint="eastAsia" w:ascii="宋体" w:hAnsi="宋体" w:cs="仿宋_GB2312"/>
          <w:b w:val="0"/>
          <w:bCs w:val="0"/>
          <w:color w:val="auto"/>
          <w:sz w:val="24"/>
          <w:highlight w:val="none"/>
        </w:rPr>
        <w:t>；</w:t>
      </w:r>
    </w:p>
    <w:p w14:paraId="00D50C5E">
      <w:pPr>
        <w:spacing w:line="360" w:lineRule="auto"/>
        <w:ind w:firstLine="480" w:firstLineChars="200"/>
        <w:jc w:val="left"/>
        <w:rPr>
          <w:rFonts w:hint="eastAsia" w:ascii="宋体" w:hAnsi="宋体" w:cs="仿宋_GB2312"/>
          <w:b w:val="0"/>
          <w:bCs w:val="0"/>
          <w:color w:val="auto"/>
          <w:sz w:val="24"/>
          <w:highlight w:val="none"/>
        </w:rPr>
      </w:pPr>
      <w:r>
        <w:rPr>
          <w:rFonts w:hint="eastAsia" w:ascii="宋体" w:hAnsi="宋体" w:cs="仿宋_GB2312"/>
          <w:b w:val="0"/>
          <w:bCs w:val="0"/>
          <w:color w:val="auto"/>
          <w:sz w:val="24"/>
          <w:highlight w:val="none"/>
          <w:lang w:val="en-US" w:eastAsia="zh-CN"/>
        </w:rPr>
        <w:t>13.</w:t>
      </w:r>
      <w:r>
        <w:rPr>
          <w:rFonts w:hint="eastAsia" w:ascii="宋体" w:hAnsi="宋体" w:cs="仿宋_GB2312"/>
          <w:b w:val="0"/>
          <w:bCs w:val="0"/>
          <w:color w:val="auto"/>
          <w:sz w:val="24"/>
          <w:highlight w:val="none"/>
        </w:rPr>
        <w:t>供应商需提供主要施工机械设备的选用和管理；</w:t>
      </w:r>
    </w:p>
    <w:p w14:paraId="780D0B93">
      <w:pPr>
        <w:spacing w:line="360" w:lineRule="auto"/>
        <w:ind w:firstLine="480" w:firstLineChars="200"/>
        <w:jc w:val="left"/>
        <w:rPr>
          <w:rFonts w:hint="eastAsia" w:ascii="宋体" w:hAnsi="宋体" w:cs="仿宋_GB2312"/>
          <w:b w:val="0"/>
          <w:bCs w:val="0"/>
          <w:color w:val="auto"/>
          <w:sz w:val="24"/>
          <w:highlight w:val="none"/>
        </w:rPr>
      </w:pPr>
      <w:r>
        <w:rPr>
          <w:rFonts w:hint="eastAsia" w:ascii="宋体" w:hAnsi="宋体" w:cs="仿宋_GB2312"/>
          <w:b w:val="0"/>
          <w:bCs w:val="0"/>
          <w:color w:val="auto"/>
          <w:sz w:val="24"/>
          <w:highlight w:val="none"/>
          <w:lang w:val="en-US" w:eastAsia="zh-CN"/>
        </w:rPr>
        <w:t>14.</w:t>
      </w:r>
      <w:r>
        <w:rPr>
          <w:rFonts w:hint="eastAsia" w:ascii="宋体" w:hAnsi="宋体" w:cs="仿宋_GB2312"/>
          <w:b w:val="0"/>
          <w:bCs w:val="0"/>
          <w:color w:val="auto"/>
          <w:sz w:val="24"/>
          <w:highlight w:val="none"/>
        </w:rPr>
        <w:t>供应商需提供拟派本项目的项目负责人、技术负责人、以及其他人员配备情况（包括但不仅限于安全员、质检员、施工员、拟派人员从事本项目相关行业工作年限及经验等）；</w:t>
      </w:r>
    </w:p>
    <w:p w14:paraId="7AC4E0D4">
      <w:pPr>
        <w:spacing w:line="360" w:lineRule="auto"/>
        <w:ind w:firstLine="480" w:firstLineChars="200"/>
        <w:jc w:val="left"/>
        <w:rPr>
          <w:rFonts w:hint="eastAsia" w:ascii="宋体" w:hAnsi="宋体" w:eastAsia="宋体" w:cs="仿宋_GB2312"/>
          <w:b w:val="0"/>
          <w:bCs w:val="0"/>
          <w:color w:val="auto"/>
          <w:sz w:val="24"/>
          <w:highlight w:val="none"/>
          <w:lang w:val="en-US" w:eastAsia="zh-CN"/>
        </w:rPr>
      </w:pPr>
      <w:r>
        <w:rPr>
          <w:rFonts w:hint="eastAsia" w:ascii="宋体" w:hAnsi="宋体" w:cs="仿宋_GB2312"/>
          <w:b w:val="0"/>
          <w:bCs w:val="0"/>
          <w:color w:val="auto"/>
          <w:sz w:val="24"/>
          <w:highlight w:val="none"/>
          <w:lang w:val="en-US" w:eastAsia="zh-CN"/>
        </w:rPr>
        <w:t>15.</w:t>
      </w:r>
      <w:r>
        <w:rPr>
          <w:rFonts w:hint="eastAsia" w:ascii="宋体" w:hAnsi="宋体" w:cs="仿宋_GB2312"/>
          <w:b w:val="0"/>
          <w:bCs w:val="0"/>
          <w:color w:val="auto"/>
          <w:sz w:val="24"/>
          <w:highlight w:val="none"/>
        </w:rPr>
        <w:t>供应商需提供</w:t>
      </w:r>
      <w:r>
        <w:rPr>
          <w:rFonts w:hint="eastAsia" w:ascii="宋体" w:hAnsi="宋体" w:eastAsia="宋体" w:cs="宋体"/>
          <w:snapToGrid w:val="0"/>
          <w:color w:val="auto"/>
          <w:sz w:val="24"/>
          <w:highlight w:val="none"/>
        </w:rPr>
        <w:t>产品保护措施（包括但不仅限于防止采购的原材料、样品、已完工的成品等失窃或失火）</w:t>
      </w:r>
      <w:r>
        <w:rPr>
          <w:rFonts w:hint="eastAsia" w:ascii="宋体" w:hAnsi="宋体" w:cs="宋体"/>
          <w:snapToGrid w:val="0"/>
          <w:color w:val="auto"/>
          <w:sz w:val="24"/>
          <w:highlight w:val="none"/>
          <w:lang w:eastAsia="zh-CN"/>
        </w:rPr>
        <w:t>；</w:t>
      </w:r>
    </w:p>
    <w:p w14:paraId="0095401A">
      <w:pPr>
        <w:spacing w:line="360" w:lineRule="auto"/>
        <w:ind w:firstLine="480" w:firstLineChars="200"/>
        <w:jc w:val="left"/>
        <w:rPr>
          <w:rFonts w:hint="eastAsia" w:ascii="宋体" w:hAnsi="宋体" w:cs="仿宋_GB2312"/>
          <w:b w:val="0"/>
          <w:bCs w:val="0"/>
          <w:color w:val="auto"/>
          <w:sz w:val="24"/>
          <w:highlight w:val="none"/>
          <w:lang w:val="en-US" w:eastAsia="zh-CN"/>
        </w:rPr>
      </w:pPr>
      <w:r>
        <w:rPr>
          <w:rFonts w:hint="eastAsia" w:ascii="宋体" w:hAnsi="宋体" w:cs="仿宋_GB2312"/>
          <w:b w:val="0"/>
          <w:bCs w:val="0"/>
          <w:color w:val="auto"/>
          <w:sz w:val="24"/>
          <w:highlight w:val="none"/>
          <w:lang w:val="en-US" w:eastAsia="zh-CN"/>
        </w:rPr>
        <w:t>16.</w:t>
      </w:r>
      <w:r>
        <w:rPr>
          <w:rFonts w:hint="eastAsia" w:ascii="宋体" w:hAnsi="宋体" w:cs="仿宋_GB2312"/>
          <w:b w:val="0"/>
          <w:bCs w:val="0"/>
          <w:color w:val="auto"/>
          <w:sz w:val="24"/>
          <w:highlight w:val="none"/>
        </w:rPr>
        <w:t>供应商需提供</w:t>
      </w:r>
      <w:r>
        <w:rPr>
          <w:rFonts w:hint="eastAsia" w:ascii="宋体" w:hAnsi="宋体" w:eastAsia="宋体" w:cs="宋体"/>
          <w:color w:val="auto"/>
          <w:sz w:val="24"/>
          <w:szCs w:val="24"/>
          <w:highlight w:val="none"/>
          <w:lang w:val="en-US" w:eastAsia="zh-CN"/>
        </w:rPr>
        <w:t>售后服务服务响应（包括但不限于保修期内接到采购人通知后到达时间、处理及时的承诺响应</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一般事故、紧急抢修事故、涉及结构安全的质量问题等）</w:t>
      </w:r>
      <w:r>
        <w:rPr>
          <w:rFonts w:hint="eastAsia" w:ascii="宋体" w:hAnsi="宋体" w:cs="宋体"/>
          <w:color w:val="auto"/>
          <w:sz w:val="24"/>
          <w:szCs w:val="24"/>
          <w:highlight w:val="none"/>
          <w:lang w:val="en-US" w:eastAsia="zh-CN"/>
        </w:rPr>
        <w:t>；</w:t>
      </w:r>
    </w:p>
    <w:p w14:paraId="0162891A">
      <w:pPr>
        <w:spacing w:line="360" w:lineRule="auto"/>
        <w:ind w:firstLine="480" w:firstLineChars="200"/>
        <w:jc w:val="left"/>
        <w:rPr>
          <w:rFonts w:hint="eastAsia" w:ascii="宋体" w:hAnsi="宋体" w:cs="仿宋_GB2312"/>
          <w:b w:val="0"/>
          <w:bCs w:val="0"/>
          <w:color w:val="auto"/>
          <w:sz w:val="24"/>
          <w:highlight w:val="none"/>
        </w:rPr>
      </w:pPr>
      <w:r>
        <w:rPr>
          <w:rFonts w:hint="eastAsia" w:ascii="宋体" w:hAnsi="宋体" w:cs="仿宋_GB2312"/>
          <w:b w:val="0"/>
          <w:bCs w:val="0"/>
          <w:color w:val="auto"/>
          <w:sz w:val="24"/>
          <w:highlight w:val="none"/>
          <w:lang w:val="en-US" w:eastAsia="zh-CN"/>
        </w:rPr>
        <w:t>17.</w:t>
      </w:r>
      <w:r>
        <w:rPr>
          <w:rFonts w:hint="eastAsia" w:ascii="宋体" w:hAnsi="宋体" w:cs="仿宋_GB2312"/>
          <w:b w:val="0"/>
          <w:bCs w:val="0"/>
          <w:color w:val="auto"/>
          <w:sz w:val="24"/>
          <w:highlight w:val="none"/>
        </w:rPr>
        <w:t>供应商需提供承接过类似项目的情况。</w:t>
      </w:r>
    </w:p>
    <w:p w14:paraId="60D9F5D3">
      <w:pPr>
        <w:spacing w:line="360" w:lineRule="auto"/>
        <w:jc w:val="left"/>
        <w:rPr>
          <w:rFonts w:hint="eastAsia" w:ascii="宋体" w:hAnsi="宋体" w:cs="仿宋_GB2312"/>
          <w:b/>
          <w:bCs/>
          <w:color w:val="auto"/>
          <w:sz w:val="24"/>
          <w:highlight w:val="none"/>
        </w:rPr>
      </w:pPr>
    </w:p>
    <w:p w14:paraId="3BC83AAD">
      <w:pPr>
        <w:spacing w:line="360" w:lineRule="auto"/>
        <w:jc w:val="left"/>
        <w:rPr>
          <w:rFonts w:hint="eastAsia" w:ascii="宋体" w:hAnsi="宋体" w:cs="仿宋_GB2312"/>
          <w:b/>
          <w:bCs/>
          <w:color w:val="auto"/>
          <w:sz w:val="24"/>
          <w:highlight w:val="none"/>
        </w:rPr>
      </w:pPr>
      <w:r>
        <w:rPr>
          <w:rFonts w:hint="eastAsia" w:ascii="宋体" w:hAnsi="宋体" w:cs="仿宋_GB2312"/>
          <w:b/>
          <w:bCs/>
          <w:color w:val="auto"/>
          <w:sz w:val="24"/>
          <w:highlight w:val="none"/>
        </w:rPr>
        <w:t>三、图纸</w:t>
      </w:r>
    </w:p>
    <w:p w14:paraId="29EE80EC">
      <w:pPr>
        <w:spacing w:line="360" w:lineRule="auto"/>
        <w:ind w:firstLine="480" w:firstLineChars="200"/>
        <w:jc w:val="left"/>
        <w:rPr>
          <w:rFonts w:hint="eastAsia" w:ascii="宋体" w:hAnsi="宋体" w:cs="仿宋_GB2312"/>
          <w:b/>
          <w:bCs/>
          <w:color w:val="auto"/>
          <w:sz w:val="24"/>
          <w:highlight w:val="none"/>
        </w:rPr>
      </w:pPr>
      <w:r>
        <w:rPr>
          <w:rFonts w:hint="eastAsia" w:ascii="宋体" w:hAnsi="宋体" w:cs="仿宋_GB2312"/>
          <w:b w:val="0"/>
          <w:bCs w:val="0"/>
          <w:color w:val="auto"/>
          <w:sz w:val="24"/>
          <w:highlight w:val="none"/>
        </w:rPr>
        <w:t>另附册</w:t>
      </w:r>
    </w:p>
    <w:p w14:paraId="25903E91">
      <w:pPr>
        <w:spacing w:line="360" w:lineRule="auto"/>
        <w:jc w:val="left"/>
        <w:rPr>
          <w:rFonts w:hint="eastAsia" w:ascii="宋体" w:hAnsi="宋体" w:cs="仿宋_GB2312"/>
          <w:b/>
          <w:bCs/>
          <w:color w:val="auto"/>
          <w:sz w:val="24"/>
          <w:highlight w:val="none"/>
        </w:rPr>
      </w:pPr>
    </w:p>
    <w:p w14:paraId="00D25331">
      <w:pPr>
        <w:spacing w:line="360" w:lineRule="auto"/>
        <w:jc w:val="left"/>
        <w:rPr>
          <w:rFonts w:hint="eastAsia" w:ascii="宋体" w:hAnsi="宋体" w:cs="仿宋_GB2312"/>
          <w:b/>
          <w:bCs/>
          <w:color w:val="auto"/>
          <w:sz w:val="24"/>
          <w:highlight w:val="none"/>
        </w:rPr>
      </w:pPr>
      <w:r>
        <w:rPr>
          <w:rFonts w:hint="eastAsia" w:ascii="宋体" w:hAnsi="宋体" w:cs="仿宋_GB2312"/>
          <w:b/>
          <w:bCs/>
          <w:color w:val="auto"/>
          <w:sz w:val="24"/>
          <w:highlight w:val="none"/>
        </w:rPr>
        <w:t>四、工程量清单</w:t>
      </w:r>
    </w:p>
    <w:p w14:paraId="0F343C73">
      <w:pPr>
        <w:spacing w:line="360" w:lineRule="auto"/>
        <w:ind w:firstLine="480" w:firstLineChars="200"/>
        <w:jc w:val="left"/>
        <w:rPr>
          <w:rFonts w:hint="eastAsia" w:ascii="宋体" w:hAnsi="宋体" w:cs="仿宋_GB2312"/>
          <w:b w:val="0"/>
          <w:bCs w:val="0"/>
          <w:color w:val="auto"/>
          <w:sz w:val="24"/>
          <w:highlight w:val="none"/>
        </w:rPr>
      </w:pPr>
      <w:r>
        <w:rPr>
          <w:rFonts w:hint="eastAsia" w:ascii="宋体" w:hAnsi="宋体" w:cs="仿宋_GB2312"/>
          <w:b w:val="0"/>
          <w:bCs w:val="0"/>
          <w:color w:val="auto"/>
          <w:sz w:val="24"/>
          <w:highlight w:val="none"/>
        </w:rPr>
        <w:t>另附册</w:t>
      </w:r>
    </w:p>
    <w:p w14:paraId="08E13330">
      <w:pPr>
        <w:spacing w:line="360" w:lineRule="auto"/>
        <w:jc w:val="left"/>
        <w:rPr>
          <w:rFonts w:hint="eastAsia" w:ascii="宋体" w:hAnsi="宋体" w:cs="仿宋_GB2312"/>
          <w:b/>
          <w:bCs/>
          <w:color w:val="auto"/>
          <w:sz w:val="24"/>
          <w:highlight w:val="none"/>
          <w:lang w:val="en-US" w:eastAsia="zh-CN"/>
        </w:rPr>
      </w:pPr>
    </w:p>
    <w:p w14:paraId="5C1AFEEC">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lang w:val="en-US" w:eastAsia="zh-CN"/>
        </w:rPr>
        <w:t>五</w:t>
      </w:r>
      <w:r>
        <w:rPr>
          <w:rFonts w:hint="eastAsia" w:ascii="宋体" w:hAnsi="宋体" w:cs="仿宋_GB2312"/>
          <w:b/>
          <w:bCs/>
          <w:color w:val="auto"/>
          <w:sz w:val="24"/>
          <w:highlight w:val="none"/>
        </w:rPr>
        <w:t>、商务要求</w:t>
      </w:r>
    </w:p>
    <w:p w14:paraId="28C91327">
      <w:pPr>
        <w:spacing w:line="360" w:lineRule="auto"/>
        <w:ind w:firstLine="482" w:firstLineChars="200"/>
        <w:jc w:val="left"/>
        <w:rPr>
          <w:rFonts w:hint="default" w:ascii="宋体" w:hAnsi="宋体" w:eastAsia="宋体" w:cs="仿宋_GB2312"/>
          <w:color w:val="auto"/>
          <w:sz w:val="24"/>
          <w:highlight w:val="none"/>
          <w:lang w:val="en-US" w:eastAsia="zh-CN"/>
        </w:rPr>
      </w:pPr>
      <w:r>
        <w:rPr>
          <w:rFonts w:hint="eastAsia" w:ascii="宋体" w:hAnsi="宋体" w:cs="仿宋_GB2312"/>
          <w:b/>
          <w:bCs/>
          <w:color w:val="auto"/>
          <w:sz w:val="24"/>
          <w:highlight w:val="none"/>
        </w:rPr>
        <w:t>1.工期要求：</w:t>
      </w:r>
      <w:r>
        <w:rPr>
          <w:rFonts w:hint="eastAsia" w:ascii="宋体" w:hAnsi="宋体"/>
          <w:color w:val="auto"/>
          <w:sz w:val="24"/>
          <w:highlight w:val="none"/>
          <w:u w:val="single"/>
          <w:lang w:val="en-US" w:eastAsia="zh-CN"/>
        </w:rPr>
        <w:t>接到采购人通知后30天内完工。</w:t>
      </w:r>
    </w:p>
    <w:p w14:paraId="1233D4DD">
      <w:pPr>
        <w:spacing w:line="360" w:lineRule="auto"/>
        <w:ind w:firstLine="482" w:firstLineChars="200"/>
        <w:jc w:val="left"/>
        <w:rPr>
          <w:rFonts w:ascii="宋体" w:hAnsi="宋体" w:cs="仿宋_GB2312"/>
          <w:color w:val="auto"/>
          <w:sz w:val="24"/>
          <w:highlight w:val="none"/>
        </w:rPr>
      </w:pPr>
      <w:r>
        <w:rPr>
          <w:rFonts w:hint="eastAsia" w:ascii="宋体" w:hAnsi="宋体" w:cs="仿宋_GB2312"/>
          <w:b/>
          <w:bCs/>
          <w:color w:val="auto"/>
          <w:sz w:val="24"/>
          <w:highlight w:val="none"/>
        </w:rPr>
        <w:t>2.工程地点：</w:t>
      </w:r>
      <w:r>
        <w:rPr>
          <w:rFonts w:hint="eastAsia" w:ascii="宋体" w:hAnsi="宋体" w:cs="仿宋_GB2312"/>
          <w:color w:val="auto"/>
          <w:sz w:val="24"/>
          <w:highlight w:val="none"/>
          <w:u w:val="single"/>
        </w:rPr>
        <w:t>项目建设地点位于</w:t>
      </w:r>
      <w:r>
        <w:rPr>
          <w:rFonts w:hint="eastAsia" w:ascii="宋体" w:hAnsi="宋体"/>
          <w:color w:val="auto"/>
          <w:sz w:val="24"/>
          <w:highlight w:val="none"/>
          <w:u w:val="single"/>
          <w:lang w:val="en-US" w:eastAsia="zh-CN"/>
        </w:rPr>
        <w:t>宁波经贸学校</w:t>
      </w:r>
      <w:r>
        <w:rPr>
          <w:rFonts w:hint="eastAsia" w:ascii="宋体" w:hAnsi="宋体" w:cs="仿宋_GB2312"/>
          <w:color w:val="auto"/>
          <w:sz w:val="24"/>
          <w:highlight w:val="none"/>
          <w:u w:val="single"/>
        </w:rPr>
        <w:t>。</w:t>
      </w:r>
    </w:p>
    <w:p w14:paraId="076B05C9">
      <w:pPr>
        <w:spacing w:line="360" w:lineRule="auto"/>
        <w:ind w:firstLine="482" w:firstLineChars="200"/>
        <w:jc w:val="left"/>
        <w:rPr>
          <w:rFonts w:ascii="宋体" w:hAnsi="宋体" w:cs="仿宋_GB2312"/>
          <w:color w:val="auto"/>
          <w:sz w:val="24"/>
          <w:highlight w:val="none"/>
        </w:rPr>
      </w:pPr>
      <w:r>
        <w:rPr>
          <w:rFonts w:hint="eastAsia" w:ascii="宋体" w:hAnsi="宋体" w:cs="仿宋_GB2312"/>
          <w:b/>
          <w:bCs/>
          <w:color w:val="auto"/>
          <w:sz w:val="24"/>
          <w:highlight w:val="none"/>
        </w:rPr>
        <w:t>3.付款条件</w:t>
      </w:r>
      <w:r>
        <w:rPr>
          <w:rFonts w:hint="eastAsia" w:ascii="宋体" w:hAnsi="宋体" w:cs="仿宋_GB2312"/>
          <w:color w:val="auto"/>
          <w:sz w:val="24"/>
          <w:highlight w:val="none"/>
        </w:rPr>
        <w:t>（</w:t>
      </w:r>
      <w:r>
        <w:rPr>
          <w:rFonts w:hint="eastAsia" w:ascii="宋体" w:hAnsi="宋体" w:cs="仿宋_GB2312"/>
          <w:color w:val="auto"/>
          <w:sz w:val="24"/>
          <w:highlight w:val="none"/>
          <w:lang w:val="en-US" w:eastAsia="zh-CN"/>
        </w:rPr>
        <w:t>付款比例</w:t>
      </w:r>
      <w:r>
        <w:rPr>
          <w:rFonts w:hint="eastAsia" w:ascii="宋体" w:hAnsi="宋体" w:cs="仿宋_GB2312"/>
          <w:color w:val="auto"/>
          <w:sz w:val="24"/>
          <w:highlight w:val="none"/>
        </w:rPr>
        <w:t>和方式）</w:t>
      </w:r>
    </w:p>
    <w:tbl>
      <w:tblPr>
        <w:tblStyle w:val="62"/>
        <w:tblW w:w="4996" w:type="pct"/>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295"/>
        <w:gridCol w:w="2382"/>
        <w:gridCol w:w="5557"/>
      </w:tblGrid>
      <w:tr w14:paraId="390757D3">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trPr>
        <w:tc>
          <w:tcPr>
            <w:tcW w:w="701" w:type="pct"/>
            <w:tcBorders>
              <w:tl2br w:val="nil"/>
              <w:tr2bl w:val="nil"/>
            </w:tcBorders>
            <w:shd w:val="clear" w:color="auto" w:fill="auto"/>
            <w:vAlign w:val="center"/>
          </w:tcPr>
          <w:p w14:paraId="20CE4693">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仿宋_GB2312"/>
                <w:b/>
                <w:bCs/>
                <w:color w:val="auto"/>
                <w:sz w:val="24"/>
                <w:szCs w:val="24"/>
                <w:highlight w:val="none"/>
              </w:rPr>
            </w:pPr>
            <w:r>
              <w:rPr>
                <w:rFonts w:hint="eastAsia" w:ascii="宋体" w:hAnsi="宋体" w:cs="仿宋_GB2312"/>
                <w:b/>
                <w:bCs/>
                <w:color w:val="auto"/>
                <w:sz w:val="24"/>
                <w:szCs w:val="24"/>
                <w:highlight w:val="none"/>
              </w:rPr>
              <w:t>序号</w:t>
            </w:r>
          </w:p>
        </w:tc>
        <w:tc>
          <w:tcPr>
            <w:tcW w:w="1290" w:type="pct"/>
            <w:tcBorders>
              <w:tl2br w:val="nil"/>
              <w:tr2bl w:val="nil"/>
            </w:tcBorders>
            <w:shd w:val="clear" w:color="auto" w:fill="auto"/>
            <w:vAlign w:val="center"/>
          </w:tcPr>
          <w:p w14:paraId="5CE9081B">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仿宋_GB2312"/>
                <w:b/>
                <w:bCs/>
                <w:color w:val="auto"/>
                <w:sz w:val="24"/>
                <w:szCs w:val="24"/>
                <w:highlight w:val="none"/>
              </w:rPr>
            </w:pPr>
            <w:r>
              <w:rPr>
                <w:rFonts w:hint="eastAsia" w:ascii="宋体" w:hAnsi="宋体" w:cs="仿宋_GB2312"/>
                <w:b/>
                <w:bCs/>
                <w:color w:val="auto"/>
                <w:sz w:val="24"/>
                <w:szCs w:val="24"/>
                <w:highlight w:val="none"/>
              </w:rPr>
              <w:t>付款比例（%）</w:t>
            </w:r>
          </w:p>
        </w:tc>
        <w:tc>
          <w:tcPr>
            <w:tcW w:w="3007" w:type="pct"/>
            <w:tcBorders>
              <w:tl2br w:val="nil"/>
              <w:tr2bl w:val="nil"/>
            </w:tcBorders>
            <w:shd w:val="clear" w:color="auto" w:fill="auto"/>
            <w:vAlign w:val="center"/>
          </w:tcPr>
          <w:p w14:paraId="66268312">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仿宋_GB2312"/>
                <w:b/>
                <w:bCs/>
                <w:color w:val="auto"/>
                <w:sz w:val="24"/>
                <w:szCs w:val="24"/>
                <w:highlight w:val="none"/>
                <w:lang w:val="en-US" w:eastAsia="zh-CN"/>
              </w:rPr>
            </w:pPr>
            <w:r>
              <w:rPr>
                <w:rFonts w:hint="eastAsia" w:ascii="宋体" w:hAnsi="宋体" w:cs="仿宋_GB2312"/>
                <w:b/>
                <w:bCs/>
                <w:color w:val="auto"/>
                <w:sz w:val="24"/>
                <w:szCs w:val="24"/>
                <w:highlight w:val="none"/>
              </w:rPr>
              <w:t>付款方</w:t>
            </w:r>
            <w:r>
              <w:rPr>
                <w:rFonts w:hint="eastAsia" w:ascii="宋体" w:hAnsi="宋体" w:cs="仿宋_GB2312"/>
                <w:b/>
                <w:bCs/>
                <w:color w:val="auto"/>
                <w:sz w:val="24"/>
                <w:szCs w:val="24"/>
                <w:highlight w:val="none"/>
                <w:lang w:val="en-US" w:eastAsia="zh-CN"/>
              </w:rPr>
              <w:t>式</w:t>
            </w:r>
          </w:p>
        </w:tc>
      </w:tr>
      <w:tr w14:paraId="060E0D47">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90" w:hRule="atLeast"/>
        </w:trPr>
        <w:tc>
          <w:tcPr>
            <w:tcW w:w="701" w:type="pct"/>
            <w:tcBorders>
              <w:tl2br w:val="nil"/>
              <w:tr2bl w:val="nil"/>
            </w:tcBorders>
            <w:shd w:val="clear" w:color="auto" w:fill="auto"/>
            <w:vAlign w:val="center"/>
          </w:tcPr>
          <w:p w14:paraId="038D6D7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仿宋_GB2312"/>
                <w:color w:val="auto"/>
                <w:sz w:val="24"/>
                <w:szCs w:val="24"/>
                <w:highlight w:val="none"/>
              </w:rPr>
            </w:pPr>
            <w:r>
              <w:rPr>
                <w:rFonts w:hint="eastAsia" w:ascii="宋体" w:hAnsi="宋体" w:cs="仿宋_GB2312"/>
                <w:color w:val="auto"/>
                <w:sz w:val="24"/>
                <w:szCs w:val="24"/>
                <w:highlight w:val="none"/>
              </w:rPr>
              <w:t>1</w:t>
            </w:r>
          </w:p>
        </w:tc>
        <w:tc>
          <w:tcPr>
            <w:tcW w:w="1290" w:type="pct"/>
            <w:tcBorders>
              <w:tl2br w:val="nil"/>
              <w:tr2bl w:val="nil"/>
            </w:tcBorders>
            <w:shd w:val="clear" w:color="auto" w:fill="auto"/>
            <w:vAlign w:val="center"/>
          </w:tcPr>
          <w:p w14:paraId="7A9E01A4">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szCs w:val="24"/>
                <w:highlight w:val="none"/>
                <w:lang w:val="en-US" w:eastAsia="zh-CN"/>
              </w:rPr>
              <w:t>40%</w:t>
            </w:r>
          </w:p>
        </w:tc>
        <w:tc>
          <w:tcPr>
            <w:tcW w:w="3007" w:type="pct"/>
            <w:tcBorders>
              <w:tl2br w:val="nil"/>
              <w:tr2bl w:val="nil"/>
            </w:tcBorders>
            <w:shd w:val="clear" w:color="auto" w:fill="auto"/>
            <w:vAlign w:val="top"/>
          </w:tcPr>
          <w:p w14:paraId="49901A94">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宋体"/>
                <w:bCs/>
                <w:color w:val="auto"/>
                <w:sz w:val="24"/>
                <w:szCs w:val="24"/>
                <w:highlight w:val="none"/>
              </w:rPr>
              <w:t>合同生效以及具备实施条件后7个工作日内，</w:t>
            </w:r>
            <w:r>
              <w:rPr>
                <w:rFonts w:hint="eastAsia" w:ascii="宋体" w:hAnsi="宋体" w:eastAsia="宋体" w:cs="宋体"/>
                <w:bCs/>
                <w:color w:val="auto"/>
                <w:sz w:val="24"/>
                <w:szCs w:val="24"/>
                <w:highlight w:val="none"/>
                <w:lang w:eastAsia="zh-CN"/>
              </w:rPr>
              <w:t>成交供应商</w:t>
            </w:r>
            <w:r>
              <w:rPr>
                <w:rFonts w:hint="eastAsia" w:ascii="宋体" w:hAnsi="宋体" w:eastAsia="宋体" w:cs="宋体"/>
                <w:bCs/>
                <w:color w:val="auto"/>
                <w:sz w:val="24"/>
                <w:szCs w:val="24"/>
                <w:highlight w:val="none"/>
              </w:rPr>
              <w:t>于合同签订前书面承诺放弃预付款或降低预付款支付比例的，可不适用本条款</w:t>
            </w:r>
            <w:r>
              <w:rPr>
                <w:rFonts w:hint="eastAsia" w:ascii="宋体" w:hAnsi="宋体" w:cs="宋体"/>
                <w:color w:val="auto"/>
                <w:sz w:val="24"/>
                <w:szCs w:val="24"/>
                <w:highlight w:val="none"/>
                <w:lang w:val="en-US" w:eastAsia="zh-CN"/>
              </w:rPr>
              <w:t>。</w:t>
            </w:r>
          </w:p>
        </w:tc>
      </w:tr>
      <w:tr w14:paraId="3259B54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25" w:hRule="atLeast"/>
        </w:trPr>
        <w:tc>
          <w:tcPr>
            <w:tcW w:w="701" w:type="pct"/>
            <w:tcBorders>
              <w:tl2br w:val="nil"/>
              <w:tr2bl w:val="nil"/>
            </w:tcBorders>
            <w:shd w:val="clear" w:color="auto" w:fill="auto"/>
            <w:vAlign w:val="center"/>
          </w:tcPr>
          <w:p w14:paraId="67951CB3">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仿宋_GB2312"/>
                <w:color w:val="auto"/>
                <w:sz w:val="24"/>
                <w:szCs w:val="24"/>
                <w:highlight w:val="none"/>
                <w:lang w:val="en-US" w:eastAsia="zh-CN"/>
              </w:rPr>
            </w:pPr>
            <w:r>
              <w:rPr>
                <w:rFonts w:hint="eastAsia" w:ascii="宋体" w:hAnsi="宋体" w:cs="仿宋_GB2312"/>
                <w:color w:val="auto"/>
                <w:sz w:val="24"/>
                <w:szCs w:val="24"/>
                <w:highlight w:val="none"/>
                <w:lang w:val="en-US" w:eastAsia="zh-CN"/>
              </w:rPr>
              <w:t>2</w:t>
            </w:r>
          </w:p>
        </w:tc>
        <w:tc>
          <w:tcPr>
            <w:tcW w:w="1290" w:type="pct"/>
            <w:tcBorders>
              <w:tl2br w:val="nil"/>
              <w:tr2bl w:val="nil"/>
            </w:tcBorders>
            <w:shd w:val="clear" w:color="auto" w:fill="auto"/>
            <w:vAlign w:val="center"/>
          </w:tcPr>
          <w:p w14:paraId="40E5442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宋体" w:hAnsi="宋体" w:eastAsia="宋体" w:cs="仿宋_GB2312"/>
                <w:color w:val="auto"/>
                <w:sz w:val="24"/>
                <w:szCs w:val="24"/>
                <w:highlight w:val="none"/>
                <w:lang w:val="en-US" w:eastAsia="zh-CN"/>
              </w:rPr>
            </w:pPr>
            <w:r>
              <w:rPr>
                <w:rFonts w:hint="eastAsia" w:ascii="宋体" w:hAnsi="宋体" w:eastAsia="宋体" w:cs="仿宋_GB2312"/>
                <w:color w:val="auto"/>
                <w:sz w:val="24"/>
                <w:szCs w:val="24"/>
                <w:highlight w:val="none"/>
                <w:lang w:val="en-US" w:eastAsia="zh-CN"/>
              </w:rPr>
              <w:t>2</w:t>
            </w:r>
            <w:r>
              <w:rPr>
                <w:rFonts w:hint="eastAsia" w:ascii="宋体" w:hAnsi="宋体" w:eastAsia="宋体" w:cs="仿宋_GB2312"/>
                <w:color w:val="auto"/>
                <w:sz w:val="24"/>
                <w:szCs w:val="24"/>
                <w:highlight w:val="none"/>
                <w:lang w:eastAsia="zh-CN"/>
              </w:rPr>
              <w:t>0%</w:t>
            </w:r>
          </w:p>
        </w:tc>
        <w:tc>
          <w:tcPr>
            <w:tcW w:w="3007" w:type="pct"/>
            <w:tcBorders>
              <w:tl2br w:val="nil"/>
              <w:tr2bl w:val="nil"/>
            </w:tcBorders>
            <w:shd w:val="clear" w:color="auto" w:fill="auto"/>
          </w:tcPr>
          <w:p w14:paraId="06AB8187">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仿宋_GB2312"/>
                <w:color w:val="auto"/>
                <w:sz w:val="24"/>
                <w:szCs w:val="24"/>
                <w:highlight w:val="none"/>
                <w:lang w:eastAsia="zh-CN"/>
              </w:rPr>
            </w:pPr>
            <w:r>
              <w:rPr>
                <w:rFonts w:hint="eastAsia" w:ascii="宋体" w:hAnsi="宋体" w:eastAsia="宋体" w:cs="仿宋_GB2312"/>
                <w:color w:val="auto"/>
                <w:sz w:val="24"/>
                <w:szCs w:val="24"/>
                <w:highlight w:val="none"/>
                <w:lang w:eastAsia="zh-CN"/>
              </w:rPr>
              <w:t>按合同约定提交完整工程结算资料后，支付签约合同价的</w:t>
            </w:r>
            <w:r>
              <w:rPr>
                <w:rFonts w:hint="eastAsia" w:ascii="宋体" w:hAnsi="宋体" w:cs="仿宋_GB2312"/>
                <w:color w:val="auto"/>
                <w:sz w:val="24"/>
                <w:szCs w:val="24"/>
                <w:highlight w:val="none"/>
                <w:lang w:val="en-US" w:eastAsia="zh-CN"/>
              </w:rPr>
              <w:t>2</w:t>
            </w:r>
            <w:r>
              <w:rPr>
                <w:rFonts w:hint="eastAsia" w:ascii="宋体" w:hAnsi="宋体" w:eastAsia="宋体" w:cs="仿宋_GB2312"/>
                <w:color w:val="auto"/>
                <w:sz w:val="24"/>
                <w:szCs w:val="24"/>
                <w:highlight w:val="none"/>
                <w:lang w:eastAsia="zh-CN"/>
              </w:rPr>
              <w:t>0%</w:t>
            </w:r>
          </w:p>
        </w:tc>
      </w:tr>
      <w:tr w14:paraId="3C8A38F3">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701" w:type="pct"/>
            <w:tcBorders>
              <w:tl2br w:val="nil"/>
              <w:tr2bl w:val="nil"/>
            </w:tcBorders>
            <w:shd w:val="clear" w:color="auto" w:fill="auto"/>
            <w:vAlign w:val="center"/>
          </w:tcPr>
          <w:p w14:paraId="07ACF39F">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宋体" w:hAnsi="宋体" w:cs="仿宋_GB2312"/>
                <w:color w:val="auto"/>
                <w:sz w:val="24"/>
                <w:szCs w:val="24"/>
                <w:highlight w:val="none"/>
                <w:lang w:val="en-US" w:eastAsia="zh-CN"/>
              </w:rPr>
            </w:pPr>
            <w:r>
              <w:rPr>
                <w:rFonts w:hint="eastAsia" w:ascii="宋体" w:hAnsi="宋体" w:cs="仿宋_GB2312"/>
                <w:color w:val="auto"/>
                <w:sz w:val="24"/>
                <w:szCs w:val="24"/>
                <w:highlight w:val="none"/>
                <w:lang w:val="en-US" w:eastAsia="zh-CN"/>
              </w:rPr>
              <w:t>3</w:t>
            </w:r>
          </w:p>
        </w:tc>
        <w:tc>
          <w:tcPr>
            <w:tcW w:w="1290" w:type="pct"/>
            <w:tcBorders>
              <w:tl2br w:val="nil"/>
              <w:tr2bl w:val="nil"/>
            </w:tcBorders>
            <w:shd w:val="clear" w:color="auto" w:fill="auto"/>
            <w:vAlign w:val="center"/>
          </w:tcPr>
          <w:p w14:paraId="5F7EEF1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仿宋_GB2312"/>
                <w:color w:val="auto"/>
                <w:sz w:val="24"/>
                <w:szCs w:val="24"/>
                <w:highlight w:val="none"/>
                <w:lang w:val="en-US" w:eastAsia="zh-CN"/>
              </w:rPr>
            </w:pPr>
            <w:r>
              <w:rPr>
                <w:rFonts w:hint="eastAsia" w:ascii="宋体" w:hAnsi="宋体" w:cs="仿宋_GB2312"/>
                <w:color w:val="auto"/>
                <w:sz w:val="24"/>
                <w:szCs w:val="24"/>
                <w:highlight w:val="none"/>
                <w:lang w:val="en-US" w:eastAsia="zh-CN"/>
              </w:rPr>
              <w:t>40</w:t>
            </w:r>
            <w:r>
              <w:rPr>
                <w:rFonts w:hint="eastAsia" w:ascii="宋体" w:hAnsi="宋体" w:eastAsia="宋体" w:cs="仿宋_GB2312"/>
                <w:color w:val="auto"/>
                <w:sz w:val="24"/>
                <w:szCs w:val="24"/>
                <w:highlight w:val="none"/>
                <w:lang w:eastAsia="zh-CN"/>
              </w:rPr>
              <w:t>%</w:t>
            </w:r>
          </w:p>
        </w:tc>
        <w:tc>
          <w:tcPr>
            <w:tcW w:w="3007" w:type="pct"/>
            <w:tcBorders>
              <w:tl2br w:val="nil"/>
              <w:tr2bl w:val="nil"/>
            </w:tcBorders>
            <w:shd w:val="clear" w:color="auto" w:fill="auto"/>
          </w:tcPr>
          <w:p w14:paraId="67EBC3DE">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仿宋_GB2312"/>
                <w:color w:val="auto"/>
                <w:sz w:val="24"/>
                <w:szCs w:val="24"/>
                <w:highlight w:val="none"/>
                <w:lang w:eastAsia="zh-CN"/>
              </w:rPr>
            </w:pPr>
            <w:r>
              <w:rPr>
                <w:rFonts w:hint="eastAsia" w:ascii="宋体" w:hAnsi="宋体" w:eastAsia="宋体" w:cs="仿宋_GB2312"/>
                <w:color w:val="auto"/>
                <w:sz w:val="24"/>
                <w:szCs w:val="24"/>
                <w:highlight w:val="none"/>
                <w:lang w:eastAsia="zh-CN"/>
              </w:rPr>
              <w:t>工程价款结算审核完成，</w:t>
            </w:r>
            <w:r>
              <w:rPr>
                <w:rFonts w:hint="eastAsia" w:ascii="宋体" w:hAnsi="宋体" w:cs="仿宋_GB2312"/>
                <w:color w:val="auto"/>
                <w:sz w:val="24"/>
                <w:szCs w:val="24"/>
                <w:highlight w:val="none"/>
                <w:lang w:val="en-US" w:eastAsia="zh-CN"/>
              </w:rPr>
              <w:t>采购人</w:t>
            </w:r>
            <w:r>
              <w:rPr>
                <w:rFonts w:hint="eastAsia" w:ascii="宋体" w:hAnsi="宋体" w:eastAsia="宋体" w:cs="仿宋_GB2312"/>
                <w:color w:val="auto"/>
                <w:sz w:val="24"/>
                <w:szCs w:val="24"/>
                <w:highlight w:val="none"/>
                <w:lang w:eastAsia="zh-CN"/>
              </w:rPr>
              <w:t>在</w:t>
            </w:r>
            <w:r>
              <w:rPr>
                <w:rFonts w:hint="eastAsia" w:ascii="宋体" w:hAnsi="宋体" w:cs="仿宋_GB2312"/>
                <w:color w:val="auto"/>
                <w:sz w:val="24"/>
                <w:szCs w:val="24"/>
                <w:highlight w:val="none"/>
                <w:lang w:val="en-US" w:eastAsia="zh-CN"/>
              </w:rPr>
              <w:t>成交供应商</w:t>
            </w:r>
            <w:r>
              <w:rPr>
                <w:rFonts w:hint="eastAsia" w:ascii="宋体" w:hAnsi="宋体" w:eastAsia="宋体" w:cs="仿宋_GB2312"/>
                <w:color w:val="auto"/>
                <w:sz w:val="24"/>
                <w:szCs w:val="24"/>
                <w:highlight w:val="none"/>
                <w:lang w:eastAsia="zh-CN"/>
              </w:rPr>
              <w:t>提供全额发票（增值税专用发票）后支付至结算</w:t>
            </w:r>
            <w:r>
              <w:rPr>
                <w:rFonts w:hint="eastAsia" w:ascii="宋体" w:hAnsi="宋体" w:cs="仿宋_GB2312"/>
                <w:color w:val="auto"/>
                <w:sz w:val="24"/>
                <w:szCs w:val="24"/>
                <w:highlight w:val="none"/>
                <w:lang w:val="en-US" w:eastAsia="zh-CN"/>
              </w:rPr>
              <w:t>审核价</w:t>
            </w:r>
            <w:r>
              <w:rPr>
                <w:rFonts w:hint="eastAsia" w:ascii="宋体" w:hAnsi="宋体" w:eastAsia="宋体" w:cs="仿宋_GB2312"/>
                <w:color w:val="auto"/>
                <w:sz w:val="24"/>
                <w:szCs w:val="24"/>
                <w:highlight w:val="none"/>
                <w:lang w:eastAsia="zh-CN"/>
              </w:rPr>
              <w:t>的100%</w:t>
            </w:r>
          </w:p>
        </w:tc>
      </w:tr>
      <w:tr w14:paraId="04376154">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000" w:type="pct"/>
            <w:gridSpan w:val="3"/>
            <w:tcBorders>
              <w:tl2br w:val="nil"/>
              <w:tr2bl w:val="nil"/>
            </w:tcBorders>
            <w:shd w:val="clear" w:color="auto" w:fill="auto"/>
            <w:vAlign w:val="center"/>
          </w:tcPr>
          <w:p w14:paraId="6EFAFDA0">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default" w:ascii="宋体" w:hAnsi="宋体" w:eastAsia="宋体" w:cs="仿宋_GB2312"/>
                <w:color w:val="auto"/>
                <w:sz w:val="24"/>
                <w:szCs w:val="24"/>
                <w:highlight w:val="none"/>
                <w:lang w:val="en-US" w:eastAsia="zh-CN"/>
              </w:rPr>
            </w:pPr>
            <w:r>
              <w:rPr>
                <w:rFonts w:hint="eastAsia" w:ascii="宋体" w:hAnsi="宋体" w:cs="仿宋_GB2312"/>
                <w:b/>
                <w:bCs/>
                <w:color w:val="auto"/>
                <w:sz w:val="24"/>
                <w:szCs w:val="24"/>
                <w:highlight w:val="none"/>
                <w:lang w:val="en-US" w:eastAsia="zh-CN"/>
              </w:rPr>
              <w:t>注：支付上述款项前，成交供应商须开具同等数额的正规增值税发票（具体发票要求按采购人要求开具），否则采购人有权延迟支付。</w:t>
            </w:r>
          </w:p>
        </w:tc>
      </w:tr>
    </w:tbl>
    <w:p w14:paraId="4EA4CAE2">
      <w:pPr>
        <w:spacing w:line="360" w:lineRule="auto"/>
        <w:ind w:left="0" w:leftChars="0"/>
        <w:jc w:val="left"/>
        <w:rPr>
          <w:rFonts w:ascii="宋体" w:hAnsi="宋体" w:cs="仿宋_GB2312"/>
          <w:color w:val="auto"/>
          <w:sz w:val="24"/>
          <w:highlight w:val="none"/>
        </w:rPr>
      </w:pPr>
      <w:r>
        <w:rPr>
          <w:rFonts w:hint="eastAsia" w:ascii="宋体" w:hAnsi="宋体" w:cs="仿宋_GB2312"/>
          <w:b/>
          <w:bCs/>
          <w:color w:val="auto"/>
          <w:sz w:val="24"/>
          <w:highlight w:val="none"/>
        </w:rPr>
        <w:t>4.工程售后服务要求</w:t>
      </w:r>
    </w:p>
    <w:p w14:paraId="39AAEF1C">
      <w:pPr>
        <w:spacing w:line="360" w:lineRule="auto"/>
        <w:ind w:firstLine="0" w:firstLineChars="0"/>
        <w:jc w:val="left"/>
        <w:rPr>
          <w:rFonts w:hint="default" w:ascii="宋体" w:hAnsi="宋体"/>
          <w:color w:val="auto"/>
          <w:sz w:val="24"/>
          <w:highlight w:val="none"/>
          <w:u w:val="none"/>
          <w:lang w:val="en-US" w:eastAsia="zh-CN"/>
        </w:rPr>
      </w:pPr>
      <w:r>
        <w:rPr>
          <w:rFonts w:hint="eastAsia" w:ascii="宋体" w:hAnsi="宋体"/>
          <w:color w:val="auto"/>
          <w:sz w:val="24"/>
          <w:highlight w:val="none"/>
          <w:u w:val="none"/>
          <w:lang w:val="en-US" w:eastAsia="zh-CN"/>
        </w:rPr>
        <w:t>4.1缺陷责任期：</w:t>
      </w:r>
    </w:p>
    <w:p w14:paraId="3A1A8DB6">
      <w:pPr>
        <w:spacing w:line="360" w:lineRule="auto"/>
        <w:ind w:firstLine="0" w:firstLineChars="0"/>
        <w:jc w:val="left"/>
        <w:rPr>
          <w:rFonts w:hint="eastAsia" w:ascii="宋体" w:hAnsi="宋体"/>
          <w:color w:val="auto"/>
          <w:sz w:val="24"/>
          <w:highlight w:val="none"/>
          <w:u w:val="single"/>
          <w:lang w:eastAsia="zh-CN"/>
        </w:rPr>
      </w:pPr>
      <w:r>
        <w:rPr>
          <w:rFonts w:hint="eastAsia" w:ascii="宋体" w:hAnsi="宋体"/>
          <w:color w:val="auto"/>
          <w:sz w:val="24"/>
          <w:highlight w:val="none"/>
          <w:u w:val="none"/>
          <w:lang w:val="en-US" w:eastAsia="zh-CN"/>
        </w:rPr>
        <w:t>4.1.1</w:t>
      </w:r>
      <w:r>
        <w:rPr>
          <w:rFonts w:hint="eastAsia" w:ascii="宋体" w:hAnsi="宋体"/>
          <w:color w:val="auto"/>
          <w:sz w:val="24"/>
          <w:highlight w:val="none"/>
          <w:u w:val="none"/>
        </w:rPr>
        <w:t>缺陷责任期：</w:t>
      </w:r>
      <w:r>
        <w:rPr>
          <w:rFonts w:hint="eastAsia" w:ascii="宋体" w:hAnsi="宋体"/>
          <w:color w:val="auto"/>
          <w:sz w:val="24"/>
          <w:highlight w:val="none"/>
          <w:u w:val="single"/>
        </w:rPr>
        <w:t>自工程验收合格之日起</w:t>
      </w:r>
      <w:r>
        <w:rPr>
          <w:rFonts w:hint="eastAsia" w:ascii="宋体" w:hAnsi="宋体"/>
          <w:color w:val="auto"/>
          <w:sz w:val="24"/>
          <w:highlight w:val="none"/>
          <w:u w:val="single"/>
          <w:lang w:val="en-US" w:eastAsia="zh-CN"/>
        </w:rPr>
        <w:t>24个月</w:t>
      </w:r>
      <w:r>
        <w:rPr>
          <w:rFonts w:hint="eastAsia" w:ascii="宋体" w:hAnsi="宋体"/>
          <w:color w:val="auto"/>
          <w:sz w:val="24"/>
          <w:highlight w:val="none"/>
          <w:u w:val="none"/>
          <w:lang w:eastAsia="zh-CN"/>
        </w:rPr>
        <w:t>；</w:t>
      </w:r>
    </w:p>
    <w:p w14:paraId="09A51BAB">
      <w:pPr>
        <w:spacing w:line="360" w:lineRule="auto"/>
        <w:rPr>
          <w:rFonts w:hint="eastAsia" w:ascii="宋体" w:hAnsi="宋体" w:eastAsia="宋体" w:cs="Times New Roman"/>
          <w:color w:val="auto"/>
          <w:kern w:val="2"/>
          <w:sz w:val="24"/>
          <w:szCs w:val="24"/>
          <w:highlight w:val="none"/>
          <w:u w:val="none"/>
          <w:lang w:val="en-US" w:eastAsia="zh-CN" w:bidi="ar-SA"/>
        </w:rPr>
      </w:pPr>
      <w:r>
        <w:rPr>
          <w:rFonts w:hint="eastAsia" w:ascii="宋体" w:hAnsi="宋体" w:cs="Times New Roman"/>
          <w:color w:val="auto"/>
          <w:kern w:val="2"/>
          <w:sz w:val="24"/>
          <w:szCs w:val="24"/>
          <w:highlight w:val="none"/>
          <w:u w:val="none"/>
          <w:lang w:val="en-US" w:eastAsia="zh-CN" w:bidi="ar-SA"/>
        </w:rPr>
        <w:t>4.1.2</w:t>
      </w:r>
      <w:r>
        <w:rPr>
          <w:rFonts w:hint="eastAsia" w:ascii="宋体" w:hAnsi="宋体" w:eastAsia="宋体" w:cs="Times New Roman"/>
          <w:color w:val="auto"/>
          <w:kern w:val="2"/>
          <w:sz w:val="24"/>
          <w:szCs w:val="24"/>
          <w:highlight w:val="none"/>
          <w:u w:val="none"/>
          <w:lang w:val="en-US" w:eastAsia="zh-CN" w:bidi="ar-SA"/>
        </w:rPr>
        <w:t>工程竣工验收合格后，因承包方原因导致的缺陷使工程或某项主要设备不能按原定目的使用的，发包人有权在原缺陷责任期届满前要求承包方延长缺陷责任期，延长的缺陷责任期为24个月。</w:t>
      </w:r>
    </w:p>
    <w:p w14:paraId="41B010B4">
      <w:pPr>
        <w:spacing w:line="360" w:lineRule="auto"/>
        <w:rPr>
          <w:rFonts w:hint="eastAsia" w:ascii="宋体" w:hAnsi="宋体" w:eastAsia="宋体" w:cs="Times New Roman"/>
          <w:color w:val="auto"/>
          <w:kern w:val="2"/>
          <w:sz w:val="24"/>
          <w:szCs w:val="24"/>
          <w:highlight w:val="none"/>
          <w:u w:val="none"/>
          <w:lang w:val="en-US" w:eastAsia="zh-CN" w:bidi="ar-SA"/>
        </w:rPr>
      </w:pPr>
      <w:r>
        <w:rPr>
          <w:rFonts w:hint="eastAsia" w:ascii="宋体" w:hAnsi="宋体" w:cs="Times New Roman"/>
          <w:color w:val="auto"/>
          <w:kern w:val="2"/>
          <w:sz w:val="24"/>
          <w:szCs w:val="24"/>
          <w:highlight w:val="none"/>
          <w:u w:val="none"/>
          <w:lang w:val="en-US" w:eastAsia="zh-CN" w:bidi="ar-SA"/>
        </w:rPr>
        <w:t>4.2</w:t>
      </w:r>
      <w:r>
        <w:rPr>
          <w:rFonts w:hint="eastAsia" w:ascii="宋体" w:hAnsi="宋体" w:eastAsia="宋体" w:cs="Times New Roman"/>
          <w:color w:val="auto"/>
          <w:kern w:val="2"/>
          <w:sz w:val="24"/>
          <w:szCs w:val="24"/>
          <w:highlight w:val="none"/>
          <w:u w:val="none"/>
          <w:lang w:val="en-US" w:eastAsia="zh-CN" w:bidi="ar-SA"/>
        </w:rPr>
        <w:t xml:space="preserve"> 保修的一般规定</w:t>
      </w:r>
    </w:p>
    <w:p w14:paraId="07FE85C6">
      <w:pPr>
        <w:spacing w:line="360" w:lineRule="auto"/>
        <w:rPr>
          <w:rFonts w:hint="eastAsia" w:ascii="宋体" w:hAnsi="宋体" w:eastAsia="宋体" w:cs="Times New Roman"/>
          <w:color w:val="auto"/>
          <w:kern w:val="2"/>
          <w:sz w:val="24"/>
          <w:szCs w:val="24"/>
          <w:highlight w:val="none"/>
          <w:u w:val="none"/>
          <w:lang w:val="en-US" w:eastAsia="zh-CN" w:bidi="ar-SA"/>
        </w:rPr>
      </w:pPr>
      <w:r>
        <w:rPr>
          <w:rFonts w:hint="eastAsia" w:ascii="宋体" w:hAnsi="宋体" w:cs="Times New Roman"/>
          <w:color w:val="auto"/>
          <w:kern w:val="2"/>
          <w:sz w:val="24"/>
          <w:szCs w:val="24"/>
          <w:highlight w:val="none"/>
          <w:u w:val="none"/>
          <w:lang w:val="en-US" w:eastAsia="zh-CN" w:bidi="ar-SA"/>
        </w:rPr>
        <w:t>4</w:t>
      </w:r>
      <w:r>
        <w:rPr>
          <w:rFonts w:hint="eastAsia" w:ascii="宋体" w:hAnsi="宋体" w:eastAsia="宋体" w:cs="Times New Roman"/>
          <w:color w:val="auto"/>
          <w:kern w:val="2"/>
          <w:sz w:val="24"/>
          <w:szCs w:val="24"/>
          <w:highlight w:val="none"/>
          <w:u w:val="none"/>
          <w:lang w:val="en-US" w:eastAsia="zh-CN" w:bidi="ar-SA"/>
        </w:rPr>
        <w:t>.</w:t>
      </w:r>
      <w:r>
        <w:rPr>
          <w:rFonts w:hint="eastAsia" w:ascii="宋体" w:hAnsi="宋体" w:cs="Times New Roman"/>
          <w:color w:val="auto"/>
          <w:kern w:val="2"/>
          <w:sz w:val="24"/>
          <w:szCs w:val="24"/>
          <w:highlight w:val="none"/>
          <w:u w:val="none"/>
          <w:lang w:val="en-US" w:eastAsia="zh-CN" w:bidi="ar-SA"/>
        </w:rPr>
        <w:t>2</w:t>
      </w:r>
      <w:r>
        <w:rPr>
          <w:rFonts w:hint="eastAsia" w:ascii="宋体" w:hAnsi="宋体" w:eastAsia="宋体" w:cs="Times New Roman"/>
          <w:color w:val="auto"/>
          <w:kern w:val="2"/>
          <w:sz w:val="24"/>
          <w:szCs w:val="24"/>
          <w:highlight w:val="none"/>
          <w:u w:val="none"/>
          <w:lang w:val="en-US" w:eastAsia="zh-CN" w:bidi="ar-SA"/>
        </w:rPr>
        <w:t>.1 根据国务院的《建设工程质量管理条例》第三十二条规定：施工单位对施工中出现质量问题的建设工程或者竣工验收不合格的建设工程，应当负责返修。</w:t>
      </w:r>
    </w:p>
    <w:p w14:paraId="15AB666A">
      <w:pPr>
        <w:spacing w:line="360" w:lineRule="auto"/>
        <w:rPr>
          <w:rFonts w:hint="eastAsia" w:ascii="宋体" w:hAnsi="宋体" w:eastAsia="宋体" w:cs="Times New Roman"/>
          <w:color w:val="auto"/>
          <w:kern w:val="2"/>
          <w:sz w:val="24"/>
          <w:szCs w:val="24"/>
          <w:highlight w:val="none"/>
          <w:u w:val="none"/>
          <w:lang w:val="en-US" w:eastAsia="zh-CN" w:bidi="ar-SA"/>
        </w:rPr>
      </w:pPr>
      <w:r>
        <w:rPr>
          <w:rFonts w:hint="eastAsia" w:ascii="宋体" w:hAnsi="宋体" w:cs="Times New Roman"/>
          <w:color w:val="auto"/>
          <w:kern w:val="2"/>
          <w:sz w:val="24"/>
          <w:szCs w:val="24"/>
          <w:highlight w:val="none"/>
          <w:u w:val="none"/>
          <w:lang w:val="en-US" w:eastAsia="zh-CN" w:bidi="ar-SA"/>
        </w:rPr>
        <w:t>4</w:t>
      </w:r>
      <w:r>
        <w:rPr>
          <w:rFonts w:hint="eastAsia" w:ascii="宋体" w:hAnsi="宋体" w:eastAsia="宋体" w:cs="Times New Roman"/>
          <w:color w:val="auto"/>
          <w:kern w:val="2"/>
          <w:sz w:val="24"/>
          <w:szCs w:val="24"/>
          <w:highlight w:val="none"/>
          <w:u w:val="none"/>
          <w:lang w:val="en-US" w:eastAsia="zh-CN" w:bidi="ar-SA"/>
        </w:rPr>
        <w:t>.</w:t>
      </w:r>
      <w:r>
        <w:rPr>
          <w:rFonts w:hint="eastAsia" w:ascii="宋体" w:hAnsi="宋体" w:cs="Times New Roman"/>
          <w:color w:val="auto"/>
          <w:kern w:val="2"/>
          <w:sz w:val="24"/>
          <w:szCs w:val="24"/>
          <w:highlight w:val="none"/>
          <w:u w:val="none"/>
          <w:lang w:val="en-US" w:eastAsia="zh-CN" w:bidi="ar-SA"/>
        </w:rPr>
        <w:t>2</w:t>
      </w:r>
      <w:r>
        <w:rPr>
          <w:rFonts w:hint="eastAsia" w:ascii="宋体" w:hAnsi="宋体" w:eastAsia="宋体" w:cs="Times New Roman"/>
          <w:color w:val="auto"/>
          <w:kern w:val="2"/>
          <w:sz w:val="24"/>
          <w:szCs w:val="24"/>
          <w:highlight w:val="none"/>
          <w:u w:val="none"/>
          <w:lang w:val="en-US" w:eastAsia="zh-CN" w:bidi="ar-SA"/>
        </w:rPr>
        <w:t>.2 基础设施工程、房屋建筑的地基基础工程和主体结构工程，为设计文件规定的该工程的合理使用年限。</w:t>
      </w:r>
    </w:p>
    <w:p w14:paraId="049994F3">
      <w:pPr>
        <w:spacing w:line="360" w:lineRule="auto"/>
        <w:rPr>
          <w:rFonts w:hint="eastAsia" w:ascii="宋体" w:hAnsi="宋体" w:eastAsia="宋体" w:cs="Times New Roman"/>
          <w:color w:val="auto"/>
          <w:kern w:val="2"/>
          <w:sz w:val="24"/>
          <w:szCs w:val="24"/>
          <w:highlight w:val="none"/>
          <w:u w:val="none"/>
          <w:lang w:val="en-US" w:eastAsia="zh-CN" w:bidi="ar-SA"/>
        </w:rPr>
      </w:pPr>
      <w:r>
        <w:rPr>
          <w:rFonts w:hint="eastAsia" w:ascii="宋体" w:hAnsi="宋体" w:cs="Times New Roman"/>
          <w:color w:val="auto"/>
          <w:kern w:val="2"/>
          <w:sz w:val="24"/>
          <w:szCs w:val="24"/>
          <w:highlight w:val="none"/>
          <w:u w:val="none"/>
          <w:lang w:val="en-US" w:eastAsia="zh-CN" w:bidi="ar-SA"/>
        </w:rPr>
        <w:t>4</w:t>
      </w:r>
      <w:r>
        <w:rPr>
          <w:rFonts w:hint="eastAsia" w:ascii="宋体" w:hAnsi="宋体" w:eastAsia="宋体" w:cs="Times New Roman"/>
          <w:color w:val="auto"/>
          <w:kern w:val="2"/>
          <w:sz w:val="24"/>
          <w:szCs w:val="24"/>
          <w:highlight w:val="none"/>
          <w:u w:val="none"/>
          <w:lang w:val="en-US" w:eastAsia="zh-CN" w:bidi="ar-SA"/>
        </w:rPr>
        <w:t>.</w:t>
      </w:r>
      <w:r>
        <w:rPr>
          <w:rFonts w:hint="eastAsia" w:ascii="宋体" w:hAnsi="宋体" w:cs="Times New Roman"/>
          <w:color w:val="auto"/>
          <w:kern w:val="2"/>
          <w:sz w:val="24"/>
          <w:szCs w:val="24"/>
          <w:highlight w:val="none"/>
          <w:u w:val="none"/>
          <w:lang w:val="en-US" w:eastAsia="zh-CN" w:bidi="ar-SA"/>
        </w:rPr>
        <w:t>2</w:t>
      </w:r>
      <w:r>
        <w:rPr>
          <w:rFonts w:hint="eastAsia" w:ascii="宋体" w:hAnsi="宋体" w:eastAsia="宋体" w:cs="Times New Roman"/>
          <w:color w:val="auto"/>
          <w:kern w:val="2"/>
          <w:sz w:val="24"/>
          <w:szCs w:val="24"/>
          <w:highlight w:val="none"/>
          <w:u w:val="none"/>
          <w:lang w:val="en-US" w:eastAsia="zh-CN" w:bidi="ar-SA"/>
        </w:rPr>
        <w:t>.3 屋面防水工程、有防水要求的卫生间、房间和外墙面的防渗漏，为5年。</w:t>
      </w:r>
    </w:p>
    <w:p w14:paraId="028EF049">
      <w:pPr>
        <w:spacing w:line="360" w:lineRule="auto"/>
        <w:rPr>
          <w:rFonts w:hint="eastAsia" w:ascii="宋体" w:hAnsi="宋体" w:eastAsia="宋体" w:cs="Times New Roman"/>
          <w:color w:val="auto"/>
          <w:kern w:val="2"/>
          <w:sz w:val="24"/>
          <w:szCs w:val="24"/>
          <w:highlight w:val="none"/>
          <w:u w:val="none"/>
          <w:lang w:val="en-US" w:eastAsia="zh-CN" w:bidi="ar-SA"/>
        </w:rPr>
      </w:pPr>
      <w:r>
        <w:rPr>
          <w:rFonts w:hint="eastAsia" w:ascii="宋体" w:hAnsi="宋体" w:cs="Times New Roman"/>
          <w:color w:val="auto"/>
          <w:kern w:val="2"/>
          <w:sz w:val="24"/>
          <w:szCs w:val="24"/>
          <w:highlight w:val="none"/>
          <w:u w:val="none"/>
          <w:lang w:val="en-US" w:eastAsia="zh-CN" w:bidi="ar-SA"/>
        </w:rPr>
        <w:t>4</w:t>
      </w:r>
      <w:r>
        <w:rPr>
          <w:rFonts w:hint="eastAsia" w:ascii="宋体" w:hAnsi="宋体" w:eastAsia="宋体" w:cs="Times New Roman"/>
          <w:color w:val="auto"/>
          <w:kern w:val="2"/>
          <w:sz w:val="24"/>
          <w:szCs w:val="24"/>
          <w:highlight w:val="none"/>
          <w:u w:val="none"/>
          <w:lang w:val="en-US" w:eastAsia="zh-CN" w:bidi="ar-SA"/>
        </w:rPr>
        <w:t>.</w:t>
      </w:r>
      <w:r>
        <w:rPr>
          <w:rFonts w:hint="eastAsia" w:ascii="宋体" w:hAnsi="宋体" w:cs="Times New Roman"/>
          <w:color w:val="auto"/>
          <w:kern w:val="2"/>
          <w:sz w:val="24"/>
          <w:szCs w:val="24"/>
          <w:highlight w:val="none"/>
          <w:u w:val="none"/>
          <w:lang w:val="en-US" w:eastAsia="zh-CN" w:bidi="ar-SA"/>
        </w:rPr>
        <w:t>2</w:t>
      </w:r>
      <w:r>
        <w:rPr>
          <w:rFonts w:hint="eastAsia" w:ascii="宋体" w:hAnsi="宋体" w:eastAsia="宋体" w:cs="Times New Roman"/>
          <w:color w:val="auto"/>
          <w:kern w:val="2"/>
          <w:sz w:val="24"/>
          <w:szCs w:val="24"/>
          <w:highlight w:val="none"/>
          <w:u w:val="none"/>
          <w:lang w:val="en-US" w:eastAsia="zh-CN" w:bidi="ar-SA"/>
        </w:rPr>
        <w:t>.4 供热与供冷系统，为2个采暖期、供冷期。</w:t>
      </w:r>
    </w:p>
    <w:p w14:paraId="14EF9DD6">
      <w:pPr>
        <w:spacing w:line="360" w:lineRule="auto"/>
        <w:rPr>
          <w:rFonts w:hint="eastAsia" w:ascii="宋体" w:hAnsi="宋体" w:eastAsia="宋体" w:cs="Times New Roman"/>
          <w:color w:val="auto"/>
          <w:kern w:val="2"/>
          <w:sz w:val="24"/>
          <w:szCs w:val="24"/>
          <w:highlight w:val="none"/>
          <w:u w:val="none"/>
          <w:lang w:val="en-US" w:eastAsia="zh-CN" w:bidi="ar-SA"/>
        </w:rPr>
      </w:pPr>
      <w:r>
        <w:rPr>
          <w:rFonts w:hint="eastAsia" w:ascii="宋体" w:hAnsi="宋体" w:cs="Times New Roman"/>
          <w:color w:val="auto"/>
          <w:kern w:val="2"/>
          <w:sz w:val="24"/>
          <w:szCs w:val="24"/>
          <w:highlight w:val="none"/>
          <w:u w:val="none"/>
          <w:lang w:val="en-US" w:eastAsia="zh-CN" w:bidi="ar-SA"/>
        </w:rPr>
        <w:t>4</w:t>
      </w:r>
      <w:r>
        <w:rPr>
          <w:rFonts w:hint="eastAsia" w:ascii="宋体" w:hAnsi="宋体" w:eastAsia="宋体" w:cs="Times New Roman"/>
          <w:color w:val="auto"/>
          <w:kern w:val="2"/>
          <w:sz w:val="24"/>
          <w:szCs w:val="24"/>
          <w:highlight w:val="none"/>
          <w:u w:val="none"/>
          <w:lang w:val="en-US" w:eastAsia="zh-CN" w:bidi="ar-SA"/>
        </w:rPr>
        <w:t>.</w:t>
      </w:r>
      <w:r>
        <w:rPr>
          <w:rFonts w:hint="eastAsia" w:ascii="宋体" w:hAnsi="宋体" w:cs="Times New Roman"/>
          <w:color w:val="auto"/>
          <w:kern w:val="2"/>
          <w:sz w:val="24"/>
          <w:szCs w:val="24"/>
          <w:highlight w:val="none"/>
          <w:u w:val="none"/>
          <w:lang w:val="en-US" w:eastAsia="zh-CN" w:bidi="ar-SA"/>
        </w:rPr>
        <w:t>2</w:t>
      </w:r>
      <w:r>
        <w:rPr>
          <w:rFonts w:hint="eastAsia" w:ascii="宋体" w:hAnsi="宋体" w:eastAsia="宋体" w:cs="Times New Roman"/>
          <w:color w:val="auto"/>
          <w:kern w:val="2"/>
          <w:sz w:val="24"/>
          <w:szCs w:val="24"/>
          <w:highlight w:val="none"/>
          <w:u w:val="none"/>
          <w:lang w:val="en-US" w:eastAsia="zh-CN" w:bidi="ar-SA"/>
        </w:rPr>
        <w:t>.5 电气管线、给排水管道、设备安装和装修工程，为2年，本项目质保期为2年。</w:t>
      </w:r>
    </w:p>
    <w:p w14:paraId="313B27CF">
      <w:pPr>
        <w:spacing w:line="360" w:lineRule="auto"/>
        <w:rPr>
          <w:rFonts w:hint="eastAsia" w:ascii="宋体" w:hAnsi="宋体" w:eastAsia="宋体" w:cs="Times New Roman"/>
          <w:color w:val="auto"/>
          <w:kern w:val="2"/>
          <w:sz w:val="24"/>
          <w:szCs w:val="24"/>
          <w:highlight w:val="none"/>
          <w:u w:val="none"/>
          <w:lang w:val="en-US" w:eastAsia="zh-CN" w:bidi="ar-SA"/>
        </w:rPr>
      </w:pPr>
      <w:r>
        <w:rPr>
          <w:rFonts w:hint="eastAsia" w:ascii="宋体" w:hAnsi="宋体" w:cs="Times New Roman"/>
          <w:color w:val="auto"/>
          <w:kern w:val="2"/>
          <w:sz w:val="24"/>
          <w:szCs w:val="24"/>
          <w:highlight w:val="none"/>
          <w:u w:val="none"/>
          <w:lang w:val="en-US" w:eastAsia="zh-CN" w:bidi="ar-SA"/>
        </w:rPr>
        <w:t>4</w:t>
      </w:r>
      <w:r>
        <w:rPr>
          <w:rFonts w:hint="eastAsia" w:ascii="宋体" w:hAnsi="宋体" w:eastAsia="宋体" w:cs="Times New Roman"/>
          <w:color w:val="auto"/>
          <w:kern w:val="2"/>
          <w:sz w:val="24"/>
          <w:szCs w:val="24"/>
          <w:highlight w:val="none"/>
          <w:u w:val="none"/>
          <w:lang w:val="en-US" w:eastAsia="zh-CN" w:bidi="ar-SA"/>
        </w:rPr>
        <w:t>.</w:t>
      </w:r>
      <w:r>
        <w:rPr>
          <w:rFonts w:hint="eastAsia" w:ascii="宋体" w:hAnsi="宋体" w:cs="Times New Roman"/>
          <w:color w:val="auto"/>
          <w:kern w:val="2"/>
          <w:sz w:val="24"/>
          <w:szCs w:val="24"/>
          <w:highlight w:val="none"/>
          <w:u w:val="none"/>
          <w:lang w:val="en-US" w:eastAsia="zh-CN" w:bidi="ar-SA"/>
        </w:rPr>
        <w:t>2</w:t>
      </w:r>
      <w:r>
        <w:rPr>
          <w:rFonts w:hint="eastAsia" w:ascii="宋体" w:hAnsi="宋体" w:eastAsia="宋体" w:cs="Times New Roman"/>
          <w:color w:val="auto"/>
          <w:kern w:val="2"/>
          <w:sz w:val="24"/>
          <w:szCs w:val="24"/>
          <w:highlight w:val="none"/>
          <w:u w:val="none"/>
          <w:lang w:val="en-US" w:eastAsia="zh-CN" w:bidi="ar-SA"/>
        </w:rPr>
        <w:t>.6 根据国务院的《建设工程质量管理条例》第四十一条规定：建设工程在保修范围和保修期限内发生质量问题的，施工单位应当履行保修义务，并对造成的损失承担赔偿责任。</w:t>
      </w:r>
    </w:p>
    <w:p w14:paraId="06A7746B">
      <w:pPr>
        <w:spacing w:line="360" w:lineRule="auto"/>
        <w:rPr>
          <w:rFonts w:hint="eastAsia" w:ascii="宋体" w:hAnsi="宋体" w:eastAsia="宋体" w:cs="Times New Roman"/>
          <w:color w:val="auto"/>
          <w:kern w:val="2"/>
          <w:sz w:val="24"/>
          <w:szCs w:val="24"/>
          <w:highlight w:val="none"/>
          <w:u w:val="none"/>
          <w:lang w:val="en-US" w:eastAsia="zh-CN" w:bidi="ar-SA"/>
        </w:rPr>
      </w:pPr>
      <w:r>
        <w:rPr>
          <w:rFonts w:hint="eastAsia" w:ascii="宋体" w:hAnsi="宋体" w:cs="Times New Roman"/>
          <w:color w:val="auto"/>
          <w:kern w:val="2"/>
          <w:sz w:val="24"/>
          <w:szCs w:val="24"/>
          <w:highlight w:val="none"/>
          <w:u w:val="none"/>
          <w:lang w:val="en-US" w:eastAsia="zh-CN" w:bidi="ar-SA"/>
        </w:rPr>
        <w:t>4</w:t>
      </w:r>
      <w:r>
        <w:rPr>
          <w:rFonts w:hint="eastAsia" w:ascii="宋体" w:hAnsi="宋体" w:eastAsia="宋体" w:cs="Times New Roman"/>
          <w:color w:val="auto"/>
          <w:kern w:val="2"/>
          <w:sz w:val="24"/>
          <w:szCs w:val="24"/>
          <w:highlight w:val="none"/>
          <w:u w:val="none"/>
          <w:lang w:val="en-US" w:eastAsia="zh-CN" w:bidi="ar-SA"/>
        </w:rPr>
        <w:t>.</w:t>
      </w:r>
      <w:r>
        <w:rPr>
          <w:rFonts w:hint="eastAsia" w:ascii="宋体" w:hAnsi="宋体" w:cs="Times New Roman"/>
          <w:color w:val="auto"/>
          <w:kern w:val="2"/>
          <w:sz w:val="24"/>
          <w:szCs w:val="24"/>
          <w:highlight w:val="none"/>
          <w:u w:val="none"/>
          <w:lang w:val="en-US" w:eastAsia="zh-CN" w:bidi="ar-SA"/>
        </w:rPr>
        <w:t>3</w:t>
      </w:r>
      <w:r>
        <w:rPr>
          <w:rFonts w:hint="eastAsia" w:ascii="宋体" w:hAnsi="宋体" w:eastAsia="宋体" w:cs="Times New Roman"/>
          <w:color w:val="auto"/>
          <w:kern w:val="2"/>
          <w:sz w:val="24"/>
          <w:szCs w:val="24"/>
          <w:highlight w:val="none"/>
          <w:u w:val="none"/>
          <w:lang w:val="en-US" w:eastAsia="zh-CN" w:bidi="ar-SA"/>
        </w:rPr>
        <w:t xml:space="preserve"> 修复通知</w:t>
      </w:r>
    </w:p>
    <w:p w14:paraId="4F941F21">
      <w:pPr>
        <w:spacing w:line="360" w:lineRule="auto"/>
        <w:rPr>
          <w:rFonts w:hint="eastAsia" w:ascii="宋体" w:hAnsi="宋体" w:eastAsia="宋体" w:cs="Times New Roman"/>
          <w:color w:val="auto"/>
          <w:kern w:val="2"/>
          <w:sz w:val="24"/>
          <w:szCs w:val="24"/>
          <w:highlight w:val="none"/>
          <w:u w:val="none"/>
          <w:lang w:val="en-US" w:eastAsia="zh-CN" w:bidi="ar-SA"/>
        </w:rPr>
      </w:pPr>
      <w:r>
        <w:rPr>
          <w:rFonts w:hint="eastAsia" w:ascii="宋体" w:hAnsi="宋体" w:eastAsia="宋体" w:cs="Times New Roman"/>
          <w:color w:val="auto"/>
          <w:kern w:val="2"/>
          <w:sz w:val="24"/>
          <w:szCs w:val="24"/>
          <w:highlight w:val="none"/>
          <w:u w:val="none"/>
          <w:lang w:val="en-US" w:eastAsia="zh-CN" w:bidi="ar-SA"/>
        </w:rPr>
        <w:t>保修期内，出现质量问题，承包方在接到发包人通知必须立即组织人员进场维修，响应时间（到现场）不得大于4小时，一般质量维修需在3天内维修完毕，严重质量问题需在接到发包人通知后3天内拿出维修方案（须经发包人认可），按维修方案进行维修。若承包方未按约定时间到场，发包人有权自行组织修复或委托第三方修复，发生的修理费用从承包方</w:t>
      </w:r>
      <w:r>
        <w:rPr>
          <w:rFonts w:hint="eastAsia" w:ascii="宋体" w:hAnsi="宋体" w:cs="Times New Roman"/>
          <w:color w:val="auto"/>
          <w:kern w:val="2"/>
          <w:sz w:val="24"/>
          <w:szCs w:val="24"/>
          <w:highlight w:val="none"/>
          <w:u w:val="none"/>
          <w:lang w:val="en-US" w:eastAsia="zh-CN" w:bidi="ar-SA"/>
        </w:rPr>
        <w:t>负责</w:t>
      </w:r>
      <w:r>
        <w:rPr>
          <w:rFonts w:hint="eastAsia" w:ascii="宋体" w:hAnsi="宋体" w:eastAsia="宋体" w:cs="Times New Roman"/>
          <w:color w:val="auto"/>
          <w:kern w:val="2"/>
          <w:sz w:val="24"/>
          <w:szCs w:val="24"/>
          <w:highlight w:val="none"/>
          <w:u w:val="none"/>
          <w:lang w:val="en-US" w:eastAsia="zh-CN" w:bidi="ar-SA"/>
        </w:rPr>
        <w:t>，并视具体情况追究承包方延误维修时间造成的直接损失。</w:t>
      </w:r>
    </w:p>
    <w:p w14:paraId="0E881E96">
      <w:pPr>
        <w:spacing w:line="360" w:lineRule="auto"/>
        <w:rPr>
          <w:rFonts w:hint="eastAsia" w:ascii="宋体" w:hAnsi="宋体" w:eastAsia="宋体" w:cs="Times New Roman"/>
          <w:color w:val="auto"/>
          <w:kern w:val="2"/>
          <w:sz w:val="24"/>
          <w:szCs w:val="24"/>
          <w:highlight w:val="none"/>
          <w:u w:val="none"/>
          <w:lang w:val="en-US" w:eastAsia="zh-CN" w:bidi="ar-SA"/>
        </w:rPr>
      </w:pPr>
      <w:r>
        <w:rPr>
          <w:rFonts w:hint="eastAsia" w:ascii="宋体" w:hAnsi="宋体" w:cs="Times New Roman"/>
          <w:color w:val="auto"/>
          <w:kern w:val="2"/>
          <w:sz w:val="24"/>
          <w:szCs w:val="24"/>
          <w:highlight w:val="none"/>
          <w:u w:val="none"/>
          <w:lang w:val="en-US" w:eastAsia="zh-CN" w:bidi="ar-SA"/>
        </w:rPr>
        <w:t>4</w:t>
      </w:r>
      <w:r>
        <w:rPr>
          <w:rFonts w:hint="eastAsia" w:ascii="宋体" w:hAnsi="宋体" w:eastAsia="宋体" w:cs="Times New Roman"/>
          <w:color w:val="auto"/>
          <w:kern w:val="2"/>
          <w:sz w:val="24"/>
          <w:szCs w:val="24"/>
          <w:highlight w:val="none"/>
          <w:u w:val="none"/>
          <w:lang w:val="en-US" w:eastAsia="zh-CN" w:bidi="ar-SA"/>
        </w:rPr>
        <w:t>.</w:t>
      </w:r>
      <w:r>
        <w:rPr>
          <w:rFonts w:hint="eastAsia" w:ascii="宋体" w:hAnsi="宋体" w:cs="Times New Roman"/>
          <w:color w:val="auto"/>
          <w:kern w:val="2"/>
          <w:sz w:val="24"/>
          <w:szCs w:val="24"/>
          <w:highlight w:val="none"/>
          <w:u w:val="none"/>
          <w:lang w:val="en-US" w:eastAsia="zh-CN" w:bidi="ar-SA"/>
        </w:rPr>
        <w:t>3</w:t>
      </w:r>
      <w:r>
        <w:rPr>
          <w:rFonts w:hint="eastAsia" w:ascii="宋体" w:hAnsi="宋体" w:eastAsia="宋体" w:cs="Times New Roman"/>
          <w:color w:val="auto"/>
          <w:kern w:val="2"/>
          <w:sz w:val="24"/>
          <w:szCs w:val="24"/>
          <w:highlight w:val="none"/>
          <w:u w:val="none"/>
          <w:lang w:val="en-US" w:eastAsia="zh-CN" w:bidi="ar-SA"/>
        </w:rPr>
        <w:t>.1本项目保修期执行《建设工程质量管理条例》及浙江省、宁波市相关保修规定。</w:t>
      </w:r>
    </w:p>
    <w:p w14:paraId="51E26EFE">
      <w:pPr>
        <w:spacing w:line="360" w:lineRule="auto"/>
        <w:rPr>
          <w:rFonts w:hint="eastAsia" w:ascii="宋体" w:hAnsi="宋体" w:eastAsia="宋体" w:cs="Times New Roman"/>
          <w:color w:val="auto"/>
          <w:kern w:val="2"/>
          <w:sz w:val="24"/>
          <w:szCs w:val="24"/>
          <w:highlight w:val="none"/>
          <w:u w:val="none"/>
          <w:lang w:val="en-US" w:eastAsia="zh-CN" w:bidi="ar-SA"/>
        </w:rPr>
      </w:pPr>
      <w:r>
        <w:rPr>
          <w:rFonts w:hint="eastAsia" w:ascii="宋体" w:hAnsi="宋体" w:cs="Times New Roman"/>
          <w:color w:val="auto"/>
          <w:kern w:val="2"/>
          <w:sz w:val="24"/>
          <w:szCs w:val="24"/>
          <w:highlight w:val="none"/>
          <w:u w:val="none"/>
          <w:lang w:val="en-US" w:eastAsia="zh-CN" w:bidi="ar-SA"/>
        </w:rPr>
        <w:t>4</w:t>
      </w:r>
      <w:r>
        <w:rPr>
          <w:rFonts w:hint="eastAsia" w:ascii="宋体" w:hAnsi="宋体" w:eastAsia="宋体" w:cs="Times New Roman"/>
          <w:color w:val="auto"/>
          <w:kern w:val="2"/>
          <w:sz w:val="24"/>
          <w:szCs w:val="24"/>
          <w:highlight w:val="none"/>
          <w:u w:val="none"/>
          <w:lang w:val="en-US" w:eastAsia="zh-CN" w:bidi="ar-SA"/>
        </w:rPr>
        <w:t>.</w:t>
      </w:r>
      <w:r>
        <w:rPr>
          <w:rFonts w:hint="eastAsia" w:ascii="宋体" w:hAnsi="宋体" w:cs="Times New Roman"/>
          <w:color w:val="auto"/>
          <w:kern w:val="2"/>
          <w:sz w:val="24"/>
          <w:szCs w:val="24"/>
          <w:highlight w:val="none"/>
          <w:u w:val="none"/>
          <w:lang w:val="en-US" w:eastAsia="zh-CN" w:bidi="ar-SA"/>
        </w:rPr>
        <w:t>3</w:t>
      </w:r>
      <w:r>
        <w:rPr>
          <w:rFonts w:hint="eastAsia" w:ascii="宋体" w:hAnsi="宋体" w:eastAsia="宋体" w:cs="Times New Roman"/>
          <w:color w:val="auto"/>
          <w:kern w:val="2"/>
          <w:sz w:val="24"/>
          <w:szCs w:val="24"/>
          <w:highlight w:val="none"/>
          <w:u w:val="none"/>
          <w:lang w:val="en-US" w:eastAsia="zh-CN" w:bidi="ar-SA"/>
        </w:rPr>
        <w:t>.2本工程保修期</w:t>
      </w:r>
      <w:r>
        <w:rPr>
          <w:rFonts w:hint="eastAsia" w:ascii="宋体" w:hAnsi="宋体" w:cs="Times New Roman"/>
          <w:color w:val="auto"/>
          <w:kern w:val="2"/>
          <w:sz w:val="24"/>
          <w:szCs w:val="24"/>
          <w:highlight w:val="none"/>
          <w:u w:val="none"/>
          <w:lang w:val="en-US" w:eastAsia="zh-CN" w:bidi="ar-SA"/>
        </w:rPr>
        <w:t>为</w:t>
      </w:r>
      <w:r>
        <w:rPr>
          <w:rFonts w:hint="eastAsia" w:ascii="宋体" w:hAnsi="宋体" w:eastAsia="宋体" w:cs="Times New Roman"/>
          <w:color w:val="auto"/>
          <w:kern w:val="2"/>
          <w:sz w:val="24"/>
          <w:szCs w:val="24"/>
          <w:highlight w:val="none"/>
          <w:u w:val="none"/>
          <w:lang w:val="en-US" w:eastAsia="zh-CN" w:bidi="ar-SA"/>
        </w:rPr>
        <w:t>《工程质量保修书》所约定的期间，保修期始于项目正式竣工验收合格的日期。在保修期内承包方应无偿对项目进行修理。</w:t>
      </w:r>
    </w:p>
    <w:p w14:paraId="7614F0D6">
      <w:pPr>
        <w:spacing w:line="360" w:lineRule="auto"/>
        <w:rPr>
          <w:rFonts w:hint="eastAsia" w:ascii="宋体" w:hAnsi="宋体" w:eastAsia="宋体" w:cs="Times New Roman"/>
          <w:color w:val="auto"/>
          <w:kern w:val="2"/>
          <w:sz w:val="24"/>
          <w:szCs w:val="24"/>
          <w:highlight w:val="none"/>
          <w:u w:val="none"/>
          <w:lang w:val="en-US" w:eastAsia="zh-CN" w:bidi="ar-SA"/>
        </w:rPr>
      </w:pPr>
      <w:r>
        <w:rPr>
          <w:rFonts w:hint="eastAsia" w:ascii="宋体" w:hAnsi="宋体" w:cs="Times New Roman"/>
          <w:color w:val="auto"/>
          <w:kern w:val="2"/>
          <w:sz w:val="24"/>
          <w:szCs w:val="24"/>
          <w:highlight w:val="none"/>
          <w:u w:val="none"/>
          <w:lang w:val="en-US" w:eastAsia="zh-CN" w:bidi="ar-SA"/>
        </w:rPr>
        <w:t>4</w:t>
      </w:r>
      <w:r>
        <w:rPr>
          <w:rFonts w:hint="eastAsia" w:ascii="宋体" w:hAnsi="宋体" w:eastAsia="宋体" w:cs="Times New Roman"/>
          <w:color w:val="auto"/>
          <w:kern w:val="2"/>
          <w:sz w:val="24"/>
          <w:szCs w:val="24"/>
          <w:highlight w:val="none"/>
          <w:u w:val="none"/>
          <w:lang w:val="en-US" w:eastAsia="zh-CN" w:bidi="ar-SA"/>
        </w:rPr>
        <w:t>.</w:t>
      </w:r>
      <w:r>
        <w:rPr>
          <w:rFonts w:hint="eastAsia" w:ascii="宋体" w:hAnsi="宋体" w:cs="Times New Roman"/>
          <w:color w:val="auto"/>
          <w:kern w:val="2"/>
          <w:sz w:val="24"/>
          <w:szCs w:val="24"/>
          <w:highlight w:val="none"/>
          <w:u w:val="none"/>
          <w:lang w:val="en-US" w:eastAsia="zh-CN" w:bidi="ar-SA"/>
        </w:rPr>
        <w:t>3</w:t>
      </w:r>
      <w:r>
        <w:rPr>
          <w:rFonts w:hint="eastAsia" w:ascii="宋体" w:hAnsi="宋体" w:eastAsia="宋体" w:cs="Times New Roman"/>
          <w:color w:val="auto"/>
          <w:kern w:val="2"/>
          <w:sz w:val="24"/>
          <w:szCs w:val="24"/>
          <w:highlight w:val="none"/>
          <w:u w:val="none"/>
          <w:lang w:val="en-US" w:eastAsia="zh-CN" w:bidi="ar-SA"/>
        </w:rPr>
        <w:t>.3在保修期内，接到发包人指令后，及时赶到现场并采取切实可行的措施进行抢险抢修，完成相关维修工作内容，否则发包人有权采取一切措施自行完成，相关费用由承包方承担，并扣罚该分部工程保修费。</w:t>
      </w:r>
    </w:p>
    <w:p w14:paraId="2726C4B3">
      <w:pPr>
        <w:spacing w:line="360" w:lineRule="auto"/>
        <w:rPr>
          <w:rFonts w:hint="eastAsia" w:ascii="宋体" w:hAnsi="宋体" w:eastAsia="宋体" w:cs="Times New Roman"/>
          <w:color w:val="auto"/>
          <w:kern w:val="2"/>
          <w:sz w:val="24"/>
          <w:szCs w:val="24"/>
          <w:highlight w:val="none"/>
          <w:u w:val="none"/>
          <w:lang w:val="en-US" w:eastAsia="zh-CN" w:bidi="ar-SA"/>
        </w:rPr>
      </w:pPr>
      <w:r>
        <w:rPr>
          <w:rFonts w:hint="eastAsia" w:ascii="宋体" w:hAnsi="宋体" w:cs="Times New Roman"/>
          <w:color w:val="auto"/>
          <w:kern w:val="2"/>
          <w:sz w:val="24"/>
          <w:szCs w:val="24"/>
          <w:highlight w:val="none"/>
          <w:u w:val="none"/>
          <w:lang w:val="en-US" w:eastAsia="zh-CN" w:bidi="ar-SA"/>
        </w:rPr>
        <w:t>4</w:t>
      </w:r>
      <w:r>
        <w:rPr>
          <w:rFonts w:hint="eastAsia" w:ascii="宋体" w:hAnsi="宋体" w:eastAsia="宋体" w:cs="Times New Roman"/>
          <w:color w:val="auto"/>
          <w:kern w:val="2"/>
          <w:sz w:val="24"/>
          <w:szCs w:val="24"/>
          <w:highlight w:val="none"/>
          <w:u w:val="none"/>
          <w:lang w:val="en-US" w:eastAsia="zh-CN" w:bidi="ar-SA"/>
        </w:rPr>
        <w:t>.</w:t>
      </w:r>
      <w:r>
        <w:rPr>
          <w:rFonts w:hint="eastAsia" w:ascii="宋体" w:hAnsi="宋体" w:cs="Times New Roman"/>
          <w:color w:val="auto"/>
          <w:kern w:val="2"/>
          <w:sz w:val="24"/>
          <w:szCs w:val="24"/>
          <w:highlight w:val="none"/>
          <w:u w:val="none"/>
          <w:lang w:val="en-US" w:eastAsia="zh-CN" w:bidi="ar-SA"/>
        </w:rPr>
        <w:t>3</w:t>
      </w:r>
      <w:r>
        <w:rPr>
          <w:rFonts w:hint="eastAsia" w:ascii="宋体" w:hAnsi="宋体" w:eastAsia="宋体" w:cs="Times New Roman"/>
          <w:color w:val="auto"/>
          <w:kern w:val="2"/>
          <w:sz w:val="24"/>
          <w:szCs w:val="24"/>
          <w:highlight w:val="none"/>
          <w:u w:val="none"/>
          <w:lang w:val="en-US" w:eastAsia="zh-CN" w:bidi="ar-SA"/>
        </w:rPr>
        <w:t>.4若因维修人员不到位，保修金不予退还，影响恶劣的，发包人有权向承包方索赔，且由此所造成的一切损失由承包方负责。</w:t>
      </w:r>
    </w:p>
    <w:p w14:paraId="2EAF55E3">
      <w:pPr>
        <w:numPr>
          <w:ilvl w:val="0"/>
          <w:numId w:val="3"/>
        </w:numPr>
        <w:spacing w:line="360" w:lineRule="auto"/>
        <w:ind w:firstLine="0" w:firstLineChars="0"/>
        <w:jc w:val="left"/>
        <w:rPr>
          <w:rFonts w:hint="eastAsia" w:ascii="宋体" w:hAnsi="宋体" w:cs="仿宋_GB2312"/>
          <w:color w:val="auto"/>
          <w:sz w:val="24"/>
          <w:highlight w:val="none"/>
          <w:lang w:val="en-US" w:eastAsia="zh-CN"/>
        </w:rPr>
      </w:pPr>
      <w:r>
        <w:rPr>
          <w:rFonts w:hint="eastAsia" w:ascii="宋体" w:hAnsi="宋体" w:cs="仿宋_GB2312"/>
          <w:color w:val="auto"/>
          <w:sz w:val="24"/>
          <w:highlight w:val="none"/>
          <w:lang w:val="en-US" w:eastAsia="zh-CN"/>
        </w:rPr>
        <w:t>履约保证金：</w:t>
      </w:r>
    </w:p>
    <w:p w14:paraId="4F62911A">
      <w:pPr>
        <w:numPr>
          <w:ilvl w:val="0"/>
          <w:numId w:val="0"/>
        </w:numPr>
        <w:spacing w:line="360" w:lineRule="auto"/>
        <w:jc w:val="left"/>
        <w:rPr>
          <w:rFonts w:hint="default" w:ascii="宋体" w:hAnsi="宋体" w:cs="仿宋_GB2312"/>
          <w:color w:val="auto"/>
          <w:sz w:val="24"/>
          <w:highlight w:val="none"/>
          <w:lang w:val="en-US" w:eastAsia="zh-CN"/>
        </w:rPr>
      </w:pPr>
      <w:r>
        <w:rPr>
          <w:rFonts w:hint="eastAsia" w:ascii="宋体" w:hAnsi="宋体" w:cs="仿宋_GB2312"/>
          <w:color w:val="auto"/>
          <w:sz w:val="24"/>
          <w:highlight w:val="none"/>
          <w:lang w:val="en-US" w:eastAsia="zh-CN"/>
        </w:rPr>
        <w:t>5.1金额：</w:t>
      </w:r>
      <w:r>
        <w:rPr>
          <w:rFonts w:hint="eastAsia" w:ascii="宋体" w:hAnsi="宋体" w:eastAsia="宋体" w:cs="仿宋_GB2312"/>
          <w:color w:val="auto"/>
          <w:sz w:val="24"/>
          <w:szCs w:val="24"/>
          <w:highlight w:val="none"/>
          <w:lang w:eastAsia="zh-CN"/>
        </w:rPr>
        <w:t>签约合同价1%</w:t>
      </w:r>
      <w:r>
        <w:rPr>
          <w:rFonts w:hint="eastAsia" w:ascii="宋体" w:hAnsi="宋体" w:cs="仿宋_GB2312"/>
          <w:color w:val="auto"/>
          <w:sz w:val="24"/>
          <w:szCs w:val="24"/>
          <w:highlight w:val="none"/>
          <w:lang w:eastAsia="zh-CN"/>
        </w:rPr>
        <w:t>。</w:t>
      </w:r>
    </w:p>
    <w:p w14:paraId="7F4D117F">
      <w:pPr>
        <w:spacing w:line="360" w:lineRule="auto"/>
        <w:ind w:firstLine="0" w:firstLineChars="0"/>
        <w:jc w:val="left"/>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5.2形式：电汇、银行或保险公司出具的履约保函。</w:t>
      </w:r>
    </w:p>
    <w:p w14:paraId="0FF512E8">
      <w:pPr>
        <w:spacing w:line="360" w:lineRule="auto"/>
        <w:ind w:firstLine="0" w:firstLineChars="0"/>
        <w:jc w:val="left"/>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5.3递交时间：</w:t>
      </w:r>
      <w:r>
        <w:rPr>
          <w:rFonts w:hint="eastAsia" w:ascii="宋体" w:hAnsi="宋体" w:eastAsia="宋体" w:cs="宋体"/>
          <w:bCs/>
          <w:color w:val="auto"/>
          <w:sz w:val="24"/>
          <w:szCs w:val="24"/>
          <w:highlight w:val="none"/>
          <w:lang w:eastAsia="zh-CN"/>
        </w:rPr>
        <w:t>成交供应商</w:t>
      </w:r>
      <w:r>
        <w:rPr>
          <w:rFonts w:hint="eastAsia" w:ascii="宋体" w:hAnsi="宋体" w:eastAsia="宋体" w:cs="仿宋_GB2312"/>
          <w:color w:val="auto"/>
          <w:sz w:val="24"/>
          <w:szCs w:val="24"/>
          <w:highlight w:val="none"/>
          <w:lang w:eastAsia="zh-CN"/>
        </w:rPr>
        <w:t>与</w:t>
      </w:r>
      <w:r>
        <w:rPr>
          <w:rFonts w:hint="eastAsia" w:ascii="宋体" w:hAnsi="宋体" w:cs="仿宋_GB2312"/>
          <w:color w:val="auto"/>
          <w:sz w:val="24"/>
          <w:szCs w:val="24"/>
          <w:highlight w:val="none"/>
          <w:lang w:val="en-US" w:eastAsia="zh-CN"/>
        </w:rPr>
        <w:t>采购人</w:t>
      </w:r>
      <w:r>
        <w:rPr>
          <w:rFonts w:hint="eastAsia" w:ascii="宋体" w:hAnsi="宋体" w:eastAsia="宋体" w:cs="仿宋_GB2312"/>
          <w:color w:val="auto"/>
          <w:sz w:val="24"/>
          <w:szCs w:val="24"/>
          <w:highlight w:val="none"/>
          <w:lang w:eastAsia="zh-CN"/>
        </w:rPr>
        <w:t>签订合同后7日内</w:t>
      </w:r>
      <w:r>
        <w:rPr>
          <w:rFonts w:hint="eastAsia" w:ascii="宋体" w:hAnsi="宋体" w:cs="仿宋_GB2312"/>
          <w:color w:val="auto"/>
          <w:sz w:val="24"/>
          <w:szCs w:val="24"/>
          <w:highlight w:val="none"/>
          <w:lang w:eastAsia="zh-CN"/>
        </w:rPr>
        <w:t>。</w:t>
      </w:r>
    </w:p>
    <w:p w14:paraId="158F2CE4">
      <w:pPr>
        <w:spacing w:line="360" w:lineRule="auto"/>
        <w:ind w:firstLine="0" w:firstLineChars="0"/>
        <w:jc w:val="left"/>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5.4退还时间：待成交人履行完采购合同约定义务事项后10日内退还。</w:t>
      </w:r>
    </w:p>
    <w:p w14:paraId="62763466">
      <w:pPr>
        <w:spacing w:line="360" w:lineRule="auto"/>
        <w:ind w:firstLine="0" w:firstLineChars="0"/>
        <w:jc w:val="left"/>
        <w:rPr>
          <w:rFonts w:hint="eastAsia" w:ascii="宋体" w:hAnsi="宋体" w:eastAsia="宋体"/>
          <w:color w:val="auto"/>
          <w:sz w:val="24"/>
          <w:highlight w:val="none"/>
          <w:u w:val="single"/>
          <w:lang w:eastAsia="zh-CN"/>
        </w:rPr>
      </w:pPr>
      <w:r>
        <w:rPr>
          <w:rFonts w:hint="eastAsia" w:ascii="宋体" w:hAnsi="宋体" w:cs="仿宋_GB2312"/>
          <w:color w:val="auto"/>
          <w:sz w:val="24"/>
          <w:highlight w:val="none"/>
          <w:lang w:val="en-US" w:eastAsia="zh-CN"/>
        </w:rPr>
        <w:t>6</w:t>
      </w:r>
      <w:r>
        <w:rPr>
          <w:rFonts w:hint="eastAsia" w:ascii="宋体" w:hAnsi="宋体" w:cs="仿宋_GB2312"/>
          <w:color w:val="auto"/>
          <w:sz w:val="24"/>
          <w:highlight w:val="none"/>
        </w:rPr>
        <w:t>.其他商务要求（包装和运输、保险等）</w:t>
      </w:r>
      <w:r>
        <w:rPr>
          <w:rFonts w:hint="eastAsia" w:ascii="宋体" w:hAnsi="宋体" w:cs="仿宋_GB2312"/>
          <w:color w:val="auto"/>
          <w:sz w:val="24"/>
          <w:highlight w:val="none"/>
          <w:lang w:eastAsia="zh-CN"/>
        </w:rPr>
        <w:t>：</w:t>
      </w:r>
      <w:r>
        <w:rPr>
          <w:rFonts w:hint="eastAsia" w:ascii="宋体" w:hAnsi="宋体"/>
          <w:color w:val="auto"/>
          <w:sz w:val="24"/>
          <w:highlight w:val="none"/>
          <w:u w:val="single"/>
          <w:lang w:val="en-US" w:eastAsia="zh-CN"/>
        </w:rPr>
        <w:t>无。</w:t>
      </w:r>
    </w:p>
    <w:p w14:paraId="19F52733">
      <w:pPr>
        <w:spacing w:line="360" w:lineRule="auto"/>
        <w:ind w:firstLine="480" w:firstLineChars="200"/>
        <w:jc w:val="left"/>
        <w:rPr>
          <w:rFonts w:ascii="宋体" w:hAnsi="宋体"/>
          <w:color w:val="auto"/>
          <w:sz w:val="24"/>
          <w:highlight w:val="none"/>
          <w:u w:val="single"/>
        </w:rPr>
      </w:pPr>
    </w:p>
    <w:p w14:paraId="198BE6DA">
      <w:pPr>
        <w:widowControl/>
        <w:ind w:firstLine="720" w:firstLineChars="300"/>
        <w:jc w:val="left"/>
        <w:rPr>
          <w:rFonts w:ascii="宋体" w:hAnsi="宋体" w:cs="宋体"/>
          <w:bCs/>
          <w:color w:val="auto"/>
          <w:sz w:val="24"/>
          <w:highlight w:val="none"/>
        </w:rPr>
      </w:pPr>
    </w:p>
    <w:p w14:paraId="65D0CA7A">
      <w:pPr>
        <w:rPr>
          <w:rFonts w:ascii="宋体" w:hAnsi="宋体" w:cs="宋体"/>
          <w:snapToGrid w:val="0"/>
          <w:color w:val="auto"/>
          <w:kern w:val="0"/>
          <w:sz w:val="24"/>
          <w:highlight w:val="none"/>
        </w:rPr>
      </w:pPr>
    </w:p>
    <w:p w14:paraId="705DDD48">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24"/>
          <w:highlight w:val="none"/>
        </w:rPr>
        <w:br w:type="page"/>
      </w:r>
      <w:bookmarkStart w:id="33" w:name="_Toc8460"/>
      <w:r>
        <w:rPr>
          <w:rFonts w:hint="eastAsia" w:ascii="宋体" w:hAnsi="宋体" w:cs="宋体"/>
          <w:b/>
          <w:color w:val="auto"/>
          <w:sz w:val="36"/>
          <w:szCs w:val="20"/>
          <w:highlight w:val="none"/>
        </w:rPr>
        <w:t>第四部分</w:t>
      </w:r>
      <w:bookmarkStart w:id="34" w:name="_Toc184310288"/>
      <w:bookmarkEnd w:id="34"/>
      <w:bookmarkStart w:id="35" w:name="_Toc184312114"/>
      <w:bookmarkEnd w:id="35"/>
      <w:bookmarkStart w:id="36" w:name="_Toc184314480"/>
      <w:bookmarkEnd w:id="36"/>
      <w:bookmarkStart w:id="37" w:name="_Toc184308049"/>
      <w:bookmarkEnd w:id="37"/>
      <w:bookmarkStart w:id="38" w:name="_Toc184313257"/>
      <w:bookmarkEnd w:id="38"/>
      <w:bookmarkStart w:id="39" w:name="_Toc184308076"/>
      <w:bookmarkEnd w:id="39"/>
      <w:bookmarkStart w:id="40" w:name="_Toc184313279"/>
      <w:bookmarkEnd w:id="40"/>
      <w:bookmarkStart w:id="41" w:name="_Toc184314418"/>
      <w:bookmarkEnd w:id="41"/>
      <w:bookmarkStart w:id="42" w:name="_Toc184314452"/>
      <w:bookmarkEnd w:id="42"/>
      <w:bookmarkStart w:id="43" w:name="_Toc184310309"/>
      <w:bookmarkEnd w:id="43"/>
      <w:bookmarkStart w:id="44" w:name="_Toc184310334"/>
      <w:bookmarkEnd w:id="44"/>
      <w:bookmarkStart w:id="45" w:name="_Toc184310328"/>
      <w:bookmarkEnd w:id="45"/>
      <w:bookmarkStart w:id="46" w:name="_Toc184314465"/>
      <w:bookmarkEnd w:id="46"/>
      <w:bookmarkStart w:id="47" w:name="_Toc184313262"/>
      <w:bookmarkEnd w:id="47"/>
      <w:bookmarkStart w:id="48" w:name="_Toc184314467"/>
      <w:bookmarkEnd w:id="48"/>
      <w:bookmarkStart w:id="49" w:name="_Toc184308053"/>
      <w:bookmarkEnd w:id="49"/>
      <w:bookmarkStart w:id="50" w:name="_Toc184312102"/>
      <w:bookmarkEnd w:id="50"/>
      <w:bookmarkStart w:id="51" w:name="_Toc184310319"/>
      <w:bookmarkEnd w:id="51"/>
      <w:bookmarkStart w:id="52" w:name="_Toc184308100"/>
      <w:bookmarkEnd w:id="52"/>
      <w:bookmarkStart w:id="53" w:name="_Toc184310278"/>
      <w:bookmarkEnd w:id="53"/>
      <w:bookmarkStart w:id="54" w:name="_Toc184308106"/>
      <w:bookmarkEnd w:id="54"/>
      <w:bookmarkStart w:id="55" w:name="_Toc184310294"/>
      <w:bookmarkEnd w:id="55"/>
      <w:bookmarkStart w:id="56" w:name="_Toc184313302"/>
      <w:bookmarkEnd w:id="56"/>
      <w:bookmarkStart w:id="57" w:name="_Toc184310275"/>
      <w:bookmarkEnd w:id="57"/>
      <w:bookmarkStart w:id="58" w:name="_Toc184313242"/>
      <w:bookmarkEnd w:id="58"/>
      <w:bookmarkStart w:id="59" w:name="_Toc184310324"/>
      <w:bookmarkEnd w:id="59"/>
      <w:bookmarkStart w:id="60" w:name="_Toc184308107"/>
      <w:bookmarkEnd w:id="60"/>
      <w:bookmarkStart w:id="61" w:name="_Toc184314479"/>
      <w:bookmarkEnd w:id="61"/>
      <w:bookmarkStart w:id="62" w:name="_Toc184312109"/>
      <w:bookmarkEnd w:id="62"/>
      <w:bookmarkStart w:id="63" w:name="_Toc184313264"/>
      <w:bookmarkEnd w:id="63"/>
      <w:bookmarkStart w:id="64" w:name="_Toc184313292"/>
      <w:bookmarkEnd w:id="64"/>
      <w:bookmarkStart w:id="65" w:name="_Toc184313276"/>
      <w:bookmarkEnd w:id="65"/>
      <w:bookmarkStart w:id="66" w:name="_Toc184308062"/>
      <w:bookmarkEnd w:id="66"/>
      <w:bookmarkStart w:id="67" w:name="_Toc184314414"/>
      <w:bookmarkEnd w:id="67"/>
      <w:bookmarkStart w:id="68" w:name="_Toc184312117"/>
      <w:bookmarkEnd w:id="68"/>
      <w:bookmarkStart w:id="69" w:name="_Toc184312139"/>
      <w:bookmarkEnd w:id="69"/>
      <w:bookmarkStart w:id="70" w:name="_Toc184314442"/>
      <w:bookmarkEnd w:id="70"/>
      <w:bookmarkStart w:id="71" w:name="_Toc184312131"/>
      <w:bookmarkEnd w:id="71"/>
      <w:bookmarkStart w:id="72" w:name="_Toc184312092"/>
      <w:bookmarkEnd w:id="72"/>
      <w:bookmarkStart w:id="73" w:name="_Toc184313289"/>
      <w:bookmarkEnd w:id="73"/>
      <w:bookmarkStart w:id="74" w:name="_Toc184313252"/>
      <w:bookmarkEnd w:id="74"/>
      <w:bookmarkStart w:id="75" w:name="_Toc184310274"/>
      <w:bookmarkEnd w:id="75"/>
      <w:bookmarkStart w:id="76" w:name="_Toc184310282"/>
      <w:bookmarkEnd w:id="76"/>
      <w:bookmarkStart w:id="77" w:name="_Toc184314412"/>
      <w:bookmarkEnd w:id="77"/>
      <w:bookmarkStart w:id="78" w:name="_Toc184312093"/>
      <w:bookmarkEnd w:id="78"/>
      <w:bookmarkStart w:id="79" w:name="_Toc184312125"/>
      <w:bookmarkEnd w:id="79"/>
      <w:bookmarkStart w:id="80" w:name="_Toc184314456"/>
      <w:bookmarkEnd w:id="80"/>
      <w:bookmarkStart w:id="81" w:name="_Toc184312136"/>
      <w:bookmarkEnd w:id="81"/>
      <w:bookmarkStart w:id="82" w:name="_Toc184313248"/>
      <w:bookmarkEnd w:id="82"/>
      <w:bookmarkStart w:id="83" w:name="_Toc184313299"/>
      <w:bookmarkEnd w:id="83"/>
      <w:bookmarkStart w:id="84" w:name="_Toc184313258"/>
      <w:bookmarkEnd w:id="84"/>
      <w:bookmarkStart w:id="85" w:name="_Toc184308071"/>
      <w:bookmarkEnd w:id="85"/>
      <w:bookmarkStart w:id="86" w:name="_Toc184314423"/>
      <w:bookmarkEnd w:id="86"/>
      <w:bookmarkStart w:id="87" w:name="_Toc184312080"/>
      <w:bookmarkEnd w:id="87"/>
      <w:bookmarkStart w:id="88" w:name="_Toc184312096"/>
      <w:bookmarkEnd w:id="88"/>
      <w:bookmarkStart w:id="89" w:name="_Toc184313282"/>
      <w:bookmarkEnd w:id="89"/>
      <w:bookmarkStart w:id="90" w:name="_Toc184312077"/>
      <w:bookmarkEnd w:id="90"/>
      <w:bookmarkStart w:id="91" w:name="_Toc184310333"/>
      <w:bookmarkEnd w:id="91"/>
      <w:bookmarkStart w:id="92" w:name="_Toc184308093"/>
      <w:bookmarkEnd w:id="92"/>
      <w:bookmarkStart w:id="93" w:name="_Toc184313272"/>
      <w:bookmarkEnd w:id="93"/>
      <w:bookmarkStart w:id="94" w:name="_Toc184312111"/>
      <w:bookmarkEnd w:id="94"/>
      <w:bookmarkStart w:id="95" w:name="_Toc184313307"/>
      <w:bookmarkEnd w:id="95"/>
      <w:bookmarkStart w:id="96" w:name="_Toc184308089"/>
      <w:bookmarkEnd w:id="96"/>
      <w:bookmarkStart w:id="97" w:name="_Toc184310299"/>
      <w:bookmarkEnd w:id="97"/>
      <w:bookmarkStart w:id="98" w:name="_Toc184313261"/>
      <w:bookmarkEnd w:id="98"/>
      <w:bookmarkStart w:id="99" w:name="_Toc184310276"/>
      <w:bookmarkEnd w:id="99"/>
      <w:bookmarkStart w:id="100" w:name="_Toc184314426"/>
      <w:bookmarkEnd w:id="100"/>
      <w:bookmarkStart w:id="101" w:name="_Toc184310277"/>
      <w:bookmarkEnd w:id="101"/>
      <w:bookmarkStart w:id="102" w:name="_Toc184312122"/>
      <w:bookmarkEnd w:id="102"/>
      <w:bookmarkStart w:id="103" w:name="_Toc184310339"/>
      <w:bookmarkEnd w:id="103"/>
      <w:bookmarkStart w:id="104" w:name="_Toc184308065"/>
      <w:bookmarkEnd w:id="104"/>
      <w:bookmarkStart w:id="105" w:name="_Toc184312106"/>
      <w:bookmarkEnd w:id="105"/>
      <w:bookmarkStart w:id="106" w:name="_Toc184308057"/>
      <w:bookmarkEnd w:id="106"/>
      <w:bookmarkStart w:id="107" w:name="_Toc184312095"/>
      <w:bookmarkEnd w:id="107"/>
      <w:bookmarkStart w:id="108" w:name="_Toc184312078"/>
      <w:bookmarkEnd w:id="108"/>
      <w:bookmarkStart w:id="109" w:name="_Toc184314435"/>
      <w:bookmarkEnd w:id="109"/>
      <w:bookmarkStart w:id="110" w:name="_Toc184308086"/>
      <w:bookmarkEnd w:id="110"/>
      <w:bookmarkStart w:id="111" w:name="_Toc184312098"/>
      <w:bookmarkEnd w:id="111"/>
      <w:bookmarkStart w:id="112" w:name="_Toc184314448"/>
      <w:bookmarkEnd w:id="112"/>
      <w:bookmarkStart w:id="113" w:name="_Toc184308074"/>
      <w:bookmarkEnd w:id="113"/>
      <w:bookmarkStart w:id="114" w:name="_Toc184313267"/>
      <w:bookmarkEnd w:id="114"/>
      <w:bookmarkStart w:id="115" w:name="_Toc184312135"/>
      <w:bookmarkEnd w:id="115"/>
      <w:bookmarkStart w:id="116" w:name="_Toc184310273"/>
      <w:bookmarkEnd w:id="116"/>
      <w:bookmarkStart w:id="117" w:name="_Toc184310325"/>
      <w:bookmarkEnd w:id="117"/>
      <w:bookmarkStart w:id="118" w:name="_Toc184308054"/>
      <w:bookmarkEnd w:id="118"/>
      <w:bookmarkStart w:id="119" w:name="_Toc184310315"/>
      <w:bookmarkEnd w:id="119"/>
      <w:bookmarkStart w:id="120" w:name="_Toc184314454"/>
      <w:bookmarkEnd w:id="120"/>
      <w:bookmarkStart w:id="121" w:name="_Toc184312082"/>
      <w:bookmarkEnd w:id="121"/>
      <w:bookmarkStart w:id="122" w:name="_Toc184313273"/>
      <w:bookmarkEnd w:id="122"/>
      <w:bookmarkStart w:id="123" w:name="_Toc184312075"/>
      <w:bookmarkEnd w:id="123"/>
      <w:bookmarkStart w:id="124" w:name="_Toc184314419"/>
      <w:bookmarkEnd w:id="124"/>
      <w:bookmarkStart w:id="125" w:name="_Toc184308047"/>
      <w:bookmarkEnd w:id="125"/>
      <w:bookmarkStart w:id="126" w:name="_Toc184310298"/>
      <w:bookmarkEnd w:id="126"/>
      <w:bookmarkStart w:id="127" w:name="_Toc184310335"/>
      <w:bookmarkEnd w:id="127"/>
      <w:bookmarkStart w:id="128" w:name="_Toc184314481"/>
      <w:bookmarkEnd w:id="128"/>
      <w:bookmarkStart w:id="129" w:name="_Toc184308061"/>
      <w:bookmarkEnd w:id="129"/>
      <w:bookmarkStart w:id="130" w:name="_Toc184308068"/>
      <w:bookmarkEnd w:id="130"/>
      <w:bookmarkStart w:id="131" w:name="_Toc184308094"/>
      <w:bookmarkEnd w:id="131"/>
      <w:bookmarkStart w:id="132" w:name="_Toc184308070"/>
      <w:bookmarkEnd w:id="132"/>
      <w:bookmarkStart w:id="133" w:name="_Toc184308058"/>
      <w:bookmarkEnd w:id="133"/>
      <w:bookmarkStart w:id="134" w:name="_Toc184314474"/>
      <w:bookmarkEnd w:id="134"/>
      <w:bookmarkStart w:id="135" w:name="_Toc184310308"/>
      <w:bookmarkEnd w:id="135"/>
      <w:bookmarkStart w:id="136" w:name="_Toc184310304"/>
      <w:bookmarkEnd w:id="136"/>
      <w:bookmarkStart w:id="137" w:name="_Toc184308103"/>
      <w:bookmarkEnd w:id="137"/>
      <w:bookmarkStart w:id="138" w:name="_Toc184313304"/>
      <w:bookmarkEnd w:id="138"/>
      <w:bookmarkStart w:id="139" w:name="_Toc184313303"/>
      <w:bookmarkEnd w:id="139"/>
      <w:bookmarkStart w:id="140" w:name="_Toc184310312"/>
      <w:bookmarkEnd w:id="140"/>
      <w:bookmarkStart w:id="141" w:name="_Toc184308042"/>
      <w:bookmarkEnd w:id="141"/>
      <w:bookmarkStart w:id="142" w:name="_Toc184308052"/>
      <w:bookmarkEnd w:id="142"/>
      <w:bookmarkStart w:id="143" w:name="_Toc184313263"/>
      <w:bookmarkEnd w:id="143"/>
      <w:bookmarkStart w:id="144" w:name="_Toc184314459"/>
      <w:bookmarkEnd w:id="144"/>
      <w:bookmarkStart w:id="145" w:name="_Toc184312113"/>
      <w:bookmarkEnd w:id="145"/>
      <w:bookmarkStart w:id="146" w:name="_Toc184313239"/>
      <w:bookmarkEnd w:id="146"/>
      <w:bookmarkStart w:id="147" w:name="_Toc184313298"/>
      <w:bookmarkEnd w:id="147"/>
      <w:bookmarkStart w:id="148" w:name="_Toc184313260"/>
      <w:bookmarkEnd w:id="148"/>
      <w:bookmarkStart w:id="149" w:name="_Toc184314433"/>
      <w:bookmarkEnd w:id="149"/>
      <w:bookmarkStart w:id="150" w:name="_Toc184312067"/>
      <w:bookmarkEnd w:id="150"/>
      <w:bookmarkStart w:id="151" w:name="_Toc184313309"/>
      <w:bookmarkEnd w:id="151"/>
      <w:bookmarkStart w:id="152" w:name="_Toc184310316"/>
      <w:bookmarkEnd w:id="152"/>
      <w:bookmarkStart w:id="153" w:name="_Toc184310301"/>
      <w:bookmarkEnd w:id="153"/>
      <w:bookmarkStart w:id="154" w:name="_Toc184314438"/>
      <w:bookmarkEnd w:id="154"/>
      <w:bookmarkStart w:id="155" w:name="_Toc184312103"/>
      <w:bookmarkEnd w:id="155"/>
      <w:bookmarkStart w:id="156" w:name="_Toc184313271"/>
      <w:bookmarkEnd w:id="156"/>
      <w:bookmarkStart w:id="157" w:name="_Toc184312099"/>
      <w:bookmarkEnd w:id="157"/>
      <w:bookmarkStart w:id="158" w:name="_Toc184310272"/>
      <w:bookmarkEnd w:id="158"/>
      <w:bookmarkStart w:id="159" w:name="_Toc184313306"/>
      <w:bookmarkEnd w:id="159"/>
      <w:bookmarkStart w:id="160" w:name="_Toc184308073"/>
      <w:bookmarkEnd w:id="160"/>
      <w:bookmarkStart w:id="161" w:name="_Toc184314445"/>
      <w:bookmarkEnd w:id="161"/>
      <w:bookmarkStart w:id="162" w:name="_Toc184310329"/>
      <w:bookmarkEnd w:id="162"/>
      <w:bookmarkStart w:id="163" w:name="_Toc184308090"/>
      <w:bookmarkEnd w:id="163"/>
      <w:bookmarkStart w:id="164" w:name="_Toc184310307"/>
      <w:bookmarkEnd w:id="164"/>
      <w:bookmarkStart w:id="165" w:name="_Toc184313241"/>
      <w:bookmarkEnd w:id="165"/>
      <w:bookmarkStart w:id="166" w:name="_Toc184308091"/>
      <w:bookmarkEnd w:id="166"/>
      <w:bookmarkStart w:id="167" w:name="_Toc184314460"/>
      <w:bookmarkEnd w:id="167"/>
      <w:bookmarkStart w:id="168" w:name="_Toc184314430"/>
      <w:bookmarkEnd w:id="168"/>
      <w:bookmarkStart w:id="169" w:name="_Toc184312128"/>
      <w:bookmarkEnd w:id="169"/>
      <w:bookmarkStart w:id="170" w:name="_Toc184313283"/>
      <w:bookmarkEnd w:id="170"/>
      <w:bookmarkStart w:id="171" w:name="_Toc184314428"/>
      <w:bookmarkEnd w:id="171"/>
      <w:bookmarkStart w:id="172" w:name="_Toc184312090"/>
      <w:bookmarkEnd w:id="172"/>
      <w:bookmarkStart w:id="173" w:name="_Toc184314441"/>
      <w:bookmarkEnd w:id="173"/>
      <w:bookmarkStart w:id="174" w:name="_Toc184308096"/>
      <w:bookmarkEnd w:id="174"/>
      <w:bookmarkStart w:id="175" w:name="_Toc184308051"/>
      <w:bookmarkEnd w:id="175"/>
      <w:bookmarkStart w:id="176" w:name="_Toc184313249"/>
      <w:bookmarkEnd w:id="176"/>
      <w:bookmarkStart w:id="177" w:name="_Toc184310331"/>
      <w:bookmarkEnd w:id="177"/>
      <w:bookmarkStart w:id="178" w:name="_Toc184313297"/>
      <w:bookmarkEnd w:id="178"/>
      <w:bookmarkStart w:id="179" w:name="_Toc184312101"/>
      <w:bookmarkEnd w:id="179"/>
      <w:bookmarkStart w:id="180" w:name="_Toc184312129"/>
      <w:bookmarkEnd w:id="180"/>
      <w:bookmarkStart w:id="181" w:name="_Toc184308072"/>
      <w:bookmarkEnd w:id="181"/>
      <w:bookmarkStart w:id="182" w:name="_Toc184314413"/>
      <w:bookmarkEnd w:id="182"/>
      <w:bookmarkStart w:id="183" w:name="_Toc184310326"/>
      <w:bookmarkEnd w:id="183"/>
      <w:bookmarkStart w:id="184" w:name="_Toc184314447"/>
      <w:bookmarkEnd w:id="184"/>
      <w:bookmarkStart w:id="185" w:name="_Toc184314461"/>
      <w:bookmarkEnd w:id="185"/>
      <w:bookmarkStart w:id="186" w:name="_Toc184314457"/>
      <w:bookmarkEnd w:id="186"/>
      <w:bookmarkStart w:id="187" w:name="_Toc184310279"/>
      <w:bookmarkEnd w:id="187"/>
      <w:bookmarkStart w:id="188" w:name="_Toc184314417"/>
      <w:bookmarkEnd w:id="188"/>
      <w:bookmarkStart w:id="189" w:name="_Toc184314472"/>
      <w:bookmarkEnd w:id="189"/>
      <w:bookmarkStart w:id="190" w:name="_Toc184313251"/>
      <w:bookmarkEnd w:id="190"/>
      <w:bookmarkStart w:id="191" w:name="_Toc184312072"/>
      <w:bookmarkEnd w:id="191"/>
      <w:bookmarkStart w:id="192" w:name="_Toc184308084"/>
      <w:bookmarkEnd w:id="192"/>
      <w:bookmarkStart w:id="193" w:name="_Toc184313253"/>
      <w:bookmarkEnd w:id="193"/>
      <w:bookmarkStart w:id="194" w:name="_Toc184314411"/>
      <w:bookmarkEnd w:id="194"/>
      <w:bookmarkStart w:id="195" w:name="_Toc184312115"/>
      <w:bookmarkEnd w:id="195"/>
      <w:bookmarkStart w:id="196" w:name="_Toc184313293"/>
      <w:bookmarkEnd w:id="196"/>
      <w:bookmarkStart w:id="197" w:name="_Toc184314464"/>
      <w:bookmarkEnd w:id="197"/>
      <w:bookmarkStart w:id="198" w:name="_Toc184312079"/>
      <w:bookmarkEnd w:id="198"/>
      <w:bookmarkStart w:id="199" w:name="_Toc184308083"/>
      <w:bookmarkEnd w:id="199"/>
      <w:bookmarkStart w:id="200" w:name="_Toc184308092"/>
      <w:bookmarkEnd w:id="200"/>
      <w:bookmarkStart w:id="201" w:name="_Toc184310314"/>
      <w:bookmarkEnd w:id="201"/>
      <w:bookmarkStart w:id="202" w:name="_Toc184308036"/>
      <w:bookmarkEnd w:id="202"/>
      <w:bookmarkStart w:id="203" w:name="_Toc184312070"/>
      <w:bookmarkEnd w:id="203"/>
      <w:bookmarkStart w:id="204" w:name="_Toc184312100"/>
      <w:bookmarkEnd w:id="204"/>
      <w:bookmarkStart w:id="205" w:name="_Toc184310327"/>
      <w:bookmarkEnd w:id="205"/>
      <w:bookmarkStart w:id="206" w:name="_Toc184314420"/>
      <w:bookmarkEnd w:id="206"/>
      <w:bookmarkStart w:id="207" w:name="_Toc184310293"/>
      <w:bookmarkEnd w:id="207"/>
      <w:bookmarkStart w:id="208" w:name="_Toc184314482"/>
      <w:bookmarkEnd w:id="208"/>
      <w:bookmarkStart w:id="209" w:name="_Toc184310296"/>
      <w:bookmarkEnd w:id="209"/>
      <w:bookmarkStart w:id="210" w:name="_Toc184312110"/>
      <w:bookmarkEnd w:id="210"/>
      <w:bookmarkStart w:id="211" w:name="_Toc184313274"/>
      <w:bookmarkEnd w:id="211"/>
      <w:bookmarkStart w:id="212" w:name="_Toc184310313"/>
      <w:bookmarkEnd w:id="212"/>
      <w:bookmarkStart w:id="213" w:name="_Toc184313278"/>
      <w:bookmarkEnd w:id="213"/>
      <w:bookmarkStart w:id="214" w:name="_Toc184314416"/>
      <w:bookmarkEnd w:id="214"/>
      <w:bookmarkStart w:id="215" w:name="_Toc184308069"/>
      <w:bookmarkEnd w:id="215"/>
      <w:bookmarkStart w:id="216" w:name="_Toc184312089"/>
      <w:bookmarkEnd w:id="216"/>
      <w:bookmarkStart w:id="217" w:name="_Toc184308055"/>
      <w:bookmarkEnd w:id="217"/>
      <w:bookmarkStart w:id="218" w:name="_Toc184308048"/>
      <w:bookmarkEnd w:id="218"/>
      <w:bookmarkStart w:id="219" w:name="_Toc184312091"/>
      <w:bookmarkEnd w:id="219"/>
      <w:bookmarkStart w:id="220" w:name="_Toc184308098"/>
      <w:bookmarkEnd w:id="220"/>
      <w:bookmarkStart w:id="221" w:name="_Toc184308078"/>
      <w:bookmarkEnd w:id="221"/>
      <w:bookmarkStart w:id="222" w:name="_Toc184308056"/>
      <w:bookmarkEnd w:id="222"/>
      <w:bookmarkStart w:id="223" w:name="_Toc184314463"/>
      <w:bookmarkEnd w:id="223"/>
      <w:bookmarkStart w:id="224" w:name="_Toc184308037"/>
      <w:bookmarkEnd w:id="224"/>
      <w:bookmarkStart w:id="225" w:name="_Toc184308082"/>
      <w:bookmarkEnd w:id="225"/>
      <w:bookmarkStart w:id="226" w:name="_Toc184313250"/>
      <w:bookmarkEnd w:id="226"/>
      <w:bookmarkStart w:id="227" w:name="_Toc184312068"/>
      <w:bookmarkEnd w:id="227"/>
      <w:bookmarkStart w:id="228" w:name="_Toc184310320"/>
      <w:bookmarkEnd w:id="228"/>
      <w:bookmarkStart w:id="229" w:name="_Toc184310343"/>
      <w:bookmarkEnd w:id="229"/>
      <w:bookmarkStart w:id="230" w:name="_Toc184314473"/>
      <w:bookmarkEnd w:id="230"/>
      <w:bookmarkStart w:id="231" w:name="_Toc184308041"/>
      <w:bookmarkEnd w:id="231"/>
      <w:bookmarkStart w:id="232" w:name="_Toc184308097"/>
      <w:bookmarkEnd w:id="232"/>
      <w:bookmarkStart w:id="233" w:name="_Toc184310340"/>
      <w:bookmarkEnd w:id="233"/>
      <w:bookmarkStart w:id="234" w:name="_Toc184313284"/>
      <w:bookmarkEnd w:id="234"/>
      <w:bookmarkStart w:id="235" w:name="_Toc184310321"/>
      <w:bookmarkEnd w:id="235"/>
      <w:bookmarkStart w:id="236" w:name="_Toc184310284"/>
      <w:bookmarkEnd w:id="236"/>
      <w:bookmarkStart w:id="237" w:name="_Toc184308088"/>
      <w:bookmarkEnd w:id="237"/>
      <w:bookmarkStart w:id="238" w:name="_Toc184308087"/>
      <w:bookmarkEnd w:id="238"/>
      <w:bookmarkStart w:id="239" w:name="_Toc184314477"/>
      <w:bookmarkEnd w:id="239"/>
      <w:bookmarkStart w:id="240" w:name="_Toc184313285"/>
      <w:bookmarkEnd w:id="240"/>
      <w:bookmarkStart w:id="241" w:name="_Toc184313275"/>
      <w:bookmarkEnd w:id="241"/>
      <w:bookmarkStart w:id="242" w:name="_Toc184312076"/>
      <w:bookmarkEnd w:id="242"/>
      <w:bookmarkStart w:id="243" w:name="_Toc184314476"/>
      <w:bookmarkEnd w:id="243"/>
      <w:bookmarkStart w:id="244" w:name="_Toc184310332"/>
      <w:bookmarkEnd w:id="244"/>
      <w:bookmarkStart w:id="245" w:name="_Toc184308045"/>
      <w:bookmarkEnd w:id="245"/>
      <w:bookmarkStart w:id="246" w:name="_Toc184310300"/>
      <w:bookmarkEnd w:id="246"/>
      <w:bookmarkStart w:id="247" w:name="_Toc184314440"/>
      <w:bookmarkEnd w:id="247"/>
      <w:bookmarkStart w:id="248" w:name="_Toc184308060"/>
      <w:bookmarkEnd w:id="248"/>
      <w:bookmarkStart w:id="249" w:name="_Toc184314449"/>
      <w:bookmarkEnd w:id="249"/>
      <w:bookmarkStart w:id="250" w:name="_Toc184314425"/>
      <w:bookmarkEnd w:id="250"/>
      <w:bookmarkStart w:id="251" w:name="_Toc184310322"/>
      <w:bookmarkEnd w:id="251"/>
      <w:bookmarkStart w:id="252" w:name="_Toc184312118"/>
      <w:bookmarkEnd w:id="252"/>
      <w:bookmarkStart w:id="253" w:name="_Toc184312121"/>
      <w:bookmarkEnd w:id="253"/>
      <w:bookmarkStart w:id="254" w:name="_Toc184313305"/>
      <w:bookmarkEnd w:id="254"/>
      <w:bookmarkStart w:id="255" w:name="_Toc184312105"/>
      <w:bookmarkEnd w:id="255"/>
      <w:bookmarkStart w:id="256" w:name="_Toc184314455"/>
      <w:bookmarkEnd w:id="256"/>
      <w:bookmarkStart w:id="257" w:name="_Toc184314443"/>
      <w:bookmarkEnd w:id="257"/>
      <w:bookmarkStart w:id="258" w:name="_Toc184312130"/>
      <w:bookmarkEnd w:id="258"/>
      <w:bookmarkStart w:id="259" w:name="_Toc184312094"/>
      <w:bookmarkEnd w:id="259"/>
      <w:bookmarkStart w:id="260" w:name="_Toc184312073"/>
      <w:bookmarkEnd w:id="260"/>
      <w:bookmarkStart w:id="261" w:name="_Toc184310291"/>
      <w:bookmarkEnd w:id="261"/>
      <w:bookmarkStart w:id="262" w:name="_Toc184310341"/>
      <w:bookmarkEnd w:id="262"/>
      <w:bookmarkStart w:id="263" w:name="_Toc184308108"/>
      <w:bookmarkEnd w:id="263"/>
      <w:bookmarkStart w:id="264" w:name="_Toc184308064"/>
      <w:bookmarkEnd w:id="264"/>
      <w:bookmarkStart w:id="265" w:name="_Toc184312097"/>
      <w:bookmarkEnd w:id="265"/>
      <w:bookmarkStart w:id="266" w:name="_Toc184313308"/>
      <w:bookmarkEnd w:id="266"/>
      <w:bookmarkStart w:id="267" w:name="_Toc184313291"/>
      <w:bookmarkEnd w:id="267"/>
      <w:bookmarkStart w:id="268" w:name="_Toc184313290"/>
      <w:bookmarkEnd w:id="268"/>
      <w:bookmarkStart w:id="269" w:name="_Toc184308105"/>
      <w:bookmarkEnd w:id="269"/>
      <w:bookmarkStart w:id="270" w:name="_Toc184310342"/>
      <w:bookmarkEnd w:id="270"/>
      <w:bookmarkStart w:id="271" w:name="_Toc184313296"/>
      <w:bookmarkEnd w:id="271"/>
      <w:bookmarkStart w:id="272" w:name="_Toc184310305"/>
      <w:bookmarkEnd w:id="272"/>
      <w:bookmarkStart w:id="273" w:name="_Toc184313270"/>
      <w:bookmarkEnd w:id="273"/>
      <w:bookmarkStart w:id="274" w:name="_Toc184313280"/>
      <w:bookmarkEnd w:id="274"/>
      <w:bookmarkStart w:id="275" w:name="_Toc184312074"/>
      <w:bookmarkEnd w:id="275"/>
      <w:bookmarkStart w:id="276" w:name="_Toc184314415"/>
      <w:bookmarkEnd w:id="276"/>
      <w:bookmarkStart w:id="277" w:name="_Toc184312124"/>
      <w:bookmarkEnd w:id="277"/>
      <w:bookmarkStart w:id="278" w:name="_Toc184313295"/>
      <w:bookmarkEnd w:id="278"/>
      <w:bookmarkStart w:id="279" w:name="_Toc184312137"/>
      <w:bookmarkEnd w:id="279"/>
      <w:bookmarkStart w:id="280" w:name="_Toc184310323"/>
      <w:bookmarkEnd w:id="280"/>
      <w:bookmarkStart w:id="281" w:name="_Toc184308102"/>
      <w:bookmarkEnd w:id="281"/>
      <w:bookmarkStart w:id="282" w:name="_Toc184314475"/>
      <w:bookmarkEnd w:id="282"/>
      <w:bookmarkStart w:id="283" w:name="_Toc184313243"/>
      <w:bookmarkEnd w:id="283"/>
      <w:bookmarkStart w:id="284" w:name="_Toc184312127"/>
      <w:bookmarkEnd w:id="284"/>
      <w:bookmarkStart w:id="285" w:name="_Toc184308080"/>
      <w:bookmarkEnd w:id="285"/>
      <w:bookmarkStart w:id="286" w:name="_Toc184310302"/>
      <w:bookmarkEnd w:id="286"/>
      <w:bookmarkStart w:id="287" w:name="_Toc184308050"/>
      <w:bookmarkEnd w:id="287"/>
      <w:bookmarkStart w:id="288" w:name="_Toc184313254"/>
      <w:bookmarkEnd w:id="288"/>
      <w:bookmarkStart w:id="289" w:name="_Toc184314434"/>
      <w:bookmarkEnd w:id="289"/>
      <w:bookmarkStart w:id="290" w:name="_Toc184313281"/>
      <w:bookmarkEnd w:id="290"/>
      <w:bookmarkStart w:id="291" w:name="_Toc184310285"/>
      <w:bookmarkEnd w:id="291"/>
      <w:bookmarkStart w:id="292" w:name="_Toc184312085"/>
      <w:bookmarkEnd w:id="292"/>
      <w:bookmarkStart w:id="293" w:name="_Toc184314453"/>
      <w:bookmarkEnd w:id="293"/>
      <w:bookmarkStart w:id="294" w:name="_Toc184314446"/>
      <w:bookmarkEnd w:id="294"/>
      <w:bookmarkStart w:id="295" w:name="_Toc184313286"/>
      <w:bookmarkEnd w:id="295"/>
      <w:bookmarkStart w:id="296" w:name="_Toc184312087"/>
      <w:bookmarkEnd w:id="296"/>
      <w:bookmarkStart w:id="297" w:name="_Toc184312119"/>
      <w:bookmarkEnd w:id="297"/>
      <w:bookmarkStart w:id="298" w:name="_Toc184314429"/>
      <w:bookmarkEnd w:id="298"/>
      <w:bookmarkStart w:id="299" w:name="_Toc184310338"/>
      <w:bookmarkEnd w:id="299"/>
      <w:bookmarkStart w:id="300" w:name="_Toc184312126"/>
      <w:bookmarkEnd w:id="300"/>
      <w:bookmarkStart w:id="301" w:name="_Toc184310336"/>
      <w:bookmarkEnd w:id="301"/>
      <w:bookmarkStart w:id="302" w:name="_Toc184313269"/>
      <w:bookmarkEnd w:id="302"/>
      <w:bookmarkStart w:id="303" w:name="_Toc184313244"/>
      <w:bookmarkEnd w:id="303"/>
      <w:bookmarkStart w:id="304" w:name="_Toc184312081"/>
      <w:bookmarkEnd w:id="304"/>
      <w:bookmarkStart w:id="305" w:name="_Toc184308040"/>
      <w:bookmarkEnd w:id="305"/>
      <w:bookmarkStart w:id="306" w:name="_Toc184310297"/>
      <w:bookmarkEnd w:id="306"/>
      <w:bookmarkStart w:id="307" w:name="_Toc184313310"/>
      <w:bookmarkEnd w:id="307"/>
      <w:bookmarkStart w:id="308" w:name="_Toc184312069"/>
      <w:bookmarkEnd w:id="308"/>
      <w:bookmarkStart w:id="309" w:name="_Toc184313259"/>
      <w:bookmarkEnd w:id="309"/>
      <w:bookmarkStart w:id="310" w:name="_Toc184313288"/>
      <w:bookmarkEnd w:id="310"/>
      <w:bookmarkStart w:id="311" w:name="_Toc184314432"/>
      <w:bookmarkEnd w:id="311"/>
      <w:bookmarkStart w:id="312" w:name="_Toc184314451"/>
      <w:bookmarkEnd w:id="312"/>
      <w:bookmarkStart w:id="313" w:name="_Toc184312134"/>
      <w:bookmarkEnd w:id="313"/>
      <w:bookmarkStart w:id="314" w:name="_Toc184314436"/>
      <w:bookmarkEnd w:id="314"/>
      <w:bookmarkStart w:id="315" w:name="_Toc184310311"/>
      <w:bookmarkEnd w:id="315"/>
      <w:bookmarkStart w:id="316" w:name="_Toc184308066"/>
      <w:bookmarkEnd w:id="316"/>
      <w:bookmarkStart w:id="317" w:name="_Toc184314421"/>
      <w:bookmarkEnd w:id="317"/>
      <w:bookmarkStart w:id="318" w:name="_Toc184308081"/>
      <w:bookmarkEnd w:id="318"/>
      <w:bookmarkStart w:id="319" w:name="_Toc184308101"/>
      <w:bookmarkEnd w:id="319"/>
      <w:bookmarkStart w:id="320" w:name="_Toc184312088"/>
      <w:bookmarkEnd w:id="320"/>
      <w:bookmarkStart w:id="321" w:name="_Toc184310303"/>
      <w:bookmarkEnd w:id="321"/>
      <w:bookmarkStart w:id="322" w:name="_Toc184312083"/>
      <w:bookmarkEnd w:id="322"/>
      <w:bookmarkStart w:id="323" w:name="_Toc184314470"/>
      <w:bookmarkEnd w:id="323"/>
      <w:bookmarkStart w:id="324" w:name="_Toc184308038"/>
      <w:bookmarkEnd w:id="324"/>
      <w:bookmarkStart w:id="325" w:name="_Toc184308039"/>
      <w:bookmarkEnd w:id="325"/>
      <w:bookmarkStart w:id="326" w:name="_Toc184310289"/>
      <w:bookmarkEnd w:id="326"/>
      <w:bookmarkStart w:id="327" w:name="_Toc184313256"/>
      <w:bookmarkEnd w:id="327"/>
      <w:bookmarkStart w:id="328" w:name="_Toc184310283"/>
      <w:bookmarkEnd w:id="328"/>
      <w:bookmarkStart w:id="329" w:name="_Toc184313245"/>
      <w:bookmarkEnd w:id="329"/>
      <w:bookmarkStart w:id="330" w:name="_Toc184310318"/>
      <w:bookmarkEnd w:id="330"/>
      <w:bookmarkStart w:id="331" w:name="_Toc184310292"/>
      <w:bookmarkEnd w:id="331"/>
      <w:bookmarkStart w:id="332" w:name="_Toc184314469"/>
      <w:bookmarkEnd w:id="332"/>
      <w:bookmarkStart w:id="333" w:name="_Toc184310286"/>
      <w:bookmarkEnd w:id="333"/>
      <w:bookmarkStart w:id="334" w:name="_Toc184314410"/>
      <w:bookmarkEnd w:id="334"/>
      <w:bookmarkStart w:id="335" w:name="_Toc184310344"/>
      <w:bookmarkEnd w:id="335"/>
      <w:bookmarkStart w:id="336" w:name="_Toc184312123"/>
      <w:bookmarkEnd w:id="336"/>
      <w:bookmarkStart w:id="337" w:name="_Toc184313268"/>
      <w:bookmarkEnd w:id="337"/>
      <w:bookmarkStart w:id="338" w:name="_Toc184310337"/>
      <w:bookmarkEnd w:id="338"/>
      <w:bookmarkStart w:id="339" w:name="_Toc184314462"/>
      <w:bookmarkEnd w:id="339"/>
      <w:bookmarkStart w:id="340" w:name="_Toc184314468"/>
      <w:bookmarkEnd w:id="340"/>
      <w:bookmarkStart w:id="341" w:name="_Toc184310295"/>
      <w:bookmarkEnd w:id="341"/>
      <w:bookmarkStart w:id="342" w:name="_Toc184312071"/>
      <w:bookmarkEnd w:id="342"/>
      <w:bookmarkStart w:id="343" w:name="_Toc184313294"/>
      <w:bookmarkEnd w:id="343"/>
      <w:bookmarkStart w:id="344" w:name="_Toc184313247"/>
      <w:bookmarkEnd w:id="344"/>
      <w:bookmarkStart w:id="345" w:name="_Toc184314458"/>
      <w:bookmarkEnd w:id="345"/>
      <w:bookmarkStart w:id="346" w:name="_Toc184313287"/>
      <w:bookmarkEnd w:id="346"/>
      <w:bookmarkStart w:id="347" w:name="_Toc184308077"/>
      <w:bookmarkEnd w:id="347"/>
      <w:bookmarkStart w:id="348" w:name="_Toc184308044"/>
      <w:bookmarkEnd w:id="348"/>
      <w:bookmarkStart w:id="349" w:name="_Toc184312132"/>
      <w:bookmarkEnd w:id="349"/>
      <w:bookmarkStart w:id="350" w:name="_Toc184314444"/>
      <w:bookmarkEnd w:id="350"/>
      <w:bookmarkStart w:id="351" w:name="_Toc184314422"/>
      <w:bookmarkEnd w:id="351"/>
      <w:bookmarkStart w:id="352" w:name="_Toc184308079"/>
      <w:bookmarkEnd w:id="352"/>
      <w:bookmarkStart w:id="353" w:name="_Toc184308085"/>
      <w:bookmarkEnd w:id="353"/>
      <w:bookmarkStart w:id="354" w:name="_Toc184312112"/>
      <w:bookmarkEnd w:id="354"/>
      <w:bookmarkStart w:id="355" w:name="_Toc184310290"/>
      <w:bookmarkEnd w:id="355"/>
      <w:bookmarkStart w:id="356" w:name="_Toc184313265"/>
      <w:bookmarkEnd w:id="356"/>
      <w:bookmarkStart w:id="357" w:name="_Toc184308046"/>
      <w:bookmarkEnd w:id="357"/>
      <w:bookmarkStart w:id="358" w:name="_Toc184310280"/>
      <w:bookmarkEnd w:id="358"/>
      <w:bookmarkStart w:id="359" w:name="_Toc184313238"/>
      <w:bookmarkEnd w:id="359"/>
      <w:bookmarkStart w:id="360" w:name="_Toc184308075"/>
      <w:bookmarkEnd w:id="360"/>
      <w:bookmarkStart w:id="361" w:name="_Toc184314450"/>
      <w:bookmarkEnd w:id="361"/>
      <w:bookmarkStart w:id="362" w:name="_Toc184314478"/>
      <w:bookmarkEnd w:id="362"/>
      <w:bookmarkStart w:id="363" w:name="_Toc184312116"/>
      <w:bookmarkEnd w:id="363"/>
      <w:bookmarkStart w:id="364" w:name="_Toc184313240"/>
      <w:bookmarkEnd w:id="364"/>
      <w:bookmarkStart w:id="365" w:name="_Toc184310306"/>
      <w:bookmarkEnd w:id="365"/>
      <w:bookmarkStart w:id="366" w:name="_Toc184312104"/>
      <w:bookmarkEnd w:id="366"/>
      <w:bookmarkStart w:id="367" w:name="_Toc184310330"/>
      <w:bookmarkEnd w:id="367"/>
      <w:bookmarkStart w:id="368" w:name="_Toc184312120"/>
      <w:bookmarkEnd w:id="368"/>
      <w:bookmarkStart w:id="369" w:name="_Toc184308067"/>
      <w:bookmarkEnd w:id="369"/>
      <w:bookmarkStart w:id="370" w:name="_Toc184314427"/>
      <w:bookmarkEnd w:id="370"/>
      <w:bookmarkStart w:id="371" w:name="_Toc184308059"/>
      <w:bookmarkEnd w:id="371"/>
      <w:bookmarkStart w:id="372" w:name="_Toc184312133"/>
      <w:bookmarkEnd w:id="372"/>
      <w:bookmarkStart w:id="373" w:name="_Toc184313301"/>
      <w:bookmarkEnd w:id="373"/>
      <w:bookmarkStart w:id="374" w:name="_Toc184313246"/>
      <w:bookmarkEnd w:id="374"/>
      <w:bookmarkStart w:id="375" w:name="_Toc184308043"/>
      <w:bookmarkEnd w:id="375"/>
      <w:bookmarkStart w:id="376" w:name="_Toc184308099"/>
      <w:bookmarkEnd w:id="376"/>
      <w:bookmarkStart w:id="377" w:name="_Toc184314424"/>
      <w:bookmarkEnd w:id="377"/>
      <w:bookmarkStart w:id="378" w:name="_Toc184314466"/>
      <w:bookmarkEnd w:id="378"/>
      <w:bookmarkStart w:id="379" w:name="_Toc184313255"/>
      <w:bookmarkEnd w:id="379"/>
      <w:bookmarkStart w:id="380" w:name="_Toc184313300"/>
      <w:bookmarkEnd w:id="380"/>
      <w:bookmarkStart w:id="381" w:name="_Toc184314437"/>
      <w:bookmarkEnd w:id="381"/>
      <w:bookmarkStart w:id="382" w:name="_Toc184310310"/>
      <w:bookmarkEnd w:id="382"/>
      <w:bookmarkStart w:id="383" w:name="_Toc184310287"/>
      <w:bookmarkEnd w:id="383"/>
      <w:bookmarkStart w:id="384" w:name="_Toc184312138"/>
      <w:bookmarkEnd w:id="384"/>
      <w:bookmarkStart w:id="385" w:name="_Toc184312084"/>
      <w:bookmarkEnd w:id="385"/>
      <w:bookmarkStart w:id="386" w:name="_Toc184310281"/>
      <w:bookmarkEnd w:id="386"/>
      <w:bookmarkStart w:id="387" w:name="_Toc184314471"/>
      <w:bookmarkEnd w:id="387"/>
      <w:bookmarkStart w:id="388" w:name="_Toc184314439"/>
      <w:bookmarkEnd w:id="388"/>
      <w:bookmarkStart w:id="389" w:name="_Toc184312108"/>
      <w:bookmarkEnd w:id="389"/>
      <w:bookmarkStart w:id="390" w:name="_Toc184312107"/>
      <w:bookmarkEnd w:id="390"/>
      <w:bookmarkStart w:id="391" w:name="_Toc184312086"/>
      <w:bookmarkEnd w:id="391"/>
      <w:bookmarkStart w:id="392" w:name="_Toc184308063"/>
      <w:bookmarkEnd w:id="392"/>
      <w:bookmarkStart w:id="393" w:name="_Toc184308095"/>
      <w:bookmarkEnd w:id="393"/>
      <w:bookmarkStart w:id="394" w:name="_Toc184310317"/>
      <w:bookmarkEnd w:id="394"/>
      <w:bookmarkStart w:id="395" w:name="_Toc184313266"/>
      <w:bookmarkEnd w:id="395"/>
      <w:bookmarkStart w:id="396" w:name="_Toc184314431"/>
      <w:bookmarkEnd w:id="396"/>
      <w:bookmarkStart w:id="397" w:name="_Toc184308104"/>
      <w:bookmarkEnd w:id="397"/>
      <w:bookmarkStart w:id="398" w:name="_Toc184313277"/>
      <w:bookmarkEnd w:id="398"/>
      <w:r>
        <w:rPr>
          <w:rFonts w:hint="eastAsia" w:ascii="宋体" w:hAnsi="宋体" w:cs="宋体"/>
          <w:b/>
          <w:color w:val="auto"/>
          <w:sz w:val="36"/>
          <w:szCs w:val="20"/>
          <w:highlight w:val="none"/>
        </w:rPr>
        <w:t xml:space="preserve"> 评审办法</w:t>
      </w:r>
      <w:bookmarkEnd w:id="33"/>
    </w:p>
    <w:p w14:paraId="512B93AC">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2"/>
        <w:tblW w:w="59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7459"/>
        <w:gridCol w:w="638"/>
        <w:gridCol w:w="825"/>
        <w:gridCol w:w="1373"/>
      </w:tblGrid>
      <w:tr w14:paraId="5EBB4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0" w:type="pct"/>
            <w:vAlign w:val="center"/>
          </w:tcPr>
          <w:p w14:paraId="72F7E726">
            <w:pPr>
              <w:snapToGrid w:val="0"/>
              <w:jc w:val="center"/>
              <w:outlineLvl w:val="0"/>
              <w:rPr>
                <w:rFonts w:hint="eastAsia" w:ascii="宋体" w:hAnsi="宋体" w:eastAsia="宋体" w:cs="宋体"/>
                <w:b/>
                <w:bCs w:val="0"/>
                <w:color w:val="auto"/>
                <w:sz w:val="24"/>
                <w:szCs w:val="24"/>
                <w:highlight w:val="none"/>
                <w:lang w:eastAsia="zh-CN"/>
              </w:rPr>
            </w:pPr>
            <w:bookmarkStart w:id="399" w:name="_Toc13204"/>
            <w:r>
              <w:rPr>
                <w:rFonts w:hint="eastAsia" w:ascii="宋体" w:hAnsi="宋体" w:cs="宋体"/>
                <w:b/>
                <w:bCs w:val="0"/>
                <w:color w:val="auto"/>
                <w:sz w:val="24"/>
                <w:szCs w:val="24"/>
                <w:highlight w:val="none"/>
              </w:rPr>
              <w:t>序号</w:t>
            </w:r>
            <w:bookmarkEnd w:id="399"/>
          </w:p>
        </w:tc>
        <w:tc>
          <w:tcPr>
            <w:tcW w:w="3390" w:type="pct"/>
            <w:vAlign w:val="center"/>
          </w:tcPr>
          <w:p w14:paraId="30B2F8F5">
            <w:pPr>
              <w:snapToGrid w:val="0"/>
              <w:jc w:val="center"/>
              <w:outlineLvl w:val="0"/>
              <w:rPr>
                <w:rFonts w:ascii="宋体" w:hAnsi="宋体" w:cs="宋体"/>
                <w:b/>
                <w:bCs w:val="0"/>
                <w:color w:val="auto"/>
                <w:sz w:val="24"/>
                <w:highlight w:val="none"/>
              </w:rPr>
            </w:pPr>
            <w:bookmarkStart w:id="400" w:name="_Toc4128"/>
            <w:r>
              <w:rPr>
                <w:rFonts w:hint="eastAsia" w:ascii="宋体" w:hAnsi="宋体" w:cs="宋体"/>
                <w:b/>
                <w:bCs w:val="0"/>
                <w:color w:val="auto"/>
                <w:sz w:val="24"/>
                <w:highlight w:val="none"/>
              </w:rPr>
              <w:t>评审标准</w:t>
            </w:r>
            <w:bookmarkEnd w:id="400"/>
          </w:p>
        </w:tc>
        <w:tc>
          <w:tcPr>
            <w:tcW w:w="290" w:type="pct"/>
            <w:vAlign w:val="center"/>
          </w:tcPr>
          <w:p w14:paraId="43A532D7">
            <w:pPr>
              <w:snapToGrid w:val="0"/>
              <w:jc w:val="center"/>
              <w:outlineLvl w:val="0"/>
              <w:rPr>
                <w:rFonts w:hint="eastAsia" w:ascii="宋体" w:hAnsi="宋体" w:eastAsia="宋体" w:cs="宋体"/>
                <w:b/>
                <w:bCs w:val="0"/>
                <w:color w:val="auto"/>
                <w:sz w:val="24"/>
                <w:highlight w:val="none"/>
                <w:lang w:val="en-US" w:eastAsia="zh-CN"/>
              </w:rPr>
            </w:pPr>
            <w:bookmarkStart w:id="401" w:name="_Toc26686"/>
            <w:r>
              <w:rPr>
                <w:rFonts w:hint="eastAsia" w:ascii="宋体" w:hAnsi="宋体" w:cs="宋体"/>
                <w:b/>
                <w:bCs w:val="0"/>
                <w:color w:val="auto"/>
                <w:sz w:val="24"/>
                <w:highlight w:val="none"/>
              </w:rPr>
              <w:t>权重</w:t>
            </w:r>
            <w:bookmarkEnd w:id="401"/>
          </w:p>
        </w:tc>
        <w:tc>
          <w:tcPr>
            <w:tcW w:w="375" w:type="pct"/>
            <w:vAlign w:val="center"/>
          </w:tcPr>
          <w:p w14:paraId="2C47E9C0">
            <w:pPr>
              <w:snapToGrid w:val="0"/>
              <w:jc w:val="center"/>
              <w:outlineLvl w:val="0"/>
              <w:rPr>
                <w:rFonts w:hint="eastAsia" w:ascii="宋体" w:hAnsi="宋体" w:eastAsia="宋体" w:cs="宋体"/>
                <w:b/>
                <w:bCs w:val="0"/>
                <w:color w:val="auto"/>
                <w:sz w:val="24"/>
                <w:highlight w:val="none"/>
                <w:lang w:val="en-US" w:eastAsia="zh-CN"/>
              </w:rPr>
            </w:pPr>
            <w:bookmarkStart w:id="402" w:name="_Toc22544"/>
            <w:r>
              <w:rPr>
                <w:rFonts w:hint="eastAsia" w:ascii="宋体" w:hAnsi="宋体" w:cs="宋体"/>
                <w:b/>
                <w:bCs w:val="0"/>
                <w:color w:val="auto"/>
                <w:sz w:val="24"/>
                <w:highlight w:val="none"/>
                <w:lang w:val="en-US" w:eastAsia="zh-CN"/>
              </w:rPr>
              <w:t>备注</w:t>
            </w:r>
            <w:bookmarkEnd w:id="402"/>
          </w:p>
        </w:tc>
        <w:tc>
          <w:tcPr>
            <w:tcW w:w="624" w:type="pct"/>
            <w:vAlign w:val="center"/>
          </w:tcPr>
          <w:p w14:paraId="7C921D41">
            <w:pPr>
              <w:snapToGrid w:val="0"/>
              <w:jc w:val="center"/>
              <w:outlineLvl w:val="0"/>
              <w:rPr>
                <w:rFonts w:ascii="宋体" w:hAnsi="宋体" w:cs="宋体"/>
                <w:b/>
                <w:bCs w:val="0"/>
                <w:color w:val="auto"/>
                <w:sz w:val="24"/>
                <w:highlight w:val="none"/>
              </w:rPr>
            </w:pPr>
            <w:bookmarkStart w:id="403" w:name="_Toc7113"/>
            <w:r>
              <w:rPr>
                <w:rFonts w:hint="eastAsia" w:ascii="宋体" w:hAnsi="宋体" w:cs="宋体"/>
                <w:b/>
                <w:bCs w:val="0"/>
                <w:color w:val="auto"/>
                <w:sz w:val="24"/>
                <w:highlight w:val="none"/>
              </w:rPr>
              <w:t>响应文件中评审标准相应的商务技术资料目录</w:t>
            </w:r>
            <w:r>
              <w:rPr>
                <w:rFonts w:hint="eastAsia" w:ascii="宋体" w:hAnsi="宋体" w:cs="宋体"/>
                <w:b/>
                <w:bCs w:val="0"/>
                <w:color w:val="auto"/>
                <w:sz w:val="24"/>
                <w:highlight w:val="none"/>
                <w:shd w:val="clear" w:color="auto" w:fill="FFFFFF"/>
              </w:rPr>
              <w:t> *</w:t>
            </w:r>
            <w:bookmarkEnd w:id="403"/>
          </w:p>
        </w:tc>
      </w:tr>
      <w:tr w14:paraId="42D08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0" w:type="pct"/>
            <w:vAlign w:val="center"/>
          </w:tcPr>
          <w:p w14:paraId="4729169B">
            <w:pPr>
              <w:snapToGrid w:val="0"/>
              <w:spacing w:line="240" w:lineRule="auto"/>
              <w:jc w:val="center"/>
              <w:outlineLvl w:val="0"/>
              <w:rPr>
                <w:rFonts w:hint="default" w:ascii="宋体" w:hAnsi="宋体" w:cs="宋体"/>
                <w:color w:val="auto"/>
                <w:sz w:val="24"/>
                <w:szCs w:val="24"/>
                <w:highlight w:val="none"/>
                <w:lang w:val="en-US"/>
              </w:rPr>
            </w:pPr>
            <w:bookmarkStart w:id="404" w:name="_Toc25601"/>
            <w:r>
              <w:rPr>
                <w:rFonts w:hint="eastAsia" w:ascii="宋体" w:hAnsi="宋体" w:cs="宋体"/>
                <w:color w:val="auto"/>
                <w:sz w:val="24"/>
                <w:szCs w:val="24"/>
                <w:highlight w:val="none"/>
                <w:lang w:val="en-US" w:eastAsia="zh-CN"/>
              </w:rPr>
              <w:t>1</w:t>
            </w:r>
            <w:bookmarkEnd w:id="404"/>
          </w:p>
        </w:tc>
        <w:tc>
          <w:tcPr>
            <w:tcW w:w="3390" w:type="pct"/>
            <w:vAlign w:val="center"/>
          </w:tcPr>
          <w:p w14:paraId="3485B571">
            <w:pPr>
              <w:snapToGrid w:val="0"/>
              <w:spacing w:line="240" w:lineRule="auto"/>
              <w:jc w:val="both"/>
              <w:outlineLvl w:val="0"/>
              <w:rPr>
                <w:rFonts w:hint="eastAsia" w:ascii="宋体" w:hAnsi="宋体" w:eastAsia="宋体" w:cs="宋体"/>
                <w:b/>
                <w:bCs/>
                <w:snapToGrid w:val="0"/>
                <w:color w:val="auto"/>
                <w:sz w:val="24"/>
                <w:highlight w:val="none"/>
                <w:lang w:eastAsia="zh-CN"/>
              </w:rPr>
            </w:pPr>
            <w:bookmarkStart w:id="405" w:name="_Toc10844"/>
            <w:r>
              <w:rPr>
                <w:rFonts w:hint="eastAsia" w:ascii="宋体" w:hAnsi="宋体" w:cs="宋体"/>
                <w:b/>
                <w:bCs/>
                <w:snapToGrid w:val="0"/>
                <w:color w:val="auto"/>
                <w:sz w:val="24"/>
                <w:highlight w:val="none"/>
                <w:lang w:eastAsia="zh-CN"/>
              </w:rPr>
              <w:t>施工</w:t>
            </w:r>
            <w:r>
              <w:rPr>
                <w:rFonts w:hint="eastAsia" w:ascii="宋体" w:hAnsi="宋体" w:cs="宋体"/>
                <w:b/>
                <w:bCs/>
                <w:snapToGrid w:val="0"/>
                <w:color w:val="auto"/>
                <w:sz w:val="24"/>
                <w:highlight w:val="none"/>
              </w:rPr>
              <w:t>现场平面布置情况</w:t>
            </w:r>
            <w:r>
              <w:rPr>
                <w:rFonts w:hint="eastAsia" w:ascii="宋体" w:hAnsi="宋体" w:cs="宋体"/>
                <w:b/>
                <w:bCs/>
                <w:snapToGrid w:val="0"/>
                <w:color w:val="auto"/>
                <w:sz w:val="24"/>
                <w:highlight w:val="none"/>
                <w:lang w:eastAsia="zh-CN"/>
              </w:rPr>
              <w:t>（</w:t>
            </w:r>
            <w:r>
              <w:rPr>
                <w:rFonts w:hint="eastAsia" w:ascii="宋体" w:hAnsi="宋体" w:cs="宋体"/>
                <w:b/>
                <w:bCs/>
                <w:snapToGrid w:val="0"/>
                <w:color w:val="auto"/>
                <w:sz w:val="24"/>
                <w:highlight w:val="none"/>
                <w:lang w:val="en-US" w:eastAsia="zh-CN"/>
              </w:rPr>
              <w:t>5分</w:t>
            </w:r>
            <w:r>
              <w:rPr>
                <w:rFonts w:hint="eastAsia" w:ascii="宋体" w:hAnsi="宋体" w:cs="宋体"/>
                <w:b/>
                <w:bCs/>
                <w:snapToGrid w:val="0"/>
                <w:color w:val="auto"/>
                <w:sz w:val="24"/>
                <w:highlight w:val="none"/>
                <w:lang w:eastAsia="zh-CN"/>
              </w:rPr>
              <w:t>）：</w:t>
            </w:r>
            <w:bookmarkEnd w:id="405"/>
          </w:p>
          <w:p w14:paraId="5C526FD7">
            <w:pPr>
              <w:snapToGrid w:val="0"/>
              <w:spacing w:line="240" w:lineRule="auto"/>
              <w:jc w:val="both"/>
              <w:outlineLvl w:val="0"/>
              <w:rPr>
                <w:rFonts w:hint="eastAsia" w:ascii="宋体" w:hAnsi="宋体" w:cs="宋体"/>
                <w:snapToGrid w:val="0"/>
                <w:color w:val="auto"/>
                <w:sz w:val="24"/>
                <w:highlight w:val="none"/>
              </w:rPr>
            </w:pPr>
            <w:bookmarkStart w:id="406" w:name="_Toc11956"/>
            <w:r>
              <w:rPr>
                <w:rFonts w:hint="eastAsia" w:ascii="宋体" w:hAnsi="宋体" w:cs="宋体"/>
                <w:snapToGrid w:val="0"/>
                <w:color w:val="auto"/>
                <w:sz w:val="24"/>
                <w:highlight w:val="none"/>
              </w:rPr>
              <w:t>根据供应商提供的</w:t>
            </w:r>
            <w:r>
              <w:rPr>
                <w:rFonts w:hint="eastAsia" w:ascii="宋体" w:hAnsi="宋体" w:cs="宋体"/>
                <w:snapToGrid w:val="0"/>
                <w:color w:val="auto"/>
                <w:sz w:val="24"/>
                <w:highlight w:val="none"/>
                <w:lang w:eastAsia="zh-CN"/>
              </w:rPr>
              <w:t>施工</w:t>
            </w:r>
            <w:r>
              <w:rPr>
                <w:rFonts w:hint="eastAsia" w:ascii="宋体" w:hAnsi="宋体" w:cs="宋体"/>
                <w:snapToGrid w:val="0"/>
                <w:color w:val="auto"/>
                <w:sz w:val="24"/>
                <w:highlight w:val="none"/>
              </w:rPr>
              <w:t>现场平面布置情况</w:t>
            </w:r>
            <w:r>
              <w:rPr>
                <w:rFonts w:hint="eastAsia" w:ascii="宋体" w:hAnsi="宋体" w:cs="宋体"/>
                <w:snapToGrid w:val="0"/>
                <w:color w:val="auto"/>
                <w:sz w:val="24"/>
                <w:highlight w:val="none"/>
                <w:lang w:eastAsia="zh-CN"/>
              </w:rPr>
              <w:t>（包含但不仅限于方案详实情况；施工现场临时设置布置情况；施工设备、原材料堆放情况；安全警示情况；施工现场安全通道、消防设施配备情况等）</w:t>
            </w:r>
            <w:r>
              <w:rPr>
                <w:rFonts w:hint="eastAsia" w:ascii="宋体" w:hAnsi="宋体" w:cs="宋体"/>
                <w:snapToGrid w:val="0"/>
                <w:color w:val="auto"/>
                <w:sz w:val="24"/>
                <w:highlight w:val="none"/>
              </w:rPr>
              <w:t>进行评议：</w:t>
            </w:r>
            <w:bookmarkEnd w:id="406"/>
          </w:p>
          <w:p w14:paraId="3B7365C1">
            <w:pPr>
              <w:snapToGrid w:val="0"/>
              <w:spacing w:line="240" w:lineRule="auto"/>
              <w:jc w:val="both"/>
              <w:outlineLvl w:val="0"/>
              <w:rPr>
                <w:rFonts w:hint="eastAsia" w:ascii="宋体" w:hAnsi="宋体" w:eastAsia="宋体" w:cs="宋体"/>
                <w:snapToGrid w:val="0"/>
                <w:color w:val="auto"/>
                <w:sz w:val="24"/>
                <w:highlight w:val="none"/>
              </w:rPr>
            </w:pPr>
            <w:bookmarkStart w:id="407" w:name="_Toc15906"/>
            <w:r>
              <w:rPr>
                <w:rFonts w:hint="eastAsia" w:ascii="宋体" w:hAnsi="宋体" w:eastAsia="宋体" w:cs="宋体"/>
                <w:snapToGrid w:val="0"/>
                <w:color w:val="auto"/>
                <w:sz w:val="24"/>
                <w:highlight w:val="none"/>
              </w:rPr>
              <w:t>①平面布置方案详实完整，</w:t>
            </w:r>
            <w:r>
              <w:rPr>
                <w:rFonts w:hint="eastAsia" w:ascii="宋体" w:hAnsi="宋体" w:eastAsia="宋体" w:cs="宋体"/>
                <w:snapToGrid w:val="0"/>
                <w:color w:val="auto"/>
                <w:sz w:val="24"/>
                <w:highlight w:val="none"/>
                <w:lang w:eastAsia="zh-CN"/>
              </w:rPr>
              <w:t>施工现场临时设施布置齐全，施工设备、原材料堆放有序，安全警示醒目，施工现场安全通道、消防设施配备充足，可执行力高</w:t>
            </w:r>
            <w:r>
              <w:rPr>
                <w:rFonts w:hint="eastAsia" w:ascii="宋体" w:hAnsi="宋体" w:eastAsia="宋体" w:cs="宋体"/>
                <w:snapToGrid w:val="0"/>
                <w:color w:val="auto"/>
                <w:sz w:val="24"/>
                <w:highlight w:val="none"/>
              </w:rPr>
              <w:t>的得</w:t>
            </w:r>
            <w:r>
              <w:rPr>
                <w:rFonts w:hint="eastAsia" w:ascii="宋体" w:hAnsi="宋体" w:eastAsia="宋体" w:cs="宋体"/>
                <w:snapToGrid w:val="0"/>
                <w:color w:val="auto"/>
                <w:sz w:val="24"/>
                <w:highlight w:val="none"/>
                <w:lang w:val="en-US" w:eastAsia="zh-CN"/>
              </w:rPr>
              <w:t>5</w:t>
            </w:r>
            <w:r>
              <w:rPr>
                <w:rFonts w:hint="eastAsia" w:ascii="宋体" w:hAnsi="宋体" w:eastAsia="宋体" w:cs="宋体"/>
                <w:snapToGrid w:val="0"/>
                <w:color w:val="auto"/>
                <w:sz w:val="24"/>
                <w:highlight w:val="none"/>
              </w:rPr>
              <w:t>分；</w:t>
            </w:r>
            <w:bookmarkEnd w:id="407"/>
          </w:p>
          <w:p w14:paraId="673DC73F">
            <w:pPr>
              <w:snapToGrid w:val="0"/>
              <w:spacing w:line="240" w:lineRule="auto"/>
              <w:jc w:val="both"/>
              <w:outlineLvl w:val="0"/>
              <w:rPr>
                <w:rFonts w:hint="eastAsia" w:ascii="宋体" w:hAnsi="宋体" w:eastAsia="宋体" w:cs="宋体"/>
                <w:snapToGrid w:val="0"/>
                <w:color w:val="auto"/>
                <w:sz w:val="24"/>
                <w:highlight w:val="none"/>
              </w:rPr>
            </w:pPr>
            <w:bookmarkStart w:id="408" w:name="_Toc4712"/>
            <w:r>
              <w:rPr>
                <w:rFonts w:hint="eastAsia" w:ascii="宋体" w:hAnsi="宋体" w:eastAsia="宋体" w:cs="宋体"/>
                <w:snapToGrid w:val="0"/>
                <w:color w:val="auto"/>
                <w:sz w:val="24"/>
                <w:highlight w:val="none"/>
              </w:rPr>
              <w:t>②平面布置方案内容充分，较详细，</w:t>
            </w:r>
            <w:r>
              <w:rPr>
                <w:rFonts w:hint="eastAsia" w:ascii="宋体" w:hAnsi="宋体" w:eastAsia="宋体" w:cs="宋体"/>
                <w:snapToGrid w:val="0"/>
                <w:color w:val="auto"/>
                <w:sz w:val="24"/>
                <w:highlight w:val="none"/>
                <w:lang w:eastAsia="zh-CN"/>
              </w:rPr>
              <w:t>施工现场临时设施布置较齐全，施工设备、原材料堆放较有序，安全警示较醒目，施工现场安全通道、消防设施配备较充足，</w:t>
            </w:r>
            <w:r>
              <w:rPr>
                <w:rFonts w:hint="eastAsia" w:ascii="宋体" w:hAnsi="宋体" w:eastAsia="宋体" w:cs="宋体"/>
                <w:snapToGrid w:val="0"/>
                <w:color w:val="auto"/>
                <w:sz w:val="24"/>
                <w:highlight w:val="none"/>
              </w:rPr>
              <w:t>可执行力度较高的得</w:t>
            </w:r>
            <w:r>
              <w:rPr>
                <w:rFonts w:hint="eastAsia" w:ascii="宋体" w:hAnsi="宋体" w:eastAsia="宋体" w:cs="宋体"/>
                <w:snapToGrid w:val="0"/>
                <w:color w:val="auto"/>
                <w:sz w:val="24"/>
                <w:highlight w:val="none"/>
                <w:lang w:val="en-US" w:eastAsia="zh-CN"/>
              </w:rPr>
              <w:t>3</w:t>
            </w:r>
            <w:r>
              <w:rPr>
                <w:rFonts w:hint="eastAsia" w:ascii="宋体" w:hAnsi="宋体" w:eastAsia="宋体" w:cs="宋体"/>
                <w:snapToGrid w:val="0"/>
                <w:color w:val="auto"/>
                <w:sz w:val="24"/>
                <w:highlight w:val="none"/>
              </w:rPr>
              <w:t>分；</w:t>
            </w:r>
            <w:bookmarkEnd w:id="408"/>
          </w:p>
          <w:p w14:paraId="7CCAF5D6">
            <w:pPr>
              <w:snapToGrid w:val="0"/>
              <w:spacing w:line="240" w:lineRule="auto"/>
              <w:jc w:val="both"/>
              <w:outlineLvl w:val="0"/>
              <w:rPr>
                <w:rFonts w:hint="eastAsia" w:ascii="宋体" w:hAnsi="宋体" w:eastAsia="宋体" w:cs="宋体"/>
                <w:snapToGrid w:val="0"/>
                <w:color w:val="auto"/>
                <w:sz w:val="24"/>
                <w:highlight w:val="none"/>
              </w:rPr>
            </w:pPr>
            <w:bookmarkStart w:id="409" w:name="_Toc17940"/>
            <w:r>
              <w:rPr>
                <w:rFonts w:hint="eastAsia" w:ascii="宋体" w:hAnsi="宋体" w:eastAsia="宋体" w:cs="宋体"/>
                <w:snapToGrid w:val="0"/>
                <w:color w:val="auto"/>
                <w:sz w:val="24"/>
                <w:highlight w:val="none"/>
              </w:rPr>
              <w:t>③平面布置方案内容简单，</w:t>
            </w:r>
            <w:r>
              <w:rPr>
                <w:rFonts w:hint="eastAsia" w:ascii="宋体" w:hAnsi="宋体" w:eastAsia="宋体" w:cs="宋体"/>
                <w:snapToGrid w:val="0"/>
                <w:color w:val="auto"/>
                <w:sz w:val="24"/>
                <w:highlight w:val="none"/>
                <w:lang w:eastAsia="zh-CN"/>
              </w:rPr>
              <w:t>施工现场临时设施布置缺失，施工设备、原材料堆放混乱，安全警示不醒目，施工现场安全通道、消防设施配备不充足，</w:t>
            </w:r>
            <w:r>
              <w:rPr>
                <w:rFonts w:hint="eastAsia" w:ascii="宋体" w:hAnsi="宋体" w:eastAsia="宋体" w:cs="宋体"/>
                <w:snapToGrid w:val="0"/>
                <w:color w:val="auto"/>
                <w:sz w:val="24"/>
                <w:highlight w:val="none"/>
              </w:rPr>
              <w:t>可执行力低的得</w:t>
            </w:r>
            <w:r>
              <w:rPr>
                <w:rFonts w:hint="eastAsia" w:ascii="宋体" w:hAnsi="宋体" w:eastAsia="宋体" w:cs="宋体"/>
                <w:snapToGrid w:val="0"/>
                <w:color w:val="auto"/>
                <w:sz w:val="24"/>
                <w:highlight w:val="none"/>
                <w:lang w:val="en-US" w:eastAsia="zh-CN"/>
              </w:rPr>
              <w:t>1</w:t>
            </w:r>
            <w:r>
              <w:rPr>
                <w:rFonts w:hint="eastAsia" w:ascii="宋体" w:hAnsi="宋体" w:eastAsia="宋体" w:cs="宋体"/>
                <w:snapToGrid w:val="0"/>
                <w:color w:val="auto"/>
                <w:sz w:val="24"/>
                <w:highlight w:val="none"/>
              </w:rPr>
              <w:t>分；</w:t>
            </w:r>
            <w:bookmarkEnd w:id="409"/>
          </w:p>
          <w:p w14:paraId="31B68A64">
            <w:pPr>
              <w:snapToGrid w:val="0"/>
              <w:spacing w:line="240" w:lineRule="auto"/>
              <w:jc w:val="both"/>
              <w:outlineLvl w:val="0"/>
              <w:rPr>
                <w:rFonts w:hint="eastAsia" w:ascii="宋体" w:hAnsi="宋体" w:cs="宋体"/>
                <w:snapToGrid w:val="0"/>
                <w:color w:val="auto"/>
                <w:sz w:val="24"/>
                <w:highlight w:val="none"/>
              </w:rPr>
            </w:pPr>
            <w:bookmarkStart w:id="410" w:name="_Toc12548"/>
            <w:r>
              <w:rPr>
                <w:rFonts w:hint="eastAsia" w:ascii="宋体" w:hAnsi="宋体" w:eastAsia="宋体" w:cs="宋体"/>
                <w:snapToGrid w:val="0"/>
                <w:color w:val="auto"/>
                <w:sz w:val="24"/>
                <w:highlight w:val="none"/>
              </w:rPr>
              <w:t>④未提供施工现场平面布置情况的本项不得分。</w:t>
            </w:r>
            <w:bookmarkEnd w:id="410"/>
          </w:p>
        </w:tc>
        <w:tc>
          <w:tcPr>
            <w:tcW w:w="290" w:type="pct"/>
            <w:vAlign w:val="center"/>
          </w:tcPr>
          <w:p w14:paraId="6A7BE263">
            <w:pPr>
              <w:snapToGrid w:val="0"/>
              <w:spacing w:line="240" w:lineRule="auto"/>
              <w:jc w:val="center"/>
              <w:outlineLvl w:val="0"/>
              <w:rPr>
                <w:rFonts w:hint="default" w:ascii="宋体" w:hAnsi="宋体" w:cs="宋体"/>
                <w:bCs/>
                <w:color w:val="auto"/>
                <w:sz w:val="24"/>
                <w:highlight w:val="none"/>
                <w:lang w:val="en-US" w:eastAsia="zh-CN"/>
              </w:rPr>
            </w:pPr>
            <w:bookmarkStart w:id="411" w:name="_Toc22541"/>
            <w:r>
              <w:rPr>
                <w:rFonts w:hint="eastAsia" w:ascii="宋体" w:hAnsi="宋体" w:cs="宋体"/>
                <w:bCs/>
                <w:color w:val="auto"/>
                <w:sz w:val="24"/>
                <w:highlight w:val="none"/>
                <w:lang w:val="en-US" w:eastAsia="zh-CN"/>
              </w:rPr>
              <w:t>5</w:t>
            </w:r>
            <w:bookmarkEnd w:id="411"/>
          </w:p>
        </w:tc>
        <w:tc>
          <w:tcPr>
            <w:tcW w:w="375" w:type="pct"/>
            <w:vAlign w:val="center"/>
          </w:tcPr>
          <w:p w14:paraId="7BE47FB1">
            <w:pPr>
              <w:snapToGrid w:val="0"/>
              <w:spacing w:line="240" w:lineRule="auto"/>
              <w:jc w:val="center"/>
              <w:outlineLvl w:val="0"/>
              <w:rPr>
                <w:rFonts w:hint="default" w:ascii="宋体" w:hAnsi="宋体" w:cs="宋体"/>
                <w:bCs/>
                <w:color w:val="auto"/>
                <w:sz w:val="24"/>
                <w:highlight w:val="none"/>
                <w:lang w:val="en-US" w:eastAsia="zh-CN"/>
              </w:rPr>
            </w:pPr>
            <w:bookmarkStart w:id="412" w:name="_Toc32346"/>
            <w:r>
              <w:rPr>
                <w:rFonts w:hint="eastAsia" w:ascii="宋体" w:hAnsi="宋体" w:cs="宋体"/>
                <w:bCs/>
                <w:color w:val="auto"/>
                <w:sz w:val="24"/>
                <w:highlight w:val="none"/>
                <w:lang w:val="en-US" w:eastAsia="zh-CN"/>
              </w:rPr>
              <w:t>主观评审</w:t>
            </w:r>
            <w:bookmarkEnd w:id="412"/>
          </w:p>
        </w:tc>
        <w:tc>
          <w:tcPr>
            <w:tcW w:w="624" w:type="pct"/>
            <w:vAlign w:val="center"/>
          </w:tcPr>
          <w:p w14:paraId="01F55142">
            <w:pPr>
              <w:snapToGrid w:val="0"/>
              <w:spacing w:line="240" w:lineRule="auto"/>
              <w:jc w:val="center"/>
              <w:outlineLvl w:val="0"/>
              <w:rPr>
                <w:rFonts w:hint="eastAsia" w:ascii="宋体" w:hAnsi="宋体" w:cs="宋体"/>
                <w:color w:val="auto"/>
                <w:sz w:val="24"/>
                <w:highlight w:val="none"/>
                <w:lang w:val="en-US" w:eastAsia="zh-CN"/>
              </w:rPr>
            </w:pPr>
          </w:p>
        </w:tc>
      </w:tr>
      <w:tr w14:paraId="77FEC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0" w:type="pct"/>
            <w:vAlign w:val="center"/>
          </w:tcPr>
          <w:p w14:paraId="3AC84C6A">
            <w:pPr>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c>
          <w:tcPr>
            <w:tcW w:w="3390" w:type="pct"/>
            <w:vAlign w:val="center"/>
          </w:tcPr>
          <w:p w14:paraId="420EB414">
            <w:pPr>
              <w:snapToGrid w:val="0"/>
              <w:spacing w:line="240" w:lineRule="auto"/>
              <w:jc w:val="both"/>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eastAsia="zh-CN"/>
              </w:rPr>
              <w:t>施工</w:t>
            </w:r>
            <w:r>
              <w:rPr>
                <w:rFonts w:hint="eastAsia" w:ascii="宋体" w:hAnsi="宋体" w:cs="宋体"/>
                <w:b/>
                <w:bCs/>
                <w:color w:val="auto"/>
                <w:sz w:val="24"/>
                <w:szCs w:val="24"/>
                <w:highlight w:val="none"/>
              </w:rPr>
              <w:t>方案</w:t>
            </w:r>
            <w:r>
              <w:rPr>
                <w:rFonts w:hint="eastAsia" w:ascii="宋体" w:hAnsi="宋体" w:cs="宋体"/>
                <w:b/>
                <w:bCs/>
                <w:snapToGrid w:val="0"/>
                <w:color w:val="auto"/>
                <w:sz w:val="24"/>
                <w:highlight w:val="none"/>
                <w:lang w:eastAsia="zh-CN"/>
              </w:rPr>
              <w:t>（</w:t>
            </w:r>
            <w:r>
              <w:rPr>
                <w:rFonts w:hint="eastAsia" w:ascii="宋体" w:hAnsi="宋体" w:cs="宋体"/>
                <w:b/>
                <w:bCs/>
                <w:snapToGrid w:val="0"/>
                <w:color w:val="auto"/>
                <w:sz w:val="24"/>
                <w:highlight w:val="none"/>
                <w:lang w:val="en-US" w:eastAsia="zh-CN"/>
              </w:rPr>
              <w:t>6分</w:t>
            </w:r>
            <w:r>
              <w:rPr>
                <w:rFonts w:hint="eastAsia" w:ascii="宋体" w:hAnsi="宋体" w:cs="宋体"/>
                <w:b/>
                <w:bCs/>
                <w:snapToGrid w:val="0"/>
                <w:color w:val="auto"/>
                <w:sz w:val="24"/>
                <w:highlight w:val="none"/>
                <w:lang w:eastAsia="zh-CN"/>
              </w:rPr>
              <w:t>）：</w:t>
            </w:r>
          </w:p>
          <w:p w14:paraId="44D4BFA6">
            <w:pPr>
              <w:snapToGrid w:val="0"/>
              <w:spacing w:line="240" w:lineRule="auto"/>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根据供应商提供的</w:t>
            </w:r>
            <w:r>
              <w:rPr>
                <w:rFonts w:hint="eastAsia" w:ascii="宋体" w:hAnsi="宋体" w:cs="宋体"/>
                <w:color w:val="auto"/>
                <w:sz w:val="24"/>
                <w:szCs w:val="24"/>
                <w:highlight w:val="none"/>
                <w:lang w:eastAsia="zh-CN"/>
              </w:rPr>
              <w:t>施工</w:t>
            </w:r>
            <w:r>
              <w:rPr>
                <w:rFonts w:hint="eastAsia" w:ascii="宋体" w:hAnsi="宋体" w:cs="宋体"/>
                <w:color w:val="auto"/>
                <w:sz w:val="24"/>
                <w:szCs w:val="24"/>
                <w:highlight w:val="none"/>
              </w:rPr>
              <w:t>方案（</w:t>
            </w:r>
            <w:r>
              <w:rPr>
                <w:rFonts w:hint="eastAsia" w:ascii="宋体" w:hAnsi="宋体" w:cs="宋体"/>
                <w:color w:val="auto"/>
                <w:sz w:val="24"/>
                <w:szCs w:val="24"/>
                <w:highlight w:val="none"/>
                <w:lang w:eastAsia="zh-CN"/>
              </w:rPr>
              <w:t>包含但不仅限于安全保障措施，安全文明施工方案及措施，装修改造工程、电气工程、给排水</w:t>
            </w:r>
            <w:r>
              <w:rPr>
                <w:rFonts w:hint="eastAsia" w:ascii="宋体" w:hAnsi="宋体" w:cs="宋体"/>
                <w:color w:val="auto"/>
                <w:sz w:val="24"/>
                <w:szCs w:val="24"/>
                <w:highlight w:val="none"/>
                <w:lang w:val="en-US" w:eastAsia="zh-CN"/>
              </w:rPr>
              <w:t>工程、</w:t>
            </w:r>
            <w:r>
              <w:rPr>
                <w:rFonts w:hint="eastAsia" w:ascii="宋体" w:hAnsi="宋体" w:cs="宋体"/>
                <w:color w:val="auto"/>
                <w:sz w:val="24"/>
                <w:szCs w:val="24"/>
                <w:highlight w:val="none"/>
                <w:lang w:eastAsia="zh-CN"/>
              </w:rPr>
              <w:t>消防水工程、消防电</w:t>
            </w:r>
            <w:r>
              <w:rPr>
                <w:rFonts w:hint="eastAsia" w:ascii="宋体" w:hAnsi="宋体" w:cs="宋体"/>
                <w:color w:val="auto"/>
                <w:sz w:val="24"/>
                <w:szCs w:val="24"/>
                <w:highlight w:val="none"/>
                <w:lang w:val="en-US" w:eastAsia="zh-CN"/>
              </w:rPr>
              <w:t>工程</w:t>
            </w:r>
            <w:r>
              <w:rPr>
                <w:rFonts w:hint="eastAsia" w:ascii="宋体" w:hAnsi="宋体" w:cs="宋体"/>
                <w:color w:val="auto"/>
                <w:sz w:val="24"/>
                <w:szCs w:val="24"/>
                <w:highlight w:val="none"/>
                <w:lang w:eastAsia="zh-CN"/>
              </w:rPr>
              <w:t>等</w:t>
            </w:r>
            <w:r>
              <w:rPr>
                <w:rFonts w:hint="eastAsia" w:ascii="宋体" w:hAnsi="宋体" w:cs="宋体"/>
                <w:color w:val="auto"/>
                <w:sz w:val="24"/>
                <w:szCs w:val="24"/>
                <w:highlight w:val="none"/>
              </w:rPr>
              <w:t>）进行评议：</w:t>
            </w:r>
          </w:p>
          <w:p w14:paraId="5FADE135">
            <w:pPr>
              <w:snapToGrid w:val="0"/>
              <w:spacing w:line="240" w:lineRule="auto"/>
              <w:jc w:val="both"/>
              <w:rPr>
                <w:rFonts w:hint="eastAsia" w:ascii="宋体" w:hAnsi="宋体" w:cs="宋体"/>
                <w:color w:val="auto"/>
                <w:sz w:val="24"/>
                <w:szCs w:val="24"/>
                <w:highlight w:val="none"/>
              </w:rPr>
            </w:pPr>
            <w:r>
              <w:rPr>
                <w:rFonts w:hint="eastAsia" w:ascii="宋体" w:hAnsi="宋体" w:eastAsia="宋体" w:cs="宋体"/>
                <w:snapToGrid w:val="0"/>
                <w:color w:val="auto"/>
                <w:sz w:val="24"/>
                <w:highlight w:val="none"/>
              </w:rPr>
              <w:t>①</w:t>
            </w:r>
            <w:r>
              <w:rPr>
                <w:rFonts w:hint="eastAsia" w:ascii="宋体" w:hAnsi="宋体" w:cs="宋体"/>
                <w:color w:val="auto"/>
                <w:sz w:val="24"/>
                <w:szCs w:val="24"/>
                <w:highlight w:val="none"/>
              </w:rPr>
              <w:t>施工方案详实、措施得力，可执行力度高的得</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分；</w:t>
            </w:r>
          </w:p>
          <w:p w14:paraId="15693DCE">
            <w:pPr>
              <w:snapToGrid w:val="0"/>
              <w:spacing w:line="240" w:lineRule="auto"/>
              <w:jc w:val="both"/>
              <w:rPr>
                <w:rFonts w:hint="eastAsia" w:ascii="宋体" w:hAnsi="宋体" w:cs="宋体"/>
                <w:color w:val="auto"/>
                <w:sz w:val="24"/>
                <w:szCs w:val="24"/>
                <w:highlight w:val="none"/>
              </w:rPr>
            </w:pPr>
            <w:r>
              <w:rPr>
                <w:rFonts w:hint="eastAsia" w:ascii="宋体" w:hAnsi="宋体" w:eastAsia="宋体" w:cs="宋体"/>
                <w:snapToGrid w:val="0"/>
                <w:color w:val="auto"/>
                <w:sz w:val="24"/>
                <w:highlight w:val="none"/>
              </w:rPr>
              <w:t>②</w:t>
            </w:r>
            <w:r>
              <w:rPr>
                <w:rFonts w:hint="eastAsia" w:ascii="宋体" w:hAnsi="宋体" w:cs="宋体"/>
                <w:color w:val="auto"/>
                <w:sz w:val="24"/>
                <w:szCs w:val="24"/>
                <w:highlight w:val="none"/>
              </w:rPr>
              <w:t>施工方案内容充分，措施得当，可执行力度较高的得</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w:t>
            </w:r>
          </w:p>
          <w:p w14:paraId="4EFB311E">
            <w:pPr>
              <w:snapToGrid w:val="0"/>
              <w:spacing w:line="240" w:lineRule="auto"/>
              <w:jc w:val="both"/>
              <w:rPr>
                <w:rFonts w:hint="eastAsia" w:ascii="宋体" w:hAnsi="宋体" w:cs="宋体"/>
                <w:color w:val="auto"/>
                <w:sz w:val="24"/>
                <w:szCs w:val="24"/>
                <w:highlight w:val="none"/>
              </w:rPr>
            </w:pPr>
            <w:r>
              <w:rPr>
                <w:rFonts w:hint="eastAsia" w:ascii="宋体" w:hAnsi="宋体" w:eastAsia="宋体" w:cs="宋体"/>
                <w:snapToGrid w:val="0"/>
                <w:color w:val="auto"/>
                <w:sz w:val="24"/>
                <w:highlight w:val="none"/>
              </w:rPr>
              <w:t>③</w:t>
            </w:r>
            <w:r>
              <w:rPr>
                <w:rFonts w:hint="eastAsia" w:ascii="宋体" w:hAnsi="宋体" w:cs="宋体"/>
                <w:color w:val="auto"/>
                <w:sz w:val="24"/>
                <w:szCs w:val="24"/>
                <w:highlight w:val="none"/>
              </w:rPr>
              <w:t>施工方案内容简单，可执行力低的得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w:t>
            </w:r>
          </w:p>
          <w:p w14:paraId="6796FCC3">
            <w:pPr>
              <w:snapToGrid w:val="0"/>
              <w:spacing w:line="240" w:lineRule="auto"/>
              <w:jc w:val="both"/>
              <w:rPr>
                <w:rFonts w:ascii="宋体" w:hAnsi="宋体" w:cs="宋体"/>
                <w:color w:val="auto"/>
                <w:highlight w:val="none"/>
              </w:rPr>
            </w:pPr>
            <w:r>
              <w:rPr>
                <w:rFonts w:hint="eastAsia" w:ascii="宋体" w:hAnsi="宋体" w:eastAsia="宋体" w:cs="宋体"/>
                <w:snapToGrid w:val="0"/>
                <w:color w:val="auto"/>
                <w:sz w:val="24"/>
                <w:highlight w:val="none"/>
              </w:rPr>
              <w:t>④</w:t>
            </w:r>
            <w:r>
              <w:rPr>
                <w:rFonts w:hint="eastAsia" w:ascii="宋体" w:hAnsi="宋体" w:cs="宋体"/>
                <w:color w:val="auto"/>
                <w:sz w:val="24"/>
                <w:szCs w:val="24"/>
                <w:highlight w:val="none"/>
              </w:rPr>
              <w:t>未提供施工方案的本项不得分。</w:t>
            </w:r>
          </w:p>
        </w:tc>
        <w:tc>
          <w:tcPr>
            <w:tcW w:w="290" w:type="pct"/>
            <w:vAlign w:val="center"/>
          </w:tcPr>
          <w:p w14:paraId="1A223364">
            <w:pPr>
              <w:snapToGrid w:val="0"/>
              <w:spacing w:line="240" w:lineRule="auto"/>
              <w:jc w:val="center"/>
              <w:outlineLvl w:val="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6</w:t>
            </w:r>
          </w:p>
        </w:tc>
        <w:tc>
          <w:tcPr>
            <w:tcW w:w="375" w:type="pct"/>
            <w:vAlign w:val="center"/>
          </w:tcPr>
          <w:p w14:paraId="02AFC18A">
            <w:pPr>
              <w:snapToGrid w:val="0"/>
              <w:spacing w:line="240" w:lineRule="auto"/>
              <w:jc w:val="center"/>
              <w:outlineLvl w:val="0"/>
              <w:rPr>
                <w:rFonts w:hint="eastAsia" w:ascii="宋体" w:hAnsi="宋体" w:cs="宋体"/>
                <w:bCs/>
                <w:color w:val="auto"/>
                <w:sz w:val="24"/>
                <w:highlight w:val="none"/>
                <w:lang w:val="en-US" w:eastAsia="zh-CN"/>
              </w:rPr>
            </w:pPr>
            <w:bookmarkStart w:id="413" w:name="_Toc1478"/>
            <w:r>
              <w:rPr>
                <w:rFonts w:hint="eastAsia" w:ascii="宋体" w:hAnsi="宋体" w:cs="宋体"/>
                <w:bCs/>
                <w:color w:val="auto"/>
                <w:sz w:val="24"/>
                <w:highlight w:val="none"/>
                <w:lang w:val="en-US" w:eastAsia="zh-CN"/>
              </w:rPr>
              <w:t>主观评审</w:t>
            </w:r>
            <w:bookmarkEnd w:id="413"/>
          </w:p>
        </w:tc>
        <w:tc>
          <w:tcPr>
            <w:tcW w:w="624" w:type="pct"/>
            <w:vAlign w:val="center"/>
          </w:tcPr>
          <w:p w14:paraId="29957431">
            <w:pPr>
              <w:snapToGrid w:val="0"/>
              <w:spacing w:line="240" w:lineRule="auto"/>
              <w:jc w:val="center"/>
              <w:rPr>
                <w:rFonts w:ascii="宋体" w:hAnsi="宋体" w:cs="宋体"/>
                <w:color w:val="auto"/>
                <w:highlight w:val="none"/>
              </w:rPr>
            </w:pPr>
          </w:p>
        </w:tc>
      </w:tr>
      <w:tr w14:paraId="6BE0B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0" w:type="pct"/>
            <w:vAlign w:val="center"/>
          </w:tcPr>
          <w:p w14:paraId="25FAF150">
            <w:pPr>
              <w:snapToGrid w:val="0"/>
              <w:spacing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3390" w:type="pct"/>
            <w:vAlign w:val="center"/>
          </w:tcPr>
          <w:p w14:paraId="4C7ED494">
            <w:pPr>
              <w:snapToGrid w:val="0"/>
              <w:spacing w:line="240" w:lineRule="auto"/>
              <w:jc w:val="both"/>
              <w:rPr>
                <w:rFonts w:hint="eastAsia" w:ascii="宋体" w:hAnsi="宋体" w:cs="宋体"/>
                <w:color w:val="auto"/>
                <w:sz w:val="24"/>
                <w:szCs w:val="24"/>
                <w:highlight w:val="none"/>
              </w:rPr>
            </w:pPr>
            <w:r>
              <w:rPr>
                <w:rFonts w:hint="eastAsia" w:ascii="宋体" w:hAnsi="宋体" w:cs="宋体"/>
                <w:b/>
                <w:bCs/>
                <w:color w:val="auto"/>
                <w:sz w:val="24"/>
                <w:szCs w:val="24"/>
                <w:highlight w:val="none"/>
              </w:rPr>
              <w:t>施工进度计划安排</w:t>
            </w:r>
            <w:r>
              <w:rPr>
                <w:rFonts w:hint="eastAsia" w:ascii="宋体" w:hAnsi="宋体" w:cs="宋体"/>
                <w:b/>
                <w:bCs/>
                <w:snapToGrid w:val="0"/>
                <w:color w:val="auto"/>
                <w:sz w:val="24"/>
                <w:highlight w:val="none"/>
                <w:lang w:eastAsia="zh-CN"/>
              </w:rPr>
              <w:t>（</w:t>
            </w:r>
            <w:r>
              <w:rPr>
                <w:rFonts w:hint="eastAsia" w:ascii="宋体" w:hAnsi="宋体" w:cs="宋体"/>
                <w:b/>
                <w:bCs/>
                <w:snapToGrid w:val="0"/>
                <w:color w:val="auto"/>
                <w:sz w:val="24"/>
                <w:highlight w:val="none"/>
                <w:lang w:val="en-US" w:eastAsia="zh-CN"/>
              </w:rPr>
              <w:t>6分</w:t>
            </w:r>
            <w:r>
              <w:rPr>
                <w:rFonts w:hint="eastAsia" w:ascii="宋体" w:hAnsi="宋体" w:cs="宋体"/>
                <w:b/>
                <w:bCs/>
                <w:snapToGrid w:val="0"/>
                <w:color w:val="auto"/>
                <w:sz w:val="24"/>
                <w:highlight w:val="none"/>
                <w:lang w:eastAsia="zh-CN"/>
              </w:rPr>
              <w:t>）：</w:t>
            </w:r>
          </w:p>
          <w:p w14:paraId="52BDAC2A">
            <w:pPr>
              <w:snapToGrid w:val="0"/>
              <w:spacing w:line="240" w:lineRule="auto"/>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根据供应商提供的施工进度计划安排</w:t>
            </w:r>
            <w:r>
              <w:rPr>
                <w:rFonts w:hint="eastAsia" w:ascii="宋体" w:hAnsi="宋体" w:cs="宋体"/>
                <w:color w:val="auto"/>
                <w:sz w:val="24"/>
                <w:szCs w:val="24"/>
                <w:highlight w:val="none"/>
                <w:lang w:eastAsia="zh-CN"/>
              </w:rPr>
              <w:t>（包含但不仅限于方案详实情况、时间节点安排情况等）</w:t>
            </w:r>
            <w:r>
              <w:rPr>
                <w:rFonts w:hint="eastAsia" w:ascii="宋体" w:hAnsi="宋体" w:cs="宋体"/>
                <w:color w:val="auto"/>
                <w:sz w:val="24"/>
                <w:szCs w:val="24"/>
                <w:highlight w:val="none"/>
              </w:rPr>
              <w:t>进行评议：</w:t>
            </w:r>
          </w:p>
          <w:p w14:paraId="29A6845F">
            <w:pPr>
              <w:snapToGrid w:val="0"/>
              <w:spacing w:line="240" w:lineRule="auto"/>
              <w:jc w:val="both"/>
              <w:rPr>
                <w:rFonts w:hint="eastAsia" w:ascii="宋体" w:hAnsi="宋体" w:cs="宋体"/>
                <w:color w:val="auto"/>
                <w:sz w:val="24"/>
                <w:szCs w:val="24"/>
                <w:highlight w:val="none"/>
              </w:rPr>
            </w:pPr>
            <w:r>
              <w:rPr>
                <w:rFonts w:hint="eastAsia" w:ascii="宋体" w:hAnsi="宋体" w:eastAsia="宋体" w:cs="宋体"/>
                <w:snapToGrid w:val="0"/>
                <w:color w:val="auto"/>
                <w:sz w:val="24"/>
                <w:highlight w:val="none"/>
              </w:rPr>
              <w:t>①</w:t>
            </w:r>
            <w:r>
              <w:rPr>
                <w:rFonts w:hint="eastAsia" w:ascii="宋体" w:hAnsi="宋体" w:cs="宋体"/>
                <w:color w:val="auto"/>
                <w:sz w:val="24"/>
                <w:szCs w:val="24"/>
                <w:highlight w:val="none"/>
              </w:rPr>
              <w:t>施工进度计划安排方案详实，时间节点明确，具有充分可靠计划的得</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分；</w:t>
            </w:r>
          </w:p>
          <w:p w14:paraId="3C4A7D8C">
            <w:pPr>
              <w:snapToGrid w:val="0"/>
              <w:spacing w:line="240" w:lineRule="auto"/>
              <w:jc w:val="both"/>
              <w:rPr>
                <w:rFonts w:hint="eastAsia" w:ascii="宋体" w:hAnsi="宋体" w:cs="宋体"/>
                <w:color w:val="auto"/>
                <w:sz w:val="24"/>
                <w:szCs w:val="24"/>
                <w:highlight w:val="none"/>
              </w:rPr>
            </w:pPr>
            <w:r>
              <w:rPr>
                <w:rFonts w:hint="eastAsia" w:ascii="宋体" w:hAnsi="宋体" w:eastAsia="宋体" w:cs="宋体"/>
                <w:snapToGrid w:val="0"/>
                <w:color w:val="auto"/>
                <w:sz w:val="24"/>
                <w:highlight w:val="none"/>
              </w:rPr>
              <w:t>②</w:t>
            </w:r>
            <w:r>
              <w:rPr>
                <w:rFonts w:hint="eastAsia" w:ascii="宋体" w:hAnsi="宋体" w:cs="宋体"/>
                <w:color w:val="auto"/>
                <w:sz w:val="24"/>
                <w:szCs w:val="24"/>
                <w:highlight w:val="none"/>
              </w:rPr>
              <w:t>施工进度计划安排方案内容充分，项目实施计划基本满足项目实施的得</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w:t>
            </w:r>
          </w:p>
          <w:p w14:paraId="0B3488F3">
            <w:pPr>
              <w:snapToGrid w:val="0"/>
              <w:spacing w:line="240" w:lineRule="auto"/>
              <w:jc w:val="both"/>
              <w:rPr>
                <w:rFonts w:hint="eastAsia" w:ascii="宋体" w:hAnsi="宋体" w:cs="宋体"/>
                <w:color w:val="auto"/>
                <w:sz w:val="24"/>
                <w:szCs w:val="24"/>
                <w:highlight w:val="none"/>
              </w:rPr>
            </w:pPr>
            <w:r>
              <w:rPr>
                <w:rFonts w:hint="eastAsia" w:ascii="宋体" w:hAnsi="宋体" w:eastAsia="宋体" w:cs="宋体"/>
                <w:snapToGrid w:val="0"/>
                <w:color w:val="auto"/>
                <w:sz w:val="24"/>
                <w:highlight w:val="none"/>
              </w:rPr>
              <w:t>③</w:t>
            </w:r>
            <w:r>
              <w:rPr>
                <w:rFonts w:hint="eastAsia" w:ascii="宋体" w:hAnsi="宋体" w:cs="宋体"/>
                <w:color w:val="auto"/>
                <w:sz w:val="24"/>
                <w:szCs w:val="24"/>
                <w:highlight w:val="none"/>
              </w:rPr>
              <w:t>施工进度计划安排方案内容简单，工期计划不足的得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w:t>
            </w:r>
          </w:p>
          <w:p w14:paraId="66BEEEAA">
            <w:pPr>
              <w:snapToGrid w:val="0"/>
              <w:spacing w:line="240" w:lineRule="auto"/>
              <w:jc w:val="both"/>
              <w:rPr>
                <w:rFonts w:ascii="宋体" w:hAnsi="宋体" w:cs="宋体"/>
                <w:color w:val="auto"/>
                <w:highlight w:val="none"/>
              </w:rPr>
            </w:pPr>
            <w:r>
              <w:rPr>
                <w:rFonts w:hint="eastAsia" w:ascii="宋体" w:hAnsi="宋体" w:eastAsia="宋体" w:cs="宋体"/>
                <w:snapToGrid w:val="0"/>
                <w:color w:val="auto"/>
                <w:sz w:val="24"/>
                <w:highlight w:val="none"/>
              </w:rPr>
              <w:t>④</w:t>
            </w:r>
            <w:r>
              <w:rPr>
                <w:rFonts w:hint="eastAsia" w:ascii="宋体" w:hAnsi="宋体" w:cs="宋体"/>
                <w:color w:val="auto"/>
                <w:sz w:val="24"/>
                <w:szCs w:val="24"/>
                <w:highlight w:val="none"/>
              </w:rPr>
              <w:t>未提供施工进度计划安排的本项不得分。</w:t>
            </w:r>
          </w:p>
        </w:tc>
        <w:tc>
          <w:tcPr>
            <w:tcW w:w="290" w:type="pct"/>
            <w:vAlign w:val="center"/>
          </w:tcPr>
          <w:p w14:paraId="4069845D">
            <w:pPr>
              <w:snapToGrid w:val="0"/>
              <w:spacing w:line="240" w:lineRule="auto"/>
              <w:jc w:val="center"/>
              <w:outlineLvl w:val="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6</w:t>
            </w:r>
          </w:p>
        </w:tc>
        <w:tc>
          <w:tcPr>
            <w:tcW w:w="375" w:type="pct"/>
            <w:vAlign w:val="center"/>
          </w:tcPr>
          <w:p w14:paraId="4C6522F0">
            <w:pPr>
              <w:snapToGrid w:val="0"/>
              <w:spacing w:line="240" w:lineRule="auto"/>
              <w:jc w:val="center"/>
              <w:outlineLvl w:val="0"/>
              <w:rPr>
                <w:rFonts w:hint="eastAsia" w:ascii="宋体" w:hAnsi="宋体" w:cs="宋体"/>
                <w:bCs/>
                <w:color w:val="auto"/>
                <w:sz w:val="24"/>
                <w:highlight w:val="none"/>
                <w:lang w:val="en-US" w:eastAsia="zh-CN"/>
              </w:rPr>
            </w:pPr>
            <w:bookmarkStart w:id="414" w:name="_Toc3440"/>
            <w:r>
              <w:rPr>
                <w:rFonts w:hint="eastAsia" w:ascii="宋体" w:hAnsi="宋体" w:cs="宋体"/>
                <w:bCs/>
                <w:color w:val="auto"/>
                <w:sz w:val="24"/>
                <w:highlight w:val="none"/>
                <w:lang w:val="en-US" w:eastAsia="zh-CN"/>
              </w:rPr>
              <w:t>主观评审</w:t>
            </w:r>
            <w:bookmarkEnd w:id="414"/>
          </w:p>
        </w:tc>
        <w:tc>
          <w:tcPr>
            <w:tcW w:w="624" w:type="pct"/>
            <w:vAlign w:val="center"/>
          </w:tcPr>
          <w:p w14:paraId="73955985">
            <w:pPr>
              <w:snapToGrid w:val="0"/>
              <w:spacing w:line="240" w:lineRule="auto"/>
              <w:jc w:val="center"/>
              <w:rPr>
                <w:rFonts w:ascii="宋体" w:hAnsi="宋体" w:cs="宋体"/>
                <w:color w:val="auto"/>
                <w:highlight w:val="none"/>
              </w:rPr>
            </w:pPr>
          </w:p>
        </w:tc>
      </w:tr>
      <w:tr w14:paraId="0C511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0" w:type="pct"/>
            <w:vAlign w:val="center"/>
          </w:tcPr>
          <w:p w14:paraId="6AEE4A27">
            <w:pPr>
              <w:snapToGrid w:val="0"/>
              <w:spacing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3390" w:type="pct"/>
            <w:vAlign w:val="center"/>
          </w:tcPr>
          <w:p w14:paraId="6D29880D">
            <w:pPr>
              <w:snapToGrid w:val="0"/>
              <w:spacing w:line="240" w:lineRule="auto"/>
              <w:jc w:val="both"/>
              <w:rPr>
                <w:rFonts w:hint="eastAsia" w:ascii="宋体" w:hAnsi="宋体" w:cs="宋体"/>
                <w:color w:val="auto"/>
                <w:sz w:val="24"/>
                <w:szCs w:val="24"/>
                <w:highlight w:val="none"/>
              </w:rPr>
            </w:pPr>
            <w:r>
              <w:rPr>
                <w:rFonts w:hint="eastAsia" w:ascii="宋体" w:hAnsi="宋体" w:cs="宋体"/>
                <w:b/>
                <w:bCs/>
                <w:color w:val="auto"/>
                <w:sz w:val="24"/>
                <w:szCs w:val="24"/>
                <w:highlight w:val="none"/>
              </w:rPr>
              <w:t>施工质量保证措施</w:t>
            </w:r>
            <w:r>
              <w:rPr>
                <w:rFonts w:hint="eastAsia" w:ascii="宋体" w:hAnsi="宋体" w:cs="宋体"/>
                <w:b/>
                <w:bCs/>
                <w:snapToGrid w:val="0"/>
                <w:color w:val="auto"/>
                <w:sz w:val="24"/>
                <w:highlight w:val="none"/>
                <w:lang w:eastAsia="zh-CN"/>
              </w:rPr>
              <w:t>（</w:t>
            </w:r>
            <w:r>
              <w:rPr>
                <w:rFonts w:hint="eastAsia" w:ascii="宋体" w:hAnsi="宋体" w:cs="宋体"/>
                <w:b/>
                <w:bCs/>
                <w:snapToGrid w:val="0"/>
                <w:color w:val="auto"/>
                <w:sz w:val="24"/>
                <w:highlight w:val="none"/>
                <w:lang w:val="en-US" w:eastAsia="zh-CN"/>
              </w:rPr>
              <w:t>6分</w:t>
            </w:r>
            <w:r>
              <w:rPr>
                <w:rFonts w:hint="eastAsia" w:ascii="宋体" w:hAnsi="宋体" w:cs="宋体"/>
                <w:b/>
                <w:bCs/>
                <w:snapToGrid w:val="0"/>
                <w:color w:val="auto"/>
                <w:sz w:val="24"/>
                <w:highlight w:val="none"/>
                <w:lang w:eastAsia="zh-CN"/>
              </w:rPr>
              <w:t>）：</w:t>
            </w:r>
          </w:p>
          <w:p w14:paraId="2537EFA7">
            <w:pPr>
              <w:snapToGrid w:val="0"/>
              <w:spacing w:line="240" w:lineRule="auto"/>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根据供应商提供的施工质量保证措施（包含但不仅限于材料及设备质量保证措施等）进行评议：</w:t>
            </w:r>
          </w:p>
          <w:p w14:paraId="110A336D">
            <w:pPr>
              <w:snapToGrid w:val="0"/>
              <w:spacing w:line="240" w:lineRule="auto"/>
              <w:jc w:val="both"/>
              <w:rPr>
                <w:rFonts w:hint="eastAsia" w:ascii="宋体" w:hAnsi="宋体" w:cs="宋体"/>
                <w:color w:val="auto"/>
                <w:sz w:val="24"/>
                <w:szCs w:val="24"/>
                <w:highlight w:val="none"/>
              </w:rPr>
            </w:pPr>
            <w:r>
              <w:rPr>
                <w:rFonts w:hint="eastAsia" w:ascii="宋体" w:hAnsi="宋体" w:eastAsia="宋体" w:cs="宋体"/>
                <w:snapToGrid w:val="0"/>
                <w:color w:val="auto"/>
                <w:sz w:val="24"/>
                <w:highlight w:val="none"/>
              </w:rPr>
              <w:t>①</w:t>
            </w:r>
            <w:r>
              <w:rPr>
                <w:rFonts w:hint="eastAsia" w:ascii="宋体" w:hAnsi="宋体" w:cs="宋体"/>
                <w:color w:val="auto"/>
                <w:sz w:val="24"/>
                <w:szCs w:val="24"/>
                <w:highlight w:val="none"/>
              </w:rPr>
              <w:t>施工质量保证措施方案详实，针对性强，可执行力度高的得</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分；</w:t>
            </w:r>
          </w:p>
          <w:p w14:paraId="60F1AAEE">
            <w:pPr>
              <w:snapToGrid w:val="0"/>
              <w:spacing w:line="240" w:lineRule="auto"/>
              <w:jc w:val="both"/>
              <w:rPr>
                <w:rFonts w:hint="eastAsia" w:ascii="宋体" w:hAnsi="宋体" w:cs="宋体"/>
                <w:color w:val="auto"/>
                <w:sz w:val="24"/>
                <w:szCs w:val="24"/>
                <w:highlight w:val="none"/>
              </w:rPr>
            </w:pPr>
            <w:r>
              <w:rPr>
                <w:rFonts w:hint="eastAsia" w:ascii="宋体" w:hAnsi="宋体" w:eastAsia="宋体" w:cs="宋体"/>
                <w:snapToGrid w:val="0"/>
                <w:color w:val="auto"/>
                <w:sz w:val="24"/>
                <w:highlight w:val="none"/>
              </w:rPr>
              <w:t>②</w:t>
            </w:r>
            <w:r>
              <w:rPr>
                <w:rFonts w:hint="eastAsia" w:ascii="宋体" w:hAnsi="宋体" w:cs="宋体"/>
                <w:color w:val="auto"/>
                <w:sz w:val="24"/>
                <w:szCs w:val="24"/>
                <w:highlight w:val="none"/>
              </w:rPr>
              <w:t>施工质量保证措施方案内容充分，有一定针对性，可执行力度较高的得</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w:t>
            </w:r>
          </w:p>
          <w:p w14:paraId="27FA26AE">
            <w:pPr>
              <w:snapToGrid w:val="0"/>
              <w:spacing w:line="240" w:lineRule="auto"/>
              <w:jc w:val="both"/>
              <w:rPr>
                <w:rFonts w:hint="eastAsia" w:ascii="宋体" w:hAnsi="宋体" w:cs="宋体"/>
                <w:color w:val="auto"/>
                <w:sz w:val="24"/>
                <w:szCs w:val="24"/>
                <w:highlight w:val="none"/>
              </w:rPr>
            </w:pPr>
            <w:r>
              <w:rPr>
                <w:rFonts w:hint="eastAsia" w:ascii="宋体" w:hAnsi="宋体" w:eastAsia="宋体" w:cs="宋体"/>
                <w:snapToGrid w:val="0"/>
                <w:color w:val="auto"/>
                <w:sz w:val="24"/>
                <w:highlight w:val="none"/>
              </w:rPr>
              <w:t>③</w:t>
            </w:r>
            <w:r>
              <w:rPr>
                <w:rFonts w:hint="eastAsia" w:ascii="宋体" w:hAnsi="宋体" w:cs="宋体"/>
                <w:color w:val="auto"/>
                <w:sz w:val="24"/>
                <w:szCs w:val="24"/>
                <w:highlight w:val="none"/>
              </w:rPr>
              <w:t>施工质量保证措施方案内容简单，无针对性，可执行力低的得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w:t>
            </w:r>
          </w:p>
          <w:p w14:paraId="47EC06FC">
            <w:pPr>
              <w:snapToGrid w:val="0"/>
              <w:spacing w:line="240" w:lineRule="auto"/>
              <w:jc w:val="both"/>
              <w:rPr>
                <w:rFonts w:ascii="宋体" w:hAnsi="宋体" w:cs="宋体"/>
                <w:color w:val="auto"/>
                <w:highlight w:val="none"/>
              </w:rPr>
            </w:pPr>
            <w:r>
              <w:rPr>
                <w:rFonts w:hint="eastAsia" w:ascii="宋体" w:hAnsi="宋体" w:eastAsia="宋体" w:cs="宋体"/>
                <w:snapToGrid w:val="0"/>
                <w:color w:val="auto"/>
                <w:sz w:val="24"/>
                <w:highlight w:val="none"/>
              </w:rPr>
              <w:t>④</w:t>
            </w:r>
            <w:r>
              <w:rPr>
                <w:rFonts w:hint="eastAsia" w:ascii="宋体" w:hAnsi="宋体" w:cs="宋体"/>
                <w:color w:val="auto"/>
                <w:sz w:val="24"/>
                <w:szCs w:val="24"/>
                <w:highlight w:val="none"/>
              </w:rPr>
              <w:t>未提供施工质量保证措施的本项不得分。</w:t>
            </w:r>
          </w:p>
        </w:tc>
        <w:tc>
          <w:tcPr>
            <w:tcW w:w="290" w:type="pct"/>
            <w:vAlign w:val="center"/>
          </w:tcPr>
          <w:p w14:paraId="1F42F5FC">
            <w:pPr>
              <w:snapToGrid w:val="0"/>
              <w:spacing w:line="240" w:lineRule="auto"/>
              <w:jc w:val="center"/>
              <w:outlineLvl w:val="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6</w:t>
            </w:r>
          </w:p>
        </w:tc>
        <w:tc>
          <w:tcPr>
            <w:tcW w:w="375" w:type="pct"/>
            <w:vAlign w:val="center"/>
          </w:tcPr>
          <w:p w14:paraId="0D1E3C44">
            <w:pPr>
              <w:snapToGrid w:val="0"/>
              <w:spacing w:line="240" w:lineRule="auto"/>
              <w:jc w:val="center"/>
              <w:outlineLvl w:val="0"/>
              <w:rPr>
                <w:rFonts w:hint="eastAsia" w:ascii="宋体" w:hAnsi="宋体" w:cs="宋体"/>
                <w:bCs/>
                <w:color w:val="auto"/>
                <w:sz w:val="24"/>
                <w:highlight w:val="none"/>
                <w:lang w:val="en-US" w:eastAsia="zh-CN"/>
              </w:rPr>
            </w:pPr>
            <w:bookmarkStart w:id="415" w:name="_Toc3327"/>
            <w:r>
              <w:rPr>
                <w:rFonts w:hint="eastAsia" w:ascii="宋体" w:hAnsi="宋体" w:cs="宋体"/>
                <w:bCs/>
                <w:color w:val="auto"/>
                <w:sz w:val="24"/>
                <w:highlight w:val="none"/>
                <w:lang w:val="en-US" w:eastAsia="zh-CN"/>
              </w:rPr>
              <w:t>主观评审</w:t>
            </w:r>
            <w:bookmarkEnd w:id="415"/>
          </w:p>
        </w:tc>
        <w:tc>
          <w:tcPr>
            <w:tcW w:w="624" w:type="pct"/>
            <w:vAlign w:val="center"/>
          </w:tcPr>
          <w:p w14:paraId="7D59282B">
            <w:pPr>
              <w:snapToGrid w:val="0"/>
              <w:spacing w:line="240" w:lineRule="auto"/>
              <w:jc w:val="center"/>
              <w:rPr>
                <w:rFonts w:ascii="宋体" w:hAnsi="宋体" w:cs="宋体"/>
                <w:color w:val="auto"/>
                <w:highlight w:val="none"/>
              </w:rPr>
            </w:pPr>
          </w:p>
        </w:tc>
      </w:tr>
      <w:tr w14:paraId="3DACC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jc w:val="center"/>
        </w:trPr>
        <w:tc>
          <w:tcPr>
            <w:tcW w:w="320" w:type="pct"/>
            <w:vAlign w:val="center"/>
          </w:tcPr>
          <w:p w14:paraId="1695C97F">
            <w:pPr>
              <w:snapToGrid w:val="0"/>
              <w:spacing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3390" w:type="pct"/>
            <w:vAlign w:val="center"/>
          </w:tcPr>
          <w:p w14:paraId="799D492C">
            <w:pPr>
              <w:snapToGrid w:val="0"/>
              <w:spacing w:line="240" w:lineRule="auto"/>
              <w:jc w:val="both"/>
              <w:rPr>
                <w:rFonts w:ascii="宋体" w:hAnsi="宋体" w:cs="宋体"/>
                <w:b/>
                <w:bCs/>
                <w:color w:val="auto"/>
                <w:sz w:val="24"/>
                <w:szCs w:val="24"/>
                <w:highlight w:val="none"/>
              </w:rPr>
            </w:pPr>
            <w:r>
              <w:rPr>
                <w:rFonts w:ascii="宋体" w:hAnsi="宋体" w:cs="宋体"/>
                <w:b/>
                <w:bCs/>
                <w:color w:val="auto"/>
                <w:sz w:val="24"/>
                <w:szCs w:val="24"/>
                <w:highlight w:val="none"/>
              </w:rPr>
              <w:t>项目关键点</w:t>
            </w:r>
            <w:r>
              <w:rPr>
                <w:rFonts w:hint="eastAsia" w:ascii="宋体" w:hAnsi="宋体" w:cs="宋体"/>
                <w:b/>
                <w:bCs/>
                <w:color w:val="auto"/>
                <w:sz w:val="24"/>
                <w:szCs w:val="24"/>
                <w:highlight w:val="none"/>
                <w:lang w:val="en-US" w:eastAsia="zh-CN"/>
              </w:rPr>
              <w:t>和</w:t>
            </w:r>
            <w:r>
              <w:rPr>
                <w:rFonts w:hint="eastAsia" w:ascii="宋体" w:hAnsi="宋体" w:cs="宋体"/>
                <w:b/>
                <w:bCs/>
                <w:color w:val="auto"/>
                <w:sz w:val="24"/>
                <w:szCs w:val="24"/>
                <w:highlight w:val="none"/>
                <w:lang w:eastAsia="zh-CN"/>
              </w:rPr>
              <w:t>重难点分析</w:t>
            </w:r>
            <w:r>
              <w:rPr>
                <w:rFonts w:hint="eastAsia" w:ascii="宋体" w:hAnsi="宋体" w:cs="宋体"/>
                <w:b/>
                <w:bCs/>
                <w:snapToGrid w:val="0"/>
                <w:color w:val="auto"/>
                <w:sz w:val="24"/>
                <w:highlight w:val="none"/>
                <w:lang w:eastAsia="zh-CN"/>
              </w:rPr>
              <w:t>（</w:t>
            </w:r>
            <w:r>
              <w:rPr>
                <w:rFonts w:hint="eastAsia" w:ascii="宋体" w:hAnsi="宋体" w:cs="宋体"/>
                <w:b/>
                <w:bCs/>
                <w:snapToGrid w:val="0"/>
                <w:color w:val="auto"/>
                <w:sz w:val="24"/>
                <w:highlight w:val="none"/>
                <w:lang w:val="en-US" w:eastAsia="zh-CN"/>
              </w:rPr>
              <w:t>5分</w:t>
            </w:r>
            <w:r>
              <w:rPr>
                <w:rFonts w:hint="eastAsia" w:ascii="宋体" w:hAnsi="宋体" w:cs="宋体"/>
                <w:b/>
                <w:bCs/>
                <w:snapToGrid w:val="0"/>
                <w:color w:val="auto"/>
                <w:sz w:val="24"/>
                <w:highlight w:val="none"/>
                <w:lang w:eastAsia="zh-CN"/>
              </w:rPr>
              <w:t>）：</w:t>
            </w:r>
          </w:p>
          <w:p w14:paraId="3F51DC8E">
            <w:pPr>
              <w:snapToGrid w:val="0"/>
              <w:spacing w:line="240" w:lineRule="auto"/>
              <w:jc w:val="both"/>
              <w:rPr>
                <w:rFonts w:ascii="宋体" w:hAnsi="宋体" w:cs="宋体"/>
                <w:color w:val="auto"/>
                <w:sz w:val="24"/>
                <w:szCs w:val="24"/>
                <w:highlight w:val="none"/>
              </w:rPr>
            </w:pPr>
            <w:r>
              <w:rPr>
                <w:rFonts w:ascii="宋体" w:hAnsi="宋体" w:cs="宋体"/>
                <w:color w:val="auto"/>
                <w:sz w:val="24"/>
                <w:szCs w:val="24"/>
                <w:highlight w:val="none"/>
              </w:rPr>
              <w:t>根据供应商提供的项目关键点</w:t>
            </w:r>
            <w:r>
              <w:rPr>
                <w:rFonts w:hint="eastAsia" w:ascii="宋体" w:hAnsi="宋体" w:cs="宋体"/>
                <w:color w:val="auto"/>
                <w:sz w:val="24"/>
                <w:szCs w:val="24"/>
                <w:highlight w:val="none"/>
                <w:lang w:val="en-US" w:eastAsia="zh-CN"/>
              </w:rPr>
              <w:t>和</w:t>
            </w:r>
            <w:r>
              <w:rPr>
                <w:rFonts w:hint="eastAsia" w:ascii="宋体" w:hAnsi="宋体" w:cs="宋体"/>
                <w:color w:val="auto"/>
                <w:sz w:val="24"/>
                <w:szCs w:val="24"/>
                <w:highlight w:val="none"/>
                <w:lang w:eastAsia="zh-CN"/>
              </w:rPr>
              <w:t>重难点分析（包含但不仅限于装修改造工程、电气工程、给排水</w:t>
            </w:r>
            <w:r>
              <w:rPr>
                <w:rFonts w:hint="eastAsia" w:ascii="宋体" w:hAnsi="宋体" w:cs="宋体"/>
                <w:color w:val="auto"/>
                <w:sz w:val="24"/>
                <w:szCs w:val="24"/>
                <w:highlight w:val="none"/>
                <w:lang w:val="en-US" w:eastAsia="zh-CN"/>
              </w:rPr>
              <w:t>工程、</w:t>
            </w:r>
            <w:r>
              <w:rPr>
                <w:rFonts w:hint="eastAsia" w:ascii="宋体" w:hAnsi="宋体" w:cs="宋体"/>
                <w:color w:val="auto"/>
                <w:sz w:val="24"/>
                <w:szCs w:val="24"/>
                <w:highlight w:val="none"/>
                <w:lang w:eastAsia="zh-CN"/>
              </w:rPr>
              <w:t>消防水工程、消防电</w:t>
            </w:r>
            <w:r>
              <w:rPr>
                <w:rFonts w:hint="eastAsia" w:ascii="宋体" w:hAnsi="宋体" w:cs="宋体"/>
                <w:color w:val="auto"/>
                <w:sz w:val="24"/>
                <w:szCs w:val="24"/>
                <w:highlight w:val="none"/>
                <w:lang w:val="en-US" w:eastAsia="zh-CN"/>
              </w:rPr>
              <w:t>工程</w:t>
            </w:r>
            <w:r>
              <w:rPr>
                <w:rFonts w:hint="eastAsia" w:ascii="宋体" w:hAnsi="宋体" w:cs="宋体"/>
                <w:color w:val="auto"/>
                <w:sz w:val="24"/>
                <w:szCs w:val="24"/>
                <w:highlight w:val="none"/>
                <w:lang w:eastAsia="zh-CN"/>
              </w:rPr>
              <w:t>等）</w:t>
            </w:r>
            <w:r>
              <w:rPr>
                <w:rFonts w:ascii="宋体" w:hAnsi="宋体" w:cs="宋体"/>
                <w:color w:val="auto"/>
                <w:sz w:val="24"/>
                <w:szCs w:val="24"/>
                <w:highlight w:val="none"/>
              </w:rPr>
              <w:t>进行评议：</w:t>
            </w:r>
          </w:p>
          <w:p w14:paraId="7BDD7253">
            <w:pPr>
              <w:snapToGrid w:val="0"/>
              <w:spacing w:line="240" w:lineRule="auto"/>
              <w:jc w:val="both"/>
              <w:rPr>
                <w:rFonts w:hint="eastAsia" w:ascii="宋体" w:hAnsi="宋体" w:cs="宋体"/>
                <w:color w:val="auto"/>
                <w:sz w:val="24"/>
                <w:szCs w:val="24"/>
                <w:highlight w:val="none"/>
              </w:rPr>
            </w:pPr>
            <w:r>
              <w:rPr>
                <w:rFonts w:hint="eastAsia" w:ascii="宋体" w:hAnsi="宋体" w:eastAsia="宋体" w:cs="宋体"/>
                <w:snapToGrid w:val="0"/>
                <w:color w:val="auto"/>
                <w:sz w:val="24"/>
                <w:highlight w:val="none"/>
              </w:rPr>
              <w:t>①</w:t>
            </w:r>
            <w:r>
              <w:rPr>
                <w:rFonts w:hint="eastAsia" w:ascii="宋体" w:hAnsi="宋体" w:cs="宋体"/>
                <w:color w:val="auto"/>
                <w:sz w:val="24"/>
                <w:szCs w:val="24"/>
                <w:highlight w:val="none"/>
              </w:rPr>
              <w:t>项目关键点</w:t>
            </w:r>
            <w:r>
              <w:rPr>
                <w:rFonts w:hint="eastAsia" w:ascii="宋体" w:hAnsi="宋体" w:cs="宋体"/>
                <w:color w:val="auto"/>
                <w:sz w:val="24"/>
                <w:szCs w:val="24"/>
                <w:highlight w:val="none"/>
                <w:lang w:val="en-US" w:eastAsia="zh-CN"/>
              </w:rPr>
              <w:t>和</w:t>
            </w:r>
            <w:r>
              <w:rPr>
                <w:rFonts w:hint="eastAsia" w:ascii="宋体" w:hAnsi="宋体" w:cs="宋体"/>
                <w:color w:val="auto"/>
                <w:sz w:val="24"/>
                <w:szCs w:val="24"/>
                <w:highlight w:val="none"/>
              </w:rPr>
              <w:t>重难点分析到位的得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p>
          <w:p w14:paraId="4C318BFD">
            <w:pPr>
              <w:snapToGrid w:val="0"/>
              <w:spacing w:line="240" w:lineRule="auto"/>
              <w:jc w:val="both"/>
              <w:rPr>
                <w:rFonts w:hint="eastAsia" w:ascii="宋体" w:hAnsi="宋体" w:cs="宋体"/>
                <w:color w:val="auto"/>
                <w:sz w:val="24"/>
                <w:szCs w:val="24"/>
                <w:highlight w:val="none"/>
              </w:rPr>
            </w:pPr>
            <w:r>
              <w:rPr>
                <w:rFonts w:hint="eastAsia" w:ascii="宋体" w:hAnsi="宋体" w:eastAsia="宋体" w:cs="宋体"/>
                <w:snapToGrid w:val="0"/>
                <w:color w:val="auto"/>
                <w:sz w:val="24"/>
                <w:highlight w:val="none"/>
              </w:rPr>
              <w:t>②</w:t>
            </w:r>
            <w:r>
              <w:rPr>
                <w:rFonts w:hint="eastAsia" w:ascii="宋体" w:hAnsi="宋体" w:cs="宋体"/>
                <w:color w:val="auto"/>
                <w:sz w:val="24"/>
                <w:szCs w:val="24"/>
                <w:highlight w:val="none"/>
              </w:rPr>
              <w:t>项目关键点</w:t>
            </w:r>
            <w:r>
              <w:rPr>
                <w:rFonts w:hint="eastAsia" w:ascii="宋体" w:hAnsi="宋体" w:cs="宋体"/>
                <w:color w:val="auto"/>
                <w:sz w:val="24"/>
                <w:szCs w:val="24"/>
                <w:highlight w:val="none"/>
                <w:lang w:val="en-US" w:eastAsia="zh-CN"/>
              </w:rPr>
              <w:t>和</w:t>
            </w:r>
            <w:r>
              <w:rPr>
                <w:rFonts w:hint="eastAsia" w:ascii="宋体" w:hAnsi="宋体" w:cs="宋体"/>
                <w:color w:val="auto"/>
                <w:sz w:val="24"/>
                <w:szCs w:val="24"/>
                <w:highlight w:val="none"/>
              </w:rPr>
              <w:t>重难点分析较到位的得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w:t>
            </w:r>
          </w:p>
          <w:p w14:paraId="20EFB2B3">
            <w:pPr>
              <w:snapToGrid w:val="0"/>
              <w:spacing w:line="240" w:lineRule="auto"/>
              <w:jc w:val="both"/>
              <w:rPr>
                <w:rFonts w:hint="eastAsia" w:ascii="宋体" w:hAnsi="宋体" w:cs="宋体"/>
                <w:color w:val="auto"/>
                <w:sz w:val="24"/>
                <w:szCs w:val="24"/>
                <w:highlight w:val="none"/>
              </w:rPr>
            </w:pPr>
            <w:r>
              <w:rPr>
                <w:rFonts w:hint="eastAsia" w:ascii="宋体" w:hAnsi="宋体" w:eastAsia="宋体" w:cs="宋体"/>
                <w:snapToGrid w:val="0"/>
                <w:color w:val="auto"/>
                <w:sz w:val="24"/>
                <w:highlight w:val="none"/>
              </w:rPr>
              <w:t>③</w:t>
            </w:r>
            <w:r>
              <w:rPr>
                <w:rFonts w:hint="eastAsia" w:ascii="宋体" w:hAnsi="宋体" w:cs="宋体"/>
                <w:color w:val="auto"/>
                <w:sz w:val="24"/>
                <w:szCs w:val="24"/>
                <w:highlight w:val="none"/>
              </w:rPr>
              <w:t>项目关键点</w:t>
            </w:r>
            <w:r>
              <w:rPr>
                <w:rFonts w:hint="eastAsia" w:ascii="宋体" w:hAnsi="宋体" w:cs="宋体"/>
                <w:color w:val="auto"/>
                <w:sz w:val="24"/>
                <w:szCs w:val="24"/>
                <w:highlight w:val="none"/>
                <w:lang w:val="en-US" w:eastAsia="zh-CN"/>
              </w:rPr>
              <w:t>和</w:t>
            </w:r>
            <w:r>
              <w:rPr>
                <w:rFonts w:hint="eastAsia" w:ascii="宋体" w:hAnsi="宋体" w:cs="宋体"/>
                <w:color w:val="auto"/>
                <w:sz w:val="24"/>
                <w:szCs w:val="24"/>
                <w:highlight w:val="none"/>
              </w:rPr>
              <w:t>重难点分析不准确的得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p>
          <w:p w14:paraId="1462C9A3">
            <w:pPr>
              <w:snapToGrid w:val="0"/>
              <w:spacing w:line="240" w:lineRule="auto"/>
              <w:jc w:val="both"/>
              <w:rPr>
                <w:rFonts w:ascii="宋体" w:hAnsi="宋体" w:cs="宋体"/>
                <w:color w:val="auto"/>
                <w:highlight w:val="none"/>
              </w:rPr>
            </w:pPr>
            <w:r>
              <w:rPr>
                <w:rFonts w:hint="eastAsia" w:ascii="宋体" w:hAnsi="宋体" w:eastAsia="宋体" w:cs="宋体"/>
                <w:snapToGrid w:val="0"/>
                <w:color w:val="auto"/>
                <w:sz w:val="24"/>
                <w:highlight w:val="none"/>
              </w:rPr>
              <w:t>④</w:t>
            </w:r>
            <w:r>
              <w:rPr>
                <w:rFonts w:ascii="宋体" w:hAnsi="宋体" w:cs="宋体"/>
                <w:color w:val="auto"/>
                <w:sz w:val="24"/>
                <w:szCs w:val="24"/>
                <w:highlight w:val="none"/>
              </w:rPr>
              <w:t>未提供项目关键点</w:t>
            </w:r>
            <w:r>
              <w:rPr>
                <w:rFonts w:hint="eastAsia" w:ascii="宋体" w:hAnsi="宋体" w:cs="宋体"/>
                <w:color w:val="auto"/>
                <w:sz w:val="24"/>
                <w:szCs w:val="24"/>
                <w:highlight w:val="none"/>
                <w:lang w:val="en-US" w:eastAsia="zh-CN"/>
              </w:rPr>
              <w:t>和</w:t>
            </w:r>
            <w:r>
              <w:rPr>
                <w:rFonts w:ascii="宋体" w:hAnsi="宋体" w:cs="宋体"/>
                <w:color w:val="auto"/>
                <w:sz w:val="24"/>
                <w:szCs w:val="24"/>
                <w:highlight w:val="none"/>
              </w:rPr>
              <w:t>重难点分析的本项不得分。</w:t>
            </w:r>
          </w:p>
        </w:tc>
        <w:tc>
          <w:tcPr>
            <w:tcW w:w="290" w:type="pct"/>
            <w:vAlign w:val="center"/>
          </w:tcPr>
          <w:p w14:paraId="30FF185D">
            <w:pPr>
              <w:snapToGrid w:val="0"/>
              <w:spacing w:line="240" w:lineRule="auto"/>
              <w:jc w:val="center"/>
              <w:outlineLvl w:val="0"/>
              <w:rPr>
                <w:rFonts w:hint="eastAsia" w:ascii="宋体" w:hAnsi="宋体" w:eastAsia="宋体" w:cs="宋体"/>
                <w:bCs/>
                <w:color w:val="auto"/>
                <w:sz w:val="24"/>
                <w:highlight w:val="none"/>
                <w:lang w:val="en-US" w:eastAsia="zh-CN"/>
              </w:rPr>
            </w:pPr>
            <w:bookmarkStart w:id="416" w:name="_Toc31950"/>
            <w:r>
              <w:rPr>
                <w:rFonts w:hint="eastAsia" w:ascii="宋体" w:hAnsi="宋体" w:cs="宋体"/>
                <w:bCs/>
                <w:color w:val="auto"/>
                <w:sz w:val="24"/>
                <w:highlight w:val="none"/>
                <w:lang w:val="en-US" w:eastAsia="zh-CN"/>
              </w:rPr>
              <w:t>5</w:t>
            </w:r>
            <w:bookmarkEnd w:id="416"/>
          </w:p>
        </w:tc>
        <w:tc>
          <w:tcPr>
            <w:tcW w:w="375" w:type="pct"/>
            <w:vAlign w:val="center"/>
          </w:tcPr>
          <w:p w14:paraId="29A1F9CC">
            <w:pPr>
              <w:snapToGrid w:val="0"/>
              <w:spacing w:line="240" w:lineRule="auto"/>
              <w:jc w:val="center"/>
              <w:outlineLvl w:val="0"/>
              <w:rPr>
                <w:rFonts w:hint="eastAsia" w:ascii="宋体" w:hAnsi="宋体" w:cs="宋体"/>
                <w:bCs/>
                <w:color w:val="auto"/>
                <w:sz w:val="24"/>
                <w:highlight w:val="none"/>
                <w:lang w:val="en-US" w:eastAsia="zh-CN"/>
              </w:rPr>
            </w:pPr>
            <w:bookmarkStart w:id="417" w:name="_Toc23165"/>
            <w:r>
              <w:rPr>
                <w:rFonts w:hint="eastAsia" w:ascii="宋体" w:hAnsi="宋体" w:cs="宋体"/>
                <w:bCs/>
                <w:color w:val="auto"/>
                <w:sz w:val="24"/>
                <w:highlight w:val="none"/>
                <w:lang w:val="en-US" w:eastAsia="zh-CN"/>
              </w:rPr>
              <w:t>主观评审</w:t>
            </w:r>
            <w:bookmarkEnd w:id="417"/>
          </w:p>
        </w:tc>
        <w:tc>
          <w:tcPr>
            <w:tcW w:w="624" w:type="pct"/>
            <w:vAlign w:val="center"/>
          </w:tcPr>
          <w:p w14:paraId="3DF1A865">
            <w:pPr>
              <w:snapToGrid w:val="0"/>
              <w:spacing w:line="240" w:lineRule="auto"/>
              <w:jc w:val="center"/>
              <w:rPr>
                <w:rFonts w:ascii="宋体" w:hAnsi="宋体" w:cs="宋体"/>
                <w:color w:val="auto"/>
                <w:highlight w:val="none"/>
              </w:rPr>
            </w:pPr>
          </w:p>
        </w:tc>
      </w:tr>
      <w:tr w14:paraId="12596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jc w:val="center"/>
        </w:trPr>
        <w:tc>
          <w:tcPr>
            <w:tcW w:w="320" w:type="pct"/>
            <w:vAlign w:val="center"/>
          </w:tcPr>
          <w:p w14:paraId="71302CF5">
            <w:pPr>
              <w:snapToGrid w:val="0"/>
              <w:spacing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3390" w:type="pct"/>
            <w:vAlign w:val="center"/>
          </w:tcPr>
          <w:p w14:paraId="1BC75CC1">
            <w:pPr>
              <w:snapToGrid w:val="0"/>
              <w:spacing w:line="240" w:lineRule="auto"/>
              <w:jc w:val="both"/>
              <w:rPr>
                <w:rFonts w:ascii="宋体" w:hAnsi="宋体" w:cs="宋体"/>
                <w:b/>
                <w:bCs/>
                <w:color w:val="auto"/>
                <w:sz w:val="24"/>
                <w:szCs w:val="24"/>
                <w:highlight w:val="none"/>
              </w:rPr>
            </w:pPr>
            <w:r>
              <w:rPr>
                <w:rFonts w:ascii="宋体" w:hAnsi="宋体" w:cs="宋体"/>
                <w:b/>
                <w:bCs/>
                <w:color w:val="auto"/>
                <w:sz w:val="24"/>
                <w:szCs w:val="24"/>
                <w:highlight w:val="none"/>
              </w:rPr>
              <w:t>项目关键点</w:t>
            </w:r>
            <w:r>
              <w:rPr>
                <w:rFonts w:hint="eastAsia" w:ascii="宋体" w:hAnsi="宋体" w:cs="宋体"/>
                <w:b/>
                <w:bCs/>
                <w:color w:val="auto"/>
                <w:sz w:val="24"/>
                <w:szCs w:val="24"/>
                <w:highlight w:val="none"/>
                <w:lang w:val="en-US" w:eastAsia="zh-CN"/>
              </w:rPr>
              <w:t>和</w:t>
            </w:r>
            <w:r>
              <w:rPr>
                <w:rFonts w:hint="eastAsia" w:ascii="宋体" w:hAnsi="宋体" w:cs="宋体"/>
                <w:b/>
                <w:bCs/>
                <w:color w:val="auto"/>
                <w:sz w:val="24"/>
                <w:szCs w:val="24"/>
                <w:highlight w:val="none"/>
                <w:lang w:eastAsia="zh-CN"/>
              </w:rPr>
              <w:t>重难点分析</w:t>
            </w:r>
            <w:r>
              <w:rPr>
                <w:rFonts w:hint="eastAsia" w:ascii="宋体" w:hAnsi="宋体" w:cs="宋体"/>
                <w:b/>
                <w:bCs/>
                <w:color w:val="auto"/>
                <w:sz w:val="24"/>
                <w:szCs w:val="24"/>
                <w:highlight w:val="none"/>
                <w:lang w:val="en-US" w:eastAsia="zh-CN"/>
              </w:rPr>
              <w:t>的解决措施</w:t>
            </w:r>
            <w:r>
              <w:rPr>
                <w:rFonts w:hint="eastAsia" w:ascii="宋体" w:hAnsi="宋体" w:cs="宋体"/>
                <w:b/>
                <w:bCs/>
                <w:snapToGrid w:val="0"/>
                <w:color w:val="auto"/>
                <w:sz w:val="24"/>
                <w:highlight w:val="none"/>
                <w:lang w:eastAsia="zh-CN"/>
              </w:rPr>
              <w:t>（</w:t>
            </w:r>
            <w:r>
              <w:rPr>
                <w:rFonts w:hint="eastAsia" w:ascii="宋体" w:hAnsi="宋体" w:cs="宋体"/>
                <w:b/>
                <w:bCs/>
                <w:snapToGrid w:val="0"/>
                <w:color w:val="auto"/>
                <w:sz w:val="24"/>
                <w:highlight w:val="none"/>
                <w:lang w:val="en-US" w:eastAsia="zh-CN"/>
              </w:rPr>
              <w:t>5分</w:t>
            </w:r>
            <w:r>
              <w:rPr>
                <w:rFonts w:hint="eastAsia" w:ascii="宋体" w:hAnsi="宋体" w:cs="宋体"/>
                <w:b/>
                <w:bCs/>
                <w:snapToGrid w:val="0"/>
                <w:color w:val="auto"/>
                <w:sz w:val="24"/>
                <w:highlight w:val="none"/>
                <w:lang w:eastAsia="zh-CN"/>
              </w:rPr>
              <w:t>）：</w:t>
            </w:r>
          </w:p>
          <w:p w14:paraId="5C6150AC">
            <w:pPr>
              <w:snapToGrid w:val="0"/>
              <w:spacing w:line="240" w:lineRule="auto"/>
              <w:jc w:val="both"/>
              <w:rPr>
                <w:rFonts w:ascii="宋体" w:hAnsi="宋体" w:cs="宋体"/>
                <w:color w:val="auto"/>
                <w:sz w:val="24"/>
                <w:szCs w:val="24"/>
                <w:highlight w:val="none"/>
              </w:rPr>
            </w:pPr>
            <w:r>
              <w:rPr>
                <w:rFonts w:ascii="宋体" w:hAnsi="宋体" w:cs="宋体"/>
                <w:color w:val="auto"/>
                <w:sz w:val="24"/>
                <w:szCs w:val="24"/>
                <w:highlight w:val="none"/>
              </w:rPr>
              <w:t>根据供应商提供的项目关键点</w:t>
            </w:r>
            <w:r>
              <w:rPr>
                <w:rFonts w:hint="eastAsia" w:ascii="宋体" w:hAnsi="宋体" w:cs="宋体"/>
                <w:color w:val="auto"/>
                <w:sz w:val="24"/>
                <w:szCs w:val="24"/>
                <w:highlight w:val="none"/>
                <w:lang w:val="en-US" w:eastAsia="zh-CN"/>
              </w:rPr>
              <w:t>和</w:t>
            </w:r>
            <w:r>
              <w:rPr>
                <w:rFonts w:hint="eastAsia" w:ascii="宋体" w:hAnsi="宋体" w:cs="宋体"/>
                <w:color w:val="auto"/>
                <w:sz w:val="24"/>
                <w:szCs w:val="24"/>
                <w:highlight w:val="none"/>
                <w:lang w:eastAsia="zh-CN"/>
              </w:rPr>
              <w:t>重难点分析（包含但不仅限于装修改造工程、电气工程、给排水</w:t>
            </w:r>
            <w:r>
              <w:rPr>
                <w:rFonts w:hint="eastAsia" w:ascii="宋体" w:hAnsi="宋体" w:cs="宋体"/>
                <w:color w:val="auto"/>
                <w:sz w:val="24"/>
                <w:szCs w:val="24"/>
                <w:highlight w:val="none"/>
                <w:lang w:val="en-US" w:eastAsia="zh-CN"/>
              </w:rPr>
              <w:t>工程、</w:t>
            </w:r>
            <w:r>
              <w:rPr>
                <w:rFonts w:hint="eastAsia" w:ascii="宋体" w:hAnsi="宋体" w:cs="宋体"/>
                <w:color w:val="auto"/>
                <w:sz w:val="24"/>
                <w:szCs w:val="24"/>
                <w:highlight w:val="none"/>
                <w:lang w:eastAsia="zh-CN"/>
              </w:rPr>
              <w:t>消防水工程、消防电</w:t>
            </w:r>
            <w:r>
              <w:rPr>
                <w:rFonts w:hint="eastAsia" w:ascii="宋体" w:hAnsi="宋体" w:cs="宋体"/>
                <w:color w:val="auto"/>
                <w:sz w:val="24"/>
                <w:szCs w:val="24"/>
                <w:highlight w:val="none"/>
                <w:lang w:val="en-US" w:eastAsia="zh-CN"/>
              </w:rPr>
              <w:t>工程</w:t>
            </w:r>
            <w:r>
              <w:rPr>
                <w:rFonts w:hint="eastAsia" w:ascii="宋体" w:hAnsi="宋体" w:cs="宋体"/>
                <w:color w:val="auto"/>
                <w:sz w:val="24"/>
                <w:szCs w:val="24"/>
                <w:highlight w:val="none"/>
                <w:lang w:eastAsia="zh-CN"/>
              </w:rPr>
              <w:t>等）</w:t>
            </w:r>
            <w:r>
              <w:rPr>
                <w:rFonts w:hint="eastAsia" w:ascii="宋体" w:hAnsi="宋体" w:cs="宋体"/>
                <w:color w:val="auto"/>
                <w:sz w:val="24"/>
                <w:szCs w:val="24"/>
                <w:highlight w:val="none"/>
                <w:lang w:val="en-US" w:eastAsia="zh-CN"/>
              </w:rPr>
              <w:t>的解决措施</w:t>
            </w:r>
            <w:r>
              <w:rPr>
                <w:rFonts w:ascii="宋体" w:hAnsi="宋体" w:cs="宋体"/>
                <w:color w:val="auto"/>
                <w:sz w:val="24"/>
                <w:szCs w:val="24"/>
                <w:highlight w:val="none"/>
              </w:rPr>
              <w:t>进行评议：</w:t>
            </w:r>
          </w:p>
          <w:p w14:paraId="6EADF3D3">
            <w:pPr>
              <w:snapToGrid w:val="0"/>
              <w:spacing w:line="240" w:lineRule="auto"/>
              <w:jc w:val="both"/>
              <w:rPr>
                <w:rFonts w:hint="eastAsia" w:ascii="宋体" w:hAnsi="宋体" w:cs="宋体"/>
                <w:color w:val="auto"/>
                <w:sz w:val="24"/>
                <w:szCs w:val="24"/>
                <w:highlight w:val="none"/>
              </w:rPr>
            </w:pPr>
            <w:r>
              <w:rPr>
                <w:rFonts w:hint="eastAsia" w:ascii="宋体" w:hAnsi="宋体" w:eastAsia="宋体" w:cs="宋体"/>
                <w:snapToGrid w:val="0"/>
                <w:color w:val="auto"/>
                <w:sz w:val="24"/>
                <w:highlight w:val="none"/>
              </w:rPr>
              <w:t>①</w:t>
            </w:r>
            <w:r>
              <w:rPr>
                <w:rFonts w:hint="eastAsia" w:ascii="宋体" w:hAnsi="宋体" w:cs="宋体"/>
                <w:color w:val="auto"/>
                <w:sz w:val="24"/>
                <w:szCs w:val="24"/>
                <w:highlight w:val="none"/>
              </w:rPr>
              <w:t>解决方案详实，针对性强，可执行力度高的得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p>
          <w:p w14:paraId="6146C2C6">
            <w:pPr>
              <w:snapToGrid w:val="0"/>
              <w:spacing w:line="240" w:lineRule="auto"/>
              <w:jc w:val="both"/>
              <w:rPr>
                <w:rFonts w:hint="eastAsia" w:ascii="宋体" w:hAnsi="宋体" w:cs="宋体"/>
                <w:color w:val="auto"/>
                <w:sz w:val="24"/>
                <w:szCs w:val="24"/>
                <w:highlight w:val="none"/>
              </w:rPr>
            </w:pPr>
            <w:r>
              <w:rPr>
                <w:rFonts w:hint="eastAsia" w:ascii="宋体" w:hAnsi="宋体" w:eastAsia="宋体" w:cs="宋体"/>
                <w:snapToGrid w:val="0"/>
                <w:color w:val="auto"/>
                <w:sz w:val="24"/>
                <w:highlight w:val="none"/>
              </w:rPr>
              <w:t>②</w:t>
            </w:r>
            <w:r>
              <w:rPr>
                <w:rFonts w:hint="eastAsia" w:ascii="宋体" w:hAnsi="宋体" w:cs="宋体"/>
                <w:color w:val="auto"/>
                <w:sz w:val="24"/>
                <w:szCs w:val="24"/>
                <w:highlight w:val="none"/>
              </w:rPr>
              <w:t>解决方案内容充分，有一定针对性，可执行力度较高的得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w:t>
            </w:r>
          </w:p>
          <w:p w14:paraId="0F1BB70A">
            <w:pPr>
              <w:snapToGrid w:val="0"/>
              <w:spacing w:line="240" w:lineRule="auto"/>
              <w:jc w:val="both"/>
              <w:rPr>
                <w:rFonts w:hint="eastAsia" w:ascii="宋体" w:hAnsi="宋体" w:cs="宋体"/>
                <w:color w:val="auto"/>
                <w:sz w:val="24"/>
                <w:szCs w:val="24"/>
                <w:highlight w:val="none"/>
              </w:rPr>
            </w:pPr>
            <w:r>
              <w:rPr>
                <w:rFonts w:hint="eastAsia" w:ascii="宋体" w:hAnsi="宋体" w:eastAsia="宋体" w:cs="宋体"/>
                <w:snapToGrid w:val="0"/>
                <w:color w:val="auto"/>
                <w:sz w:val="24"/>
                <w:highlight w:val="none"/>
              </w:rPr>
              <w:t>③</w:t>
            </w:r>
            <w:r>
              <w:rPr>
                <w:rFonts w:hint="eastAsia" w:ascii="宋体" w:hAnsi="宋体" w:cs="宋体"/>
                <w:color w:val="auto"/>
                <w:sz w:val="24"/>
                <w:szCs w:val="24"/>
                <w:highlight w:val="none"/>
              </w:rPr>
              <w:t>解决方案内容简单，无针对性，可执行力低的得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p>
          <w:p w14:paraId="2F14CE53">
            <w:pPr>
              <w:snapToGrid w:val="0"/>
              <w:spacing w:line="240" w:lineRule="auto"/>
              <w:jc w:val="both"/>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snapToGrid w:val="0"/>
                <w:color w:val="auto"/>
                <w:sz w:val="24"/>
                <w:highlight w:val="none"/>
              </w:rPr>
              <w:t>④</w:t>
            </w:r>
            <w:r>
              <w:rPr>
                <w:rFonts w:ascii="宋体" w:hAnsi="宋体" w:cs="宋体"/>
                <w:color w:val="auto"/>
                <w:sz w:val="24"/>
                <w:szCs w:val="24"/>
                <w:highlight w:val="none"/>
              </w:rPr>
              <w:t>未提供项目关键点</w:t>
            </w:r>
            <w:r>
              <w:rPr>
                <w:rFonts w:hint="eastAsia" w:ascii="宋体" w:hAnsi="宋体" w:cs="宋体"/>
                <w:color w:val="auto"/>
                <w:sz w:val="24"/>
                <w:szCs w:val="24"/>
                <w:highlight w:val="none"/>
                <w:lang w:val="en-US" w:eastAsia="zh-CN"/>
              </w:rPr>
              <w:t>和</w:t>
            </w:r>
            <w:r>
              <w:rPr>
                <w:rFonts w:ascii="宋体" w:hAnsi="宋体" w:cs="宋体"/>
                <w:color w:val="auto"/>
                <w:sz w:val="24"/>
                <w:szCs w:val="24"/>
                <w:highlight w:val="none"/>
              </w:rPr>
              <w:t>重难点分析</w:t>
            </w:r>
            <w:r>
              <w:rPr>
                <w:rFonts w:hint="eastAsia" w:ascii="宋体" w:hAnsi="宋体" w:cs="宋体"/>
                <w:color w:val="auto"/>
                <w:sz w:val="24"/>
                <w:szCs w:val="24"/>
                <w:highlight w:val="none"/>
                <w:lang w:val="en-US" w:eastAsia="zh-CN"/>
              </w:rPr>
              <w:t>解决措施</w:t>
            </w:r>
            <w:r>
              <w:rPr>
                <w:rFonts w:ascii="宋体" w:hAnsi="宋体" w:cs="宋体"/>
                <w:color w:val="auto"/>
                <w:sz w:val="24"/>
                <w:szCs w:val="24"/>
                <w:highlight w:val="none"/>
              </w:rPr>
              <w:t>的本项不得分。</w:t>
            </w:r>
          </w:p>
        </w:tc>
        <w:tc>
          <w:tcPr>
            <w:tcW w:w="290" w:type="pct"/>
            <w:vAlign w:val="center"/>
          </w:tcPr>
          <w:p w14:paraId="2958139D">
            <w:pPr>
              <w:snapToGrid w:val="0"/>
              <w:spacing w:line="240" w:lineRule="auto"/>
              <w:jc w:val="center"/>
              <w:outlineLvl w:val="0"/>
              <w:rPr>
                <w:rFonts w:hint="eastAsia" w:ascii="宋体" w:hAnsi="宋体" w:eastAsia="宋体" w:cs="宋体"/>
                <w:bCs/>
                <w:color w:val="auto"/>
                <w:kern w:val="2"/>
                <w:sz w:val="24"/>
                <w:szCs w:val="24"/>
                <w:highlight w:val="none"/>
                <w:lang w:val="en-US" w:eastAsia="zh-CN" w:bidi="ar-SA"/>
              </w:rPr>
            </w:pPr>
            <w:bookmarkStart w:id="418" w:name="_Toc12108"/>
            <w:r>
              <w:rPr>
                <w:rFonts w:hint="eastAsia" w:ascii="宋体" w:hAnsi="宋体" w:cs="宋体"/>
                <w:bCs/>
                <w:color w:val="auto"/>
                <w:sz w:val="24"/>
                <w:highlight w:val="none"/>
                <w:lang w:val="en-US" w:eastAsia="zh-CN"/>
              </w:rPr>
              <w:t>5</w:t>
            </w:r>
            <w:bookmarkEnd w:id="418"/>
          </w:p>
        </w:tc>
        <w:tc>
          <w:tcPr>
            <w:tcW w:w="375" w:type="pct"/>
            <w:vAlign w:val="center"/>
          </w:tcPr>
          <w:p w14:paraId="27ED216E">
            <w:pPr>
              <w:snapToGrid w:val="0"/>
              <w:spacing w:line="240" w:lineRule="auto"/>
              <w:jc w:val="center"/>
              <w:outlineLvl w:val="0"/>
              <w:rPr>
                <w:rFonts w:hint="eastAsia" w:ascii="宋体" w:hAnsi="宋体" w:eastAsia="宋体" w:cs="宋体"/>
                <w:bCs/>
                <w:color w:val="auto"/>
                <w:kern w:val="2"/>
                <w:sz w:val="24"/>
                <w:szCs w:val="24"/>
                <w:highlight w:val="none"/>
                <w:lang w:val="en-US" w:eastAsia="zh-CN" w:bidi="ar-SA"/>
              </w:rPr>
            </w:pPr>
            <w:bookmarkStart w:id="419" w:name="_Toc18361"/>
            <w:r>
              <w:rPr>
                <w:rFonts w:hint="eastAsia" w:ascii="宋体" w:hAnsi="宋体" w:cs="宋体"/>
                <w:bCs/>
                <w:color w:val="auto"/>
                <w:sz w:val="24"/>
                <w:highlight w:val="none"/>
                <w:lang w:val="en-US" w:eastAsia="zh-CN"/>
              </w:rPr>
              <w:t>主观评审</w:t>
            </w:r>
            <w:bookmarkEnd w:id="419"/>
          </w:p>
        </w:tc>
        <w:tc>
          <w:tcPr>
            <w:tcW w:w="624" w:type="pct"/>
            <w:vAlign w:val="center"/>
          </w:tcPr>
          <w:p w14:paraId="75BF598A">
            <w:pPr>
              <w:snapToGrid w:val="0"/>
              <w:spacing w:line="240" w:lineRule="auto"/>
              <w:jc w:val="center"/>
              <w:rPr>
                <w:rFonts w:ascii="宋体" w:hAnsi="宋体" w:cs="宋体"/>
                <w:color w:val="auto"/>
                <w:highlight w:val="none"/>
              </w:rPr>
            </w:pPr>
          </w:p>
        </w:tc>
      </w:tr>
      <w:tr w14:paraId="39D51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atLeast"/>
          <w:jc w:val="center"/>
        </w:trPr>
        <w:tc>
          <w:tcPr>
            <w:tcW w:w="320" w:type="pct"/>
            <w:vAlign w:val="center"/>
          </w:tcPr>
          <w:p w14:paraId="18177303">
            <w:pPr>
              <w:snapToGrid w:val="0"/>
              <w:spacing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3390" w:type="pct"/>
            <w:vAlign w:val="center"/>
          </w:tcPr>
          <w:p w14:paraId="4E718E02">
            <w:pPr>
              <w:snapToGrid w:val="0"/>
              <w:spacing w:line="240" w:lineRule="auto"/>
              <w:jc w:val="both"/>
              <w:rPr>
                <w:rFonts w:hint="eastAsia" w:ascii="宋体" w:hAnsi="宋体" w:cs="宋体"/>
                <w:color w:val="auto"/>
                <w:sz w:val="24"/>
                <w:szCs w:val="24"/>
                <w:highlight w:val="none"/>
              </w:rPr>
            </w:pPr>
            <w:r>
              <w:rPr>
                <w:rFonts w:hint="eastAsia" w:ascii="宋体" w:hAnsi="宋体" w:cs="宋体"/>
                <w:b/>
                <w:bCs/>
                <w:color w:val="auto"/>
                <w:sz w:val="24"/>
                <w:szCs w:val="24"/>
                <w:highlight w:val="none"/>
              </w:rPr>
              <w:t>施工环保管理措施</w:t>
            </w:r>
            <w:r>
              <w:rPr>
                <w:rFonts w:hint="eastAsia" w:ascii="宋体" w:hAnsi="宋体" w:cs="宋体"/>
                <w:b/>
                <w:bCs/>
                <w:snapToGrid w:val="0"/>
                <w:color w:val="auto"/>
                <w:sz w:val="24"/>
                <w:highlight w:val="none"/>
                <w:lang w:eastAsia="zh-CN"/>
              </w:rPr>
              <w:t>（</w:t>
            </w:r>
            <w:r>
              <w:rPr>
                <w:rFonts w:hint="eastAsia" w:ascii="宋体" w:hAnsi="宋体" w:cs="宋体"/>
                <w:b/>
                <w:bCs/>
                <w:snapToGrid w:val="0"/>
                <w:color w:val="auto"/>
                <w:sz w:val="24"/>
                <w:highlight w:val="none"/>
                <w:lang w:val="en-US" w:eastAsia="zh-CN"/>
              </w:rPr>
              <w:t>5分</w:t>
            </w:r>
            <w:r>
              <w:rPr>
                <w:rFonts w:hint="eastAsia" w:ascii="宋体" w:hAnsi="宋体" w:cs="宋体"/>
                <w:b/>
                <w:bCs/>
                <w:snapToGrid w:val="0"/>
                <w:color w:val="auto"/>
                <w:sz w:val="24"/>
                <w:highlight w:val="none"/>
                <w:lang w:eastAsia="zh-CN"/>
              </w:rPr>
              <w:t>）：</w:t>
            </w:r>
          </w:p>
          <w:p w14:paraId="543DE717">
            <w:pPr>
              <w:snapToGrid w:val="0"/>
              <w:spacing w:line="240" w:lineRule="auto"/>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根据供应商提供的施工环保管理措施</w:t>
            </w:r>
            <w:r>
              <w:rPr>
                <w:rFonts w:hint="eastAsia" w:ascii="宋体" w:hAnsi="宋体" w:cs="宋体"/>
                <w:color w:val="auto"/>
                <w:sz w:val="24"/>
                <w:szCs w:val="24"/>
                <w:highlight w:val="none"/>
                <w:lang w:eastAsia="zh-CN"/>
              </w:rPr>
              <w:t>（包含但不仅限于防噪音、防扬尘、防刺鼻气味，空气检测、空气治理等施工环境维护保障措施等）</w:t>
            </w:r>
            <w:r>
              <w:rPr>
                <w:rFonts w:hint="eastAsia" w:ascii="宋体" w:hAnsi="宋体" w:cs="宋体"/>
                <w:color w:val="auto"/>
                <w:sz w:val="24"/>
                <w:szCs w:val="24"/>
                <w:highlight w:val="none"/>
              </w:rPr>
              <w:t>进行评议：</w:t>
            </w:r>
          </w:p>
          <w:p w14:paraId="64E057D3">
            <w:pPr>
              <w:snapToGrid w:val="0"/>
              <w:spacing w:line="240" w:lineRule="auto"/>
              <w:jc w:val="both"/>
              <w:rPr>
                <w:rFonts w:hint="eastAsia" w:ascii="宋体" w:hAnsi="宋体" w:cs="宋体"/>
                <w:color w:val="auto"/>
                <w:sz w:val="24"/>
                <w:szCs w:val="24"/>
                <w:highlight w:val="none"/>
              </w:rPr>
            </w:pPr>
            <w:r>
              <w:rPr>
                <w:rFonts w:hint="eastAsia" w:ascii="宋体" w:hAnsi="宋体" w:eastAsia="宋体" w:cs="宋体"/>
                <w:snapToGrid w:val="0"/>
                <w:color w:val="auto"/>
                <w:sz w:val="24"/>
                <w:highlight w:val="none"/>
              </w:rPr>
              <w:t>①</w:t>
            </w:r>
            <w:r>
              <w:rPr>
                <w:rFonts w:hint="eastAsia" w:ascii="宋体" w:hAnsi="宋体" w:cs="宋体"/>
                <w:color w:val="auto"/>
                <w:sz w:val="24"/>
                <w:szCs w:val="24"/>
                <w:highlight w:val="none"/>
              </w:rPr>
              <w:t>施工环保管理完善，防噪音、防扬尘、防刺鼻气味等施工环境维护保障措施可行，空气检测及时到位，空气治理方案完善的得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p>
          <w:p w14:paraId="17A6A42A">
            <w:pPr>
              <w:snapToGrid w:val="0"/>
              <w:spacing w:line="240" w:lineRule="auto"/>
              <w:jc w:val="both"/>
              <w:rPr>
                <w:rFonts w:hint="eastAsia" w:ascii="宋体" w:hAnsi="宋体" w:cs="宋体"/>
                <w:color w:val="auto"/>
                <w:sz w:val="24"/>
                <w:szCs w:val="24"/>
                <w:highlight w:val="none"/>
              </w:rPr>
            </w:pPr>
            <w:r>
              <w:rPr>
                <w:rFonts w:hint="eastAsia" w:ascii="宋体" w:hAnsi="宋体" w:eastAsia="宋体" w:cs="宋体"/>
                <w:snapToGrid w:val="0"/>
                <w:color w:val="auto"/>
                <w:sz w:val="24"/>
                <w:highlight w:val="none"/>
              </w:rPr>
              <w:t>②</w:t>
            </w:r>
            <w:r>
              <w:rPr>
                <w:rFonts w:hint="eastAsia" w:ascii="宋体" w:hAnsi="宋体" w:cs="宋体"/>
                <w:color w:val="auto"/>
                <w:sz w:val="24"/>
                <w:szCs w:val="24"/>
                <w:highlight w:val="none"/>
              </w:rPr>
              <w:t>施工环保管理完善，防噪音、防扬尘、防刺鼻气味等施工环境维护保障措施基本可行，空气检测较及时到位，空气治理方案较完善的得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w:t>
            </w:r>
          </w:p>
          <w:p w14:paraId="3BCA3EE5">
            <w:pPr>
              <w:snapToGrid w:val="0"/>
              <w:spacing w:line="240" w:lineRule="auto"/>
              <w:jc w:val="both"/>
              <w:rPr>
                <w:rFonts w:hint="eastAsia" w:ascii="宋体" w:hAnsi="宋体" w:cs="宋体"/>
                <w:color w:val="auto"/>
                <w:sz w:val="24"/>
                <w:szCs w:val="24"/>
                <w:highlight w:val="none"/>
              </w:rPr>
            </w:pPr>
            <w:r>
              <w:rPr>
                <w:rFonts w:hint="eastAsia" w:ascii="宋体" w:hAnsi="宋体" w:eastAsia="宋体" w:cs="宋体"/>
                <w:snapToGrid w:val="0"/>
                <w:color w:val="auto"/>
                <w:sz w:val="24"/>
                <w:highlight w:val="none"/>
              </w:rPr>
              <w:t>③</w:t>
            </w:r>
            <w:r>
              <w:rPr>
                <w:rFonts w:hint="eastAsia" w:ascii="宋体" w:hAnsi="宋体" w:cs="宋体"/>
                <w:color w:val="auto"/>
                <w:sz w:val="24"/>
                <w:szCs w:val="24"/>
                <w:highlight w:val="none"/>
              </w:rPr>
              <w:t>施工环保管理完善，防噪音、防扬尘、防刺鼻气味等施工环境维护保障措施不可行，空气检测不及时、不到位，空气治理方案不完善的得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p>
          <w:p w14:paraId="4F9CA2E7">
            <w:pPr>
              <w:snapToGrid w:val="0"/>
              <w:spacing w:line="240" w:lineRule="auto"/>
              <w:jc w:val="both"/>
              <w:rPr>
                <w:rFonts w:ascii="宋体" w:hAnsi="宋体" w:cs="宋体"/>
                <w:color w:val="auto"/>
                <w:highlight w:val="none"/>
              </w:rPr>
            </w:pPr>
            <w:r>
              <w:rPr>
                <w:rFonts w:hint="eastAsia" w:ascii="宋体" w:hAnsi="宋体" w:eastAsia="宋体" w:cs="宋体"/>
                <w:snapToGrid w:val="0"/>
                <w:color w:val="auto"/>
                <w:sz w:val="24"/>
                <w:highlight w:val="none"/>
              </w:rPr>
              <w:t>④</w:t>
            </w:r>
            <w:r>
              <w:rPr>
                <w:rFonts w:hint="eastAsia" w:ascii="宋体" w:hAnsi="宋体" w:cs="宋体"/>
                <w:color w:val="auto"/>
                <w:sz w:val="24"/>
                <w:szCs w:val="24"/>
                <w:highlight w:val="none"/>
              </w:rPr>
              <w:t>未提供施工环保管理措施的本项不得分。</w:t>
            </w:r>
          </w:p>
        </w:tc>
        <w:tc>
          <w:tcPr>
            <w:tcW w:w="290" w:type="pct"/>
            <w:vAlign w:val="center"/>
          </w:tcPr>
          <w:p w14:paraId="52E8F3D3">
            <w:pPr>
              <w:snapToGrid w:val="0"/>
              <w:spacing w:line="240" w:lineRule="auto"/>
              <w:jc w:val="center"/>
              <w:outlineLvl w:val="0"/>
              <w:rPr>
                <w:rFonts w:hint="eastAsia" w:ascii="宋体" w:hAnsi="宋体" w:eastAsia="宋体" w:cs="宋体"/>
                <w:bCs/>
                <w:color w:val="auto"/>
                <w:kern w:val="2"/>
                <w:sz w:val="24"/>
                <w:szCs w:val="24"/>
                <w:highlight w:val="none"/>
                <w:lang w:val="en-US" w:eastAsia="zh-CN" w:bidi="ar-SA"/>
              </w:rPr>
            </w:pPr>
            <w:bookmarkStart w:id="420" w:name="_Toc22681"/>
            <w:r>
              <w:rPr>
                <w:rFonts w:hint="eastAsia" w:ascii="宋体" w:hAnsi="宋体" w:cs="宋体"/>
                <w:bCs/>
                <w:color w:val="auto"/>
                <w:sz w:val="24"/>
                <w:highlight w:val="none"/>
                <w:lang w:val="en-US" w:eastAsia="zh-CN"/>
              </w:rPr>
              <w:t>5</w:t>
            </w:r>
            <w:bookmarkEnd w:id="420"/>
          </w:p>
        </w:tc>
        <w:tc>
          <w:tcPr>
            <w:tcW w:w="375" w:type="pct"/>
            <w:vAlign w:val="center"/>
          </w:tcPr>
          <w:p w14:paraId="20C6B051">
            <w:pPr>
              <w:snapToGrid w:val="0"/>
              <w:spacing w:line="240" w:lineRule="auto"/>
              <w:jc w:val="center"/>
              <w:outlineLvl w:val="0"/>
              <w:rPr>
                <w:rFonts w:hint="eastAsia" w:ascii="宋体" w:hAnsi="宋体" w:eastAsia="宋体" w:cs="宋体"/>
                <w:bCs/>
                <w:color w:val="auto"/>
                <w:kern w:val="2"/>
                <w:sz w:val="24"/>
                <w:szCs w:val="24"/>
                <w:highlight w:val="none"/>
                <w:lang w:val="en-US" w:eastAsia="zh-CN" w:bidi="ar-SA"/>
              </w:rPr>
            </w:pPr>
            <w:bookmarkStart w:id="421" w:name="_Toc31601"/>
            <w:r>
              <w:rPr>
                <w:rFonts w:hint="eastAsia" w:ascii="宋体" w:hAnsi="宋体" w:cs="宋体"/>
                <w:bCs/>
                <w:color w:val="auto"/>
                <w:sz w:val="24"/>
                <w:highlight w:val="none"/>
                <w:lang w:val="en-US" w:eastAsia="zh-CN"/>
              </w:rPr>
              <w:t>主观评审</w:t>
            </w:r>
            <w:bookmarkEnd w:id="421"/>
          </w:p>
        </w:tc>
        <w:tc>
          <w:tcPr>
            <w:tcW w:w="624" w:type="pct"/>
            <w:vAlign w:val="center"/>
          </w:tcPr>
          <w:p w14:paraId="1D234BF3">
            <w:pPr>
              <w:snapToGrid w:val="0"/>
              <w:spacing w:line="240" w:lineRule="auto"/>
              <w:jc w:val="center"/>
              <w:rPr>
                <w:rFonts w:ascii="宋体" w:hAnsi="宋体" w:cs="宋体"/>
                <w:color w:val="auto"/>
                <w:highlight w:val="none"/>
              </w:rPr>
            </w:pPr>
          </w:p>
        </w:tc>
      </w:tr>
      <w:tr w14:paraId="6E3B6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0" w:type="pct"/>
            <w:vAlign w:val="center"/>
          </w:tcPr>
          <w:p w14:paraId="0EB960F7">
            <w:pPr>
              <w:snapToGrid w:val="0"/>
              <w:spacing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3390" w:type="pct"/>
            <w:vAlign w:val="center"/>
          </w:tcPr>
          <w:p w14:paraId="2E618A88">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突发事件应急措施</w:t>
            </w:r>
            <w:r>
              <w:rPr>
                <w:rFonts w:hint="eastAsia" w:ascii="宋体" w:hAnsi="宋体" w:cs="宋体"/>
                <w:b/>
                <w:bCs/>
                <w:snapToGrid w:val="0"/>
                <w:color w:val="auto"/>
                <w:sz w:val="24"/>
                <w:highlight w:val="none"/>
                <w:lang w:eastAsia="zh-CN"/>
              </w:rPr>
              <w:t>（</w:t>
            </w:r>
            <w:r>
              <w:rPr>
                <w:rFonts w:hint="eastAsia" w:ascii="宋体" w:hAnsi="宋体" w:cs="宋体"/>
                <w:b/>
                <w:bCs/>
                <w:snapToGrid w:val="0"/>
                <w:color w:val="auto"/>
                <w:sz w:val="24"/>
                <w:highlight w:val="none"/>
                <w:lang w:val="en-US" w:eastAsia="zh-CN"/>
              </w:rPr>
              <w:t>6分</w:t>
            </w:r>
            <w:r>
              <w:rPr>
                <w:rFonts w:hint="eastAsia" w:ascii="宋体" w:hAnsi="宋体" w:cs="宋体"/>
                <w:b/>
                <w:bCs/>
                <w:snapToGrid w:val="0"/>
                <w:color w:val="auto"/>
                <w:sz w:val="24"/>
                <w:highlight w:val="none"/>
                <w:lang w:eastAsia="zh-CN"/>
              </w:rPr>
              <w:t>）：</w:t>
            </w:r>
          </w:p>
          <w:p w14:paraId="1CAE40EB">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根据供应商提供的突发事件应急措施（包含但不仅限于发生火灾、触电、机械伤害、化学品伤害等事故的逃生和急救方案等）进行评议：</w:t>
            </w:r>
          </w:p>
          <w:p w14:paraId="6E7CBDE2">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sz w:val="24"/>
                <w:highlight w:val="none"/>
              </w:rPr>
              <w:t>①</w:t>
            </w:r>
            <w:r>
              <w:rPr>
                <w:rFonts w:hint="eastAsia" w:ascii="宋体" w:hAnsi="宋体" w:eastAsia="宋体" w:cs="宋体"/>
                <w:color w:val="auto"/>
                <w:sz w:val="24"/>
                <w:szCs w:val="24"/>
                <w:highlight w:val="none"/>
                <w:lang w:val="en-US" w:eastAsia="zh-CN"/>
              </w:rPr>
              <w:t>应急措施方案完善，发生火灾、触电、机械伤害、化学品伤害等事故的逃生和急救方案具体有效，措施得力，可执行力度高的得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p w14:paraId="20082654">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sz w:val="24"/>
                <w:highlight w:val="none"/>
              </w:rPr>
              <w:t>②</w:t>
            </w:r>
            <w:r>
              <w:rPr>
                <w:rFonts w:hint="eastAsia" w:ascii="宋体" w:hAnsi="宋体" w:eastAsia="宋体" w:cs="宋体"/>
                <w:color w:val="auto"/>
                <w:sz w:val="24"/>
                <w:szCs w:val="24"/>
                <w:highlight w:val="none"/>
                <w:lang w:val="en-US" w:eastAsia="zh-CN"/>
              </w:rPr>
              <w:t>应急措施方案内容充分，发生火灾、触电、机械伤害、化学品伤害等事故的逃生和急救方案措施得当，可执行力度较高的得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39C94F40">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sz w:val="24"/>
                <w:highlight w:val="none"/>
              </w:rPr>
              <w:t>③</w:t>
            </w:r>
            <w:r>
              <w:rPr>
                <w:rFonts w:hint="eastAsia" w:ascii="宋体" w:hAnsi="宋体" w:eastAsia="宋体" w:cs="宋体"/>
                <w:color w:val="auto"/>
                <w:sz w:val="24"/>
                <w:szCs w:val="24"/>
                <w:highlight w:val="none"/>
                <w:lang w:val="en-US" w:eastAsia="zh-CN"/>
              </w:rPr>
              <w:t>应急措施方案内容简单，发生火灾、触电、机械伤害、化学品伤害等事故的逃生和急救方案措施不力，可执行力低的得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18B37854">
            <w:pPr>
              <w:spacing w:line="240" w:lineRule="auto"/>
              <w:rPr>
                <w:rFonts w:hint="default" w:eastAsia="宋体"/>
                <w:color w:val="auto"/>
                <w:highlight w:val="none"/>
                <w:lang w:val="en-US" w:eastAsia="zh-CN"/>
              </w:rPr>
            </w:pPr>
            <w:r>
              <w:rPr>
                <w:rFonts w:hint="eastAsia" w:ascii="宋体" w:hAnsi="宋体" w:eastAsia="宋体" w:cs="宋体"/>
                <w:snapToGrid w:val="0"/>
                <w:color w:val="auto"/>
                <w:sz w:val="24"/>
                <w:highlight w:val="none"/>
              </w:rPr>
              <w:t>④</w:t>
            </w:r>
            <w:r>
              <w:rPr>
                <w:rFonts w:hint="eastAsia" w:ascii="宋体" w:hAnsi="宋体" w:eastAsia="宋体" w:cs="宋体"/>
                <w:color w:val="auto"/>
                <w:sz w:val="24"/>
                <w:szCs w:val="24"/>
                <w:highlight w:val="none"/>
                <w:lang w:val="en-US" w:eastAsia="zh-CN"/>
              </w:rPr>
              <w:t>未提供突发事件应急措施的本项不得分。</w:t>
            </w:r>
          </w:p>
        </w:tc>
        <w:tc>
          <w:tcPr>
            <w:tcW w:w="290" w:type="pct"/>
            <w:vAlign w:val="center"/>
          </w:tcPr>
          <w:p w14:paraId="53B689BC">
            <w:pPr>
              <w:snapToGrid w:val="0"/>
              <w:spacing w:line="24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6</w:t>
            </w:r>
          </w:p>
        </w:tc>
        <w:tc>
          <w:tcPr>
            <w:tcW w:w="375" w:type="pct"/>
            <w:vAlign w:val="center"/>
          </w:tcPr>
          <w:p w14:paraId="4E651663">
            <w:pPr>
              <w:snapToGrid w:val="0"/>
              <w:spacing w:line="240" w:lineRule="auto"/>
              <w:jc w:val="center"/>
              <w:outlineLvl w:val="0"/>
              <w:rPr>
                <w:rFonts w:hint="eastAsia" w:ascii="宋体" w:hAnsi="宋体" w:eastAsia="宋体" w:cs="宋体"/>
                <w:bCs/>
                <w:color w:val="auto"/>
                <w:kern w:val="2"/>
                <w:sz w:val="24"/>
                <w:szCs w:val="24"/>
                <w:highlight w:val="none"/>
                <w:lang w:val="en-US" w:eastAsia="zh-CN" w:bidi="ar-SA"/>
              </w:rPr>
            </w:pPr>
            <w:bookmarkStart w:id="422" w:name="_Toc27908"/>
            <w:r>
              <w:rPr>
                <w:rFonts w:hint="eastAsia" w:ascii="宋体" w:hAnsi="宋体" w:cs="宋体"/>
                <w:bCs/>
                <w:color w:val="auto"/>
                <w:sz w:val="24"/>
                <w:highlight w:val="none"/>
                <w:lang w:val="en-US" w:eastAsia="zh-CN"/>
              </w:rPr>
              <w:t>主观评审</w:t>
            </w:r>
            <w:bookmarkEnd w:id="422"/>
          </w:p>
        </w:tc>
        <w:tc>
          <w:tcPr>
            <w:tcW w:w="624" w:type="pct"/>
            <w:vAlign w:val="center"/>
          </w:tcPr>
          <w:p w14:paraId="6127BE72">
            <w:pPr>
              <w:snapToGrid w:val="0"/>
              <w:spacing w:line="240" w:lineRule="auto"/>
              <w:jc w:val="center"/>
              <w:rPr>
                <w:rFonts w:ascii="宋体" w:hAnsi="宋体" w:cs="宋体"/>
                <w:color w:val="auto"/>
                <w:highlight w:val="none"/>
              </w:rPr>
            </w:pPr>
          </w:p>
        </w:tc>
      </w:tr>
      <w:tr w14:paraId="3F690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0" w:type="pct"/>
            <w:vAlign w:val="center"/>
          </w:tcPr>
          <w:p w14:paraId="26B19925">
            <w:pPr>
              <w:snapToGrid w:val="0"/>
              <w:spacing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3390" w:type="pct"/>
            <w:vAlign w:val="center"/>
          </w:tcPr>
          <w:p w14:paraId="759A8061">
            <w:pPr>
              <w:snapToGrid w:val="0"/>
              <w:spacing w:line="240" w:lineRule="auto"/>
              <w:jc w:val="both"/>
              <w:rPr>
                <w:rFonts w:hint="default" w:ascii="宋体" w:hAnsi="宋体" w:eastAsia="宋体" w:cs="宋体"/>
                <w:snapToGrid w:val="0"/>
                <w:color w:val="auto"/>
                <w:sz w:val="24"/>
                <w:highlight w:val="none"/>
                <w:lang w:val="en-US" w:eastAsia="zh-CN"/>
              </w:rPr>
            </w:pPr>
            <w:r>
              <w:rPr>
                <w:rFonts w:hint="default" w:ascii="宋体" w:hAnsi="宋体" w:eastAsia="宋体" w:cs="宋体"/>
                <w:b/>
                <w:bCs/>
                <w:snapToGrid w:val="0"/>
                <w:color w:val="auto"/>
                <w:sz w:val="24"/>
                <w:highlight w:val="none"/>
                <w:lang w:val="en-US" w:eastAsia="zh-CN"/>
              </w:rPr>
              <w:t>主要施工机械设备的选用和管理</w:t>
            </w:r>
            <w:r>
              <w:rPr>
                <w:rFonts w:hint="eastAsia" w:ascii="宋体" w:hAnsi="宋体" w:cs="宋体"/>
                <w:b/>
                <w:bCs/>
                <w:snapToGrid w:val="0"/>
                <w:color w:val="auto"/>
                <w:sz w:val="24"/>
                <w:highlight w:val="none"/>
                <w:lang w:eastAsia="zh-CN"/>
              </w:rPr>
              <w:t>（</w:t>
            </w:r>
            <w:r>
              <w:rPr>
                <w:rFonts w:hint="eastAsia" w:ascii="宋体" w:hAnsi="宋体" w:cs="宋体"/>
                <w:b/>
                <w:bCs/>
                <w:snapToGrid w:val="0"/>
                <w:color w:val="auto"/>
                <w:sz w:val="24"/>
                <w:highlight w:val="none"/>
                <w:lang w:val="en-US" w:eastAsia="zh-CN"/>
              </w:rPr>
              <w:t>5分</w:t>
            </w:r>
            <w:r>
              <w:rPr>
                <w:rFonts w:hint="eastAsia" w:ascii="宋体" w:hAnsi="宋体" w:cs="宋体"/>
                <w:b/>
                <w:bCs/>
                <w:snapToGrid w:val="0"/>
                <w:color w:val="auto"/>
                <w:sz w:val="24"/>
                <w:highlight w:val="none"/>
                <w:lang w:eastAsia="zh-CN"/>
              </w:rPr>
              <w:t>）：</w:t>
            </w:r>
          </w:p>
          <w:p w14:paraId="455E8411">
            <w:pPr>
              <w:snapToGrid w:val="0"/>
              <w:spacing w:line="240" w:lineRule="auto"/>
              <w:jc w:val="both"/>
              <w:rPr>
                <w:rFonts w:hint="default" w:ascii="宋体" w:hAnsi="宋体" w:eastAsia="宋体" w:cs="宋体"/>
                <w:snapToGrid w:val="0"/>
                <w:color w:val="auto"/>
                <w:sz w:val="24"/>
                <w:highlight w:val="none"/>
                <w:lang w:val="en-US" w:eastAsia="zh-CN"/>
              </w:rPr>
            </w:pPr>
            <w:r>
              <w:rPr>
                <w:rFonts w:hint="default" w:ascii="宋体" w:hAnsi="宋体" w:eastAsia="宋体" w:cs="宋体"/>
                <w:snapToGrid w:val="0"/>
                <w:color w:val="auto"/>
                <w:sz w:val="24"/>
                <w:highlight w:val="none"/>
                <w:lang w:val="en-US" w:eastAsia="zh-CN"/>
              </w:rPr>
              <w:t>根据供应商提供的主要施工机械设备的选用和管理进行评议：</w:t>
            </w:r>
          </w:p>
          <w:p w14:paraId="21CFEB89">
            <w:pPr>
              <w:snapToGrid w:val="0"/>
              <w:spacing w:line="240" w:lineRule="auto"/>
              <w:jc w:val="both"/>
              <w:rPr>
                <w:rFonts w:hint="default"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rPr>
              <w:t>①</w:t>
            </w:r>
            <w:r>
              <w:rPr>
                <w:rFonts w:hint="default" w:ascii="宋体" w:hAnsi="宋体" w:eastAsia="宋体" w:cs="宋体"/>
                <w:snapToGrid w:val="0"/>
                <w:color w:val="auto"/>
                <w:sz w:val="24"/>
                <w:highlight w:val="none"/>
                <w:lang w:val="en-US" w:eastAsia="zh-CN"/>
              </w:rPr>
              <w:t>主要施工机械设备配备齐全、设备管理制度完善、保障措施详实的得</w:t>
            </w:r>
            <w:r>
              <w:rPr>
                <w:rFonts w:hint="eastAsia" w:ascii="宋体" w:hAnsi="宋体" w:cs="宋体"/>
                <w:snapToGrid w:val="0"/>
                <w:color w:val="auto"/>
                <w:sz w:val="24"/>
                <w:highlight w:val="none"/>
                <w:lang w:val="en-US" w:eastAsia="zh-CN"/>
              </w:rPr>
              <w:t>5</w:t>
            </w:r>
            <w:r>
              <w:rPr>
                <w:rFonts w:hint="default" w:ascii="宋体" w:hAnsi="宋体" w:eastAsia="宋体" w:cs="宋体"/>
                <w:snapToGrid w:val="0"/>
                <w:color w:val="auto"/>
                <w:sz w:val="24"/>
                <w:highlight w:val="none"/>
                <w:lang w:val="en-US" w:eastAsia="zh-CN"/>
              </w:rPr>
              <w:t>分；</w:t>
            </w:r>
          </w:p>
          <w:p w14:paraId="1B8E4336">
            <w:pPr>
              <w:snapToGrid w:val="0"/>
              <w:spacing w:line="240" w:lineRule="auto"/>
              <w:jc w:val="both"/>
              <w:rPr>
                <w:rFonts w:hint="default"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rPr>
              <w:t>②</w:t>
            </w:r>
            <w:r>
              <w:rPr>
                <w:rFonts w:hint="default" w:ascii="宋体" w:hAnsi="宋体" w:eastAsia="宋体" w:cs="宋体"/>
                <w:snapToGrid w:val="0"/>
                <w:color w:val="auto"/>
                <w:sz w:val="24"/>
                <w:highlight w:val="none"/>
                <w:lang w:val="en-US" w:eastAsia="zh-CN"/>
              </w:rPr>
              <w:t>主要施工机械设备配备较齐全、设备管理制度较完善、保障措施较详实的得</w:t>
            </w:r>
            <w:r>
              <w:rPr>
                <w:rFonts w:hint="eastAsia" w:ascii="宋体" w:hAnsi="宋体" w:cs="宋体"/>
                <w:snapToGrid w:val="0"/>
                <w:color w:val="auto"/>
                <w:sz w:val="24"/>
                <w:highlight w:val="none"/>
                <w:lang w:val="en-US" w:eastAsia="zh-CN"/>
              </w:rPr>
              <w:t>3</w:t>
            </w:r>
            <w:r>
              <w:rPr>
                <w:rFonts w:hint="default" w:ascii="宋体" w:hAnsi="宋体" w:eastAsia="宋体" w:cs="宋体"/>
                <w:snapToGrid w:val="0"/>
                <w:color w:val="auto"/>
                <w:sz w:val="24"/>
                <w:highlight w:val="none"/>
                <w:lang w:val="en-US" w:eastAsia="zh-CN"/>
              </w:rPr>
              <w:t>分；</w:t>
            </w:r>
          </w:p>
          <w:p w14:paraId="7E530579">
            <w:pPr>
              <w:snapToGrid w:val="0"/>
              <w:spacing w:line="240" w:lineRule="auto"/>
              <w:jc w:val="both"/>
              <w:rPr>
                <w:rFonts w:hint="default"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rPr>
              <w:t>③</w:t>
            </w:r>
            <w:r>
              <w:rPr>
                <w:rFonts w:hint="default" w:ascii="宋体" w:hAnsi="宋体" w:eastAsia="宋体" w:cs="宋体"/>
                <w:snapToGrid w:val="0"/>
                <w:color w:val="auto"/>
                <w:sz w:val="24"/>
                <w:highlight w:val="none"/>
                <w:lang w:val="en-US" w:eastAsia="zh-CN"/>
              </w:rPr>
              <w:t>主要施工机械设备配备不充分、设备管理制度不到位、保障措施缺失的得</w:t>
            </w:r>
            <w:r>
              <w:rPr>
                <w:rFonts w:hint="eastAsia" w:ascii="宋体" w:hAnsi="宋体" w:cs="宋体"/>
                <w:snapToGrid w:val="0"/>
                <w:color w:val="auto"/>
                <w:sz w:val="24"/>
                <w:highlight w:val="none"/>
                <w:lang w:val="en-US" w:eastAsia="zh-CN"/>
              </w:rPr>
              <w:t>1</w:t>
            </w:r>
            <w:r>
              <w:rPr>
                <w:rFonts w:hint="default" w:ascii="宋体" w:hAnsi="宋体" w:eastAsia="宋体" w:cs="宋体"/>
                <w:snapToGrid w:val="0"/>
                <w:color w:val="auto"/>
                <w:sz w:val="24"/>
                <w:highlight w:val="none"/>
                <w:lang w:val="en-US" w:eastAsia="zh-CN"/>
              </w:rPr>
              <w:t>分；</w:t>
            </w:r>
          </w:p>
          <w:p w14:paraId="5FD0A48E">
            <w:pPr>
              <w:snapToGrid w:val="0"/>
              <w:spacing w:line="240" w:lineRule="auto"/>
              <w:jc w:val="both"/>
              <w:rPr>
                <w:rFonts w:hint="default"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rPr>
              <w:t>④</w:t>
            </w:r>
            <w:r>
              <w:rPr>
                <w:rFonts w:hint="default" w:ascii="宋体" w:hAnsi="宋体" w:eastAsia="宋体" w:cs="宋体"/>
                <w:snapToGrid w:val="0"/>
                <w:color w:val="auto"/>
                <w:sz w:val="24"/>
                <w:highlight w:val="none"/>
                <w:lang w:val="en-US" w:eastAsia="zh-CN"/>
              </w:rPr>
              <w:t>未提供主要施工机械设备的选用和管理的本项不得分。</w:t>
            </w:r>
          </w:p>
        </w:tc>
        <w:tc>
          <w:tcPr>
            <w:tcW w:w="290" w:type="pct"/>
            <w:vAlign w:val="center"/>
          </w:tcPr>
          <w:p w14:paraId="693407DF">
            <w:pPr>
              <w:snapToGrid w:val="0"/>
              <w:spacing w:line="240" w:lineRule="auto"/>
              <w:jc w:val="center"/>
              <w:outlineLvl w:val="0"/>
              <w:rPr>
                <w:rFonts w:hint="default" w:ascii="宋体" w:hAnsi="宋体" w:cs="宋体"/>
                <w:bCs/>
                <w:color w:val="auto"/>
                <w:sz w:val="24"/>
                <w:highlight w:val="none"/>
                <w:lang w:val="en-US" w:eastAsia="zh-CN"/>
              </w:rPr>
            </w:pPr>
            <w:bookmarkStart w:id="423" w:name="_Toc30598"/>
            <w:r>
              <w:rPr>
                <w:rFonts w:hint="eastAsia" w:ascii="宋体" w:hAnsi="宋体" w:cs="宋体"/>
                <w:bCs/>
                <w:color w:val="auto"/>
                <w:sz w:val="24"/>
                <w:highlight w:val="none"/>
                <w:lang w:val="en-US" w:eastAsia="zh-CN"/>
              </w:rPr>
              <w:t>5</w:t>
            </w:r>
            <w:bookmarkEnd w:id="423"/>
          </w:p>
        </w:tc>
        <w:tc>
          <w:tcPr>
            <w:tcW w:w="375" w:type="pct"/>
            <w:vAlign w:val="center"/>
          </w:tcPr>
          <w:p w14:paraId="03822524">
            <w:pPr>
              <w:snapToGrid w:val="0"/>
              <w:spacing w:line="240" w:lineRule="auto"/>
              <w:jc w:val="center"/>
              <w:outlineLvl w:val="0"/>
              <w:rPr>
                <w:rFonts w:hint="eastAsia" w:ascii="宋体" w:hAnsi="宋体" w:cs="宋体"/>
                <w:bCs/>
                <w:color w:val="auto"/>
                <w:sz w:val="24"/>
                <w:highlight w:val="none"/>
                <w:lang w:val="en-US" w:eastAsia="zh-CN"/>
              </w:rPr>
            </w:pPr>
            <w:bookmarkStart w:id="424" w:name="_Toc24190"/>
            <w:r>
              <w:rPr>
                <w:rFonts w:hint="eastAsia" w:ascii="宋体" w:hAnsi="宋体" w:cs="宋体"/>
                <w:bCs/>
                <w:color w:val="auto"/>
                <w:sz w:val="24"/>
                <w:highlight w:val="none"/>
                <w:lang w:val="en-US" w:eastAsia="zh-CN"/>
              </w:rPr>
              <w:t>主观评审</w:t>
            </w:r>
            <w:bookmarkEnd w:id="424"/>
          </w:p>
        </w:tc>
        <w:tc>
          <w:tcPr>
            <w:tcW w:w="624" w:type="pct"/>
            <w:vAlign w:val="center"/>
          </w:tcPr>
          <w:p w14:paraId="2E29D53C">
            <w:pPr>
              <w:snapToGrid w:val="0"/>
              <w:spacing w:line="240" w:lineRule="auto"/>
              <w:jc w:val="center"/>
              <w:rPr>
                <w:rFonts w:ascii="宋体" w:hAnsi="宋体" w:cs="宋体"/>
                <w:color w:val="auto"/>
                <w:highlight w:val="none"/>
              </w:rPr>
            </w:pPr>
          </w:p>
        </w:tc>
      </w:tr>
      <w:tr w14:paraId="257B5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0" w:type="pct"/>
            <w:vMerge w:val="restart"/>
            <w:vAlign w:val="center"/>
          </w:tcPr>
          <w:p w14:paraId="6AF7967A">
            <w:pPr>
              <w:snapToGrid w:val="0"/>
              <w:spacing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3390" w:type="pct"/>
            <w:vAlign w:val="center"/>
          </w:tcPr>
          <w:p w14:paraId="3C480F10">
            <w:pPr>
              <w:snapToGrid w:val="0"/>
              <w:spacing w:line="240" w:lineRule="auto"/>
              <w:jc w:val="both"/>
              <w:rPr>
                <w:rFonts w:hint="eastAsia"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根据供应商拟派本项目的项目负责人及技术负责人（包括但不仅限于从事本项目相关行业工作年限及经验等）进行评议：</w:t>
            </w:r>
          </w:p>
          <w:p w14:paraId="31CCABCD">
            <w:pPr>
              <w:snapToGrid w:val="0"/>
              <w:spacing w:line="240" w:lineRule="auto"/>
              <w:jc w:val="both"/>
              <w:rPr>
                <w:rFonts w:hint="eastAsia" w:ascii="宋体" w:hAnsi="宋体" w:cs="宋体"/>
                <w:b w:val="0"/>
                <w:bCs w:val="0"/>
                <w:snapToGrid w:val="0"/>
                <w:color w:val="auto"/>
                <w:sz w:val="24"/>
                <w:highlight w:val="none"/>
                <w:lang w:val="en-US" w:eastAsia="zh-CN"/>
              </w:rPr>
            </w:pPr>
            <w:r>
              <w:rPr>
                <w:rFonts w:hint="eastAsia" w:ascii="宋体" w:hAnsi="宋体" w:eastAsia="宋体" w:cs="宋体"/>
                <w:snapToGrid w:val="0"/>
                <w:color w:val="auto"/>
                <w:sz w:val="24"/>
                <w:highlight w:val="none"/>
              </w:rPr>
              <w:t>①</w:t>
            </w:r>
            <w:r>
              <w:rPr>
                <w:rFonts w:hint="eastAsia" w:ascii="宋体" w:hAnsi="宋体" w:cs="宋体"/>
                <w:b w:val="0"/>
                <w:bCs w:val="0"/>
                <w:snapToGrid w:val="0"/>
                <w:color w:val="auto"/>
                <w:sz w:val="24"/>
                <w:highlight w:val="none"/>
                <w:lang w:val="en-US" w:eastAsia="zh-CN"/>
              </w:rPr>
              <w:t>拟派项目负责人及技术负责人经验丰富的得5分；</w:t>
            </w:r>
          </w:p>
          <w:p w14:paraId="05B17A1B">
            <w:pPr>
              <w:snapToGrid w:val="0"/>
              <w:spacing w:line="240" w:lineRule="auto"/>
              <w:jc w:val="both"/>
              <w:rPr>
                <w:rFonts w:hint="eastAsia" w:ascii="宋体" w:hAnsi="宋体" w:cs="宋体"/>
                <w:b w:val="0"/>
                <w:bCs w:val="0"/>
                <w:snapToGrid w:val="0"/>
                <w:color w:val="auto"/>
                <w:sz w:val="24"/>
                <w:highlight w:val="none"/>
                <w:lang w:val="en-US" w:eastAsia="zh-CN"/>
              </w:rPr>
            </w:pPr>
            <w:r>
              <w:rPr>
                <w:rFonts w:hint="eastAsia" w:ascii="宋体" w:hAnsi="宋体" w:eastAsia="宋体" w:cs="宋体"/>
                <w:snapToGrid w:val="0"/>
                <w:color w:val="auto"/>
                <w:sz w:val="24"/>
                <w:highlight w:val="none"/>
              </w:rPr>
              <w:t>②</w:t>
            </w:r>
            <w:r>
              <w:rPr>
                <w:rFonts w:hint="eastAsia" w:ascii="宋体" w:hAnsi="宋体" w:cs="宋体"/>
                <w:b w:val="0"/>
                <w:bCs w:val="0"/>
                <w:snapToGrid w:val="0"/>
                <w:color w:val="auto"/>
                <w:sz w:val="24"/>
                <w:highlight w:val="none"/>
                <w:lang w:val="en-US" w:eastAsia="zh-CN"/>
              </w:rPr>
              <w:t>拟派项目负责人及技术负责人经验较丰富的得3分；</w:t>
            </w:r>
          </w:p>
          <w:p w14:paraId="0721E867">
            <w:pPr>
              <w:snapToGrid w:val="0"/>
              <w:spacing w:line="240" w:lineRule="auto"/>
              <w:jc w:val="both"/>
              <w:rPr>
                <w:rFonts w:hint="eastAsia" w:ascii="宋体" w:hAnsi="宋体" w:cs="宋体"/>
                <w:b w:val="0"/>
                <w:bCs w:val="0"/>
                <w:snapToGrid w:val="0"/>
                <w:color w:val="auto"/>
                <w:sz w:val="24"/>
                <w:highlight w:val="none"/>
                <w:lang w:val="en-US" w:eastAsia="zh-CN"/>
              </w:rPr>
            </w:pPr>
            <w:r>
              <w:rPr>
                <w:rFonts w:hint="eastAsia" w:ascii="宋体" w:hAnsi="宋体" w:eastAsia="宋体" w:cs="宋体"/>
                <w:snapToGrid w:val="0"/>
                <w:color w:val="auto"/>
                <w:sz w:val="24"/>
                <w:highlight w:val="none"/>
              </w:rPr>
              <w:t>③</w:t>
            </w:r>
            <w:r>
              <w:rPr>
                <w:rFonts w:hint="eastAsia" w:ascii="宋体" w:hAnsi="宋体" w:cs="宋体"/>
                <w:b w:val="0"/>
                <w:bCs w:val="0"/>
                <w:snapToGrid w:val="0"/>
                <w:color w:val="auto"/>
                <w:sz w:val="24"/>
                <w:highlight w:val="none"/>
                <w:lang w:val="en-US" w:eastAsia="zh-CN"/>
              </w:rPr>
              <w:t>拟派项目负责人及技术负责人没有经验的得1分；</w:t>
            </w:r>
          </w:p>
          <w:p w14:paraId="269C8FC2">
            <w:pPr>
              <w:snapToGrid w:val="0"/>
              <w:spacing w:line="240" w:lineRule="auto"/>
              <w:jc w:val="both"/>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④</w:t>
            </w:r>
            <w:r>
              <w:rPr>
                <w:rFonts w:hint="eastAsia" w:ascii="宋体" w:hAnsi="宋体" w:cs="宋体"/>
                <w:b w:val="0"/>
                <w:bCs w:val="0"/>
                <w:snapToGrid w:val="0"/>
                <w:color w:val="auto"/>
                <w:sz w:val="24"/>
                <w:highlight w:val="none"/>
                <w:lang w:val="en-US" w:eastAsia="zh-CN"/>
              </w:rPr>
              <w:t>未提供拟派本项目的项目负责人及技术负责人配备情况的不得分。</w:t>
            </w:r>
          </w:p>
        </w:tc>
        <w:tc>
          <w:tcPr>
            <w:tcW w:w="290" w:type="pct"/>
            <w:vAlign w:val="center"/>
          </w:tcPr>
          <w:p w14:paraId="7FD32747">
            <w:pPr>
              <w:snapToGrid w:val="0"/>
              <w:spacing w:line="24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5</w:t>
            </w:r>
          </w:p>
        </w:tc>
        <w:tc>
          <w:tcPr>
            <w:tcW w:w="375" w:type="pct"/>
            <w:vAlign w:val="center"/>
          </w:tcPr>
          <w:p w14:paraId="07FAD182">
            <w:pPr>
              <w:snapToGrid w:val="0"/>
              <w:spacing w:line="240" w:lineRule="auto"/>
              <w:jc w:val="center"/>
              <w:outlineLvl w:val="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主观评审</w:t>
            </w:r>
          </w:p>
        </w:tc>
        <w:tc>
          <w:tcPr>
            <w:tcW w:w="624" w:type="pct"/>
            <w:vAlign w:val="center"/>
          </w:tcPr>
          <w:p w14:paraId="65395C8A">
            <w:pPr>
              <w:snapToGrid w:val="0"/>
              <w:spacing w:line="240" w:lineRule="auto"/>
              <w:jc w:val="center"/>
              <w:rPr>
                <w:rFonts w:hint="eastAsia" w:ascii="宋体" w:hAnsi="宋体" w:cs="宋体"/>
                <w:color w:val="auto"/>
                <w:sz w:val="24"/>
                <w:highlight w:val="none"/>
                <w:lang w:val="en-US" w:eastAsia="zh-CN"/>
              </w:rPr>
            </w:pPr>
          </w:p>
        </w:tc>
      </w:tr>
      <w:tr w14:paraId="3946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0" w:type="pct"/>
            <w:vMerge w:val="continue"/>
            <w:vAlign w:val="center"/>
          </w:tcPr>
          <w:p w14:paraId="42DFAD46">
            <w:pPr>
              <w:snapToGrid w:val="0"/>
              <w:spacing w:line="240" w:lineRule="auto"/>
              <w:jc w:val="center"/>
              <w:rPr>
                <w:rFonts w:hint="default" w:ascii="宋体" w:hAnsi="宋体" w:cs="宋体"/>
                <w:color w:val="auto"/>
                <w:sz w:val="24"/>
                <w:szCs w:val="24"/>
                <w:highlight w:val="none"/>
                <w:lang w:val="en-US" w:eastAsia="zh-CN"/>
              </w:rPr>
            </w:pPr>
          </w:p>
        </w:tc>
        <w:tc>
          <w:tcPr>
            <w:tcW w:w="3390" w:type="pct"/>
            <w:vAlign w:val="center"/>
          </w:tcPr>
          <w:p w14:paraId="4CE44255">
            <w:pPr>
              <w:snapToGrid w:val="0"/>
              <w:spacing w:line="240" w:lineRule="auto"/>
              <w:jc w:val="both"/>
              <w:rPr>
                <w:rFonts w:hint="eastAsia"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根据供应商拟派本项目其他人员配备情况（包括但不仅限于安全员、质检员、施工员、拟派人员从事本项目相关行业工作年限及经验等）进行评议：</w:t>
            </w:r>
          </w:p>
          <w:p w14:paraId="47D64E8E">
            <w:pPr>
              <w:snapToGrid w:val="0"/>
              <w:spacing w:line="240" w:lineRule="auto"/>
              <w:jc w:val="both"/>
              <w:rPr>
                <w:rFonts w:hint="eastAsia" w:ascii="宋体" w:hAnsi="宋体" w:cs="宋体"/>
                <w:b w:val="0"/>
                <w:bCs w:val="0"/>
                <w:snapToGrid w:val="0"/>
                <w:color w:val="auto"/>
                <w:sz w:val="24"/>
                <w:highlight w:val="none"/>
                <w:lang w:val="en-US" w:eastAsia="zh-CN"/>
              </w:rPr>
            </w:pPr>
            <w:r>
              <w:rPr>
                <w:rFonts w:hint="eastAsia" w:ascii="宋体" w:hAnsi="宋体" w:eastAsia="宋体" w:cs="宋体"/>
                <w:snapToGrid w:val="0"/>
                <w:color w:val="auto"/>
                <w:sz w:val="24"/>
                <w:highlight w:val="none"/>
              </w:rPr>
              <w:t>①</w:t>
            </w:r>
            <w:r>
              <w:rPr>
                <w:rFonts w:hint="eastAsia" w:ascii="宋体" w:hAnsi="宋体" w:cs="宋体"/>
                <w:b w:val="0"/>
                <w:bCs w:val="0"/>
                <w:snapToGrid w:val="0"/>
                <w:color w:val="auto"/>
                <w:sz w:val="24"/>
                <w:highlight w:val="none"/>
                <w:lang w:val="en-US" w:eastAsia="zh-CN"/>
              </w:rPr>
              <w:t>拟派本项目人员配备齐全，经验丰富的得5分；</w:t>
            </w:r>
          </w:p>
          <w:p w14:paraId="630105EC">
            <w:pPr>
              <w:snapToGrid w:val="0"/>
              <w:spacing w:line="240" w:lineRule="auto"/>
              <w:jc w:val="both"/>
              <w:rPr>
                <w:rFonts w:hint="eastAsia" w:ascii="宋体" w:hAnsi="宋体" w:cs="宋体"/>
                <w:b w:val="0"/>
                <w:bCs w:val="0"/>
                <w:snapToGrid w:val="0"/>
                <w:color w:val="auto"/>
                <w:sz w:val="24"/>
                <w:highlight w:val="none"/>
                <w:lang w:val="en-US" w:eastAsia="zh-CN"/>
              </w:rPr>
            </w:pPr>
            <w:r>
              <w:rPr>
                <w:rFonts w:hint="eastAsia" w:ascii="宋体" w:hAnsi="宋体" w:eastAsia="宋体" w:cs="宋体"/>
                <w:snapToGrid w:val="0"/>
                <w:color w:val="auto"/>
                <w:sz w:val="24"/>
                <w:highlight w:val="none"/>
              </w:rPr>
              <w:t>②</w:t>
            </w:r>
            <w:r>
              <w:rPr>
                <w:rFonts w:hint="eastAsia" w:ascii="宋体" w:hAnsi="宋体" w:cs="宋体"/>
                <w:b w:val="0"/>
                <w:bCs w:val="0"/>
                <w:snapToGrid w:val="0"/>
                <w:color w:val="auto"/>
                <w:sz w:val="24"/>
                <w:highlight w:val="none"/>
                <w:lang w:val="en-US" w:eastAsia="zh-CN"/>
              </w:rPr>
              <w:t>拟派本项目人员配备较齐全、经验较丰富的得3分；</w:t>
            </w:r>
          </w:p>
          <w:p w14:paraId="1ADD44AC">
            <w:pPr>
              <w:snapToGrid w:val="0"/>
              <w:spacing w:line="240" w:lineRule="auto"/>
              <w:jc w:val="both"/>
              <w:rPr>
                <w:rFonts w:hint="eastAsia" w:ascii="宋体" w:hAnsi="宋体" w:cs="宋体"/>
                <w:b w:val="0"/>
                <w:bCs w:val="0"/>
                <w:snapToGrid w:val="0"/>
                <w:color w:val="auto"/>
                <w:sz w:val="24"/>
                <w:highlight w:val="none"/>
                <w:lang w:val="en-US" w:eastAsia="zh-CN"/>
              </w:rPr>
            </w:pPr>
            <w:r>
              <w:rPr>
                <w:rFonts w:hint="eastAsia" w:ascii="宋体" w:hAnsi="宋体" w:eastAsia="宋体" w:cs="宋体"/>
                <w:snapToGrid w:val="0"/>
                <w:color w:val="auto"/>
                <w:sz w:val="24"/>
                <w:highlight w:val="none"/>
              </w:rPr>
              <w:t>③</w:t>
            </w:r>
            <w:r>
              <w:rPr>
                <w:rFonts w:hint="eastAsia" w:ascii="宋体" w:hAnsi="宋体" w:cs="宋体"/>
                <w:b w:val="0"/>
                <w:bCs w:val="0"/>
                <w:snapToGrid w:val="0"/>
                <w:color w:val="auto"/>
                <w:sz w:val="24"/>
                <w:highlight w:val="none"/>
                <w:lang w:val="en-US" w:eastAsia="zh-CN"/>
              </w:rPr>
              <w:t>拟派本项目人员配备不齐全，没有经验的得1分；</w:t>
            </w:r>
          </w:p>
          <w:p w14:paraId="0FEB55AC">
            <w:pPr>
              <w:snapToGrid w:val="0"/>
              <w:spacing w:line="240" w:lineRule="auto"/>
              <w:jc w:val="both"/>
              <w:rPr>
                <w:rFonts w:hint="eastAsia" w:ascii="宋体" w:hAnsi="宋体" w:cs="宋体"/>
                <w:b/>
                <w:bCs/>
                <w:snapToGrid w:val="0"/>
                <w:color w:val="auto"/>
                <w:sz w:val="24"/>
                <w:highlight w:val="none"/>
                <w:lang w:val="en-US" w:eastAsia="zh-CN"/>
              </w:rPr>
            </w:pPr>
            <w:r>
              <w:rPr>
                <w:rFonts w:hint="eastAsia" w:ascii="宋体" w:hAnsi="宋体" w:eastAsia="宋体" w:cs="宋体"/>
                <w:snapToGrid w:val="0"/>
                <w:color w:val="auto"/>
                <w:sz w:val="24"/>
                <w:highlight w:val="none"/>
              </w:rPr>
              <w:t>④</w:t>
            </w:r>
            <w:r>
              <w:rPr>
                <w:rFonts w:hint="eastAsia" w:ascii="宋体" w:hAnsi="宋体" w:cs="宋体"/>
                <w:b w:val="0"/>
                <w:bCs w:val="0"/>
                <w:snapToGrid w:val="0"/>
                <w:color w:val="auto"/>
                <w:sz w:val="24"/>
                <w:highlight w:val="none"/>
                <w:lang w:val="en-US" w:eastAsia="zh-CN"/>
              </w:rPr>
              <w:t>未提供拟派本项目其他人员配备情况的不得分。</w:t>
            </w:r>
          </w:p>
        </w:tc>
        <w:tc>
          <w:tcPr>
            <w:tcW w:w="290" w:type="pct"/>
            <w:vAlign w:val="center"/>
          </w:tcPr>
          <w:p w14:paraId="639D9040">
            <w:pPr>
              <w:snapToGrid w:val="0"/>
              <w:spacing w:line="240" w:lineRule="auto"/>
              <w:jc w:val="center"/>
              <w:outlineLvl w:val="0"/>
              <w:rPr>
                <w:rFonts w:hint="default" w:ascii="宋体" w:hAnsi="宋体" w:eastAsia="宋体" w:cs="宋体"/>
                <w:bCs/>
                <w:color w:val="auto"/>
                <w:kern w:val="2"/>
                <w:sz w:val="24"/>
                <w:szCs w:val="24"/>
                <w:highlight w:val="none"/>
                <w:lang w:val="en-US" w:eastAsia="zh-CN" w:bidi="ar-SA"/>
              </w:rPr>
            </w:pPr>
            <w:bookmarkStart w:id="425" w:name="_Toc12709"/>
            <w:r>
              <w:rPr>
                <w:rFonts w:hint="eastAsia" w:ascii="宋体" w:hAnsi="宋体" w:eastAsia="宋体" w:cs="宋体"/>
                <w:bCs/>
                <w:color w:val="auto"/>
                <w:kern w:val="2"/>
                <w:sz w:val="24"/>
                <w:szCs w:val="24"/>
                <w:highlight w:val="none"/>
                <w:lang w:val="en-US" w:eastAsia="zh-CN" w:bidi="ar-SA"/>
              </w:rPr>
              <w:t>5</w:t>
            </w:r>
            <w:bookmarkEnd w:id="425"/>
          </w:p>
        </w:tc>
        <w:tc>
          <w:tcPr>
            <w:tcW w:w="375" w:type="pct"/>
            <w:vAlign w:val="center"/>
          </w:tcPr>
          <w:p w14:paraId="70CC7AEF">
            <w:pPr>
              <w:snapToGrid w:val="0"/>
              <w:spacing w:line="240" w:lineRule="auto"/>
              <w:jc w:val="center"/>
              <w:outlineLvl w:val="0"/>
              <w:rPr>
                <w:rFonts w:hint="eastAsia" w:ascii="宋体" w:hAnsi="宋体" w:eastAsia="宋体" w:cs="宋体"/>
                <w:bCs/>
                <w:color w:val="auto"/>
                <w:kern w:val="2"/>
                <w:sz w:val="24"/>
                <w:szCs w:val="24"/>
                <w:highlight w:val="none"/>
                <w:lang w:val="en-US" w:eastAsia="zh-CN" w:bidi="ar-SA"/>
              </w:rPr>
            </w:pPr>
            <w:bookmarkStart w:id="426" w:name="_Toc31880"/>
            <w:r>
              <w:rPr>
                <w:rFonts w:hint="eastAsia" w:ascii="宋体" w:hAnsi="宋体" w:cs="宋体"/>
                <w:bCs/>
                <w:color w:val="auto"/>
                <w:sz w:val="24"/>
                <w:highlight w:val="none"/>
                <w:lang w:val="en-US" w:eastAsia="zh-CN"/>
              </w:rPr>
              <w:t>主观评审</w:t>
            </w:r>
            <w:bookmarkEnd w:id="426"/>
          </w:p>
        </w:tc>
        <w:tc>
          <w:tcPr>
            <w:tcW w:w="624" w:type="pct"/>
            <w:vAlign w:val="center"/>
          </w:tcPr>
          <w:p w14:paraId="26C1E9BD">
            <w:pPr>
              <w:snapToGrid w:val="0"/>
              <w:spacing w:line="240" w:lineRule="auto"/>
              <w:jc w:val="center"/>
              <w:rPr>
                <w:rFonts w:hint="eastAsia" w:ascii="宋体" w:hAnsi="宋体" w:cs="宋体"/>
                <w:color w:val="auto"/>
                <w:sz w:val="24"/>
                <w:highlight w:val="none"/>
                <w:lang w:val="en-US" w:eastAsia="zh-CN"/>
              </w:rPr>
            </w:pPr>
          </w:p>
        </w:tc>
      </w:tr>
      <w:tr w14:paraId="43134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0" w:type="pct"/>
            <w:vAlign w:val="center"/>
          </w:tcPr>
          <w:p w14:paraId="1624815B">
            <w:pPr>
              <w:snapToGrid w:val="0"/>
              <w:spacing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3390" w:type="pct"/>
            <w:vAlign w:val="center"/>
          </w:tcPr>
          <w:p w14:paraId="3A83CB58">
            <w:pPr>
              <w:snapToGrid w:val="0"/>
              <w:spacing w:line="240" w:lineRule="auto"/>
              <w:jc w:val="both"/>
              <w:rPr>
                <w:rFonts w:hint="eastAsia" w:ascii="宋体" w:hAnsi="宋体" w:eastAsia="宋体" w:cs="宋体"/>
                <w:b/>
                <w:bCs/>
                <w:snapToGrid w:val="0"/>
                <w:color w:val="auto"/>
                <w:sz w:val="24"/>
                <w:highlight w:val="none"/>
                <w:lang w:eastAsia="zh-CN"/>
              </w:rPr>
            </w:pPr>
            <w:r>
              <w:rPr>
                <w:rFonts w:hint="eastAsia" w:ascii="宋体" w:hAnsi="宋体" w:eastAsia="宋体" w:cs="宋体"/>
                <w:b/>
                <w:bCs/>
                <w:snapToGrid w:val="0"/>
                <w:color w:val="auto"/>
                <w:sz w:val="24"/>
                <w:highlight w:val="none"/>
              </w:rPr>
              <w:t>产品保护措施（</w:t>
            </w:r>
            <w:r>
              <w:rPr>
                <w:rFonts w:hint="eastAsia" w:ascii="宋体" w:hAnsi="宋体" w:eastAsia="宋体" w:cs="宋体"/>
                <w:b/>
                <w:bCs/>
                <w:snapToGrid w:val="0"/>
                <w:color w:val="auto"/>
                <w:sz w:val="24"/>
                <w:highlight w:val="none"/>
                <w:lang w:val="en-US" w:eastAsia="zh-CN"/>
              </w:rPr>
              <w:t>5</w:t>
            </w:r>
            <w:r>
              <w:rPr>
                <w:rFonts w:hint="eastAsia" w:ascii="宋体" w:hAnsi="宋体" w:eastAsia="宋体" w:cs="宋体"/>
                <w:b/>
                <w:bCs/>
                <w:snapToGrid w:val="0"/>
                <w:color w:val="auto"/>
                <w:sz w:val="24"/>
                <w:highlight w:val="none"/>
              </w:rPr>
              <w:t>分）</w:t>
            </w:r>
            <w:r>
              <w:rPr>
                <w:rFonts w:hint="eastAsia" w:ascii="宋体" w:hAnsi="宋体" w:eastAsia="宋体" w:cs="宋体"/>
                <w:b/>
                <w:bCs/>
                <w:snapToGrid w:val="0"/>
                <w:color w:val="auto"/>
                <w:sz w:val="24"/>
                <w:highlight w:val="none"/>
                <w:lang w:eastAsia="zh-CN"/>
              </w:rPr>
              <w:t>：</w:t>
            </w:r>
          </w:p>
          <w:p w14:paraId="4CD3A88E">
            <w:pPr>
              <w:snapToGrid w:val="0"/>
              <w:spacing w:line="240" w:lineRule="auto"/>
              <w:jc w:val="both"/>
              <w:rPr>
                <w:rFonts w:hint="eastAsia"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rPr>
              <w:t>根据供应商提供的本项目的产品保护措施（包括但不仅限于防止采购的原材料、样品、已完工的成品等失窃或失火）进行评议</w:t>
            </w:r>
            <w:r>
              <w:rPr>
                <w:rFonts w:hint="eastAsia" w:ascii="宋体" w:hAnsi="宋体" w:eastAsia="宋体" w:cs="宋体"/>
                <w:snapToGrid w:val="0"/>
                <w:color w:val="auto"/>
                <w:sz w:val="24"/>
                <w:highlight w:val="none"/>
                <w:lang w:eastAsia="zh-CN"/>
              </w:rPr>
              <w:t>：</w:t>
            </w:r>
          </w:p>
          <w:p w14:paraId="2BFBAD44">
            <w:pPr>
              <w:snapToGrid w:val="0"/>
              <w:spacing w:line="240" w:lineRule="auto"/>
              <w:jc w:val="both"/>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①保护措施内容合理、可行性强、完全满足采购需求的得</w:t>
            </w:r>
            <w:r>
              <w:rPr>
                <w:rFonts w:hint="default" w:ascii="宋体" w:hAnsi="宋体" w:cs="宋体"/>
                <w:snapToGrid w:val="0"/>
                <w:color w:val="auto"/>
                <w:sz w:val="24"/>
                <w:highlight w:val="none"/>
                <w:lang w:val="en-US"/>
              </w:rPr>
              <w:t>5</w:t>
            </w:r>
            <w:r>
              <w:rPr>
                <w:rFonts w:hint="eastAsia" w:ascii="宋体" w:hAnsi="宋体" w:eastAsia="宋体" w:cs="宋体"/>
                <w:snapToGrid w:val="0"/>
                <w:color w:val="auto"/>
                <w:sz w:val="24"/>
                <w:highlight w:val="none"/>
              </w:rPr>
              <w:t>分；</w:t>
            </w:r>
          </w:p>
          <w:p w14:paraId="4153B0A0">
            <w:pPr>
              <w:snapToGrid w:val="0"/>
              <w:spacing w:line="240" w:lineRule="auto"/>
              <w:jc w:val="both"/>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②保护措施内容基本合理、可行性一般、基本满足采购需求的得</w:t>
            </w:r>
            <w:r>
              <w:rPr>
                <w:rFonts w:hint="default" w:ascii="宋体" w:hAnsi="宋体" w:cs="宋体"/>
                <w:snapToGrid w:val="0"/>
                <w:color w:val="auto"/>
                <w:sz w:val="24"/>
                <w:highlight w:val="none"/>
                <w:lang w:val="en-US"/>
              </w:rPr>
              <w:t>3</w:t>
            </w:r>
            <w:r>
              <w:rPr>
                <w:rFonts w:hint="eastAsia" w:ascii="宋体" w:hAnsi="宋体" w:eastAsia="宋体" w:cs="宋体"/>
                <w:snapToGrid w:val="0"/>
                <w:color w:val="auto"/>
                <w:sz w:val="24"/>
                <w:highlight w:val="none"/>
              </w:rPr>
              <w:t>分；③保护措施合理、可行性低、难以满足采购需求的得</w:t>
            </w:r>
            <w:r>
              <w:rPr>
                <w:rFonts w:hint="default" w:ascii="宋体" w:hAnsi="宋体" w:cs="宋体"/>
                <w:snapToGrid w:val="0"/>
                <w:color w:val="auto"/>
                <w:sz w:val="24"/>
                <w:highlight w:val="none"/>
                <w:lang w:val="en-US"/>
              </w:rPr>
              <w:t>1</w:t>
            </w:r>
            <w:r>
              <w:rPr>
                <w:rFonts w:hint="eastAsia" w:ascii="宋体" w:hAnsi="宋体" w:eastAsia="宋体" w:cs="宋体"/>
                <w:snapToGrid w:val="0"/>
                <w:color w:val="auto"/>
                <w:sz w:val="24"/>
                <w:highlight w:val="none"/>
              </w:rPr>
              <w:t>分；</w:t>
            </w:r>
          </w:p>
          <w:p w14:paraId="37671BB6">
            <w:pPr>
              <w:snapToGrid w:val="0"/>
              <w:spacing w:line="240" w:lineRule="auto"/>
              <w:jc w:val="both"/>
              <w:rPr>
                <w:rFonts w:hint="eastAsia" w:ascii="宋体" w:hAnsi="宋体" w:eastAsia="宋体" w:cs="宋体"/>
                <w:snapToGrid w:val="0"/>
                <w:color w:val="auto"/>
                <w:sz w:val="24"/>
                <w:highlight w:val="none"/>
                <w:lang w:eastAsia="zh-CN"/>
              </w:rPr>
            </w:pPr>
            <w:r>
              <w:rPr>
                <w:rFonts w:hint="eastAsia" w:ascii="宋体" w:hAnsi="宋体" w:eastAsia="宋体" w:cs="宋体"/>
                <w:snapToGrid w:val="0"/>
                <w:color w:val="auto"/>
                <w:sz w:val="24"/>
                <w:highlight w:val="none"/>
              </w:rPr>
              <w:t>④未提供产品保护措施的不得分</w:t>
            </w:r>
            <w:r>
              <w:rPr>
                <w:rFonts w:hint="eastAsia" w:ascii="宋体" w:hAnsi="宋体" w:eastAsia="宋体" w:cs="宋体"/>
                <w:snapToGrid w:val="0"/>
                <w:color w:val="auto"/>
                <w:sz w:val="24"/>
                <w:highlight w:val="none"/>
                <w:lang w:eastAsia="zh-CN"/>
              </w:rPr>
              <w:t>。</w:t>
            </w:r>
          </w:p>
        </w:tc>
        <w:tc>
          <w:tcPr>
            <w:tcW w:w="290" w:type="pct"/>
            <w:vAlign w:val="center"/>
          </w:tcPr>
          <w:p w14:paraId="18F963DE">
            <w:pPr>
              <w:snapToGrid w:val="0"/>
              <w:spacing w:line="240" w:lineRule="auto"/>
              <w:jc w:val="center"/>
              <w:outlineLvl w:val="0"/>
              <w:rPr>
                <w:rFonts w:hint="eastAsia" w:ascii="宋体" w:hAnsi="宋体" w:eastAsia="宋体" w:cs="宋体"/>
                <w:bCs/>
                <w:color w:val="auto"/>
                <w:kern w:val="2"/>
                <w:sz w:val="24"/>
                <w:szCs w:val="24"/>
                <w:highlight w:val="none"/>
                <w:lang w:val="en-US" w:eastAsia="zh-CN" w:bidi="ar-SA"/>
              </w:rPr>
            </w:pPr>
            <w:bookmarkStart w:id="427" w:name="_Toc1621"/>
            <w:r>
              <w:rPr>
                <w:rFonts w:hint="eastAsia" w:ascii="宋体" w:hAnsi="宋体" w:eastAsia="宋体" w:cs="宋体"/>
                <w:bCs/>
                <w:color w:val="auto"/>
                <w:kern w:val="2"/>
                <w:sz w:val="24"/>
                <w:szCs w:val="24"/>
                <w:highlight w:val="none"/>
                <w:lang w:val="en-US" w:eastAsia="zh-CN" w:bidi="ar-SA"/>
              </w:rPr>
              <w:t>5</w:t>
            </w:r>
            <w:bookmarkEnd w:id="427"/>
          </w:p>
        </w:tc>
        <w:tc>
          <w:tcPr>
            <w:tcW w:w="375" w:type="pct"/>
            <w:vAlign w:val="center"/>
          </w:tcPr>
          <w:p w14:paraId="48636C97">
            <w:pPr>
              <w:snapToGrid w:val="0"/>
              <w:spacing w:line="240" w:lineRule="auto"/>
              <w:jc w:val="center"/>
              <w:outlineLvl w:val="0"/>
              <w:rPr>
                <w:rFonts w:hint="eastAsia" w:ascii="宋体" w:hAnsi="宋体" w:eastAsia="宋体" w:cs="宋体"/>
                <w:bCs/>
                <w:color w:val="auto"/>
                <w:kern w:val="2"/>
                <w:sz w:val="24"/>
                <w:szCs w:val="24"/>
                <w:highlight w:val="none"/>
                <w:lang w:val="en-US" w:eastAsia="zh-CN" w:bidi="ar-SA"/>
              </w:rPr>
            </w:pPr>
            <w:bookmarkStart w:id="428" w:name="_Toc3714"/>
            <w:r>
              <w:rPr>
                <w:rFonts w:hint="eastAsia" w:ascii="宋体" w:hAnsi="宋体" w:cs="宋体"/>
                <w:bCs/>
                <w:color w:val="auto"/>
                <w:sz w:val="24"/>
                <w:highlight w:val="none"/>
                <w:lang w:val="en-US" w:eastAsia="zh-CN"/>
              </w:rPr>
              <w:t>主观评审</w:t>
            </w:r>
            <w:bookmarkEnd w:id="428"/>
          </w:p>
        </w:tc>
        <w:tc>
          <w:tcPr>
            <w:tcW w:w="624" w:type="pct"/>
            <w:vAlign w:val="center"/>
          </w:tcPr>
          <w:p w14:paraId="589B8FB0">
            <w:pPr>
              <w:snapToGrid w:val="0"/>
              <w:spacing w:line="240" w:lineRule="auto"/>
              <w:jc w:val="center"/>
              <w:rPr>
                <w:rFonts w:hint="eastAsia" w:ascii="宋体" w:hAnsi="宋体" w:cs="宋体"/>
                <w:color w:val="auto"/>
                <w:sz w:val="24"/>
                <w:highlight w:val="none"/>
                <w:lang w:val="en-US" w:eastAsia="zh-CN"/>
              </w:rPr>
            </w:pPr>
          </w:p>
        </w:tc>
      </w:tr>
      <w:tr w14:paraId="0F082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0" w:type="pct"/>
            <w:vAlign w:val="center"/>
          </w:tcPr>
          <w:p w14:paraId="43091341">
            <w:pPr>
              <w:snapToGrid w:val="0"/>
              <w:spacing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3390" w:type="pct"/>
            <w:vAlign w:val="center"/>
          </w:tcPr>
          <w:p w14:paraId="30A8F98E">
            <w:pPr>
              <w:numPr>
                <w:ilvl w:val="-1"/>
                <w:numId w:val="0"/>
              </w:numPr>
              <w:snapToGrid w:val="0"/>
              <w:spacing w:line="240" w:lineRule="auto"/>
              <w:jc w:val="both"/>
              <w:rPr>
                <w:rFonts w:hint="eastAsia" w:ascii="宋体" w:hAnsi="宋体" w:cs="宋体"/>
                <w:b/>
                <w:bCs/>
                <w:snapToGrid w:val="0"/>
                <w:color w:val="auto"/>
                <w:sz w:val="24"/>
                <w:highlight w:val="none"/>
              </w:rPr>
            </w:pPr>
            <w:r>
              <w:rPr>
                <w:rFonts w:hint="eastAsia" w:ascii="宋体" w:hAnsi="宋体" w:cs="宋体"/>
                <w:b/>
                <w:bCs/>
                <w:snapToGrid w:val="0"/>
                <w:color w:val="auto"/>
                <w:sz w:val="24"/>
                <w:highlight w:val="none"/>
                <w:lang w:val="en-US" w:eastAsia="zh-CN"/>
              </w:rPr>
              <w:t>售后服务</w:t>
            </w:r>
            <w:r>
              <w:rPr>
                <w:rFonts w:hint="eastAsia" w:ascii="宋体" w:hAnsi="宋体" w:cs="宋体"/>
                <w:b/>
                <w:bCs/>
                <w:snapToGrid w:val="0"/>
                <w:color w:val="auto"/>
                <w:sz w:val="24"/>
                <w:highlight w:val="none"/>
                <w:lang w:eastAsia="zh-CN"/>
              </w:rPr>
              <w:t>服务响应（</w:t>
            </w:r>
            <w:r>
              <w:rPr>
                <w:rFonts w:hint="eastAsia" w:ascii="宋体" w:hAnsi="宋体" w:cs="宋体"/>
                <w:b/>
                <w:bCs/>
                <w:snapToGrid w:val="0"/>
                <w:color w:val="auto"/>
                <w:sz w:val="24"/>
                <w:highlight w:val="none"/>
                <w:lang w:val="en-US" w:eastAsia="zh-CN"/>
              </w:rPr>
              <w:t>5分</w:t>
            </w:r>
            <w:r>
              <w:rPr>
                <w:rFonts w:hint="eastAsia" w:ascii="宋体" w:hAnsi="宋体" w:cs="宋体"/>
                <w:b/>
                <w:bCs/>
                <w:snapToGrid w:val="0"/>
                <w:color w:val="auto"/>
                <w:sz w:val="24"/>
                <w:highlight w:val="none"/>
                <w:lang w:eastAsia="zh-CN"/>
              </w:rPr>
              <w:t>）</w:t>
            </w:r>
            <w:r>
              <w:rPr>
                <w:rFonts w:hint="eastAsia" w:ascii="宋体" w:hAnsi="宋体" w:cs="宋体"/>
                <w:b/>
                <w:bCs/>
                <w:snapToGrid w:val="0"/>
                <w:color w:val="auto"/>
                <w:sz w:val="24"/>
                <w:highlight w:val="none"/>
              </w:rPr>
              <w:t>：</w:t>
            </w:r>
          </w:p>
          <w:p w14:paraId="5FF952F5">
            <w:pPr>
              <w:spacing w:line="240" w:lineRule="auto"/>
              <w:rPr>
                <w:rFonts w:hint="eastAsia" w:ascii="宋体" w:hAnsi="宋体" w:cs="宋体"/>
                <w:b w:val="0"/>
                <w:bCs w:val="0"/>
                <w:snapToGrid w:val="0"/>
                <w:color w:val="auto"/>
                <w:sz w:val="24"/>
                <w:highlight w:val="none"/>
                <w:lang w:val="en-US" w:eastAsia="zh-CN"/>
              </w:rPr>
            </w:pPr>
            <w:r>
              <w:rPr>
                <w:rFonts w:hint="eastAsia" w:ascii="宋体" w:hAnsi="宋体" w:eastAsia="宋体" w:cs="宋体"/>
                <w:color w:val="auto"/>
                <w:sz w:val="24"/>
                <w:szCs w:val="24"/>
                <w:highlight w:val="none"/>
                <w:lang w:val="en-US" w:eastAsia="zh-CN"/>
              </w:rPr>
              <w:t>根据供应商提供的售后服务服务响应（包括但不限于保修期内接到采购人通知后到达时间、处理及时的承诺响应</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一般事故、紧急抢修事故、涉及结构安全的质量问题等），服务措施等承诺函资料进行评议，</w:t>
            </w:r>
            <w:r>
              <w:rPr>
                <w:rFonts w:hint="eastAsia" w:ascii="宋体" w:hAnsi="宋体" w:cs="宋体"/>
                <w:b w:val="0"/>
                <w:bCs w:val="0"/>
                <w:snapToGrid w:val="0"/>
                <w:color w:val="auto"/>
                <w:sz w:val="24"/>
                <w:highlight w:val="none"/>
                <w:lang w:val="en-US" w:eastAsia="zh-CN"/>
              </w:rPr>
              <w:t>最高得5分：</w:t>
            </w:r>
          </w:p>
          <w:p w14:paraId="4AF67D79">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sz w:val="24"/>
                <w:highlight w:val="none"/>
              </w:rPr>
              <w:t>①</w:t>
            </w:r>
            <w:r>
              <w:rPr>
                <w:rFonts w:hint="eastAsia" w:ascii="宋体" w:hAnsi="宋体" w:eastAsia="宋体" w:cs="宋体"/>
                <w:color w:val="auto"/>
                <w:sz w:val="24"/>
                <w:szCs w:val="24"/>
                <w:highlight w:val="none"/>
                <w:lang w:val="en-US" w:eastAsia="zh-CN"/>
              </w:rPr>
              <w:t>响应时间迅速、处理方案完全满足采购需求的得</w:t>
            </w:r>
            <w:r>
              <w:rPr>
                <w:rFonts w:hint="default"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73CF131E">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sz w:val="24"/>
                <w:highlight w:val="none"/>
              </w:rPr>
              <w:t>②</w:t>
            </w:r>
            <w:r>
              <w:rPr>
                <w:rFonts w:hint="eastAsia" w:ascii="宋体" w:hAnsi="宋体" w:eastAsia="宋体" w:cs="宋体"/>
                <w:color w:val="auto"/>
                <w:sz w:val="24"/>
                <w:szCs w:val="24"/>
                <w:highlight w:val="none"/>
                <w:lang w:val="en-US" w:eastAsia="zh-CN"/>
              </w:rPr>
              <w:t>响应时间及时、处理方案基本满足采购需求的得</w:t>
            </w:r>
            <w:r>
              <w:rPr>
                <w:rFonts w:hint="default"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167220D8">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sz w:val="24"/>
                <w:highlight w:val="none"/>
              </w:rPr>
              <w:t>③</w:t>
            </w:r>
            <w:r>
              <w:rPr>
                <w:rFonts w:hint="eastAsia" w:ascii="宋体" w:hAnsi="宋体" w:eastAsia="宋体" w:cs="宋体"/>
                <w:color w:val="auto"/>
                <w:sz w:val="24"/>
                <w:szCs w:val="24"/>
                <w:highlight w:val="none"/>
                <w:lang w:val="en-US" w:eastAsia="zh-CN"/>
              </w:rPr>
              <w:t>响应时间不及时、处理方案难以满足采购需求的得</w:t>
            </w:r>
            <w:r>
              <w:rPr>
                <w:rFonts w:hint="default"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21300C8D">
            <w:pPr>
              <w:numPr>
                <w:ilvl w:val="-1"/>
                <w:numId w:val="0"/>
              </w:numPr>
              <w:snapToGrid w:val="0"/>
              <w:spacing w:line="240" w:lineRule="auto"/>
              <w:ind w:left="0" w:leftChars="0" w:firstLine="0" w:firstLineChars="0"/>
              <w:jc w:val="both"/>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sz w:val="24"/>
                <w:highlight w:val="none"/>
              </w:rPr>
              <w:t>④</w:t>
            </w:r>
            <w:r>
              <w:rPr>
                <w:rFonts w:hint="eastAsia" w:ascii="宋体" w:hAnsi="宋体" w:eastAsia="宋体" w:cs="宋体"/>
                <w:color w:val="auto"/>
                <w:sz w:val="24"/>
                <w:szCs w:val="24"/>
                <w:highlight w:val="none"/>
                <w:lang w:val="en-US" w:eastAsia="zh-CN"/>
              </w:rPr>
              <w:t>未提供的本项不得分。</w:t>
            </w:r>
          </w:p>
        </w:tc>
        <w:tc>
          <w:tcPr>
            <w:tcW w:w="290" w:type="pct"/>
            <w:vAlign w:val="center"/>
          </w:tcPr>
          <w:p w14:paraId="44391C85">
            <w:pPr>
              <w:snapToGrid w:val="0"/>
              <w:spacing w:line="240" w:lineRule="auto"/>
              <w:jc w:val="center"/>
              <w:outlineLvl w:val="0"/>
              <w:rPr>
                <w:rFonts w:hint="eastAsia" w:ascii="宋体" w:hAnsi="宋体" w:eastAsia="宋体" w:cs="宋体"/>
                <w:bCs/>
                <w:color w:val="auto"/>
                <w:kern w:val="2"/>
                <w:sz w:val="24"/>
                <w:szCs w:val="24"/>
                <w:highlight w:val="none"/>
                <w:lang w:val="en-US" w:eastAsia="zh-CN" w:bidi="ar-SA"/>
              </w:rPr>
            </w:pPr>
            <w:bookmarkStart w:id="429" w:name="_Toc5746"/>
            <w:r>
              <w:rPr>
                <w:rFonts w:hint="eastAsia" w:ascii="宋体" w:hAnsi="宋体" w:cs="宋体"/>
                <w:bCs/>
                <w:color w:val="auto"/>
                <w:sz w:val="24"/>
                <w:highlight w:val="none"/>
                <w:lang w:val="en-US" w:eastAsia="zh-CN"/>
              </w:rPr>
              <w:t>5</w:t>
            </w:r>
            <w:bookmarkEnd w:id="429"/>
          </w:p>
        </w:tc>
        <w:tc>
          <w:tcPr>
            <w:tcW w:w="375" w:type="pct"/>
            <w:vAlign w:val="center"/>
          </w:tcPr>
          <w:p w14:paraId="2D89671E">
            <w:pPr>
              <w:snapToGrid w:val="0"/>
              <w:spacing w:line="240" w:lineRule="auto"/>
              <w:jc w:val="center"/>
              <w:outlineLvl w:val="0"/>
              <w:rPr>
                <w:rFonts w:hint="eastAsia" w:ascii="宋体" w:hAnsi="宋体" w:eastAsia="宋体" w:cs="宋体"/>
                <w:bCs/>
                <w:color w:val="auto"/>
                <w:kern w:val="2"/>
                <w:sz w:val="24"/>
                <w:szCs w:val="24"/>
                <w:highlight w:val="none"/>
                <w:lang w:val="en-US" w:eastAsia="zh-CN" w:bidi="ar-SA"/>
              </w:rPr>
            </w:pPr>
            <w:bookmarkStart w:id="430" w:name="_Toc10666"/>
            <w:r>
              <w:rPr>
                <w:rFonts w:hint="eastAsia" w:ascii="宋体" w:hAnsi="宋体" w:cs="宋体"/>
                <w:bCs/>
                <w:color w:val="auto"/>
                <w:sz w:val="24"/>
                <w:highlight w:val="none"/>
                <w:lang w:val="en-US" w:eastAsia="zh-CN"/>
              </w:rPr>
              <w:t>主观评审</w:t>
            </w:r>
            <w:bookmarkEnd w:id="430"/>
          </w:p>
        </w:tc>
        <w:tc>
          <w:tcPr>
            <w:tcW w:w="624" w:type="pct"/>
            <w:vAlign w:val="center"/>
          </w:tcPr>
          <w:p w14:paraId="66CEB7EC">
            <w:pPr>
              <w:snapToGrid w:val="0"/>
              <w:spacing w:line="240" w:lineRule="auto"/>
              <w:jc w:val="center"/>
              <w:rPr>
                <w:rFonts w:hint="eastAsia" w:ascii="宋体" w:hAnsi="宋体" w:cs="宋体"/>
                <w:color w:val="auto"/>
                <w:sz w:val="24"/>
                <w:highlight w:val="none"/>
                <w:lang w:val="en-US" w:eastAsia="zh-CN"/>
              </w:rPr>
            </w:pPr>
          </w:p>
        </w:tc>
      </w:tr>
      <w:tr w14:paraId="4045C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0" w:type="pct"/>
            <w:vAlign w:val="center"/>
          </w:tcPr>
          <w:p w14:paraId="2BEC3F0D">
            <w:pPr>
              <w:snapToGrid w:val="0"/>
              <w:spacing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3390" w:type="pct"/>
            <w:vAlign w:val="center"/>
          </w:tcPr>
          <w:p w14:paraId="12F71409">
            <w:pPr>
              <w:numPr>
                <w:ilvl w:val="-1"/>
                <w:numId w:val="0"/>
              </w:numPr>
              <w:snapToGrid w:val="0"/>
              <w:spacing w:line="240" w:lineRule="auto"/>
              <w:jc w:val="both"/>
              <w:rPr>
                <w:rFonts w:hint="eastAsia" w:ascii="宋体" w:hAnsi="宋体" w:cs="宋体"/>
                <w:b/>
                <w:bCs/>
                <w:snapToGrid w:val="0"/>
                <w:color w:val="auto"/>
                <w:sz w:val="24"/>
                <w:highlight w:val="none"/>
              </w:rPr>
            </w:pPr>
            <w:r>
              <w:rPr>
                <w:rFonts w:hint="eastAsia" w:ascii="宋体" w:hAnsi="宋体" w:cs="宋体"/>
                <w:b/>
                <w:bCs/>
                <w:snapToGrid w:val="0"/>
                <w:color w:val="auto"/>
                <w:sz w:val="24"/>
                <w:highlight w:val="none"/>
              </w:rPr>
              <w:t>业绩</w:t>
            </w:r>
            <w:r>
              <w:rPr>
                <w:rFonts w:hint="eastAsia" w:ascii="宋体" w:hAnsi="宋体" w:cs="宋体"/>
                <w:b/>
                <w:bCs/>
                <w:snapToGrid w:val="0"/>
                <w:color w:val="auto"/>
                <w:sz w:val="24"/>
                <w:highlight w:val="none"/>
                <w:lang w:eastAsia="zh-CN"/>
              </w:rPr>
              <w:t>（</w:t>
            </w:r>
            <w:r>
              <w:rPr>
                <w:rFonts w:hint="eastAsia" w:ascii="宋体" w:hAnsi="宋体" w:cs="宋体"/>
                <w:b/>
                <w:bCs/>
                <w:snapToGrid w:val="0"/>
                <w:color w:val="auto"/>
                <w:sz w:val="24"/>
                <w:highlight w:val="none"/>
                <w:lang w:val="en-US" w:eastAsia="zh-CN"/>
              </w:rPr>
              <w:t>1分</w:t>
            </w:r>
            <w:r>
              <w:rPr>
                <w:rFonts w:hint="eastAsia" w:ascii="宋体" w:hAnsi="宋体" w:cs="宋体"/>
                <w:b/>
                <w:bCs/>
                <w:snapToGrid w:val="0"/>
                <w:color w:val="auto"/>
                <w:sz w:val="24"/>
                <w:highlight w:val="none"/>
                <w:lang w:eastAsia="zh-CN"/>
              </w:rPr>
              <w:t>）</w:t>
            </w:r>
            <w:r>
              <w:rPr>
                <w:rFonts w:hint="eastAsia" w:ascii="宋体" w:hAnsi="宋体" w:cs="宋体"/>
                <w:b/>
                <w:bCs/>
                <w:snapToGrid w:val="0"/>
                <w:color w:val="auto"/>
                <w:sz w:val="24"/>
                <w:highlight w:val="none"/>
              </w:rPr>
              <w:t>：</w:t>
            </w:r>
          </w:p>
          <w:p w14:paraId="67BA2051">
            <w:pPr>
              <w:numPr>
                <w:ilvl w:val="-1"/>
                <w:numId w:val="0"/>
              </w:numPr>
              <w:snapToGrid w:val="0"/>
              <w:spacing w:line="240" w:lineRule="auto"/>
              <w:jc w:val="both"/>
              <w:rPr>
                <w:rFonts w:hint="eastAsia" w:ascii="宋体" w:hAnsi="宋体" w:cs="宋体"/>
                <w:snapToGrid w:val="0"/>
                <w:color w:val="auto"/>
                <w:sz w:val="24"/>
                <w:highlight w:val="none"/>
              </w:rPr>
            </w:pPr>
            <w:r>
              <w:rPr>
                <w:rFonts w:hint="eastAsia" w:ascii="宋体" w:hAnsi="宋体" w:cs="宋体"/>
                <w:snapToGrid w:val="0"/>
                <w:color w:val="auto"/>
                <w:sz w:val="24"/>
                <w:highlight w:val="none"/>
              </w:rPr>
              <w:t>自202</w:t>
            </w:r>
            <w:r>
              <w:rPr>
                <w:rFonts w:hint="eastAsia" w:ascii="宋体" w:hAnsi="宋体" w:cs="宋体"/>
                <w:snapToGrid w:val="0"/>
                <w:color w:val="auto"/>
                <w:sz w:val="24"/>
                <w:highlight w:val="none"/>
                <w:lang w:val="en-US" w:eastAsia="zh-CN"/>
              </w:rPr>
              <w:t>1</w:t>
            </w:r>
            <w:r>
              <w:rPr>
                <w:rFonts w:hint="eastAsia" w:ascii="宋体" w:hAnsi="宋体" w:cs="宋体"/>
                <w:snapToGrid w:val="0"/>
                <w:color w:val="auto"/>
                <w:sz w:val="24"/>
                <w:highlight w:val="none"/>
              </w:rPr>
              <w:t>年1月1日以来</w:t>
            </w:r>
            <w:r>
              <w:rPr>
                <w:rFonts w:hint="eastAsia" w:ascii="宋体" w:hAnsi="宋体" w:cs="宋体"/>
                <w:snapToGrid w:val="0"/>
                <w:color w:val="auto"/>
                <w:sz w:val="24"/>
                <w:highlight w:val="none"/>
                <w:lang w:eastAsia="zh-CN"/>
              </w:rPr>
              <w:t>（以合同签订时间为准）</w:t>
            </w:r>
            <w:r>
              <w:rPr>
                <w:rFonts w:hint="eastAsia" w:ascii="宋体" w:hAnsi="宋体" w:cs="宋体"/>
                <w:snapToGrid w:val="0"/>
                <w:color w:val="auto"/>
                <w:sz w:val="24"/>
                <w:highlight w:val="none"/>
              </w:rPr>
              <w:t>供应商承接过类似项目的，每提供1个有效业绩得</w:t>
            </w:r>
            <w:r>
              <w:rPr>
                <w:rFonts w:hint="eastAsia" w:ascii="宋体" w:hAnsi="宋体" w:cs="宋体"/>
                <w:snapToGrid w:val="0"/>
                <w:color w:val="auto"/>
                <w:sz w:val="24"/>
                <w:highlight w:val="none"/>
                <w:lang w:val="en-US" w:eastAsia="zh-CN"/>
              </w:rPr>
              <w:t>0.5</w:t>
            </w:r>
            <w:r>
              <w:rPr>
                <w:rFonts w:hint="eastAsia" w:ascii="宋体" w:hAnsi="宋体" w:cs="宋体"/>
                <w:snapToGrid w:val="0"/>
                <w:color w:val="auto"/>
                <w:sz w:val="24"/>
                <w:highlight w:val="none"/>
              </w:rPr>
              <w:t>分，本项最高</w:t>
            </w:r>
            <w:r>
              <w:rPr>
                <w:rFonts w:hint="eastAsia" w:ascii="宋体" w:hAnsi="宋体" w:cs="宋体"/>
                <w:snapToGrid w:val="0"/>
                <w:color w:val="auto"/>
                <w:sz w:val="24"/>
                <w:highlight w:val="none"/>
                <w:lang w:eastAsia="zh-CN"/>
              </w:rPr>
              <w:t>得</w:t>
            </w:r>
            <w:r>
              <w:rPr>
                <w:rFonts w:hint="eastAsia" w:ascii="宋体" w:hAnsi="宋体" w:cs="宋体"/>
                <w:snapToGrid w:val="0"/>
                <w:color w:val="auto"/>
                <w:sz w:val="24"/>
                <w:highlight w:val="none"/>
                <w:lang w:val="en-US" w:eastAsia="zh-CN"/>
              </w:rPr>
              <w:t>1</w:t>
            </w:r>
            <w:r>
              <w:rPr>
                <w:rFonts w:hint="eastAsia" w:ascii="宋体" w:hAnsi="宋体" w:cs="宋体"/>
                <w:snapToGrid w:val="0"/>
                <w:color w:val="auto"/>
                <w:sz w:val="24"/>
                <w:highlight w:val="none"/>
              </w:rPr>
              <w:t>分。</w:t>
            </w:r>
          </w:p>
          <w:p w14:paraId="5C11F7D3">
            <w:pPr>
              <w:spacing w:line="240" w:lineRule="auto"/>
              <w:rPr>
                <w:rFonts w:ascii="宋体" w:hAnsi="宋体" w:cs="宋体"/>
                <w:color w:val="auto"/>
                <w:highlight w:val="none"/>
              </w:rPr>
            </w:pPr>
            <w:r>
              <w:rPr>
                <w:rFonts w:hint="eastAsia" w:ascii="宋体" w:hAnsi="宋体" w:cs="宋体"/>
                <w:b/>
                <w:bCs/>
                <w:snapToGrid w:val="0"/>
                <w:color w:val="auto"/>
                <w:sz w:val="24"/>
                <w:highlight w:val="none"/>
                <w:lang w:val="en-US" w:eastAsia="zh-CN"/>
              </w:rPr>
              <w:t>注：</w:t>
            </w:r>
            <w:r>
              <w:rPr>
                <w:rFonts w:hint="eastAsia" w:ascii="宋体" w:hAnsi="宋体" w:cs="宋体"/>
                <w:b/>
                <w:bCs/>
                <w:snapToGrid w:val="0"/>
                <w:color w:val="auto"/>
                <w:sz w:val="24"/>
                <w:highlight w:val="none"/>
              </w:rPr>
              <w:t>磋商响应文件中提供合同关键页、中标（成交）通知书、竣工验收报告</w:t>
            </w:r>
            <w:r>
              <w:rPr>
                <w:rFonts w:hint="eastAsia" w:ascii="宋体" w:hAnsi="宋体" w:cs="宋体"/>
                <w:b/>
                <w:bCs/>
                <w:snapToGrid w:val="0"/>
                <w:color w:val="auto"/>
                <w:sz w:val="24"/>
                <w:highlight w:val="none"/>
                <w:lang w:eastAsia="zh-CN"/>
              </w:rPr>
              <w:t>扫描件</w:t>
            </w:r>
            <w:r>
              <w:rPr>
                <w:rFonts w:hint="eastAsia" w:ascii="宋体" w:hAnsi="宋体" w:cs="宋体"/>
                <w:b/>
                <w:bCs/>
                <w:snapToGrid w:val="0"/>
                <w:color w:val="auto"/>
                <w:sz w:val="24"/>
                <w:highlight w:val="none"/>
              </w:rPr>
              <w:t>并加盖供应商公章，缺一不得分。</w:t>
            </w:r>
          </w:p>
        </w:tc>
        <w:tc>
          <w:tcPr>
            <w:tcW w:w="290" w:type="pct"/>
            <w:vAlign w:val="center"/>
          </w:tcPr>
          <w:p w14:paraId="382D6B92">
            <w:pPr>
              <w:snapToGrid w:val="0"/>
              <w:spacing w:line="24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1</w:t>
            </w:r>
          </w:p>
        </w:tc>
        <w:tc>
          <w:tcPr>
            <w:tcW w:w="375" w:type="pct"/>
            <w:vAlign w:val="center"/>
          </w:tcPr>
          <w:p w14:paraId="165D9544">
            <w:pPr>
              <w:snapToGrid w:val="0"/>
              <w:spacing w:line="240" w:lineRule="auto"/>
              <w:jc w:val="center"/>
              <w:outlineLvl w:val="0"/>
              <w:rPr>
                <w:rFonts w:hint="eastAsia" w:ascii="宋体" w:hAnsi="宋体" w:eastAsia="宋体" w:cs="宋体"/>
                <w:bCs/>
                <w:color w:val="auto"/>
                <w:kern w:val="2"/>
                <w:sz w:val="24"/>
                <w:szCs w:val="24"/>
                <w:highlight w:val="none"/>
                <w:lang w:val="en-US" w:eastAsia="zh-CN" w:bidi="ar-SA"/>
              </w:rPr>
            </w:pPr>
            <w:bookmarkStart w:id="431" w:name="_Toc3303"/>
            <w:r>
              <w:rPr>
                <w:rFonts w:hint="eastAsia" w:ascii="宋体" w:hAnsi="宋体" w:cs="宋体"/>
                <w:bCs/>
                <w:color w:val="auto"/>
                <w:sz w:val="24"/>
                <w:highlight w:val="none"/>
                <w:lang w:val="en-US" w:eastAsia="zh-CN"/>
              </w:rPr>
              <w:t>主观评审</w:t>
            </w:r>
            <w:bookmarkEnd w:id="431"/>
          </w:p>
        </w:tc>
        <w:tc>
          <w:tcPr>
            <w:tcW w:w="624" w:type="pct"/>
            <w:vAlign w:val="center"/>
          </w:tcPr>
          <w:p w14:paraId="5D35739D">
            <w:pPr>
              <w:snapToGrid w:val="0"/>
              <w:spacing w:line="240" w:lineRule="auto"/>
              <w:jc w:val="center"/>
              <w:rPr>
                <w:rFonts w:ascii="宋体" w:hAnsi="宋体" w:cs="宋体"/>
                <w:color w:val="auto"/>
                <w:highlight w:val="none"/>
              </w:rPr>
            </w:pPr>
          </w:p>
        </w:tc>
      </w:tr>
      <w:tr w14:paraId="0A81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0" w:type="pct"/>
            <w:vAlign w:val="center"/>
          </w:tcPr>
          <w:p w14:paraId="77C9DE84">
            <w:pPr>
              <w:snapToGrid w:val="0"/>
              <w:spacing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3390" w:type="pct"/>
            <w:vAlign w:val="center"/>
          </w:tcPr>
          <w:p w14:paraId="4EE7BBC0">
            <w:pPr>
              <w:keepNext w:val="0"/>
              <w:keepLines w:val="0"/>
              <w:pageBreakBefore w:val="0"/>
              <w:widowControl/>
              <w:kinsoku/>
              <w:wordWrap/>
              <w:overflowPunct/>
              <w:topLinePunct w:val="0"/>
              <w:bidi w:val="0"/>
              <w:adjustRightInd/>
              <w:snapToGrid/>
              <w:spacing w:line="300" w:lineRule="exact"/>
              <w:jc w:val="left"/>
              <w:textAlignment w:val="auto"/>
              <w:outlineLvl w:val="9"/>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价格分（3</w:t>
            </w:r>
            <w:r>
              <w:rPr>
                <w:rFonts w:hint="eastAsia" w:ascii="宋体" w:hAnsi="宋体" w:cs="宋体"/>
                <w:b/>
                <w:bCs w:val="0"/>
                <w:color w:val="auto"/>
                <w:sz w:val="24"/>
                <w:szCs w:val="24"/>
                <w:highlight w:val="none"/>
                <w:lang w:val="en-US" w:eastAsia="zh-CN"/>
              </w:rPr>
              <w:t>0</w:t>
            </w:r>
            <w:r>
              <w:rPr>
                <w:rFonts w:hint="eastAsia" w:ascii="宋体" w:hAnsi="宋体" w:eastAsia="宋体" w:cs="宋体"/>
                <w:b/>
                <w:bCs w:val="0"/>
                <w:color w:val="auto"/>
                <w:sz w:val="24"/>
                <w:szCs w:val="24"/>
                <w:highlight w:val="none"/>
                <w:lang w:val="en-US" w:eastAsia="zh-CN"/>
              </w:rPr>
              <w:t>分）</w:t>
            </w:r>
          </w:p>
          <w:p w14:paraId="3442F764">
            <w:pPr>
              <w:keepNext w:val="0"/>
              <w:keepLines w:val="0"/>
              <w:pageBreakBefore w:val="0"/>
              <w:widowControl/>
              <w:kinsoku/>
              <w:wordWrap/>
              <w:overflowPunct/>
              <w:topLinePunct w:val="0"/>
              <w:bidi w:val="0"/>
              <w:adjustRightInd/>
              <w:snapToGrid/>
              <w:spacing w:line="300" w:lineRule="exact"/>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满足磋商文件要求且最后报价最低的供应商的价格为磋商基准价，其价格分为3</w:t>
            </w:r>
            <w:r>
              <w:rPr>
                <w:rFonts w:hint="eastAsia" w:ascii="宋体" w:hAnsi="宋体" w:cs="宋体"/>
                <w:bCs/>
                <w:color w:val="auto"/>
                <w:sz w:val="24"/>
                <w:szCs w:val="24"/>
                <w:highlight w:val="none"/>
                <w:lang w:val="en-US" w:eastAsia="zh-CN"/>
              </w:rPr>
              <w:t>0</w:t>
            </w:r>
            <w:r>
              <w:rPr>
                <w:rFonts w:hint="eastAsia" w:ascii="宋体" w:hAnsi="宋体" w:eastAsia="宋体" w:cs="宋体"/>
                <w:bCs/>
                <w:color w:val="auto"/>
                <w:sz w:val="24"/>
                <w:szCs w:val="24"/>
                <w:highlight w:val="none"/>
                <w:lang w:val="en-US" w:eastAsia="zh-CN"/>
              </w:rPr>
              <w:t>分</w:t>
            </w:r>
            <w:r>
              <w:rPr>
                <w:rFonts w:hint="eastAsia" w:ascii="宋体" w:hAnsi="宋体" w:eastAsia="宋体" w:cs="宋体"/>
                <w:bCs/>
                <w:color w:val="auto"/>
                <w:sz w:val="24"/>
                <w:szCs w:val="24"/>
                <w:highlight w:val="none"/>
              </w:rPr>
              <w:t>。其他</w:t>
            </w:r>
            <w:r>
              <w:rPr>
                <w:rFonts w:hint="eastAsia" w:ascii="宋体" w:hAnsi="宋体" w:eastAsia="宋体" w:cs="宋体"/>
                <w:bCs/>
                <w:color w:val="auto"/>
                <w:sz w:val="24"/>
                <w:szCs w:val="24"/>
                <w:highlight w:val="none"/>
                <w:lang w:val="en-US" w:eastAsia="zh-CN"/>
              </w:rPr>
              <w:t>供应商的</w:t>
            </w:r>
            <w:r>
              <w:rPr>
                <w:rFonts w:hint="eastAsia" w:ascii="宋体" w:hAnsi="宋体" w:eastAsia="宋体" w:cs="宋体"/>
                <w:bCs/>
                <w:color w:val="auto"/>
                <w:sz w:val="24"/>
                <w:szCs w:val="24"/>
                <w:highlight w:val="none"/>
              </w:rPr>
              <w:t>报价得分计算公式如下：</w:t>
            </w:r>
          </w:p>
          <w:p w14:paraId="10084FED">
            <w:pPr>
              <w:keepNext w:val="0"/>
              <w:keepLines w:val="0"/>
              <w:pageBreakBefore w:val="0"/>
              <w:widowControl/>
              <w:kinsoku/>
              <w:wordWrap/>
              <w:overflowPunct/>
              <w:topLinePunct w:val="0"/>
              <w:bidi w:val="0"/>
              <w:adjustRightInd/>
              <w:snapToGrid/>
              <w:spacing w:line="300" w:lineRule="exact"/>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价格分</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磋商基准价/最后磋商报价</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3</w:t>
            </w:r>
            <w:r>
              <w:rPr>
                <w:rFonts w:hint="eastAsia" w:ascii="宋体" w:hAnsi="宋体" w:cs="宋体"/>
                <w:bCs/>
                <w:color w:val="auto"/>
                <w:sz w:val="24"/>
                <w:szCs w:val="24"/>
                <w:highlight w:val="none"/>
                <w:lang w:val="en-US" w:eastAsia="zh-CN"/>
              </w:rPr>
              <w:t>0</w:t>
            </w:r>
            <w:r>
              <w:rPr>
                <w:rFonts w:hint="eastAsia" w:ascii="宋体" w:hAnsi="宋体" w:eastAsia="宋体" w:cs="宋体"/>
                <w:bCs/>
                <w:color w:val="auto"/>
                <w:sz w:val="24"/>
                <w:szCs w:val="24"/>
                <w:highlight w:val="none"/>
              </w:rPr>
              <w:t>%×100。</w:t>
            </w:r>
          </w:p>
          <w:p w14:paraId="16E0A807">
            <w:pPr>
              <w:tabs>
                <w:tab w:val="left" w:pos="0"/>
              </w:tabs>
              <w:spacing w:line="3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注：1、本磋商项目最高限价（即磋商控制价）：</w:t>
            </w:r>
            <w:r>
              <w:rPr>
                <w:rFonts w:hint="eastAsia" w:ascii="宋体" w:hAnsi="宋体" w:cs="宋体"/>
                <w:b/>
                <w:sz w:val="24"/>
                <w:szCs w:val="24"/>
                <w:highlight w:val="none"/>
                <w:lang w:val="en-US" w:eastAsia="zh-CN"/>
              </w:rPr>
              <w:t>1097533.00</w:t>
            </w:r>
            <w:r>
              <w:rPr>
                <w:rFonts w:hint="eastAsia" w:ascii="宋体" w:hAnsi="宋体" w:eastAsia="宋体" w:cs="宋体"/>
                <w:b/>
                <w:sz w:val="24"/>
                <w:szCs w:val="24"/>
                <w:highlight w:val="none"/>
              </w:rPr>
              <w:t>元</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其中暂估价（</w:t>
            </w:r>
            <w:r>
              <w:rPr>
                <w:rFonts w:hint="eastAsia" w:ascii="宋体" w:hAnsi="宋体" w:cs="宋体"/>
                <w:b/>
                <w:sz w:val="24"/>
                <w:szCs w:val="24"/>
                <w:highlight w:val="none"/>
                <w:lang w:val="en-US" w:eastAsia="zh-CN"/>
              </w:rPr>
              <w:t>不</w:t>
            </w:r>
            <w:r>
              <w:rPr>
                <w:rFonts w:hint="eastAsia" w:ascii="宋体" w:hAnsi="宋体" w:eastAsia="宋体" w:cs="宋体"/>
                <w:b/>
                <w:sz w:val="24"/>
                <w:szCs w:val="24"/>
                <w:highlight w:val="none"/>
              </w:rPr>
              <w:t>含税）</w:t>
            </w:r>
            <w:r>
              <w:rPr>
                <w:rFonts w:hint="eastAsia" w:ascii="宋体" w:hAnsi="宋体" w:cs="宋体"/>
                <w:b/>
                <w:sz w:val="24"/>
                <w:szCs w:val="24"/>
                <w:highlight w:val="none"/>
                <w:lang w:val="en-US" w:eastAsia="zh-CN"/>
              </w:rPr>
              <w:t>：10000.00</w:t>
            </w:r>
            <w:r>
              <w:rPr>
                <w:rFonts w:hint="eastAsia" w:ascii="宋体" w:hAnsi="宋体" w:eastAsia="宋体" w:cs="宋体"/>
                <w:b/>
                <w:sz w:val="24"/>
                <w:szCs w:val="24"/>
                <w:highlight w:val="none"/>
              </w:rPr>
              <w:t>元，暂列金额（含税）：</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元</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。报价超过最高限价作无效响应处理。</w:t>
            </w:r>
          </w:p>
          <w:p w14:paraId="6D647175">
            <w:pPr>
              <w:tabs>
                <w:tab w:val="left" w:pos="0"/>
              </w:tabs>
              <w:spacing w:line="300" w:lineRule="exact"/>
              <w:ind w:firstLine="482" w:firstLineChars="200"/>
              <w:rPr>
                <w:rFonts w:hint="eastAsia" w:ascii="宋体" w:hAnsi="宋体" w:eastAsia="宋体" w:cs="宋体"/>
                <w:b/>
                <w:sz w:val="24"/>
                <w:szCs w:val="24"/>
                <w:highlight w:val="none"/>
              </w:rPr>
            </w:pPr>
            <w:r>
              <w:rPr>
                <w:rFonts w:hint="eastAsia" w:ascii="宋体" w:hAnsi="宋体" w:eastAsia="宋体" w:cs="宋体"/>
                <w:b/>
                <w:bCs w:val="0"/>
                <w:color w:val="auto"/>
                <w:sz w:val="24"/>
                <w:szCs w:val="24"/>
                <w:highlight w:val="none"/>
                <w:lang w:val="en-US" w:eastAsia="zh-CN"/>
              </w:rPr>
              <w:t>2、最终报价是指磋商结束后，磋商小组要求所有实质性响应的供应商在规定时间内提交的最后报价。</w:t>
            </w:r>
          </w:p>
          <w:p w14:paraId="570E4370">
            <w:pPr>
              <w:snapToGrid w:val="0"/>
              <w:spacing w:line="240" w:lineRule="auto"/>
              <w:ind w:firstLine="482" w:firstLineChars="200"/>
              <w:jc w:val="both"/>
              <w:rPr>
                <w:rFonts w:ascii="宋体" w:hAnsi="宋体" w:cs="宋体"/>
                <w:color w:val="auto"/>
                <w:highlight w:val="none"/>
              </w:rPr>
            </w:pPr>
            <w:r>
              <w:rPr>
                <w:rFonts w:hint="eastAsia" w:ascii="宋体" w:hAnsi="宋体" w:eastAsia="宋体" w:cs="宋体"/>
                <w:b/>
                <w:sz w:val="24"/>
                <w:szCs w:val="24"/>
                <w:highlight w:val="none"/>
                <w:lang w:val="en-US" w:eastAsia="zh-CN"/>
              </w:rPr>
              <w:t>3</w:t>
            </w:r>
            <w:r>
              <w:rPr>
                <w:rFonts w:hint="eastAsia" w:ascii="宋体" w:hAnsi="宋体" w:eastAsia="宋体" w:cs="宋体"/>
                <w:b/>
                <w:sz w:val="24"/>
                <w:szCs w:val="24"/>
                <w:highlight w:val="none"/>
              </w:rPr>
              <w:t>、价格得分小数点后保留2位小数，第3位小数四舍五入。</w:t>
            </w:r>
          </w:p>
        </w:tc>
        <w:tc>
          <w:tcPr>
            <w:tcW w:w="290" w:type="pct"/>
            <w:vAlign w:val="center"/>
          </w:tcPr>
          <w:p w14:paraId="203A41A8">
            <w:pPr>
              <w:snapToGrid w:val="0"/>
              <w:spacing w:line="240" w:lineRule="auto"/>
              <w:jc w:val="center"/>
              <w:outlineLvl w:val="0"/>
              <w:rPr>
                <w:rFonts w:hint="default" w:ascii="宋体" w:hAnsi="宋体" w:eastAsia="宋体" w:cs="宋体"/>
                <w:bCs/>
                <w:color w:val="auto"/>
                <w:sz w:val="24"/>
                <w:highlight w:val="none"/>
                <w:lang w:val="en-US" w:eastAsia="zh-CN"/>
              </w:rPr>
            </w:pPr>
            <w:bookmarkStart w:id="432" w:name="_Toc2520"/>
            <w:r>
              <w:rPr>
                <w:rFonts w:hint="eastAsia" w:ascii="宋体" w:hAnsi="宋体" w:cs="宋体"/>
                <w:bCs/>
                <w:color w:val="auto"/>
                <w:sz w:val="24"/>
                <w:highlight w:val="none"/>
                <w:lang w:val="en-US" w:eastAsia="zh-CN"/>
              </w:rPr>
              <w:t>3</w:t>
            </w:r>
            <w:bookmarkEnd w:id="432"/>
            <w:r>
              <w:rPr>
                <w:rFonts w:hint="eastAsia" w:ascii="宋体" w:hAnsi="宋体" w:cs="宋体"/>
                <w:bCs/>
                <w:color w:val="auto"/>
                <w:sz w:val="24"/>
                <w:highlight w:val="none"/>
                <w:lang w:val="en-US" w:eastAsia="zh-CN"/>
              </w:rPr>
              <w:t>0</w:t>
            </w:r>
          </w:p>
        </w:tc>
        <w:tc>
          <w:tcPr>
            <w:tcW w:w="375" w:type="pct"/>
            <w:vAlign w:val="center"/>
          </w:tcPr>
          <w:p w14:paraId="2D8C8C2A">
            <w:pPr>
              <w:snapToGrid w:val="0"/>
              <w:spacing w:line="240" w:lineRule="auto"/>
              <w:jc w:val="center"/>
              <w:outlineLvl w:val="0"/>
              <w:rPr>
                <w:rFonts w:hint="default" w:ascii="宋体" w:hAnsi="宋体" w:cs="宋体"/>
                <w:bCs/>
                <w:color w:val="auto"/>
                <w:sz w:val="24"/>
                <w:highlight w:val="none"/>
                <w:lang w:val="en-US" w:eastAsia="zh-CN"/>
              </w:rPr>
            </w:pPr>
            <w:bookmarkStart w:id="433" w:name="_Toc28150"/>
            <w:r>
              <w:rPr>
                <w:rFonts w:hint="eastAsia" w:ascii="宋体" w:hAnsi="宋体" w:cs="宋体"/>
                <w:bCs/>
                <w:color w:val="auto"/>
                <w:sz w:val="24"/>
                <w:highlight w:val="none"/>
                <w:lang w:val="en-US" w:eastAsia="zh-CN"/>
              </w:rPr>
              <w:t>客观评审</w:t>
            </w:r>
            <w:bookmarkEnd w:id="433"/>
          </w:p>
        </w:tc>
        <w:tc>
          <w:tcPr>
            <w:tcW w:w="624" w:type="pct"/>
            <w:vAlign w:val="center"/>
          </w:tcPr>
          <w:p w14:paraId="4DAEAFFA">
            <w:pPr>
              <w:snapToGrid w:val="0"/>
              <w:spacing w:line="240" w:lineRule="auto"/>
              <w:jc w:val="center"/>
              <w:rPr>
                <w:rFonts w:ascii="宋体" w:hAnsi="宋体" w:cs="宋体"/>
                <w:color w:val="auto"/>
                <w:highlight w:val="none"/>
              </w:rPr>
            </w:pPr>
          </w:p>
        </w:tc>
      </w:tr>
    </w:tbl>
    <w:p w14:paraId="2C73867F">
      <w:pPr>
        <w:snapToGrid w:val="0"/>
        <w:spacing w:line="360" w:lineRule="auto"/>
        <w:rPr>
          <w:rFonts w:ascii="宋体" w:hAnsi="宋体" w:cs="宋体"/>
          <w:b/>
          <w:bCs/>
          <w:color w:val="auto"/>
          <w:sz w:val="24"/>
          <w:highlight w:val="none"/>
        </w:rPr>
      </w:pPr>
      <w:r>
        <w:rPr>
          <w:rFonts w:hint="eastAsia" w:ascii="宋体" w:hAnsi="宋体" w:cs="宋体"/>
          <w:b/>
          <w:bCs/>
          <w:color w:val="auto"/>
          <w:sz w:val="20"/>
          <w:szCs w:val="20"/>
          <w:highlight w:val="none"/>
          <w:shd w:val="clear" w:color="auto" w:fill="FFFFFF"/>
        </w:rPr>
        <w:t>*</w:t>
      </w:r>
      <w:r>
        <w:rPr>
          <w:rFonts w:hint="eastAsia" w:ascii="宋体" w:hAnsi="宋体" w:cs="宋体"/>
          <w:b/>
          <w:bCs/>
          <w:color w:val="auto"/>
          <w:sz w:val="24"/>
          <w:highlight w:val="none"/>
        </w:rPr>
        <w:t>注：供应商编制响应文件（商务技术文件部分）时，建议按此目录（序号和内容）提供评审标准相应的商务技术资料。 </w:t>
      </w:r>
    </w:p>
    <w:p w14:paraId="2EEC4A12">
      <w:pPr>
        <w:jc w:val="left"/>
        <w:rPr>
          <w:rFonts w:ascii="宋体" w:hAnsi="宋体" w:cs="宋体"/>
          <w:b/>
          <w:color w:val="auto"/>
          <w:sz w:val="32"/>
          <w:highlight w:val="none"/>
        </w:rPr>
      </w:pPr>
      <w:r>
        <w:rPr>
          <w:rFonts w:hint="eastAsia" w:ascii="宋体" w:hAnsi="宋体" w:cs="宋体"/>
          <w:b/>
          <w:color w:val="auto"/>
          <w:sz w:val="32"/>
          <w:highlight w:val="none"/>
        </w:rPr>
        <w:br w:type="page"/>
      </w:r>
    </w:p>
    <w:p w14:paraId="6DD28F2C">
      <w:pPr>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32"/>
          <w:highlight w:val="none"/>
        </w:rPr>
        <w:t>一、评审方法</w:t>
      </w:r>
    </w:p>
    <w:p w14:paraId="00A211D4">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37B1B5E1">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14:paraId="531A4856">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14:paraId="109A5CB9">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14:paraId="3777665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74F878DF">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0AC2C1A3">
      <w:pP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b/>
          <w:color w:val="auto"/>
          <w:sz w:val="24"/>
          <w:highlight w:val="none"/>
        </w:rPr>
        <w:t>磋商轮次根据实际情况进行。</w:t>
      </w:r>
    </w:p>
    <w:p w14:paraId="462CBFF5">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65C0CACC">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 xml:space="preserve">3.2.3 </w:t>
      </w:r>
      <w:r>
        <w:rPr>
          <w:rFonts w:hint="eastAsia" w:ascii="宋体" w:hAnsi="宋体" w:cs="宋体"/>
          <w:b/>
          <w:bCs/>
          <w:color w:val="auto"/>
          <w:sz w:val="24"/>
          <w:highlight w:val="none"/>
        </w:rPr>
        <w:t>在磋商过程中，磋商小组可以根据磋商文件和磋商情况实质性变动采购需求中技术、服务要求以及合同草案中的条款，但不得变动磋商文件中的其他内容。</w:t>
      </w:r>
      <w:r>
        <w:rPr>
          <w:rFonts w:hint="eastAsia" w:ascii="宋体" w:hAnsi="宋体" w:cs="宋体"/>
          <w:color w:val="auto"/>
          <w:sz w:val="24"/>
          <w:highlight w:val="none"/>
        </w:rPr>
        <w:t>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0FC78D66">
      <w:pPr>
        <w:spacing w:line="360" w:lineRule="auto"/>
        <w:ind w:firstLine="470" w:firstLineChars="196"/>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如磋商小组认定磋商文件技术、服务要求以及合同草案条款无需进行变动且供应商应答明确，则以书面形式(政采云系统发出磋商响应函或邮件形式等)通知所有符合性审查合格的供应商，视作与供应商进行磋商。</w:t>
      </w:r>
    </w:p>
    <w:p w14:paraId="7D750FA7">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4F0BE4FA">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1CEC4C8E">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270DA2F3">
      <w:pPr>
        <w:spacing w:line="360" w:lineRule="auto"/>
        <w:ind w:firstLine="470" w:firstLineChars="196"/>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3.3.3 已提交响应文件的供应商，在提交最后报价之前，可以根据磋商情况退出磋商</w:t>
      </w:r>
      <w:r>
        <w:rPr>
          <w:rFonts w:hint="eastAsia" w:ascii="宋体" w:hAnsi="宋体" w:cs="宋体"/>
          <w:color w:val="auto"/>
          <w:kern w:val="0"/>
          <w:sz w:val="24"/>
          <w:highlight w:val="none"/>
          <w:lang w:eastAsia="zh-CN"/>
        </w:rPr>
        <w:t>。</w:t>
      </w:r>
    </w:p>
    <w:p w14:paraId="3B04ED1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7CFDC36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14:paraId="39214C1E">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14:paraId="39A2AE1E">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14:paraId="6BC33BF3">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14:paraId="021E4854">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14:paraId="5E012DC0">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14:paraId="26FE142E">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43E768A9">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14:paraId="744BA85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14:paraId="70418E0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14:paraId="5FE25888">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w:t>
      </w:r>
      <w:r>
        <w:rPr>
          <w:rFonts w:hint="eastAsia" w:ascii="宋体" w:hAnsi="宋体" w:cs="宋体"/>
          <w:color w:val="auto"/>
          <w:kern w:val="0"/>
          <w:szCs w:val="24"/>
          <w:highlight w:val="none"/>
          <w:lang w:val="en-US" w:eastAsia="zh-CN"/>
        </w:rPr>
        <w:t>1</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0FAC3C31">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32357F0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6E424687">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58FB5992">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3BE6AE7">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14:paraId="2488F96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708403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52860FB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662EE93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14:paraId="69DFEAB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14:paraId="645013D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4.2.6响应文件出现不是唯一的、有选择性最后报价的;</w:t>
      </w:r>
    </w:p>
    <w:p w14:paraId="2364728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4.2.7最后报价超过采购文件中规定的预算金额或者最高限价的;</w:t>
      </w:r>
    </w:p>
    <w:p w14:paraId="2748697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566D3DC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4.2.9供应商对根据修正原则修正后的报价不确认的；</w:t>
      </w:r>
    </w:p>
    <w:p w14:paraId="3850181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4.2.10供应商提供虚假材料响应的；</w:t>
      </w:r>
    </w:p>
    <w:p w14:paraId="7DC9003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4.2.11供应商有恶意串通、妨碍其他供应商的竞争行为、损害采购人或者其他供应商的合法权益情形的；</w:t>
      </w:r>
    </w:p>
    <w:p w14:paraId="61C3213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4.2.12供应商仅提交备份响应文件，未在电子交易平台传输递交响应文件的，响应文件无效；</w:t>
      </w:r>
    </w:p>
    <w:p w14:paraId="36A8461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 响应文件不满足采购文件的其它实质性要求的；</w:t>
      </w:r>
    </w:p>
    <w:p w14:paraId="6E6A85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51A1844C">
      <w:pPr>
        <w:pStyle w:val="24"/>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423E8D64">
      <w:pPr>
        <w:pStyle w:val="24"/>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14:paraId="4E4EB545">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36028E82">
      <w:pPr>
        <w:pStyle w:val="24"/>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14:paraId="51132879">
      <w:pPr>
        <w:pStyle w:val="24"/>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12DCC2B7">
      <w:pPr>
        <w:pStyle w:val="24"/>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2F4F8D71">
      <w:pPr>
        <w:pStyle w:val="24"/>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14:paraId="2F8DAF18">
      <w:pPr>
        <w:pStyle w:val="24"/>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2C03BFE1">
      <w:pPr>
        <w:pStyle w:val="24"/>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3DD410EA">
      <w:pPr>
        <w:pStyle w:val="24"/>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14:paraId="42DA45CE">
      <w:pPr>
        <w:pStyle w:val="24"/>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008B618D">
      <w:pPr>
        <w:pStyle w:val="24"/>
        <w:snapToGrid w:val="0"/>
        <w:spacing w:line="360" w:lineRule="auto"/>
        <w:ind w:firstLine="0" w:firstLineChars="0"/>
        <w:rPr>
          <w:rFonts w:cs="宋体"/>
          <w:color w:val="auto"/>
          <w:highlight w:val="none"/>
        </w:rPr>
        <w:sectPr>
          <w:pgSz w:w="11905" w:h="16838"/>
          <w:pgMar w:top="1440" w:right="1440" w:bottom="1440" w:left="1440" w:header="851" w:footer="992" w:gutter="0"/>
          <w:pgBorders>
            <w:top w:val="none" w:sz="0" w:space="0"/>
            <w:left w:val="none" w:sz="0" w:space="0"/>
            <w:bottom w:val="none" w:sz="0" w:space="0"/>
            <w:right w:val="none" w:sz="0" w:space="0"/>
          </w:pgBorders>
          <w:cols w:space="0" w:num="1"/>
          <w:titlePg/>
          <w:rtlGutter w:val="0"/>
          <w:docGrid w:linePitch="0" w:charSpace="0"/>
        </w:sectPr>
      </w:pPr>
    </w:p>
    <w:bookmarkEnd w:id="32"/>
    <w:p w14:paraId="27842137">
      <w:pPr>
        <w:spacing w:line="360" w:lineRule="auto"/>
        <w:jc w:val="center"/>
        <w:outlineLvl w:val="0"/>
        <w:rPr>
          <w:rFonts w:ascii="宋体" w:hAnsi="宋体" w:cs="宋体"/>
          <w:b/>
          <w:color w:val="auto"/>
          <w:sz w:val="36"/>
          <w:szCs w:val="36"/>
          <w:highlight w:val="none"/>
        </w:rPr>
      </w:pPr>
      <w:bookmarkStart w:id="434" w:name="_Toc8825"/>
      <w:bookmarkStart w:id="435" w:name="第五部分"/>
      <w:bookmarkStart w:id="436" w:name="_Toc86217003"/>
      <w:r>
        <w:rPr>
          <w:rFonts w:hint="eastAsia" w:ascii="宋体" w:hAnsi="宋体" w:cs="宋体"/>
          <w:b/>
          <w:color w:val="auto"/>
          <w:sz w:val="36"/>
          <w:szCs w:val="36"/>
          <w:highlight w:val="none"/>
        </w:rPr>
        <w:t>第五部分 拟签订的合同文本</w:t>
      </w:r>
      <w:bookmarkEnd w:id="434"/>
    </w:p>
    <w:p w14:paraId="411D8AFF">
      <w:pPr>
        <w:snapToGrid w:val="0"/>
        <w:spacing w:line="360" w:lineRule="auto"/>
        <w:ind w:firstLine="480" w:firstLineChars="200"/>
        <w:jc w:val="left"/>
        <w:rPr>
          <w:rFonts w:ascii="宋体" w:hAnsi="宋体"/>
          <w:snapToGrid w:val="0"/>
          <w:color w:val="auto"/>
          <w:kern w:val="0"/>
          <w:sz w:val="24"/>
          <w:szCs w:val="20"/>
          <w:highlight w:val="none"/>
        </w:rPr>
      </w:pPr>
      <w:r>
        <w:rPr>
          <w:rFonts w:hint="eastAsia" w:ascii="宋体" w:hAnsi="宋体"/>
          <w:snapToGrid w:val="0"/>
          <w:color w:val="auto"/>
          <w:kern w:val="0"/>
          <w:sz w:val="24"/>
          <w:szCs w:val="20"/>
          <w:highlight w:val="none"/>
        </w:rPr>
        <w:t>参考住房城乡建设部、原国家工商行政管理总局制定的《建设工程施工合同（示范文本）》（GF-2017-0201）。</w:t>
      </w:r>
    </w:p>
    <w:p w14:paraId="0505F894">
      <w:pPr>
        <w:keepNext/>
        <w:keepLines/>
        <w:numPr>
          <w:ilvl w:val="1"/>
          <w:numId w:val="0"/>
        </w:numPr>
        <w:snapToGrid w:val="0"/>
        <w:spacing w:before="100" w:line="360" w:lineRule="auto"/>
        <w:jc w:val="center"/>
        <w:rPr>
          <w:rFonts w:ascii="宋体" w:hAnsi="宋体" w:cs="宋体"/>
          <w:snapToGrid w:val="0"/>
          <w:color w:val="auto"/>
          <w:kern w:val="44"/>
          <w:sz w:val="28"/>
          <w:szCs w:val="20"/>
          <w:highlight w:val="none"/>
        </w:rPr>
      </w:pPr>
      <w:r>
        <w:rPr>
          <w:rFonts w:hint="eastAsia" w:ascii="宋体" w:hAnsi="宋体" w:cs="宋体"/>
          <w:snapToGrid w:val="0"/>
          <w:color w:val="auto"/>
          <w:kern w:val="44"/>
          <w:sz w:val="24"/>
          <w:szCs w:val="20"/>
          <w:highlight w:val="none"/>
        </w:rPr>
        <w:br w:type="page"/>
      </w:r>
      <w:bookmarkStart w:id="437" w:name="_Toc32130"/>
      <w:bookmarkStart w:id="438" w:name="_Toc97299497"/>
      <w:r>
        <w:rPr>
          <w:rFonts w:hint="eastAsia" w:ascii="宋体" w:hAnsi="宋体" w:cs="宋体"/>
          <w:snapToGrid w:val="0"/>
          <w:color w:val="auto"/>
          <w:kern w:val="44"/>
          <w:sz w:val="28"/>
          <w:szCs w:val="20"/>
          <w:highlight w:val="none"/>
        </w:rPr>
        <w:t>第一部分  合同协议书</w:t>
      </w:r>
      <w:bookmarkEnd w:id="437"/>
      <w:bookmarkEnd w:id="438"/>
    </w:p>
    <w:p w14:paraId="42387FBC">
      <w:pPr>
        <w:snapToGrid w:val="0"/>
        <w:spacing w:line="360" w:lineRule="auto"/>
        <w:ind w:firstLine="470" w:firstLineChars="196"/>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发包人（全称）：</w:t>
      </w:r>
      <w:r>
        <w:rPr>
          <w:rFonts w:hint="eastAsia" w:ascii="宋体" w:hAnsi="宋体" w:cs="宋体"/>
          <w:snapToGrid w:val="0"/>
          <w:color w:val="auto"/>
          <w:kern w:val="0"/>
          <w:sz w:val="24"/>
          <w:highlight w:val="none"/>
          <w:u w:val="single"/>
        </w:rPr>
        <w:t xml:space="preserve">    </w:t>
      </w:r>
      <w:bookmarkStart w:id="439" w:name="SOA_hhxys_fbr"/>
      <w:r>
        <w:rPr>
          <w:rFonts w:hint="eastAsia" w:ascii="宋体" w:hAnsi="宋体" w:cs="宋体"/>
          <w:snapToGrid w:val="0"/>
          <w:color w:val="auto"/>
          <w:kern w:val="0"/>
          <w:sz w:val="24"/>
          <w:highlight w:val="none"/>
          <w:u w:val="single"/>
        </w:rPr>
        <w:t xml:space="preserve">                  </w:t>
      </w:r>
      <w:bookmarkEnd w:id="439"/>
      <w:r>
        <w:rPr>
          <w:rFonts w:hint="eastAsia" w:ascii="宋体" w:hAnsi="宋体" w:cs="宋体"/>
          <w:snapToGrid w:val="0"/>
          <w:color w:val="auto"/>
          <w:kern w:val="0"/>
          <w:sz w:val="24"/>
          <w:highlight w:val="none"/>
          <w:u w:val="single"/>
        </w:rPr>
        <w:t xml:space="preserve"> </w:t>
      </w:r>
    </w:p>
    <w:p w14:paraId="3FABC5DE">
      <w:pPr>
        <w:snapToGrid w:val="0"/>
        <w:spacing w:line="360" w:lineRule="auto"/>
        <w:ind w:firstLine="470" w:firstLineChars="196"/>
        <w:rPr>
          <w:rFonts w:ascii="宋体" w:hAnsi="宋体" w:cs="宋体"/>
          <w:b/>
          <w:snapToGrid w:val="0"/>
          <w:color w:val="auto"/>
          <w:kern w:val="0"/>
          <w:sz w:val="24"/>
          <w:highlight w:val="none"/>
          <w:u w:val="single"/>
        </w:rPr>
      </w:pPr>
      <w:r>
        <w:rPr>
          <w:rFonts w:hint="eastAsia" w:ascii="宋体" w:hAnsi="宋体" w:cs="宋体"/>
          <w:snapToGrid w:val="0"/>
          <w:color w:val="auto"/>
          <w:kern w:val="0"/>
          <w:sz w:val="24"/>
          <w:highlight w:val="none"/>
        </w:rPr>
        <w:t>承包人（全称）：</w:t>
      </w:r>
      <w:r>
        <w:rPr>
          <w:rFonts w:hint="eastAsia" w:ascii="宋体" w:hAnsi="宋体" w:cs="宋体"/>
          <w:snapToGrid w:val="0"/>
          <w:color w:val="auto"/>
          <w:kern w:val="0"/>
          <w:sz w:val="24"/>
          <w:highlight w:val="none"/>
          <w:u w:val="single"/>
        </w:rPr>
        <w:t xml:space="preserve">                  </w:t>
      </w:r>
      <w:bookmarkStart w:id="440" w:name="SOA_hhxys_cbr"/>
      <w:r>
        <w:rPr>
          <w:rFonts w:hint="eastAsia" w:ascii="宋体" w:hAnsi="宋体" w:cs="宋体"/>
          <w:snapToGrid w:val="0"/>
          <w:color w:val="auto"/>
          <w:kern w:val="0"/>
          <w:sz w:val="24"/>
          <w:highlight w:val="none"/>
          <w:u w:val="single"/>
        </w:rPr>
        <w:t xml:space="preserve">  </w:t>
      </w:r>
      <w:r>
        <w:rPr>
          <w:rFonts w:hint="eastAsia" w:ascii="宋体" w:hAnsi="宋体" w:cs="宋体"/>
          <w:b/>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rPr>
        <w:t xml:space="preserve">    </w:t>
      </w:r>
      <w:bookmarkEnd w:id="440"/>
      <w:r>
        <w:rPr>
          <w:rFonts w:hint="eastAsia" w:ascii="宋体" w:hAnsi="宋体" w:cs="宋体"/>
          <w:snapToGrid w:val="0"/>
          <w:color w:val="auto"/>
          <w:kern w:val="0"/>
          <w:sz w:val="24"/>
          <w:highlight w:val="none"/>
          <w:u w:val="single"/>
        </w:rPr>
        <w:t xml:space="preserve">   </w:t>
      </w:r>
    </w:p>
    <w:p w14:paraId="67DA37AA">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根据《中华人民共和国民法典》、 《中华人民共和国建筑法》及有关法律规定，遵循平等、自愿、公平和诚实信用的原则，双方就</w:t>
      </w:r>
      <w:r>
        <w:rPr>
          <w:rFonts w:hint="eastAsia" w:ascii="宋体" w:hAnsi="宋体" w:cs="宋体"/>
          <w:b w:val="0"/>
          <w:bCs w:val="0"/>
          <w:snapToGrid w:val="0"/>
          <w:color w:val="auto"/>
          <w:kern w:val="0"/>
          <w:sz w:val="24"/>
          <w:highlight w:val="none"/>
          <w:u w:val="single"/>
          <w:lang w:eastAsia="zh-CN"/>
        </w:rPr>
        <w:t>宁波经贸学校2024年综合高中维修项目</w:t>
      </w:r>
      <w:r>
        <w:rPr>
          <w:rFonts w:hint="eastAsia" w:ascii="宋体" w:hAnsi="宋体" w:cs="宋体"/>
          <w:snapToGrid w:val="0"/>
          <w:color w:val="auto"/>
          <w:kern w:val="0"/>
          <w:sz w:val="24"/>
          <w:highlight w:val="none"/>
        </w:rPr>
        <w:t>工程施工及有关事项协商一致，共同达成如下协议：</w:t>
      </w:r>
    </w:p>
    <w:p w14:paraId="4A006271">
      <w:pPr>
        <w:snapToGrid w:val="0"/>
        <w:spacing w:before="24" w:beforeLines="10" w:after="24" w:afterLines="10" w:line="360" w:lineRule="auto"/>
        <w:outlineLvl w:val="1"/>
        <w:rPr>
          <w:rFonts w:ascii="宋体" w:hAnsi="宋体" w:cs="宋体"/>
          <w:b/>
          <w:bCs/>
          <w:snapToGrid w:val="0"/>
          <w:color w:val="auto"/>
          <w:kern w:val="0"/>
          <w:sz w:val="24"/>
          <w:highlight w:val="none"/>
        </w:rPr>
      </w:pPr>
      <w:bookmarkStart w:id="441" w:name="_Toc361220410"/>
      <w:bookmarkStart w:id="442" w:name="_Toc97299498"/>
      <w:bookmarkStart w:id="443" w:name="_Toc19782"/>
      <w:r>
        <w:rPr>
          <w:rFonts w:hint="eastAsia" w:ascii="宋体" w:hAnsi="宋体" w:cs="宋体"/>
          <w:b/>
          <w:bCs/>
          <w:snapToGrid w:val="0"/>
          <w:color w:val="auto"/>
          <w:kern w:val="0"/>
          <w:sz w:val="24"/>
          <w:highlight w:val="none"/>
        </w:rPr>
        <w:t>一、工程概况</w:t>
      </w:r>
      <w:bookmarkEnd w:id="441"/>
      <w:bookmarkEnd w:id="442"/>
      <w:bookmarkEnd w:id="443"/>
    </w:p>
    <w:p w14:paraId="0F815436">
      <w:pPr>
        <w:snapToGrid w:val="0"/>
        <w:spacing w:line="360" w:lineRule="auto"/>
        <w:ind w:firstLine="470" w:firstLineChars="196"/>
        <w:rPr>
          <w:rFonts w:ascii="宋体" w:hAnsi="宋体" w:cs="宋体"/>
          <w:snapToGrid w:val="0"/>
          <w:color w:val="auto"/>
          <w:kern w:val="0"/>
          <w:sz w:val="24"/>
          <w:highlight w:val="none"/>
          <w:u w:val="single"/>
        </w:rPr>
      </w:pPr>
      <w:r>
        <w:rPr>
          <w:rFonts w:hint="eastAsia" w:ascii="宋体" w:hAnsi="宋体" w:cs="宋体"/>
          <w:bCs/>
          <w:snapToGrid w:val="0"/>
          <w:color w:val="auto"/>
          <w:kern w:val="0"/>
          <w:sz w:val="24"/>
          <w:highlight w:val="none"/>
        </w:rPr>
        <w:t>1.工程名称</w:t>
      </w:r>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lang w:eastAsia="zh-CN"/>
        </w:rPr>
        <w:t>宁波经贸学校2024年综合高中维修项目</w:t>
      </w:r>
      <w:r>
        <w:rPr>
          <w:rFonts w:hint="eastAsia" w:ascii="宋体" w:hAnsi="宋体" w:cs="宋体"/>
          <w:snapToGrid w:val="0"/>
          <w:color w:val="auto"/>
          <w:kern w:val="0"/>
          <w:sz w:val="24"/>
          <w:highlight w:val="none"/>
        </w:rPr>
        <w:t>。</w:t>
      </w:r>
    </w:p>
    <w:p w14:paraId="77A4B94A">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2.工程地点：</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294A3331">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3.工程立项批准文号：</w:t>
      </w:r>
      <w:r>
        <w:rPr>
          <w:rFonts w:hint="eastAsia" w:ascii="宋体" w:hAnsi="宋体" w:cs="宋体"/>
          <w:snapToGrid w:val="0"/>
          <w:color w:val="auto"/>
          <w:kern w:val="0"/>
          <w:sz w:val="24"/>
          <w:highlight w:val="none"/>
          <w:u w:val="single"/>
        </w:rPr>
        <w:t xml:space="preserve">       </w:t>
      </w:r>
      <w:r>
        <w:rPr>
          <w:rFonts w:hint="eastAsia" w:ascii="宋体" w:hAnsi="宋体" w:cs="宋体"/>
          <w:bCs/>
          <w:snapToGrid w:val="0"/>
          <w:color w:val="auto"/>
          <w:kern w:val="0"/>
          <w:sz w:val="24"/>
          <w:highlight w:val="none"/>
        </w:rPr>
        <w:t>。</w:t>
      </w:r>
    </w:p>
    <w:p w14:paraId="08CE77EE">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4.资金来源：</w:t>
      </w:r>
      <w:r>
        <w:rPr>
          <w:rFonts w:hint="eastAsia" w:ascii="宋体" w:hAnsi="宋体" w:cs="宋体"/>
          <w:snapToGrid w:val="0"/>
          <w:color w:val="auto"/>
          <w:kern w:val="0"/>
          <w:sz w:val="24"/>
          <w:highlight w:val="none"/>
          <w:u w:val="single"/>
        </w:rPr>
        <w:t>        </w:t>
      </w:r>
      <w:r>
        <w:rPr>
          <w:rFonts w:hint="eastAsia" w:ascii="宋体" w:hAnsi="宋体" w:cs="宋体"/>
          <w:bCs/>
          <w:snapToGrid w:val="0"/>
          <w:color w:val="auto"/>
          <w:kern w:val="0"/>
          <w:sz w:val="24"/>
          <w:highlight w:val="none"/>
        </w:rPr>
        <w:t>。</w:t>
      </w:r>
    </w:p>
    <w:p w14:paraId="225CF93F">
      <w:pPr>
        <w:snapToGrid w:val="0"/>
        <w:spacing w:line="360" w:lineRule="auto"/>
        <w:ind w:firstLine="463" w:firstLineChars="193"/>
        <w:rPr>
          <w:rFonts w:ascii="宋体" w:hAnsi="宋体" w:cs="宋体"/>
          <w:snapToGrid w:val="0"/>
          <w:color w:val="auto"/>
          <w:kern w:val="0"/>
          <w:sz w:val="24"/>
          <w:highlight w:val="none"/>
        </w:rPr>
      </w:pPr>
      <w:r>
        <w:rPr>
          <w:rFonts w:hint="eastAsia" w:ascii="宋体" w:hAnsi="宋体" w:cs="宋体"/>
          <w:bCs/>
          <w:snapToGrid w:val="0"/>
          <w:color w:val="auto"/>
          <w:kern w:val="0"/>
          <w:sz w:val="24"/>
          <w:highlight w:val="none"/>
        </w:rPr>
        <w:t xml:space="preserve">5.工程内容：                           </w:t>
      </w:r>
      <w:r>
        <w:rPr>
          <w:rFonts w:hint="eastAsia" w:ascii="宋体" w:hAnsi="宋体" w:cs="宋体"/>
          <w:snapToGrid w:val="0"/>
          <w:color w:val="auto"/>
          <w:kern w:val="0"/>
          <w:sz w:val="24"/>
          <w:highlight w:val="none"/>
        </w:rPr>
        <w:t xml:space="preserve"> </w:t>
      </w:r>
    </w:p>
    <w:p w14:paraId="1390B396">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6.工程承包范围：</w:t>
      </w:r>
    </w:p>
    <w:p w14:paraId="66B8A023">
      <w:pPr>
        <w:snapToGrid w:val="0"/>
        <w:spacing w:line="360" w:lineRule="auto"/>
        <w:ind w:firstLine="463" w:firstLineChars="193"/>
        <w:rPr>
          <w:rFonts w:ascii="宋体" w:hAnsi="宋体" w:cs="宋体"/>
          <w:bCs/>
          <w:snapToGrid w:val="0"/>
          <w:color w:val="auto"/>
          <w:kern w:val="0"/>
          <w:sz w:val="24"/>
          <w:highlight w:val="none"/>
        </w:rPr>
      </w:pPr>
      <w:bookmarkStart w:id="444" w:name="_Toc361220411"/>
      <w:r>
        <w:rPr>
          <w:rFonts w:hint="eastAsia" w:ascii="宋体" w:hAnsi="宋体" w:cs="宋体"/>
          <w:bCs/>
          <w:snapToGrid w:val="0"/>
          <w:color w:val="auto"/>
          <w:kern w:val="0"/>
          <w:sz w:val="24"/>
          <w:highlight w:val="none"/>
        </w:rPr>
        <w:t>本项目为</w:t>
      </w:r>
      <w:r>
        <w:rPr>
          <w:rFonts w:hint="eastAsia" w:ascii="宋体" w:hAnsi="宋体" w:cs="宋体"/>
          <w:bCs/>
          <w:snapToGrid w:val="0"/>
          <w:color w:val="auto"/>
          <w:kern w:val="0"/>
          <w:sz w:val="24"/>
          <w:highlight w:val="none"/>
          <w:u w:val="single"/>
          <w:lang w:eastAsia="zh-CN"/>
        </w:rPr>
        <w:t>宁波经贸学校2024年综合高中维修项目</w:t>
      </w:r>
      <w:r>
        <w:rPr>
          <w:rFonts w:hint="eastAsia" w:ascii="宋体" w:hAnsi="宋体" w:cs="宋体"/>
          <w:bCs/>
          <w:snapToGrid w:val="0"/>
          <w:color w:val="auto"/>
          <w:kern w:val="0"/>
          <w:sz w:val="24"/>
          <w:highlight w:val="none"/>
        </w:rPr>
        <w:t>，详见图纸、工程量清单以及采购文件要求</w:t>
      </w:r>
    </w:p>
    <w:p w14:paraId="08D4AB81">
      <w:pPr>
        <w:snapToGrid w:val="0"/>
        <w:spacing w:line="360" w:lineRule="auto"/>
        <w:outlineLvl w:val="1"/>
        <w:rPr>
          <w:rFonts w:ascii="宋体" w:hAnsi="宋体" w:cs="宋体"/>
          <w:b/>
          <w:bCs/>
          <w:snapToGrid w:val="0"/>
          <w:color w:val="auto"/>
          <w:kern w:val="0"/>
          <w:sz w:val="24"/>
          <w:highlight w:val="none"/>
        </w:rPr>
      </w:pPr>
      <w:bookmarkStart w:id="445" w:name="_Toc97299499"/>
      <w:bookmarkStart w:id="446" w:name="_Toc29454"/>
      <w:r>
        <w:rPr>
          <w:rFonts w:hint="eastAsia" w:ascii="宋体" w:hAnsi="宋体" w:cs="宋体"/>
          <w:b/>
          <w:bCs/>
          <w:snapToGrid w:val="0"/>
          <w:color w:val="auto"/>
          <w:kern w:val="0"/>
          <w:sz w:val="24"/>
          <w:highlight w:val="none"/>
        </w:rPr>
        <w:t>二、合同工期</w:t>
      </w:r>
      <w:bookmarkEnd w:id="444"/>
      <w:bookmarkEnd w:id="445"/>
      <w:bookmarkEnd w:id="446"/>
    </w:p>
    <w:p w14:paraId="5771743B">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计划开工日期：</w:t>
      </w:r>
      <w:r>
        <w:rPr>
          <w:rFonts w:hint="eastAsia" w:ascii="宋体" w:hAnsi="宋体" w:cs="宋体"/>
          <w:snapToGrid w:val="0"/>
          <w:color w:val="auto"/>
          <w:kern w:val="0"/>
          <w:sz w:val="24"/>
          <w:highlight w:val="none"/>
          <w:u w:val="single"/>
        </w:rPr>
        <w:t xml:space="preserve">20  </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p>
    <w:p w14:paraId="5E593F39">
      <w:pPr>
        <w:snapToGrid w:val="0"/>
        <w:spacing w:line="360" w:lineRule="auto"/>
        <w:ind w:firstLine="459"/>
        <w:rPr>
          <w:rFonts w:ascii="宋体" w:hAnsi="宋体" w:cs="宋体"/>
          <w:snapToGrid w:val="0"/>
          <w:color w:val="auto"/>
          <w:kern w:val="0"/>
          <w:sz w:val="24"/>
          <w:highlight w:val="none"/>
        </w:rPr>
      </w:pPr>
      <w:bookmarkStart w:id="447" w:name="SOA_hhxys_jgn"/>
      <w:r>
        <w:rPr>
          <w:rFonts w:hint="eastAsia" w:ascii="宋体" w:hAnsi="宋体" w:cs="宋体"/>
          <w:snapToGrid w:val="0"/>
          <w:color w:val="auto"/>
          <w:kern w:val="0"/>
          <w:sz w:val="24"/>
          <w:highlight w:val="none"/>
        </w:rPr>
        <w:t>计划竣工日期：</w:t>
      </w:r>
      <w:r>
        <w:rPr>
          <w:rFonts w:hint="eastAsia" w:ascii="宋体" w:hAnsi="宋体" w:cs="宋体"/>
          <w:snapToGrid w:val="0"/>
          <w:color w:val="auto"/>
          <w:kern w:val="0"/>
          <w:sz w:val="24"/>
          <w:highlight w:val="none"/>
          <w:u w:val="single"/>
        </w:rPr>
        <w:t xml:space="preserve">20  </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bookmarkEnd w:id="447"/>
    </w:p>
    <w:p w14:paraId="183581CB">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工期总日历天数：</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天。工期总日历天数与根据前述计划开竣工日期计算的工期天数不一致的，以工期总日历天数为准。</w:t>
      </w:r>
    </w:p>
    <w:p w14:paraId="025665E1">
      <w:pPr>
        <w:snapToGrid w:val="0"/>
        <w:spacing w:line="360" w:lineRule="auto"/>
        <w:outlineLvl w:val="1"/>
        <w:rPr>
          <w:rFonts w:ascii="宋体" w:hAnsi="宋体" w:cs="宋体"/>
          <w:b/>
          <w:bCs/>
          <w:snapToGrid w:val="0"/>
          <w:color w:val="auto"/>
          <w:kern w:val="0"/>
          <w:sz w:val="24"/>
          <w:highlight w:val="none"/>
        </w:rPr>
      </w:pPr>
      <w:bookmarkStart w:id="448" w:name="_Toc97299500"/>
      <w:bookmarkStart w:id="449" w:name="_Toc361220412"/>
      <w:bookmarkStart w:id="450" w:name="_Toc20892"/>
      <w:r>
        <w:rPr>
          <w:rFonts w:hint="eastAsia" w:ascii="宋体" w:hAnsi="宋体" w:cs="宋体"/>
          <w:b/>
          <w:bCs/>
          <w:snapToGrid w:val="0"/>
          <w:color w:val="auto"/>
          <w:kern w:val="0"/>
          <w:sz w:val="24"/>
          <w:highlight w:val="none"/>
        </w:rPr>
        <w:t>三、质量标准</w:t>
      </w:r>
      <w:bookmarkEnd w:id="448"/>
      <w:bookmarkEnd w:id="449"/>
      <w:bookmarkEnd w:id="450"/>
    </w:p>
    <w:p w14:paraId="65A6D4F4">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工程质量符合</w:t>
      </w:r>
      <w:r>
        <w:rPr>
          <w:rFonts w:hint="eastAsia" w:ascii="宋体" w:hAnsi="宋体" w:cs="宋体"/>
          <w:snapToGrid w:val="0"/>
          <w:color w:val="auto"/>
          <w:kern w:val="0"/>
          <w:sz w:val="24"/>
          <w:highlight w:val="none"/>
          <w:u w:val="single"/>
        </w:rPr>
        <w:t></w:t>
      </w:r>
      <w:bookmarkStart w:id="451" w:name="SOA_hhxys_zlbz"/>
      <w:r>
        <w:rPr>
          <w:rFonts w:hint="eastAsia" w:ascii="宋体" w:hAnsi="宋体" w:cs="宋体"/>
          <w:snapToGrid w:val="0"/>
          <w:color w:val="auto"/>
          <w:kern w:val="0"/>
          <w:sz w:val="24"/>
          <w:highlight w:val="none"/>
          <w:u w:val="single"/>
        </w:rPr>
        <w:t xml:space="preserve">       </w:t>
      </w:r>
      <w:bookmarkEnd w:id="451"/>
      <w:r>
        <w:rPr>
          <w:rFonts w:hint="eastAsia" w:ascii="宋体" w:hAnsi="宋体" w:cs="宋体"/>
          <w:snapToGrid w:val="0"/>
          <w:color w:val="auto"/>
          <w:kern w:val="0"/>
          <w:sz w:val="24"/>
          <w:highlight w:val="none"/>
          <w:u w:val="single"/>
        </w:rPr>
        <w:t></w:t>
      </w:r>
      <w:r>
        <w:rPr>
          <w:rFonts w:hint="eastAsia" w:ascii="宋体" w:hAnsi="宋体" w:cs="宋体"/>
          <w:snapToGrid w:val="0"/>
          <w:color w:val="auto"/>
          <w:kern w:val="0"/>
          <w:sz w:val="24"/>
          <w:highlight w:val="none"/>
        </w:rPr>
        <w:t>标准。</w:t>
      </w:r>
    </w:p>
    <w:p w14:paraId="7E29B775">
      <w:pPr>
        <w:snapToGrid w:val="0"/>
        <w:spacing w:line="360" w:lineRule="auto"/>
        <w:outlineLvl w:val="1"/>
        <w:rPr>
          <w:rFonts w:ascii="宋体" w:hAnsi="宋体" w:cs="宋体"/>
          <w:b/>
          <w:bCs/>
          <w:snapToGrid w:val="0"/>
          <w:color w:val="auto"/>
          <w:kern w:val="0"/>
          <w:sz w:val="24"/>
          <w:highlight w:val="none"/>
        </w:rPr>
      </w:pPr>
      <w:bookmarkStart w:id="452" w:name="_Toc16110"/>
      <w:bookmarkStart w:id="453" w:name="_Toc361220413"/>
      <w:bookmarkStart w:id="454" w:name="_Toc97299501"/>
      <w:r>
        <w:rPr>
          <w:rFonts w:hint="eastAsia" w:ascii="宋体" w:hAnsi="宋体" w:cs="宋体"/>
          <w:b/>
          <w:bCs/>
          <w:snapToGrid w:val="0"/>
          <w:color w:val="auto"/>
          <w:kern w:val="0"/>
          <w:sz w:val="24"/>
          <w:highlight w:val="none"/>
        </w:rPr>
        <w:t>四、签约合同价与合同价格形式</w:t>
      </w:r>
      <w:bookmarkEnd w:id="452"/>
      <w:bookmarkEnd w:id="453"/>
      <w:bookmarkEnd w:id="454"/>
    </w:p>
    <w:p w14:paraId="68614FAF">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1.签约合同价为：</w:t>
      </w:r>
    </w:p>
    <w:p w14:paraId="52861931">
      <w:pPr>
        <w:snapToGrid w:val="0"/>
        <w:spacing w:line="360" w:lineRule="auto"/>
        <w:ind w:firstLine="600" w:firstLineChars="25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人民币（大写）</w:t>
      </w:r>
      <w:bookmarkStart w:id="455" w:name="SOA_hhxys_htjdx"/>
      <w:r>
        <w:rPr>
          <w:rFonts w:hint="eastAsia" w:ascii="宋体" w:hAnsi="宋体" w:cs="宋体"/>
          <w:snapToGrid w:val="0"/>
          <w:color w:val="auto"/>
          <w:kern w:val="0"/>
          <w:sz w:val="24"/>
          <w:highlight w:val="none"/>
          <w:u w:val="single"/>
        </w:rPr>
        <w:t xml:space="preserve">                   </w:t>
      </w:r>
      <w:bookmarkEnd w:id="455"/>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rPr>
        <w:t xml:space="preserve"> </w:t>
      </w:r>
      <w:bookmarkStart w:id="456" w:name="SOA_hhxys_htjxx"/>
      <w:r>
        <w:rPr>
          <w:rFonts w:hint="eastAsia" w:ascii="宋体" w:hAnsi="宋体" w:cs="宋体"/>
          <w:snapToGrid w:val="0"/>
          <w:color w:val="auto"/>
          <w:kern w:val="0"/>
          <w:sz w:val="24"/>
          <w:highlight w:val="none"/>
          <w:u w:val="single"/>
        </w:rPr>
        <w:t xml:space="preserve">            </w:t>
      </w:r>
      <w:bookmarkEnd w:id="456"/>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元)；</w:t>
      </w:r>
    </w:p>
    <w:p w14:paraId="2EF59877">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其中：</w:t>
      </w:r>
    </w:p>
    <w:p w14:paraId="17C187DA">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（1）安全文明施工费：</w:t>
      </w:r>
    </w:p>
    <w:p w14:paraId="33531AD9">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57" w:name="SOA_hhxys_wmsgfdx"/>
      <w:r>
        <w:rPr>
          <w:rFonts w:hint="eastAsia" w:ascii="宋体" w:hAnsi="宋体" w:cs="宋体"/>
          <w:snapToGrid w:val="0"/>
          <w:color w:val="auto"/>
          <w:kern w:val="0"/>
          <w:sz w:val="24"/>
          <w:highlight w:val="none"/>
          <w:u w:val="single"/>
        </w:rPr>
        <w:t xml:space="preserve">                </w:t>
      </w:r>
      <w:bookmarkEnd w:id="457"/>
      <w:r>
        <w:rPr>
          <w:rFonts w:hint="eastAsia" w:ascii="宋体" w:hAnsi="宋体" w:cs="宋体"/>
          <w:snapToGrid w:val="0"/>
          <w:color w:val="auto"/>
          <w:kern w:val="0"/>
          <w:sz w:val="24"/>
          <w:highlight w:val="none"/>
        </w:rPr>
        <w:t>(¥</w:t>
      </w:r>
      <w:bookmarkStart w:id="458" w:name="SOA_hhxys_wmsgfxx"/>
      <w:r>
        <w:rPr>
          <w:rFonts w:hint="eastAsia" w:ascii="宋体" w:hAnsi="宋体" w:cs="宋体"/>
          <w:snapToGrid w:val="0"/>
          <w:color w:val="auto"/>
          <w:kern w:val="0"/>
          <w:sz w:val="24"/>
          <w:highlight w:val="none"/>
          <w:u w:val="single"/>
        </w:rPr>
        <w:t xml:space="preserve">                  </w:t>
      </w:r>
      <w:bookmarkEnd w:id="458"/>
      <w:r>
        <w:rPr>
          <w:rFonts w:hint="eastAsia" w:ascii="宋体" w:hAnsi="宋体" w:cs="宋体"/>
          <w:snapToGrid w:val="0"/>
          <w:color w:val="auto"/>
          <w:kern w:val="0"/>
          <w:sz w:val="24"/>
          <w:highlight w:val="none"/>
        </w:rPr>
        <w:t>元)；</w:t>
      </w:r>
    </w:p>
    <w:p w14:paraId="5AAAC09D">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（2）材料和工程设备暂估价金额：</w:t>
      </w:r>
    </w:p>
    <w:p w14:paraId="384BE624">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59" w:name="SOA_hhxys_sbzgjdx"/>
      <w:r>
        <w:rPr>
          <w:rFonts w:hint="eastAsia" w:ascii="宋体" w:hAnsi="宋体" w:cs="宋体"/>
          <w:snapToGrid w:val="0"/>
          <w:color w:val="auto"/>
          <w:kern w:val="0"/>
          <w:sz w:val="24"/>
          <w:highlight w:val="none"/>
          <w:u w:val="single"/>
        </w:rPr>
        <w:t xml:space="preserve">       </w:t>
      </w:r>
      <w:bookmarkEnd w:id="459"/>
      <w:r>
        <w:rPr>
          <w:rFonts w:hint="eastAsia" w:ascii="宋体" w:hAnsi="宋体" w:cs="宋体"/>
          <w:snapToGrid w:val="0"/>
          <w:color w:val="auto"/>
          <w:kern w:val="0"/>
          <w:sz w:val="24"/>
          <w:highlight w:val="none"/>
        </w:rPr>
        <w:t>(¥</w:t>
      </w:r>
      <w:bookmarkStart w:id="460" w:name="SOA_hhxys_sbzgjxx"/>
      <w:r>
        <w:rPr>
          <w:rFonts w:hint="eastAsia" w:ascii="宋体" w:hAnsi="宋体" w:cs="宋体"/>
          <w:snapToGrid w:val="0"/>
          <w:color w:val="auto"/>
          <w:kern w:val="0"/>
          <w:sz w:val="24"/>
          <w:highlight w:val="none"/>
          <w:u w:val="single"/>
        </w:rPr>
        <w:t xml:space="preserve">      </w:t>
      </w:r>
      <w:bookmarkEnd w:id="460"/>
      <w:r>
        <w:rPr>
          <w:rFonts w:hint="eastAsia" w:ascii="宋体" w:hAnsi="宋体" w:cs="宋体"/>
          <w:snapToGrid w:val="0"/>
          <w:color w:val="auto"/>
          <w:kern w:val="0"/>
          <w:sz w:val="24"/>
          <w:highlight w:val="none"/>
        </w:rPr>
        <w:t>元)；</w:t>
      </w:r>
    </w:p>
    <w:p w14:paraId="531FC0F5">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（3）专业工程暂估价金额：</w:t>
      </w:r>
    </w:p>
    <w:p w14:paraId="2C3BD898">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61" w:name="SOA_hhxys_gczgjdx"/>
      <w:r>
        <w:rPr>
          <w:rFonts w:hint="eastAsia" w:ascii="宋体" w:hAnsi="宋体" w:cs="宋体"/>
          <w:snapToGrid w:val="0"/>
          <w:color w:val="auto"/>
          <w:kern w:val="0"/>
          <w:sz w:val="24"/>
          <w:highlight w:val="none"/>
          <w:u w:val="single"/>
        </w:rPr>
        <w:t xml:space="preserve">       </w:t>
      </w:r>
      <w:bookmarkEnd w:id="461"/>
      <w:r>
        <w:rPr>
          <w:rFonts w:hint="eastAsia" w:ascii="宋体" w:hAnsi="宋体" w:cs="宋体"/>
          <w:snapToGrid w:val="0"/>
          <w:color w:val="auto"/>
          <w:kern w:val="0"/>
          <w:sz w:val="24"/>
          <w:highlight w:val="none"/>
        </w:rPr>
        <w:t>(¥</w:t>
      </w:r>
      <w:bookmarkStart w:id="462" w:name="SOA_hhxys_gczgjxx"/>
      <w:r>
        <w:rPr>
          <w:rFonts w:hint="eastAsia" w:ascii="宋体" w:hAnsi="宋体" w:cs="宋体"/>
          <w:snapToGrid w:val="0"/>
          <w:color w:val="auto"/>
          <w:kern w:val="0"/>
          <w:sz w:val="24"/>
          <w:highlight w:val="none"/>
          <w:u w:val="single"/>
        </w:rPr>
        <w:t xml:space="preserve">       </w:t>
      </w:r>
      <w:bookmarkEnd w:id="462"/>
      <w:r>
        <w:rPr>
          <w:rFonts w:hint="eastAsia" w:ascii="宋体" w:hAnsi="宋体" w:cs="宋体"/>
          <w:snapToGrid w:val="0"/>
          <w:color w:val="auto"/>
          <w:kern w:val="0"/>
          <w:sz w:val="24"/>
          <w:highlight w:val="none"/>
        </w:rPr>
        <w:t>元)；</w:t>
      </w:r>
    </w:p>
    <w:p w14:paraId="50F32254">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（4）暂列金额：</w:t>
      </w:r>
    </w:p>
    <w:p w14:paraId="4410D7AD">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63" w:name="SOA_hhxys_zljedx"/>
      <w:r>
        <w:rPr>
          <w:rFonts w:hint="eastAsia" w:ascii="宋体" w:hAnsi="宋体" w:cs="宋体"/>
          <w:snapToGrid w:val="0"/>
          <w:color w:val="auto"/>
          <w:kern w:val="0"/>
          <w:sz w:val="24"/>
          <w:highlight w:val="none"/>
          <w:u w:val="single"/>
        </w:rPr>
        <w:t xml:space="preserve">       </w:t>
      </w:r>
      <w:bookmarkEnd w:id="463"/>
      <w:r>
        <w:rPr>
          <w:rFonts w:hint="eastAsia" w:ascii="宋体" w:hAnsi="宋体" w:cs="宋体"/>
          <w:snapToGrid w:val="0"/>
          <w:color w:val="auto"/>
          <w:kern w:val="0"/>
          <w:sz w:val="24"/>
          <w:highlight w:val="none"/>
        </w:rPr>
        <w:t>(¥</w:t>
      </w:r>
      <w:bookmarkStart w:id="464" w:name="SOA_hhxys_zljexx"/>
      <w:r>
        <w:rPr>
          <w:rFonts w:hint="eastAsia" w:ascii="宋体" w:hAnsi="宋体" w:cs="宋体"/>
          <w:snapToGrid w:val="0"/>
          <w:color w:val="auto"/>
          <w:kern w:val="0"/>
          <w:sz w:val="24"/>
          <w:highlight w:val="none"/>
          <w:u w:val="single"/>
        </w:rPr>
        <w:t xml:space="preserve">        </w:t>
      </w:r>
      <w:bookmarkEnd w:id="464"/>
      <w:r>
        <w:rPr>
          <w:rFonts w:hint="eastAsia" w:ascii="宋体" w:hAnsi="宋体" w:cs="宋体"/>
          <w:snapToGrid w:val="0"/>
          <w:color w:val="auto"/>
          <w:kern w:val="0"/>
          <w:sz w:val="24"/>
          <w:highlight w:val="none"/>
        </w:rPr>
        <w:t>元)。</w:t>
      </w:r>
    </w:p>
    <w:p w14:paraId="4E921770">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2.合同价格形式：</w:t>
      </w:r>
      <w:r>
        <w:rPr>
          <w:rFonts w:hint="eastAsia" w:ascii="宋体" w:hAnsi="宋体" w:cs="宋体"/>
          <w:snapToGrid w:val="0"/>
          <w:color w:val="auto"/>
          <w:kern w:val="0"/>
          <w:sz w:val="24"/>
          <w:highlight w:val="none"/>
          <w:u w:val="single"/>
        </w:rPr>
        <w:t></w:t>
      </w:r>
      <w:bookmarkStart w:id="465" w:name="SOA_hhxys_htjgxs"/>
      <w:r>
        <w:rPr>
          <w:rFonts w:hint="eastAsia" w:ascii="宋体" w:hAnsi="宋体" w:cs="宋体"/>
          <w:snapToGrid w:val="0"/>
          <w:color w:val="auto"/>
          <w:kern w:val="0"/>
          <w:sz w:val="24"/>
          <w:highlight w:val="none"/>
          <w:u w:val="single"/>
        </w:rPr>
        <w:t xml:space="preserve">  </w:t>
      </w:r>
      <w:bookmarkEnd w:id="465"/>
      <w:r>
        <w:rPr>
          <w:rFonts w:hint="eastAsia" w:ascii="宋体" w:hAnsi="宋体" w:cs="宋体"/>
          <w:snapToGrid w:val="0"/>
          <w:color w:val="auto"/>
          <w:kern w:val="0"/>
          <w:sz w:val="24"/>
          <w:highlight w:val="none"/>
          <w:u w:val="single"/>
        </w:rPr>
        <w:t xml:space="preserve">      </w:t>
      </w:r>
      <w:r>
        <w:rPr>
          <w:rFonts w:hint="eastAsia" w:ascii="宋体" w:hAnsi="宋体" w:cs="宋体"/>
          <w:snapToGrid w:val="0"/>
          <w:color w:val="auto"/>
          <w:kern w:val="0"/>
          <w:sz w:val="24"/>
          <w:highlight w:val="none"/>
        </w:rPr>
        <w:t>。</w:t>
      </w:r>
    </w:p>
    <w:p w14:paraId="647833BA">
      <w:pPr>
        <w:snapToGrid w:val="0"/>
        <w:spacing w:line="360" w:lineRule="auto"/>
        <w:outlineLvl w:val="1"/>
        <w:rPr>
          <w:rFonts w:ascii="宋体" w:hAnsi="宋体" w:cs="宋体"/>
          <w:b/>
          <w:bCs/>
          <w:snapToGrid w:val="0"/>
          <w:color w:val="auto"/>
          <w:kern w:val="0"/>
          <w:sz w:val="24"/>
          <w:highlight w:val="none"/>
        </w:rPr>
      </w:pPr>
      <w:bookmarkStart w:id="466" w:name="_Toc97299502"/>
      <w:bookmarkStart w:id="467" w:name="_Toc361220414"/>
      <w:bookmarkStart w:id="468" w:name="_Toc12786"/>
      <w:r>
        <w:rPr>
          <w:rFonts w:hint="eastAsia" w:ascii="宋体" w:hAnsi="宋体" w:cs="宋体"/>
          <w:b/>
          <w:bCs/>
          <w:snapToGrid w:val="0"/>
          <w:color w:val="auto"/>
          <w:kern w:val="0"/>
          <w:sz w:val="24"/>
          <w:highlight w:val="none"/>
        </w:rPr>
        <w:t>五、项目经理</w:t>
      </w:r>
      <w:bookmarkEnd w:id="466"/>
      <w:bookmarkEnd w:id="467"/>
      <w:bookmarkEnd w:id="468"/>
    </w:p>
    <w:p w14:paraId="2E684263">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承包人项目经理：</w:t>
      </w:r>
      <w:r>
        <w:rPr>
          <w:rFonts w:hint="eastAsia" w:ascii="宋体" w:hAnsi="宋体" w:cs="宋体"/>
          <w:snapToGrid w:val="0"/>
          <w:color w:val="auto"/>
          <w:kern w:val="0"/>
          <w:sz w:val="24"/>
          <w:highlight w:val="none"/>
          <w:u w:val="single"/>
        </w:rPr>
        <w:t></w:t>
      </w:r>
      <w:bookmarkStart w:id="469" w:name="SOA_hhxys_cbrxmjl"/>
      <w:r>
        <w:rPr>
          <w:rFonts w:hint="eastAsia" w:ascii="宋体" w:hAnsi="宋体" w:cs="宋体"/>
          <w:snapToGrid w:val="0"/>
          <w:color w:val="auto"/>
          <w:kern w:val="0"/>
          <w:sz w:val="24"/>
          <w:highlight w:val="none"/>
          <w:u w:val="single"/>
        </w:rPr>
        <w:t xml:space="preserve">        </w:t>
      </w:r>
      <w:bookmarkEnd w:id="469"/>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77580C06">
      <w:pPr>
        <w:snapToGrid w:val="0"/>
        <w:spacing w:line="360" w:lineRule="auto"/>
        <w:outlineLvl w:val="1"/>
        <w:rPr>
          <w:rFonts w:ascii="宋体" w:hAnsi="宋体" w:cs="宋体"/>
          <w:b/>
          <w:bCs/>
          <w:snapToGrid w:val="0"/>
          <w:color w:val="auto"/>
          <w:kern w:val="0"/>
          <w:sz w:val="24"/>
          <w:highlight w:val="none"/>
        </w:rPr>
      </w:pPr>
      <w:bookmarkStart w:id="470" w:name="_Toc97299503"/>
      <w:bookmarkStart w:id="471" w:name="_Toc361220415"/>
      <w:bookmarkStart w:id="472" w:name="_Toc26153"/>
      <w:r>
        <w:rPr>
          <w:rFonts w:hint="eastAsia" w:ascii="宋体" w:hAnsi="宋体" w:cs="宋体"/>
          <w:b/>
          <w:bCs/>
          <w:snapToGrid w:val="0"/>
          <w:color w:val="auto"/>
          <w:kern w:val="0"/>
          <w:sz w:val="24"/>
          <w:highlight w:val="none"/>
        </w:rPr>
        <w:t>六、合同文件构成</w:t>
      </w:r>
      <w:bookmarkEnd w:id="470"/>
      <w:bookmarkEnd w:id="471"/>
      <w:bookmarkEnd w:id="472"/>
    </w:p>
    <w:p w14:paraId="699CDE21">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本协议书与下列文件一起构成合同文件：</w:t>
      </w:r>
    </w:p>
    <w:p w14:paraId="676917BB">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（1）成交通知书（如果有）；</w:t>
      </w:r>
    </w:p>
    <w:p w14:paraId="13B803B6">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（2）响应函及其附录（如果有）； </w:t>
      </w:r>
    </w:p>
    <w:p w14:paraId="3DB120DD">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（3）专用合同条款及其附件；</w:t>
      </w:r>
    </w:p>
    <w:p w14:paraId="687832DC">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（4）通用合同条款；</w:t>
      </w:r>
    </w:p>
    <w:p w14:paraId="22F1E02B">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（5）技术标准和要求；</w:t>
      </w:r>
    </w:p>
    <w:p w14:paraId="71B0D731">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（6）图纸；</w:t>
      </w:r>
    </w:p>
    <w:p w14:paraId="30C3E315">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（7）已标价工程量清单或预算书；</w:t>
      </w:r>
    </w:p>
    <w:p w14:paraId="4ACA2F80">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（8）其他合同文件。</w:t>
      </w:r>
    </w:p>
    <w:p w14:paraId="613D77D1">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在合同订立及履行过程中形成的与合同有关的文件均构成合同文件组成部分。</w:t>
      </w:r>
    </w:p>
    <w:p w14:paraId="63B95A28">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上述各项合同文件包括合同当事人就该项合同文件所作出的补充和修改，属于同一类内容的文件，应以最新签署的为准。专用合同条款及其附件须经合同当事人签字或盖章。</w:t>
      </w:r>
    </w:p>
    <w:p w14:paraId="354AF26E">
      <w:pPr>
        <w:snapToGrid w:val="0"/>
        <w:spacing w:line="360" w:lineRule="auto"/>
        <w:outlineLvl w:val="1"/>
        <w:rPr>
          <w:rFonts w:ascii="宋体" w:hAnsi="宋体" w:cs="宋体"/>
          <w:b/>
          <w:bCs/>
          <w:snapToGrid w:val="0"/>
          <w:color w:val="auto"/>
          <w:kern w:val="0"/>
          <w:sz w:val="24"/>
          <w:highlight w:val="none"/>
        </w:rPr>
      </w:pPr>
      <w:bookmarkStart w:id="473" w:name="_Toc97299504"/>
      <w:bookmarkStart w:id="474" w:name="_Toc10028"/>
      <w:bookmarkStart w:id="475" w:name="_Toc361220416"/>
      <w:r>
        <w:rPr>
          <w:rFonts w:hint="eastAsia" w:ascii="宋体" w:hAnsi="宋体" w:cs="宋体"/>
          <w:b/>
          <w:bCs/>
          <w:snapToGrid w:val="0"/>
          <w:color w:val="auto"/>
          <w:kern w:val="0"/>
          <w:sz w:val="24"/>
          <w:highlight w:val="none"/>
        </w:rPr>
        <w:t>七、承诺</w:t>
      </w:r>
      <w:bookmarkEnd w:id="473"/>
      <w:bookmarkEnd w:id="474"/>
      <w:bookmarkEnd w:id="475"/>
    </w:p>
    <w:p w14:paraId="15196A20">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1.发包人承诺按照法律规定履行项目审批手续、筹集工程建设资金并按照合同约定的期限和方式支付合同价款。</w:t>
      </w:r>
    </w:p>
    <w:p w14:paraId="23266E69">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2.承包人承诺按照法律规定及合同约定组织完成工程施工，确保工程质量和安全，不进行转包及违法分包，并在缺陷责任期及保修期内承担相应的工程维修责任。</w:t>
      </w:r>
    </w:p>
    <w:p w14:paraId="2F30C51E">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3.发包人和承包人通过</w:t>
      </w:r>
      <w:r>
        <w:rPr>
          <w:rFonts w:hint="eastAsia"/>
          <w:color w:val="auto"/>
          <w:highlight w:val="none"/>
        </w:rPr>
        <w:t>政府采购</w:t>
      </w:r>
      <w:r>
        <w:rPr>
          <w:rFonts w:hint="eastAsia" w:ascii="宋体" w:hAnsi="宋体" w:cs="宋体"/>
          <w:bCs/>
          <w:snapToGrid w:val="0"/>
          <w:color w:val="auto"/>
          <w:kern w:val="0"/>
          <w:sz w:val="24"/>
          <w:highlight w:val="none"/>
        </w:rPr>
        <w:t>形式签订合同的，双方理解并承诺不再就同一工程另行签订与合同实质性内容相背离的协议。</w:t>
      </w:r>
    </w:p>
    <w:p w14:paraId="176247B1">
      <w:pPr>
        <w:snapToGrid w:val="0"/>
        <w:spacing w:line="360" w:lineRule="auto"/>
        <w:outlineLvl w:val="1"/>
        <w:rPr>
          <w:rFonts w:ascii="宋体" w:hAnsi="宋体" w:cs="宋体"/>
          <w:b/>
          <w:bCs/>
          <w:snapToGrid w:val="0"/>
          <w:color w:val="auto"/>
          <w:kern w:val="0"/>
          <w:sz w:val="24"/>
          <w:highlight w:val="none"/>
        </w:rPr>
      </w:pPr>
      <w:bookmarkStart w:id="476" w:name="_Toc361220417"/>
      <w:bookmarkStart w:id="477" w:name="_Toc97299505"/>
      <w:bookmarkStart w:id="478" w:name="_Toc31451"/>
      <w:r>
        <w:rPr>
          <w:rFonts w:hint="eastAsia" w:ascii="宋体" w:hAnsi="宋体" w:cs="宋体"/>
          <w:b/>
          <w:bCs/>
          <w:snapToGrid w:val="0"/>
          <w:color w:val="auto"/>
          <w:kern w:val="0"/>
          <w:sz w:val="24"/>
          <w:highlight w:val="none"/>
        </w:rPr>
        <w:t>八、词语含义</w:t>
      </w:r>
      <w:bookmarkEnd w:id="476"/>
      <w:bookmarkEnd w:id="477"/>
      <w:bookmarkEnd w:id="478"/>
    </w:p>
    <w:p w14:paraId="168EBA7D">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本协议书中词语含义与第二部分通用合同条款中赋予的含义相同。</w:t>
      </w:r>
    </w:p>
    <w:p w14:paraId="1587AC04">
      <w:pPr>
        <w:snapToGrid w:val="0"/>
        <w:spacing w:line="360" w:lineRule="auto"/>
        <w:outlineLvl w:val="1"/>
        <w:rPr>
          <w:rFonts w:ascii="宋体" w:hAnsi="宋体" w:cs="宋体"/>
          <w:b/>
          <w:bCs/>
          <w:snapToGrid w:val="0"/>
          <w:color w:val="auto"/>
          <w:kern w:val="0"/>
          <w:sz w:val="24"/>
          <w:highlight w:val="none"/>
        </w:rPr>
      </w:pPr>
      <w:bookmarkStart w:id="479" w:name="_Toc361220418"/>
      <w:bookmarkStart w:id="480" w:name="_Toc27800"/>
      <w:bookmarkStart w:id="481" w:name="_Toc97299506"/>
      <w:r>
        <w:rPr>
          <w:rFonts w:hint="eastAsia" w:ascii="宋体" w:hAnsi="宋体" w:cs="宋体"/>
          <w:b/>
          <w:bCs/>
          <w:snapToGrid w:val="0"/>
          <w:color w:val="auto"/>
          <w:kern w:val="0"/>
          <w:sz w:val="24"/>
          <w:highlight w:val="none"/>
        </w:rPr>
        <w:t>九、签订时间</w:t>
      </w:r>
      <w:bookmarkEnd w:id="479"/>
      <w:bookmarkEnd w:id="480"/>
      <w:bookmarkEnd w:id="481"/>
    </w:p>
    <w:p w14:paraId="17E1E4B8">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本合同于</w:t>
      </w:r>
      <w:bookmarkStart w:id="482" w:name="SOA_hhxys_htqdn"/>
      <w:r>
        <w:rPr>
          <w:rFonts w:hint="eastAsia" w:ascii="宋体" w:hAnsi="宋体" w:cs="宋体"/>
          <w:bCs/>
          <w:snapToGrid w:val="0"/>
          <w:color w:val="auto"/>
          <w:kern w:val="0"/>
          <w:sz w:val="24"/>
          <w:highlight w:val="none"/>
          <w:u w:val="single"/>
        </w:rPr>
        <w:t xml:space="preserve">      </w:t>
      </w:r>
      <w:bookmarkEnd w:id="482"/>
      <w:r>
        <w:rPr>
          <w:rFonts w:hint="eastAsia" w:ascii="宋体" w:hAnsi="宋体" w:cs="宋体"/>
          <w:bCs/>
          <w:snapToGrid w:val="0"/>
          <w:color w:val="auto"/>
          <w:kern w:val="0"/>
          <w:sz w:val="24"/>
          <w:highlight w:val="none"/>
        </w:rPr>
        <w:t>年</w:t>
      </w:r>
      <w:bookmarkStart w:id="483" w:name="SOA_hhxys_htqdy"/>
      <w:r>
        <w:rPr>
          <w:rFonts w:hint="eastAsia" w:ascii="宋体" w:hAnsi="宋体" w:cs="宋体"/>
          <w:bCs/>
          <w:snapToGrid w:val="0"/>
          <w:color w:val="auto"/>
          <w:kern w:val="0"/>
          <w:sz w:val="24"/>
          <w:highlight w:val="none"/>
          <w:u w:val="single"/>
        </w:rPr>
        <w:t xml:space="preserve">      </w:t>
      </w:r>
      <w:bookmarkEnd w:id="483"/>
      <w:r>
        <w:rPr>
          <w:rFonts w:hint="eastAsia" w:ascii="宋体" w:hAnsi="宋体" w:cs="宋体"/>
          <w:bCs/>
          <w:snapToGrid w:val="0"/>
          <w:color w:val="auto"/>
          <w:kern w:val="0"/>
          <w:sz w:val="24"/>
          <w:highlight w:val="none"/>
        </w:rPr>
        <w:t>月</w:t>
      </w:r>
      <w:bookmarkStart w:id="484" w:name="SOA_hhxys_htqdr"/>
      <w:r>
        <w:rPr>
          <w:rFonts w:hint="eastAsia" w:ascii="宋体" w:hAnsi="宋体" w:cs="宋体"/>
          <w:bCs/>
          <w:snapToGrid w:val="0"/>
          <w:color w:val="auto"/>
          <w:kern w:val="0"/>
          <w:sz w:val="24"/>
          <w:highlight w:val="none"/>
          <w:u w:val="single"/>
        </w:rPr>
        <w:t xml:space="preserve">      </w:t>
      </w:r>
      <w:bookmarkEnd w:id="484"/>
      <w:r>
        <w:rPr>
          <w:rFonts w:hint="eastAsia" w:ascii="宋体" w:hAnsi="宋体" w:cs="宋体"/>
          <w:bCs/>
          <w:snapToGrid w:val="0"/>
          <w:color w:val="auto"/>
          <w:kern w:val="0"/>
          <w:sz w:val="24"/>
          <w:highlight w:val="none"/>
        </w:rPr>
        <w:t>日签订。</w:t>
      </w:r>
    </w:p>
    <w:p w14:paraId="2BBC751F">
      <w:pPr>
        <w:snapToGrid w:val="0"/>
        <w:spacing w:line="360" w:lineRule="auto"/>
        <w:outlineLvl w:val="1"/>
        <w:rPr>
          <w:rFonts w:ascii="宋体" w:hAnsi="宋体" w:cs="宋体"/>
          <w:b/>
          <w:bCs/>
          <w:snapToGrid w:val="0"/>
          <w:color w:val="auto"/>
          <w:kern w:val="0"/>
          <w:sz w:val="24"/>
          <w:highlight w:val="none"/>
        </w:rPr>
      </w:pPr>
      <w:bookmarkStart w:id="485" w:name="_Toc97299507"/>
      <w:bookmarkStart w:id="486" w:name="_Toc32307"/>
      <w:bookmarkStart w:id="487" w:name="_Toc361220419"/>
      <w:r>
        <w:rPr>
          <w:rFonts w:hint="eastAsia" w:ascii="宋体" w:hAnsi="宋体" w:cs="宋体"/>
          <w:b/>
          <w:bCs/>
          <w:snapToGrid w:val="0"/>
          <w:color w:val="auto"/>
          <w:kern w:val="0"/>
          <w:sz w:val="24"/>
          <w:highlight w:val="none"/>
        </w:rPr>
        <w:t>十、签订地点</w:t>
      </w:r>
      <w:bookmarkEnd w:id="485"/>
      <w:bookmarkEnd w:id="486"/>
      <w:bookmarkEnd w:id="487"/>
    </w:p>
    <w:p w14:paraId="574AECC0">
      <w:pPr>
        <w:snapToGrid w:val="0"/>
        <w:spacing w:line="360" w:lineRule="auto"/>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 xml:space="preserve">    本合同在</w:t>
      </w:r>
      <w:r>
        <w:rPr>
          <w:rFonts w:hint="eastAsia" w:ascii="宋体" w:hAnsi="宋体" w:cs="宋体"/>
          <w:bCs/>
          <w:snapToGrid w:val="0"/>
          <w:color w:val="auto"/>
          <w:kern w:val="0"/>
          <w:sz w:val="24"/>
          <w:highlight w:val="none"/>
          <w:u w:val="single"/>
        </w:rPr>
        <w:t xml:space="preserve">   </w:t>
      </w:r>
      <w:bookmarkStart w:id="488" w:name="SOA_zyht_htqddd"/>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u w:val="single"/>
          <w:lang w:val="en-US" w:eastAsia="zh-CN"/>
        </w:rPr>
        <w:t>宁波</w:t>
      </w:r>
      <w:r>
        <w:rPr>
          <w:rFonts w:hint="eastAsia" w:ascii="宋体" w:hAnsi="宋体" w:cs="宋体"/>
          <w:bCs/>
          <w:snapToGrid w:val="0"/>
          <w:color w:val="auto"/>
          <w:kern w:val="0"/>
          <w:sz w:val="24"/>
          <w:highlight w:val="none"/>
          <w:u w:val="single"/>
        </w:rPr>
        <w:t xml:space="preserve">   </w:t>
      </w:r>
      <w:bookmarkEnd w:id="488"/>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签订。</w:t>
      </w:r>
    </w:p>
    <w:p w14:paraId="4F93C892">
      <w:pPr>
        <w:snapToGrid w:val="0"/>
        <w:spacing w:line="360" w:lineRule="auto"/>
        <w:outlineLvl w:val="1"/>
        <w:rPr>
          <w:rFonts w:ascii="宋体" w:hAnsi="宋体" w:cs="宋体"/>
          <w:b/>
          <w:bCs/>
          <w:snapToGrid w:val="0"/>
          <w:color w:val="auto"/>
          <w:kern w:val="0"/>
          <w:sz w:val="24"/>
          <w:highlight w:val="none"/>
        </w:rPr>
      </w:pPr>
      <w:bookmarkStart w:id="489" w:name="_Toc97299508"/>
      <w:bookmarkStart w:id="490" w:name="_Toc361220420"/>
      <w:bookmarkStart w:id="491" w:name="_Toc19801"/>
      <w:r>
        <w:rPr>
          <w:rFonts w:hint="eastAsia" w:ascii="宋体" w:hAnsi="宋体" w:cs="宋体"/>
          <w:b/>
          <w:bCs/>
          <w:snapToGrid w:val="0"/>
          <w:color w:val="auto"/>
          <w:kern w:val="0"/>
          <w:sz w:val="24"/>
          <w:highlight w:val="none"/>
        </w:rPr>
        <w:t>十一、补充协议</w:t>
      </w:r>
      <w:bookmarkEnd w:id="489"/>
      <w:bookmarkEnd w:id="490"/>
      <w:bookmarkEnd w:id="491"/>
    </w:p>
    <w:p w14:paraId="1F1CD642">
      <w:pPr>
        <w:snapToGrid w:val="0"/>
        <w:spacing w:line="360" w:lineRule="auto"/>
        <w:ind w:firstLine="480" w:firstLineChars="200"/>
        <w:rPr>
          <w:rFonts w:ascii="宋体" w:hAnsi="宋体" w:cs="宋体"/>
          <w:b/>
          <w:bCs/>
          <w:snapToGrid w:val="0"/>
          <w:color w:val="auto"/>
          <w:kern w:val="0"/>
          <w:sz w:val="24"/>
          <w:highlight w:val="none"/>
        </w:rPr>
      </w:pPr>
      <w:r>
        <w:rPr>
          <w:rFonts w:hint="eastAsia" w:ascii="宋体" w:hAnsi="宋体" w:cs="宋体"/>
          <w:bCs/>
          <w:snapToGrid w:val="0"/>
          <w:color w:val="auto"/>
          <w:kern w:val="0"/>
          <w:sz w:val="24"/>
          <w:highlight w:val="none"/>
        </w:rPr>
        <w:t>合同未尽事宜，合同当事人另行签订补充协议，补充协议是合同的组成部分。</w:t>
      </w:r>
    </w:p>
    <w:p w14:paraId="08662500">
      <w:pPr>
        <w:snapToGrid w:val="0"/>
        <w:spacing w:line="360" w:lineRule="auto"/>
        <w:outlineLvl w:val="1"/>
        <w:rPr>
          <w:rFonts w:ascii="宋体" w:hAnsi="宋体" w:cs="宋体"/>
          <w:b/>
          <w:bCs/>
          <w:snapToGrid w:val="0"/>
          <w:color w:val="auto"/>
          <w:kern w:val="0"/>
          <w:sz w:val="24"/>
          <w:highlight w:val="none"/>
        </w:rPr>
      </w:pPr>
      <w:bookmarkStart w:id="492" w:name="_Toc97299509"/>
      <w:bookmarkStart w:id="493" w:name="_Toc361220421"/>
      <w:bookmarkStart w:id="494" w:name="_Toc27318"/>
      <w:r>
        <w:rPr>
          <w:rFonts w:hint="eastAsia" w:ascii="宋体" w:hAnsi="宋体" w:cs="宋体"/>
          <w:b/>
          <w:bCs/>
          <w:snapToGrid w:val="0"/>
          <w:color w:val="auto"/>
          <w:kern w:val="0"/>
          <w:sz w:val="24"/>
          <w:highlight w:val="none"/>
        </w:rPr>
        <w:t>十二、合同生效</w:t>
      </w:r>
      <w:bookmarkEnd w:id="492"/>
      <w:bookmarkEnd w:id="493"/>
      <w:bookmarkEnd w:id="494"/>
    </w:p>
    <w:p w14:paraId="7586FABF">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本合同自</w:t>
      </w:r>
      <w:r>
        <w:rPr>
          <w:rFonts w:hint="eastAsia" w:ascii="宋体" w:hAnsi="宋体" w:cs="宋体"/>
          <w:bCs/>
          <w:snapToGrid w:val="0"/>
          <w:color w:val="auto"/>
          <w:kern w:val="0"/>
          <w:sz w:val="24"/>
          <w:highlight w:val="none"/>
          <w:u w:val="single"/>
        </w:rPr>
        <w:t xml:space="preserve">  </w:t>
      </w:r>
      <w:bookmarkStart w:id="495" w:name="SOA_hhxys_htsx"/>
      <w:r>
        <w:rPr>
          <w:rFonts w:hint="eastAsia" w:ascii="宋体" w:hAnsi="宋体" w:cs="宋体"/>
          <w:bCs/>
          <w:snapToGrid w:val="0"/>
          <w:color w:val="auto"/>
          <w:kern w:val="0"/>
          <w:sz w:val="24"/>
          <w:highlight w:val="none"/>
          <w:u w:val="single"/>
        </w:rPr>
        <w:t xml:space="preserve">  </w:t>
      </w:r>
      <w:r>
        <w:rPr>
          <w:rFonts w:hint="eastAsia" w:ascii="宋体" w:hAnsi="宋体" w:cs="宋体"/>
          <w:b/>
          <w:bCs/>
          <w:snapToGrid w:val="0"/>
          <w:color w:val="auto"/>
          <w:kern w:val="0"/>
          <w:sz w:val="24"/>
          <w:highlight w:val="none"/>
          <w:u w:val="single"/>
        </w:rPr>
        <w:t xml:space="preserve">   </w:t>
      </w:r>
      <w:r>
        <w:rPr>
          <w:rFonts w:hint="eastAsia" w:ascii="宋体" w:hAnsi="宋体" w:cs="宋体"/>
          <w:bCs/>
          <w:snapToGrid w:val="0"/>
          <w:color w:val="auto"/>
          <w:kern w:val="0"/>
          <w:sz w:val="24"/>
          <w:highlight w:val="none"/>
          <w:u w:val="single"/>
        </w:rPr>
        <w:t xml:space="preserve">   </w:t>
      </w:r>
      <w:bookmarkEnd w:id="495"/>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生效。</w:t>
      </w:r>
    </w:p>
    <w:p w14:paraId="581D2301">
      <w:pPr>
        <w:snapToGrid w:val="0"/>
        <w:spacing w:line="360" w:lineRule="auto"/>
        <w:outlineLvl w:val="1"/>
        <w:rPr>
          <w:rFonts w:ascii="宋体" w:hAnsi="宋体" w:cs="宋体"/>
          <w:b/>
          <w:bCs/>
          <w:snapToGrid w:val="0"/>
          <w:color w:val="auto"/>
          <w:kern w:val="0"/>
          <w:sz w:val="24"/>
          <w:highlight w:val="none"/>
        </w:rPr>
      </w:pPr>
      <w:bookmarkStart w:id="496" w:name="_Toc28195"/>
      <w:bookmarkStart w:id="497" w:name="_Toc97299510"/>
      <w:bookmarkStart w:id="498" w:name="_Toc361220422"/>
      <w:r>
        <w:rPr>
          <w:rFonts w:hint="eastAsia" w:ascii="宋体" w:hAnsi="宋体" w:cs="宋体"/>
          <w:b/>
          <w:bCs/>
          <w:snapToGrid w:val="0"/>
          <w:color w:val="auto"/>
          <w:kern w:val="0"/>
          <w:sz w:val="24"/>
          <w:highlight w:val="none"/>
        </w:rPr>
        <w:t>十三、合同份数</w:t>
      </w:r>
      <w:bookmarkEnd w:id="496"/>
      <w:bookmarkEnd w:id="497"/>
      <w:bookmarkEnd w:id="498"/>
    </w:p>
    <w:p w14:paraId="33AB9367">
      <w:pPr>
        <w:snapToGrid w:val="0"/>
        <w:spacing w:line="360" w:lineRule="auto"/>
        <w:ind w:left="210" w:leftChars="100" w:firstLine="240" w:firstLineChars="1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本合同一式</w:t>
      </w:r>
      <w:r>
        <w:rPr>
          <w:rFonts w:hint="eastAsia" w:ascii="宋体" w:hAnsi="宋体" w:cs="宋体"/>
          <w:b/>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份，均具有同等法律效力，发包人执</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份，承包人执</w:t>
      </w:r>
      <w:r>
        <w:rPr>
          <w:rFonts w:hint="eastAsia" w:ascii="宋体" w:hAnsi="宋体" w:cs="宋体"/>
          <w:b/>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w:t>
      </w:r>
    </w:p>
    <w:p w14:paraId="3E39A100">
      <w:pPr>
        <w:snapToGrid w:val="0"/>
        <w:spacing w:line="360" w:lineRule="auto"/>
        <w:ind w:firstLine="480" w:firstLineChars="200"/>
        <w:rPr>
          <w:rFonts w:ascii="宋体" w:hAnsi="宋体" w:cs="宋体"/>
          <w:snapToGrid w:val="0"/>
          <w:color w:val="auto"/>
          <w:kern w:val="0"/>
          <w:sz w:val="24"/>
          <w:highlight w:val="none"/>
        </w:rPr>
      </w:pPr>
    </w:p>
    <w:p w14:paraId="6D8DC4E4">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发包人：  (公章)</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承包人：  (公章)</w:t>
      </w:r>
    </w:p>
    <w:p w14:paraId="15595521">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snapToGrid w:val="0"/>
          <w:color w:val="auto"/>
          <w:kern w:val="0"/>
          <w:sz w:val="24"/>
          <w:highlight w:val="none"/>
        </w:rPr>
        <w:t>法定代表人或其委托代理人：</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法定代表人或其委托代理人：</w:t>
      </w:r>
    </w:p>
    <w:p w14:paraId="6796A45D">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（签字）</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（签字）</w:t>
      </w:r>
    </w:p>
    <w:p w14:paraId="108DB5FF">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组织机构代码：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组织机构代码：</w:t>
      </w:r>
      <w:bookmarkStart w:id="499" w:name="SOA_hhxys_zjjgdm1"/>
      <w:r>
        <w:rPr>
          <w:rFonts w:hint="eastAsia" w:ascii="宋体" w:hAnsi="宋体" w:cs="宋体"/>
          <w:snapToGrid w:val="0"/>
          <w:color w:val="auto"/>
          <w:kern w:val="0"/>
          <w:sz w:val="24"/>
          <w:highlight w:val="none"/>
          <w:u w:val="single"/>
        </w:rPr>
        <w:t xml:space="preserve">      </w:t>
      </w:r>
      <w:bookmarkEnd w:id="499"/>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775C9251">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2EA49B91">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邮政编码：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邮政编码：</w:t>
      </w:r>
      <w:bookmarkStart w:id="500" w:name="SOA_hhxys_cbryb"/>
      <w:r>
        <w:rPr>
          <w:rFonts w:hint="eastAsia" w:ascii="宋体" w:hAnsi="宋体" w:cs="宋体"/>
          <w:snapToGrid w:val="0"/>
          <w:color w:val="auto"/>
          <w:kern w:val="0"/>
          <w:sz w:val="24"/>
          <w:highlight w:val="none"/>
          <w:u w:val="single"/>
        </w:rPr>
        <w:t xml:space="preserve">             </w:t>
      </w:r>
      <w:bookmarkEnd w:id="500"/>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74C0F860">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法定代表人：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法定代表人：</w:t>
      </w:r>
      <w:bookmarkStart w:id="501" w:name="SOA_hhxys_fddbr1"/>
      <w:r>
        <w:rPr>
          <w:rFonts w:hint="eastAsia" w:ascii="宋体" w:hAnsi="宋体" w:cs="宋体"/>
          <w:snapToGrid w:val="0"/>
          <w:color w:val="auto"/>
          <w:kern w:val="0"/>
          <w:sz w:val="24"/>
          <w:highlight w:val="none"/>
          <w:u w:val="single"/>
        </w:rPr>
        <w:t xml:space="preserve">     </w:t>
      </w:r>
      <w:bookmarkEnd w:id="501"/>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5E441655">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委托代理人：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委托代理人：</w:t>
      </w:r>
      <w:bookmarkStart w:id="502" w:name="SOA_hhxys_wtdlr1"/>
      <w:r>
        <w:rPr>
          <w:rFonts w:hint="eastAsia" w:ascii="宋体" w:hAnsi="宋体" w:cs="宋体"/>
          <w:snapToGrid w:val="0"/>
          <w:color w:val="auto"/>
          <w:kern w:val="0"/>
          <w:sz w:val="24"/>
          <w:highlight w:val="none"/>
          <w:u w:val="single"/>
        </w:rPr>
        <w:t xml:space="preserve">    </w:t>
      </w:r>
      <w:bookmarkEnd w:id="502"/>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5A0CE6C3">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  话：</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  话：</w:t>
      </w:r>
      <w:bookmarkStart w:id="503" w:name="SOA_hhxys_cbrdh"/>
      <w:r>
        <w:rPr>
          <w:rFonts w:hint="eastAsia" w:ascii="宋体" w:hAnsi="宋体" w:cs="宋体"/>
          <w:snapToGrid w:val="0"/>
          <w:color w:val="auto"/>
          <w:kern w:val="0"/>
          <w:sz w:val="24"/>
          <w:highlight w:val="none"/>
          <w:u w:val="single"/>
        </w:rPr>
        <w:t xml:space="preserve">            </w:t>
      </w:r>
      <w:bookmarkEnd w:id="503"/>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52EA718D">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传  真：</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传  真：</w:t>
      </w:r>
      <w:bookmarkStart w:id="504" w:name="SOA_hhxys_cbrcz"/>
      <w:r>
        <w:rPr>
          <w:rFonts w:hint="eastAsia" w:ascii="宋体" w:hAnsi="宋体" w:cs="宋体"/>
          <w:snapToGrid w:val="0"/>
          <w:color w:val="auto"/>
          <w:kern w:val="0"/>
          <w:sz w:val="24"/>
          <w:highlight w:val="none"/>
          <w:u w:val="single"/>
        </w:rPr>
        <w:t xml:space="preserve">              </w:t>
      </w:r>
      <w:bookmarkEnd w:id="504"/>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04C45125">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电子信箱：</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电子信箱：</w:t>
      </w:r>
      <w:bookmarkStart w:id="505" w:name="SOA_hhxys_cbrdzxx"/>
      <w:r>
        <w:rPr>
          <w:rFonts w:hint="eastAsia" w:ascii="宋体" w:hAnsi="宋体" w:cs="宋体"/>
          <w:snapToGrid w:val="0"/>
          <w:color w:val="auto"/>
          <w:kern w:val="0"/>
          <w:sz w:val="24"/>
          <w:highlight w:val="none"/>
          <w:u w:val="single"/>
        </w:rPr>
        <w:t xml:space="preserve">      </w:t>
      </w:r>
      <w:bookmarkEnd w:id="505"/>
      <w:r>
        <w:rPr>
          <w:rFonts w:hint="eastAsia" w:ascii="宋体" w:hAnsi="宋体" w:cs="宋体"/>
          <w:snapToGrid w:val="0"/>
          <w:color w:val="auto"/>
          <w:kern w:val="0"/>
          <w:sz w:val="24"/>
          <w:highlight w:val="none"/>
          <w:u w:val="single"/>
        </w:rPr>
        <w:t xml:space="preserve">  </w:t>
      </w:r>
    </w:p>
    <w:p w14:paraId="09E6B73A">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 xml:space="preserve">                 </w:t>
      </w:r>
    </w:p>
    <w:p w14:paraId="3B52B445">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w:t>
      </w:r>
      <w:bookmarkStart w:id="506" w:name="SOA_hhxys_cbrzh"/>
      <w:r>
        <w:rPr>
          <w:rFonts w:hint="eastAsia" w:ascii="宋体" w:hAnsi="宋体" w:cs="宋体"/>
          <w:snapToGrid w:val="0"/>
          <w:color w:val="auto"/>
          <w:kern w:val="0"/>
          <w:sz w:val="24"/>
          <w:highlight w:val="none"/>
          <w:u w:val="single"/>
        </w:rPr>
        <w:t xml:space="preserve"> </w:t>
      </w:r>
      <w:bookmarkEnd w:id="506"/>
      <w:r>
        <w:rPr>
          <w:rFonts w:hint="eastAsia" w:ascii="宋体" w:hAnsi="宋体" w:cs="宋体"/>
          <w:snapToGrid w:val="0"/>
          <w:color w:val="auto"/>
          <w:kern w:val="0"/>
          <w:sz w:val="24"/>
          <w:highlight w:val="none"/>
          <w:u w:val="single"/>
        </w:rPr>
        <w:t xml:space="preserve">        </w:t>
      </w:r>
    </w:p>
    <w:p w14:paraId="7C60DB2A">
      <w:pPr>
        <w:keepNext/>
        <w:keepLines/>
        <w:numPr>
          <w:ilvl w:val="1"/>
          <w:numId w:val="0"/>
        </w:numPr>
        <w:spacing w:before="100" w:line="400" w:lineRule="exact"/>
        <w:jc w:val="center"/>
        <w:outlineLvl w:val="1"/>
        <w:rPr>
          <w:rFonts w:ascii="宋体" w:hAnsi="宋体" w:cs="宋体"/>
          <w:snapToGrid w:val="0"/>
          <w:color w:val="auto"/>
          <w:kern w:val="44"/>
          <w:sz w:val="28"/>
          <w:szCs w:val="20"/>
          <w:highlight w:val="none"/>
        </w:rPr>
      </w:pPr>
      <w:r>
        <w:rPr>
          <w:rFonts w:hint="eastAsia" w:ascii="宋体" w:hAnsi="宋体" w:cs="宋体"/>
          <w:snapToGrid w:val="0"/>
          <w:color w:val="auto"/>
          <w:kern w:val="0"/>
          <w:sz w:val="24"/>
          <w:highlight w:val="none"/>
        </w:rPr>
        <w:br w:type="page"/>
      </w:r>
      <w:bookmarkStart w:id="507" w:name="_Toc31640"/>
      <w:bookmarkStart w:id="508" w:name="_Toc7550"/>
      <w:bookmarkStart w:id="509" w:name="_Toc69485879"/>
      <w:bookmarkStart w:id="510" w:name="_Toc97299511"/>
      <w:r>
        <w:rPr>
          <w:rFonts w:hint="eastAsia" w:ascii="宋体" w:hAnsi="宋体" w:cs="宋体"/>
          <w:snapToGrid w:val="0"/>
          <w:color w:val="auto"/>
          <w:kern w:val="44"/>
          <w:sz w:val="28"/>
          <w:szCs w:val="20"/>
          <w:highlight w:val="none"/>
        </w:rPr>
        <w:t>第二部分  通用条款（略）</w:t>
      </w:r>
      <w:bookmarkEnd w:id="507"/>
      <w:bookmarkEnd w:id="508"/>
      <w:bookmarkEnd w:id="509"/>
      <w:bookmarkEnd w:id="510"/>
    </w:p>
    <w:p w14:paraId="575DC489">
      <w:pPr>
        <w:keepNext/>
        <w:keepLines/>
        <w:numPr>
          <w:ilvl w:val="1"/>
          <w:numId w:val="0"/>
        </w:numPr>
        <w:spacing w:before="100" w:line="400" w:lineRule="exact"/>
        <w:jc w:val="center"/>
        <w:outlineLvl w:val="1"/>
        <w:rPr>
          <w:rFonts w:ascii="宋体" w:hAnsi="宋体" w:cs="宋体"/>
          <w:snapToGrid w:val="0"/>
          <w:color w:val="auto"/>
          <w:kern w:val="44"/>
          <w:sz w:val="28"/>
          <w:szCs w:val="20"/>
          <w:highlight w:val="none"/>
        </w:rPr>
      </w:pPr>
      <w:bookmarkStart w:id="511" w:name="_Toc69485880"/>
      <w:bookmarkStart w:id="512" w:name="_Toc8278"/>
      <w:bookmarkStart w:id="513" w:name="_Toc97299512"/>
      <w:bookmarkStart w:id="514" w:name="_Toc15868"/>
      <w:r>
        <w:rPr>
          <w:rFonts w:hint="eastAsia" w:ascii="宋体" w:hAnsi="宋体" w:cs="宋体"/>
          <w:snapToGrid w:val="0"/>
          <w:color w:val="auto"/>
          <w:kern w:val="44"/>
          <w:sz w:val="28"/>
          <w:szCs w:val="20"/>
          <w:highlight w:val="none"/>
        </w:rPr>
        <w:t>第三部分  专用条款</w:t>
      </w:r>
      <w:bookmarkEnd w:id="511"/>
      <w:bookmarkEnd w:id="512"/>
      <w:bookmarkEnd w:id="513"/>
      <w:bookmarkEnd w:id="514"/>
    </w:p>
    <w:p w14:paraId="706B89BC">
      <w:pPr>
        <w:keepNext/>
        <w:numPr>
          <w:ilvl w:val="3"/>
          <w:numId w:val="0"/>
        </w:numPr>
        <w:tabs>
          <w:tab w:val="left" w:pos="864"/>
        </w:tabs>
        <w:snapToGrid w:val="0"/>
        <w:spacing w:line="360" w:lineRule="auto"/>
        <w:ind w:left="426" w:hanging="420"/>
        <w:outlineLvl w:val="3"/>
        <w:rPr>
          <w:rFonts w:ascii="宋体" w:hAnsi="宋体"/>
          <w:b/>
          <w:color w:val="auto"/>
          <w:szCs w:val="21"/>
          <w:highlight w:val="none"/>
        </w:rPr>
      </w:pPr>
      <w:bookmarkStart w:id="515" w:name="_Toc351203633"/>
      <w:r>
        <w:rPr>
          <w:rFonts w:hint="eastAsia" w:ascii="宋体" w:hAnsi="宋体"/>
          <w:b/>
          <w:color w:val="auto"/>
          <w:szCs w:val="21"/>
          <w:highlight w:val="none"/>
        </w:rPr>
        <w:t>1</w:t>
      </w:r>
      <w:bookmarkStart w:id="516" w:name="_Toc296503156"/>
      <w:bookmarkStart w:id="517" w:name="_Toc296346657"/>
      <w:bookmarkStart w:id="518" w:name="_Toc297048342"/>
      <w:bookmarkStart w:id="519" w:name="_Toc292559361"/>
      <w:bookmarkStart w:id="520" w:name="_Toc296891196"/>
      <w:bookmarkStart w:id="521" w:name="_Toc296347155"/>
      <w:bookmarkStart w:id="522" w:name="_Toc292559866"/>
      <w:bookmarkStart w:id="523" w:name="_Toc297120456"/>
      <w:bookmarkStart w:id="524" w:name="_Toc296944495"/>
      <w:bookmarkStart w:id="525" w:name="_Toc296890984"/>
      <w:r>
        <w:rPr>
          <w:rFonts w:hint="eastAsia" w:ascii="宋体" w:hAnsi="宋体"/>
          <w:b/>
          <w:color w:val="auto"/>
          <w:szCs w:val="21"/>
          <w:highlight w:val="none"/>
        </w:rPr>
        <w:t>. 一般约定</w:t>
      </w:r>
      <w:bookmarkEnd w:id="515"/>
    </w:p>
    <w:bookmarkEnd w:id="516"/>
    <w:bookmarkEnd w:id="517"/>
    <w:bookmarkEnd w:id="518"/>
    <w:bookmarkEnd w:id="519"/>
    <w:bookmarkEnd w:id="520"/>
    <w:bookmarkEnd w:id="521"/>
    <w:bookmarkEnd w:id="522"/>
    <w:bookmarkEnd w:id="523"/>
    <w:bookmarkEnd w:id="524"/>
    <w:bookmarkEnd w:id="525"/>
    <w:p w14:paraId="00A911B9">
      <w:pPr>
        <w:snapToGrid w:val="0"/>
        <w:spacing w:line="360" w:lineRule="auto"/>
        <w:ind w:firstLine="367" w:firstLineChars="175"/>
        <w:rPr>
          <w:rFonts w:ascii="宋体" w:hAnsi="宋体"/>
          <w:snapToGrid w:val="0"/>
          <w:color w:val="auto"/>
          <w:kern w:val="0"/>
          <w:szCs w:val="21"/>
          <w:highlight w:val="none"/>
        </w:rPr>
      </w:pPr>
      <w:r>
        <w:rPr>
          <w:rFonts w:hint="eastAsia" w:ascii="宋体" w:hAnsi="宋体"/>
          <w:snapToGrid w:val="0"/>
          <w:color w:val="auto"/>
          <w:kern w:val="0"/>
          <w:szCs w:val="21"/>
          <w:highlight w:val="none"/>
        </w:rPr>
        <w:t>1.1 词语定义</w:t>
      </w:r>
    </w:p>
    <w:p w14:paraId="37A13641">
      <w:pPr>
        <w:snapToGrid w:val="0"/>
        <w:spacing w:line="360" w:lineRule="auto"/>
        <w:ind w:firstLine="367" w:firstLineChars="175"/>
        <w:rPr>
          <w:rFonts w:ascii="宋体" w:hAnsi="宋体"/>
          <w:snapToGrid w:val="0"/>
          <w:color w:val="auto"/>
          <w:kern w:val="0"/>
          <w:szCs w:val="21"/>
          <w:highlight w:val="none"/>
        </w:rPr>
      </w:pPr>
      <w:r>
        <w:rPr>
          <w:rFonts w:hint="eastAsia" w:ascii="宋体" w:hAnsi="宋体"/>
          <w:snapToGrid w:val="0"/>
          <w:color w:val="auto"/>
          <w:kern w:val="0"/>
          <w:szCs w:val="21"/>
          <w:highlight w:val="none"/>
        </w:rPr>
        <w:t>1.1.1合同</w:t>
      </w:r>
    </w:p>
    <w:p w14:paraId="3EB858F5">
      <w:pPr>
        <w:shd w:val="clear" w:color="auto" w:fill="FAFAFA"/>
        <w:snapToGrid w:val="0"/>
        <w:spacing w:line="360" w:lineRule="auto"/>
        <w:ind w:firstLine="411" w:firstLineChars="196"/>
        <w:rPr>
          <w:rFonts w:ascii="宋体" w:hAnsi="宋体"/>
          <w:b/>
          <w:snapToGrid w:val="0"/>
          <w:color w:val="auto"/>
          <w:kern w:val="0"/>
          <w:szCs w:val="21"/>
          <w:highlight w:val="none"/>
          <w:u w:val="single"/>
        </w:rPr>
      </w:pPr>
      <w:r>
        <w:rPr>
          <w:rFonts w:hint="eastAsia" w:ascii="宋体" w:hAnsi="宋体"/>
          <w:snapToGrid w:val="0"/>
          <w:color w:val="auto"/>
          <w:kern w:val="0"/>
          <w:szCs w:val="21"/>
          <w:highlight w:val="none"/>
        </w:rPr>
        <w:t>1.1.1.10其他合同文件包括：</w:t>
      </w:r>
      <w:r>
        <w:rPr>
          <w:rFonts w:hint="eastAsia" w:ascii="宋体" w:hAnsi="宋体"/>
          <w:snapToGrid w:val="0"/>
          <w:color w:val="auto"/>
          <w:kern w:val="0"/>
          <w:szCs w:val="21"/>
          <w:highlight w:val="none"/>
          <w:u w:val="single"/>
        </w:rPr>
        <w:t>（1）成交通知书（如果有）；（2）响应函及其附录（如果有）； （3）专用合同条款及其附件；（4）通用合同条款；（5）技术标准和要求；（6）图纸；（7）已标价工程量清单或预算书；（8）其他合同文件</w:t>
      </w:r>
      <w:r>
        <w:rPr>
          <w:rFonts w:hint="eastAsia" w:ascii="宋体" w:hAnsi="宋体"/>
          <w:snapToGrid w:val="0"/>
          <w:color w:val="auto"/>
          <w:kern w:val="0"/>
          <w:szCs w:val="21"/>
          <w:highlight w:val="none"/>
        </w:rPr>
        <w:t>。</w:t>
      </w:r>
    </w:p>
    <w:p w14:paraId="25D5D6EE">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1.1.2 合同当事人及其他相关方</w:t>
      </w:r>
    </w:p>
    <w:p w14:paraId="5DE7412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1.1.2.4监理人：</w:t>
      </w:r>
    </w:p>
    <w:p w14:paraId="16B5A40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14:paraId="158CA79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1F087F7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6E760FC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459223C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4D4BF95D">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1.1.2.5 设计人：</w:t>
      </w:r>
    </w:p>
    <w:p w14:paraId="2DA826D6">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名    称：</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3971F5D7">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资质类别和等级：</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0"/>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rPr>
        <w:t>；</w:t>
      </w:r>
    </w:p>
    <w:p w14:paraId="56767BA5">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联系电话：</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54285A38">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电子信箱：</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191CC612">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通信地址：</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  /  </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rPr>
        <w:t>。</w:t>
      </w:r>
    </w:p>
    <w:p w14:paraId="4566697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 工程和设备</w:t>
      </w:r>
    </w:p>
    <w:p w14:paraId="6F3FEAB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1.1.3.7 作为施工现场组成部分的其他场所包括：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4F702D1">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1.1.3.9 永久占地包括：</w:t>
      </w:r>
      <w:r>
        <w:rPr>
          <w:rFonts w:hint="eastAsia" w:ascii="宋体" w:hAnsi="宋体" w:cs="宋体"/>
          <w:color w:val="auto"/>
          <w:szCs w:val="21"/>
          <w:highlight w:val="none"/>
          <w:u w:val="single"/>
        </w:rPr>
        <w:t xml:space="preserve">                        </w:t>
      </w:r>
      <w:r>
        <w:rPr>
          <w:rFonts w:hint="eastAsia" w:ascii="宋体" w:hAnsi="宋体" w:cs="宋体"/>
          <w:color w:val="auto"/>
          <w:kern w:val="0"/>
          <w:szCs w:val="21"/>
          <w:highlight w:val="none"/>
        </w:rPr>
        <w:t>。</w:t>
      </w:r>
    </w:p>
    <w:p w14:paraId="30CC485A">
      <w:pPr>
        <w:adjustRightInd/>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color w:val="auto"/>
          <w:kern w:val="0"/>
          <w:szCs w:val="21"/>
          <w:highlight w:val="none"/>
        </w:rPr>
        <w:t>1.1.3.10 临时占地包括：</w:t>
      </w:r>
      <w:r>
        <w:rPr>
          <w:rFonts w:hint="eastAsia" w:ascii="宋体" w:hAnsi="宋体" w:cs="宋体"/>
          <w:color w:val="auto"/>
          <w:szCs w:val="21"/>
          <w:highlight w:val="none"/>
          <w:u w:val="single"/>
        </w:rPr>
        <w:t xml:space="preserve">                       </w:t>
      </w:r>
      <w:r>
        <w:rPr>
          <w:rFonts w:hint="eastAsia" w:ascii="宋体" w:hAnsi="宋体" w:cs="宋体"/>
          <w:color w:val="auto"/>
          <w:kern w:val="0"/>
          <w:szCs w:val="21"/>
          <w:highlight w:val="none"/>
        </w:rPr>
        <w:t>。</w:t>
      </w:r>
    </w:p>
    <w:p w14:paraId="3C26B4DB">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1.3法律 </w:t>
      </w:r>
    </w:p>
    <w:p w14:paraId="31CE4D73">
      <w:pPr>
        <w:autoSpaceDE w:val="0"/>
        <w:autoSpaceDN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适用于合同的其他规范性文件：</w:t>
      </w:r>
      <w:r>
        <w:rPr>
          <w:rFonts w:hint="eastAsia" w:ascii="宋体" w:hAnsi="宋体" w:cs="宋体"/>
          <w:bCs/>
          <w:color w:val="auto"/>
          <w:kern w:val="0"/>
          <w:highlight w:val="none"/>
          <w:u w:val="single"/>
        </w:rPr>
        <w:t>《中华人民共和国民法典》及国家、浙江省、宁波市有关工程建设的法律、法规、规章、条例及规范性文件</w:t>
      </w:r>
      <w:r>
        <w:rPr>
          <w:rFonts w:hint="eastAsia" w:ascii="宋体" w:hAnsi="宋体" w:cs="宋体"/>
          <w:color w:val="auto"/>
          <w:szCs w:val="21"/>
          <w:highlight w:val="none"/>
        </w:rPr>
        <w:t>。</w:t>
      </w:r>
    </w:p>
    <w:p w14:paraId="7E50285D">
      <w:pPr>
        <w:autoSpaceDE w:val="0"/>
        <w:autoSpaceDN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 标准和规范</w:t>
      </w:r>
    </w:p>
    <w:p w14:paraId="7442BE5F">
      <w:pPr>
        <w:snapToGrid w:val="0"/>
        <w:spacing w:line="360" w:lineRule="auto"/>
        <w:ind w:firstLine="420" w:firstLineChars="200"/>
        <w:rPr>
          <w:rFonts w:ascii="宋体" w:hAnsi="宋体"/>
          <w:b/>
          <w:snapToGrid w:val="0"/>
          <w:color w:val="auto"/>
          <w:kern w:val="0"/>
          <w:szCs w:val="21"/>
          <w:highlight w:val="none"/>
          <w:u w:val="single"/>
        </w:rPr>
      </w:pPr>
      <w:r>
        <w:rPr>
          <w:rFonts w:hint="eastAsia" w:ascii="宋体" w:hAnsi="宋体"/>
          <w:snapToGrid w:val="0"/>
          <w:color w:val="auto"/>
          <w:kern w:val="0"/>
          <w:szCs w:val="21"/>
          <w:highlight w:val="none"/>
        </w:rPr>
        <w:t>1.4.1适用于工程的标准规范包括：</w:t>
      </w:r>
      <w:r>
        <w:rPr>
          <w:rFonts w:hint="eastAsia" w:ascii="宋体" w:hAnsi="宋体" w:cs="宋体"/>
          <w:bCs/>
          <w:color w:val="auto"/>
          <w:kern w:val="0"/>
          <w:highlight w:val="none"/>
          <w:u w:val="single"/>
        </w:rPr>
        <w:t>浙江省、宁波市工程建设相关的施工及验收规范</w:t>
      </w:r>
      <w:r>
        <w:rPr>
          <w:rFonts w:hint="eastAsia" w:ascii="Arial" w:hAnsi="Arial" w:cs="Arial"/>
          <w:snapToGrid w:val="0"/>
          <w:color w:val="auto"/>
          <w:kern w:val="0"/>
          <w:szCs w:val="21"/>
          <w:highlight w:val="none"/>
          <w:u w:val="single"/>
        </w:rPr>
        <w:t>。</w:t>
      </w:r>
    </w:p>
    <w:p w14:paraId="01EC4E7A">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1.4.3发包人对工程的技术标准和功能要求的特殊要求：</w:t>
      </w:r>
      <w:r>
        <w:rPr>
          <w:rFonts w:hint="eastAsia" w:ascii="宋体" w:hAnsi="宋体"/>
          <w:snapToGrid w:val="0"/>
          <w:color w:val="auto"/>
          <w:kern w:val="0"/>
          <w:szCs w:val="21"/>
          <w:highlight w:val="none"/>
          <w:u w:val="single"/>
          <w:lang w:val="en-US" w:eastAsia="zh-CN"/>
        </w:rPr>
        <w:t>/</w:t>
      </w:r>
      <w:r>
        <w:rPr>
          <w:rFonts w:hint="eastAsia" w:ascii="宋体" w:hAnsi="宋体"/>
          <w:snapToGrid w:val="0"/>
          <w:color w:val="auto"/>
          <w:kern w:val="0"/>
          <w:szCs w:val="21"/>
          <w:highlight w:val="none"/>
        </w:rPr>
        <w:t>。</w:t>
      </w:r>
    </w:p>
    <w:p w14:paraId="0664563D">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1.5 合同文件的优先顺序</w:t>
      </w:r>
    </w:p>
    <w:p w14:paraId="50956BAC">
      <w:pPr>
        <w:autoSpaceDE w:val="0"/>
        <w:autoSpaceDN w:val="0"/>
        <w:snapToGrid w:val="0"/>
        <w:spacing w:line="360" w:lineRule="auto"/>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合同文件组成及优先顺序为：</w:t>
      </w:r>
    </w:p>
    <w:p w14:paraId="7C949F83">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（1）合同协议书</w:t>
      </w:r>
      <w:r>
        <w:rPr>
          <w:rFonts w:hint="eastAsia" w:ascii="宋体" w:hAnsi="宋体"/>
          <w:b/>
          <w:snapToGrid w:val="0"/>
          <w:color w:val="auto"/>
          <w:kern w:val="0"/>
          <w:szCs w:val="21"/>
          <w:highlight w:val="none"/>
        </w:rPr>
        <w:t>；</w:t>
      </w:r>
    </w:p>
    <w:p w14:paraId="55FCA00E">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（2）成交通知书（或项目发承包基本情况表）</w:t>
      </w:r>
      <w:r>
        <w:rPr>
          <w:rFonts w:hint="eastAsia" w:ascii="宋体" w:hAnsi="宋体"/>
          <w:b/>
          <w:snapToGrid w:val="0"/>
          <w:color w:val="auto"/>
          <w:kern w:val="0"/>
          <w:szCs w:val="21"/>
          <w:highlight w:val="none"/>
        </w:rPr>
        <w:t>；</w:t>
      </w:r>
    </w:p>
    <w:p w14:paraId="3C413DA0">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（3）磋商响应文件及磋商记录（如果有）</w:t>
      </w:r>
      <w:r>
        <w:rPr>
          <w:rFonts w:hint="eastAsia" w:ascii="宋体" w:hAnsi="宋体"/>
          <w:b/>
          <w:snapToGrid w:val="0"/>
          <w:color w:val="auto"/>
          <w:kern w:val="0"/>
          <w:szCs w:val="21"/>
          <w:highlight w:val="none"/>
        </w:rPr>
        <w:t>；</w:t>
      </w:r>
    </w:p>
    <w:p w14:paraId="6790F6C0">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（4）专用合同条款及其附件</w:t>
      </w:r>
      <w:r>
        <w:rPr>
          <w:rFonts w:hint="eastAsia" w:ascii="宋体" w:hAnsi="宋体"/>
          <w:b/>
          <w:snapToGrid w:val="0"/>
          <w:color w:val="auto"/>
          <w:kern w:val="0"/>
          <w:szCs w:val="21"/>
          <w:highlight w:val="none"/>
        </w:rPr>
        <w:t>；</w:t>
      </w:r>
    </w:p>
    <w:p w14:paraId="2999D8A0">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（5）通用合同条款</w:t>
      </w:r>
      <w:r>
        <w:rPr>
          <w:rFonts w:hint="eastAsia" w:ascii="宋体" w:hAnsi="宋体"/>
          <w:b/>
          <w:snapToGrid w:val="0"/>
          <w:color w:val="auto"/>
          <w:kern w:val="0"/>
          <w:szCs w:val="21"/>
          <w:highlight w:val="none"/>
        </w:rPr>
        <w:t>；</w:t>
      </w:r>
    </w:p>
    <w:p w14:paraId="68BE3470">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（6）技术标准和要求</w:t>
      </w:r>
      <w:r>
        <w:rPr>
          <w:rFonts w:hint="eastAsia" w:ascii="宋体" w:hAnsi="宋体"/>
          <w:b/>
          <w:snapToGrid w:val="0"/>
          <w:color w:val="auto"/>
          <w:kern w:val="0"/>
          <w:szCs w:val="21"/>
          <w:highlight w:val="none"/>
        </w:rPr>
        <w:t>；</w:t>
      </w:r>
    </w:p>
    <w:p w14:paraId="0195DE6A">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（7）图纸（如有） ；</w:t>
      </w:r>
    </w:p>
    <w:p w14:paraId="6B4194D4">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（8）已标价工程量清单或预算书</w:t>
      </w:r>
      <w:r>
        <w:rPr>
          <w:rFonts w:hint="eastAsia" w:ascii="宋体" w:hAnsi="宋体"/>
          <w:b/>
          <w:snapToGrid w:val="0"/>
          <w:color w:val="auto"/>
          <w:kern w:val="0"/>
          <w:szCs w:val="21"/>
          <w:highlight w:val="none"/>
        </w:rPr>
        <w:t>；</w:t>
      </w:r>
    </w:p>
    <w:p w14:paraId="2104E4CD">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（9）其他合同文件</w:t>
      </w:r>
      <w:r>
        <w:rPr>
          <w:rFonts w:hint="eastAsia" w:ascii="宋体" w:hAnsi="宋体"/>
          <w:b/>
          <w:snapToGrid w:val="0"/>
          <w:color w:val="auto"/>
          <w:kern w:val="0"/>
          <w:szCs w:val="21"/>
          <w:highlight w:val="none"/>
        </w:rPr>
        <w:t>：</w:t>
      </w:r>
    </w:p>
    <w:p w14:paraId="5D9903D3">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①施工组织设计</w:t>
      </w:r>
      <w:r>
        <w:rPr>
          <w:rFonts w:hint="eastAsia" w:ascii="宋体" w:hAnsi="宋体"/>
          <w:b/>
          <w:snapToGrid w:val="0"/>
          <w:color w:val="auto"/>
          <w:kern w:val="0"/>
          <w:szCs w:val="21"/>
          <w:highlight w:val="none"/>
        </w:rPr>
        <w:t>；</w:t>
      </w:r>
    </w:p>
    <w:p w14:paraId="5932DB87">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 xml:space="preserve">②其他：采购文件（含采购工程量清单）及采购答疑（如果有）。      </w:t>
      </w:r>
    </w:p>
    <w:p w14:paraId="3B5EAE75">
      <w:pPr>
        <w:snapToGrid w:val="0"/>
        <w:spacing w:line="360" w:lineRule="auto"/>
        <w:ind w:firstLine="420" w:firstLineChars="200"/>
        <w:outlineLvl w:val="0"/>
        <w:rPr>
          <w:rFonts w:ascii="宋体" w:hAnsi="宋体" w:cs="宋体"/>
          <w:color w:val="auto"/>
          <w:szCs w:val="21"/>
          <w:highlight w:val="none"/>
        </w:rPr>
      </w:pPr>
      <w:bookmarkStart w:id="526" w:name="_Toc32386"/>
      <w:r>
        <w:rPr>
          <w:rFonts w:hint="eastAsia" w:ascii="宋体" w:hAnsi="宋体" w:cs="宋体"/>
          <w:color w:val="auto"/>
          <w:szCs w:val="21"/>
          <w:highlight w:val="none"/>
        </w:rPr>
        <w:t>1.6 图纸和承包人文件</w:t>
      </w:r>
      <w:bookmarkEnd w:id="526"/>
      <w:r>
        <w:rPr>
          <w:rFonts w:hint="eastAsia" w:ascii="宋体" w:hAnsi="宋体" w:cs="宋体"/>
          <w:color w:val="auto"/>
          <w:szCs w:val="21"/>
          <w:highlight w:val="none"/>
        </w:rPr>
        <w:tab/>
      </w:r>
    </w:p>
    <w:p w14:paraId="205E41B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 图纸的提供</w:t>
      </w:r>
    </w:p>
    <w:p w14:paraId="4333BFE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发包人向承包人提供图纸的期限：</w:t>
      </w:r>
      <w:r>
        <w:rPr>
          <w:rFonts w:hint="eastAsia" w:ascii="宋体" w:hAnsi="宋体" w:cs="宋体"/>
          <w:bCs/>
          <w:color w:val="auto"/>
          <w:kern w:val="0"/>
          <w:highlight w:val="none"/>
          <w:u w:val="single"/>
        </w:rPr>
        <w:t>向承包人发出中标通知书后3天内</w:t>
      </w:r>
      <w:r>
        <w:rPr>
          <w:rFonts w:hint="eastAsia" w:ascii="宋体" w:hAnsi="宋体" w:cs="宋体"/>
          <w:color w:val="auto"/>
          <w:szCs w:val="21"/>
          <w:highlight w:val="none"/>
        </w:rPr>
        <w:t>；</w:t>
      </w:r>
    </w:p>
    <w:p w14:paraId="58D2979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发包人向承包人提供图纸的数量：</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套</w:t>
      </w:r>
      <w:r>
        <w:rPr>
          <w:rFonts w:hint="eastAsia" w:ascii="宋体" w:hAnsi="宋体" w:cs="宋体"/>
          <w:color w:val="auto"/>
          <w:szCs w:val="21"/>
          <w:highlight w:val="none"/>
        </w:rPr>
        <w:t>；</w:t>
      </w:r>
    </w:p>
    <w:p w14:paraId="74B7172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发包人向承包人提供图纸的内容：</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0455602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 承包人文件</w:t>
      </w:r>
    </w:p>
    <w:p w14:paraId="1434E22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需要由承包人提供的文件，包括：</w:t>
      </w:r>
      <w:r>
        <w:rPr>
          <w:rFonts w:hint="eastAsia" w:ascii="宋体" w:hAnsi="宋体"/>
          <w:color w:val="auto"/>
          <w:szCs w:val="21"/>
          <w:highlight w:val="none"/>
          <w:u w:val="single"/>
        </w:rPr>
        <w:t>竣工图及竣工资料</w:t>
      </w:r>
      <w:r>
        <w:rPr>
          <w:rFonts w:hint="eastAsia" w:ascii="宋体" w:hAnsi="宋体" w:cs="宋体"/>
          <w:color w:val="auto"/>
          <w:szCs w:val="21"/>
          <w:highlight w:val="none"/>
        </w:rPr>
        <w:t>；</w:t>
      </w:r>
    </w:p>
    <w:p w14:paraId="5148074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承包人提供的文件的期限为：</w:t>
      </w:r>
      <w:r>
        <w:rPr>
          <w:rFonts w:hint="eastAsia" w:ascii="宋体" w:hAnsi="宋体"/>
          <w:color w:val="auto"/>
          <w:szCs w:val="21"/>
          <w:highlight w:val="none"/>
          <w:u w:val="single"/>
        </w:rPr>
        <w:t>竣工验收后30天内</w:t>
      </w:r>
      <w:r>
        <w:rPr>
          <w:rFonts w:hint="eastAsia" w:ascii="宋体" w:hAnsi="宋体" w:cs="宋体"/>
          <w:color w:val="auto"/>
          <w:szCs w:val="21"/>
          <w:highlight w:val="none"/>
        </w:rPr>
        <w:t>；</w:t>
      </w:r>
    </w:p>
    <w:p w14:paraId="6559E9B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承包人提供的文件的数量为：</w:t>
      </w:r>
      <w:r>
        <w:rPr>
          <w:rFonts w:hint="eastAsia" w:ascii="宋体" w:hAnsi="宋体"/>
          <w:color w:val="auto"/>
          <w:szCs w:val="21"/>
          <w:highlight w:val="none"/>
          <w:u w:val="single"/>
        </w:rPr>
        <w:t>一式四份</w:t>
      </w:r>
      <w:r>
        <w:rPr>
          <w:rFonts w:hint="eastAsia" w:ascii="宋体" w:hAnsi="宋体" w:cs="宋体"/>
          <w:color w:val="auto"/>
          <w:szCs w:val="21"/>
          <w:highlight w:val="none"/>
        </w:rPr>
        <w:t>；</w:t>
      </w:r>
    </w:p>
    <w:p w14:paraId="562B1E2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承包人提供的文件的形式为：</w:t>
      </w:r>
      <w:r>
        <w:rPr>
          <w:rFonts w:hint="eastAsia" w:ascii="宋体" w:hAnsi="宋体" w:cs="宋体"/>
          <w:color w:val="auto"/>
          <w:szCs w:val="21"/>
          <w:highlight w:val="none"/>
          <w:u w:val="single"/>
          <w:lang w:val="en-US" w:eastAsia="zh-CN"/>
        </w:rPr>
        <w:t>三份纸质，一份电子文件</w:t>
      </w:r>
      <w:r>
        <w:rPr>
          <w:rFonts w:hint="eastAsia" w:ascii="宋体" w:hAnsi="宋体" w:cs="宋体"/>
          <w:color w:val="auto"/>
          <w:szCs w:val="21"/>
          <w:highlight w:val="none"/>
        </w:rPr>
        <w:t>；</w:t>
      </w:r>
    </w:p>
    <w:p w14:paraId="4F59D55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发包人审批承包人文件的期限：</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38449273">
      <w:pPr>
        <w:snapToGrid w:val="0"/>
        <w:spacing w:line="360" w:lineRule="auto"/>
        <w:ind w:firstLine="420" w:firstLineChars="200"/>
        <w:outlineLvl w:val="0"/>
        <w:rPr>
          <w:rFonts w:ascii="宋体" w:hAnsi="宋体" w:cs="宋体"/>
          <w:color w:val="auto"/>
          <w:szCs w:val="21"/>
          <w:highlight w:val="none"/>
        </w:rPr>
      </w:pPr>
      <w:bookmarkStart w:id="527" w:name="_Toc3548"/>
      <w:r>
        <w:rPr>
          <w:rFonts w:hint="eastAsia" w:ascii="宋体" w:hAnsi="宋体" w:cs="宋体"/>
          <w:color w:val="auto"/>
          <w:szCs w:val="21"/>
          <w:highlight w:val="none"/>
        </w:rPr>
        <w:t>1.7 联络</w:t>
      </w:r>
      <w:bookmarkEnd w:id="527"/>
    </w:p>
    <w:p w14:paraId="0B472BB4">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1.7.1发包人和承包人应当在</w:t>
      </w:r>
      <w:r>
        <w:rPr>
          <w:rFonts w:hint="eastAsia" w:ascii="宋体" w:hAnsi="宋体"/>
          <w:color w:val="auto"/>
          <w:szCs w:val="21"/>
          <w:highlight w:val="none"/>
          <w:u w:val="single"/>
        </w:rPr>
        <w:t>3</w:t>
      </w:r>
      <w:r>
        <w:rPr>
          <w:rFonts w:hint="eastAsia" w:ascii="宋体" w:hAnsi="宋体" w:cs="宋体"/>
          <w:color w:val="auto"/>
          <w:kern w:val="0"/>
          <w:szCs w:val="21"/>
          <w:highlight w:val="none"/>
        </w:rPr>
        <w:t>天内将与合同有关的通知、批准、证明、证书、指示、指令、要求、请求、同意、意见、确定和决定等书面函件送达对方当事人。</w:t>
      </w:r>
    </w:p>
    <w:p w14:paraId="335F32C5">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1.7.2 发包人接收文件的地点：</w:t>
      </w:r>
      <w:r>
        <w:rPr>
          <w:rFonts w:hint="eastAsia" w:ascii="宋体" w:hAnsi="宋体" w:cs="宋体"/>
          <w:color w:val="auto"/>
          <w:szCs w:val="21"/>
          <w:highlight w:val="none"/>
          <w:u w:val="single"/>
        </w:rPr>
        <w:t>      </w:t>
      </w:r>
      <w:r>
        <w:rPr>
          <w:rFonts w:hint="eastAsia" w:ascii="宋体" w:hAnsi="宋体" w:cs="宋体"/>
          <w:color w:val="auto"/>
          <w:kern w:val="0"/>
          <w:szCs w:val="21"/>
          <w:highlight w:val="none"/>
        </w:rPr>
        <w:t>；</w:t>
      </w:r>
    </w:p>
    <w:p w14:paraId="719E049C">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发包人指定的接收人为：</w:t>
      </w:r>
      <w:r>
        <w:rPr>
          <w:rFonts w:hint="eastAsia" w:ascii="宋体" w:hAnsi="宋体" w:cs="宋体"/>
          <w:color w:val="auto"/>
          <w:szCs w:val="21"/>
          <w:highlight w:val="none"/>
          <w:u w:val="single"/>
        </w:rPr>
        <w:t>               </w:t>
      </w:r>
      <w:r>
        <w:rPr>
          <w:rFonts w:hint="eastAsia" w:ascii="宋体" w:hAnsi="宋体" w:cs="宋体"/>
          <w:color w:val="auto"/>
          <w:kern w:val="0"/>
          <w:szCs w:val="21"/>
          <w:highlight w:val="none"/>
        </w:rPr>
        <w:t>。</w:t>
      </w:r>
    </w:p>
    <w:p w14:paraId="13EB6C60">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承包人接收文件的地点：</w:t>
      </w:r>
      <w:r>
        <w:rPr>
          <w:rFonts w:hint="eastAsia" w:ascii="宋体" w:hAnsi="宋体" w:cs="宋体"/>
          <w:color w:val="auto"/>
          <w:szCs w:val="21"/>
          <w:highlight w:val="none"/>
          <w:u w:val="single"/>
        </w:rPr>
        <w:t>             </w:t>
      </w:r>
      <w:r>
        <w:rPr>
          <w:rFonts w:hint="eastAsia" w:ascii="宋体" w:hAnsi="宋体" w:cs="宋体"/>
          <w:color w:val="auto"/>
          <w:kern w:val="0"/>
          <w:szCs w:val="21"/>
          <w:highlight w:val="none"/>
        </w:rPr>
        <w:t>；</w:t>
      </w:r>
    </w:p>
    <w:p w14:paraId="3003BEF3">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承包人指定的接收人为：</w:t>
      </w:r>
      <w:r>
        <w:rPr>
          <w:rFonts w:hint="eastAsia" w:ascii="宋体" w:hAnsi="宋体" w:cs="宋体"/>
          <w:color w:val="auto"/>
          <w:szCs w:val="21"/>
          <w:highlight w:val="none"/>
          <w:u w:val="single"/>
        </w:rPr>
        <w:t>             </w:t>
      </w:r>
      <w:r>
        <w:rPr>
          <w:rFonts w:hint="eastAsia" w:ascii="宋体" w:hAnsi="宋体" w:cs="宋体"/>
          <w:color w:val="auto"/>
          <w:kern w:val="0"/>
          <w:szCs w:val="21"/>
          <w:highlight w:val="none"/>
        </w:rPr>
        <w:t>。</w:t>
      </w:r>
    </w:p>
    <w:p w14:paraId="135B0857">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监理人接收文件的地点：</w:t>
      </w:r>
      <w:r>
        <w:rPr>
          <w:rFonts w:hint="eastAsia" w:ascii="宋体" w:hAnsi="宋体" w:cs="宋体"/>
          <w:color w:val="auto"/>
          <w:szCs w:val="21"/>
          <w:highlight w:val="none"/>
          <w:u w:val="single"/>
        </w:rPr>
        <w:t>            </w:t>
      </w:r>
      <w:r>
        <w:rPr>
          <w:rFonts w:hint="eastAsia" w:ascii="宋体" w:hAnsi="宋体" w:cs="宋体"/>
          <w:color w:val="auto"/>
          <w:kern w:val="0"/>
          <w:szCs w:val="21"/>
          <w:highlight w:val="none"/>
        </w:rPr>
        <w:t>；</w:t>
      </w:r>
    </w:p>
    <w:p w14:paraId="69183E80">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监理人指定的接收人为：</w:t>
      </w:r>
      <w:r>
        <w:rPr>
          <w:rFonts w:hint="eastAsia" w:ascii="宋体" w:hAnsi="宋体" w:cs="宋体"/>
          <w:color w:val="auto"/>
          <w:szCs w:val="21"/>
          <w:highlight w:val="none"/>
          <w:u w:val="single"/>
        </w:rPr>
        <w:t>            </w:t>
      </w:r>
      <w:r>
        <w:rPr>
          <w:rFonts w:hint="eastAsia" w:ascii="宋体" w:hAnsi="宋体" w:cs="宋体"/>
          <w:color w:val="auto"/>
          <w:kern w:val="0"/>
          <w:szCs w:val="21"/>
          <w:highlight w:val="none"/>
        </w:rPr>
        <w:t>。</w:t>
      </w:r>
    </w:p>
    <w:p w14:paraId="1253B80F">
      <w:pPr>
        <w:snapToGrid w:val="0"/>
        <w:spacing w:line="360" w:lineRule="auto"/>
        <w:ind w:firstLine="420" w:firstLineChars="200"/>
        <w:outlineLvl w:val="0"/>
        <w:rPr>
          <w:rFonts w:ascii="宋体" w:hAnsi="宋体" w:cs="宋体"/>
          <w:color w:val="auto"/>
          <w:szCs w:val="21"/>
          <w:highlight w:val="none"/>
        </w:rPr>
      </w:pPr>
      <w:bookmarkStart w:id="528" w:name="_Toc2103"/>
      <w:r>
        <w:rPr>
          <w:rFonts w:hint="eastAsia" w:ascii="宋体" w:hAnsi="宋体" w:cs="宋体"/>
          <w:color w:val="auto"/>
          <w:szCs w:val="21"/>
          <w:highlight w:val="none"/>
        </w:rPr>
        <w:t>1.10 交通运输</w:t>
      </w:r>
      <w:bookmarkEnd w:id="528"/>
    </w:p>
    <w:p w14:paraId="3054CED9">
      <w:pPr>
        <w:snapToGrid w:val="0"/>
        <w:spacing w:line="360" w:lineRule="auto"/>
        <w:ind w:firstLine="420" w:firstLineChars="200"/>
        <w:outlineLvl w:val="0"/>
        <w:rPr>
          <w:rFonts w:ascii="宋体" w:hAnsi="宋体" w:cs="宋体"/>
          <w:color w:val="auto"/>
          <w:szCs w:val="21"/>
          <w:highlight w:val="none"/>
        </w:rPr>
      </w:pPr>
      <w:bookmarkStart w:id="529" w:name="_Toc3676"/>
      <w:r>
        <w:rPr>
          <w:rFonts w:hint="eastAsia" w:ascii="宋体" w:hAnsi="宋体" w:cs="宋体"/>
          <w:color w:val="auto"/>
          <w:szCs w:val="21"/>
          <w:highlight w:val="none"/>
        </w:rPr>
        <w:t>1</w:t>
      </w:r>
      <w:bookmarkStart w:id="530" w:name="_Toc312677986"/>
      <w:bookmarkStart w:id="531" w:name="_Toc300934943"/>
      <w:bookmarkStart w:id="532" w:name="_Toc303539100"/>
      <w:bookmarkStart w:id="533" w:name="_Toc318581155"/>
      <w:bookmarkStart w:id="534" w:name="_Toc304295521"/>
      <w:r>
        <w:rPr>
          <w:rFonts w:hint="eastAsia" w:ascii="宋体" w:hAnsi="宋体" w:cs="宋体"/>
          <w:color w:val="auto"/>
          <w:szCs w:val="21"/>
          <w:highlight w:val="none"/>
        </w:rPr>
        <w:t>.10.1 出入现场的权利</w:t>
      </w:r>
      <w:bookmarkEnd w:id="529"/>
    </w:p>
    <w:p w14:paraId="221E46C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关于出入现场的权利的约定：</w:t>
      </w:r>
      <w:r>
        <w:rPr>
          <w:rFonts w:hint="eastAsia" w:ascii="宋体" w:hAnsi="宋体"/>
          <w:color w:val="auto"/>
          <w:szCs w:val="21"/>
          <w:highlight w:val="none"/>
          <w:u w:val="single"/>
        </w:rPr>
        <w:t>执行通用条款</w:t>
      </w:r>
      <w:r>
        <w:rPr>
          <w:rFonts w:hint="eastAsia" w:ascii="宋体" w:hAnsi="宋体" w:cs="宋体"/>
          <w:color w:val="auto"/>
          <w:szCs w:val="21"/>
          <w:highlight w:val="none"/>
        </w:rPr>
        <w:t>。</w:t>
      </w:r>
    </w:p>
    <w:bookmarkEnd w:id="530"/>
    <w:bookmarkEnd w:id="531"/>
    <w:bookmarkEnd w:id="532"/>
    <w:bookmarkEnd w:id="533"/>
    <w:bookmarkEnd w:id="534"/>
    <w:p w14:paraId="02368D24">
      <w:pPr>
        <w:snapToGrid w:val="0"/>
        <w:spacing w:line="360" w:lineRule="auto"/>
        <w:ind w:firstLine="420" w:firstLineChars="200"/>
        <w:jc w:val="left"/>
        <w:outlineLvl w:val="0"/>
        <w:rPr>
          <w:rFonts w:ascii="宋体" w:hAnsi="宋体" w:cs="宋体"/>
          <w:color w:val="auto"/>
          <w:szCs w:val="21"/>
          <w:highlight w:val="none"/>
        </w:rPr>
      </w:pPr>
      <w:bookmarkStart w:id="535" w:name="_Toc4351"/>
      <w:r>
        <w:rPr>
          <w:rFonts w:hint="eastAsia" w:ascii="宋体" w:hAnsi="宋体" w:cs="宋体"/>
          <w:color w:val="auto"/>
          <w:szCs w:val="21"/>
          <w:highlight w:val="none"/>
        </w:rPr>
        <w:t>1</w:t>
      </w:r>
      <w:bookmarkStart w:id="536" w:name="_Toc300934944"/>
      <w:bookmarkStart w:id="537" w:name="_Toc304295522"/>
      <w:bookmarkStart w:id="538" w:name="_Toc318581156"/>
      <w:bookmarkStart w:id="539" w:name="_Toc303539101"/>
      <w:bookmarkStart w:id="540" w:name="_Toc312677987"/>
      <w:r>
        <w:rPr>
          <w:rFonts w:hint="eastAsia" w:ascii="宋体" w:hAnsi="宋体" w:cs="宋体"/>
          <w:color w:val="auto"/>
          <w:szCs w:val="21"/>
          <w:highlight w:val="none"/>
        </w:rPr>
        <w:t>.10.3 场内交通</w:t>
      </w:r>
      <w:bookmarkEnd w:id="535"/>
    </w:p>
    <w:p w14:paraId="1E1C5F2A">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关于场外交通和场内交通的边界的约定：</w:t>
      </w:r>
      <w:r>
        <w:rPr>
          <w:rFonts w:hint="eastAsia" w:ascii="宋体" w:hAnsi="宋体" w:cs="宋体"/>
          <w:bCs/>
          <w:color w:val="auto"/>
          <w:kern w:val="0"/>
          <w:highlight w:val="none"/>
          <w:u w:val="single"/>
          <w:lang w:val="en-US" w:eastAsia="zh-CN"/>
        </w:rPr>
        <w:t xml:space="preserve">  </w:t>
      </w:r>
      <w:r>
        <w:rPr>
          <w:rFonts w:hint="eastAsia" w:ascii="宋体" w:hAnsi="宋体" w:cs="宋体"/>
          <w:color w:val="auto"/>
          <w:szCs w:val="21"/>
          <w:highlight w:val="none"/>
        </w:rPr>
        <w:t>。</w:t>
      </w:r>
    </w:p>
    <w:p w14:paraId="67661D7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关于发包人向承包人免费提供满足工程施工需要的场内道路和交通设施的约定：</w:t>
      </w:r>
      <w:r>
        <w:rPr>
          <w:rFonts w:hint="eastAsia" w:ascii="宋体" w:hAnsi="宋体"/>
          <w:color w:val="auto"/>
          <w:szCs w:val="21"/>
          <w:highlight w:val="none"/>
          <w:u w:val="single"/>
        </w:rPr>
        <w:t>执行通用条款</w:t>
      </w:r>
      <w:r>
        <w:rPr>
          <w:rFonts w:hint="eastAsia" w:ascii="宋体" w:hAnsi="宋体" w:cs="宋体"/>
          <w:color w:val="auto"/>
          <w:szCs w:val="21"/>
          <w:highlight w:val="none"/>
        </w:rPr>
        <w:t>。</w:t>
      </w:r>
      <w:bookmarkEnd w:id="536"/>
      <w:bookmarkEnd w:id="537"/>
      <w:bookmarkEnd w:id="538"/>
      <w:bookmarkEnd w:id="539"/>
      <w:bookmarkEnd w:id="540"/>
      <w:r>
        <w:rPr>
          <w:rFonts w:hint="eastAsia" w:ascii="宋体" w:hAnsi="宋体" w:cs="宋体"/>
          <w:color w:val="auto"/>
          <w:szCs w:val="21"/>
          <w:highlight w:val="none"/>
        </w:rPr>
        <w:t xml:space="preserve">  </w:t>
      </w:r>
      <w:bookmarkStart w:id="541" w:name="_Toc318581157"/>
    </w:p>
    <w:p w14:paraId="1F701EA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1.10.4超大件和超重件的运输</w:t>
      </w:r>
    </w:p>
    <w:p w14:paraId="1ED5702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运输超大件或超重件所需的道路和桥梁临时加固改造费用和其他有关费用由</w:t>
      </w:r>
      <w:r>
        <w:rPr>
          <w:rFonts w:hint="eastAsia" w:ascii="宋体" w:hAnsi="宋体" w:cs="宋体"/>
          <w:color w:val="auto"/>
          <w:szCs w:val="21"/>
          <w:highlight w:val="none"/>
          <w:u w:val="single"/>
          <w:lang w:val="en-US" w:eastAsia="zh-CN"/>
        </w:rPr>
        <w:t>承包人</w:t>
      </w:r>
      <w:r>
        <w:rPr>
          <w:rFonts w:hint="eastAsia" w:ascii="宋体" w:hAnsi="宋体" w:cs="宋体"/>
          <w:color w:val="auto"/>
          <w:szCs w:val="21"/>
          <w:highlight w:val="none"/>
        </w:rPr>
        <w:t>承担。</w:t>
      </w:r>
    </w:p>
    <w:bookmarkEnd w:id="541"/>
    <w:p w14:paraId="535C523E">
      <w:pPr>
        <w:snapToGrid w:val="0"/>
        <w:spacing w:line="360" w:lineRule="auto"/>
        <w:ind w:firstLine="420" w:firstLineChars="200"/>
        <w:outlineLvl w:val="0"/>
        <w:rPr>
          <w:rFonts w:ascii="宋体" w:hAnsi="宋体" w:cs="宋体"/>
          <w:color w:val="auto"/>
          <w:szCs w:val="21"/>
          <w:highlight w:val="none"/>
        </w:rPr>
      </w:pPr>
      <w:bookmarkStart w:id="542" w:name="_Toc11222"/>
      <w:r>
        <w:rPr>
          <w:rFonts w:hint="eastAsia" w:ascii="宋体" w:hAnsi="宋体" w:cs="宋体"/>
          <w:color w:val="auto"/>
          <w:szCs w:val="21"/>
          <w:highlight w:val="none"/>
        </w:rPr>
        <w:t>1.11 知识产权</w:t>
      </w:r>
      <w:bookmarkEnd w:id="542"/>
    </w:p>
    <w:p w14:paraId="1BE3034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olor w:val="auto"/>
          <w:szCs w:val="21"/>
          <w:highlight w:val="none"/>
        </w:rPr>
        <w:t>执行通用条款</w:t>
      </w:r>
      <w:r>
        <w:rPr>
          <w:rFonts w:hint="eastAsia" w:ascii="宋体" w:hAnsi="宋体" w:cs="宋体"/>
          <w:color w:val="auto"/>
          <w:szCs w:val="21"/>
          <w:highlight w:val="none"/>
        </w:rPr>
        <w:t>。</w:t>
      </w:r>
    </w:p>
    <w:p w14:paraId="259BD24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关于发包人提供的上述文件的使用限制的要求：</w:t>
      </w:r>
      <w:r>
        <w:rPr>
          <w:rFonts w:hint="eastAsia" w:ascii="宋体" w:hAnsi="宋体"/>
          <w:color w:val="auto"/>
          <w:szCs w:val="21"/>
          <w:highlight w:val="none"/>
        </w:rPr>
        <w:t>执行通用条款</w:t>
      </w:r>
      <w:r>
        <w:rPr>
          <w:rFonts w:hint="eastAsia" w:ascii="宋体" w:hAnsi="宋体" w:cs="宋体"/>
          <w:color w:val="auto"/>
          <w:szCs w:val="21"/>
          <w:highlight w:val="none"/>
        </w:rPr>
        <w:t>。</w:t>
      </w:r>
    </w:p>
    <w:p w14:paraId="723603C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1.11.2 关于承包人为实施工程所编制文件的著作权的归属：</w:t>
      </w:r>
      <w:r>
        <w:rPr>
          <w:rFonts w:hint="eastAsia" w:ascii="宋体" w:hAnsi="宋体"/>
          <w:color w:val="auto"/>
          <w:szCs w:val="21"/>
          <w:highlight w:val="none"/>
        </w:rPr>
        <w:t>执行通用条款</w:t>
      </w:r>
      <w:r>
        <w:rPr>
          <w:rFonts w:hint="eastAsia" w:ascii="宋体" w:hAnsi="宋体" w:cs="宋体"/>
          <w:color w:val="auto"/>
          <w:szCs w:val="21"/>
          <w:highlight w:val="none"/>
        </w:rPr>
        <w:t>。</w:t>
      </w:r>
    </w:p>
    <w:p w14:paraId="48D5A38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关于承包人提供的上述文件的使用限制的要求：</w:t>
      </w:r>
      <w:r>
        <w:rPr>
          <w:rFonts w:hint="eastAsia" w:ascii="宋体" w:hAnsi="宋体"/>
          <w:color w:val="auto"/>
          <w:szCs w:val="21"/>
          <w:highlight w:val="none"/>
        </w:rPr>
        <w:t>执行通用条款</w:t>
      </w:r>
      <w:r>
        <w:rPr>
          <w:rFonts w:hint="eastAsia" w:ascii="宋体" w:hAnsi="宋体" w:cs="宋体"/>
          <w:color w:val="auto"/>
          <w:szCs w:val="21"/>
          <w:highlight w:val="none"/>
        </w:rPr>
        <w:t>。</w:t>
      </w:r>
    </w:p>
    <w:p w14:paraId="470F97B5">
      <w:pPr>
        <w:snapToGrid w:val="0"/>
        <w:spacing w:line="360" w:lineRule="auto"/>
        <w:ind w:firstLine="420" w:firstLineChars="200"/>
        <w:outlineLvl w:val="0"/>
        <w:rPr>
          <w:rFonts w:ascii="宋体" w:hAnsi="宋体" w:cs="宋体"/>
          <w:color w:val="auto"/>
          <w:kern w:val="0"/>
          <w:szCs w:val="21"/>
          <w:highlight w:val="none"/>
        </w:rPr>
      </w:pPr>
      <w:bookmarkStart w:id="543" w:name="_Toc3390"/>
      <w:r>
        <w:rPr>
          <w:rFonts w:hint="eastAsia" w:ascii="宋体" w:hAnsi="宋体" w:cs="宋体"/>
          <w:color w:val="auto"/>
          <w:szCs w:val="21"/>
          <w:highlight w:val="none"/>
        </w:rPr>
        <w:t>1.11.4 承包人在施工过程中所采用的专利、专有技术、技术秘密的使用费的承担方式：</w:t>
      </w:r>
      <w:r>
        <w:rPr>
          <w:rFonts w:hint="eastAsia" w:ascii="宋体" w:hAnsi="宋体"/>
          <w:color w:val="auto"/>
          <w:szCs w:val="21"/>
          <w:highlight w:val="none"/>
        </w:rPr>
        <w:t>执行通用条款</w:t>
      </w:r>
      <w:r>
        <w:rPr>
          <w:rFonts w:hint="eastAsia" w:ascii="宋体" w:hAnsi="宋体" w:cs="宋体"/>
          <w:color w:val="auto"/>
          <w:kern w:val="0"/>
          <w:szCs w:val="21"/>
          <w:highlight w:val="none"/>
        </w:rPr>
        <w:t>。</w:t>
      </w:r>
      <w:bookmarkEnd w:id="543"/>
    </w:p>
    <w:p w14:paraId="56EEE84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1.13工程量清单错误的修正</w:t>
      </w:r>
    </w:p>
    <w:p w14:paraId="69C523D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出现工程量清单错误时，是否调整合同价格：</w:t>
      </w:r>
      <w:r>
        <w:rPr>
          <w:rFonts w:hint="eastAsia" w:ascii="宋体" w:hAnsi="宋体" w:cs="宋体"/>
          <w:color w:val="auto"/>
          <w:szCs w:val="21"/>
          <w:highlight w:val="none"/>
          <w:u w:val="single"/>
          <w:lang w:val="en-US" w:eastAsia="zh-CN"/>
        </w:rPr>
        <w:t>/</w:t>
      </w:r>
      <w:r>
        <w:rPr>
          <w:rFonts w:hint="eastAsia" w:ascii="宋体" w:hAnsi="宋体" w:cs="宋体"/>
          <w:color w:val="auto"/>
          <w:kern w:val="0"/>
          <w:szCs w:val="21"/>
          <w:highlight w:val="none"/>
        </w:rPr>
        <w:t>。</w:t>
      </w:r>
    </w:p>
    <w:p w14:paraId="755A506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允许调整合同价格的工程量偏差范围：</w:t>
      </w:r>
      <w:r>
        <w:rPr>
          <w:rFonts w:hint="eastAsia" w:ascii="宋体" w:hAnsi="宋体" w:cs="宋体"/>
          <w:color w:val="auto"/>
          <w:szCs w:val="21"/>
          <w:highlight w:val="none"/>
          <w:u w:val="single"/>
          <w:lang w:val="en-US" w:eastAsia="zh-CN"/>
        </w:rPr>
        <w:t>/</w:t>
      </w:r>
      <w:r>
        <w:rPr>
          <w:rFonts w:hint="eastAsia" w:ascii="宋体" w:hAnsi="宋体" w:cs="宋体"/>
          <w:color w:val="auto"/>
          <w:kern w:val="0"/>
          <w:szCs w:val="21"/>
          <w:highlight w:val="none"/>
        </w:rPr>
        <w:t>。</w:t>
      </w:r>
    </w:p>
    <w:p w14:paraId="17CF3958">
      <w:pPr>
        <w:pStyle w:val="5"/>
        <w:snapToGrid w:val="0"/>
        <w:spacing w:before="0" w:after="0" w:line="360" w:lineRule="auto"/>
        <w:rPr>
          <w:rFonts w:ascii="宋体" w:hAnsi="宋体" w:eastAsia="宋体" w:cs="宋体"/>
          <w:b w:val="0"/>
          <w:color w:val="auto"/>
          <w:sz w:val="21"/>
          <w:szCs w:val="21"/>
          <w:highlight w:val="none"/>
        </w:rPr>
      </w:pPr>
      <w:bookmarkStart w:id="544" w:name="_Toc351203634"/>
      <w:r>
        <w:rPr>
          <w:rFonts w:hint="eastAsia" w:ascii="宋体" w:hAnsi="宋体" w:eastAsia="宋体" w:cs="宋体"/>
          <w:b w:val="0"/>
          <w:color w:val="auto"/>
          <w:sz w:val="21"/>
          <w:szCs w:val="21"/>
          <w:highlight w:val="none"/>
        </w:rPr>
        <w:t>2</w:t>
      </w:r>
      <w:bookmarkStart w:id="545" w:name="_Toc297048343"/>
      <w:bookmarkStart w:id="546" w:name="_Toc296347156"/>
      <w:bookmarkStart w:id="547" w:name="_Toc296346658"/>
      <w:bookmarkStart w:id="548" w:name="_Toc292559362"/>
      <w:bookmarkStart w:id="549" w:name="_Toc297120457"/>
      <w:bookmarkStart w:id="550" w:name="_Toc296503157"/>
      <w:bookmarkStart w:id="551" w:name="_Toc296944496"/>
      <w:bookmarkStart w:id="552" w:name="_Toc296890985"/>
      <w:bookmarkStart w:id="553" w:name="_Toc296891197"/>
      <w:bookmarkStart w:id="554" w:name="_Toc292559867"/>
      <w:r>
        <w:rPr>
          <w:rFonts w:hint="eastAsia" w:ascii="宋体" w:hAnsi="宋体" w:eastAsia="宋体" w:cs="宋体"/>
          <w:b w:val="0"/>
          <w:color w:val="auto"/>
          <w:sz w:val="21"/>
          <w:szCs w:val="21"/>
          <w:highlight w:val="none"/>
        </w:rPr>
        <w:t>. 发包人</w:t>
      </w:r>
      <w:bookmarkEnd w:id="544"/>
    </w:p>
    <w:bookmarkEnd w:id="545"/>
    <w:bookmarkEnd w:id="546"/>
    <w:bookmarkEnd w:id="547"/>
    <w:bookmarkEnd w:id="548"/>
    <w:bookmarkEnd w:id="549"/>
    <w:bookmarkEnd w:id="550"/>
    <w:bookmarkEnd w:id="551"/>
    <w:bookmarkEnd w:id="552"/>
    <w:bookmarkEnd w:id="553"/>
    <w:bookmarkEnd w:id="554"/>
    <w:p w14:paraId="277C62A7">
      <w:pPr>
        <w:snapToGrid w:val="0"/>
        <w:spacing w:line="360" w:lineRule="auto"/>
        <w:ind w:firstLine="420" w:firstLineChars="200"/>
        <w:outlineLvl w:val="0"/>
        <w:rPr>
          <w:rFonts w:ascii="宋体" w:hAnsi="宋体" w:cs="宋体"/>
          <w:color w:val="auto"/>
          <w:szCs w:val="21"/>
          <w:highlight w:val="none"/>
        </w:rPr>
      </w:pPr>
      <w:bookmarkStart w:id="555" w:name="_Toc17580"/>
      <w:r>
        <w:rPr>
          <w:rFonts w:hint="eastAsia" w:ascii="宋体" w:hAnsi="宋体" w:cs="宋体"/>
          <w:color w:val="auto"/>
          <w:szCs w:val="21"/>
          <w:highlight w:val="none"/>
        </w:rPr>
        <w:t>2.2 发包人代表</w:t>
      </w:r>
      <w:bookmarkEnd w:id="555"/>
    </w:p>
    <w:p w14:paraId="5BCA469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发包人代表：</w:t>
      </w:r>
    </w:p>
    <w:p w14:paraId="139F395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2641A28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2964E48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3A0750A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14:paraId="7CA8B5A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14:paraId="4EE0C25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287C692E">
      <w:pPr>
        <w:snapToGrid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发包人对发包人代表的授权范围如下：</w:t>
      </w:r>
      <w:r>
        <w:rPr>
          <w:rFonts w:hint="eastAsia" w:ascii="宋体" w:hAnsi="宋体" w:cs="宋体"/>
          <w:bCs/>
          <w:color w:val="auto"/>
          <w:highlight w:val="none"/>
          <w:u w:val="single"/>
        </w:rPr>
        <w:t>代表发包人履行发包人对工程建设管理的权利和义务，签发（或会签）各项工程联系单，对承包人有监督、协调的权利。工程价款洽商、索赔事项的处理、合同的变更等事项，由发包人代表完成，但需经发包人同意</w:t>
      </w:r>
      <w:r>
        <w:rPr>
          <w:rFonts w:hint="eastAsia" w:ascii="宋体" w:hAnsi="宋体" w:cs="宋体"/>
          <w:color w:val="auto"/>
          <w:szCs w:val="21"/>
          <w:highlight w:val="none"/>
        </w:rPr>
        <w:t>。</w:t>
      </w:r>
    </w:p>
    <w:p w14:paraId="7157B979">
      <w:pPr>
        <w:snapToGrid w:val="0"/>
        <w:spacing w:line="360" w:lineRule="auto"/>
        <w:ind w:firstLine="420" w:firstLineChars="200"/>
        <w:outlineLvl w:val="0"/>
        <w:rPr>
          <w:rFonts w:ascii="宋体" w:hAnsi="宋体" w:cs="宋体"/>
          <w:color w:val="auto"/>
          <w:szCs w:val="21"/>
          <w:highlight w:val="none"/>
        </w:rPr>
      </w:pPr>
      <w:bookmarkStart w:id="556" w:name="_Toc30494"/>
      <w:r>
        <w:rPr>
          <w:rFonts w:hint="eastAsia" w:ascii="宋体" w:hAnsi="宋体" w:cs="宋体"/>
          <w:color w:val="auto"/>
          <w:szCs w:val="21"/>
          <w:highlight w:val="none"/>
        </w:rPr>
        <w:t>2.4 施工现场、施工条件和基础资料的提供</w:t>
      </w:r>
      <w:bookmarkEnd w:id="556"/>
    </w:p>
    <w:p w14:paraId="73BDB06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 提供施工现场</w:t>
      </w:r>
    </w:p>
    <w:p w14:paraId="0053F53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关于发包人移交施工现场的期限要求：</w:t>
      </w:r>
      <w:r>
        <w:rPr>
          <w:rFonts w:hint="eastAsia" w:ascii="宋体" w:hAnsi="宋体"/>
          <w:color w:val="auto"/>
          <w:szCs w:val="21"/>
          <w:highlight w:val="none"/>
          <w:u w:val="single"/>
        </w:rPr>
        <w:t>/</w:t>
      </w:r>
      <w:r>
        <w:rPr>
          <w:rFonts w:hint="eastAsia" w:ascii="宋体" w:hAnsi="宋体" w:cs="宋体"/>
          <w:color w:val="auto"/>
          <w:szCs w:val="21"/>
          <w:highlight w:val="none"/>
        </w:rPr>
        <w:t>。</w:t>
      </w:r>
    </w:p>
    <w:p w14:paraId="19B0FBE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 提供施工条件</w:t>
      </w:r>
    </w:p>
    <w:p w14:paraId="07A8156C">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关于发包人应负责提供施工所需要的条件，包括：</w:t>
      </w:r>
      <w:r>
        <w:rPr>
          <w:rFonts w:hint="eastAsia" w:ascii="宋体" w:hAnsi="宋体"/>
          <w:color w:val="auto"/>
          <w:szCs w:val="21"/>
          <w:highlight w:val="none"/>
          <w:u w:val="single"/>
        </w:rPr>
        <w:t>/</w:t>
      </w:r>
      <w:r>
        <w:rPr>
          <w:rFonts w:hint="eastAsia" w:ascii="宋体" w:hAnsi="宋体" w:cs="宋体"/>
          <w:color w:val="auto"/>
          <w:szCs w:val="21"/>
          <w:highlight w:val="none"/>
        </w:rPr>
        <w:t>。</w:t>
      </w:r>
    </w:p>
    <w:p w14:paraId="7E41676E">
      <w:pPr>
        <w:snapToGrid w:val="0"/>
        <w:spacing w:line="360" w:lineRule="auto"/>
        <w:ind w:firstLine="420" w:firstLineChars="200"/>
        <w:outlineLvl w:val="0"/>
        <w:rPr>
          <w:rFonts w:ascii="宋体" w:hAnsi="宋体" w:cs="宋体"/>
          <w:color w:val="auto"/>
          <w:szCs w:val="21"/>
          <w:highlight w:val="none"/>
        </w:rPr>
      </w:pPr>
      <w:bookmarkStart w:id="557" w:name="_Toc21129"/>
      <w:r>
        <w:rPr>
          <w:rFonts w:hint="eastAsia" w:ascii="宋体" w:hAnsi="宋体" w:cs="宋体"/>
          <w:color w:val="auto"/>
          <w:szCs w:val="21"/>
          <w:highlight w:val="none"/>
        </w:rPr>
        <w:t>2.5 资金来源证明及支付担保</w:t>
      </w:r>
      <w:bookmarkEnd w:id="557"/>
    </w:p>
    <w:p w14:paraId="5B5462B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发包人提供资金来源证明的期限要求：</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rPr>
        <w:t>。</w:t>
      </w:r>
    </w:p>
    <w:p w14:paraId="45B5227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发包人是否提供支付担保：</w:t>
      </w:r>
      <w:r>
        <w:rPr>
          <w:rFonts w:hint="eastAsia" w:ascii="宋体" w:hAnsi="宋体" w:cs="宋体"/>
          <w:color w:val="auto"/>
          <w:szCs w:val="21"/>
          <w:highlight w:val="none"/>
          <w:u w:val="single"/>
          <w:lang w:val="en-US" w:eastAsia="zh-CN"/>
        </w:rPr>
        <w:t>否</w:t>
      </w:r>
      <w:r>
        <w:rPr>
          <w:rFonts w:hint="eastAsia" w:ascii="宋体" w:hAnsi="宋体" w:cs="宋体"/>
          <w:color w:val="auto"/>
          <w:szCs w:val="21"/>
          <w:highlight w:val="none"/>
        </w:rPr>
        <w:t>。</w:t>
      </w:r>
    </w:p>
    <w:p w14:paraId="3469BECA">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发包人提供支付担保的形式：</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rPr>
        <w:t>。</w:t>
      </w:r>
    </w:p>
    <w:p w14:paraId="77E81BAD">
      <w:pPr>
        <w:pStyle w:val="5"/>
        <w:snapToGrid w:val="0"/>
        <w:spacing w:before="0" w:after="0" w:line="360" w:lineRule="auto"/>
        <w:rPr>
          <w:rFonts w:ascii="宋体" w:hAnsi="宋体" w:eastAsia="宋体" w:cs="宋体"/>
          <w:b w:val="0"/>
          <w:color w:val="auto"/>
          <w:sz w:val="21"/>
          <w:szCs w:val="21"/>
          <w:highlight w:val="none"/>
        </w:rPr>
      </w:pPr>
      <w:bookmarkStart w:id="558" w:name="_Toc351203635"/>
      <w:r>
        <w:rPr>
          <w:rFonts w:hint="eastAsia" w:ascii="宋体" w:hAnsi="宋体" w:eastAsia="宋体" w:cs="宋体"/>
          <w:b w:val="0"/>
          <w:color w:val="auto"/>
          <w:sz w:val="21"/>
          <w:szCs w:val="21"/>
          <w:highlight w:val="none"/>
        </w:rPr>
        <w:t>3</w:t>
      </w:r>
      <w:bookmarkStart w:id="559" w:name="_Toc296347157"/>
      <w:bookmarkStart w:id="560" w:name="_Toc297048344"/>
      <w:bookmarkStart w:id="561" w:name="_Toc296944497"/>
      <w:bookmarkStart w:id="562" w:name="_Toc296890986"/>
      <w:bookmarkStart w:id="563" w:name="_Toc296346659"/>
      <w:bookmarkStart w:id="564" w:name="_Toc297120458"/>
      <w:bookmarkStart w:id="565" w:name="_Toc292559868"/>
      <w:bookmarkStart w:id="566" w:name="_Toc296503158"/>
      <w:bookmarkStart w:id="567" w:name="_Toc292559363"/>
      <w:bookmarkStart w:id="568" w:name="_Toc296891198"/>
      <w:r>
        <w:rPr>
          <w:rFonts w:hint="eastAsia" w:ascii="宋体" w:hAnsi="宋体" w:eastAsia="宋体" w:cs="宋体"/>
          <w:b w:val="0"/>
          <w:color w:val="auto"/>
          <w:sz w:val="21"/>
          <w:szCs w:val="21"/>
          <w:highlight w:val="none"/>
        </w:rPr>
        <w:t>. 承包人</w:t>
      </w:r>
      <w:bookmarkEnd w:id="558"/>
    </w:p>
    <w:bookmarkEnd w:id="559"/>
    <w:bookmarkEnd w:id="560"/>
    <w:bookmarkEnd w:id="561"/>
    <w:bookmarkEnd w:id="562"/>
    <w:bookmarkEnd w:id="563"/>
    <w:bookmarkEnd w:id="564"/>
    <w:bookmarkEnd w:id="565"/>
    <w:bookmarkEnd w:id="566"/>
    <w:bookmarkEnd w:id="567"/>
    <w:bookmarkEnd w:id="568"/>
    <w:p w14:paraId="6A78D77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 承包人的一般义务</w:t>
      </w:r>
    </w:p>
    <w:p w14:paraId="04FBEBB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（9）</w:t>
      </w:r>
      <w:r>
        <w:rPr>
          <w:rFonts w:hint="eastAsia" w:ascii="宋体" w:hAnsi="宋体" w:cs="宋体"/>
          <w:color w:val="auto"/>
          <w:szCs w:val="21"/>
          <w:highlight w:val="none"/>
        </w:rPr>
        <w:t>承包人提交的竣工资料的内容：完整竣工验收资料及竣工验收报告、竣工图。</w:t>
      </w:r>
    </w:p>
    <w:p w14:paraId="6762D92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承包人需要提交的竣工资料套数：一式肆份。</w:t>
      </w:r>
    </w:p>
    <w:p w14:paraId="142E856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承包人提交的竣工资料的费用承担：承包人。</w:t>
      </w:r>
    </w:p>
    <w:p w14:paraId="6CC4DE9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承包人提交的竣工资料移交时间：工程具备竣工验收条件后30天内。</w:t>
      </w:r>
    </w:p>
    <w:p w14:paraId="26A6A9F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承包人提交的竣工资料形式要求：</w:t>
      </w:r>
      <w:r>
        <w:rPr>
          <w:rFonts w:hint="eastAsia" w:ascii="宋体" w:hAnsi="宋体" w:cs="宋体"/>
          <w:color w:val="auto"/>
          <w:szCs w:val="21"/>
          <w:highlight w:val="none"/>
          <w:u w:val="single"/>
          <w:lang w:val="en-US" w:eastAsia="zh-CN"/>
        </w:rPr>
        <w:t>纸质</w:t>
      </w:r>
      <w:r>
        <w:rPr>
          <w:rFonts w:hint="eastAsia" w:ascii="宋体" w:hAnsi="宋体" w:cs="宋体"/>
          <w:color w:val="auto"/>
          <w:szCs w:val="21"/>
          <w:highlight w:val="none"/>
        </w:rPr>
        <w:t>。</w:t>
      </w:r>
    </w:p>
    <w:p w14:paraId="083C92F4">
      <w:pPr>
        <w:numPr>
          <w:ilvl w:val="0"/>
          <w:numId w:val="4"/>
        </w:numPr>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承包人应履行的其他义务：</w:t>
      </w:r>
    </w:p>
    <w:p w14:paraId="679FB9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承包人应根据工程实际情况配备发电设备，不得因停电影响施工。发包人仅提供水接入点，承包人负责从发包人提供的水接入点到施工现场的供水设施的架设、维护、拆除，相关费用由承包人承担。施工用水、电费用由承包人承担。由发包人提供的水、电设备在施工期间由承包人负责保管，如有丢失或损坏等情况，由承包人按实赔偿。电讯线路及设备由承包人自行解决，并承担该部分费用。</w:t>
      </w:r>
    </w:p>
    <w:p w14:paraId="7D1324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承包人负责场地内临时道路及出入通道的修建及养护。工程完工前承包人应对因施工造成的已有道路、挡墙、人行道砖、附属设施及由于施工产生的便道等的损坏进行修复，恢复原状，该费用由承包人自行考虑到报价中，结算时不作调整。如不修复，发包人有权委托其他人完成，所需费用从</w:t>
      </w:r>
      <w:r>
        <w:rPr>
          <w:rFonts w:hint="eastAsia" w:ascii="宋体" w:hAnsi="宋体" w:cs="宋体"/>
          <w:color w:val="auto"/>
          <w:kern w:val="0"/>
          <w:szCs w:val="21"/>
          <w:highlight w:val="none"/>
          <w:u w:val="single"/>
        </w:rPr>
        <w:t>合同结算价款</w:t>
      </w:r>
      <w:r>
        <w:rPr>
          <w:rFonts w:hint="eastAsia" w:ascii="宋体" w:hAnsi="宋体" w:cs="宋体"/>
          <w:color w:val="auto"/>
          <w:szCs w:val="21"/>
          <w:highlight w:val="none"/>
        </w:rPr>
        <w:t>中扣除。并应保证发包人免于承担因上述临时道路和设施的使用所引起的补偿费、诉讼费、损害赔偿、指控费及其他开支。</w:t>
      </w:r>
    </w:p>
    <w:p w14:paraId="125B0E8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3）根据工程需要，提供和维修施工使用的照明、围栏设施，并负责安全保卫，相关费用包含在投标报价中。</w:t>
      </w:r>
    </w:p>
    <w:p w14:paraId="642A63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olor w:val="auto"/>
          <w:szCs w:val="21"/>
          <w:highlight w:val="none"/>
        </w:rPr>
        <w:t>在工程竣工验收合格并正式交付使用前，对已完工程成品的所有保护及费用均由承包人负责，费用包含在承包人的投标报价中。</w:t>
      </w:r>
    </w:p>
    <w:p w14:paraId="3B78A9B0">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5）</w:t>
      </w:r>
      <w:r>
        <w:rPr>
          <w:rFonts w:hint="eastAsia" w:ascii="宋体" w:hAnsi="宋体"/>
          <w:color w:val="auto"/>
          <w:szCs w:val="21"/>
          <w:highlight w:val="none"/>
        </w:rPr>
        <w:t>施工场地周围地下管线和邻近建筑物、树木的保护要求及费用承担：承包人应按照发包人要求做好施工场地周围地下管线和邻近建筑物、构筑物（含文物保护建筑）、古树名木的保护工作，并承担相关费用。在发包人提供现场基础资料后，承包人应进一步做好核实调查，并在施工中应充分考虑地下、地上管线及其他建筑物、构筑物的不确定因素，而采用有效的施工方法和加固措施来避免损坏事件发生，相关费用由承包人承担，一旦发生损坏及出现其他损失，承包人承担由此造成的所有直接、间接损失，若承包人不加以修复、赔偿，则发包人将指派他人进行修复工作，由此发生的费用，发包人将从应支付给承包人的款项中扣除。</w:t>
      </w:r>
    </w:p>
    <w:p w14:paraId="5C3D1868">
      <w:pPr>
        <w:spacing w:line="360" w:lineRule="auto"/>
        <w:ind w:firstLine="420" w:firstLineChars="200"/>
        <w:rPr>
          <w:rFonts w:ascii="宋体" w:hAnsi="宋体"/>
          <w:color w:val="auto"/>
          <w:szCs w:val="21"/>
          <w:highlight w:val="none"/>
        </w:rPr>
      </w:pPr>
      <w:bookmarkStart w:id="569" w:name="_Toc472493651"/>
      <w:bookmarkStart w:id="570" w:name="_Toc431321460"/>
      <w:r>
        <w:rPr>
          <w:rFonts w:hint="eastAsia" w:ascii="宋体" w:hAnsi="宋体" w:cs="宋体"/>
          <w:color w:val="auto"/>
          <w:szCs w:val="21"/>
          <w:highlight w:val="none"/>
        </w:rPr>
        <w:t>6）达到规定的文明施工要求，夜间施工时间应符合建设和环保部门要求。施工场地内建筑垃圾、土方、泥浆及垃圾应按建设单位指定区域堆放，挖填和短驳费用自行考虑计入投标报价中。工程完工移交时，应做好卫生清理，达到发包人的要求。承包人在开工前需根据施工所在地有关规定办理施工现场交通、环卫、</w:t>
      </w:r>
      <w:r>
        <w:rPr>
          <w:rFonts w:hint="eastAsia" w:ascii="宋体" w:hAnsi="宋体"/>
          <w:color w:val="auto"/>
          <w:szCs w:val="21"/>
          <w:highlight w:val="none"/>
        </w:rPr>
        <w:t>市政排污、</w:t>
      </w:r>
      <w:r>
        <w:rPr>
          <w:rFonts w:hint="eastAsia" w:ascii="宋体" w:hAnsi="宋体" w:cs="宋体"/>
          <w:color w:val="auto"/>
          <w:szCs w:val="21"/>
          <w:highlight w:val="none"/>
        </w:rPr>
        <w:t>施工噪音</w:t>
      </w:r>
      <w:r>
        <w:rPr>
          <w:rFonts w:hint="eastAsia" w:ascii="宋体" w:hAnsi="宋体"/>
          <w:color w:val="auto"/>
          <w:szCs w:val="21"/>
          <w:highlight w:val="none"/>
        </w:rPr>
        <w:t>、渣土及泥浆外运</w:t>
      </w:r>
      <w:r>
        <w:rPr>
          <w:rFonts w:hint="eastAsia" w:ascii="宋体" w:hAnsi="宋体" w:cs="宋体"/>
          <w:color w:val="auto"/>
          <w:szCs w:val="21"/>
          <w:highlight w:val="none"/>
        </w:rPr>
        <w:t>等手续，费用由承包人承担</w:t>
      </w:r>
      <w:bookmarkEnd w:id="569"/>
      <w:bookmarkEnd w:id="570"/>
      <w:r>
        <w:rPr>
          <w:rFonts w:hint="eastAsia" w:ascii="宋体" w:hAnsi="宋体"/>
          <w:color w:val="auto"/>
          <w:szCs w:val="21"/>
          <w:highlight w:val="none"/>
        </w:rPr>
        <w:t>。因承包人责任造成不良影响和罚款等均由承包人承担，与发包人无涉。为迎接各种上级检查、领导参观，必须做好场地清洁卫生及其他安全文明措施，费用包含在承包人的投标报价中，不得再向发包人要求增加任何费用。</w:t>
      </w:r>
    </w:p>
    <w:p w14:paraId="18AB1818">
      <w:pPr>
        <w:snapToGrid w:val="0"/>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7）承包人有义务承担发包人提出的图纸变更带来的工程量实施工作，承包人对发包人提出的要求承包人工作配合、工程变更等要求，必须在24小时内作出反馈并组织实施，否则承包人将被视作违反合同，发包人有权在承包人工程款中扣除由此而引起的一切费用，直至解除合同</w:t>
      </w:r>
      <w:r>
        <w:rPr>
          <w:rFonts w:hint="eastAsia" w:ascii="宋体" w:hAnsi="宋体" w:cs="宋体"/>
          <w:color w:val="auto"/>
          <w:szCs w:val="21"/>
          <w:highlight w:val="none"/>
        </w:rPr>
        <w:t>。</w:t>
      </w:r>
    </w:p>
    <w:p w14:paraId="5635613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 项目经理</w:t>
      </w:r>
    </w:p>
    <w:p w14:paraId="3B2D122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 xml:space="preserve">3.2.1 </w:t>
      </w:r>
      <w:r>
        <w:rPr>
          <w:rFonts w:hint="eastAsia" w:ascii="宋体" w:hAnsi="宋体" w:cs="宋体"/>
          <w:color w:val="auto"/>
          <w:szCs w:val="21"/>
          <w:highlight w:val="none"/>
        </w:rPr>
        <w:t>项目经理：</w:t>
      </w:r>
    </w:p>
    <w:p w14:paraId="1A628DF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045322E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35248C7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建造师执业资格等级：</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4E1801E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建造师注册证书号：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64889B9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建造师执业印章号：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0171214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安全生产考核合格证书号：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1A8E6AB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0766D73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653E7D0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5045F2D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承包人对项目经理的授权范围如下：</w:t>
      </w:r>
      <w:r>
        <w:rPr>
          <w:rFonts w:hint="eastAsia" w:ascii="宋体" w:hAnsi="宋体"/>
          <w:color w:val="auto"/>
          <w:szCs w:val="21"/>
          <w:highlight w:val="none"/>
          <w:u w:val="single"/>
        </w:rPr>
        <w:t>在承包人授权范围内履行承包人的职权，对工程建设的质量、安全、工期以及工程造价控制负责，所有上报给发包人的文件均需项目经理签字</w:t>
      </w:r>
      <w:r>
        <w:rPr>
          <w:rFonts w:hint="eastAsia" w:ascii="宋体" w:hAnsi="宋体" w:cs="宋体"/>
          <w:color w:val="auto"/>
          <w:szCs w:val="21"/>
          <w:highlight w:val="none"/>
        </w:rPr>
        <w:t>。</w:t>
      </w:r>
    </w:p>
    <w:p w14:paraId="37ABEB08">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关于项目经理每月在施工现场的时间要求：</w:t>
      </w:r>
      <w:r>
        <w:rPr>
          <w:rFonts w:hint="eastAsia" w:ascii="宋体" w:hAnsi="宋体"/>
          <w:color w:val="auto"/>
          <w:szCs w:val="21"/>
          <w:highlight w:val="none"/>
          <w:u w:val="single"/>
        </w:rPr>
        <w:t>/</w:t>
      </w:r>
      <w:r>
        <w:rPr>
          <w:rFonts w:hint="eastAsia" w:ascii="宋体" w:hAnsi="宋体" w:cs="宋体"/>
          <w:color w:val="auto"/>
          <w:szCs w:val="21"/>
          <w:highlight w:val="none"/>
        </w:rPr>
        <w:t>。</w:t>
      </w:r>
    </w:p>
    <w:p w14:paraId="111F491F">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承包人未提交劳动合同，以及没有为项目经理缴纳社会保险证明的违约责任：</w:t>
      </w:r>
      <w:r>
        <w:rPr>
          <w:rFonts w:hint="eastAsia" w:ascii="宋体" w:hAnsi="宋体" w:cs="宋体"/>
          <w:color w:val="auto"/>
          <w:szCs w:val="21"/>
          <w:highlight w:val="none"/>
          <w:u w:val="single"/>
        </w:rPr>
        <w:t>发包人有权解除合同，由此造成的费用增加和工期延误损失均由承包人承担</w:t>
      </w:r>
      <w:r>
        <w:rPr>
          <w:rFonts w:hint="eastAsia" w:ascii="宋体" w:hAnsi="宋体" w:cs="宋体"/>
          <w:color w:val="auto"/>
          <w:szCs w:val="21"/>
          <w:highlight w:val="none"/>
        </w:rPr>
        <w:t>。</w:t>
      </w:r>
    </w:p>
    <w:p w14:paraId="624337BE">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kern w:val="0"/>
          <w:szCs w:val="21"/>
          <w:highlight w:val="none"/>
        </w:rPr>
        <w:t>项目经理未经批准，擅自离开施工现场的违约责任：</w:t>
      </w:r>
      <w:r>
        <w:rPr>
          <w:rFonts w:hint="eastAsia" w:ascii="宋体" w:hAnsi="宋体" w:cs="宋体"/>
          <w:color w:val="auto"/>
          <w:kern w:val="0"/>
          <w:szCs w:val="21"/>
          <w:highlight w:val="none"/>
          <w:u w:val="single"/>
        </w:rPr>
        <w:t>处违约金1000元/次</w:t>
      </w:r>
      <w:r>
        <w:rPr>
          <w:rFonts w:hint="eastAsia" w:ascii="宋体" w:hAnsi="宋体" w:cs="宋体"/>
          <w:color w:val="auto"/>
          <w:kern w:val="0"/>
          <w:szCs w:val="21"/>
          <w:highlight w:val="none"/>
          <w:u w:val="single"/>
          <w:lang w:eastAsia="zh-CN"/>
        </w:rPr>
        <w:t>。</w:t>
      </w:r>
      <w:r>
        <w:rPr>
          <w:rFonts w:hint="eastAsia" w:ascii="宋体" w:hAnsi="宋体" w:cs="宋体"/>
          <w:kern w:val="0"/>
          <w:szCs w:val="21"/>
          <w:highlight w:val="none"/>
          <w:u w:val="single"/>
        </w:rPr>
        <w:t>违约金从承诺的“未履行项目经理及主要施工管理人员到场承诺违约金限额”中扣除，该项限额不足时，发包人有权从结算价款中予以扣除</w:t>
      </w:r>
      <w:r>
        <w:rPr>
          <w:rFonts w:hint="eastAsia" w:ascii="宋体" w:hAnsi="宋体" w:cs="宋体"/>
          <w:kern w:val="0"/>
          <w:szCs w:val="21"/>
          <w:highlight w:val="none"/>
        </w:rPr>
        <w:t>。</w:t>
      </w:r>
    </w:p>
    <w:p w14:paraId="2B81B76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 承包人擅自更换项目经理的违约责任：</w:t>
      </w:r>
      <w:r>
        <w:rPr>
          <w:rFonts w:hint="eastAsia" w:ascii="宋体" w:hAnsi="宋体" w:cs="宋体"/>
          <w:color w:val="auto"/>
          <w:kern w:val="0"/>
          <w:szCs w:val="21"/>
          <w:highlight w:val="none"/>
          <w:u w:val="single"/>
        </w:rPr>
        <w:t>处违约金3000元/次，</w:t>
      </w:r>
      <w:r>
        <w:rPr>
          <w:rFonts w:hint="eastAsia" w:ascii="宋体" w:hAnsi="宋体" w:cs="宋体"/>
          <w:kern w:val="0"/>
          <w:szCs w:val="21"/>
          <w:highlight w:val="none"/>
          <w:u w:val="single"/>
        </w:rPr>
        <w:t>违约金从承诺的“未履行项目经理及主要施工管理人员到场承诺违约金限额”中扣除，该项限额不足时，发包人有权从结算价款中予以扣除，</w:t>
      </w:r>
      <w:r>
        <w:rPr>
          <w:rFonts w:hint="eastAsia" w:ascii="宋体" w:hAnsi="宋体" w:cs="宋体"/>
          <w:color w:val="auto"/>
          <w:kern w:val="0"/>
          <w:szCs w:val="21"/>
          <w:highlight w:val="none"/>
          <w:u w:val="single"/>
        </w:rPr>
        <w:t>发包人有权拒绝接受其擅自更换的项目经理</w:t>
      </w:r>
      <w:r>
        <w:rPr>
          <w:rFonts w:hint="eastAsia" w:ascii="宋体" w:hAnsi="宋体" w:cs="宋体"/>
          <w:color w:val="auto"/>
          <w:szCs w:val="21"/>
          <w:highlight w:val="none"/>
        </w:rPr>
        <w:t>。</w:t>
      </w:r>
    </w:p>
    <w:p w14:paraId="7A23E93F">
      <w:pPr>
        <w:snapToGri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 xml:space="preserve">    </w:t>
      </w:r>
      <w:bookmarkStart w:id="571" w:name="_Toc12597"/>
      <w:r>
        <w:rPr>
          <w:rFonts w:hint="eastAsia" w:ascii="宋体" w:hAnsi="宋体" w:cs="宋体"/>
          <w:color w:val="auto"/>
          <w:szCs w:val="21"/>
          <w:highlight w:val="none"/>
        </w:rPr>
        <w:t>3.2.4 承包人无正当理由拒绝更换项目经理的违约责任：</w:t>
      </w:r>
      <w:r>
        <w:rPr>
          <w:rFonts w:hint="eastAsia" w:ascii="宋体" w:hAnsi="宋体" w:cs="宋体"/>
          <w:color w:val="auto"/>
          <w:kern w:val="0"/>
          <w:szCs w:val="21"/>
          <w:highlight w:val="none"/>
          <w:u w:val="single"/>
        </w:rPr>
        <w:t>发包人认为项目经理无法履行职责的，应提供相关证明材料，并签发《整改通知书》，承包人在收到《整改通知书》后仍无改善的，发包人有权要求承包人更换项目经理。承包人无正当理由拒绝更换的，违约金为合同结算价款总额的30%。情节严重的，发包人有权解除合同，由此造成的一切损失由承包人承担</w:t>
      </w:r>
      <w:r>
        <w:rPr>
          <w:rFonts w:hint="eastAsia" w:ascii="宋体" w:hAnsi="宋体" w:cs="宋体"/>
          <w:color w:val="auto"/>
          <w:szCs w:val="21"/>
          <w:highlight w:val="none"/>
        </w:rPr>
        <w:t>。</w:t>
      </w:r>
      <w:bookmarkEnd w:id="571"/>
    </w:p>
    <w:p w14:paraId="50F9F4D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 承包人人员</w:t>
      </w:r>
    </w:p>
    <w:p w14:paraId="5108C14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 承包人提交项目管理机构及施工现场管理人员安排报告的期限：</w:t>
      </w:r>
      <w:r>
        <w:rPr>
          <w:rFonts w:hint="eastAsia" w:ascii="宋体" w:hAnsi="宋体" w:cs="宋体"/>
          <w:color w:val="auto"/>
          <w:kern w:val="0"/>
          <w:szCs w:val="21"/>
          <w:highlight w:val="none"/>
          <w:u w:val="single"/>
        </w:rPr>
        <w:t>承包人应在合同签订后5天内提交与</w:t>
      </w:r>
      <w:r>
        <w:rPr>
          <w:rFonts w:hint="eastAsia" w:ascii="宋体" w:hAnsi="宋体" w:cs="宋体"/>
          <w:color w:val="auto"/>
          <w:szCs w:val="21"/>
          <w:highlight w:val="none"/>
          <w:u w:val="single"/>
        </w:rPr>
        <w:t>投标时所承诺的人员一致的</w:t>
      </w:r>
      <w:r>
        <w:rPr>
          <w:rFonts w:hint="eastAsia" w:ascii="宋体" w:hAnsi="宋体" w:cs="宋体"/>
          <w:color w:val="auto"/>
          <w:kern w:val="0"/>
          <w:szCs w:val="21"/>
          <w:highlight w:val="none"/>
          <w:u w:val="single"/>
        </w:rPr>
        <w:t>项目管理机构及施工现场管理人员安排报告</w:t>
      </w:r>
      <w:r>
        <w:rPr>
          <w:rFonts w:hint="eastAsia" w:ascii="宋体" w:hAnsi="宋体" w:cs="宋体"/>
          <w:color w:val="auto"/>
          <w:szCs w:val="21"/>
          <w:highlight w:val="none"/>
        </w:rPr>
        <w:t>。</w:t>
      </w:r>
    </w:p>
    <w:p w14:paraId="063F152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3.3.3 承包人无正当理由拒绝撤换主要施工管理人员的违约责任：</w:t>
      </w:r>
      <w:r>
        <w:rPr>
          <w:rFonts w:hint="eastAsia" w:ascii="宋体" w:hAnsi="宋体"/>
          <w:color w:val="auto"/>
          <w:szCs w:val="21"/>
          <w:highlight w:val="none"/>
          <w:u w:val="single"/>
        </w:rPr>
        <w:t>/</w:t>
      </w:r>
      <w:r>
        <w:rPr>
          <w:rFonts w:hint="eastAsia" w:ascii="宋体" w:hAnsi="宋体" w:cs="宋体"/>
          <w:color w:val="auto"/>
          <w:szCs w:val="21"/>
          <w:highlight w:val="none"/>
        </w:rPr>
        <w:t>。</w:t>
      </w:r>
    </w:p>
    <w:p w14:paraId="4B5C0FDD">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3.3.4 承包人主要施工管理人员离开施工现场的批准要求：</w:t>
      </w:r>
      <w:r>
        <w:rPr>
          <w:rFonts w:hint="eastAsia" w:ascii="宋体" w:hAnsi="宋体"/>
          <w:color w:val="auto"/>
          <w:szCs w:val="21"/>
          <w:highlight w:val="none"/>
          <w:u w:val="single"/>
        </w:rPr>
        <w:t>/</w:t>
      </w:r>
      <w:r>
        <w:rPr>
          <w:rFonts w:hint="eastAsia" w:ascii="宋体" w:hAnsi="宋体" w:cs="宋体"/>
          <w:color w:val="auto"/>
          <w:szCs w:val="21"/>
          <w:highlight w:val="none"/>
        </w:rPr>
        <w:t>。</w:t>
      </w:r>
    </w:p>
    <w:p w14:paraId="7D2400B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3.3.5承包人擅自更换主要施工管理人员的违约责任：</w:t>
      </w:r>
      <w:r>
        <w:rPr>
          <w:rFonts w:hint="eastAsia" w:ascii="宋体" w:hAnsi="宋体"/>
          <w:color w:val="auto"/>
          <w:szCs w:val="21"/>
          <w:highlight w:val="none"/>
          <w:u w:val="single"/>
        </w:rPr>
        <w:t>/</w:t>
      </w:r>
      <w:r>
        <w:rPr>
          <w:rFonts w:hint="eastAsia" w:ascii="宋体" w:hAnsi="宋体" w:cs="宋体"/>
          <w:color w:val="auto"/>
          <w:szCs w:val="21"/>
          <w:highlight w:val="none"/>
        </w:rPr>
        <w:t>。</w:t>
      </w:r>
    </w:p>
    <w:p w14:paraId="4A31C0E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承包人主要施工管理人员擅自离开施工现场的违约责任：</w:t>
      </w:r>
      <w:r>
        <w:rPr>
          <w:rFonts w:hint="eastAsia" w:ascii="宋体" w:hAnsi="宋体"/>
          <w:color w:val="auto"/>
          <w:szCs w:val="21"/>
          <w:highlight w:val="none"/>
          <w:u w:val="single"/>
        </w:rPr>
        <w:t>/</w:t>
      </w:r>
      <w:r>
        <w:rPr>
          <w:rFonts w:hint="eastAsia" w:ascii="宋体" w:hAnsi="宋体" w:cs="宋体"/>
          <w:color w:val="auto"/>
          <w:szCs w:val="21"/>
          <w:highlight w:val="none"/>
        </w:rPr>
        <w:t>。</w:t>
      </w:r>
    </w:p>
    <w:p w14:paraId="777215E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bookmarkStart w:id="572" w:name="_Toc296891199"/>
      <w:bookmarkStart w:id="573" w:name="_Toc297048345"/>
      <w:bookmarkStart w:id="574" w:name="_Toc304295523"/>
      <w:bookmarkStart w:id="575" w:name="_Toc297123492"/>
      <w:bookmarkStart w:id="576" w:name="_Toc312677988"/>
      <w:bookmarkStart w:id="577" w:name="_Toc297120459"/>
      <w:bookmarkStart w:id="578" w:name="_Toc292559869"/>
      <w:bookmarkStart w:id="579" w:name="_Toc296347158"/>
      <w:bookmarkStart w:id="580" w:name="_Toc296503159"/>
      <w:bookmarkStart w:id="581" w:name="_Toc296346660"/>
      <w:bookmarkStart w:id="582" w:name="_Toc300934945"/>
      <w:bookmarkStart w:id="583" w:name="_Toc296944498"/>
      <w:bookmarkStart w:id="584" w:name="_Toc292559364"/>
      <w:bookmarkStart w:id="585" w:name="_Toc296890987"/>
      <w:bookmarkStart w:id="586" w:name="_Toc303539102"/>
      <w:bookmarkStart w:id="587" w:name="_Toc297216151"/>
      <w:r>
        <w:rPr>
          <w:rFonts w:hint="eastAsia" w:ascii="宋体" w:hAnsi="宋体" w:cs="宋体"/>
          <w:color w:val="auto"/>
          <w:szCs w:val="21"/>
          <w:highlight w:val="none"/>
        </w:rPr>
        <w:t>.5 分包</w:t>
      </w:r>
    </w:p>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14:paraId="3D8D600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bookmarkStart w:id="588" w:name="_Toc296890988"/>
      <w:bookmarkStart w:id="589" w:name="_Toc292559870"/>
      <w:bookmarkStart w:id="590" w:name="_Toc297048346"/>
      <w:bookmarkStart w:id="591" w:name="_Toc300934946"/>
      <w:bookmarkStart w:id="592" w:name="_Toc296944499"/>
      <w:bookmarkStart w:id="593" w:name="_Toc292559365"/>
      <w:bookmarkStart w:id="594" w:name="_Toc297216152"/>
      <w:bookmarkStart w:id="595" w:name="_Toc318581158"/>
      <w:bookmarkStart w:id="596" w:name="_Toc296346661"/>
      <w:bookmarkStart w:id="597" w:name="_Toc297123493"/>
      <w:bookmarkStart w:id="598" w:name="_Toc304295524"/>
      <w:bookmarkStart w:id="599" w:name="_Toc296891200"/>
      <w:bookmarkStart w:id="600" w:name="_Toc312677989"/>
      <w:bookmarkStart w:id="601" w:name="_Toc303539103"/>
      <w:bookmarkStart w:id="602" w:name="_Toc296503160"/>
      <w:bookmarkStart w:id="603" w:name="_Toc296347159"/>
      <w:bookmarkStart w:id="604" w:name="_Toc297120460"/>
      <w:r>
        <w:rPr>
          <w:rFonts w:hint="eastAsia" w:ascii="宋体" w:hAnsi="宋体" w:cs="宋体"/>
          <w:color w:val="auto"/>
          <w:szCs w:val="21"/>
          <w:highlight w:val="none"/>
        </w:rPr>
        <w:t>.5.1 分包的一般约定</w:t>
      </w:r>
    </w:p>
    <w:p w14:paraId="590B451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禁止分包的工程包括：</w:t>
      </w:r>
      <w:r>
        <w:rPr>
          <w:rFonts w:hint="eastAsia" w:ascii="宋体" w:hAnsi="宋体" w:cs="宋体"/>
          <w:color w:val="auto"/>
          <w:szCs w:val="21"/>
          <w:highlight w:val="none"/>
          <w:u w:val="single"/>
          <w:lang w:val="en-US" w:eastAsia="zh-CN"/>
        </w:rPr>
        <w:t>本项目不允许分包</w:t>
      </w:r>
      <w:r>
        <w:rPr>
          <w:rFonts w:hint="eastAsia" w:ascii="宋体" w:hAnsi="宋体" w:cs="宋体"/>
          <w:color w:val="auto"/>
          <w:szCs w:val="21"/>
          <w:highlight w:val="none"/>
        </w:rPr>
        <w:t>。</w:t>
      </w:r>
    </w:p>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14:paraId="1B44FD4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 工程照管与成品、半成品保护</w:t>
      </w:r>
    </w:p>
    <w:p w14:paraId="1E8AF2DA">
      <w:pPr>
        <w:snapToGrid w:val="0"/>
        <w:spacing w:line="360"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rPr>
        <w:t>承包人负责照管工程及工程相关的材料、工程设备的起始时间：</w:t>
      </w:r>
      <w:r>
        <w:rPr>
          <w:rFonts w:hint="eastAsia" w:ascii="宋体" w:hAnsi="宋体"/>
          <w:color w:val="auto"/>
          <w:kern w:val="0"/>
          <w:szCs w:val="21"/>
          <w:highlight w:val="none"/>
          <w:u w:val="single"/>
        </w:rPr>
        <w:t>执行通用条款</w:t>
      </w:r>
      <w:r>
        <w:rPr>
          <w:rFonts w:hint="eastAsia" w:ascii="宋体" w:hAnsi="宋体" w:cs="宋体"/>
          <w:color w:val="auto"/>
          <w:kern w:val="0"/>
          <w:szCs w:val="21"/>
          <w:highlight w:val="none"/>
        </w:rPr>
        <w:t>。</w:t>
      </w:r>
    </w:p>
    <w:p w14:paraId="7E56BA8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 履约担保</w:t>
      </w:r>
    </w:p>
    <w:p w14:paraId="5421A42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承包人是否提供履约担保：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CEE654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承包人提供履约担保的形式、金额及期限的：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8BD966A">
      <w:pPr>
        <w:pStyle w:val="5"/>
        <w:snapToGrid w:val="0"/>
        <w:spacing w:before="0" w:after="0" w:line="360" w:lineRule="auto"/>
        <w:rPr>
          <w:rFonts w:ascii="宋体" w:hAnsi="宋体" w:eastAsia="宋体" w:cs="宋体"/>
          <w:b w:val="0"/>
          <w:color w:val="auto"/>
          <w:sz w:val="21"/>
          <w:szCs w:val="21"/>
          <w:highlight w:val="none"/>
        </w:rPr>
      </w:pPr>
      <w:bookmarkStart w:id="605" w:name="_Toc351203636"/>
      <w:r>
        <w:rPr>
          <w:rFonts w:hint="eastAsia" w:ascii="宋体" w:hAnsi="宋体" w:eastAsia="宋体" w:cs="宋体"/>
          <w:b w:val="0"/>
          <w:color w:val="auto"/>
          <w:sz w:val="21"/>
          <w:szCs w:val="21"/>
          <w:highlight w:val="none"/>
        </w:rPr>
        <w:t>4</w:t>
      </w:r>
      <w:bookmarkStart w:id="606" w:name="_Toc296890990"/>
      <w:bookmarkStart w:id="607" w:name="_Toc292559871"/>
      <w:bookmarkStart w:id="608" w:name="_Toc296944501"/>
      <w:bookmarkStart w:id="609" w:name="_Toc296891202"/>
      <w:bookmarkStart w:id="610" w:name="_Toc296346663"/>
      <w:bookmarkStart w:id="611" w:name="_Toc296347161"/>
      <w:bookmarkStart w:id="612" w:name="_Toc267251413"/>
      <w:bookmarkStart w:id="613" w:name="_Toc296503162"/>
      <w:bookmarkStart w:id="614" w:name="_Toc297048348"/>
      <w:bookmarkStart w:id="615" w:name="_Toc292559366"/>
      <w:bookmarkStart w:id="616" w:name="_Toc297120462"/>
      <w:r>
        <w:rPr>
          <w:rFonts w:hint="eastAsia" w:ascii="宋体" w:hAnsi="宋体" w:eastAsia="宋体" w:cs="宋体"/>
          <w:b w:val="0"/>
          <w:color w:val="auto"/>
          <w:sz w:val="21"/>
          <w:szCs w:val="21"/>
          <w:highlight w:val="none"/>
        </w:rPr>
        <w:t>. 监</w:t>
      </w:r>
      <w:bookmarkEnd w:id="606"/>
      <w:bookmarkEnd w:id="607"/>
      <w:bookmarkEnd w:id="608"/>
      <w:bookmarkEnd w:id="609"/>
      <w:bookmarkEnd w:id="610"/>
      <w:bookmarkEnd w:id="611"/>
      <w:bookmarkEnd w:id="612"/>
      <w:bookmarkEnd w:id="613"/>
      <w:bookmarkEnd w:id="614"/>
      <w:bookmarkEnd w:id="615"/>
      <w:bookmarkEnd w:id="616"/>
      <w:r>
        <w:rPr>
          <w:rFonts w:hint="eastAsia" w:ascii="宋体" w:hAnsi="宋体" w:eastAsia="宋体" w:cs="宋体"/>
          <w:b w:val="0"/>
          <w:color w:val="auto"/>
          <w:sz w:val="21"/>
          <w:szCs w:val="21"/>
          <w:highlight w:val="none"/>
        </w:rPr>
        <w:t>理人</w:t>
      </w:r>
      <w:bookmarkEnd w:id="605"/>
    </w:p>
    <w:p w14:paraId="4B0FF2B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4.1监理人的一般规定</w:t>
      </w:r>
    </w:p>
    <w:p w14:paraId="04BD743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关于监理人的监理内容：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45872B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关于监理人的监理权限：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0AD8876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关于监理人在施工现场的办公场所、生活场所的提供和费用承担的约定：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FA5CE8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 监理人员</w:t>
      </w:r>
    </w:p>
    <w:p w14:paraId="2E9085A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总监理工程师：</w:t>
      </w:r>
    </w:p>
    <w:p w14:paraId="562E5F8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1050E5B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18F9A51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监理工程师执业资格证书号：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257E686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6F8CA0C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5747B48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201EA8E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关于监理人的其他约定：</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0116C56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 商定或确定</w:t>
      </w:r>
    </w:p>
    <w:p w14:paraId="20A86667">
      <w:pPr>
        <w:snapToGrid w:val="0"/>
        <w:spacing w:line="360" w:lineRule="auto"/>
        <w:ind w:firstLine="420" w:firstLineChars="200"/>
        <w:rPr>
          <w:rFonts w:ascii="宋体" w:hAnsi="宋体" w:cs="宋体"/>
          <w:color w:val="auto"/>
          <w:szCs w:val="21"/>
          <w:highlight w:val="none"/>
        </w:rPr>
      </w:pPr>
      <w:bookmarkStart w:id="617" w:name="_Toc267251418"/>
      <w:r>
        <w:rPr>
          <w:rFonts w:hint="eastAsia" w:ascii="宋体" w:hAnsi="宋体" w:cs="宋体"/>
          <w:color w:val="auto"/>
          <w:szCs w:val="21"/>
          <w:highlight w:val="none"/>
        </w:rPr>
        <w:t>在发包人和承包人不能通过协商达成一致意见时，发包人授权监理人对以下事项进行确定：</w:t>
      </w:r>
    </w:p>
    <w:p w14:paraId="00FC88F8">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B2B9C3F">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1D1D5B7">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2F1845F">
      <w:pPr>
        <w:pStyle w:val="5"/>
        <w:snapToGrid w:val="0"/>
        <w:spacing w:before="0" w:after="0" w:line="360" w:lineRule="auto"/>
        <w:rPr>
          <w:rFonts w:ascii="宋体" w:hAnsi="宋体" w:eastAsia="宋体" w:cs="宋体"/>
          <w:b w:val="0"/>
          <w:color w:val="auto"/>
          <w:sz w:val="21"/>
          <w:szCs w:val="21"/>
          <w:highlight w:val="none"/>
        </w:rPr>
      </w:pPr>
      <w:bookmarkStart w:id="618" w:name="_Toc351203637"/>
      <w:r>
        <w:rPr>
          <w:rFonts w:hint="eastAsia" w:ascii="宋体" w:hAnsi="宋体" w:eastAsia="宋体" w:cs="宋体"/>
          <w:b w:val="0"/>
          <w:color w:val="auto"/>
          <w:sz w:val="21"/>
          <w:szCs w:val="21"/>
          <w:highlight w:val="none"/>
        </w:rPr>
        <w:t>5</w:t>
      </w:r>
      <w:bookmarkEnd w:id="617"/>
      <w:bookmarkStart w:id="619" w:name="_Toc297120463"/>
      <w:bookmarkStart w:id="620" w:name="_Toc296347162"/>
      <w:bookmarkStart w:id="621" w:name="_Toc296346664"/>
      <w:bookmarkStart w:id="622" w:name="_Toc297048349"/>
      <w:bookmarkStart w:id="623" w:name="_Toc292559367"/>
      <w:bookmarkStart w:id="624" w:name="_Toc296944502"/>
      <w:bookmarkStart w:id="625" w:name="_Toc296891203"/>
      <w:bookmarkStart w:id="626" w:name="_Toc292559872"/>
      <w:bookmarkStart w:id="627" w:name="_Toc296503163"/>
      <w:bookmarkStart w:id="628" w:name="_Toc296890991"/>
      <w:r>
        <w:rPr>
          <w:rFonts w:hint="eastAsia" w:ascii="宋体" w:hAnsi="宋体" w:eastAsia="宋体" w:cs="宋体"/>
          <w:b w:val="0"/>
          <w:color w:val="auto"/>
          <w:sz w:val="21"/>
          <w:szCs w:val="21"/>
          <w:highlight w:val="none"/>
        </w:rPr>
        <w:t>. 工程质量</w:t>
      </w:r>
      <w:bookmarkEnd w:id="618"/>
    </w:p>
    <w:p w14:paraId="344473DD">
      <w:pPr>
        <w:snapToGrid w:val="0"/>
        <w:spacing w:line="360" w:lineRule="auto"/>
        <w:ind w:firstLine="420" w:firstLineChars="200"/>
        <w:outlineLvl w:val="0"/>
        <w:rPr>
          <w:rFonts w:ascii="宋体" w:hAnsi="宋体" w:cs="宋体"/>
          <w:color w:val="auto"/>
          <w:szCs w:val="21"/>
          <w:highlight w:val="none"/>
        </w:rPr>
      </w:pPr>
      <w:bookmarkStart w:id="629" w:name="_Toc9941"/>
      <w:r>
        <w:rPr>
          <w:rFonts w:hint="eastAsia" w:ascii="宋体" w:hAnsi="宋体" w:cs="宋体"/>
          <w:color w:val="auto"/>
          <w:szCs w:val="21"/>
          <w:highlight w:val="none"/>
        </w:rPr>
        <w:t>5.1 质量要求</w:t>
      </w:r>
      <w:bookmarkEnd w:id="629"/>
    </w:p>
    <w:p w14:paraId="6A46001E">
      <w:pPr>
        <w:snapToGrid w:val="0"/>
        <w:spacing w:line="360" w:lineRule="auto"/>
        <w:ind w:firstLine="420" w:firstLineChars="200"/>
        <w:jc w:val="left"/>
        <w:rPr>
          <w:rFonts w:ascii="宋体" w:hAnsi="宋体" w:cs="宋体"/>
          <w:color w:val="auto"/>
          <w:szCs w:val="21"/>
          <w:highlight w:val="none"/>
        </w:rPr>
      </w:pPr>
      <w:bookmarkStart w:id="630" w:name="_Toc297216155"/>
      <w:bookmarkStart w:id="631" w:name="_Toc300934949"/>
      <w:bookmarkStart w:id="632" w:name="_Toc304295527"/>
      <w:bookmarkStart w:id="633" w:name="_Toc312677997"/>
      <w:bookmarkStart w:id="634" w:name="_Toc303539106"/>
      <w:bookmarkStart w:id="635" w:name="_Toc318581164"/>
      <w:bookmarkStart w:id="636" w:name="_Toc297123496"/>
      <w:r>
        <w:rPr>
          <w:rFonts w:hint="eastAsia" w:ascii="宋体" w:hAnsi="宋体"/>
          <w:color w:val="auto"/>
          <w:szCs w:val="21"/>
          <w:highlight w:val="none"/>
          <w:u w:val="single"/>
        </w:rPr>
        <w:t>按国家、地方相关验收规定验收一次性验收合格</w:t>
      </w:r>
      <w:r>
        <w:rPr>
          <w:rFonts w:hint="eastAsia" w:ascii="宋体" w:hAnsi="宋体" w:cs="宋体"/>
          <w:color w:val="auto"/>
          <w:szCs w:val="21"/>
          <w:highlight w:val="none"/>
        </w:rPr>
        <w:t>。</w:t>
      </w:r>
    </w:p>
    <w:p w14:paraId="5FFE7289">
      <w:pPr>
        <w:pStyle w:val="5"/>
        <w:snapToGrid w:val="0"/>
        <w:spacing w:before="0" w:after="0" w:line="360" w:lineRule="auto"/>
        <w:rPr>
          <w:rFonts w:ascii="宋体" w:hAnsi="宋体" w:eastAsia="宋体" w:cs="宋体"/>
          <w:b w:val="0"/>
          <w:color w:val="auto"/>
          <w:sz w:val="21"/>
          <w:szCs w:val="21"/>
          <w:highlight w:val="none"/>
        </w:rPr>
      </w:pPr>
      <w:bookmarkStart w:id="637" w:name="_Toc351203638"/>
      <w:r>
        <w:rPr>
          <w:rFonts w:hint="eastAsia" w:ascii="宋体" w:hAnsi="宋体" w:eastAsia="宋体" w:cs="宋体"/>
          <w:b w:val="0"/>
          <w:color w:val="auto"/>
          <w:sz w:val="21"/>
          <w:szCs w:val="21"/>
          <w:highlight w:val="none"/>
        </w:rPr>
        <w:t>6. 安全文明施工与环境保护</w:t>
      </w:r>
      <w:bookmarkEnd w:id="637"/>
    </w:p>
    <w:p w14:paraId="1121F7E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6.1安全文明施工</w:t>
      </w:r>
    </w:p>
    <w:p w14:paraId="7891BA4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6.1.1 项目安全生产的达标目标及相应事项的约定：</w:t>
      </w:r>
      <w:r>
        <w:rPr>
          <w:rFonts w:hint="eastAsia" w:ascii="宋体" w:hAnsi="宋体"/>
          <w:color w:val="auto"/>
          <w:szCs w:val="21"/>
          <w:highlight w:val="none"/>
          <w:u w:val="single"/>
        </w:rPr>
        <w:t>合格</w:t>
      </w:r>
      <w:r>
        <w:rPr>
          <w:rFonts w:hint="eastAsia" w:ascii="宋体" w:hAnsi="宋体" w:cs="宋体"/>
          <w:color w:val="auto"/>
          <w:szCs w:val="21"/>
          <w:highlight w:val="none"/>
        </w:rPr>
        <w:t>。</w:t>
      </w:r>
    </w:p>
    <w:p w14:paraId="14A9034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6.1.4 关于治安保卫的特别约定：</w:t>
      </w:r>
      <w:r>
        <w:rPr>
          <w:rFonts w:hint="eastAsia" w:ascii="宋体" w:hAnsi="宋体"/>
          <w:color w:val="auto"/>
          <w:szCs w:val="21"/>
          <w:highlight w:val="none"/>
          <w:u w:val="single"/>
        </w:rPr>
        <w:t>执行通用条款</w:t>
      </w:r>
      <w:r>
        <w:rPr>
          <w:rFonts w:hint="eastAsia" w:ascii="宋体" w:hAnsi="宋体" w:cs="宋体"/>
          <w:color w:val="auto"/>
          <w:szCs w:val="21"/>
          <w:highlight w:val="none"/>
        </w:rPr>
        <w:t>。</w:t>
      </w:r>
    </w:p>
    <w:p w14:paraId="7AE87E1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6.1.5 文明施工</w:t>
      </w:r>
    </w:p>
    <w:p w14:paraId="45EA510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合同当事人对文明施工的要求：</w:t>
      </w:r>
      <w:r>
        <w:rPr>
          <w:rFonts w:hint="eastAsia" w:ascii="宋体" w:hAnsi="宋体"/>
          <w:color w:val="auto"/>
          <w:szCs w:val="21"/>
          <w:highlight w:val="none"/>
          <w:u w:val="single"/>
        </w:rPr>
        <w:t>文明施工应按《宁波市建设工程文明施工管理规定》文件要求执行</w:t>
      </w:r>
      <w:r>
        <w:rPr>
          <w:rFonts w:hint="eastAsia" w:ascii="宋体" w:hAnsi="宋体" w:cs="宋体"/>
          <w:color w:val="auto"/>
          <w:szCs w:val="21"/>
          <w:highlight w:val="none"/>
        </w:rPr>
        <w:t>。</w:t>
      </w:r>
    </w:p>
    <w:p w14:paraId="542E18C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6.1.6 关于安全文明施工费支付比例和支付期限的约定：</w:t>
      </w:r>
      <w:r>
        <w:rPr>
          <w:rFonts w:hint="eastAsia" w:ascii="宋体" w:hAnsi="宋体"/>
          <w:color w:val="auto"/>
          <w:szCs w:val="21"/>
          <w:highlight w:val="none"/>
          <w:u w:val="single"/>
        </w:rPr>
        <w:t>/</w:t>
      </w:r>
      <w:r>
        <w:rPr>
          <w:rFonts w:hint="eastAsia" w:ascii="宋体" w:hAnsi="宋体" w:cs="宋体"/>
          <w:color w:val="auto"/>
          <w:szCs w:val="21"/>
          <w:highlight w:val="none"/>
        </w:rPr>
        <w:t>。</w:t>
      </w:r>
    </w:p>
    <w:bookmarkEnd w:id="630"/>
    <w:bookmarkEnd w:id="631"/>
    <w:bookmarkEnd w:id="632"/>
    <w:bookmarkEnd w:id="633"/>
    <w:bookmarkEnd w:id="634"/>
    <w:bookmarkEnd w:id="635"/>
    <w:bookmarkEnd w:id="636"/>
    <w:p w14:paraId="5A8DD333">
      <w:pPr>
        <w:pStyle w:val="5"/>
        <w:snapToGrid w:val="0"/>
        <w:spacing w:before="0" w:after="0" w:line="360" w:lineRule="auto"/>
        <w:rPr>
          <w:rFonts w:ascii="宋体" w:hAnsi="宋体" w:eastAsia="宋体" w:cs="宋体"/>
          <w:b w:val="0"/>
          <w:color w:val="auto"/>
          <w:sz w:val="21"/>
          <w:szCs w:val="21"/>
          <w:highlight w:val="none"/>
        </w:rPr>
      </w:pPr>
      <w:bookmarkStart w:id="638" w:name="_Toc351203639"/>
      <w:r>
        <w:rPr>
          <w:rFonts w:hint="eastAsia" w:ascii="宋体" w:hAnsi="宋体" w:eastAsia="宋体" w:cs="宋体"/>
          <w:b w:val="0"/>
          <w:color w:val="auto"/>
          <w:sz w:val="21"/>
          <w:szCs w:val="21"/>
          <w:highlight w:val="none"/>
        </w:rPr>
        <w:t>7. 工期和进度</w:t>
      </w:r>
      <w:bookmarkEnd w:id="638"/>
    </w:p>
    <w:p w14:paraId="6CD45FC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7.1 施工组织设计</w:t>
      </w:r>
    </w:p>
    <w:p w14:paraId="02D4C2E6">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7.1.1 合</w:t>
      </w:r>
      <w:r>
        <w:rPr>
          <w:rFonts w:hint="eastAsia" w:ascii="宋体" w:hAnsi="宋体" w:cs="宋体"/>
          <w:color w:val="auto"/>
          <w:kern w:val="0"/>
          <w:szCs w:val="21"/>
          <w:highlight w:val="none"/>
        </w:rPr>
        <w:t>同当事人约定的施工组织设计应包括的其他内容：</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rPr>
        <w:t>。</w:t>
      </w:r>
    </w:p>
    <w:p w14:paraId="58FCCA96">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 xml:space="preserve">7.1.2 </w:t>
      </w:r>
      <w:r>
        <w:rPr>
          <w:rFonts w:hint="eastAsia" w:ascii="宋体" w:hAnsi="宋体" w:cs="宋体"/>
          <w:color w:val="auto"/>
          <w:kern w:val="0"/>
          <w:szCs w:val="21"/>
          <w:highlight w:val="none"/>
        </w:rPr>
        <w:t>施工组织设计的提交和修改</w:t>
      </w:r>
    </w:p>
    <w:p w14:paraId="213C8C87">
      <w:pPr>
        <w:autoSpaceDE w:val="0"/>
        <w:autoSpaceDN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承包人提交详细施工组织设计的期限的约定：</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rPr>
        <w:t>。</w:t>
      </w:r>
    </w:p>
    <w:p w14:paraId="282C002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发包人和监理人在收到详细的施工组织设计后确认或提出修改意见的期限：</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rPr>
        <w:t>。</w:t>
      </w:r>
    </w:p>
    <w:p w14:paraId="02DA471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639" w:name="_Toc297216173"/>
      <w:bookmarkStart w:id="640" w:name="_Toc303539123"/>
      <w:bookmarkStart w:id="641" w:name="_Toc304295541"/>
      <w:bookmarkStart w:id="642" w:name="_Toc312677479"/>
      <w:bookmarkStart w:id="643" w:name="_Toc300934966"/>
      <w:bookmarkStart w:id="644" w:name="_Toc312678005"/>
      <w:bookmarkStart w:id="645" w:name="_Toc297123514"/>
      <w:r>
        <w:rPr>
          <w:rFonts w:hint="eastAsia" w:ascii="宋体" w:hAnsi="宋体" w:cs="宋体"/>
          <w:color w:val="auto"/>
          <w:szCs w:val="21"/>
          <w:highlight w:val="none"/>
        </w:rPr>
        <w:t>.2 施工进度计划</w:t>
      </w:r>
    </w:p>
    <w:p w14:paraId="5913728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7.2.2 施工进度计划的修订</w:t>
      </w:r>
    </w:p>
    <w:p w14:paraId="535D8E5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发包人和监理人在收到修订的施工进度计划后确认或提出修改意见的期限：</w:t>
      </w:r>
      <w:r>
        <w:rPr>
          <w:rFonts w:hint="eastAsia" w:ascii="宋体" w:hAnsi="宋体"/>
          <w:color w:val="auto"/>
          <w:szCs w:val="21"/>
          <w:highlight w:val="none"/>
          <w:u w:val="single"/>
        </w:rPr>
        <w:t>收到正式进度计划文件的3日内</w:t>
      </w:r>
      <w:r>
        <w:rPr>
          <w:rFonts w:hint="eastAsia" w:ascii="宋体" w:hAnsi="宋体" w:cs="宋体"/>
          <w:color w:val="auto"/>
          <w:szCs w:val="21"/>
          <w:highlight w:val="none"/>
        </w:rPr>
        <w:t>。</w:t>
      </w:r>
    </w:p>
    <w:p w14:paraId="2ACC70F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 开工</w:t>
      </w:r>
    </w:p>
    <w:p w14:paraId="24B99EA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7.3.1 开工准备</w:t>
      </w:r>
    </w:p>
    <w:p w14:paraId="5EABC1A5">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关于承包人提交</w:t>
      </w:r>
      <w:r>
        <w:rPr>
          <w:rFonts w:hint="eastAsia" w:ascii="宋体" w:hAnsi="宋体" w:cs="宋体"/>
          <w:color w:val="auto"/>
          <w:kern w:val="0"/>
          <w:szCs w:val="21"/>
          <w:highlight w:val="none"/>
        </w:rPr>
        <w:t>工程开工报审表的期限：</w:t>
      </w:r>
      <w:r>
        <w:rPr>
          <w:rFonts w:hint="eastAsia" w:ascii="宋体" w:hAnsi="宋体" w:cs="宋体"/>
          <w:color w:val="auto"/>
          <w:kern w:val="0"/>
          <w:szCs w:val="21"/>
          <w:highlight w:val="none"/>
          <w:u w:val="single"/>
        </w:rPr>
        <w:t>合同签订后3日内</w:t>
      </w:r>
      <w:r>
        <w:rPr>
          <w:rFonts w:hint="eastAsia" w:ascii="宋体" w:hAnsi="宋体" w:cs="宋体"/>
          <w:color w:val="auto"/>
          <w:szCs w:val="21"/>
          <w:highlight w:val="none"/>
        </w:rPr>
        <w:t>。</w:t>
      </w:r>
    </w:p>
    <w:p w14:paraId="6B10E8E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关于发包人应完成的其他开工准备工作及期限：</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rPr>
        <w:t>。</w:t>
      </w:r>
    </w:p>
    <w:p w14:paraId="5DE48F9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关于承包人应完成的其他开工准备工作及期限：</w:t>
      </w:r>
      <w:r>
        <w:rPr>
          <w:rFonts w:hint="eastAsia" w:ascii="宋体" w:hAnsi="宋体" w:cs="宋体"/>
          <w:color w:val="auto"/>
          <w:kern w:val="0"/>
          <w:szCs w:val="21"/>
          <w:highlight w:val="none"/>
          <w:u w:val="single"/>
        </w:rPr>
        <w:t>承包人应在合同签订后3日内完成劳动力、材料、机械的进场安排</w:t>
      </w:r>
      <w:r>
        <w:rPr>
          <w:rFonts w:hint="eastAsia" w:ascii="宋体" w:hAnsi="宋体" w:cs="宋体"/>
          <w:color w:val="auto"/>
          <w:szCs w:val="21"/>
          <w:highlight w:val="none"/>
        </w:rPr>
        <w:t>。</w:t>
      </w:r>
    </w:p>
    <w:p w14:paraId="6B4872D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7.3.2开工通知</w:t>
      </w:r>
    </w:p>
    <w:p w14:paraId="095E79F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因发包人原因造成监理人未能在计划开工日期之日起</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rPr>
        <w:t>天内发出开工通知的，承包人有权提出价格调整要求，或者解除合同。</w:t>
      </w:r>
    </w:p>
    <w:bookmarkEnd w:id="639"/>
    <w:bookmarkEnd w:id="640"/>
    <w:bookmarkEnd w:id="641"/>
    <w:bookmarkEnd w:id="642"/>
    <w:bookmarkEnd w:id="643"/>
    <w:bookmarkEnd w:id="644"/>
    <w:bookmarkEnd w:id="645"/>
    <w:p w14:paraId="7675F22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 测量放线</w:t>
      </w:r>
    </w:p>
    <w:p w14:paraId="323BED05">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7.4.1发包人通过监理人向承包人提供测量基准点、基准线和水准点及其书面资料的期限：</w:t>
      </w:r>
      <w:r>
        <w:rPr>
          <w:rFonts w:hint="eastAsia" w:ascii="宋体" w:hAnsi="宋体" w:cs="宋体"/>
          <w:color w:val="auto"/>
          <w:kern w:val="0"/>
          <w:szCs w:val="21"/>
          <w:highlight w:val="none"/>
          <w:u w:val="single"/>
        </w:rPr>
        <w:t>不得晚于合同签订后3天</w:t>
      </w:r>
      <w:r>
        <w:rPr>
          <w:rFonts w:hint="eastAsia" w:ascii="宋体" w:hAnsi="宋体" w:cs="宋体"/>
          <w:color w:val="auto"/>
          <w:szCs w:val="21"/>
          <w:highlight w:val="none"/>
        </w:rPr>
        <w:t>。</w:t>
      </w:r>
    </w:p>
    <w:p w14:paraId="44AB5E8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646" w:name="_Toc303539125"/>
      <w:bookmarkStart w:id="647" w:name="_Toc312677484"/>
      <w:bookmarkStart w:id="648" w:name="_Toc312678010"/>
      <w:bookmarkStart w:id="649" w:name="_Toc300934968"/>
      <w:bookmarkStart w:id="650" w:name="_Toc297123516"/>
      <w:bookmarkStart w:id="651" w:name="_Toc304295546"/>
      <w:bookmarkStart w:id="652" w:name="_Toc297216175"/>
      <w:r>
        <w:rPr>
          <w:rFonts w:hint="eastAsia" w:ascii="宋体" w:hAnsi="宋体" w:cs="宋体"/>
          <w:color w:val="auto"/>
          <w:szCs w:val="21"/>
          <w:highlight w:val="none"/>
        </w:rPr>
        <w:t>.5 工期延误</w:t>
      </w:r>
    </w:p>
    <w:bookmarkEnd w:id="646"/>
    <w:bookmarkEnd w:id="647"/>
    <w:bookmarkEnd w:id="648"/>
    <w:bookmarkEnd w:id="649"/>
    <w:bookmarkEnd w:id="650"/>
    <w:bookmarkEnd w:id="651"/>
    <w:bookmarkEnd w:id="652"/>
    <w:p w14:paraId="3E45766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7.5.1 因发包人原因导致工期延误</w:t>
      </w:r>
    </w:p>
    <w:p w14:paraId="74FB092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（7）因发包人原因导致工期延误的其他情形：</w:t>
      </w:r>
      <w:r>
        <w:rPr>
          <w:rFonts w:hint="eastAsia" w:ascii="宋体" w:hAnsi="宋体" w:cs="宋体"/>
          <w:color w:val="auto"/>
          <w:kern w:val="0"/>
          <w:szCs w:val="21"/>
          <w:highlight w:val="none"/>
          <w:u w:val="single"/>
        </w:rPr>
        <w:t>/</w:t>
      </w:r>
      <w:r>
        <w:rPr>
          <w:rFonts w:hint="eastAsia" w:ascii="宋体" w:hAnsi="宋体" w:cs="宋体"/>
          <w:color w:val="auto"/>
          <w:szCs w:val="21"/>
          <w:highlight w:val="none"/>
        </w:rPr>
        <w:t>。</w:t>
      </w:r>
    </w:p>
    <w:p w14:paraId="1758B09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w:t>
      </w:r>
      <w:bookmarkStart w:id="653" w:name="_Toc312678012"/>
      <w:bookmarkStart w:id="654" w:name="_Toc318581169"/>
      <w:bookmarkStart w:id="655" w:name="_Toc312677486"/>
      <w:bookmarkStart w:id="656" w:name="_Toc304295548"/>
      <w:bookmarkStart w:id="657" w:name="_Toc297123518"/>
      <w:bookmarkStart w:id="658" w:name="_Toc300934970"/>
      <w:bookmarkStart w:id="659" w:name="_Toc297216177"/>
      <w:bookmarkStart w:id="660" w:name="_Toc303539127"/>
      <w:r>
        <w:rPr>
          <w:rFonts w:hint="eastAsia" w:ascii="宋体" w:hAnsi="宋体" w:cs="宋体"/>
          <w:color w:val="auto"/>
          <w:szCs w:val="21"/>
          <w:highlight w:val="none"/>
        </w:rPr>
        <w:t>.5.2 因承包人原因导致工期延误</w:t>
      </w:r>
    </w:p>
    <w:bookmarkEnd w:id="653"/>
    <w:bookmarkEnd w:id="654"/>
    <w:bookmarkEnd w:id="655"/>
    <w:p w14:paraId="608BDB3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w:t>
      </w:r>
      <w:bookmarkStart w:id="661" w:name="_Toc312678013"/>
      <w:bookmarkStart w:id="662" w:name="_Toc312677487"/>
      <w:bookmarkStart w:id="663" w:name="_Toc318581170"/>
      <w:r>
        <w:rPr>
          <w:rFonts w:hint="eastAsia" w:ascii="宋体" w:hAnsi="宋体" w:cs="宋体"/>
          <w:color w:val="auto"/>
          <w:szCs w:val="21"/>
          <w:highlight w:val="none"/>
        </w:rPr>
        <w:t>承包人原因造成工期延误，逾期竣工违约金的计算方法为：</w:t>
      </w:r>
      <w:r>
        <w:rPr>
          <w:rFonts w:hint="eastAsia" w:ascii="宋体" w:hAnsi="宋体" w:cs="宋体"/>
          <w:color w:val="auto"/>
          <w:kern w:val="0"/>
          <w:szCs w:val="21"/>
          <w:highlight w:val="none"/>
          <w:u w:val="single"/>
        </w:rPr>
        <w:t>因承包人原因造成工期延误，逾期竣工违约金的计算方法根据“投标函附录”承诺确定，为 1000 元/天</w:t>
      </w:r>
      <w:r>
        <w:rPr>
          <w:rFonts w:hint="eastAsia" w:ascii="宋体" w:hAnsi="宋体" w:cs="宋体"/>
          <w:color w:val="auto"/>
          <w:szCs w:val="21"/>
          <w:highlight w:val="none"/>
        </w:rPr>
        <w:t>。</w:t>
      </w:r>
      <w:bookmarkEnd w:id="656"/>
      <w:bookmarkEnd w:id="657"/>
      <w:bookmarkEnd w:id="658"/>
      <w:bookmarkEnd w:id="659"/>
      <w:bookmarkEnd w:id="660"/>
      <w:bookmarkEnd w:id="661"/>
      <w:bookmarkEnd w:id="662"/>
    </w:p>
    <w:bookmarkEnd w:id="663"/>
    <w:p w14:paraId="5C9ADC0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因承包人原因造成工期延误，逾</w:t>
      </w:r>
      <w:bookmarkStart w:id="664" w:name="_Toc318581171"/>
      <w:bookmarkStart w:id="665" w:name="_Toc312678014"/>
      <w:r>
        <w:rPr>
          <w:rFonts w:hint="eastAsia" w:ascii="宋体" w:hAnsi="宋体" w:cs="宋体"/>
          <w:color w:val="auto"/>
          <w:szCs w:val="21"/>
          <w:highlight w:val="none"/>
        </w:rPr>
        <w:t>期竣工违约金的上限：</w:t>
      </w:r>
      <w:r>
        <w:rPr>
          <w:rFonts w:hint="eastAsia" w:ascii="宋体" w:hAnsi="宋体" w:cs="宋体"/>
          <w:color w:val="auto"/>
          <w:kern w:val="0"/>
          <w:szCs w:val="21"/>
          <w:highlight w:val="none"/>
          <w:u w:val="single"/>
        </w:rPr>
        <w:t>合同结算价款15%</w:t>
      </w:r>
      <w:r>
        <w:rPr>
          <w:rFonts w:hint="eastAsia" w:ascii="宋体" w:hAnsi="宋体" w:cs="宋体"/>
          <w:color w:val="auto"/>
          <w:szCs w:val="21"/>
          <w:highlight w:val="none"/>
        </w:rPr>
        <w:t>。</w:t>
      </w:r>
    </w:p>
    <w:bookmarkEnd w:id="664"/>
    <w:bookmarkEnd w:id="665"/>
    <w:p w14:paraId="05FDBFC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666" w:name="_Toc297123519"/>
      <w:bookmarkStart w:id="667" w:name="_Toc304295549"/>
      <w:bookmarkStart w:id="668" w:name="_Toc312678015"/>
      <w:bookmarkStart w:id="669" w:name="_Toc303539128"/>
      <w:bookmarkStart w:id="670" w:name="_Toc300934971"/>
      <w:bookmarkStart w:id="671" w:name="_Toc297216178"/>
      <w:r>
        <w:rPr>
          <w:rFonts w:hint="eastAsia" w:ascii="宋体" w:hAnsi="宋体" w:cs="宋体"/>
          <w:color w:val="auto"/>
          <w:szCs w:val="21"/>
          <w:highlight w:val="none"/>
        </w:rPr>
        <w:t>.6 不</w:t>
      </w:r>
      <w:bookmarkEnd w:id="666"/>
      <w:bookmarkEnd w:id="667"/>
      <w:bookmarkEnd w:id="668"/>
      <w:bookmarkEnd w:id="669"/>
      <w:bookmarkEnd w:id="670"/>
      <w:bookmarkEnd w:id="671"/>
      <w:r>
        <w:rPr>
          <w:rFonts w:hint="eastAsia" w:ascii="宋体" w:hAnsi="宋体" w:cs="宋体"/>
          <w:color w:val="auto"/>
          <w:szCs w:val="21"/>
          <w:highlight w:val="none"/>
        </w:rPr>
        <w:t>利物质条件</w:t>
      </w:r>
    </w:p>
    <w:p w14:paraId="50E1F018">
      <w:pPr>
        <w:snapToGrid w:val="0"/>
        <w:spacing w:line="360" w:lineRule="auto"/>
        <w:ind w:firstLine="420" w:firstLineChars="200"/>
        <w:jc w:val="left"/>
        <w:rPr>
          <w:rFonts w:ascii="宋体" w:hAnsi="宋体" w:cs="宋体"/>
          <w:color w:val="auto"/>
          <w:szCs w:val="21"/>
          <w:highlight w:val="none"/>
        </w:rPr>
      </w:pPr>
      <w:bookmarkStart w:id="672" w:name="_Toc303539129"/>
      <w:bookmarkStart w:id="673" w:name="_Toc297123520"/>
      <w:bookmarkStart w:id="674" w:name="_Toc304295550"/>
      <w:bookmarkStart w:id="675" w:name="_Toc318581172"/>
      <w:bookmarkStart w:id="676" w:name="_Toc297216179"/>
      <w:bookmarkStart w:id="677" w:name="_Toc312678016"/>
      <w:bookmarkStart w:id="678" w:name="_Toc300934972"/>
      <w:r>
        <w:rPr>
          <w:rFonts w:hint="eastAsia" w:ascii="宋体" w:hAnsi="宋体" w:cs="宋体"/>
          <w:color w:val="auto"/>
          <w:szCs w:val="21"/>
          <w:highlight w:val="none"/>
        </w:rPr>
        <w:t>不利物质条件的其他情形和有关约定：</w:t>
      </w:r>
      <w:r>
        <w:rPr>
          <w:rFonts w:hint="eastAsia" w:ascii="宋体" w:hAnsi="宋体" w:cs="宋体"/>
          <w:color w:val="auto"/>
          <w:kern w:val="0"/>
          <w:szCs w:val="21"/>
          <w:highlight w:val="none"/>
          <w:u w:val="single"/>
        </w:rPr>
        <w:t>地勘资料未涉及的地下管道、文物、岩层等，但不包括气候条件</w:t>
      </w:r>
      <w:r>
        <w:rPr>
          <w:rFonts w:hint="eastAsia" w:ascii="宋体" w:hAnsi="宋体" w:cs="宋体"/>
          <w:color w:val="auto"/>
          <w:szCs w:val="21"/>
          <w:highlight w:val="none"/>
        </w:rPr>
        <w:t>。</w:t>
      </w:r>
    </w:p>
    <w:bookmarkEnd w:id="672"/>
    <w:bookmarkEnd w:id="673"/>
    <w:bookmarkEnd w:id="674"/>
    <w:bookmarkEnd w:id="675"/>
    <w:bookmarkEnd w:id="676"/>
    <w:bookmarkEnd w:id="677"/>
    <w:bookmarkEnd w:id="678"/>
    <w:p w14:paraId="5690192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679" w:name="_Toc297216180"/>
      <w:bookmarkStart w:id="680" w:name="_Toc312678017"/>
      <w:bookmarkStart w:id="681" w:name="_Toc304295551"/>
      <w:bookmarkStart w:id="682" w:name="_Toc303539130"/>
      <w:bookmarkStart w:id="683" w:name="_Toc297123521"/>
      <w:bookmarkStart w:id="684" w:name="_Toc300934973"/>
      <w:r>
        <w:rPr>
          <w:rFonts w:hint="eastAsia" w:ascii="宋体" w:hAnsi="宋体" w:cs="宋体"/>
          <w:color w:val="auto"/>
          <w:szCs w:val="21"/>
          <w:highlight w:val="none"/>
        </w:rPr>
        <w:t>.7异常恶劣的气候条件</w:t>
      </w:r>
    </w:p>
    <w:bookmarkEnd w:id="679"/>
    <w:bookmarkEnd w:id="680"/>
    <w:bookmarkEnd w:id="681"/>
    <w:bookmarkEnd w:id="682"/>
    <w:bookmarkEnd w:id="683"/>
    <w:bookmarkEnd w:id="684"/>
    <w:p w14:paraId="46514E9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发包人和承包人同意以下情形视为异常恶劣的气候条件：</w:t>
      </w:r>
    </w:p>
    <w:p w14:paraId="46299DE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Cs/>
          <w:color w:val="auto"/>
          <w:highlight w:val="none"/>
          <w:u w:val="single"/>
        </w:rPr>
        <w:t>以宁波市气象部门公布的达到灾害标准的气象条件为准</w:t>
      </w:r>
      <w:r>
        <w:rPr>
          <w:rFonts w:hint="eastAsia" w:ascii="宋体" w:hAnsi="宋体" w:cs="宋体"/>
          <w:color w:val="auto"/>
          <w:szCs w:val="21"/>
          <w:highlight w:val="none"/>
        </w:rPr>
        <w:t>。</w:t>
      </w:r>
    </w:p>
    <w:p w14:paraId="0201B79D">
      <w:pPr>
        <w:snapToGrid w:val="0"/>
        <w:spacing w:line="360" w:lineRule="auto"/>
        <w:ind w:firstLine="420" w:firstLineChars="200"/>
        <w:outlineLvl w:val="0"/>
        <w:rPr>
          <w:rFonts w:ascii="宋体" w:hAnsi="宋体" w:cs="宋体"/>
          <w:color w:val="auto"/>
          <w:szCs w:val="21"/>
          <w:highlight w:val="none"/>
        </w:rPr>
      </w:pPr>
      <w:bookmarkStart w:id="685" w:name="_Toc9143"/>
      <w:r>
        <w:rPr>
          <w:rFonts w:hint="eastAsia" w:ascii="宋体" w:hAnsi="宋体" w:cs="宋体"/>
          <w:color w:val="auto"/>
          <w:szCs w:val="21"/>
          <w:highlight w:val="none"/>
        </w:rPr>
        <w:t>7.9 提前竣工的奖励</w:t>
      </w:r>
      <w:bookmarkEnd w:id="685"/>
    </w:p>
    <w:p w14:paraId="61638BF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7.9.2提前竣工的奖励：</w:t>
      </w:r>
      <w:r>
        <w:rPr>
          <w:rFonts w:hint="eastAsia" w:ascii="宋体" w:hAnsi="宋体"/>
          <w:color w:val="auto"/>
          <w:szCs w:val="21"/>
          <w:highlight w:val="none"/>
          <w:u w:val="single"/>
        </w:rPr>
        <w:t>/</w:t>
      </w:r>
      <w:r>
        <w:rPr>
          <w:rFonts w:hint="eastAsia" w:ascii="宋体" w:hAnsi="宋体" w:cs="宋体"/>
          <w:color w:val="auto"/>
          <w:szCs w:val="21"/>
          <w:highlight w:val="none"/>
        </w:rPr>
        <w:t>。</w:t>
      </w:r>
    </w:p>
    <w:p w14:paraId="17C056F8">
      <w:pPr>
        <w:pStyle w:val="5"/>
        <w:snapToGrid w:val="0"/>
        <w:spacing w:before="0" w:after="0" w:line="360" w:lineRule="auto"/>
        <w:rPr>
          <w:rFonts w:ascii="宋体" w:hAnsi="宋体" w:eastAsia="宋体" w:cs="宋体"/>
          <w:b w:val="0"/>
          <w:color w:val="auto"/>
          <w:sz w:val="21"/>
          <w:szCs w:val="21"/>
          <w:highlight w:val="none"/>
        </w:rPr>
      </w:pPr>
      <w:bookmarkStart w:id="686" w:name="_Toc351203640"/>
      <w:r>
        <w:rPr>
          <w:rFonts w:hint="eastAsia" w:ascii="宋体" w:hAnsi="宋体" w:eastAsia="宋体" w:cs="宋体"/>
          <w:b w:val="0"/>
          <w:color w:val="auto"/>
          <w:sz w:val="21"/>
          <w:szCs w:val="21"/>
          <w:highlight w:val="none"/>
        </w:rPr>
        <w:t>8. 材料与设备</w:t>
      </w:r>
      <w:bookmarkEnd w:id="686"/>
    </w:p>
    <w:bookmarkEnd w:id="619"/>
    <w:bookmarkEnd w:id="620"/>
    <w:bookmarkEnd w:id="621"/>
    <w:bookmarkEnd w:id="622"/>
    <w:bookmarkEnd w:id="623"/>
    <w:bookmarkEnd w:id="624"/>
    <w:bookmarkEnd w:id="625"/>
    <w:bookmarkEnd w:id="626"/>
    <w:bookmarkEnd w:id="627"/>
    <w:bookmarkEnd w:id="628"/>
    <w:p w14:paraId="24263CBE">
      <w:pPr>
        <w:pStyle w:val="968"/>
        <w:spacing w:line="360" w:lineRule="auto"/>
        <w:ind w:firstLine="420" w:firstLineChars="200"/>
        <w:rPr>
          <w:rFonts w:ascii="宋体" w:hAnsi="宋体" w:eastAsia="宋体" w:cs="宋体"/>
          <w:b w:val="0"/>
          <w:sz w:val="21"/>
          <w:szCs w:val="21"/>
          <w:highlight w:val="none"/>
        </w:rPr>
      </w:pPr>
      <w:r>
        <w:rPr>
          <w:rFonts w:hint="eastAsia" w:ascii="宋体" w:hAnsi="宋体" w:eastAsia="宋体" w:cs="宋体"/>
          <w:b w:val="0"/>
          <w:sz w:val="21"/>
          <w:szCs w:val="21"/>
          <w:highlight w:val="none"/>
        </w:rPr>
        <w:t>8.2承包人采购材料与工程设备</w:t>
      </w:r>
    </w:p>
    <w:p w14:paraId="12D9D919">
      <w:pPr>
        <w:snapToGrid w:val="0"/>
        <w:spacing w:line="360" w:lineRule="auto"/>
        <w:ind w:firstLine="420" w:firstLineChars="200"/>
        <w:rPr>
          <w:rFonts w:hint="eastAsia" w:ascii="宋体" w:hAnsi="宋体" w:cs="宋体"/>
          <w:color w:val="auto"/>
          <w:szCs w:val="21"/>
          <w:highlight w:val="none"/>
        </w:rPr>
      </w:pPr>
      <w:r>
        <w:rPr>
          <w:rFonts w:hint="eastAsia" w:ascii="宋体" w:hAnsi="宋体" w:eastAsia="宋体" w:cs="宋体"/>
          <w:b w:val="0"/>
          <w:sz w:val="21"/>
          <w:szCs w:val="21"/>
          <w:highlight w:val="none"/>
        </w:rPr>
        <w:t>8.2.1（1）承包人采购的材料设备须符合设计和相关标准、规范的要求；主要及重要材料的品牌及价格均应经发包人和其委托的工程师签证确认，特殊材料由发包人确认，价格如无信息价则经双方签证确认，重要材料、设备等，需经发包人确认品牌型号，颜色，规格，尺寸等，承包人方可使用。（2）承包人在定购材料和设备前将材料的样品、质量、品牌、型号、产地等计划内容报给发包人，发包人、监理人认为有必要派员参加选点、看样，其品牌、型号、性能须经发包人、监理人确认后，承包人方可采购。（3）承包人所采购的材料设备应与磋商时注明的设备、材料、品牌、生产厂家、产地、规格、型号、性能等相符，进场的材料、设备如需变更，必须符合施工图纸要求及采购文件规定的档次、范围，并经过发包人和监理人同意。（4）承包人未按要求采购设备材料必须承担工程的返工损失和工期、质量的违约责任。（5）承包人应积极配合发包人对材料、设备的确认工作，若因确认工作缓慢影响到工期，承包人应承担相应损失。（6）承包人选用的材料设备品牌应参照采购文件中的参考品牌或采用经发包人认可的不低于</w:t>
      </w:r>
      <w:bookmarkStart w:id="687" w:name="ed_2017Y11M23D10H12M26"/>
      <w:r>
        <w:rPr>
          <w:rFonts w:hint="eastAsia" w:ascii="宋体" w:hAnsi="宋体" w:eastAsia="宋体" w:cs="宋体"/>
          <w:b w:val="0"/>
          <w:sz w:val="21"/>
          <w:szCs w:val="21"/>
          <w:highlight w:val="none"/>
        </w:rPr>
        <w:t>参考品牌</w:t>
      </w:r>
      <w:bookmarkEnd w:id="687"/>
      <w:r>
        <w:rPr>
          <w:rFonts w:hint="eastAsia" w:ascii="宋体" w:hAnsi="宋体" w:eastAsia="宋体" w:cs="宋体"/>
          <w:b w:val="0"/>
          <w:sz w:val="21"/>
          <w:szCs w:val="21"/>
          <w:highlight w:val="none"/>
        </w:rPr>
        <w:t>档次的产品，价格不作调整。</w:t>
      </w:r>
    </w:p>
    <w:p w14:paraId="2B32DC0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w:t>
      </w:r>
      <w:bookmarkStart w:id="688" w:name="_Toc297123527"/>
      <w:bookmarkStart w:id="689" w:name="_Toc312678019"/>
      <w:bookmarkStart w:id="690" w:name="_Toc296346668"/>
      <w:bookmarkStart w:id="691" w:name="_Toc280868654"/>
      <w:bookmarkStart w:id="692" w:name="_Toc297120467"/>
      <w:bookmarkStart w:id="693" w:name="_Toc304295556"/>
      <w:bookmarkStart w:id="694" w:name="_Toc292559877"/>
      <w:bookmarkStart w:id="695" w:name="_Toc296503167"/>
      <w:bookmarkStart w:id="696" w:name="_Toc297216186"/>
      <w:bookmarkStart w:id="697" w:name="_Toc296347166"/>
      <w:bookmarkStart w:id="698" w:name="_Toc292559372"/>
      <w:bookmarkStart w:id="699" w:name="_Toc312677493"/>
      <w:bookmarkStart w:id="700" w:name="_Toc296890995"/>
      <w:bookmarkStart w:id="701" w:name="_Toc296891207"/>
      <w:bookmarkStart w:id="702" w:name="_Toc300934979"/>
      <w:bookmarkStart w:id="703" w:name="_Toc303539136"/>
      <w:bookmarkStart w:id="704" w:name="_Toc297048353"/>
      <w:bookmarkStart w:id="705" w:name="_Toc296944506"/>
      <w:bookmarkStart w:id="706" w:name="_Toc280868655"/>
      <w:bookmarkStart w:id="707" w:name="_Toc280868656"/>
      <w:bookmarkStart w:id="708" w:name="_Toc267251424"/>
      <w:r>
        <w:rPr>
          <w:rFonts w:hint="eastAsia" w:ascii="宋体" w:hAnsi="宋体" w:cs="宋体"/>
          <w:color w:val="auto"/>
          <w:szCs w:val="21"/>
          <w:highlight w:val="none"/>
        </w:rPr>
        <w:t>.4材料与工程设备的保管与使用</w:t>
      </w:r>
    </w:p>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14:paraId="07A6A36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w:t>
      </w:r>
      <w:bookmarkStart w:id="709" w:name="_Toc292559878"/>
      <w:bookmarkStart w:id="710" w:name="_Toc292559373"/>
      <w:bookmarkStart w:id="711" w:name="_Toc297120468"/>
      <w:bookmarkStart w:id="712" w:name="_Toc296891208"/>
      <w:bookmarkStart w:id="713" w:name="_Toc297048354"/>
      <w:bookmarkStart w:id="714" w:name="_Toc303539137"/>
      <w:bookmarkStart w:id="715" w:name="_Toc296944507"/>
      <w:bookmarkStart w:id="716" w:name="_Toc296346669"/>
      <w:bookmarkStart w:id="717" w:name="_Toc296503168"/>
      <w:bookmarkStart w:id="718" w:name="_Toc312678020"/>
      <w:bookmarkStart w:id="719" w:name="_Toc312677494"/>
      <w:bookmarkStart w:id="720" w:name="_Toc297123528"/>
      <w:bookmarkStart w:id="721" w:name="_Toc300934980"/>
      <w:bookmarkStart w:id="722" w:name="_Toc296347167"/>
      <w:bookmarkStart w:id="723" w:name="_Toc296890996"/>
      <w:bookmarkStart w:id="724" w:name="_Toc304295557"/>
      <w:bookmarkStart w:id="725" w:name="_Toc318581173"/>
      <w:bookmarkStart w:id="726" w:name="_Toc297216187"/>
      <w:r>
        <w:rPr>
          <w:rFonts w:hint="eastAsia" w:ascii="宋体" w:hAnsi="宋体" w:cs="宋体"/>
          <w:color w:val="auto"/>
          <w:szCs w:val="21"/>
          <w:highlight w:val="none"/>
        </w:rPr>
        <w:t>.4.1发包人供应的材料设备的保管费用的承担：</w:t>
      </w:r>
      <w:r>
        <w:rPr>
          <w:rFonts w:hint="eastAsia" w:ascii="宋体" w:hAnsi="宋体"/>
          <w:color w:val="auto"/>
          <w:szCs w:val="21"/>
          <w:highlight w:val="none"/>
          <w:u w:val="single"/>
        </w:rPr>
        <w:t>执行通用条款</w:t>
      </w:r>
      <w:r>
        <w:rPr>
          <w:rFonts w:hint="eastAsia" w:ascii="宋体" w:hAnsi="宋体" w:cs="宋体"/>
          <w:color w:val="auto"/>
          <w:szCs w:val="21"/>
          <w:highlight w:val="none"/>
        </w:rPr>
        <w:t>。</w:t>
      </w:r>
      <w:bookmarkEnd w:id="709"/>
      <w:bookmarkEnd w:id="710"/>
    </w:p>
    <w:p w14:paraId="41611CF2">
      <w:pPr>
        <w:snapToGrid w:val="0"/>
        <w:spacing w:line="360" w:lineRule="auto"/>
        <w:ind w:firstLine="420" w:firstLineChars="200"/>
        <w:outlineLvl w:val="0"/>
        <w:rPr>
          <w:rFonts w:ascii="宋体" w:hAnsi="宋体" w:cs="宋体"/>
          <w:color w:val="auto"/>
          <w:szCs w:val="21"/>
          <w:highlight w:val="none"/>
        </w:rPr>
      </w:pPr>
      <w:bookmarkStart w:id="727" w:name="_Toc7101"/>
      <w:r>
        <w:rPr>
          <w:rFonts w:hint="eastAsia" w:ascii="宋体" w:hAnsi="宋体" w:cs="宋体"/>
          <w:color w:val="auto"/>
          <w:szCs w:val="21"/>
          <w:highlight w:val="none"/>
        </w:rPr>
        <w:t>8.6 样品</w:t>
      </w:r>
      <w:bookmarkEnd w:id="727"/>
    </w:p>
    <w:p w14:paraId="4C467C10">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8.6.1样品的报送与封存</w:t>
      </w:r>
    </w:p>
    <w:p w14:paraId="50D61B50">
      <w:pPr>
        <w:autoSpaceDE w:val="0"/>
        <w:autoSpaceDN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需要承包人报送样品的材料或工程设备，样品的种类、名称、规格、数量要求：</w:t>
      </w:r>
      <w:r>
        <w:rPr>
          <w:rFonts w:hint="eastAsia" w:ascii="宋体" w:hAnsi="宋体"/>
          <w:color w:val="auto"/>
          <w:szCs w:val="21"/>
          <w:highlight w:val="none"/>
          <w:u w:val="single"/>
        </w:rPr>
        <w:t>执行通用条款</w:t>
      </w:r>
      <w:r>
        <w:rPr>
          <w:rFonts w:hint="eastAsia" w:ascii="宋体" w:hAnsi="宋体" w:cs="宋体"/>
          <w:color w:val="auto"/>
          <w:szCs w:val="21"/>
          <w:highlight w:val="none"/>
        </w:rPr>
        <w:t>。</w:t>
      </w:r>
    </w:p>
    <w:p w14:paraId="76FB3B69">
      <w:pPr>
        <w:snapToGrid w:val="0"/>
        <w:spacing w:line="360" w:lineRule="auto"/>
        <w:ind w:firstLine="420" w:firstLineChars="200"/>
        <w:outlineLvl w:val="0"/>
        <w:rPr>
          <w:rFonts w:ascii="宋体" w:hAnsi="宋体" w:cs="宋体"/>
          <w:color w:val="auto"/>
          <w:szCs w:val="21"/>
          <w:highlight w:val="none"/>
        </w:rPr>
      </w:pPr>
      <w:bookmarkStart w:id="728" w:name="_Toc4056"/>
      <w:r>
        <w:rPr>
          <w:rFonts w:hint="eastAsia" w:ascii="宋体" w:hAnsi="宋体" w:cs="宋体"/>
          <w:color w:val="auto"/>
          <w:szCs w:val="21"/>
          <w:highlight w:val="none"/>
        </w:rPr>
        <w:t>8.8 施工设备和临时设施</w:t>
      </w:r>
      <w:bookmarkEnd w:id="728"/>
    </w:p>
    <w:p w14:paraId="4B18F756">
      <w:pPr>
        <w:autoSpaceDE w:val="0"/>
        <w:autoSpaceDN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8.8.1 承包人提供的施工设备和临时设施</w:t>
      </w:r>
    </w:p>
    <w:p w14:paraId="6FFAC894">
      <w:pPr>
        <w:autoSpaceDE w:val="0"/>
        <w:autoSpaceDN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关于修建临时设施费用承担的约定：</w:t>
      </w:r>
      <w:r>
        <w:rPr>
          <w:rFonts w:hint="eastAsia" w:ascii="宋体" w:hAnsi="宋体"/>
          <w:color w:val="auto"/>
          <w:szCs w:val="21"/>
          <w:highlight w:val="none"/>
          <w:u w:val="single"/>
        </w:rPr>
        <w:t>由承包人承担</w:t>
      </w:r>
      <w:r>
        <w:rPr>
          <w:rFonts w:hint="eastAsia" w:ascii="宋体" w:hAnsi="宋体"/>
          <w:color w:val="auto"/>
          <w:szCs w:val="21"/>
          <w:highlight w:val="none"/>
          <w:u w:val="single"/>
          <w:lang w:val="en-US" w:eastAsia="zh-CN"/>
        </w:rPr>
        <w:t>且</w:t>
      </w:r>
      <w:r>
        <w:rPr>
          <w:rFonts w:hint="eastAsia" w:ascii="宋体" w:hAnsi="宋体" w:cs="宋体"/>
          <w:szCs w:val="21"/>
          <w:highlight w:val="none"/>
          <w:u w:val="single"/>
        </w:rPr>
        <w:t>已包含在合同价款中，结算不另计取</w:t>
      </w:r>
      <w:r>
        <w:rPr>
          <w:rFonts w:hint="eastAsia" w:ascii="宋体" w:hAnsi="宋体" w:cs="宋体"/>
          <w:color w:val="auto"/>
          <w:szCs w:val="21"/>
          <w:highlight w:val="none"/>
        </w:rPr>
        <w:t>。</w:t>
      </w:r>
    </w:p>
    <w:p w14:paraId="026220EF">
      <w:pPr>
        <w:autoSpaceDE w:val="0"/>
        <w:autoSpaceDN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承包人应现场自备发电机组，功率满足不同施工阶段的正常施工需要，不得因外供停电或现场供电容量不足而影响工期，费用不再另计。</w:t>
      </w:r>
    </w:p>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14:paraId="2C108576">
      <w:pPr>
        <w:pStyle w:val="5"/>
        <w:snapToGrid w:val="0"/>
        <w:spacing w:before="0" w:after="0" w:line="360" w:lineRule="auto"/>
        <w:rPr>
          <w:rFonts w:ascii="宋体" w:hAnsi="宋体" w:eastAsia="宋体" w:cs="宋体"/>
          <w:b w:val="0"/>
          <w:color w:val="auto"/>
          <w:sz w:val="21"/>
          <w:szCs w:val="21"/>
          <w:highlight w:val="none"/>
        </w:rPr>
      </w:pPr>
      <w:bookmarkStart w:id="729" w:name="_Toc351203641"/>
      <w:r>
        <w:rPr>
          <w:rFonts w:hint="eastAsia" w:ascii="宋体" w:hAnsi="宋体" w:eastAsia="宋体" w:cs="宋体"/>
          <w:b w:val="0"/>
          <w:color w:val="auto"/>
          <w:sz w:val="21"/>
          <w:szCs w:val="21"/>
          <w:highlight w:val="none"/>
        </w:rPr>
        <w:t>9</w:t>
      </w:r>
      <w:bookmarkEnd w:id="706"/>
      <w:bookmarkEnd w:id="707"/>
      <w:bookmarkEnd w:id="708"/>
      <w:bookmarkStart w:id="730" w:name="_Toc312677495"/>
      <w:bookmarkStart w:id="731" w:name="_Toc300934982"/>
      <w:bookmarkStart w:id="732" w:name="_Toc297216192"/>
      <w:bookmarkStart w:id="733" w:name="_Toc303539139"/>
      <w:bookmarkStart w:id="734" w:name="_Toc312678021"/>
      <w:bookmarkStart w:id="735" w:name="_Toc304295559"/>
      <w:bookmarkStart w:id="736" w:name="_Toc297123533"/>
      <w:bookmarkStart w:id="737" w:name="_Toc292559378"/>
      <w:bookmarkStart w:id="738" w:name="_Toc292559883"/>
      <w:bookmarkStart w:id="739" w:name="_Toc296503173"/>
      <w:bookmarkStart w:id="740" w:name="_Toc296891213"/>
      <w:bookmarkStart w:id="741" w:name="_Toc296944512"/>
      <w:bookmarkStart w:id="742" w:name="_Toc296346674"/>
      <w:bookmarkStart w:id="743" w:name="_Toc267251428"/>
      <w:bookmarkStart w:id="744" w:name="_Toc296347172"/>
      <w:bookmarkStart w:id="745" w:name="_Toc296891001"/>
      <w:bookmarkStart w:id="746" w:name="_Toc297120473"/>
      <w:bookmarkStart w:id="747" w:name="_Toc267251427"/>
      <w:bookmarkStart w:id="748" w:name="_Toc297048359"/>
      <w:r>
        <w:rPr>
          <w:rFonts w:hint="eastAsia" w:ascii="宋体" w:hAnsi="宋体" w:eastAsia="宋体" w:cs="宋体"/>
          <w:b w:val="0"/>
          <w:color w:val="auto"/>
          <w:sz w:val="21"/>
          <w:szCs w:val="21"/>
          <w:highlight w:val="none"/>
        </w:rPr>
        <w:t>. 试验与检验</w:t>
      </w:r>
      <w:bookmarkEnd w:id="729"/>
    </w:p>
    <w:bookmarkEnd w:id="730"/>
    <w:bookmarkEnd w:id="731"/>
    <w:bookmarkEnd w:id="732"/>
    <w:bookmarkEnd w:id="733"/>
    <w:bookmarkEnd w:id="734"/>
    <w:bookmarkEnd w:id="735"/>
    <w:bookmarkEnd w:id="736"/>
    <w:p w14:paraId="7AD46E23">
      <w:pPr>
        <w:snapToGrid w:val="0"/>
        <w:spacing w:line="360" w:lineRule="auto"/>
        <w:ind w:firstLine="420" w:firstLineChars="200"/>
        <w:jc w:val="left"/>
        <w:rPr>
          <w:rFonts w:ascii="宋体" w:hAnsi="宋体" w:cs="宋体"/>
          <w:color w:val="auto"/>
          <w:szCs w:val="21"/>
          <w:highlight w:val="none"/>
        </w:rPr>
      </w:pPr>
      <w:bookmarkStart w:id="749" w:name="_Toc303539142"/>
      <w:bookmarkStart w:id="750" w:name="_Toc297216195"/>
      <w:bookmarkStart w:id="751" w:name="_Toc300934985"/>
      <w:bookmarkStart w:id="752" w:name="_Toc312678024"/>
      <w:bookmarkStart w:id="753" w:name="_Toc304295562"/>
      <w:bookmarkStart w:id="754" w:name="_Toc312677498"/>
      <w:bookmarkStart w:id="755" w:name="_Toc297123536"/>
      <w:bookmarkStart w:id="756" w:name="_Toc318581174"/>
      <w:r>
        <w:rPr>
          <w:rFonts w:hint="eastAsia" w:ascii="宋体" w:hAnsi="宋体"/>
          <w:color w:val="auto"/>
          <w:szCs w:val="21"/>
          <w:highlight w:val="none"/>
        </w:rPr>
        <w:t>承包人必须对采购的材料质量全面负责，提供产品合格证书、质保书、试验报告。发包人对材料质量有疑问时，有权要求复验，复验合格其相关费用由要求复验方支付，复验不合格其经济损失及复验费用由材料采购方承担</w:t>
      </w:r>
      <w:r>
        <w:rPr>
          <w:rFonts w:hint="eastAsia" w:ascii="宋体" w:hAnsi="宋体" w:cs="宋体"/>
          <w:color w:val="auto"/>
          <w:szCs w:val="21"/>
          <w:highlight w:val="none"/>
        </w:rPr>
        <w:t>。</w:t>
      </w:r>
    </w:p>
    <w:bookmarkEnd w:id="749"/>
    <w:bookmarkEnd w:id="750"/>
    <w:bookmarkEnd w:id="751"/>
    <w:bookmarkEnd w:id="752"/>
    <w:bookmarkEnd w:id="753"/>
    <w:bookmarkEnd w:id="754"/>
    <w:bookmarkEnd w:id="755"/>
    <w:bookmarkEnd w:id="756"/>
    <w:p w14:paraId="44865747">
      <w:pPr>
        <w:pStyle w:val="5"/>
        <w:snapToGrid w:val="0"/>
        <w:spacing w:before="0" w:after="0" w:line="360" w:lineRule="auto"/>
        <w:rPr>
          <w:rFonts w:ascii="宋体" w:hAnsi="宋体" w:eastAsia="宋体" w:cs="宋体"/>
          <w:b w:val="0"/>
          <w:color w:val="auto"/>
          <w:sz w:val="21"/>
          <w:szCs w:val="21"/>
          <w:highlight w:val="none"/>
        </w:rPr>
      </w:pPr>
      <w:bookmarkStart w:id="757" w:name="_Toc351203642"/>
      <w:r>
        <w:rPr>
          <w:rFonts w:hint="eastAsia" w:ascii="宋体" w:hAnsi="宋体" w:eastAsia="宋体" w:cs="宋体"/>
          <w:b w:val="0"/>
          <w:color w:val="auto"/>
          <w:sz w:val="21"/>
          <w:szCs w:val="21"/>
          <w:highlight w:val="none"/>
        </w:rPr>
        <w:t>1</w:t>
      </w:r>
      <w:bookmarkEnd w:id="737"/>
      <w:bookmarkEnd w:id="738"/>
      <w:bookmarkEnd w:id="739"/>
      <w:bookmarkEnd w:id="740"/>
      <w:bookmarkEnd w:id="741"/>
      <w:bookmarkEnd w:id="742"/>
      <w:bookmarkEnd w:id="743"/>
      <w:bookmarkEnd w:id="744"/>
      <w:bookmarkEnd w:id="745"/>
      <w:bookmarkEnd w:id="746"/>
      <w:bookmarkEnd w:id="747"/>
      <w:bookmarkEnd w:id="748"/>
      <w:bookmarkStart w:id="758" w:name="_Toc292559903"/>
      <w:bookmarkStart w:id="759" w:name="_Toc300934989"/>
      <w:bookmarkStart w:id="760" w:name="_Toc303539146"/>
      <w:bookmarkStart w:id="761" w:name="_Toc304295566"/>
      <w:bookmarkStart w:id="762" w:name="_Toc297216199"/>
      <w:bookmarkStart w:id="763" w:name="_Toc296944532"/>
      <w:bookmarkStart w:id="764" w:name="_Toc292559398"/>
      <w:bookmarkStart w:id="765" w:name="_Toc296891021"/>
      <w:bookmarkStart w:id="766" w:name="_Toc296347192"/>
      <w:bookmarkStart w:id="767" w:name="_Toc297120493"/>
      <w:bookmarkStart w:id="768" w:name="_Toc296503193"/>
      <w:bookmarkStart w:id="769" w:name="_Toc297123540"/>
      <w:bookmarkStart w:id="770" w:name="_Toc296891233"/>
      <w:bookmarkStart w:id="771" w:name="_Toc297048379"/>
      <w:bookmarkStart w:id="772" w:name="_Toc296346694"/>
      <w:bookmarkStart w:id="773" w:name="_Toc312678025"/>
      <w:bookmarkStart w:id="774" w:name="_Toc312677499"/>
      <w:bookmarkStart w:id="775" w:name="_Toc267251435"/>
      <w:bookmarkStart w:id="776" w:name="_Toc267251433"/>
      <w:bookmarkStart w:id="777" w:name="_Toc267251441"/>
      <w:bookmarkStart w:id="778" w:name="_Toc267251440"/>
      <w:bookmarkStart w:id="779" w:name="_Toc267251437"/>
      <w:bookmarkStart w:id="780" w:name="_Toc267251439"/>
      <w:bookmarkStart w:id="781" w:name="_Toc267251442"/>
      <w:r>
        <w:rPr>
          <w:rFonts w:hint="eastAsia" w:ascii="宋体" w:hAnsi="宋体" w:eastAsia="宋体" w:cs="宋体"/>
          <w:b w:val="0"/>
          <w:color w:val="auto"/>
          <w:sz w:val="21"/>
          <w:szCs w:val="21"/>
          <w:highlight w:val="none"/>
        </w:rPr>
        <w:t>0. 变更</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bookmarkEnd w:id="773"/>
    <w:bookmarkEnd w:id="774"/>
    <w:p w14:paraId="6B6F6E4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bookmarkStart w:id="782" w:name="_Toc296891022"/>
      <w:bookmarkStart w:id="783" w:name="_Toc303539147"/>
      <w:bookmarkStart w:id="784" w:name="_Toc292559904"/>
      <w:bookmarkStart w:id="785" w:name="_Toc296891234"/>
      <w:bookmarkStart w:id="786" w:name="_Toc296944533"/>
      <w:bookmarkStart w:id="787" w:name="_Toc297123541"/>
      <w:bookmarkStart w:id="788" w:name="_Toc296347193"/>
      <w:bookmarkStart w:id="789" w:name="_Toc292559399"/>
      <w:bookmarkStart w:id="790" w:name="_Toc312678026"/>
      <w:bookmarkStart w:id="791" w:name="_Toc304295567"/>
      <w:bookmarkStart w:id="792" w:name="_Toc300934990"/>
      <w:bookmarkStart w:id="793" w:name="_Toc297120494"/>
      <w:bookmarkStart w:id="794" w:name="_Toc296346695"/>
      <w:bookmarkStart w:id="795" w:name="_Toc297048380"/>
      <w:bookmarkStart w:id="796" w:name="_Toc296503194"/>
      <w:bookmarkStart w:id="797" w:name="_Toc312677500"/>
      <w:bookmarkStart w:id="798" w:name="_Toc297216200"/>
      <w:r>
        <w:rPr>
          <w:rFonts w:hint="eastAsia" w:ascii="宋体" w:hAnsi="宋体" w:cs="宋体"/>
          <w:color w:val="auto"/>
          <w:szCs w:val="21"/>
          <w:highlight w:val="none"/>
        </w:rPr>
        <w:t>0.1变更的范围</w:t>
      </w:r>
    </w:p>
    <w:p w14:paraId="1EA5B767">
      <w:pPr>
        <w:spacing w:line="360" w:lineRule="auto"/>
        <w:ind w:firstLine="420" w:firstLineChars="200"/>
        <w:rPr>
          <w:rFonts w:ascii="宋体" w:hAnsi="宋体" w:cs="宋体"/>
          <w:b/>
          <w:bCs/>
          <w:color w:val="auto"/>
          <w:kern w:val="0"/>
          <w:szCs w:val="21"/>
          <w:highlight w:val="none"/>
        </w:rPr>
      </w:pPr>
      <w:r>
        <w:rPr>
          <w:rFonts w:hint="eastAsia" w:ascii="宋体" w:hAnsi="宋体" w:cs="宋体"/>
          <w:color w:val="auto"/>
          <w:szCs w:val="21"/>
          <w:highlight w:val="none"/>
        </w:rPr>
        <w:t>关于变更的范围的约定：</w:t>
      </w:r>
      <w:r>
        <w:rPr>
          <w:rFonts w:hint="eastAsia" w:ascii="宋体" w:hAnsi="宋体" w:cs="宋体"/>
          <w:b/>
          <w:bCs/>
          <w:color w:val="auto"/>
          <w:kern w:val="0"/>
          <w:szCs w:val="21"/>
          <w:highlight w:val="none"/>
        </w:rPr>
        <w:t>合同履行过程中发生以下情形时，应当按照本条约定进行变更。</w:t>
      </w:r>
    </w:p>
    <w:p w14:paraId="32B37DF8">
      <w:pPr>
        <w:spacing w:after="120" w:line="360" w:lineRule="auto"/>
        <w:ind w:firstLine="424" w:firstLineChars="202"/>
        <w:rPr>
          <w:color w:val="auto"/>
          <w:highlight w:val="none"/>
        </w:rPr>
      </w:pPr>
      <w:r>
        <w:rPr>
          <w:rFonts w:hint="eastAsia"/>
          <w:color w:val="auto"/>
          <w:highlight w:val="none"/>
        </w:rPr>
        <w:t>当本工程需要变更时，由发包人、监理人、承包人联合签发工程洽商单，结构变更由设计单位出具正式修改通知书和修改图，并经发包人认可，承包人予以实施。若因特殊原因，发包人或监理人要求承包人对变更内容先予以实施，则承包人须在工程变更实施完后5天内会同监理工程师完成“工程变更计量单”，否则发包人有权决定是否调整费用及调整数额；除经发包人确认的经济签证外，一律不作为价格调整依据。</w:t>
      </w:r>
    </w:p>
    <w:p w14:paraId="2907704E">
      <w:pPr>
        <w:autoSpaceDE w:val="0"/>
        <w:autoSpaceDN w:val="0"/>
        <w:adjustRightInd w:val="0"/>
        <w:spacing w:before="9" w:line="360" w:lineRule="auto"/>
        <w:ind w:right="-23"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1．法律法规以及政府主管部门的政策性调整；</w:t>
      </w:r>
    </w:p>
    <w:p w14:paraId="313B95D4">
      <w:pPr>
        <w:autoSpaceDE w:val="0"/>
        <w:autoSpaceDN w:val="0"/>
        <w:adjustRightInd w:val="0"/>
        <w:spacing w:before="9" w:line="360" w:lineRule="auto"/>
        <w:ind w:right="-23"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2．发包人要求的工程变更；</w:t>
      </w:r>
    </w:p>
    <w:p w14:paraId="45F55447">
      <w:pPr>
        <w:autoSpaceDE w:val="0"/>
        <w:autoSpaceDN w:val="0"/>
        <w:adjustRightInd w:val="0"/>
        <w:spacing w:before="9" w:line="360" w:lineRule="auto"/>
        <w:ind w:right="-23"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3．项目特征描述不符；</w:t>
      </w:r>
    </w:p>
    <w:p w14:paraId="4EF54F25">
      <w:pPr>
        <w:autoSpaceDE w:val="0"/>
        <w:autoSpaceDN w:val="0"/>
        <w:adjustRightInd w:val="0"/>
        <w:spacing w:before="9" w:line="360" w:lineRule="auto"/>
        <w:ind w:right="-23"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4．工程量清单缺项；</w:t>
      </w:r>
    </w:p>
    <w:p w14:paraId="2355E00E">
      <w:pPr>
        <w:autoSpaceDE w:val="0"/>
        <w:autoSpaceDN w:val="0"/>
        <w:adjustRightInd w:val="0"/>
        <w:spacing w:before="9" w:line="360" w:lineRule="auto"/>
        <w:ind w:right="-23"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5．工程量偏差；</w:t>
      </w:r>
    </w:p>
    <w:p w14:paraId="65D440FC">
      <w:pPr>
        <w:autoSpaceDE w:val="0"/>
        <w:autoSpaceDN w:val="0"/>
        <w:adjustRightInd w:val="0"/>
        <w:spacing w:before="9" w:line="360" w:lineRule="auto"/>
        <w:ind w:right="-23"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6．暂估价；</w:t>
      </w:r>
    </w:p>
    <w:p w14:paraId="55CF3AFD">
      <w:pPr>
        <w:autoSpaceDE w:val="0"/>
        <w:autoSpaceDN w:val="0"/>
        <w:adjustRightInd w:val="0"/>
        <w:spacing w:before="9" w:line="360" w:lineRule="auto"/>
        <w:ind w:right="-23"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7．计日工；</w:t>
      </w:r>
    </w:p>
    <w:p w14:paraId="6AEAB698">
      <w:pPr>
        <w:autoSpaceDE w:val="0"/>
        <w:autoSpaceDN w:val="0"/>
        <w:adjustRightInd w:val="0"/>
        <w:spacing w:before="9" w:line="360" w:lineRule="auto"/>
        <w:ind w:right="-23"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8．现场签证；</w:t>
      </w:r>
    </w:p>
    <w:p w14:paraId="2D7C477B">
      <w:pPr>
        <w:autoSpaceDE w:val="0"/>
        <w:autoSpaceDN w:val="0"/>
        <w:adjustRightInd w:val="0"/>
        <w:spacing w:before="9" w:line="360" w:lineRule="auto"/>
        <w:ind w:right="-23"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9．不可抗力；</w:t>
      </w:r>
    </w:p>
    <w:p w14:paraId="47294502">
      <w:pPr>
        <w:autoSpaceDE w:val="0"/>
        <w:autoSpaceDN w:val="0"/>
        <w:adjustRightInd w:val="0"/>
        <w:spacing w:before="9" w:line="360" w:lineRule="auto"/>
        <w:ind w:right="-23"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10．提前竣工；</w:t>
      </w:r>
    </w:p>
    <w:p w14:paraId="1E64FA64">
      <w:pPr>
        <w:autoSpaceDE w:val="0"/>
        <w:autoSpaceDN w:val="0"/>
        <w:adjustRightInd w:val="0"/>
        <w:spacing w:before="9" w:line="360" w:lineRule="auto"/>
        <w:ind w:right="-23"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11．误期赔偿；</w:t>
      </w:r>
    </w:p>
    <w:p w14:paraId="14803C85">
      <w:pPr>
        <w:autoSpaceDE w:val="0"/>
        <w:autoSpaceDN w:val="0"/>
        <w:adjustRightInd w:val="0"/>
        <w:spacing w:before="9" w:line="360" w:lineRule="auto"/>
        <w:ind w:right="-23"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12．施工索赔；</w:t>
      </w:r>
    </w:p>
    <w:p w14:paraId="7FEF1499">
      <w:pPr>
        <w:autoSpaceDE w:val="0"/>
        <w:autoSpaceDN w:val="0"/>
        <w:adjustRightInd w:val="0"/>
        <w:spacing w:before="9" w:line="360" w:lineRule="auto"/>
        <w:ind w:right="-23"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13．暂列金额；</w:t>
      </w:r>
    </w:p>
    <w:p w14:paraId="018BE85A">
      <w:pPr>
        <w:spacing w:line="360" w:lineRule="auto"/>
        <w:ind w:firstLine="426"/>
        <w:jc w:val="left"/>
        <w:rPr>
          <w:rFonts w:ascii="宋体" w:hAnsi="宋体" w:cs="宋体"/>
          <w:b/>
          <w:bCs/>
          <w:color w:val="auto"/>
          <w:kern w:val="0"/>
          <w:szCs w:val="21"/>
          <w:highlight w:val="none"/>
          <w:u w:val="single"/>
        </w:rPr>
      </w:pPr>
      <w:r>
        <w:rPr>
          <w:rFonts w:hint="eastAsia" w:ascii="宋体" w:hAnsi="宋体" w:cs="宋体"/>
          <w:b/>
          <w:bCs/>
          <w:color w:val="auto"/>
          <w:kern w:val="0"/>
          <w:szCs w:val="21"/>
          <w:highlight w:val="none"/>
        </w:rPr>
        <w:t>14．发承包双方约定的其他调整事项：</w:t>
      </w:r>
      <w:r>
        <w:rPr>
          <w:rFonts w:hint="eastAsia" w:ascii="宋体" w:hAnsi="宋体" w:cs="宋体"/>
          <w:b/>
          <w:bCs/>
          <w:color w:val="auto"/>
          <w:kern w:val="0"/>
          <w:szCs w:val="21"/>
          <w:highlight w:val="none"/>
          <w:u w:val="single"/>
        </w:rPr>
        <w:t>按通用条款执行，其余按双方协商约定处理</w:t>
      </w:r>
      <w:r>
        <w:rPr>
          <w:rFonts w:hint="eastAsia" w:ascii="宋体" w:hAnsi="宋体" w:cs="宋体"/>
          <w:b/>
          <w:bCs/>
          <w:color w:val="auto"/>
          <w:kern w:val="0"/>
          <w:szCs w:val="21"/>
          <w:highlight w:val="none"/>
          <w:u w:val="none"/>
        </w:rPr>
        <w:t>。</w:t>
      </w:r>
    </w:p>
    <w:p w14:paraId="59E82C5E">
      <w:pPr>
        <w:snapToGrid w:val="0"/>
        <w:spacing w:line="360" w:lineRule="auto"/>
        <w:ind w:firstLine="420" w:firstLineChars="200"/>
        <w:jc w:val="left"/>
        <w:rPr>
          <w:rFonts w:ascii="宋体" w:hAnsi="宋体" w:cs="宋体"/>
          <w:color w:val="auto"/>
          <w:szCs w:val="21"/>
          <w:highlight w:val="none"/>
        </w:rPr>
      </w:pPr>
      <w:r>
        <w:rPr>
          <w:rFonts w:hint="eastAsia"/>
          <w:color w:val="auto"/>
          <w:highlight w:val="none"/>
        </w:rPr>
        <w:t>所有涉及合同价款的调整均需经发包人或其委托的咨询单位确认</w:t>
      </w:r>
      <w:r>
        <w:rPr>
          <w:rFonts w:hint="eastAsia" w:ascii="宋体" w:hAnsi="宋体" w:cs="宋体"/>
          <w:color w:val="auto"/>
          <w:szCs w:val="21"/>
          <w:highlight w:val="none"/>
        </w:rPr>
        <w:t>。</w:t>
      </w:r>
    </w:p>
    <w:p w14:paraId="0DD29F41">
      <w:pPr>
        <w:snapToGrid w:val="0"/>
        <w:spacing w:line="360" w:lineRule="auto"/>
        <w:ind w:firstLine="420" w:firstLineChars="200"/>
        <w:outlineLvl w:val="0"/>
        <w:rPr>
          <w:rFonts w:ascii="宋体" w:hAnsi="宋体" w:cs="宋体"/>
          <w:color w:val="auto"/>
          <w:szCs w:val="21"/>
          <w:highlight w:val="none"/>
        </w:rPr>
      </w:pPr>
      <w:bookmarkStart w:id="799" w:name="_Toc26230"/>
      <w:r>
        <w:rPr>
          <w:rFonts w:hint="eastAsia" w:ascii="宋体" w:hAnsi="宋体" w:cs="宋体"/>
          <w:color w:val="auto"/>
          <w:szCs w:val="21"/>
          <w:highlight w:val="none"/>
        </w:rPr>
        <w:t>10.4 变更估价</w:t>
      </w:r>
      <w:bookmarkEnd w:id="799"/>
    </w:p>
    <w:p w14:paraId="1B74833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10.4.1 变更估价原则</w:t>
      </w:r>
    </w:p>
    <w:p w14:paraId="1B323944">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关于变更估价的约定: </w:t>
      </w:r>
    </w:p>
    <w:p w14:paraId="530ABE4A">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.1.1 在合同期内发生下列情况的，合同价格可以相应调整：</w:t>
      </w:r>
    </w:p>
    <w:p w14:paraId="2E155CC7">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（1）法律法规以及政府主管部门的政策性调整：指开工以后至竣工验收合格之日为止，宁波市政府部门颁布的适用本合同的政策性调价文件（本合同有约定的除外），结算时按文件规定可以调整。</w:t>
      </w:r>
    </w:p>
    <w:p w14:paraId="212453D4">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（2）工程变更、现场签证：设计变更、发包人原因引起的变更造成的工程造价增减；经发包人、监理人确认的工程联系单、签证的变更情况；</w:t>
      </w:r>
    </w:p>
    <w:p w14:paraId="113FADD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（3）项目特征描述不符、工程量清单缺项、工程量偏差：清单编制说明明确未计入的内容；发包人提供的工程量清单项目或数量有误；</w:t>
      </w:r>
    </w:p>
    <w:p w14:paraId="1BF35B1F">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（4）暂估价：暂估材料价、暂估综合单价、暂估总价按规定进行公开招标、议标询价等方式调整。</w:t>
      </w:r>
    </w:p>
    <w:p w14:paraId="0B64B1B3">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重新组价计价依据：《浙江省房屋建筑与装饰工程预算定额》（2018版），《浙江省通用安装工程预算定额》（2018版），《浙江省建设工程计价规则》（2018版），《浙江省建设工程施工机械台班费用定额》（2018版），其他省、市有关造价文件等。</w:t>
      </w:r>
    </w:p>
    <w:p w14:paraId="60A575A0">
      <w:pPr>
        <w:snapToGrid w:val="0"/>
        <w:spacing w:line="360" w:lineRule="auto"/>
        <w:ind w:firstLine="420" w:firstLineChars="200"/>
        <w:jc w:val="left"/>
        <w:rPr>
          <w:rFonts w:hint="eastAsia"/>
          <w:color w:val="auto"/>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合同中没有类似工程项目单价的，但又不能套用浙江省2018版工程预算定额确定综合单价的，则由承包人根据市场价格进行组价，并按成交</w:t>
      </w:r>
      <w:r>
        <w:rPr>
          <w:rFonts w:hint="eastAsia" w:ascii="宋体" w:hAnsi="宋体" w:cs="宋体"/>
          <w:bCs/>
          <w:color w:val="auto"/>
          <w:szCs w:val="21"/>
          <w:highlight w:val="none"/>
          <w:lang w:val="en-US" w:eastAsia="zh-CN"/>
        </w:rPr>
        <w:t>浮动</w:t>
      </w:r>
      <w:r>
        <w:rPr>
          <w:rFonts w:hint="eastAsia" w:ascii="宋体" w:hAnsi="宋体" w:cs="宋体"/>
          <w:bCs/>
          <w:color w:val="auto"/>
          <w:szCs w:val="21"/>
          <w:highlight w:val="none"/>
        </w:rPr>
        <w:t>率</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计算，将该组价上报，经发包人审定后作执行，最终以发包人或其委托的造价咨询单位审定价格为准。</w:t>
      </w:r>
    </w:p>
    <w:p w14:paraId="406A3B67">
      <w:pPr>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s="宋体"/>
          <w:bCs/>
          <w:color w:val="auto"/>
          <w:szCs w:val="21"/>
          <w:highlight w:val="none"/>
        </w:rPr>
        <w:t>成交</w:t>
      </w:r>
      <w:r>
        <w:rPr>
          <w:rFonts w:hint="eastAsia" w:ascii="宋体" w:hAnsi="宋体" w:cs="宋体"/>
          <w:color w:val="auto"/>
          <w:szCs w:val="21"/>
          <w:highlight w:val="none"/>
        </w:rPr>
        <w:t>浮动率=（</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磋商响应总价/磋商控制价-1）×100%（浮动率:%号前保留两位小数）</w:t>
      </w:r>
      <w:r>
        <w:rPr>
          <w:rFonts w:hint="eastAsia"/>
          <w:highlight w:val="none"/>
          <w:lang w:eastAsia="zh-CN"/>
        </w:rPr>
        <w:t>（</w:t>
      </w:r>
      <w:r>
        <w:rPr>
          <w:rFonts w:hint="eastAsia"/>
          <w:highlight w:val="none"/>
          <w:lang w:val="en-US" w:eastAsia="zh-CN"/>
        </w:rPr>
        <w:t>须扣除暂估价</w:t>
      </w:r>
      <w:r>
        <w:rPr>
          <w:rFonts w:hint="eastAsia"/>
          <w:highlight w:val="none"/>
          <w:lang w:eastAsia="zh-CN"/>
        </w:rPr>
        <w:t>）</w:t>
      </w:r>
    </w:p>
    <w:p w14:paraId="31B929E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.2取费标准</w:t>
      </w:r>
    </w:p>
    <w:p w14:paraId="1D2624C5">
      <w:pPr>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编制依据：</w:t>
      </w:r>
    </w:p>
    <w:p w14:paraId="47CA7767">
      <w:pPr>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1）由建设单位提供的施工设计图</w:t>
      </w:r>
      <w:r>
        <w:rPr>
          <w:rFonts w:hint="eastAsia" w:ascii="宋体" w:hAnsi="宋体" w:eastAsia="宋体" w:cs="宋体"/>
          <w:color w:val="auto"/>
          <w:szCs w:val="21"/>
          <w:highlight w:val="none"/>
          <w:lang w:eastAsia="zh-CN"/>
        </w:rPr>
        <w:t>；</w:t>
      </w:r>
    </w:p>
    <w:p w14:paraId="4E64E349">
      <w:pPr>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建设工程工程量清单计价规范》（GB50500-2013）、《浙江省房屋建筑与装饰工程预算定额》（2018版）、《浙江省园林绿化及仿古建筑工程预算定额》（2018）、《浙江省市政工程预算定额》（2018版）、《浙江省通用安装工程预算定额》（2018版）、《浙江省建设工程计价规则》（2018版）及省、市有关政策和文件编制。</w:t>
      </w:r>
    </w:p>
    <w:p w14:paraId="32F21038">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（2）取费标准：</w:t>
      </w:r>
    </w:p>
    <w:p w14:paraId="1519AF83">
      <w:pPr>
        <w:snapToGrid w:val="0"/>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①企业管理费：建筑装饰工程按单独装饰工程一般计税费率中值计取；安装工程按水、电、暖通、消防、智能、自控及通信安装工程一般计税费率中值计取； </w:t>
      </w:r>
    </w:p>
    <w:p w14:paraId="503FCEBD">
      <w:pPr>
        <w:snapToGrid w:val="0"/>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②利润：建筑装饰工程按单独装饰工程一般计税费率中值计取；安装工程按水、电、暖通、消防、智能、自控及通信安装工程一般计税费率中值计取； </w:t>
      </w:r>
    </w:p>
    <w:p w14:paraId="42227CCE">
      <w:pPr>
        <w:snapToGrid w:val="0"/>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③施工组织措施费：建筑装饰工程按单独装饰工程一般计税费率中值计取；安装工程按通用安装工程一般计税费率中值计取；其中安全文明施工基本费按“市区工程”中值，并按甬建发【2022】34号文件规定乘系数1.15计取；建筑装饰工程、安装工程不计提前竣工增加费、标化工地增加费、优质工程增加费、行车行人干扰增加费和安全文明施工标准提升增加费；计取二次搬运费、冬雨季施工增加费；安全生产责任保险费按市建管〔2024〕12号文件规定的费率1.26计取；</w:t>
      </w:r>
    </w:p>
    <w:p w14:paraId="601046C8">
      <w:pPr>
        <w:snapToGrid w:val="0"/>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④规费按《浙江省建设工程计价规则》（2018版）文件规定的一般计税的30%计取；</w:t>
      </w:r>
    </w:p>
    <w:p w14:paraId="7317E11D">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⑤税金按一般计税税前工程造价的9%计取（浙建建发【2019】92号文）。</w:t>
      </w:r>
    </w:p>
    <w:p w14:paraId="3C114327">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）材料信息价：人工、材料价格按《宁波建设工程造价信息（综合版）》2024年</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月刊计取，其中材料价格参考综合版市区栏，《宁波建设工程造价信息（综合版）》缺项的按照《浙江造价信息》2024年</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月刊；无信息价材料采用除税市场价计入。</w:t>
      </w:r>
    </w:p>
    <w:p w14:paraId="71EAC61E">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Start w:id="800" w:name="_Toc292559402"/>
      <w:bookmarkStart w:id="801" w:name="_Toc292559907"/>
      <w:bookmarkStart w:id="802" w:name="_Toc296944536"/>
      <w:bookmarkStart w:id="803" w:name="_Toc296347196"/>
      <w:bookmarkStart w:id="804" w:name="_Toc296891237"/>
      <w:bookmarkStart w:id="805" w:name="_Toc303539150"/>
      <w:bookmarkStart w:id="806" w:name="_Toc296346698"/>
      <w:bookmarkStart w:id="807" w:name="_Toc296503197"/>
      <w:bookmarkStart w:id="808" w:name="_Toc297120497"/>
      <w:bookmarkStart w:id="809" w:name="_Toc300934993"/>
      <w:bookmarkStart w:id="810" w:name="_Toc296891025"/>
      <w:bookmarkStart w:id="811" w:name="_Toc297123544"/>
      <w:bookmarkStart w:id="812" w:name="_Toc297048383"/>
      <w:bookmarkStart w:id="813" w:name="_Toc297216203"/>
      <w:bookmarkStart w:id="814" w:name="_Toc312678029"/>
      <w:bookmarkStart w:id="815" w:name="_Toc312677503"/>
      <w:bookmarkStart w:id="816" w:name="_Toc304295570"/>
      <w:r>
        <w:rPr>
          <w:rFonts w:hint="eastAsia" w:ascii="宋体" w:hAnsi="宋体" w:eastAsia="宋体" w:cs="宋体"/>
          <w:color w:val="auto"/>
          <w:szCs w:val="21"/>
          <w:highlight w:val="none"/>
        </w:rPr>
        <w:t>0.5承</w:t>
      </w:r>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Start w:id="817" w:name="_Toc297120503"/>
      <w:bookmarkStart w:id="818" w:name="_Toc296347202"/>
      <w:bookmarkStart w:id="819" w:name="_Toc297216204"/>
      <w:bookmarkStart w:id="820" w:name="_Toc297123545"/>
      <w:bookmarkStart w:id="821" w:name="_Toc296944542"/>
      <w:bookmarkStart w:id="822" w:name="_Toc296346704"/>
      <w:bookmarkStart w:id="823" w:name="_Toc292559408"/>
      <w:bookmarkStart w:id="824" w:name="_Toc296503203"/>
      <w:bookmarkStart w:id="825" w:name="_Toc296891031"/>
      <w:bookmarkStart w:id="826" w:name="_Toc303539151"/>
      <w:bookmarkStart w:id="827" w:name="_Toc292559913"/>
      <w:bookmarkStart w:id="828" w:name="_Toc296891243"/>
      <w:bookmarkStart w:id="829" w:name="_Toc300934994"/>
      <w:bookmarkStart w:id="830" w:name="_Toc297048389"/>
      <w:r>
        <w:rPr>
          <w:rFonts w:hint="eastAsia" w:ascii="宋体" w:hAnsi="宋体" w:eastAsia="宋体" w:cs="宋体"/>
          <w:color w:val="auto"/>
          <w:szCs w:val="21"/>
          <w:highlight w:val="none"/>
        </w:rPr>
        <w:t>包人的合理化建议</w:t>
      </w:r>
    </w:p>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14:paraId="73851F3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监理人审查承包人合理化建议的期限：</w:t>
      </w:r>
      <w:r>
        <w:rPr>
          <w:rFonts w:hint="eastAsia" w:ascii="宋体" w:hAnsi="宋体"/>
          <w:color w:val="auto"/>
          <w:szCs w:val="21"/>
          <w:highlight w:val="none"/>
          <w:u w:val="single"/>
        </w:rPr>
        <w:t>执行通用条款</w:t>
      </w:r>
      <w:r>
        <w:rPr>
          <w:rFonts w:hint="eastAsia" w:ascii="宋体" w:hAnsi="宋体" w:cs="宋体"/>
          <w:color w:val="auto"/>
          <w:szCs w:val="21"/>
          <w:highlight w:val="none"/>
        </w:rPr>
        <w:t>。</w:t>
      </w:r>
    </w:p>
    <w:p w14:paraId="1451CE3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发包人审批承包人合理化建议的期限：</w:t>
      </w:r>
      <w:r>
        <w:rPr>
          <w:rFonts w:hint="eastAsia" w:ascii="宋体" w:hAnsi="宋体"/>
          <w:color w:val="auto"/>
          <w:szCs w:val="21"/>
          <w:highlight w:val="none"/>
          <w:u w:val="single"/>
        </w:rPr>
        <w:t>执行通用条款</w:t>
      </w:r>
      <w:r>
        <w:rPr>
          <w:rFonts w:hint="eastAsia" w:ascii="宋体" w:hAnsi="宋体" w:cs="宋体"/>
          <w:color w:val="auto"/>
          <w:szCs w:val="21"/>
          <w:highlight w:val="none"/>
        </w:rPr>
        <w:t>。</w:t>
      </w:r>
    </w:p>
    <w:p w14:paraId="33779A3B">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承</w:t>
      </w:r>
      <w:bookmarkStart w:id="831" w:name="_Toc296891032"/>
      <w:bookmarkStart w:id="832" w:name="_Toc312677504"/>
      <w:bookmarkStart w:id="833" w:name="_Toc292559914"/>
      <w:bookmarkStart w:id="834" w:name="_Toc304295571"/>
      <w:bookmarkStart w:id="835" w:name="_Toc318581175"/>
      <w:bookmarkStart w:id="836" w:name="_Toc297120504"/>
      <w:bookmarkStart w:id="837" w:name="_Toc296891244"/>
      <w:bookmarkStart w:id="838" w:name="_Toc296944543"/>
      <w:bookmarkStart w:id="839" w:name="_Toc312678030"/>
      <w:bookmarkStart w:id="840" w:name="_Toc300934995"/>
      <w:bookmarkStart w:id="841" w:name="_Toc296347203"/>
      <w:bookmarkStart w:id="842" w:name="_Toc297123546"/>
      <w:bookmarkStart w:id="843" w:name="_Toc297216205"/>
      <w:bookmarkStart w:id="844" w:name="_Toc303539152"/>
      <w:bookmarkStart w:id="845" w:name="_Toc296346705"/>
      <w:bookmarkStart w:id="846" w:name="_Toc297048390"/>
      <w:bookmarkStart w:id="847" w:name="_Toc292559409"/>
      <w:bookmarkStart w:id="848" w:name="_Toc296503204"/>
      <w:r>
        <w:rPr>
          <w:rFonts w:hint="eastAsia" w:ascii="宋体" w:hAnsi="宋体" w:cs="宋体"/>
          <w:color w:val="auto"/>
          <w:szCs w:val="21"/>
          <w:highlight w:val="none"/>
        </w:rPr>
        <w:t>包人提出的合理化建议降低了合同价格或者提高了工程经济效益的奖励的方法和金额为：</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rPr>
        <w:t>。</w:t>
      </w:r>
    </w:p>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14:paraId="2102FCA4">
      <w:pPr>
        <w:snapToGrid w:val="0"/>
        <w:spacing w:line="360" w:lineRule="auto"/>
        <w:ind w:firstLine="420" w:firstLineChars="200"/>
        <w:outlineLvl w:val="0"/>
        <w:rPr>
          <w:rFonts w:ascii="宋体" w:hAnsi="宋体" w:cs="宋体"/>
          <w:color w:val="auto"/>
          <w:szCs w:val="21"/>
          <w:highlight w:val="none"/>
        </w:rPr>
      </w:pPr>
      <w:bookmarkStart w:id="849" w:name="_Toc13182"/>
      <w:r>
        <w:rPr>
          <w:rFonts w:hint="eastAsia" w:ascii="宋体" w:hAnsi="宋体" w:cs="宋体"/>
          <w:color w:val="auto"/>
          <w:szCs w:val="21"/>
          <w:highlight w:val="none"/>
        </w:rPr>
        <w:t>1</w:t>
      </w:r>
      <w:bookmarkStart w:id="850" w:name="_Toc312678033"/>
      <w:bookmarkStart w:id="851" w:name="_Toc297048385"/>
      <w:bookmarkStart w:id="852" w:name="_Toc312677507"/>
      <w:bookmarkStart w:id="853" w:name="_Toc304295574"/>
      <w:bookmarkStart w:id="854" w:name="_Toc292559404"/>
      <w:bookmarkStart w:id="855" w:name="_Toc297216207"/>
      <w:bookmarkStart w:id="856" w:name="_Toc296347198"/>
      <w:bookmarkStart w:id="857" w:name="_Toc292559909"/>
      <w:bookmarkStart w:id="858" w:name="_Toc297120499"/>
      <w:bookmarkStart w:id="859" w:name="_Toc296891239"/>
      <w:bookmarkStart w:id="860" w:name="_Toc297123548"/>
      <w:bookmarkStart w:id="861" w:name="_Toc296503199"/>
      <w:bookmarkStart w:id="862" w:name="_Toc303539154"/>
      <w:bookmarkStart w:id="863" w:name="_Toc296944538"/>
      <w:bookmarkStart w:id="864" w:name="_Toc296346700"/>
      <w:bookmarkStart w:id="865" w:name="_Toc300934997"/>
      <w:bookmarkStart w:id="866" w:name="_Toc296891027"/>
      <w:r>
        <w:rPr>
          <w:rFonts w:hint="eastAsia" w:ascii="宋体" w:hAnsi="宋体" w:cs="宋体"/>
          <w:color w:val="auto"/>
          <w:szCs w:val="21"/>
          <w:highlight w:val="none"/>
        </w:rPr>
        <w:t>0.7 暂估价</w:t>
      </w:r>
      <w:bookmarkEnd w:id="849"/>
    </w:p>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p w14:paraId="726B255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暂</w:t>
      </w:r>
      <w:bookmarkStart w:id="867" w:name="_Toc312678034"/>
      <w:bookmarkStart w:id="868" w:name="_Toc318581176"/>
      <w:bookmarkStart w:id="869" w:name="_Toc312677508"/>
      <w:r>
        <w:rPr>
          <w:rFonts w:hint="eastAsia" w:ascii="宋体" w:hAnsi="宋体" w:cs="宋体"/>
          <w:color w:val="auto"/>
          <w:kern w:val="0"/>
          <w:szCs w:val="21"/>
          <w:highlight w:val="none"/>
        </w:rPr>
        <w:t>估价材料和工程设备的明细详见附件11：《</w:t>
      </w:r>
      <w:r>
        <w:rPr>
          <w:rFonts w:hint="eastAsia" w:ascii="宋体" w:hAnsi="宋体" w:cs="宋体"/>
          <w:color w:val="auto"/>
          <w:szCs w:val="21"/>
          <w:highlight w:val="none"/>
        </w:rPr>
        <w:t>暂估价一览表》</w:t>
      </w:r>
      <w:r>
        <w:rPr>
          <w:rFonts w:hint="eastAsia" w:ascii="宋体" w:hAnsi="宋体" w:cs="宋体"/>
          <w:color w:val="auto"/>
          <w:kern w:val="0"/>
          <w:szCs w:val="21"/>
          <w:highlight w:val="none"/>
        </w:rPr>
        <w:t>。</w:t>
      </w:r>
    </w:p>
    <w:bookmarkEnd w:id="867"/>
    <w:bookmarkEnd w:id="868"/>
    <w:bookmarkEnd w:id="869"/>
    <w:p w14:paraId="4574D8D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10.8 暂列金额</w:t>
      </w:r>
    </w:p>
    <w:p w14:paraId="5C8479CA">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合同当事人关于暂列金额使用的约定：</w:t>
      </w:r>
      <w:r>
        <w:rPr>
          <w:rFonts w:hint="eastAsia" w:ascii="宋体" w:hAnsi="宋体"/>
          <w:color w:val="auto"/>
          <w:szCs w:val="21"/>
          <w:highlight w:val="none"/>
          <w:u w:val="single"/>
        </w:rPr>
        <w:t>执行通用条款</w:t>
      </w:r>
      <w:r>
        <w:rPr>
          <w:rFonts w:hint="eastAsia" w:ascii="宋体" w:hAnsi="宋体" w:cs="宋体"/>
          <w:color w:val="auto"/>
          <w:kern w:val="0"/>
          <w:szCs w:val="21"/>
          <w:highlight w:val="none"/>
        </w:rPr>
        <w:t>。</w:t>
      </w:r>
    </w:p>
    <w:p w14:paraId="6BC53FE2">
      <w:pPr>
        <w:pStyle w:val="5"/>
        <w:snapToGrid w:val="0"/>
        <w:spacing w:before="0" w:after="0" w:line="360" w:lineRule="auto"/>
        <w:rPr>
          <w:rFonts w:ascii="宋体" w:hAnsi="宋体" w:eastAsia="宋体" w:cs="宋体"/>
          <w:b w:val="0"/>
          <w:color w:val="auto"/>
          <w:sz w:val="21"/>
          <w:szCs w:val="21"/>
          <w:highlight w:val="none"/>
        </w:rPr>
      </w:pPr>
      <w:bookmarkStart w:id="870" w:name="_Toc351203643"/>
      <w:r>
        <w:rPr>
          <w:rFonts w:hint="eastAsia" w:ascii="宋体" w:hAnsi="宋体" w:eastAsia="宋体" w:cs="宋体"/>
          <w:b w:val="0"/>
          <w:color w:val="auto"/>
          <w:sz w:val="21"/>
          <w:szCs w:val="21"/>
          <w:highlight w:val="none"/>
        </w:rPr>
        <w:t>11. 价格调整</w:t>
      </w:r>
      <w:bookmarkEnd w:id="870"/>
    </w:p>
    <w:p w14:paraId="611CA355">
      <w:pPr>
        <w:snapToGrid w:val="0"/>
        <w:spacing w:line="360" w:lineRule="auto"/>
        <w:ind w:firstLine="420" w:firstLineChars="200"/>
        <w:rPr>
          <w:rFonts w:ascii="宋体" w:hAnsi="宋体" w:cs="宋体"/>
          <w:color w:val="auto"/>
          <w:szCs w:val="21"/>
          <w:highlight w:val="none"/>
        </w:rPr>
      </w:pPr>
      <w:bookmarkStart w:id="871" w:name="_Toc303539157"/>
      <w:bookmarkStart w:id="872" w:name="_Toc296891029"/>
      <w:bookmarkStart w:id="873" w:name="_Toc296891241"/>
      <w:bookmarkStart w:id="874" w:name="_Toc296944540"/>
      <w:bookmarkStart w:id="875" w:name="_Toc292559406"/>
      <w:bookmarkStart w:id="876" w:name="_Toc296347200"/>
      <w:bookmarkStart w:id="877" w:name="_Toc296346702"/>
      <w:bookmarkStart w:id="878" w:name="_Toc297048387"/>
      <w:bookmarkStart w:id="879" w:name="_Toc292559911"/>
      <w:bookmarkStart w:id="880" w:name="_Toc312678039"/>
      <w:bookmarkStart w:id="881" w:name="_Toc296503201"/>
      <w:bookmarkStart w:id="882" w:name="_Toc304295577"/>
      <w:bookmarkStart w:id="883" w:name="_Toc297123550"/>
      <w:bookmarkStart w:id="884" w:name="_Toc297216209"/>
      <w:bookmarkStart w:id="885" w:name="_Toc297120501"/>
      <w:bookmarkStart w:id="886" w:name="_Toc300935000"/>
      <w:r>
        <w:rPr>
          <w:rFonts w:hint="eastAsia" w:ascii="宋体" w:hAnsi="宋体" w:cs="宋体"/>
          <w:color w:val="auto"/>
          <w:szCs w:val="21"/>
          <w:highlight w:val="none"/>
        </w:rPr>
        <w:t>11.1 市场价格波动引起的调整</w:t>
      </w:r>
    </w:p>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p w14:paraId="7A7AB36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市场价格波动是否调整合同价格的约定：</w:t>
      </w:r>
      <w:r>
        <w:rPr>
          <w:rFonts w:hint="eastAsia" w:ascii="宋体" w:hAnsi="宋体" w:cs="宋体"/>
          <w:color w:val="auto"/>
          <w:szCs w:val="21"/>
          <w:highlight w:val="none"/>
          <w:u w:val="single"/>
          <w:lang w:val="en-US" w:eastAsia="zh-CN"/>
        </w:rPr>
        <w:t>不调整</w:t>
      </w:r>
      <w:r>
        <w:rPr>
          <w:rFonts w:hint="eastAsia" w:ascii="宋体" w:hAnsi="宋体" w:cs="宋体"/>
          <w:color w:val="auto"/>
          <w:szCs w:val="21"/>
          <w:highlight w:val="none"/>
        </w:rPr>
        <w:t>。</w:t>
      </w:r>
    </w:p>
    <w:bookmarkEnd w:id="775"/>
    <w:bookmarkEnd w:id="776"/>
    <w:bookmarkEnd w:id="777"/>
    <w:bookmarkEnd w:id="778"/>
    <w:bookmarkEnd w:id="779"/>
    <w:bookmarkEnd w:id="780"/>
    <w:p w14:paraId="1390F378">
      <w:pPr>
        <w:pStyle w:val="5"/>
        <w:snapToGrid w:val="0"/>
        <w:spacing w:before="0" w:after="0" w:line="360" w:lineRule="auto"/>
        <w:rPr>
          <w:rFonts w:ascii="宋体" w:hAnsi="宋体" w:eastAsia="宋体" w:cs="宋体"/>
          <w:b w:val="0"/>
          <w:color w:val="auto"/>
          <w:sz w:val="21"/>
          <w:szCs w:val="21"/>
          <w:highlight w:val="none"/>
        </w:rPr>
      </w:pPr>
      <w:bookmarkStart w:id="887" w:name="_Toc292559915"/>
      <w:bookmarkStart w:id="888" w:name="_Toc297048391"/>
      <w:bookmarkStart w:id="889" w:name="_Toc296346706"/>
      <w:bookmarkStart w:id="890" w:name="_Toc296503205"/>
      <w:bookmarkStart w:id="891" w:name="_Toc296944544"/>
      <w:bookmarkStart w:id="892" w:name="_Toc296347204"/>
      <w:bookmarkStart w:id="893" w:name="_Toc296891245"/>
      <w:bookmarkStart w:id="894" w:name="_Toc292559410"/>
      <w:bookmarkStart w:id="895" w:name="_Toc296891033"/>
      <w:bookmarkStart w:id="896" w:name="_Toc297120505"/>
      <w:bookmarkStart w:id="897" w:name="_Toc351203644"/>
      <w:bookmarkStart w:id="898" w:name="_Toc300935002"/>
      <w:bookmarkStart w:id="899" w:name="_Toc312678040"/>
      <w:bookmarkStart w:id="900" w:name="_Toc304295579"/>
      <w:bookmarkStart w:id="901" w:name="_Toc297123552"/>
      <w:bookmarkStart w:id="902" w:name="_Toc303539159"/>
      <w:bookmarkStart w:id="903" w:name="_Toc297216211"/>
      <w:r>
        <w:rPr>
          <w:rFonts w:hint="eastAsia" w:ascii="宋体" w:hAnsi="宋体" w:eastAsia="宋体" w:cs="宋体"/>
          <w:b w:val="0"/>
          <w:color w:val="auto"/>
          <w:sz w:val="21"/>
          <w:szCs w:val="21"/>
          <w:highlight w:val="none"/>
        </w:rPr>
        <w:t xml:space="preserve">12. </w:t>
      </w:r>
      <w:bookmarkEnd w:id="887"/>
      <w:bookmarkEnd w:id="888"/>
      <w:bookmarkEnd w:id="889"/>
      <w:bookmarkEnd w:id="890"/>
      <w:bookmarkEnd w:id="891"/>
      <w:bookmarkEnd w:id="892"/>
      <w:bookmarkEnd w:id="893"/>
      <w:bookmarkEnd w:id="894"/>
      <w:bookmarkEnd w:id="895"/>
      <w:bookmarkEnd w:id="896"/>
      <w:r>
        <w:rPr>
          <w:rFonts w:hint="eastAsia" w:ascii="宋体" w:hAnsi="宋体" w:eastAsia="宋体" w:cs="宋体"/>
          <w:b w:val="0"/>
          <w:color w:val="auto"/>
          <w:sz w:val="21"/>
          <w:szCs w:val="21"/>
          <w:highlight w:val="none"/>
        </w:rPr>
        <w:t>合同价格、计量与支付</w:t>
      </w:r>
      <w:bookmarkEnd w:id="897"/>
    </w:p>
    <w:bookmarkEnd w:id="898"/>
    <w:bookmarkEnd w:id="899"/>
    <w:bookmarkEnd w:id="900"/>
    <w:bookmarkEnd w:id="901"/>
    <w:bookmarkEnd w:id="902"/>
    <w:bookmarkEnd w:id="903"/>
    <w:p w14:paraId="210316BE">
      <w:pPr>
        <w:snapToGrid w:val="0"/>
        <w:spacing w:line="360" w:lineRule="auto"/>
        <w:ind w:firstLine="420" w:firstLineChars="200"/>
        <w:rPr>
          <w:rFonts w:ascii="宋体" w:hAnsi="宋体" w:cs="宋体"/>
          <w:color w:val="auto"/>
          <w:szCs w:val="21"/>
          <w:highlight w:val="none"/>
        </w:rPr>
      </w:pPr>
      <w:bookmarkStart w:id="904" w:name="_Toc267251461"/>
      <w:bookmarkStart w:id="905" w:name="_Toc292559411"/>
      <w:bookmarkStart w:id="906" w:name="_Toc292559916"/>
      <w:bookmarkStart w:id="907" w:name="_Toc297048392"/>
      <w:bookmarkStart w:id="908" w:name="_Toc296346707"/>
      <w:bookmarkStart w:id="909" w:name="_Toc296347205"/>
      <w:bookmarkStart w:id="910" w:name="_Toc296503206"/>
      <w:bookmarkStart w:id="911" w:name="_Toc296944545"/>
      <w:bookmarkStart w:id="912" w:name="_Toc296891246"/>
      <w:bookmarkStart w:id="913" w:name="_Toc297120506"/>
      <w:bookmarkStart w:id="914" w:name="_Toc296891034"/>
      <w:bookmarkStart w:id="915" w:name="_Toc304295580"/>
      <w:bookmarkStart w:id="916" w:name="_Toc303539160"/>
      <w:bookmarkStart w:id="917" w:name="_Toc312678041"/>
      <w:bookmarkStart w:id="918" w:name="_Toc300935003"/>
      <w:bookmarkStart w:id="919" w:name="_Toc297216212"/>
      <w:bookmarkStart w:id="920" w:name="_Toc297123553"/>
      <w:r>
        <w:rPr>
          <w:rFonts w:hint="eastAsia" w:ascii="宋体" w:hAnsi="宋体" w:cs="宋体"/>
          <w:color w:val="auto"/>
          <w:szCs w:val="21"/>
          <w:highlight w:val="none"/>
        </w:rPr>
        <w:t>12.1 合</w:t>
      </w:r>
      <w:bookmarkEnd w:id="904"/>
      <w:bookmarkEnd w:id="905"/>
      <w:bookmarkEnd w:id="906"/>
      <w:r>
        <w:rPr>
          <w:rFonts w:hint="eastAsia" w:ascii="宋体" w:hAnsi="宋体" w:cs="宋体"/>
          <w:color w:val="auto"/>
          <w:szCs w:val="21"/>
          <w:highlight w:val="none"/>
        </w:rPr>
        <w:t>同价</w:t>
      </w:r>
      <w:bookmarkEnd w:id="907"/>
      <w:bookmarkEnd w:id="908"/>
      <w:bookmarkEnd w:id="909"/>
      <w:bookmarkEnd w:id="910"/>
      <w:bookmarkEnd w:id="911"/>
      <w:bookmarkEnd w:id="912"/>
      <w:bookmarkEnd w:id="913"/>
      <w:bookmarkEnd w:id="914"/>
      <w:r>
        <w:rPr>
          <w:rFonts w:hint="eastAsia" w:ascii="宋体" w:hAnsi="宋体" w:cs="宋体"/>
          <w:color w:val="auto"/>
          <w:szCs w:val="21"/>
          <w:highlight w:val="none"/>
        </w:rPr>
        <w:t>格形式</w:t>
      </w:r>
    </w:p>
    <w:bookmarkEnd w:id="915"/>
    <w:bookmarkEnd w:id="916"/>
    <w:bookmarkEnd w:id="917"/>
    <w:bookmarkEnd w:id="918"/>
    <w:bookmarkEnd w:id="919"/>
    <w:bookmarkEnd w:id="920"/>
    <w:p w14:paraId="37C2FD5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1、单价合同。</w:t>
      </w:r>
    </w:p>
    <w:p w14:paraId="353D072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综合单价包含的风险范围：</w:t>
      </w:r>
      <w:r>
        <w:rPr>
          <w:rFonts w:hint="eastAsia" w:ascii="宋体" w:hAnsi="宋体"/>
          <w:color w:val="auto"/>
          <w:szCs w:val="21"/>
          <w:highlight w:val="none"/>
          <w:u w:val="single"/>
        </w:rPr>
        <w:t>/</w:t>
      </w:r>
      <w:r>
        <w:rPr>
          <w:rFonts w:hint="eastAsia" w:ascii="宋体" w:hAnsi="宋体" w:cs="宋体"/>
          <w:color w:val="auto"/>
          <w:szCs w:val="21"/>
          <w:highlight w:val="none"/>
        </w:rPr>
        <w:t>。</w:t>
      </w:r>
    </w:p>
    <w:p w14:paraId="6ECF677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风险费用的计算方法：</w:t>
      </w:r>
      <w:r>
        <w:rPr>
          <w:rFonts w:hint="eastAsia" w:ascii="宋体" w:hAnsi="宋体"/>
          <w:color w:val="auto"/>
          <w:szCs w:val="21"/>
          <w:highlight w:val="none"/>
          <w:u w:val="single"/>
        </w:rPr>
        <w:t>/</w:t>
      </w:r>
      <w:r>
        <w:rPr>
          <w:rFonts w:hint="eastAsia" w:ascii="宋体" w:hAnsi="宋体" w:cs="宋体"/>
          <w:color w:val="auto"/>
          <w:szCs w:val="21"/>
          <w:highlight w:val="none"/>
        </w:rPr>
        <w:t>。</w:t>
      </w:r>
    </w:p>
    <w:p w14:paraId="3D17651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olor w:val="auto"/>
          <w:szCs w:val="21"/>
          <w:highlight w:val="none"/>
          <w:u w:val="single"/>
        </w:rPr>
        <w:t>/</w:t>
      </w:r>
      <w:r>
        <w:rPr>
          <w:rFonts w:hint="eastAsia" w:ascii="宋体" w:hAnsi="宋体" w:cs="宋体"/>
          <w:color w:val="auto"/>
          <w:szCs w:val="21"/>
          <w:highlight w:val="none"/>
        </w:rPr>
        <w:t>。</w:t>
      </w:r>
    </w:p>
    <w:p w14:paraId="6FBFC220">
      <w:pPr>
        <w:snapToGrid w:val="0"/>
        <w:spacing w:line="360" w:lineRule="auto"/>
        <w:ind w:firstLine="420" w:firstLineChars="200"/>
        <w:rPr>
          <w:rFonts w:ascii="宋体" w:hAnsi="宋体" w:cs="宋体"/>
          <w:color w:val="auto"/>
          <w:szCs w:val="21"/>
          <w:highlight w:val="none"/>
        </w:rPr>
      </w:pPr>
      <w:bookmarkStart w:id="921" w:name="_Toc304295581"/>
      <w:bookmarkStart w:id="922" w:name="_Toc297123554"/>
      <w:bookmarkStart w:id="923" w:name="_Toc303539161"/>
      <w:bookmarkStart w:id="924" w:name="_Toc300935004"/>
      <w:bookmarkStart w:id="925" w:name="_Toc297216213"/>
      <w:bookmarkStart w:id="926" w:name="_Toc312678042"/>
      <w:bookmarkStart w:id="927" w:name="_Toc292559412"/>
      <w:bookmarkStart w:id="928" w:name="_Toc297048393"/>
      <w:bookmarkStart w:id="929" w:name="_Toc292559917"/>
      <w:bookmarkStart w:id="930" w:name="_Toc297120507"/>
      <w:bookmarkStart w:id="931" w:name="_Toc296347206"/>
      <w:bookmarkStart w:id="932" w:name="_Toc296346708"/>
      <w:bookmarkStart w:id="933" w:name="_Toc296891247"/>
      <w:bookmarkStart w:id="934" w:name="_Toc296503207"/>
      <w:bookmarkStart w:id="935" w:name="_Toc296944546"/>
      <w:bookmarkStart w:id="936" w:name="_Toc296891035"/>
      <w:r>
        <w:rPr>
          <w:rFonts w:hint="eastAsia" w:ascii="宋体" w:hAnsi="宋体" w:cs="宋体"/>
          <w:color w:val="auto"/>
          <w:szCs w:val="21"/>
          <w:highlight w:val="none"/>
        </w:rPr>
        <w:t>12.2 预付款</w:t>
      </w:r>
    </w:p>
    <w:bookmarkEnd w:id="921"/>
    <w:bookmarkEnd w:id="922"/>
    <w:bookmarkEnd w:id="923"/>
    <w:bookmarkEnd w:id="924"/>
    <w:bookmarkEnd w:id="925"/>
    <w:bookmarkEnd w:id="926"/>
    <w:p w14:paraId="744B91F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12.2.1 预付款的支付</w:t>
      </w:r>
    </w:p>
    <w:p w14:paraId="22D6600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预付款支付比例或金额：</w:t>
      </w:r>
      <w:r>
        <w:rPr>
          <w:rFonts w:hint="eastAsia" w:ascii="宋体" w:hAnsi="宋体"/>
          <w:color w:val="auto"/>
          <w:szCs w:val="21"/>
          <w:highlight w:val="none"/>
          <w:u w:val="single"/>
        </w:rPr>
        <w:t>签约合同价的</w:t>
      </w:r>
      <w:r>
        <w:rPr>
          <w:rFonts w:hint="eastAsia" w:ascii="宋体" w:hAnsi="宋体"/>
          <w:color w:val="auto"/>
          <w:szCs w:val="21"/>
          <w:highlight w:val="none"/>
          <w:u w:val="single"/>
          <w:lang w:val="en-US" w:eastAsia="zh-CN"/>
        </w:rPr>
        <w:t>4</w:t>
      </w:r>
      <w:r>
        <w:rPr>
          <w:rFonts w:hint="eastAsia" w:ascii="宋体" w:hAnsi="宋体"/>
          <w:color w:val="auto"/>
          <w:szCs w:val="21"/>
          <w:highlight w:val="none"/>
          <w:u w:val="single"/>
        </w:rPr>
        <w:t>0%。</w:t>
      </w:r>
    </w:p>
    <w:p w14:paraId="1973D21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预付款支付期限：</w:t>
      </w:r>
      <w:r>
        <w:rPr>
          <w:rFonts w:hint="eastAsia" w:ascii="宋体" w:hAnsi="宋体" w:cs="宋体"/>
          <w:color w:val="auto"/>
          <w:szCs w:val="21"/>
          <w:highlight w:val="none"/>
          <w:u w:val="single"/>
        </w:rPr>
        <w:t>合同生效以及具备实施条件后7个工作日内</w:t>
      </w:r>
      <w:r>
        <w:rPr>
          <w:rFonts w:hint="eastAsia" w:ascii="宋体" w:hAnsi="宋体" w:cs="宋体"/>
          <w:color w:val="auto"/>
          <w:szCs w:val="21"/>
          <w:highlight w:val="none"/>
        </w:rPr>
        <w:t>。</w:t>
      </w:r>
    </w:p>
    <w:p w14:paraId="556C40E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预付款扣回的方式：</w:t>
      </w:r>
      <w:r>
        <w:rPr>
          <w:rFonts w:hint="eastAsia" w:ascii="宋体" w:hAnsi="宋体"/>
          <w:color w:val="auto"/>
          <w:szCs w:val="21"/>
          <w:highlight w:val="none"/>
          <w:u w:val="single"/>
        </w:rPr>
        <w:t>/</w:t>
      </w:r>
      <w:r>
        <w:rPr>
          <w:rFonts w:hint="eastAsia" w:ascii="宋体" w:hAnsi="宋体" w:cs="宋体"/>
          <w:color w:val="auto"/>
          <w:szCs w:val="21"/>
          <w:highlight w:val="none"/>
        </w:rPr>
        <w:t>。</w:t>
      </w:r>
    </w:p>
    <w:p w14:paraId="5DDA500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12.2.2 预付款担保</w:t>
      </w:r>
    </w:p>
    <w:p w14:paraId="5AB974B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承包人提交预付款担保的期限：</w:t>
      </w:r>
      <w:r>
        <w:rPr>
          <w:rFonts w:hint="eastAsia" w:ascii="宋体" w:hAnsi="宋体"/>
          <w:color w:val="auto"/>
          <w:szCs w:val="21"/>
          <w:highlight w:val="none"/>
          <w:u w:val="single"/>
        </w:rPr>
        <w:t>/</w:t>
      </w:r>
      <w:r>
        <w:rPr>
          <w:rFonts w:hint="eastAsia" w:ascii="宋体" w:hAnsi="宋体" w:cs="宋体"/>
          <w:color w:val="auto"/>
          <w:szCs w:val="21"/>
          <w:highlight w:val="none"/>
        </w:rPr>
        <w:t>。</w:t>
      </w:r>
    </w:p>
    <w:p w14:paraId="6C8E383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预付款担保的形式为：</w:t>
      </w:r>
      <w:r>
        <w:rPr>
          <w:rFonts w:hint="eastAsia" w:ascii="宋体" w:hAnsi="宋体"/>
          <w:color w:val="auto"/>
          <w:szCs w:val="21"/>
          <w:highlight w:val="none"/>
          <w:u w:val="single"/>
        </w:rPr>
        <w:t>/</w:t>
      </w:r>
      <w:r>
        <w:rPr>
          <w:rFonts w:hint="eastAsia" w:ascii="宋体" w:hAnsi="宋体" w:cs="宋体"/>
          <w:color w:val="auto"/>
          <w:szCs w:val="21"/>
          <w:highlight w:val="none"/>
        </w:rPr>
        <w:t>。</w:t>
      </w:r>
    </w:p>
    <w:bookmarkEnd w:id="927"/>
    <w:bookmarkEnd w:id="928"/>
    <w:bookmarkEnd w:id="929"/>
    <w:bookmarkEnd w:id="930"/>
    <w:bookmarkEnd w:id="931"/>
    <w:bookmarkEnd w:id="932"/>
    <w:bookmarkEnd w:id="933"/>
    <w:bookmarkEnd w:id="934"/>
    <w:bookmarkEnd w:id="935"/>
    <w:bookmarkEnd w:id="936"/>
    <w:p w14:paraId="6CF53F6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12.3 计量</w:t>
      </w:r>
    </w:p>
    <w:p w14:paraId="667639E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12.3.1 计量原则</w:t>
      </w:r>
    </w:p>
    <w:p w14:paraId="6DEE5BB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工程量计算规则：</w:t>
      </w:r>
      <w:r>
        <w:rPr>
          <w:rFonts w:hint="eastAsia" w:ascii="宋体" w:hAnsi="宋体" w:cs="宋体"/>
          <w:color w:val="auto"/>
          <w:szCs w:val="21"/>
          <w:highlight w:val="none"/>
          <w:u w:val="single"/>
        </w:rPr>
        <w:t>执行通用条款</w:t>
      </w:r>
      <w:r>
        <w:rPr>
          <w:rFonts w:hint="eastAsia" w:ascii="宋体" w:hAnsi="宋体" w:cs="宋体"/>
          <w:color w:val="auto"/>
          <w:szCs w:val="21"/>
          <w:highlight w:val="none"/>
        </w:rPr>
        <w:t>。</w:t>
      </w:r>
    </w:p>
    <w:p w14:paraId="3A13ED3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12.3.2 计量周期</w:t>
      </w:r>
    </w:p>
    <w:p w14:paraId="3480D14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关于计量周期的约定：</w:t>
      </w:r>
      <w:r>
        <w:rPr>
          <w:rFonts w:hint="eastAsia" w:ascii="宋体" w:hAnsi="宋体" w:cs="宋体"/>
          <w:color w:val="auto"/>
          <w:szCs w:val="21"/>
          <w:highlight w:val="none"/>
          <w:u w:val="single"/>
        </w:rPr>
        <w:t>执行通用条款</w:t>
      </w:r>
      <w:r>
        <w:rPr>
          <w:rFonts w:hint="eastAsia" w:ascii="宋体" w:hAnsi="宋体" w:cs="宋体"/>
          <w:color w:val="auto"/>
          <w:szCs w:val="21"/>
          <w:highlight w:val="none"/>
        </w:rPr>
        <w:t>。</w:t>
      </w:r>
    </w:p>
    <w:p w14:paraId="60517AC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12.3.3 单价合同的计量</w:t>
      </w:r>
    </w:p>
    <w:p w14:paraId="60E8777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关于单价合同计量的约定：</w:t>
      </w:r>
      <w:r>
        <w:rPr>
          <w:rFonts w:hint="eastAsia" w:ascii="宋体" w:hAnsi="宋体" w:cs="宋体"/>
          <w:color w:val="auto"/>
          <w:szCs w:val="21"/>
          <w:highlight w:val="none"/>
          <w:u w:val="single"/>
        </w:rPr>
        <w:t>执行通用条款</w:t>
      </w:r>
      <w:r>
        <w:rPr>
          <w:rFonts w:hint="eastAsia" w:ascii="宋体" w:hAnsi="宋体" w:cs="宋体"/>
          <w:color w:val="auto"/>
          <w:szCs w:val="21"/>
          <w:highlight w:val="none"/>
        </w:rPr>
        <w:t>。</w:t>
      </w:r>
    </w:p>
    <w:p w14:paraId="187DC06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12.4 工程进度款支付</w:t>
      </w:r>
    </w:p>
    <w:p w14:paraId="4F943B83">
      <w:pPr>
        <w:snapToGrid w:val="0"/>
        <w:spacing w:line="360" w:lineRule="auto"/>
        <w:ind w:firstLine="420" w:firstLineChars="200"/>
        <w:jc w:val="left"/>
        <w:rPr>
          <w:rFonts w:ascii="宋体" w:hAnsi="宋体" w:cs="宋体"/>
          <w:color w:val="auto"/>
          <w:szCs w:val="21"/>
          <w:highlight w:val="none"/>
        </w:rPr>
      </w:pPr>
      <w:bookmarkStart w:id="937" w:name="_Toc297216215"/>
      <w:bookmarkStart w:id="938" w:name="_Toc300935006"/>
      <w:bookmarkStart w:id="939" w:name="_Toc292559921"/>
      <w:bookmarkStart w:id="940" w:name="_Toc297123556"/>
      <w:bookmarkStart w:id="941" w:name="_Toc292559416"/>
      <w:bookmarkStart w:id="942" w:name="_Toc296891251"/>
      <w:bookmarkStart w:id="943" w:name="_Toc296891039"/>
      <w:bookmarkStart w:id="944" w:name="_Toc296346712"/>
      <w:bookmarkStart w:id="945" w:name="_Toc303539163"/>
      <w:bookmarkStart w:id="946" w:name="_Toc297120511"/>
      <w:bookmarkStart w:id="947" w:name="_Toc296347210"/>
      <w:bookmarkStart w:id="948" w:name="_Toc296503211"/>
      <w:bookmarkStart w:id="949" w:name="_Toc297048397"/>
      <w:bookmarkStart w:id="950" w:name="_Toc296944550"/>
      <w:r>
        <w:rPr>
          <w:rFonts w:hint="eastAsia" w:ascii="宋体" w:hAnsi="宋体" w:cs="宋体"/>
          <w:color w:val="auto"/>
          <w:szCs w:val="21"/>
          <w:highlight w:val="none"/>
        </w:rPr>
        <w:t>12.4.1 付款周期</w:t>
      </w:r>
    </w:p>
    <w:p w14:paraId="6E6B6CC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关于付款周期的约定：</w:t>
      </w:r>
    </w:p>
    <w:p w14:paraId="136951C1">
      <w:pPr>
        <w:numPr>
          <w:ilvl w:val="0"/>
          <w:numId w:val="5"/>
        </w:num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w:t>
      </w:r>
    </w:p>
    <w:p w14:paraId="16995E3F">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（2）支付上述款项前，承包人必须开具同等数额的正规增值税发票（具体发票要求按发包人要求开具），否则有权延迟支付。</w:t>
      </w:r>
    </w:p>
    <w:p w14:paraId="73FA73EA">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（3）联系单调整费用：</w:t>
      </w:r>
    </w:p>
    <w:p w14:paraId="75FCE7F2">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以上工程款均不包括联系单调整费用，联系单预算书及工程量计算稿需作为联系单的附件与联系单同时报审，及时上报代建人、跟踪审计单位和发包人审核确认。联系单调整费用在工程结算完成后支付。</w:t>
      </w:r>
    </w:p>
    <w:p w14:paraId="0002DFC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承包人违约金必须在余款结清前提交发包人，否则发包人有权不支付余款，待承包人提交违约金后支付</w:t>
      </w:r>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r>
        <w:rPr>
          <w:rFonts w:hint="eastAsia" w:ascii="宋体" w:hAnsi="宋体" w:cs="宋体"/>
          <w:color w:val="auto"/>
          <w:szCs w:val="21"/>
          <w:highlight w:val="none"/>
        </w:rPr>
        <w:t>。</w:t>
      </w:r>
    </w:p>
    <w:bookmarkEnd w:id="781"/>
    <w:p w14:paraId="483090AF">
      <w:pPr>
        <w:pStyle w:val="5"/>
        <w:snapToGrid w:val="0"/>
        <w:spacing w:before="0" w:after="0" w:line="360" w:lineRule="auto"/>
        <w:rPr>
          <w:rFonts w:ascii="宋体" w:hAnsi="宋体" w:eastAsia="宋体" w:cs="宋体"/>
          <w:b w:val="0"/>
          <w:color w:val="auto"/>
          <w:sz w:val="21"/>
          <w:szCs w:val="21"/>
          <w:highlight w:val="none"/>
        </w:rPr>
      </w:pPr>
      <w:bookmarkStart w:id="951" w:name="_Toc351203645"/>
      <w:bookmarkStart w:id="952" w:name="_Toc292559929"/>
      <w:bookmarkStart w:id="953" w:name="_Toc297123564"/>
      <w:bookmarkStart w:id="954" w:name="_Toc296503219"/>
      <w:bookmarkStart w:id="955" w:name="_Toc296944558"/>
      <w:bookmarkStart w:id="956" w:name="_Toc297216223"/>
      <w:bookmarkStart w:id="957" w:name="_Toc292559424"/>
      <w:bookmarkStart w:id="958" w:name="_Toc297048405"/>
      <w:bookmarkStart w:id="959" w:name="_Toc296347218"/>
      <w:bookmarkStart w:id="960" w:name="_Toc303539172"/>
      <w:bookmarkStart w:id="961" w:name="_Toc304295593"/>
      <w:bookmarkStart w:id="962" w:name="_Toc300935015"/>
      <w:bookmarkStart w:id="963" w:name="_Toc296891259"/>
      <w:bookmarkStart w:id="964" w:name="_Toc297120519"/>
      <w:bookmarkStart w:id="965" w:name="_Toc296891047"/>
      <w:bookmarkStart w:id="966" w:name="_Toc296346720"/>
      <w:bookmarkStart w:id="967" w:name="_Toc312678053"/>
      <w:r>
        <w:rPr>
          <w:rFonts w:hint="eastAsia" w:ascii="宋体" w:hAnsi="宋体" w:eastAsia="宋体" w:cs="宋体"/>
          <w:b w:val="0"/>
          <w:color w:val="auto"/>
          <w:sz w:val="21"/>
          <w:szCs w:val="21"/>
          <w:highlight w:val="none"/>
        </w:rPr>
        <w:t>13. 验收和工程试车</w:t>
      </w:r>
      <w:bookmarkEnd w:id="951"/>
    </w:p>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p w14:paraId="5395DFD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 分部分项工程验收</w:t>
      </w:r>
    </w:p>
    <w:p w14:paraId="58F8E36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13.1.2监理人不能按时进行验收时，应提前</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rPr>
        <w:t>小时提交书面延期要求。</w:t>
      </w:r>
    </w:p>
    <w:p w14:paraId="6582EBD7">
      <w:pPr>
        <w:snapToGrid w:val="0"/>
        <w:spacing w:line="360" w:lineRule="auto"/>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lang w:val="en-US" w:eastAsia="zh-CN"/>
        </w:rPr>
        <w:t>48</w:t>
      </w:r>
      <w:r>
        <w:rPr>
          <w:rFonts w:hint="eastAsia" w:ascii="宋体" w:hAnsi="宋体" w:cs="宋体"/>
          <w:color w:val="auto"/>
          <w:szCs w:val="21"/>
          <w:highlight w:val="none"/>
        </w:rPr>
        <w:t>小时。</w:t>
      </w:r>
    </w:p>
    <w:p w14:paraId="65BDF026">
      <w:pPr>
        <w:snapToGrid w:val="0"/>
        <w:spacing w:line="360" w:lineRule="auto"/>
        <w:ind w:firstLine="420" w:firstLineChars="200"/>
        <w:rPr>
          <w:rFonts w:ascii="宋体" w:hAnsi="宋体" w:cs="宋体"/>
          <w:color w:val="auto"/>
          <w:szCs w:val="21"/>
          <w:highlight w:val="none"/>
        </w:rPr>
      </w:pPr>
      <w:bookmarkStart w:id="968" w:name="_Toc292559428"/>
      <w:bookmarkStart w:id="969" w:name="_Toc296346724"/>
      <w:bookmarkStart w:id="970" w:name="_Toc297048409"/>
      <w:bookmarkStart w:id="971" w:name="_Toc296891051"/>
      <w:bookmarkStart w:id="972" w:name="_Toc304295596"/>
      <w:bookmarkStart w:id="973" w:name="_Toc296944562"/>
      <w:bookmarkStart w:id="974" w:name="_Toc296891263"/>
      <w:bookmarkStart w:id="975" w:name="_Toc297216224"/>
      <w:bookmarkStart w:id="976" w:name="_Toc292559933"/>
      <w:bookmarkStart w:id="977" w:name="_Toc300935016"/>
      <w:bookmarkStart w:id="978" w:name="_Toc297120523"/>
      <w:bookmarkStart w:id="979" w:name="_Toc297123565"/>
      <w:bookmarkStart w:id="980" w:name="_Toc312678056"/>
      <w:bookmarkStart w:id="981" w:name="_Toc296347222"/>
      <w:bookmarkStart w:id="982" w:name="_Toc296503223"/>
      <w:bookmarkStart w:id="983" w:name="_Toc303539173"/>
      <w:bookmarkStart w:id="984" w:name="_Toc267251473"/>
      <w:bookmarkStart w:id="985" w:name="_Toc267251472"/>
      <w:bookmarkStart w:id="986" w:name="_Toc267251476"/>
      <w:bookmarkStart w:id="987" w:name="_Toc267251470"/>
      <w:bookmarkStart w:id="988" w:name="_Toc267251474"/>
      <w:bookmarkStart w:id="989" w:name="_Toc267251471"/>
      <w:bookmarkStart w:id="990" w:name="_Toc267251475"/>
      <w:r>
        <w:rPr>
          <w:rFonts w:hint="eastAsia" w:ascii="宋体" w:hAnsi="宋体" w:cs="宋体"/>
          <w:color w:val="auto"/>
          <w:szCs w:val="21"/>
          <w:highlight w:val="none"/>
        </w:rPr>
        <w:t>13.2 竣工验收</w:t>
      </w:r>
    </w:p>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p w14:paraId="4BF039CD">
      <w:pPr>
        <w:snapToGrid w:val="0"/>
        <w:spacing w:line="360" w:lineRule="auto"/>
        <w:ind w:firstLine="420" w:firstLineChars="200"/>
        <w:jc w:val="left"/>
        <w:rPr>
          <w:rFonts w:ascii="宋体" w:hAnsi="宋体" w:cs="宋体"/>
          <w:color w:val="auto"/>
          <w:szCs w:val="21"/>
          <w:highlight w:val="none"/>
        </w:rPr>
      </w:pPr>
      <w:bookmarkStart w:id="991" w:name="_Toc280868704"/>
      <w:bookmarkStart w:id="992" w:name="_Toc280868705"/>
      <w:bookmarkStart w:id="993" w:name="_Toc280868706"/>
      <w:bookmarkStart w:id="994" w:name="_Toc280868707"/>
      <w:bookmarkStart w:id="995" w:name="_Toc280868708"/>
      <w:bookmarkStart w:id="996" w:name="_Toc280868709"/>
      <w:r>
        <w:rPr>
          <w:rFonts w:hint="eastAsia" w:ascii="宋体" w:hAnsi="宋体" w:cs="宋体"/>
          <w:color w:val="auto"/>
          <w:szCs w:val="21"/>
          <w:highlight w:val="none"/>
        </w:rPr>
        <w:t>13.2.2竣工验收程序</w:t>
      </w:r>
    </w:p>
    <w:bookmarkEnd w:id="991"/>
    <w:p w14:paraId="782E5396">
      <w:pPr>
        <w:snapToGrid w:val="0"/>
        <w:spacing w:line="360" w:lineRule="auto"/>
        <w:ind w:left="4200" w:leftChars="200" w:hanging="3780" w:hangingChars="1800"/>
        <w:jc w:val="left"/>
        <w:rPr>
          <w:rFonts w:ascii="宋体" w:hAnsi="宋体" w:cs="宋体"/>
          <w:color w:val="auto"/>
          <w:szCs w:val="21"/>
          <w:highlight w:val="none"/>
        </w:rPr>
      </w:pPr>
      <w:r>
        <w:rPr>
          <w:rFonts w:hint="eastAsia" w:ascii="宋体" w:hAnsi="宋体" w:cs="宋体"/>
          <w:color w:val="auto"/>
          <w:kern w:val="0"/>
          <w:szCs w:val="21"/>
          <w:highlight w:val="none"/>
        </w:rPr>
        <w:t>关于竣工验收程序的约定：</w:t>
      </w:r>
      <w:r>
        <w:rPr>
          <w:rFonts w:hint="eastAsia" w:ascii="宋体" w:hAnsi="宋体" w:cs="宋体"/>
          <w:color w:val="auto"/>
          <w:szCs w:val="21"/>
          <w:highlight w:val="none"/>
          <w:u w:val="single"/>
        </w:rPr>
        <w:t>执行通用条款</w:t>
      </w:r>
      <w:r>
        <w:rPr>
          <w:rFonts w:hint="eastAsia" w:ascii="宋体" w:hAnsi="宋体" w:cs="宋体"/>
          <w:color w:val="auto"/>
          <w:szCs w:val="21"/>
          <w:highlight w:val="none"/>
        </w:rPr>
        <w:t>。</w:t>
      </w:r>
    </w:p>
    <w:p w14:paraId="0C63994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发包人不按照本项约定组织竣工验收、颁发工程接收证书的违约金的计算方法：</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rPr>
        <w:t>。</w:t>
      </w:r>
    </w:p>
    <w:bookmarkEnd w:id="992"/>
    <w:p w14:paraId="676B8C8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13.2.5移交、接收全部与部分工程</w:t>
      </w:r>
    </w:p>
    <w:bookmarkEnd w:id="993"/>
    <w:p w14:paraId="282A7B42">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承包人向发包人移交工程的期限：</w:t>
      </w:r>
      <w:r>
        <w:rPr>
          <w:rFonts w:hint="eastAsia" w:ascii="宋体" w:hAnsi="宋体" w:cs="宋体"/>
          <w:color w:val="auto"/>
          <w:szCs w:val="21"/>
          <w:highlight w:val="none"/>
          <w:u w:val="single"/>
        </w:rPr>
        <w:t>执行通用条款</w:t>
      </w:r>
      <w:r>
        <w:rPr>
          <w:rFonts w:hint="eastAsia" w:ascii="宋体" w:hAnsi="宋体" w:cs="宋体"/>
          <w:color w:val="auto"/>
          <w:szCs w:val="21"/>
          <w:highlight w:val="none"/>
        </w:rPr>
        <w:t>。</w:t>
      </w:r>
    </w:p>
    <w:p w14:paraId="547F4D27">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发包人未按本合同约定接收全部或部分工程的，违约金的计算方法为：</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rPr>
        <w:t>。</w:t>
      </w:r>
    </w:p>
    <w:bookmarkEnd w:id="994"/>
    <w:p w14:paraId="254F4B9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承包人未按时移交工程的，违约金的计算方法为：</w:t>
      </w:r>
      <w:r>
        <w:rPr>
          <w:rFonts w:hint="eastAsia" w:ascii="宋体" w:hAnsi="宋体" w:cs="宋体"/>
          <w:color w:val="auto"/>
          <w:szCs w:val="21"/>
          <w:highlight w:val="none"/>
          <w:u w:val="single"/>
        </w:rPr>
        <w:t>承包人无正当理由未按时移交工程的，除承担自应接收工程之日起的工程照管、成本保护、保管等与工程有关的各项费用外，应当按本合同约定的工期延误赔偿标准的5倍向发包人支付逾期移交工程的违约金</w:t>
      </w:r>
      <w:r>
        <w:rPr>
          <w:rFonts w:hint="eastAsia" w:ascii="宋体" w:hAnsi="宋体" w:cs="宋体"/>
          <w:color w:val="auto"/>
          <w:szCs w:val="21"/>
          <w:highlight w:val="none"/>
        </w:rPr>
        <w:t>。</w:t>
      </w:r>
    </w:p>
    <w:bookmarkEnd w:id="995"/>
    <w:p w14:paraId="37DC9E1B">
      <w:pPr>
        <w:snapToGrid w:val="0"/>
        <w:spacing w:line="360" w:lineRule="auto"/>
        <w:ind w:firstLine="420" w:firstLineChars="200"/>
        <w:outlineLvl w:val="0"/>
        <w:rPr>
          <w:rFonts w:ascii="宋体" w:hAnsi="宋体" w:cs="宋体"/>
          <w:color w:val="auto"/>
          <w:szCs w:val="21"/>
          <w:highlight w:val="none"/>
        </w:rPr>
      </w:pPr>
      <w:bookmarkStart w:id="997" w:name="_Toc23722"/>
      <w:r>
        <w:rPr>
          <w:rFonts w:hint="eastAsia" w:ascii="宋体" w:hAnsi="宋体" w:cs="宋体"/>
          <w:color w:val="auto"/>
          <w:szCs w:val="21"/>
          <w:highlight w:val="none"/>
        </w:rPr>
        <w:t>13.6 竣工退场</w:t>
      </w:r>
      <w:bookmarkEnd w:id="997"/>
    </w:p>
    <w:p w14:paraId="4D2A5353">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13.6.1 竣工退场</w:t>
      </w:r>
    </w:p>
    <w:p w14:paraId="2108C489">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承包人完成竣工退场的期限：</w:t>
      </w:r>
      <w:r>
        <w:rPr>
          <w:rFonts w:hint="eastAsia" w:ascii="宋体" w:hAnsi="宋体" w:cs="宋体"/>
          <w:color w:val="auto"/>
          <w:szCs w:val="21"/>
          <w:highlight w:val="none"/>
          <w:u w:val="single"/>
        </w:rPr>
        <w:t>承包人应当在发包人颁发工程接收证书后14天内完成竣工退场，逾期未完成的，按通用条款执行</w:t>
      </w:r>
      <w:r>
        <w:rPr>
          <w:rFonts w:hint="eastAsia" w:ascii="宋体" w:hAnsi="宋体" w:cs="宋体"/>
          <w:color w:val="auto"/>
          <w:kern w:val="0"/>
          <w:szCs w:val="21"/>
          <w:highlight w:val="none"/>
        </w:rPr>
        <w:t>。</w:t>
      </w:r>
    </w:p>
    <w:p w14:paraId="40A1514B">
      <w:pPr>
        <w:pStyle w:val="5"/>
        <w:snapToGrid w:val="0"/>
        <w:spacing w:before="0" w:after="0" w:line="360" w:lineRule="auto"/>
        <w:rPr>
          <w:rFonts w:ascii="宋体" w:hAnsi="宋体" w:eastAsia="宋体" w:cs="宋体"/>
          <w:b w:val="0"/>
          <w:color w:val="auto"/>
          <w:sz w:val="21"/>
          <w:szCs w:val="21"/>
          <w:highlight w:val="none"/>
        </w:rPr>
      </w:pPr>
      <w:bookmarkStart w:id="998" w:name="_Toc351203646"/>
      <w:r>
        <w:rPr>
          <w:rFonts w:hint="eastAsia" w:ascii="宋体" w:hAnsi="宋体" w:eastAsia="宋体" w:cs="宋体"/>
          <w:b w:val="0"/>
          <w:color w:val="auto"/>
          <w:sz w:val="21"/>
          <w:szCs w:val="21"/>
          <w:highlight w:val="none"/>
        </w:rPr>
        <w:t>14. 竣工结算</w:t>
      </w:r>
      <w:bookmarkEnd w:id="998"/>
    </w:p>
    <w:p w14:paraId="6FFB80C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 竣工结算申请</w:t>
      </w:r>
    </w:p>
    <w:p w14:paraId="7C70162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承包人提交竣工结算申请单的期限：</w:t>
      </w:r>
      <w:r>
        <w:rPr>
          <w:rFonts w:hint="eastAsia" w:ascii="宋体" w:hAnsi="宋体" w:cs="宋体"/>
          <w:color w:val="auto"/>
          <w:szCs w:val="21"/>
          <w:highlight w:val="none"/>
          <w:u w:val="single"/>
        </w:rPr>
        <w:t>执行通用条款</w:t>
      </w:r>
      <w:r>
        <w:rPr>
          <w:rFonts w:hint="eastAsia" w:ascii="宋体" w:hAnsi="宋体" w:cs="宋体"/>
          <w:color w:val="auto"/>
          <w:szCs w:val="21"/>
          <w:highlight w:val="none"/>
        </w:rPr>
        <w:t>。</w:t>
      </w:r>
    </w:p>
    <w:p w14:paraId="370FD8E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竣工结算申请单应包括的内容：</w:t>
      </w:r>
      <w:r>
        <w:rPr>
          <w:rFonts w:hint="eastAsia" w:ascii="宋体" w:hAnsi="宋体" w:cs="宋体"/>
          <w:color w:val="auto"/>
          <w:szCs w:val="21"/>
          <w:highlight w:val="none"/>
          <w:u w:val="single"/>
        </w:rPr>
        <w:t>执行通用条款</w:t>
      </w:r>
      <w:r>
        <w:rPr>
          <w:rFonts w:hint="eastAsia" w:ascii="宋体" w:hAnsi="宋体" w:cs="宋体"/>
          <w:color w:val="auto"/>
          <w:szCs w:val="21"/>
          <w:highlight w:val="none"/>
        </w:rPr>
        <w:t>。</w:t>
      </w:r>
    </w:p>
    <w:p w14:paraId="380F68FA">
      <w:pPr>
        <w:snapToGrid w:val="0"/>
        <w:spacing w:line="360" w:lineRule="auto"/>
        <w:ind w:firstLine="420" w:firstLineChars="200"/>
        <w:outlineLvl w:val="0"/>
        <w:rPr>
          <w:rFonts w:ascii="宋体" w:hAnsi="宋体" w:cs="宋体"/>
          <w:color w:val="auto"/>
          <w:szCs w:val="21"/>
          <w:highlight w:val="none"/>
        </w:rPr>
      </w:pPr>
      <w:bookmarkStart w:id="999" w:name="_Toc26508"/>
      <w:r>
        <w:rPr>
          <w:rFonts w:hint="eastAsia" w:ascii="宋体" w:hAnsi="宋体" w:cs="宋体"/>
          <w:color w:val="auto"/>
          <w:szCs w:val="21"/>
          <w:highlight w:val="none"/>
        </w:rPr>
        <w:t>14.2 竣工结算审核</w:t>
      </w:r>
      <w:bookmarkEnd w:id="999"/>
    </w:p>
    <w:p w14:paraId="2D6FDA3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发包人审批竣工付款申请单的期限：</w:t>
      </w:r>
      <w:r>
        <w:rPr>
          <w:rFonts w:hint="eastAsia" w:ascii="宋体" w:hAnsi="宋体" w:cs="宋体"/>
          <w:color w:val="auto"/>
          <w:szCs w:val="21"/>
          <w:highlight w:val="none"/>
          <w:u w:val="single"/>
        </w:rPr>
        <w:t>执行通用条款</w:t>
      </w:r>
      <w:r>
        <w:rPr>
          <w:rFonts w:hint="eastAsia" w:ascii="宋体" w:hAnsi="宋体" w:cs="宋体"/>
          <w:color w:val="auto"/>
          <w:szCs w:val="21"/>
          <w:highlight w:val="none"/>
        </w:rPr>
        <w:t>。</w:t>
      </w:r>
    </w:p>
    <w:p w14:paraId="1A8B3EE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发包人完成竣工付款的期限：</w:t>
      </w:r>
      <w:r>
        <w:rPr>
          <w:rFonts w:hint="eastAsia" w:ascii="宋体" w:hAnsi="宋体" w:cs="宋体"/>
          <w:color w:val="auto"/>
          <w:szCs w:val="21"/>
          <w:highlight w:val="none"/>
          <w:u w:val="single"/>
        </w:rPr>
        <w:t>执行通用条款</w:t>
      </w:r>
      <w:r>
        <w:rPr>
          <w:rFonts w:hint="eastAsia" w:ascii="宋体" w:hAnsi="宋体" w:cs="宋体"/>
          <w:color w:val="auto"/>
          <w:szCs w:val="21"/>
          <w:highlight w:val="none"/>
        </w:rPr>
        <w:t>。</w:t>
      </w:r>
    </w:p>
    <w:p w14:paraId="6AAD9C9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关于竣工付款证书异议部分复核的方式和程序：</w:t>
      </w:r>
      <w:r>
        <w:rPr>
          <w:rFonts w:hint="eastAsia" w:ascii="宋体" w:hAnsi="宋体" w:cs="宋体"/>
          <w:color w:val="auto"/>
          <w:szCs w:val="21"/>
          <w:highlight w:val="none"/>
          <w:u w:val="single"/>
        </w:rPr>
        <w:t>执行通用条款</w:t>
      </w:r>
      <w:r>
        <w:rPr>
          <w:rFonts w:hint="eastAsia" w:ascii="宋体" w:hAnsi="宋体" w:cs="宋体"/>
          <w:color w:val="auto"/>
          <w:szCs w:val="21"/>
          <w:highlight w:val="none"/>
        </w:rPr>
        <w:t>。</w:t>
      </w:r>
    </w:p>
    <w:p w14:paraId="2C09C58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14.4 最终结清</w:t>
      </w:r>
    </w:p>
    <w:p w14:paraId="41FAD7CD">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14.4.1 最终结清申请单</w:t>
      </w:r>
    </w:p>
    <w:p w14:paraId="2D6B8716">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承包人提交最终结清申请单的份数：</w:t>
      </w:r>
      <w:r>
        <w:rPr>
          <w:rFonts w:hint="eastAsia" w:ascii="宋体" w:hAnsi="宋体" w:cs="宋体"/>
          <w:color w:val="auto"/>
          <w:szCs w:val="21"/>
          <w:highlight w:val="none"/>
          <w:u w:val="single"/>
        </w:rPr>
        <w:t>执行通用条款</w:t>
      </w:r>
      <w:r>
        <w:rPr>
          <w:rFonts w:hint="eastAsia" w:ascii="宋体" w:hAnsi="宋体" w:cs="宋体"/>
          <w:color w:val="auto"/>
          <w:szCs w:val="21"/>
          <w:highlight w:val="none"/>
        </w:rPr>
        <w:t>。</w:t>
      </w:r>
    </w:p>
    <w:p w14:paraId="22D0712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承包人提交最终结算申请单的期限：</w:t>
      </w:r>
      <w:r>
        <w:rPr>
          <w:rFonts w:hint="eastAsia" w:ascii="宋体" w:hAnsi="宋体" w:cs="宋体"/>
          <w:color w:val="auto"/>
          <w:szCs w:val="21"/>
          <w:highlight w:val="none"/>
          <w:u w:val="single"/>
        </w:rPr>
        <w:t>执行通用条款</w:t>
      </w:r>
      <w:r>
        <w:rPr>
          <w:rFonts w:hint="eastAsia" w:ascii="宋体" w:hAnsi="宋体" w:cs="宋体"/>
          <w:color w:val="auto"/>
          <w:szCs w:val="21"/>
          <w:highlight w:val="none"/>
        </w:rPr>
        <w:t xml:space="preserve">。 </w:t>
      </w:r>
    </w:p>
    <w:p w14:paraId="508139D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14.4.2 最终结清证书和支付</w:t>
      </w:r>
    </w:p>
    <w:p w14:paraId="5D3DEBF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（1）发包人完成最终结清申请单的审批并颁发最终结清证书的期限：</w:t>
      </w:r>
      <w:r>
        <w:rPr>
          <w:rFonts w:hint="eastAsia" w:ascii="宋体" w:hAnsi="宋体" w:cs="宋体"/>
          <w:color w:val="auto"/>
          <w:szCs w:val="21"/>
          <w:highlight w:val="none"/>
          <w:u w:val="single"/>
        </w:rPr>
        <w:t>执行通用条款</w:t>
      </w:r>
      <w:r>
        <w:rPr>
          <w:rFonts w:hint="eastAsia" w:ascii="宋体" w:hAnsi="宋体" w:cs="宋体"/>
          <w:color w:val="auto"/>
          <w:szCs w:val="21"/>
          <w:highlight w:val="none"/>
        </w:rPr>
        <w:t>。</w:t>
      </w:r>
    </w:p>
    <w:p w14:paraId="1C9A21A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（2）发包人完成支付的期限：</w:t>
      </w:r>
      <w:r>
        <w:rPr>
          <w:rFonts w:hint="eastAsia" w:ascii="宋体" w:hAnsi="宋体" w:cs="宋体"/>
          <w:color w:val="auto"/>
          <w:szCs w:val="21"/>
          <w:highlight w:val="none"/>
          <w:u w:val="single"/>
        </w:rPr>
        <w:t>执行通用条款</w:t>
      </w:r>
      <w:r>
        <w:rPr>
          <w:rFonts w:hint="eastAsia" w:ascii="宋体" w:hAnsi="宋体" w:cs="宋体"/>
          <w:color w:val="auto"/>
          <w:szCs w:val="21"/>
          <w:highlight w:val="none"/>
        </w:rPr>
        <w:t>。</w:t>
      </w:r>
    </w:p>
    <w:bookmarkEnd w:id="984"/>
    <w:bookmarkEnd w:id="985"/>
    <w:bookmarkEnd w:id="986"/>
    <w:bookmarkEnd w:id="987"/>
    <w:bookmarkEnd w:id="988"/>
    <w:bookmarkEnd w:id="989"/>
    <w:bookmarkEnd w:id="990"/>
    <w:bookmarkEnd w:id="996"/>
    <w:p w14:paraId="7DC33FB2">
      <w:pPr>
        <w:pStyle w:val="5"/>
        <w:snapToGrid w:val="0"/>
        <w:spacing w:before="0" w:after="0" w:line="360" w:lineRule="auto"/>
        <w:rPr>
          <w:rFonts w:ascii="宋体" w:hAnsi="宋体" w:eastAsia="宋体" w:cs="宋体"/>
          <w:b w:val="0"/>
          <w:color w:val="auto"/>
          <w:sz w:val="21"/>
          <w:szCs w:val="21"/>
          <w:highlight w:val="none"/>
        </w:rPr>
      </w:pPr>
      <w:bookmarkStart w:id="1000" w:name="_Toc351203647"/>
      <w:bookmarkStart w:id="1001" w:name="_Toc267251483"/>
      <w:bookmarkStart w:id="1002" w:name="_Toc267251482"/>
      <w:bookmarkStart w:id="1003" w:name="_Toc267251484"/>
      <w:bookmarkStart w:id="1004" w:name="_Toc267251485"/>
      <w:bookmarkStart w:id="1005" w:name="_Toc267251486"/>
      <w:bookmarkStart w:id="1006" w:name="_Toc267251490"/>
      <w:bookmarkStart w:id="1007" w:name="_Toc267251489"/>
      <w:bookmarkStart w:id="1008" w:name="_Toc267251488"/>
      <w:bookmarkStart w:id="1009" w:name="_Toc267251494"/>
      <w:bookmarkStart w:id="1010" w:name="_Toc267251492"/>
      <w:bookmarkStart w:id="1011" w:name="_Toc267251502"/>
      <w:bookmarkStart w:id="1012" w:name="_Toc267251503"/>
      <w:bookmarkStart w:id="1013" w:name="_Toc267251493"/>
      <w:bookmarkStart w:id="1014" w:name="_Toc267251499"/>
      <w:bookmarkStart w:id="1015" w:name="_Toc267251491"/>
      <w:bookmarkStart w:id="1016" w:name="_Toc267251496"/>
      <w:bookmarkStart w:id="1017" w:name="_Toc267251498"/>
      <w:bookmarkStart w:id="1018" w:name="_Toc267251497"/>
      <w:bookmarkStart w:id="1019" w:name="_Toc267251501"/>
      <w:bookmarkStart w:id="1020" w:name="_Toc267251495"/>
      <w:bookmarkStart w:id="1021" w:name="_Toc267251504"/>
      <w:bookmarkStart w:id="1022" w:name="_Toc267251506"/>
      <w:bookmarkStart w:id="1023" w:name="_Toc267251507"/>
      <w:bookmarkStart w:id="1024" w:name="_Toc267251508"/>
      <w:bookmarkStart w:id="1025" w:name="_Toc267251514"/>
      <w:bookmarkStart w:id="1026" w:name="_Toc267251511"/>
      <w:bookmarkStart w:id="1027" w:name="_Toc267251515"/>
      <w:bookmarkStart w:id="1028" w:name="_Toc267251513"/>
      <w:bookmarkStart w:id="1029" w:name="_Toc267251509"/>
      <w:bookmarkStart w:id="1030" w:name="_Toc267251510"/>
      <w:r>
        <w:rPr>
          <w:rFonts w:hint="eastAsia" w:ascii="宋体" w:hAnsi="宋体" w:eastAsia="宋体" w:cs="宋体"/>
          <w:b w:val="0"/>
          <w:color w:val="auto"/>
          <w:sz w:val="21"/>
          <w:szCs w:val="21"/>
          <w:highlight w:val="none"/>
        </w:rPr>
        <w:t>15. 缺陷责任期与保修</w:t>
      </w:r>
      <w:bookmarkEnd w:id="1000"/>
    </w:p>
    <w:p w14:paraId="736E1C0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15.2缺陷责任期</w:t>
      </w:r>
      <w:bookmarkEnd w:id="1001"/>
    </w:p>
    <w:p w14:paraId="442B744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缺陷责任期的具体期限：</w:t>
      </w:r>
      <w:r>
        <w:rPr>
          <w:rFonts w:hint="eastAsia" w:ascii="宋体" w:hAnsi="宋体" w:cs="宋体"/>
          <w:color w:val="auto"/>
          <w:szCs w:val="21"/>
          <w:highlight w:val="none"/>
          <w:u w:val="single"/>
          <w:lang w:val="en-US" w:eastAsia="zh-CN"/>
        </w:rPr>
        <w:t>自本工程竣工验收合格之日起24个月</w:t>
      </w:r>
      <w:r>
        <w:rPr>
          <w:rFonts w:hint="eastAsia" w:ascii="宋体" w:hAnsi="宋体" w:cs="宋体"/>
          <w:color w:val="auto"/>
          <w:szCs w:val="21"/>
          <w:highlight w:val="none"/>
        </w:rPr>
        <w:t>。</w:t>
      </w:r>
    </w:p>
    <w:p w14:paraId="3A1C8BA8">
      <w:pPr>
        <w:snapToGrid w:val="0"/>
        <w:spacing w:line="360" w:lineRule="auto"/>
        <w:ind w:firstLine="420" w:firstLineChars="200"/>
        <w:outlineLvl w:val="0"/>
        <w:rPr>
          <w:rFonts w:ascii="宋体" w:hAnsi="宋体" w:cs="宋体"/>
          <w:color w:val="auto"/>
          <w:szCs w:val="21"/>
          <w:highlight w:val="none"/>
        </w:rPr>
      </w:pPr>
      <w:bookmarkStart w:id="1031" w:name="_Toc20009"/>
      <w:r>
        <w:rPr>
          <w:rFonts w:hint="eastAsia" w:ascii="宋体" w:hAnsi="宋体" w:cs="宋体"/>
          <w:color w:val="auto"/>
          <w:szCs w:val="21"/>
          <w:highlight w:val="none"/>
        </w:rPr>
        <w:t>15.3 质量保证金</w:t>
      </w:r>
      <w:bookmarkEnd w:id="1031"/>
    </w:p>
    <w:p w14:paraId="1E69BDE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关于是否扣留质量保证金的约定：</w:t>
      </w:r>
      <w:r>
        <w:rPr>
          <w:rFonts w:hint="eastAsia" w:ascii="宋体" w:hAnsi="宋体" w:cs="宋体"/>
          <w:color w:val="auto"/>
          <w:szCs w:val="21"/>
          <w:highlight w:val="none"/>
          <w:u w:val="single"/>
        </w:rPr>
        <w:t>不扣留</w:t>
      </w:r>
      <w:r>
        <w:rPr>
          <w:rFonts w:hint="eastAsia" w:ascii="宋体" w:hAnsi="宋体" w:cs="宋体"/>
          <w:color w:val="auto"/>
          <w:szCs w:val="21"/>
          <w:highlight w:val="none"/>
        </w:rPr>
        <w:t>。在工程项目竣工前，承包人按专用合同条款第3.7条提供履约担保的，发包人不得同时预留工程质量保证金。</w:t>
      </w:r>
    </w:p>
    <w:p w14:paraId="0DDBFB5D">
      <w:pPr>
        <w:snapToGrid w:val="0"/>
        <w:spacing w:line="360" w:lineRule="auto"/>
        <w:ind w:firstLine="420" w:firstLineChars="200"/>
        <w:jc w:val="left"/>
        <w:outlineLvl w:val="0"/>
        <w:rPr>
          <w:rFonts w:ascii="宋体" w:hAnsi="宋体" w:cs="宋体"/>
          <w:color w:val="auto"/>
          <w:szCs w:val="21"/>
          <w:highlight w:val="none"/>
        </w:rPr>
      </w:pPr>
      <w:bookmarkStart w:id="1032" w:name="_Toc30004"/>
      <w:r>
        <w:rPr>
          <w:rFonts w:hint="eastAsia" w:ascii="宋体" w:hAnsi="宋体" w:cs="宋体"/>
          <w:color w:val="auto"/>
          <w:szCs w:val="21"/>
          <w:highlight w:val="none"/>
        </w:rPr>
        <w:t>15.3.1 承包人提供质量保证金的方式</w:t>
      </w:r>
      <w:bookmarkEnd w:id="1032"/>
    </w:p>
    <w:p w14:paraId="0B9CCE1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质量保证金采用以下第</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种方式：</w:t>
      </w:r>
    </w:p>
    <w:p w14:paraId="7F4568BD">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（1）质量保证金保函，保证金额为：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14:paraId="0B7C01A9">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%的工程款；</w:t>
      </w:r>
    </w:p>
    <w:p w14:paraId="32F650C9">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（3）其他方式: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519A231A">
      <w:pPr>
        <w:snapToGrid w:val="0"/>
        <w:spacing w:line="360" w:lineRule="auto"/>
        <w:ind w:firstLine="420" w:firstLineChars="200"/>
        <w:jc w:val="left"/>
        <w:outlineLvl w:val="0"/>
        <w:rPr>
          <w:rFonts w:ascii="宋体" w:hAnsi="宋体" w:cs="宋体"/>
          <w:color w:val="auto"/>
          <w:szCs w:val="21"/>
          <w:highlight w:val="none"/>
        </w:rPr>
      </w:pPr>
      <w:bookmarkStart w:id="1033" w:name="_Toc23901"/>
      <w:r>
        <w:rPr>
          <w:rFonts w:hint="eastAsia" w:ascii="宋体" w:hAnsi="宋体" w:cs="宋体"/>
          <w:color w:val="auto"/>
          <w:szCs w:val="21"/>
          <w:highlight w:val="none"/>
        </w:rPr>
        <w:t>15.3.2 质量保证金的扣留</w:t>
      </w:r>
      <w:bookmarkEnd w:id="1033"/>
      <w:r>
        <w:rPr>
          <w:rFonts w:hint="eastAsia" w:ascii="宋体" w:hAnsi="宋体" w:cs="宋体"/>
          <w:color w:val="auto"/>
          <w:szCs w:val="21"/>
          <w:highlight w:val="none"/>
        </w:rPr>
        <w:t xml:space="preserve"> </w:t>
      </w:r>
    </w:p>
    <w:p w14:paraId="462FD22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质量保证金的扣留采取以下第</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种方式：</w:t>
      </w:r>
    </w:p>
    <w:p w14:paraId="2DFC8C37">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（1）在支付工程进度款时逐次扣留，在此情形下，质量保证金的计算基数不包括预付款的支付、扣回以及价格调整的金额；</w:t>
      </w:r>
    </w:p>
    <w:p w14:paraId="6AEF0326">
      <w:pPr>
        <w:autoSpaceDE w:val="0"/>
        <w:autoSpaceDN w:val="0"/>
        <w:snapToGrid w:val="0"/>
        <w:spacing w:line="360" w:lineRule="auto"/>
        <w:ind w:firstLine="420" w:firstLineChars="200"/>
        <w:jc w:val="left"/>
        <w:outlineLvl w:val="0"/>
        <w:rPr>
          <w:rFonts w:ascii="宋体" w:hAnsi="宋体" w:cs="宋体"/>
          <w:color w:val="auto"/>
          <w:kern w:val="0"/>
          <w:szCs w:val="21"/>
          <w:highlight w:val="none"/>
        </w:rPr>
      </w:pPr>
      <w:bookmarkStart w:id="1034" w:name="_Toc826"/>
      <w:r>
        <w:rPr>
          <w:rFonts w:hint="eastAsia" w:ascii="宋体" w:hAnsi="宋体" w:cs="宋体"/>
          <w:color w:val="auto"/>
          <w:kern w:val="0"/>
          <w:szCs w:val="21"/>
          <w:highlight w:val="none"/>
        </w:rPr>
        <w:t>（2）工程竣工结算时一次性扣留质量保证金；</w:t>
      </w:r>
      <w:bookmarkEnd w:id="1034"/>
    </w:p>
    <w:p w14:paraId="58D6FBBE">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（3）其他扣留方式: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5F96E4E9">
      <w:pPr>
        <w:snapToGrid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szCs w:val="21"/>
          <w:highlight w:val="none"/>
        </w:rPr>
        <w:t>关于质量保证金的补充约定：</w:t>
      </w:r>
      <w:r>
        <w:rPr>
          <w:rFonts w:hint="eastAsia" w:ascii="宋体" w:hAnsi="宋体" w:cs="宋体"/>
          <w:color w:val="auto"/>
          <w:kern w:val="0"/>
          <w:szCs w:val="21"/>
          <w:highlight w:val="none"/>
          <w:u w:val="single"/>
        </w:rPr>
        <w:t xml:space="preserve">                            </w:t>
      </w:r>
    </w:p>
    <w:p w14:paraId="723F3D88">
      <w:pPr>
        <w:snapToGrid w:val="0"/>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bookmarkEnd w:id="1002"/>
    <w:bookmarkEnd w:id="1003"/>
    <w:p w14:paraId="246FB90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15.4保修</w:t>
      </w:r>
    </w:p>
    <w:bookmarkEnd w:id="1004"/>
    <w:p w14:paraId="5D573177">
      <w:pPr>
        <w:snapToGrid w:val="0"/>
        <w:spacing w:line="360" w:lineRule="auto"/>
        <w:ind w:firstLine="409" w:firstLineChars="195"/>
        <w:jc w:val="left"/>
        <w:rPr>
          <w:rFonts w:ascii="宋体" w:hAnsi="宋体" w:cs="宋体"/>
          <w:color w:val="auto"/>
          <w:szCs w:val="21"/>
          <w:highlight w:val="none"/>
        </w:rPr>
      </w:pPr>
      <w:r>
        <w:rPr>
          <w:rFonts w:hint="eastAsia" w:ascii="宋体" w:hAnsi="宋体" w:cs="宋体"/>
          <w:color w:val="auto"/>
          <w:szCs w:val="21"/>
          <w:highlight w:val="none"/>
        </w:rPr>
        <w:t>15.4.1 保修责任</w:t>
      </w:r>
    </w:p>
    <w:p w14:paraId="1972569C">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工程保修期为：</w:t>
      </w:r>
      <w:r>
        <w:rPr>
          <w:rFonts w:hint="eastAsia" w:ascii="宋体" w:hAnsi="宋体" w:cs="宋体"/>
          <w:color w:val="auto"/>
          <w:szCs w:val="21"/>
          <w:highlight w:val="none"/>
          <w:u w:val="single"/>
        </w:rPr>
        <w:t>本项目保修期执行《建设工程质量管理条例》及浙江省、宁波市相关保修规定</w:t>
      </w:r>
      <w:r>
        <w:rPr>
          <w:rFonts w:hint="eastAsia" w:ascii="宋体" w:hAnsi="宋体" w:cs="宋体"/>
          <w:color w:val="auto"/>
          <w:kern w:val="0"/>
          <w:szCs w:val="21"/>
          <w:highlight w:val="none"/>
        </w:rPr>
        <w:t>。</w:t>
      </w:r>
    </w:p>
    <w:p w14:paraId="7FBD663F">
      <w:pPr>
        <w:snapToGrid w:val="0"/>
        <w:spacing w:line="360" w:lineRule="auto"/>
        <w:ind w:firstLine="409" w:firstLineChars="195"/>
        <w:jc w:val="left"/>
        <w:rPr>
          <w:rFonts w:ascii="宋体" w:hAnsi="宋体" w:cs="宋体"/>
          <w:color w:val="auto"/>
          <w:szCs w:val="21"/>
          <w:highlight w:val="none"/>
        </w:rPr>
      </w:pPr>
      <w:r>
        <w:rPr>
          <w:rFonts w:hint="eastAsia" w:ascii="宋体" w:hAnsi="宋体" w:cs="宋体"/>
          <w:color w:val="auto"/>
          <w:szCs w:val="21"/>
          <w:highlight w:val="none"/>
        </w:rPr>
        <w:t>15.4.3 修复通知</w:t>
      </w:r>
    </w:p>
    <w:p w14:paraId="2E89EBE2">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承包人收到保修通知并到达工程现场的合理时间：</w:t>
      </w:r>
      <w:r>
        <w:rPr>
          <w:rFonts w:hint="eastAsia" w:ascii="宋体" w:hAnsi="宋体" w:cs="宋体"/>
          <w:color w:val="auto"/>
          <w:kern w:val="0"/>
          <w:szCs w:val="21"/>
          <w:highlight w:val="none"/>
          <w:u w:val="single"/>
        </w:rPr>
        <w:t>保修期内，出现质量问题，承包方在接到发包人通知必须立即组织人员进场维修，响应时间（到现场）不得大于4小时，一般质量维修需在3天内维修完毕，严重质量问题需在接到发包人通知后3天内拿出维修方案（须经发包人认可），按维修方案进行维修。若承包方未按约定时间到场，发包人有权自行组织修复或委托第三方修复，发生的修理费用从承包方工程质量保证金中扣除，并视具体情况追究承包方延误维修时间造成的直接损失</w:t>
      </w:r>
      <w:r>
        <w:rPr>
          <w:rFonts w:hint="eastAsia" w:ascii="宋体" w:hAnsi="宋体" w:cs="宋体"/>
          <w:color w:val="auto"/>
          <w:kern w:val="0"/>
          <w:szCs w:val="21"/>
          <w:highlight w:val="none"/>
        </w:rPr>
        <w:t>。</w:t>
      </w:r>
    </w:p>
    <w:bookmarkEnd w:id="1005"/>
    <w:bookmarkEnd w:id="1006"/>
    <w:bookmarkEnd w:id="1007"/>
    <w:bookmarkEnd w:id="1008"/>
    <w:p w14:paraId="309025B1">
      <w:pPr>
        <w:pStyle w:val="5"/>
        <w:snapToGrid w:val="0"/>
        <w:spacing w:before="0" w:after="0" w:line="360" w:lineRule="auto"/>
        <w:rPr>
          <w:rFonts w:ascii="宋体" w:hAnsi="宋体" w:eastAsia="宋体" w:cs="宋体"/>
          <w:b w:val="0"/>
          <w:color w:val="auto"/>
          <w:sz w:val="21"/>
          <w:szCs w:val="21"/>
          <w:highlight w:val="none"/>
        </w:rPr>
      </w:pPr>
      <w:bookmarkStart w:id="1035" w:name="_Toc351203648"/>
      <w:bookmarkStart w:id="1036" w:name="_Toc280868717"/>
      <w:bookmarkStart w:id="1037" w:name="_Toc280868718"/>
      <w:r>
        <w:rPr>
          <w:rFonts w:hint="eastAsia" w:ascii="宋体" w:hAnsi="宋体" w:eastAsia="宋体" w:cs="宋体"/>
          <w:b w:val="0"/>
          <w:color w:val="auto"/>
          <w:sz w:val="21"/>
          <w:szCs w:val="21"/>
          <w:highlight w:val="none"/>
        </w:rPr>
        <w:t>16. 违约</w:t>
      </w:r>
      <w:bookmarkEnd w:id="1035"/>
    </w:p>
    <w:p w14:paraId="2BD4C0EF">
      <w:pPr>
        <w:snapToGrid w:val="0"/>
        <w:spacing w:line="360" w:lineRule="auto"/>
        <w:ind w:firstLine="420" w:firstLineChars="200"/>
        <w:outlineLvl w:val="0"/>
        <w:rPr>
          <w:rFonts w:ascii="宋体" w:hAnsi="宋体" w:cs="宋体"/>
          <w:color w:val="auto"/>
          <w:szCs w:val="21"/>
          <w:highlight w:val="none"/>
        </w:rPr>
      </w:pPr>
      <w:bookmarkStart w:id="1038" w:name="_Toc21513"/>
      <w:r>
        <w:rPr>
          <w:rFonts w:hint="eastAsia" w:ascii="宋体" w:hAnsi="宋体" w:cs="宋体"/>
          <w:color w:val="auto"/>
          <w:szCs w:val="21"/>
          <w:highlight w:val="none"/>
        </w:rPr>
        <w:t>16.1 发包人违约</w:t>
      </w:r>
      <w:bookmarkEnd w:id="1038"/>
    </w:p>
    <w:p w14:paraId="5248175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16.1.1发包人违约的情形</w:t>
      </w:r>
    </w:p>
    <w:p w14:paraId="11821BF2">
      <w:pPr>
        <w:snapToGrid w:val="0"/>
        <w:spacing w:line="360" w:lineRule="auto"/>
        <w:ind w:left="1050" w:leftChars="200" w:hanging="630" w:hangingChars="300"/>
        <w:jc w:val="left"/>
        <w:rPr>
          <w:rFonts w:ascii="宋体" w:hAnsi="宋体" w:cs="宋体"/>
          <w:color w:val="auto"/>
          <w:kern w:val="0"/>
          <w:szCs w:val="21"/>
          <w:highlight w:val="none"/>
        </w:rPr>
      </w:pPr>
      <w:r>
        <w:rPr>
          <w:rFonts w:hint="eastAsia" w:ascii="宋体" w:hAnsi="宋体" w:cs="宋体"/>
          <w:color w:val="auto"/>
          <w:kern w:val="0"/>
          <w:szCs w:val="21"/>
          <w:highlight w:val="none"/>
        </w:rPr>
        <w:t>发包人违约的其他情形：</w:t>
      </w:r>
      <w:r>
        <w:rPr>
          <w:rFonts w:hint="eastAsia" w:ascii="宋体" w:hAnsi="宋体"/>
          <w:color w:val="auto"/>
          <w:kern w:val="0"/>
          <w:szCs w:val="21"/>
          <w:highlight w:val="none"/>
          <w:u w:val="single"/>
        </w:rPr>
        <w:t>执行通用条款</w:t>
      </w:r>
      <w:r>
        <w:rPr>
          <w:rFonts w:hint="eastAsia" w:ascii="宋体" w:hAnsi="宋体" w:cs="宋体"/>
          <w:color w:val="auto"/>
          <w:kern w:val="0"/>
          <w:szCs w:val="21"/>
          <w:highlight w:val="none"/>
        </w:rPr>
        <w:t>。</w:t>
      </w:r>
    </w:p>
    <w:p w14:paraId="6A3881E5">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16.1.2 发包人违约的责任</w:t>
      </w:r>
      <w:r>
        <w:rPr>
          <w:rFonts w:hint="eastAsia" w:ascii="宋体" w:hAnsi="宋体" w:cs="宋体"/>
          <w:color w:val="auto"/>
          <w:kern w:val="0"/>
          <w:szCs w:val="21"/>
          <w:highlight w:val="none"/>
          <w:lang w:eastAsia="zh-CN"/>
        </w:rPr>
        <w:t>：</w:t>
      </w:r>
      <w:r>
        <w:rPr>
          <w:rFonts w:hint="eastAsia" w:ascii="宋体" w:hAnsi="宋体"/>
          <w:color w:val="auto"/>
          <w:kern w:val="0"/>
          <w:szCs w:val="21"/>
          <w:highlight w:val="none"/>
          <w:u w:val="single"/>
        </w:rPr>
        <w:t>执行通用条款</w:t>
      </w:r>
      <w:r>
        <w:rPr>
          <w:rFonts w:hint="eastAsia" w:ascii="宋体" w:hAnsi="宋体" w:cs="宋体"/>
          <w:color w:val="auto"/>
          <w:kern w:val="0"/>
          <w:szCs w:val="21"/>
          <w:highlight w:val="none"/>
        </w:rPr>
        <w:t>。</w:t>
      </w:r>
    </w:p>
    <w:p w14:paraId="695A18FB">
      <w:pPr>
        <w:snapToGrid w:val="0"/>
        <w:spacing w:line="360" w:lineRule="auto"/>
        <w:ind w:firstLine="420" w:firstLineChars="200"/>
        <w:outlineLvl w:val="0"/>
        <w:rPr>
          <w:rFonts w:ascii="宋体" w:hAnsi="宋体" w:cs="宋体"/>
          <w:color w:val="auto"/>
          <w:szCs w:val="21"/>
          <w:highlight w:val="none"/>
        </w:rPr>
      </w:pPr>
      <w:bookmarkStart w:id="1039" w:name="_Toc16922"/>
      <w:r>
        <w:rPr>
          <w:rFonts w:hint="eastAsia" w:ascii="宋体" w:hAnsi="宋体" w:cs="宋体"/>
          <w:color w:val="auto"/>
          <w:szCs w:val="21"/>
          <w:highlight w:val="none"/>
        </w:rPr>
        <w:t>16.2 承包人违约</w:t>
      </w:r>
      <w:bookmarkEnd w:id="1039"/>
    </w:p>
    <w:p w14:paraId="3161DB02">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16.2.1 承包人违约的情形</w:t>
      </w:r>
    </w:p>
    <w:p w14:paraId="212E2EC4">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承包人违约的其他情形：</w:t>
      </w:r>
      <w:r>
        <w:rPr>
          <w:rFonts w:hint="eastAsia" w:ascii="宋体" w:hAnsi="宋体"/>
          <w:color w:val="auto"/>
          <w:kern w:val="0"/>
          <w:szCs w:val="21"/>
          <w:highlight w:val="none"/>
          <w:u w:val="single"/>
        </w:rPr>
        <w:t>执行通用条款</w:t>
      </w:r>
      <w:r>
        <w:rPr>
          <w:rFonts w:hint="eastAsia" w:ascii="宋体" w:hAnsi="宋体" w:cs="宋体"/>
          <w:color w:val="auto"/>
          <w:kern w:val="0"/>
          <w:szCs w:val="21"/>
          <w:highlight w:val="none"/>
        </w:rPr>
        <w:t>。</w:t>
      </w:r>
    </w:p>
    <w:p w14:paraId="21D5807E">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16.2.2承包人违约的责任</w:t>
      </w:r>
    </w:p>
    <w:p w14:paraId="472C92C2">
      <w:pPr>
        <w:snapToGrid w:val="0"/>
        <w:spacing w:line="360" w:lineRule="auto"/>
        <w:ind w:left="1050" w:leftChars="200" w:hanging="630" w:hangingChars="3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承包人违约责任的承担方式和计算方法：</w:t>
      </w:r>
      <w:r>
        <w:rPr>
          <w:rFonts w:hint="eastAsia" w:ascii="宋体" w:hAnsi="宋体"/>
          <w:color w:val="auto"/>
          <w:kern w:val="0"/>
          <w:szCs w:val="21"/>
          <w:highlight w:val="none"/>
          <w:u w:val="single"/>
        </w:rPr>
        <w:t>执行通用条款</w:t>
      </w:r>
      <w:r>
        <w:rPr>
          <w:rFonts w:hint="eastAsia" w:ascii="宋体" w:hAnsi="宋体" w:cs="宋体"/>
          <w:color w:val="auto"/>
          <w:kern w:val="0"/>
          <w:szCs w:val="21"/>
          <w:highlight w:val="none"/>
        </w:rPr>
        <w:t>。</w:t>
      </w:r>
      <w:r>
        <w:rPr>
          <w:rFonts w:hint="eastAsia" w:ascii="宋体" w:hAnsi="宋体" w:cs="宋体"/>
          <w:color w:val="auto"/>
          <w:szCs w:val="21"/>
          <w:highlight w:val="none"/>
        </w:rPr>
        <w:t xml:space="preserve">    </w:t>
      </w:r>
    </w:p>
    <w:p w14:paraId="3359D5A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16.2.3 因承包人违约解除合同</w:t>
      </w:r>
    </w:p>
    <w:p w14:paraId="3902F885">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关于承包人违约解除合同的特别约定：</w:t>
      </w:r>
      <w:r>
        <w:rPr>
          <w:rFonts w:hint="eastAsia" w:ascii="宋体" w:hAnsi="宋体"/>
          <w:color w:val="auto"/>
          <w:kern w:val="0"/>
          <w:szCs w:val="21"/>
          <w:highlight w:val="none"/>
          <w:u w:val="single"/>
        </w:rPr>
        <w:t>执行通用条款</w:t>
      </w:r>
      <w:r>
        <w:rPr>
          <w:rFonts w:hint="eastAsia" w:ascii="宋体" w:hAnsi="宋体" w:cs="宋体"/>
          <w:color w:val="auto"/>
          <w:kern w:val="0"/>
          <w:szCs w:val="21"/>
          <w:highlight w:val="none"/>
        </w:rPr>
        <w:t>。</w:t>
      </w:r>
    </w:p>
    <w:p w14:paraId="20BF675C">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发包人继续使用承包人在施工现场的材料、设备、临时工程、承包人文件和由承包人或以其名义编制的其他文件的费用承担方式：</w:t>
      </w:r>
      <w:r>
        <w:rPr>
          <w:rFonts w:hint="eastAsia" w:ascii="宋体" w:hAnsi="宋体"/>
          <w:color w:val="auto"/>
          <w:kern w:val="0"/>
          <w:szCs w:val="21"/>
          <w:highlight w:val="none"/>
          <w:u w:val="single"/>
        </w:rPr>
        <w:t>执行通用条款</w:t>
      </w:r>
      <w:r>
        <w:rPr>
          <w:rFonts w:hint="eastAsia" w:ascii="宋体" w:hAnsi="宋体" w:cs="宋体"/>
          <w:color w:val="auto"/>
          <w:kern w:val="0"/>
          <w:szCs w:val="21"/>
          <w:highlight w:val="none"/>
        </w:rPr>
        <w:t>。</w:t>
      </w:r>
    </w:p>
    <w:p w14:paraId="57D1BC8A">
      <w:pPr>
        <w:pStyle w:val="5"/>
        <w:snapToGrid w:val="0"/>
        <w:spacing w:before="0" w:after="0" w:line="360" w:lineRule="auto"/>
        <w:rPr>
          <w:rFonts w:ascii="宋体" w:hAnsi="宋体" w:eastAsia="宋体" w:cs="宋体"/>
          <w:b w:val="0"/>
          <w:color w:val="auto"/>
          <w:sz w:val="21"/>
          <w:szCs w:val="21"/>
          <w:highlight w:val="none"/>
        </w:rPr>
      </w:pPr>
      <w:bookmarkStart w:id="1040" w:name="_Toc351203649"/>
      <w:r>
        <w:rPr>
          <w:rFonts w:hint="eastAsia" w:ascii="宋体" w:hAnsi="宋体" w:eastAsia="宋体" w:cs="宋体"/>
          <w:b w:val="0"/>
          <w:color w:val="auto"/>
          <w:sz w:val="21"/>
          <w:szCs w:val="21"/>
          <w:highlight w:val="none"/>
        </w:rPr>
        <w:t>17. 不可抗力</w:t>
      </w:r>
      <w:bookmarkEnd w:id="1040"/>
      <w:r>
        <w:rPr>
          <w:rFonts w:hint="eastAsia" w:ascii="宋体" w:hAnsi="宋体" w:eastAsia="宋体" w:cs="宋体"/>
          <w:b w:val="0"/>
          <w:color w:val="auto"/>
          <w:sz w:val="21"/>
          <w:szCs w:val="21"/>
          <w:highlight w:val="none"/>
        </w:rPr>
        <w:t xml:space="preserve"> </w:t>
      </w:r>
      <w:bookmarkEnd w:id="1036"/>
    </w:p>
    <w:p w14:paraId="1F9B7E7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17.1 不可抗力的确认</w:t>
      </w:r>
    </w:p>
    <w:p w14:paraId="73C985AE">
      <w:pPr>
        <w:snapToGrid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szCs w:val="21"/>
          <w:highlight w:val="none"/>
        </w:rPr>
        <w:t xml:space="preserve">除通用合同条款约定的不可抗力事件之外，视为不可抗力的其他情形： </w:t>
      </w:r>
      <w:r>
        <w:rPr>
          <w:rFonts w:hint="eastAsia" w:ascii="宋体" w:hAnsi="宋体" w:cs="宋体"/>
          <w:bCs/>
          <w:color w:val="auto"/>
          <w:kern w:val="0"/>
          <w:highlight w:val="none"/>
          <w:u w:val="single"/>
        </w:rPr>
        <w:t>火灾、洪水、罢工、政府征用、政府禁止令等</w:t>
      </w:r>
      <w:r>
        <w:rPr>
          <w:rFonts w:hint="eastAsia" w:ascii="宋体" w:hAnsi="宋体" w:cs="宋体"/>
          <w:color w:val="auto"/>
          <w:kern w:val="0"/>
          <w:szCs w:val="21"/>
          <w:highlight w:val="none"/>
        </w:rPr>
        <w:t>。</w:t>
      </w:r>
    </w:p>
    <w:p w14:paraId="0EDD443C">
      <w:pPr>
        <w:snapToGrid w:val="0"/>
        <w:spacing w:line="360" w:lineRule="auto"/>
        <w:ind w:firstLine="420" w:firstLineChars="200"/>
        <w:outlineLvl w:val="0"/>
        <w:rPr>
          <w:rFonts w:ascii="宋体" w:hAnsi="宋体" w:cs="宋体"/>
          <w:color w:val="auto"/>
          <w:szCs w:val="21"/>
          <w:highlight w:val="none"/>
        </w:rPr>
      </w:pPr>
      <w:bookmarkStart w:id="1041" w:name="_Toc8029"/>
      <w:r>
        <w:rPr>
          <w:rFonts w:hint="eastAsia" w:ascii="宋体" w:hAnsi="宋体" w:cs="宋体"/>
          <w:color w:val="auto"/>
          <w:szCs w:val="21"/>
          <w:highlight w:val="none"/>
        </w:rPr>
        <w:t>17.4 因不可抗力解除合同</w:t>
      </w:r>
      <w:bookmarkEnd w:id="1041"/>
    </w:p>
    <w:p w14:paraId="554B800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合同解除后，发包人应在商定或确定发包人应支付款项后</w:t>
      </w:r>
      <w:r>
        <w:rPr>
          <w:rFonts w:hint="eastAsia" w:ascii="宋体" w:hAnsi="宋体" w:cs="宋体"/>
          <w:color w:val="auto"/>
          <w:szCs w:val="21"/>
          <w:highlight w:val="none"/>
          <w:u w:val="single"/>
          <w:lang w:val="en-US" w:eastAsia="zh-CN"/>
        </w:rPr>
        <w:t>28</w:t>
      </w:r>
      <w:r>
        <w:rPr>
          <w:rFonts w:hint="eastAsia" w:ascii="宋体" w:hAnsi="宋体" w:cs="宋体"/>
          <w:color w:val="auto"/>
          <w:szCs w:val="21"/>
          <w:highlight w:val="none"/>
        </w:rPr>
        <w:t>天内完成款项的支付。</w:t>
      </w:r>
    </w:p>
    <w:p w14:paraId="1C56D095">
      <w:pPr>
        <w:pStyle w:val="5"/>
        <w:snapToGrid w:val="0"/>
        <w:spacing w:before="0" w:after="0" w:line="360" w:lineRule="auto"/>
        <w:rPr>
          <w:rFonts w:ascii="宋体" w:hAnsi="宋体" w:eastAsia="宋体" w:cs="宋体"/>
          <w:b w:val="0"/>
          <w:color w:val="auto"/>
          <w:sz w:val="21"/>
          <w:szCs w:val="21"/>
          <w:highlight w:val="none"/>
        </w:rPr>
      </w:pPr>
      <w:bookmarkStart w:id="1042" w:name="_Toc351203650"/>
      <w:r>
        <w:rPr>
          <w:rFonts w:hint="eastAsia" w:ascii="宋体" w:hAnsi="宋体" w:eastAsia="宋体" w:cs="宋体"/>
          <w:b w:val="0"/>
          <w:color w:val="auto"/>
          <w:sz w:val="21"/>
          <w:szCs w:val="21"/>
          <w:highlight w:val="none"/>
        </w:rPr>
        <w:t>18. 保险</w:t>
      </w:r>
      <w:bookmarkEnd w:id="1042"/>
    </w:p>
    <w:bookmarkEnd w:id="1037"/>
    <w:p w14:paraId="16CE4F0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 工程保险</w:t>
      </w:r>
    </w:p>
    <w:p w14:paraId="4232205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关于工程保险的特别约定：</w:t>
      </w:r>
      <w:r>
        <w:rPr>
          <w:rFonts w:hint="eastAsia" w:ascii="宋体" w:hAnsi="宋体"/>
          <w:color w:val="auto"/>
          <w:kern w:val="0"/>
          <w:szCs w:val="21"/>
          <w:highlight w:val="none"/>
          <w:u w:val="single"/>
        </w:rPr>
        <w:t>执行通用条款</w:t>
      </w:r>
      <w:r>
        <w:rPr>
          <w:rFonts w:hint="eastAsia" w:ascii="宋体" w:hAnsi="宋体" w:cs="宋体"/>
          <w:color w:val="auto"/>
          <w:kern w:val="0"/>
          <w:szCs w:val="21"/>
          <w:highlight w:val="none"/>
        </w:rPr>
        <w:t>。</w:t>
      </w:r>
    </w:p>
    <w:p w14:paraId="31D0C01B">
      <w:pPr>
        <w:snapToGrid w:val="0"/>
        <w:spacing w:line="360" w:lineRule="auto"/>
        <w:ind w:firstLine="420" w:firstLineChars="200"/>
        <w:outlineLvl w:val="0"/>
        <w:rPr>
          <w:rFonts w:ascii="宋体" w:hAnsi="宋体" w:cs="宋体"/>
          <w:color w:val="auto"/>
          <w:szCs w:val="21"/>
          <w:highlight w:val="none"/>
        </w:rPr>
      </w:pPr>
      <w:bookmarkStart w:id="1043" w:name="_Toc30301"/>
      <w:r>
        <w:rPr>
          <w:rFonts w:hint="eastAsia" w:ascii="宋体" w:hAnsi="宋体" w:cs="宋体"/>
          <w:color w:val="auto"/>
          <w:szCs w:val="21"/>
          <w:highlight w:val="none"/>
        </w:rPr>
        <w:t>18.3 其他保险</w:t>
      </w:r>
      <w:bookmarkEnd w:id="1043"/>
    </w:p>
    <w:p w14:paraId="60FE1A5F">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关于其他保险的约定：</w:t>
      </w:r>
      <w:r>
        <w:rPr>
          <w:rFonts w:hint="eastAsia" w:ascii="宋体" w:hAnsi="宋体"/>
          <w:color w:val="auto"/>
          <w:kern w:val="0"/>
          <w:szCs w:val="21"/>
          <w:highlight w:val="none"/>
          <w:u w:val="single"/>
        </w:rPr>
        <w:t>执行通用条款</w:t>
      </w:r>
      <w:r>
        <w:rPr>
          <w:rFonts w:hint="eastAsia" w:ascii="宋体" w:hAnsi="宋体" w:cs="宋体"/>
          <w:color w:val="auto"/>
          <w:kern w:val="0"/>
          <w:szCs w:val="21"/>
          <w:highlight w:val="none"/>
        </w:rPr>
        <w:t>。</w:t>
      </w:r>
    </w:p>
    <w:p w14:paraId="14AD4F8D">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承包人是否应为其施工设备等办理财产保险：</w:t>
      </w:r>
      <w:r>
        <w:rPr>
          <w:rFonts w:hint="eastAsia" w:ascii="宋体" w:hAnsi="宋体" w:cs="宋体"/>
          <w:color w:val="auto"/>
          <w:szCs w:val="21"/>
          <w:highlight w:val="none"/>
          <w:u w:val="single"/>
          <w:lang w:val="en-US" w:eastAsia="zh-CN"/>
        </w:rPr>
        <w:t>是</w:t>
      </w:r>
      <w:r>
        <w:rPr>
          <w:rFonts w:hint="eastAsia" w:ascii="宋体" w:hAnsi="宋体" w:cs="宋体"/>
          <w:color w:val="auto"/>
          <w:szCs w:val="21"/>
          <w:highlight w:val="none"/>
        </w:rPr>
        <w:t>。</w:t>
      </w:r>
    </w:p>
    <w:p w14:paraId="1EDC0EB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18.7 通知义务</w:t>
      </w:r>
    </w:p>
    <w:p w14:paraId="12BFD85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关于变更保险合同时的通知义务的约定：</w:t>
      </w:r>
      <w:r>
        <w:rPr>
          <w:rFonts w:hint="eastAsia" w:ascii="宋体" w:hAnsi="宋体"/>
          <w:color w:val="auto"/>
          <w:kern w:val="0"/>
          <w:szCs w:val="21"/>
          <w:highlight w:val="none"/>
          <w:u w:val="single"/>
        </w:rPr>
        <w:t>执行通用条款</w:t>
      </w:r>
      <w:r>
        <w:rPr>
          <w:rFonts w:hint="eastAsia" w:ascii="宋体" w:hAnsi="宋体" w:cs="宋体"/>
          <w:color w:val="auto"/>
          <w:szCs w:val="21"/>
          <w:highlight w:val="none"/>
        </w:rPr>
        <w:t>。</w:t>
      </w:r>
    </w:p>
    <w:bookmarkEnd w:id="1009"/>
    <w:bookmarkEnd w:id="1010"/>
    <w:bookmarkEnd w:id="1011"/>
    <w:bookmarkEnd w:id="1012"/>
    <w:bookmarkEnd w:id="1013"/>
    <w:bookmarkEnd w:id="1014"/>
    <w:bookmarkEnd w:id="1015"/>
    <w:bookmarkEnd w:id="1016"/>
    <w:bookmarkEnd w:id="1017"/>
    <w:bookmarkEnd w:id="1018"/>
    <w:bookmarkEnd w:id="1019"/>
    <w:bookmarkEnd w:id="1020"/>
    <w:p w14:paraId="72107765">
      <w:pPr>
        <w:pStyle w:val="5"/>
        <w:snapToGrid w:val="0"/>
        <w:spacing w:before="0" w:after="0" w:line="360" w:lineRule="auto"/>
        <w:rPr>
          <w:rFonts w:ascii="宋体" w:hAnsi="宋体" w:eastAsia="宋体" w:cs="宋体"/>
          <w:b w:val="0"/>
          <w:color w:val="auto"/>
          <w:sz w:val="21"/>
          <w:szCs w:val="21"/>
          <w:highlight w:val="none"/>
        </w:rPr>
      </w:pPr>
      <w:bookmarkStart w:id="1044" w:name="_Toc351203651"/>
      <w:r>
        <w:rPr>
          <w:rFonts w:hint="eastAsia" w:ascii="宋体" w:hAnsi="宋体" w:eastAsia="宋体" w:cs="宋体"/>
          <w:b w:val="0"/>
          <w:color w:val="auto"/>
          <w:sz w:val="21"/>
          <w:szCs w:val="21"/>
          <w:highlight w:val="none"/>
        </w:rPr>
        <w:t>20. 争议解决</w:t>
      </w:r>
      <w:bookmarkEnd w:id="1044"/>
    </w:p>
    <w:bookmarkEnd w:id="1021"/>
    <w:bookmarkEnd w:id="1022"/>
    <w:p w14:paraId="59F903A5">
      <w:pPr>
        <w:snapToGrid w:val="0"/>
        <w:spacing w:line="360" w:lineRule="auto"/>
        <w:ind w:firstLine="420" w:firstLineChars="200"/>
        <w:outlineLvl w:val="0"/>
        <w:rPr>
          <w:rFonts w:ascii="宋体" w:hAnsi="宋体" w:cs="宋体"/>
          <w:color w:val="auto"/>
          <w:szCs w:val="21"/>
          <w:highlight w:val="none"/>
        </w:rPr>
      </w:pPr>
      <w:bookmarkStart w:id="1045" w:name="_Toc13681"/>
      <w:r>
        <w:rPr>
          <w:rFonts w:hint="eastAsia" w:ascii="宋体" w:hAnsi="宋体" w:cs="宋体"/>
          <w:color w:val="auto"/>
          <w:szCs w:val="21"/>
          <w:highlight w:val="none"/>
        </w:rPr>
        <w:t>20.3 争</w:t>
      </w:r>
      <w:bookmarkEnd w:id="1023"/>
      <w:r>
        <w:rPr>
          <w:rFonts w:hint="eastAsia" w:ascii="宋体" w:hAnsi="宋体" w:cs="宋体"/>
          <w:color w:val="auto"/>
          <w:szCs w:val="21"/>
          <w:highlight w:val="none"/>
        </w:rPr>
        <w:t>议评审</w:t>
      </w:r>
      <w:bookmarkEnd w:id="1045"/>
    </w:p>
    <w:p w14:paraId="7033636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合同当事人是否同意将工程争议提交争议评审小组决定：</w:t>
      </w:r>
      <w:r>
        <w:rPr>
          <w:rFonts w:hint="eastAsia" w:ascii="宋体" w:hAnsi="宋体" w:cs="宋体"/>
          <w:color w:val="auto"/>
          <w:szCs w:val="21"/>
          <w:highlight w:val="none"/>
          <w:u w:val="single"/>
          <w:lang w:val="en-US" w:eastAsia="zh-CN"/>
        </w:rPr>
        <w:t>不同意</w:t>
      </w:r>
      <w:r>
        <w:rPr>
          <w:rFonts w:hint="eastAsia" w:ascii="宋体" w:hAnsi="宋体" w:cs="宋体"/>
          <w:color w:val="auto"/>
          <w:szCs w:val="21"/>
          <w:highlight w:val="none"/>
        </w:rPr>
        <w:t xml:space="preserve">。  </w:t>
      </w:r>
    </w:p>
    <w:p w14:paraId="7A1EAF72">
      <w:pPr>
        <w:snapToGrid w:val="0"/>
        <w:spacing w:line="360" w:lineRule="auto"/>
        <w:ind w:firstLine="420" w:firstLineChars="200"/>
        <w:outlineLvl w:val="0"/>
        <w:rPr>
          <w:rFonts w:ascii="宋体" w:hAnsi="宋体" w:cs="宋体"/>
          <w:color w:val="auto"/>
          <w:szCs w:val="21"/>
          <w:highlight w:val="none"/>
        </w:rPr>
      </w:pPr>
      <w:bookmarkStart w:id="1046" w:name="_Toc15019"/>
      <w:r>
        <w:rPr>
          <w:rFonts w:hint="eastAsia" w:ascii="宋体" w:hAnsi="宋体" w:cs="宋体"/>
          <w:color w:val="auto"/>
          <w:szCs w:val="21"/>
          <w:highlight w:val="none"/>
        </w:rPr>
        <w:t>20.4仲裁或诉讼</w:t>
      </w:r>
      <w:bookmarkEnd w:id="1024"/>
      <w:bookmarkEnd w:id="1046"/>
    </w:p>
    <w:p w14:paraId="5992A68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因合同及合同有关事项发生的争议，按下列第（1）种方式解决：</w:t>
      </w:r>
    </w:p>
    <w:p w14:paraId="7F0AB63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（1）向</w:t>
      </w:r>
      <w:r>
        <w:rPr>
          <w:rFonts w:hint="eastAsia" w:ascii="宋体" w:hAnsi="宋体" w:cs="宋体"/>
          <w:color w:val="auto"/>
          <w:szCs w:val="21"/>
          <w:highlight w:val="none"/>
          <w:u w:val="single"/>
          <w:lang w:val="en-US" w:eastAsia="zh-CN"/>
        </w:rPr>
        <w:t>宁波</w:t>
      </w:r>
      <w:r>
        <w:rPr>
          <w:rFonts w:hint="eastAsia" w:ascii="宋体" w:hAnsi="宋体" w:cs="宋体"/>
          <w:color w:val="auto"/>
          <w:szCs w:val="21"/>
          <w:highlight w:val="none"/>
        </w:rPr>
        <w:t>仲裁委员会申请仲裁；</w:t>
      </w:r>
    </w:p>
    <w:p w14:paraId="6379507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（2）向</w:t>
      </w:r>
      <w:r>
        <w:rPr>
          <w:rFonts w:hint="eastAsia" w:ascii="宋体" w:hAnsi="宋体" w:cs="宋体"/>
          <w:color w:val="auto"/>
          <w:szCs w:val="21"/>
          <w:highlight w:val="none"/>
          <w:u w:val="single"/>
          <w:lang w:val="en-US" w:eastAsia="zh-CN"/>
        </w:rPr>
        <w:t>宁波市</w:t>
      </w:r>
      <w:r>
        <w:rPr>
          <w:rFonts w:hint="eastAsia" w:ascii="宋体" w:hAnsi="宋体" w:cs="宋体"/>
          <w:color w:val="auto"/>
          <w:szCs w:val="21"/>
          <w:highlight w:val="none"/>
        </w:rPr>
        <w:t>人民法院起诉。</w:t>
      </w:r>
      <w:bookmarkEnd w:id="1025"/>
      <w:bookmarkEnd w:id="1026"/>
      <w:bookmarkEnd w:id="1027"/>
      <w:bookmarkEnd w:id="1028"/>
      <w:bookmarkEnd w:id="1029"/>
      <w:bookmarkEnd w:id="1030"/>
    </w:p>
    <w:p w14:paraId="583B2600">
      <w:pPr>
        <w:snapToGrid w:val="0"/>
        <w:spacing w:line="360" w:lineRule="auto"/>
        <w:ind w:firstLine="482"/>
        <w:rPr>
          <w:rFonts w:ascii="宋体" w:hAnsi="宋体"/>
          <w:color w:val="auto"/>
          <w:sz w:val="18"/>
          <w:szCs w:val="21"/>
          <w:highlight w:val="none"/>
        </w:rPr>
      </w:pPr>
      <w:r>
        <w:rPr>
          <w:rFonts w:hint="eastAsia" w:ascii="宋体" w:hAnsi="宋体"/>
          <w:b/>
          <w:color w:val="auto"/>
          <w:sz w:val="18"/>
          <w:szCs w:val="21"/>
          <w:highlight w:val="none"/>
        </w:rPr>
        <w:t>附件：</w:t>
      </w:r>
    </w:p>
    <w:p w14:paraId="6AE2C462">
      <w:pPr>
        <w:adjustRightInd/>
        <w:snapToGrid w:val="0"/>
        <w:spacing w:line="360" w:lineRule="auto"/>
        <w:ind w:firstLine="371" w:firstLineChars="177"/>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附件1：建筑工程质量保修书</w:t>
      </w:r>
    </w:p>
    <w:p w14:paraId="4C2E6966">
      <w:pPr>
        <w:adjustRightInd/>
        <w:ind w:firstLine="371" w:firstLineChars="177"/>
        <w:jc w:val="left"/>
        <w:rPr>
          <w:rFonts w:ascii="宋体" w:hAnsi="宋体"/>
          <w:snapToGrid w:val="0"/>
          <w:color w:val="auto"/>
          <w:kern w:val="0"/>
          <w:szCs w:val="21"/>
          <w:highlight w:val="none"/>
        </w:rPr>
      </w:pPr>
    </w:p>
    <w:p w14:paraId="6CC42647">
      <w:pPr>
        <w:spacing w:before="162" w:line="440" w:lineRule="exact"/>
        <w:ind w:firstLine="480"/>
        <w:rPr>
          <w:rFonts w:ascii="宋体" w:hAnsi="宋体"/>
          <w:b/>
          <w:bCs/>
          <w:color w:val="auto"/>
          <w:sz w:val="24"/>
          <w:highlight w:val="none"/>
        </w:rPr>
      </w:pPr>
      <w:r>
        <w:rPr>
          <w:rFonts w:ascii="宋体" w:hAnsi="宋体"/>
          <w:color w:val="auto"/>
          <w:sz w:val="24"/>
          <w:highlight w:val="none"/>
          <w:u w:val="single"/>
        </w:rPr>
        <w:br w:type="page"/>
      </w:r>
      <w:bookmarkStart w:id="1047" w:name="_Toc534620509"/>
      <w:bookmarkStart w:id="1048" w:name="_Toc249091536"/>
      <w:r>
        <w:rPr>
          <w:rFonts w:hint="eastAsia" w:ascii="宋体" w:hAnsi="宋体"/>
          <w:b/>
          <w:bCs/>
          <w:color w:val="auto"/>
          <w:sz w:val="24"/>
          <w:highlight w:val="none"/>
        </w:rPr>
        <w:t>附件1:</w:t>
      </w:r>
    </w:p>
    <w:bookmarkEnd w:id="1047"/>
    <w:bookmarkEnd w:id="1048"/>
    <w:p w14:paraId="7B0C312F">
      <w:pPr>
        <w:adjustRightInd/>
        <w:spacing w:before="120" w:beforeLines="50" w:after="120" w:afterLines="50" w:line="288" w:lineRule="auto"/>
        <w:jc w:val="center"/>
        <w:rPr>
          <w:rFonts w:ascii="宋体" w:hAnsi="宋体"/>
          <w:snapToGrid w:val="0"/>
          <w:color w:val="auto"/>
          <w:kern w:val="0"/>
          <w:szCs w:val="21"/>
          <w:highlight w:val="none"/>
        </w:rPr>
      </w:pPr>
      <w:r>
        <w:rPr>
          <w:rFonts w:ascii="宋体" w:hAnsi="宋体"/>
          <w:snapToGrid w:val="0"/>
          <w:color w:val="auto"/>
          <w:kern w:val="0"/>
          <w:szCs w:val="21"/>
          <w:highlight w:val="none"/>
        </w:rPr>
        <w:t>工程质量保修书</w:t>
      </w:r>
    </w:p>
    <w:p w14:paraId="0CF62F16">
      <w:pPr>
        <w:adjustRightInd/>
        <w:spacing w:line="288"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发包人（全称）：</w:t>
      </w:r>
      <w:r>
        <w:rPr>
          <w:rFonts w:ascii="宋体" w:hAnsi="宋体"/>
          <w:snapToGrid w:val="0"/>
          <w:color w:val="auto"/>
          <w:kern w:val="0"/>
          <w:szCs w:val="21"/>
          <w:highlight w:val="none"/>
          <w:u w:val="single"/>
        </w:rPr>
        <w:t xml:space="preserve">  </w:t>
      </w:r>
      <w:bookmarkStart w:id="1049" w:name="SOA_zyht_zlbxfb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49"/>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00B772F4">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承包人（全称）：</w:t>
      </w:r>
      <w:r>
        <w:rPr>
          <w:rFonts w:ascii="宋体" w:hAnsi="宋体"/>
          <w:snapToGrid w:val="0"/>
          <w:color w:val="auto"/>
          <w:kern w:val="0"/>
          <w:szCs w:val="21"/>
          <w:highlight w:val="none"/>
          <w:u w:val="single"/>
        </w:rPr>
        <w:t xml:space="preserve">  </w:t>
      </w:r>
      <w:bookmarkStart w:id="1050" w:name="SOA_zyht_zlbxcbr"/>
      <w:r>
        <w:rPr>
          <w:rFonts w:ascii="宋体" w:hAnsi="宋体"/>
          <w:snapToGrid w:val="0"/>
          <w:color w:val="auto"/>
          <w:kern w:val="0"/>
          <w:szCs w:val="21"/>
          <w:highlight w:val="none"/>
          <w:u w:val="single"/>
        </w:rPr>
        <w:t xml:space="preserve"> </w:t>
      </w:r>
      <w:bookmarkEnd w:id="1050"/>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73BA3BA6">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发包人和承包人根据《中华人民共和国建筑法》和《建设工程质量管理条例》，经协商一致就</w:t>
      </w:r>
      <w:r>
        <w:rPr>
          <w:rFonts w:ascii="宋体" w:hAnsi="宋体"/>
          <w:snapToGrid w:val="0"/>
          <w:color w:val="auto"/>
          <w:kern w:val="0"/>
          <w:szCs w:val="21"/>
          <w:highlight w:val="none"/>
          <w:u w:val="single"/>
        </w:rPr>
        <w:t xml:space="preserve">  </w:t>
      </w:r>
      <w:bookmarkStart w:id="1051" w:name="SOA_zyht_gcqc"/>
      <w:r>
        <w:rPr>
          <w:rFonts w:ascii="宋体" w:hAnsi="宋体"/>
          <w:snapToGrid w:val="0"/>
          <w:color w:val="auto"/>
          <w:kern w:val="0"/>
          <w:szCs w:val="21"/>
          <w:highlight w:val="none"/>
          <w:u w:val="single"/>
        </w:rPr>
        <w:t xml:space="preserve"> </w:t>
      </w:r>
      <w:r>
        <w:rPr>
          <w:rFonts w:hint="eastAsia" w:ascii="宋体" w:hAnsi="宋体" w:cs="宋体"/>
          <w:b/>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51"/>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（工程全称）签订工程质量保修书。</w:t>
      </w:r>
    </w:p>
    <w:p w14:paraId="7DAD92AB">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一、工程质量保修范围和内容</w:t>
      </w:r>
    </w:p>
    <w:p w14:paraId="3B8CE5AD">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承包人在质量保修期内，按照有关法律规定和合同约定，承担工程质量保修责任。</w:t>
      </w:r>
    </w:p>
    <w:p w14:paraId="72411EA1">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3937E94">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u w:val="single"/>
        </w:rPr>
        <w:t xml:space="preserve">   </w:t>
      </w:r>
      <w:bookmarkStart w:id="1052" w:name="SOA_zyht_gczlbxfw"/>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双方约定对施工承包范围内的所有内容实行保修</w:t>
      </w:r>
      <w:r>
        <w:rPr>
          <w:rFonts w:ascii="宋体" w:hAnsi="宋体"/>
          <w:snapToGrid w:val="0"/>
          <w:color w:val="auto"/>
          <w:kern w:val="0"/>
          <w:szCs w:val="21"/>
          <w:highlight w:val="none"/>
          <w:u w:val="single"/>
        </w:rPr>
        <w:t xml:space="preserve">   </w:t>
      </w:r>
      <w:bookmarkEnd w:id="1052"/>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14C209F3">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二、质量保修期</w:t>
      </w:r>
    </w:p>
    <w:p w14:paraId="4EC6CD3E">
      <w:pPr>
        <w:adjustRightInd/>
        <w:spacing w:line="288"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根据《建设工程质量管理条例》及有关规定，工程的质量保修期如下：</w:t>
      </w:r>
    </w:p>
    <w:p w14:paraId="7C634F78">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1．地基基础工程和主体结构工程为设计文件规定的工程合理使用年限；</w:t>
      </w:r>
    </w:p>
    <w:p w14:paraId="7C07C675">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ascii="宋体" w:hAnsi="宋体"/>
          <w:snapToGrid w:val="0"/>
          <w:color w:val="auto"/>
          <w:kern w:val="0"/>
          <w:szCs w:val="21"/>
          <w:highlight w:val="none"/>
        </w:rPr>
        <w:t>屋面防水工程、有防水要求的卫生间、房间和外墙面的防渗</w:t>
      </w:r>
      <w:r>
        <w:rPr>
          <w:rFonts w:hint="eastAsia" w:ascii="宋体" w:hAnsi="宋体"/>
          <w:snapToGrid w:val="0"/>
          <w:color w:val="auto"/>
          <w:kern w:val="0"/>
          <w:szCs w:val="21"/>
          <w:highlight w:val="none"/>
        </w:rPr>
        <w:t>为</w:t>
      </w:r>
      <w:r>
        <w:rPr>
          <w:rFonts w:hint="eastAsia" w:ascii="宋体" w:hAnsi="宋体"/>
          <w:snapToGrid w:val="0"/>
          <w:color w:val="auto"/>
          <w:kern w:val="0"/>
          <w:szCs w:val="21"/>
          <w:highlight w:val="none"/>
          <w:u w:val="single"/>
        </w:rPr>
        <w:t xml:space="preserve"> 5 </w:t>
      </w:r>
      <w:r>
        <w:rPr>
          <w:rFonts w:ascii="宋体" w:hAnsi="宋体"/>
          <w:snapToGrid w:val="0"/>
          <w:color w:val="auto"/>
          <w:kern w:val="0"/>
          <w:szCs w:val="21"/>
          <w:highlight w:val="none"/>
        </w:rPr>
        <w:t>年；</w:t>
      </w:r>
    </w:p>
    <w:p w14:paraId="1A6C7B88">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装修工程为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2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490A8A24">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4．</w:t>
      </w:r>
      <w:r>
        <w:rPr>
          <w:rFonts w:ascii="宋体" w:hAnsi="宋体"/>
          <w:snapToGrid w:val="0"/>
          <w:color w:val="auto"/>
          <w:kern w:val="0"/>
          <w:szCs w:val="21"/>
          <w:highlight w:val="none"/>
        </w:rPr>
        <w:t>电气管线、给排水管道、设备安装工程为</w:t>
      </w:r>
      <w:bookmarkStart w:id="1053" w:name="SOA_zyht_azbxnx"/>
      <w:r>
        <w:rPr>
          <w:rFonts w:ascii="宋体" w:hAnsi="宋体"/>
          <w:snapToGrid w:val="0"/>
          <w:color w:val="auto"/>
          <w:kern w:val="0"/>
          <w:szCs w:val="21"/>
          <w:highlight w:val="none"/>
          <w:u w:val="single"/>
        </w:rPr>
        <w:t xml:space="preserve"> </w:t>
      </w:r>
      <w:bookmarkEnd w:id="1053"/>
      <w:r>
        <w:rPr>
          <w:rFonts w:hint="eastAsia" w:ascii="宋体" w:hAnsi="宋体"/>
          <w:snapToGrid w:val="0"/>
          <w:color w:val="auto"/>
          <w:kern w:val="0"/>
          <w:szCs w:val="21"/>
          <w:highlight w:val="none"/>
          <w:u w:val="single"/>
        </w:rPr>
        <w:t>2</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69F05B26">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w:t>
      </w:r>
      <w:r>
        <w:rPr>
          <w:rFonts w:ascii="宋体" w:hAnsi="宋体"/>
          <w:snapToGrid w:val="0"/>
          <w:color w:val="auto"/>
          <w:kern w:val="0"/>
          <w:szCs w:val="21"/>
          <w:highlight w:val="none"/>
        </w:rPr>
        <w:t>供热与供冷系统为</w:t>
      </w:r>
      <w:r>
        <w:rPr>
          <w:rFonts w:ascii="宋体" w:hAnsi="宋体"/>
          <w:snapToGrid w:val="0"/>
          <w:color w:val="auto"/>
          <w:kern w:val="0"/>
          <w:szCs w:val="21"/>
          <w:highlight w:val="none"/>
          <w:u w:val="single"/>
        </w:rPr>
        <w:t xml:space="preserve"> </w:t>
      </w:r>
      <w:bookmarkStart w:id="1054" w:name="SOA_zyht_grbxnx"/>
      <w:r>
        <w:rPr>
          <w:rFonts w:hint="eastAsia" w:ascii="宋体" w:hAnsi="宋体"/>
          <w:snapToGrid w:val="0"/>
          <w:color w:val="auto"/>
          <w:kern w:val="0"/>
          <w:szCs w:val="21"/>
          <w:highlight w:val="none"/>
          <w:u w:val="single"/>
        </w:rPr>
        <w:t>2</w:t>
      </w:r>
      <w:r>
        <w:rPr>
          <w:rFonts w:ascii="宋体" w:hAnsi="宋体"/>
          <w:snapToGrid w:val="0"/>
          <w:color w:val="auto"/>
          <w:kern w:val="0"/>
          <w:szCs w:val="21"/>
          <w:highlight w:val="none"/>
          <w:u w:val="single"/>
        </w:rPr>
        <w:t xml:space="preserve"> </w:t>
      </w:r>
      <w:bookmarkEnd w:id="1054"/>
      <w:r>
        <w:rPr>
          <w:rFonts w:ascii="宋体" w:hAnsi="宋体"/>
          <w:snapToGrid w:val="0"/>
          <w:color w:val="auto"/>
          <w:kern w:val="0"/>
          <w:szCs w:val="21"/>
          <w:highlight w:val="none"/>
        </w:rPr>
        <w:t>个采暖期、供冷期；</w:t>
      </w:r>
    </w:p>
    <w:p w14:paraId="71B0AF71">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6．</w:t>
      </w:r>
      <w:r>
        <w:rPr>
          <w:rFonts w:ascii="宋体" w:hAnsi="宋体"/>
          <w:snapToGrid w:val="0"/>
          <w:color w:val="auto"/>
          <w:kern w:val="0"/>
          <w:szCs w:val="21"/>
          <w:highlight w:val="none"/>
        </w:rPr>
        <w:t>住宅小区内的给排水设施、道路等配套工程为</w:t>
      </w:r>
      <w:r>
        <w:rPr>
          <w:rFonts w:hint="eastAsia" w:ascii="宋体" w:hAnsi="宋体"/>
          <w:snapToGrid w:val="0"/>
          <w:color w:val="auto"/>
          <w:kern w:val="0"/>
          <w:szCs w:val="21"/>
          <w:highlight w:val="none"/>
          <w:u w:val="single"/>
        </w:rPr>
        <w:t>2</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70E86830">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7．</w:t>
      </w:r>
      <w:r>
        <w:rPr>
          <w:rFonts w:ascii="宋体" w:hAnsi="宋体"/>
          <w:snapToGrid w:val="0"/>
          <w:color w:val="auto"/>
          <w:kern w:val="0"/>
          <w:szCs w:val="21"/>
          <w:highlight w:val="none"/>
        </w:rPr>
        <w:t>其他项目保修期限约定如下：</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2B6E8DC4">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质量保修期自工程竣工验收合格之日起计算。</w:t>
      </w:r>
    </w:p>
    <w:p w14:paraId="7E965203">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三、缺陷责任期</w:t>
      </w:r>
    </w:p>
    <w:p w14:paraId="48398E31">
      <w:pPr>
        <w:adjustRightInd/>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工程缺陷责任期为</w:t>
      </w:r>
      <w:bookmarkStart w:id="1055" w:name="SOA_zyht_gcqxq"/>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24 </w:t>
      </w:r>
      <w:r>
        <w:rPr>
          <w:rFonts w:ascii="宋体" w:hAnsi="宋体"/>
          <w:snapToGrid w:val="0"/>
          <w:color w:val="auto"/>
          <w:kern w:val="0"/>
          <w:szCs w:val="21"/>
          <w:highlight w:val="none"/>
          <w:u w:val="single"/>
        </w:rPr>
        <w:t xml:space="preserve"> </w:t>
      </w:r>
      <w:bookmarkEnd w:id="1055"/>
      <w:r>
        <w:rPr>
          <w:rFonts w:ascii="宋体" w:hAnsi="宋体"/>
          <w:snapToGrid w:val="0"/>
          <w:color w:val="auto"/>
          <w:kern w:val="0"/>
          <w:szCs w:val="21"/>
          <w:highlight w:val="none"/>
        </w:rPr>
        <w:t>个月，缺陷责任期自</w:t>
      </w:r>
      <w:r>
        <w:rPr>
          <w:rFonts w:hint="eastAsia" w:ascii="宋体" w:hAnsi="宋体"/>
          <w:snapToGrid w:val="0"/>
          <w:color w:val="auto"/>
          <w:kern w:val="0"/>
          <w:szCs w:val="21"/>
          <w:highlight w:val="none"/>
        </w:rPr>
        <w:t>工程通过竣工验收合格之日</w:t>
      </w:r>
      <w:r>
        <w:rPr>
          <w:rFonts w:ascii="宋体" w:hAnsi="宋体"/>
          <w:snapToGrid w:val="0"/>
          <w:color w:val="auto"/>
          <w:kern w:val="0"/>
          <w:szCs w:val="21"/>
          <w:highlight w:val="none"/>
        </w:rPr>
        <w:t>起计算。单位工程先于全部工程进行验收，单位工程缺陷责任期自单位工程</w:t>
      </w:r>
      <w:r>
        <w:rPr>
          <w:rFonts w:hint="eastAsia" w:ascii="宋体" w:hAnsi="宋体"/>
          <w:snapToGrid w:val="0"/>
          <w:color w:val="auto"/>
          <w:kern w:val="0"/>
          <w:szCs w:val="21"/>
          <w:highlight w:val="none"/>
        </w:rPr>
        <w:t>验收合格之日</w:t>
      </w:r>
      <w:r>
        <w:rPr>
          <w:rFonts w:ascii="宋体" w:hAnsi="宋体"/>
          <w:snapToGrid w:val="0"/>
          <w:color w:val="auto"/>
          <w:kern w:val="0"/>
          <w:szCs w:val="21"/>
          <w:highlight w:val="none"/>
        </w:rPr>
        <w:t>起</w:t>
      </w:r>
      <w:r>
        <w:rPr>
          <w:rFonts w:hint="eastAsia" w:ascii="宋体" w:hAnsi="宋体"/>
          <w:snapToGrid w:val="0"/>
          <w:color w:val="auto"/>
          <w:kern w:val="0"/>
          <w:szCs w:val="21"/>
          <w:highlight w:val="none"/>
        </w:rPr>
        <w:t>计</w:t>
      </w:r>
      <w:r>
        <w:rPr>
          <w:rFonts w:ascii="宋体" w:hAnsi="宋体"/>
          <w:snapToGrid w:val="0"/>
          <w:color w:val="auto"/>
          <w:kern w:val="0"/>
          <w:szCs w:val="21"/>
          <w:highlight w:val="none"/>
        </w:rPr>
        <w:t>算。</w:t>
      </w:r>
    </w:p>
    <w:p w14:paraId="619AEB85">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四、质量保修责任</w:t>
      </w:r>
    </w:p>
    <w:p w14:paraId="34005AFC">
      <w:pPr>
        <w:adjustRightInd/>
        <w:spacing w:line="288"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属于保修范围、内容的项目，承包人应当在接到保修通知之日起7天内派人保修。承包人不在约定期限内派人保修的，发包人可以委托他人修理。</w:t>
      </w:r>
    </w:p>
    <w:p w14:paraId="6A685F1D">
      <w:pPr>
        <w:adjustRightInd/>
        <w:spacing w:line="300"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ascii="宋体" w:hAnsi="宋体"/>
          <w:snapToGrid w:val="0"/>
          <w:color w:val="auto"/>
          <w:kern w:val="0"/>
          <w:szCs w:val="21"/>
          <w:highlight w:val="none"/>
        </w:rPr>
        <w:t>发生紧急事故需抢修的，承包人在接到事故通知后，应当立即到达事故现场抢修。</w:t>
      </w:r>
    </w:p>
    <w:p w14:paraId="1D1035AF">
      <w:pPr>
        <w:adjustRightInd/>
        <w:spacing w:line="300"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42AEDDD">
      <w:pPr>
        <w:adjustRightInd/>
        <w:spacing w:line="300" w:lineRule="auto"/>
        <w:ind w:left="420" w:leftChars="200" w:firstLine="105" w:firstLineChars="50"/>
        <w:rPr>
          <w:rFonts w:ascii="宋体" w:hAnsi="宋体"/>
          <w:snapToGrid w:val="0"/>
          <w:color w:val="auto"/>
          <w:kern w:val="0"/>
          <w:szCs w:val="21"/>
          <w:highlight w:val="none"/>
        </w:rPr>
      </w:pPr>
      <w:r>
        <w:rPr>
          <w:rFonts w:hint="eastAsia" w:ascii="宋体" w:hAnsi="宋体"/>
          <w:snapToGrid w:val="0"/>
          <w:color w:val="auto"/>
          <w:kern w:val="0"/>
          <w:szCs w:val="21"/>
          <w:highlight w:val="none"/>
        </w:rPr>
        <w:t>4．</w:t>
      </w:r>
      <w:r>
        <w:rPr>
          <w:rFonts w:ascii="宋体" w:hAnsi="宋体"/>
          <w:snapToGrid w:val="0"/>
          <w:color w:val="auto"/>
          <w:kern w:val="0"/>
          <w:szCs w:val="21"/>
          <w:highlight w:val="none"/>
        </w:rPr>
        <w:t>质量保修完成后，由发包人组织验收。</w:t>
      </w:r>
    </w:p>
    <w:p w14:paraId="2E0DD519">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五、保修费用</w:t>
      </w:r>
    </w:p>
    <w:p w14:paraId="3A2C1B19">
      <w:pPr>
        <w:adjustRightInd/>
        <w:spacing w:line="300" w:lineRule="auto"/>
        <w:ind w:firstLine="480"/>
        <w:rPr>
          <w:rFonts w:ascii="宋体" w:hAnsi="宋体"/>
          <w:snapToGrid w:val="0"/>
          <w:color w:val="auto"/>
          <w:kern w:val="0"/>
          <w:szCs w:val="21"/>
          <w:highlight w:val="none"/>
        </w:rPr>
      </w:pPr>
      <w:r>
        <w:rPr>
          <w:rFonts w:ascii="宋体" w:hAnsi="宋体"/>
          <w:snapToGrid w:val="0"/>
          <w:color w:val="auto"/>
          <w:kern w:val="0"/>
          <w:szCs w:val="21"/>
          <w:highlight w:val="none"/>
        </w:rPr>
        <w:t>保修费用由造成质量缺陷的责任方承担。</w:t>
      </w:r>
    </w:p>
    <w:p w14:paraId="2F73CFFA">
      <w:pPr>
        <w:adjustRightInd/>
        <w:spacing w:line="360" w:lineRule="auto"/>
        <w:ind w:firstLine="600"/>
        <w:jc w:val="left"/>
        <w:rPr>
          <w:rFonts w:ascii="宋体" w:hAnsi="宋体"/>
          <w:snapToGrid w:val="0"/>
          <w:color w:val="auto"/>
          <w:kern w:val="0"/>
          <w:szCs w:val="21"/>
          <w:highlight w:val="none"/>
        </w:rPr>
      </w:pPr>
      <w:r>
        <w:rPr>
          <w:rFonts w:ascii="宋体" w:hAnsi="宋体"/>
          <w:b/>
          <w:snapToGrid w:val="0"/>
          <w:color w:val="auto"/>
          <w:kern w:val="0"/>
          <w:szCs w:val="21"/>
          <w:highlight w:val="none"/>
        </w:rPr>
        <w:t>六</w:t>
      </w:r>
      <w:r>
        <w:rPr>
          <w:rFonts w:ascii="宋体" w:hAnsi="宋体"/>
          <w:snapToGrid w:val="0"/>
          <w:color w:val="auto"/>
          <w:kern w:val="0"/>
          <w:szCs w:val="21"/>
          <w:highlight w:val="none"/>
        </w:rPr>
        <w:t>、双方约定的其他工程质量保修事项：</w:t>
      </w:r>
      <w:r>
        <w:rPr>
          <w:rFonts w:hint="eastAsia" w:ascii="宋体" w:hAnsi="宋体"/>
          <w:snapToGrid w:val="0"/>
          <w:color w:val="auto"/>
          <w:kern w:val="0"/>
          <w:szCs w:val="21"/>
          <w:highlight w:val="none"/>
          <w:u w:val="single"/>
        </w:rPr>
        <w:t>甲方在保修期内发现质量问题并通知乙方，乙方应及时派专业人员进行维修，如乙方未及时派专业人员进行维修，甲方有权请其它人进行维修，由此产生的费用</w:t>
      </w:r>
      <w:r>
        <w:rPr>
          <w:rFonts w:hint="eastAsia" w:ascii="宋体" w:hAnsi="宋体"/>
          <w:snapToGrid w:val="0"/>
          <w:color w:val="auto"/>
          <w:kern w:val="0"/>
          <w:szCs w:val="21"/>
          <w:highlight w:val="none"/>
          <w:u w:val="single"/>
          <w:lang w:val="en-US" w:eastAsia="zh-CN"/>
        </w:rPr>
        <w:t>由</w:t>
      </w:r>
      <w:r>
        <w:rPr>
          <w:rFonts w:hint="eastAsia" w:ascii="宋体" w:hAnsi="宋体"/>
          <w:snapToGrid w:val="0"/>
          <w:color w:val="auto"/>
          <w:kern w:val="0"/>
          <w:szCs w:val="21"/>
          <w:highlight w:val="none"/>
          <w:u w:val="single"/>
        </w:rPr>
        <w:t>乙方</w:t>
      </w:r>
      <w:r>
        <w:rPr>
          <w:rFonts w:hint="eastAsia" w:ascii="宋体" w:hAnsi="宋体"/>
          <w:snapToGrid w:val="0"/>
          <w:color w:val="auto"/>
          <w:kern w:val="0"/>
          <w:szCs w:val="21"/>
          <w:highlight w:val="none"/>
          <w:u w:val="single"/>
          <w:lang w:val="en-US" w:eastAsia="zh-CN"/>
        </w:rPr>
        <w:t>支付</w:t>
      </w:r>
      <w:r>
        <w:rPr>
          <w:rFonts w:hint="eastAsia" w:ascii="宋体" w:hAnsi="宋体"/>
          <w:snapToGrid w:val="0"/>
          <w:color w:val="auto"/>
          <w:kern w:val="0"/>
          <w:szCs w:val="21"/>
          <w:highlight w:val="none"/>
          <w:u w:val="single"/>
        </w:rPr>
        <w:t>，同时乙方将承担因维修延误给甲方造成的一切损失</w:t>
      </w:r>
      <w:r>
        <w:rPr>
          <w:rFonts w:ascii="宋体" w:hAnsi="宋体"/>
          <w:snapToGrid w:val="0"/>
          <w:color w:val="auto"/>
          <w:kern w:val="0"/>
          <w:szCs w:val="21"/>
          <w:highlight w:val="none"/>
        </w:rPr>
        <w:t>。</w:t>
      </w:r>
    </w:p>
    <w:p w14:paraId="341185B1">
      <w:pPr>
        <w:adjustRightInd/>
        <w:spacing w:line="300" w:lineRule="auto"/>
        <w:ind w:firstLine="399" w:firstLineChars="190"/>
        <w:rPr>
          <w:rFonts w:ascii="宋体" w:hAnsi="宋体"/>
          <w:snapToGrid w:val="0"/>
          <w:color w:val="auto"/>
          <w:kern w:val="0"/>
          <w:szCs w:val="21"/>
          <w:highlight w:val="none"/>
        </w:rPr>
      </w:pPr>
      <w:r>
        <w:rPr>
          <w:rFonts w:ascii="宋体" w:hAnsi="宋体"/>
          <w:snapToGrid w:val="0"/>
          <w:color w:val="auto"/>
          <w:kern w:val="0"/>
          <w:szCs w:val="21"/>
          <w:highlight w:val="none"/>
        </w:rPr>
        <w:t>工程质量保修书由发包人、承包人在工程竣工验收前共同签署，作为施工合同附件，其有效期限至保修期满。</w:t>
      </w:r>
    </w:p>
    <w:p w14:paraId="5764D815">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发包人(公章)：</w:t>
      </w:r>
      <w:r>
        <w:rPr>
          <w:rFonts w:ascii="宋体" w:hAnsi="宋体"/>
          <w:snapToGrid w:val="0"/>
          <w:color w:val="auto"/>
          <w:kern w:val="0"/>
          <w:szCs w:val="21"/>
          <w:highlight w:val="none"/>
          <w:u w:val="single"/>
        </w:rPr>
        <w:t xml:space="preserve"> </w:t>
      </w:r>
      <w:bookmarkStart w:id="1056" w:name="SOA_zyht_fb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56"/>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承包人(公章)：</w:t>
      </w:r>
      <w:r>
        <w:rPr>
          <w:rFonts w:ascii="宋体" w:hAnsi="宋体"/>
          <w:snapToGrid w:val="0"/>
          <w:color w:val="auto"/>
          <w:kern w:val="0"/>
          <w:szCs w:val="21"/>
          <w:highlight w:val="none"/>
          <w:u w:val="single"/>
        </w:rPr>
        <w:t></w:t>
      </w:r>
      <w:bookmarkStart w:id="1057" w:name="SOA_zyht_cb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57"/>
      <w:r>
        <w:rPr>
          <w:rFonts w:hint="eastAsia" w:ascii="宋体" w:hAnsi="宋体"/>
          <w:snapToGrid w:val="0"/>
          <w:color w:val="auto"/>
          <w:kern w:val="0"/>
          <w:szCs w:val="21"/>
          <w:highlight w:val="none"/>
          <w:u w:val="single"/>
        </w:rPr>
        <w:t xml:space="preserve">  </w:t>
      </w:r>
    </w:p>
    <w:p w14:paraId="6FB1B353">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地  址：</w:t>
      </w:r>
      <w:r>
        <w:rPr>
          <w:rFonts w:ascii="宋体" w:hAnsi="宋体"/>
          <w:snapToGrid w:val="0"/>
          <w:color w:val="auto"/>
          <w:kern w:val="0"/>
          <w:szCs w:val="21"/>
          <w:highlight w:val="none"/>
          <w:u w:val="single"/>
        </w:rPr>
        <w:t xml:space="preserve"> </w:t>
      </w:r>
      <w:bookmarkStart w:id="1058" w:name="SOA_zyht_fbrdz"/>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58"/>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地  址：</w:t>
      </w:r>
      <w:r>
        <w:rPr>
          <w:rFonts w:ascii="宋体" w:hAnsi="宋体"/>
          <w:snapToGrid w:val="0"/>
          <w:color w:val="auto"/>
          <w:kern w:val="0"/>
          <w:szCs w:val="21"/>
          <w:highlight w:val="none"/>
          <w:u w:val="single"/>
        </w:rPr>
        <w:t></w:t>
      </w:r>
      <w:bookmarkStart w:id="1059" w:name="SOA_zyht_cbrdz"/>
      <w:r>
        <w:rPr>
          <w:rFonts w:ascii="宋体" w:hAnsi="宋体"/>
          <w:snapToGrid w:val="0"/>
          <w:color w:val="auto"/>
          <w:kern w:val="0"/>
          <w:szCs w:val="21"/>
          <w:highlight w:val="none"/>
          <w:u w:val="single"/>
        </w:rPr>
        <w:t xml:space="preserve">      </w:t>
      </w:r>
      <w:bookmarkEnd w:id="1059"/>
      <w:r>
        <w:rPr>
          <w:rFonts w:ascii="宋体" w:hAnsi="宋体"/>
          <w:snapToGrid w:val="0"/>
          <w:color w:val="auto"/>
          <w:kern w:val="0"/>
          <w:szCs w:val="21"/>
          <w:highlight w:val="none"/>
          <w:u w:val="single"/>
        </w:rPr>
        <w:t></w:t>
      </w:r>
    </w:p>
    <w:p w14:paraId="0E682107">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法定代表人(签字)：</w:t>
      </w:r>
      <w:bookmarkStart w:id="1060" w:name="SOA_zyht_fddbr1"/>
      <w:r>
        <w:rPr>
          <w:rFonts w:ascii="宋体" w:hAnsi="宋体"/>
          <w:snapToGrid w:val="0"/>
          <w:color w:val="auto"/>
          <w:kern w:val="0"/>
          <w:szCs w:val="21"/>
          <w:highlight w:val="none"/>
          <w:u w:val="single"/>
        </w:rPr>
        <w:t xml:space="preserve">      </w:t>
      </w:r>
      <w:bookmarkEnd w:id="1060"/>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法定代表人(签字)：</w:t>
      </w:r>
      <w:bookmarkStart w:id="1061" w:name="SOA_zyht_fddbr2"/>
      <w:r>
        <w:rPr>
          <w:rFonts w:ascii="宋体" w:hAnsi="宋体"/>
          <w:snapToGrid w:val="0"/>
          <w:color w:val="auto"/>
          <w:kern w:val="0"/>
          <w:szCs w:val="21"/>
          <w:highlight w:val="none"/>
          <w:u w:val="single"/>
        </w:rPr>
        <w:t xml:space="preserve">      </w:t>
      </w:r>
      <w:bookmarkEnd w:id="1061"/>
      <w:r>
        <w:rPr>
          <w:rFonts w:hint="eastAsia" w:ascii="宋体" w:hAnsi="宋体"/>
          <w:snapToGrid w:val="0"/>
          <w:color w:val="auto"/>
          <w:kern w:val="0"/>
          <w:szCs w:val="21"/>
          <w:highlight w:val="none"/>
          <w:u w:val="single"/>
        </w:rPr>
        <w:t xml:space="preserve">  </w:t>
      </w:r>
    </w:p>
    <w:p w14:paraId="1C7CF371">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委托代理人(签字)：</w:t>
      </w:r>
      <w:bookmarkStart w:id="1062" w:name="SOA_zyht_wtdlr1"/>
      <w:r>
        <w:rPr>
          <w:rFonts w:ascii="宋体" w:hAnsi="宋体"/>
          <w:snapToGrid w:val="0"/>
          <w:color w:val="auto"/>
          <w:kern w:val="0"/>
          <w:szCs w:val="21"/>
          <w:highlight w:val="none"/>
          <w:u w:val="single"/>
        </w:rPr>
        <w:t xml:space="preserve">      </w:t>
      </w:r>
      <w:bookmarkEnd w:id="1062"/>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委托代理人(签字)：</w:t>
      </w:r>
      <w:bookmarkStart w:id="1063" w:name="SOA_zyht_wtdlr2"/>
      <w:r>
        <w:rPr>
          <w:rFonts w:ascii="宋体" w:hAnsi="宋体"/>
          <w:snapToGrid w:val="0"/>
          <w:color w:val="auto"/>
          <w:kern w:val="0"/>
          <w:szCs w:val="21"/>
          <w:highlight w:val="none"/>
          <w:u w:val="single"/>
        </w:rPr>
        <w:t xml:space="preserve">      </w:t>
      </w:r>
      <w:bookmarkEnd w:id="1063"/>
      <w:r>
        <w:rPr>
          <w:rFonts w:hint="eastAsia" w:ascii="宋体" w:hAnsi="宋体"/>
          <w:snapToGrid w:val="0"/>
          <w:color w:val="auto"/>
          <w:kern w:val="0"/>
          <w:szCs w:val="21"/>
          <w:highlight w:val="none"/>
          <w:u w:val="single"/>
        </w:rPr>
        <w:t xml:space="preserve">  </w:t>
      </w:r>
    </w:p>
    <w:p w14:paraId="115ED246">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w:t>
      </w:r>
      <w:bookmarkStart w:id="1064" w:name="SOA_zyht_fbrdh1"/>
      <w:r>
        <w:rPr>
          <w:rFonts w:ascii="宋体" w:hAnsi="宋体"/>
          <w:snapToGrid w:val="0"/>
          <w:color w:val="auto"/>
          <w:kern w:val="0"/>
          <w:szCs w:val="21"/>
          <w:highlight w:val="none"/>
          <w:u w:val="single"/>
        </w:rPr>
        <w:t xml:space="preserve">      </w:t>
      </w:r>
      <w:bookmarkEnd w:id="1064"/>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w:t>
      </w:r>
      <w:bookmarkStart w:id="1065" w:name="SOA_zyht_cbrdh"/>
      <w:r>
        <w:rPr>
          <w:rFonts w:ascii="宋体" w:hAnsi="宋体"/>
          <w:snapToGrid w:val="0"/>
          <w:color w:val="auto"/>
          <w:kern w:val="0"/>
          <w:szCs w:val="21"/>
          <w:highlight w:val="none"/>
          <w:u w:val="single"/>
        </w:rPr>
        <w:t xml:space="preserve">      </w:t>
      </w:r>
      <w:bookmarkEnd w:id="1065"/>
      <w:r>
        <w:rPr>
          <w:rFonts w:ascii="宋体" w:hAnsi="宋体"/>
          <w:snapToGrid w:val="0"/>
          <w:color w:val="auto"/>
          <w:kern w:val="0"/>
          <w:szCs w:val="21"/>
          <w:highlight w:val="none"/>
          <w:u w:val="single"/>
        </w:rPr>
        <w:t xml:space="preserve"> </w:t>
      </w:r>
    </w:p>
    <w:p w14:paraId="64CAAB3D">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传  真：</w:t>
      </w:r>
      <w:r>
        <w:rPr>
          <w:rFonts w:hint="eastAsia" w:ascii="宋体" w:hAnsi="宋体"/>
          <w:snapToGrid w:val="0"/>
          <w:color w:val="auto"/>
          <w:kern w:val="0"/>
          <w:szCs w:val="21"/>
          <w:highlight w:val="none"/>
          <w:u w:val="single"/>
        </w:rPr>
        <w:t xml:space="preserve">  </w:t>
      </w:r>
      <w:bookmarkStart w:id="1066" w:name="SOA_zyht_fbrcz"/>
      <w:r>
        <w:rPr>
          <w:rFonts w:ascii="宋体" w:hAnsi="宋体"/>
          <w:snapToGrid w:val="0"/>
          <w:color w:val="auto"/>
          <w:kern w:val="0"/>
          <w:szCs w:val="21"/>
          <w:highlight w:val="none"/>
          <w:u w:val="single"/>
        </w:rPr>
        <w:t xml:space="preserve">      </w:t>
      </w:r>
      <w:bookmarkEnd w:id="1066"/>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传  真：</w:t>
      </w:r>
      <w:r>
        <w:rPr>
          <w:rFonts w:ascii="宋体" w:hAnsi="宋体"/>
          <w:snapToGrid w:val="0"/>
          <w:color w:val="auto"/>
          <w:kern w:val="0"/>
          <w:szCs w:val="21"/>
          <w:highlight w:val="none"/>
          <w:u w:val="single"/>
        </w:rPr>
        <w:t></w:t>
      </w:r>
      <w:bookmarkStart w:id="1067" w:name="SOA_zyht_cbrcz"/>
      <w:r>
        <w:rPr>
          <w:rFonts w:ascii="宋体" w:hAnsi="宋体"/>
          <w:snapToGrid w:val="0"/>
          <w:color w:val="auto"/>
          <w:kern w:val="0"/>
          <w:szCs w:val="21"/>
          <w:highlight w:val="none"/>
          <w:u w:val="single"/>
        </w:rPr>
        <w:t xml:space="preserve">      </w:t>
      </w:r>
      <w:bookmarkEnd w:id="1067"/>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p>
    <w:p w14:paraId="6D0C1B0C">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开户银行：</w:t>
      </w:r>
      <w:bookmarkStart w:id="1068" w:name="SOA_zyht_fbrkhyh"/>
      <w:r>
        <w:rPr>
          <w:rFonts w:ascii="宋体" w:hAnsi="宋体"/>
          <w:snapToGrid w:val="0"/>
          <w:color w:val="auto"/>
          <w:kern w:val="0"/>
          <w:szCs w:val="21"/>
          <w:highlight w:val="none"/>
          <w:u w:val="single"/>
        </w:rPr>
        <w:t xml:space="preserve">      </w:t>
      </w:r>
      <w:bookmarkEnd w:id="1068"/>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开户银行：</w:t>
      </w:r>
      <w:bookmarkStart w:id="1069" w:name="SOA_zyht_cbrkhyh"/>
      <w:r>
        <w:rPr>
          <w:rFonts w:ascii="宋体" w:hAnsi="宋体"/>
          <w:snapToGrid w:val="0"/>
          <w:color w:val="auto"/>
          <w:kern w:val="0"/>
          <w:szCs w:val="21"/>
          <w:highlight w:val="none"/>
          <w:u w:val="single"/>
        </w:rPr>
        <w:t xml:space="preserve">      </w:t>
      </w:r>
      <w:bookmarkEnd w:id="1069"/>
      <w:r>
        <w:rPr>
          <w:rFonts w:hint="eastAsia" w:ascii="宋体" w:hAnsi="宋体"/>
          <w:snapToGrid w:val="0"/>
          <w:color w:val="auto"/>
          <w:kern w:val="0"/>
          <w:szCs w:val="21"/>
          <w:highlight w:val="none"/>
          <w:u w:val="single"/>
        </w:rPr>
        <w:t xml:space="preserve">  </w:t>
      </w:r>
    </w:p>
    <w:p w14:paraId="3AB300B0">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账  号：</w:t>
      </w:r>
      <w:r>
        <w:rPr>
          <w:rFonts w:ascii="宋体" w:hAnsi="宋体"/>
          <w:snapToGrid w:val="0"/>
          <w:color w:val="auto"/>
          <w:kern w:val="0"/>
          <w:szCs w:val="21"/>
          <w:highlight w:val="none"/>
          <w:u w:val="single"/>
        </w:rPr>
        <w:t></w:t>
      </w:r>
      <w:bookmarkStart w:id="1070" w:name="SOA_zyht_fbrzh"/>
      <w:r>
        <w:rPr>
          <w:rFonts w:ascii="宋体" w:hAnsi="宋体"/>
          <w:snapToGrid w:val="0"/>
          <w:color w:val="auto"/>
          <w:kern w:val="0"/>
          <w:szCs w:val="21"/>
          <w:highlight w:val="none"/>
          <w:u w:val="single"/>
        </w:rPr>
        <w:t xml:space="preserve">      </w:t>
      </w:r>
      <w:bookmarkEnd w:id="1070"/>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账</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 xml:space="preserve"> 号：</w:t>
      </w:r>
      <w:r>
        <w:rPr>
          <w:rFonts w:ascii="宋体" w:hAnsi="宋体"/>
          <w:snapToGrid w:val="0"/>
          <w:color w:val="auto"/>
          <w:kern w:val="0"/>
          <w:szCs w:val="21"/>
          <w:highlight w:val="none"/>
          <w:u w:val="single"/>
        </w:rPr>
        <w:t></w:t>
      </w:r>
      <w:bookmarkStart w:id="1071" w:name="SOA_zyht_cbrzh"/>
      <w:r>
        <w:rPr>
          <w:rFonts w:ascii="宋体" w:hAnsi="宋体"/>
          <w:snapToGrid w:val="0"/>
          <w:color w:val="auto"/>
          <w:kern w:val="0"/>
          <w:szCs w:val="21"/>
          <w:highlight w:val="none"/>
          <w:u w:val="single"/>
        </w:rPr>
        <w:t xml:space="preserve">      </w:t>
      </w:r>
      <w:bookmarkEnd w:id="1071"/>
      <w:r>
        <w:rPr>
          <w:rFonts w:hint="eastAsia" w:ascii="宋体" w:hAnsi="宋体"/>
          <w:snapToGrid w:val="0"/>
          <w:color w:val="auto"/>
          <w:kern w:val="0"/>
          <w:szCs w:val="21"/>
          <w:highlight w:val="none"/>
          <w:u w:val="single"/>
        </w:rPr>
        <w:t xml:space="preserve">  </w:t>
      </w:r>
    </w:p>
    <w:p w14:paraId="5589A5D0">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bookmarkStart w:id="1072" w:name="SOA_zyht_fbryb"/>
      <w:r>
        <w:rPr>
          <w:rFonts w:ascii="宋体" w:hAnsi="宋体"/>
          <w:snapToGrid w:val="0"/>
          <w:color w:val="auto"/>
          <w:kern w:val="0"/>
          <w:szCs w:val="21"/>
          <w:highlight w:val="none"/>
          <w:u w:val="single"/>
        </w:rPr>
        <w:t xml:space="preserve">      </w:t>
      </w:r>
      <w:bookmarkEnd w:id="1072"/>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w:t>
      </w:r>
      <w:bookmarkStart w:id="1073" w:name="SOA_zyht_cbryb"/>
      <w:r>
        <w:rPr>
          <w:rFonts w:ascii="宋体" w:hAnsi="宋体"/>
          <w:snapToGrid w:val="0"/>
          <w:color w:val="auto"/>
          <w:kern w:val="0"/>
          <w:szCs w:val="21"/>
          <w:highlight w:val="none"/>
          <w:u w:val="single"/>
        </w:rPr>
        <w:t xml:space="preserve">     </w:t>
      </w:r>
      <w:bookmarkEnd w:id="1073"/>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p>
    <w:p w14:paraId="7E3DFC01">
      <w:pPr>
        <w:spacing w:line="480" w:lineRule="auto"/>
        <w:jc w:val="center"/>
        <w:rPr>
          <w:rFonts w:ascii="宋体" w:hAnsi="宋体" w:cs="宋体"/>
          <w:b/>
          <w:color w:val="auto"/>
          <w:sz w:val="28"/>
          <w:szCs w:val="28"/>
          <w:highlight w:val="none"/>
        </w:rPr>
      </w:pPr>
    </w:p>
    <w:p w14:paraId="72C259E3">
      <w:pPr>
        <w:spacing w:line="360" w:lineRule="auto"/>
        <w:ind w:left="-420" w:leftChars="-200" w:right="-420" w:rightChars="-200" w:firstLine="480" w:firstLineChars="200"/>
        <w:jc w:val="center"/>
        <w:outlineLvl w:val="0"/>
        <w:rPr>
          <w:rFonts w:ascii="宋体" w:hAnsi="宋体" w:cs="宋体"/>
          <w:color w:val="auto"/>
          <w:sz w:val="24"/>
          <w:highlight w:val="none"/>
        </w:rPr>
      </w:pPr>
    </w:p>
    <w:p w14:paraId="23588140">
      <w:pPr>
        <w:spacing w:line="360" w:lineRule="auto"/>
        <w:ind w:left="-420" w:leftChars="-200" w:right="-420" w:rightChars="-200" w:firstLine="480" w:firstLineChars="200"/>
        <w:jc w:val="center"/>
        <w:outlineLvl w:val="0"/>
        <w:rPr>
          <w:rFonts w:ascii="宋体" w:hAnsi="宋体" w:cs="宋体"/>
          <w:color w:val="auto"/>
          <w:sz w:val="24"/>
          <w:highlight w:val="none"/>
        </w:rPr>
        <w:sectPr>
          <w:headerReference r:id="rId8" w:type="first"/>
          <w:footerReference r:id="rId10" w:type="first"/>
          <w:footerReference r:id="rId9" w:type="default"/>
          <w:pgSz w:w="11905" w:h="16838"/>
          <w:pgMar w:top="1440" w:right="1440" w:bottom="1440" w:left="1440" w:header="851" w:footer="992" w:gutter="0"/>
          <w:pgBorders>
            <w:top w:val="none" w:sz="0" w:space="0"/>
            <w:left w:val="none" w:sz="0" w:space="0"/>
            <w:bottom w:val="none" w:sz="0" w:space="0"/>
            <w:right w:val="none" w:sz="0" w:space="0"/>
          </w:pgBorders>
          <w:cols w:space="0" w:num="1"/>
          <w:titlePg/>
          <w:rtlGutter w:val="0"/>
          <w:docGrid w:linePitch="312" w:charSpace="0"/>
        </w:sectPr>
      </w:pPr>
    </w:p>
    <w:p w14:paraId="38092267">
      <w:pPr>
        <w:snapToGrid w:val="0"/>
        <w:spacing w:line="360" w:lineRule="auto"/>
        <w:jc w:val="center"/>
        <w:outlineLvl w:val="0"/>
        <w:rPr>
          <w:rFonts w:ascii="宋体" w:hAnsi="宋体" w:cs="宋体"/>
          <w:b/>
          <w:color w:val="auto"/>
          <w:sz w:val="36"/>
          <w:szCs w:val="20"/>
          <w:highlight w:val="none"/>
        </w:rPr>
      </w:pPr>
      <w:bookmarkStart w:id="1074" w:name="_Toc30607"/>
      <w:r>
        <w:rPr>
          <w:rFonts w:hint="eastAsia" w:ascii="宋体" w:hAnsi="宋体" w:cs="宋体"/>
          <w:b/>
          <w:color w:val="auto"/>
          <w:sz w:val="36"/>
          <w:szCs w:val="20"/>
          <w:highlight w:val="none"/>
        </w:rPr>
        <w:t>第六部分</w:t>
      </w:r>
      <w:bookmarkEnd w:id="435"/>
      <w:r>
        <w:rPr>
          <w:rFonts w:hint="eastAsia" w:ascii="宋体" w:hAnsi="宋体" w:cs="宋体"/>
          <w:b/>
          <w:color w:val="auto"/>
          <w:sz w:val="36"/>
          <w:szCs w:val="20"/>
          <w:highlight w:val="none"/>
        </w:rPr>
        <w:t xml:space="preserve"> </w:t>
      </w:r>
      <w:bookmarkEnd w:id="436"/>
      <w:r>
        <w:rPr>
          <w:rFonts w:hint="eastAsia" w:ascii="宋体" w:hAnsi="宋体" w:cs="宋体"/>
          <w:b/>
          <w:color w:val="auto"/>
          <w:sz w:val="36"/>
          <w:szCs w:val="20"/>
          <w:highlight w:val="none"/>
        </w:rPr>
        <w:t>应提交的有关格式范例</w:t>
      </w:r>
      <w:bookmarkEnd w:id="1074"/>
    </w:p>
    <w:p w14:paraId="534D9F5A">
      <w:pPr>
        <w:jc w:val="center"/>
        <w:rPr>
          <w:rFonts w:hint="eastAsia" w:ascii="宋体" w:hAnsi="宋体" w:cs="宋体"/>
          <w:b/>
          <w:color w:val="auto"/>
          <w:sz w:val="24"/>
          <w:szCs w:val="24"/>
          <w:highlight w:val="none"/>
        </w:rPr>
      </w:pPr>
      <w:bookmarkStart w:id="1075" w:name="_Toc498589609"/>
    </w:p>
    <w:bookmarkEnd w:id="1075"/>
    <w:p w14:paraId="7EBD8052">
      <w:pPr>
        <w:spacing w:line="360" w:lineRule="auto"/>
        <w:jc w:val="center"/>
        <w:outlineLvl w:val="0"/>
        <w:rPr>
          <w:rFonts w:ascii="宋体" w:hAnsi="宋体" w:cs="宋体"/>
          <w:b/>
          <w:color w:val="auto"/>
          <w:kern w:val="0"/>
          <w:sz w:val="36"/>
          <w:szCs w:val="36"/>
          <w:highlight w:val="none"/>
        </w:rPr>
      </w:pPr>
      <w:bookmarkStart w:id="1076" w:name="_Toc6"/>
      <w:r>
        <w:rPr>
          <w:rFonts w:hint="eastAsia" w:ascii="宋体" w:hAnsi="宋体" w:cs="宋体"/>
          <w:b/>
          <w:color w:val="auto"/>
          <w:kern w:val="0"/>
          <w:sz w:val="36"/>
          <w:szCs w:val="36"/>
          <w:highlight w:val="none"/>
        </w:rPr>
        <w:t>资格文件部分</w:t>
      </w:r>
      <w:bookmarkEnd w:id="1076"/>
    </w:p>
    <w:p w14:paraId="0DED4316">
      <w:pPr>
        <w:spacing w:line="360" w:lineRule="auto"/>
        <w:jc w:val="center"/>
        <w:outlineLvl w:val="0"/>
        <w:rPr>
          <w:rFonts w:ascii="宋体" w:hAnsi="宋体" w:cs="宋体"/>
          <w:b/>
          <w:color w:val="auto"/>
          <w:kern w:val="0"/>
          <w:sz w:val="36"/>
          <w:szCs w:val="36"/>
          <w:highlight w:val="none"/>
        </w:rPr>
      </w:pPr>
      <w:bookmarkStart w:id="1077" w:name="_Toc15242"/>
      <w:r>
        <w:rPr>
          <w:rFonts w:hint="eastAsia" w:ascii="宋体" w:hAnsi="宋体" w:cs="宋体"/>
          <w:b/>
          <w:color w:val="auto"/>
          <w:kern w:val="0"/>
          <w:sz w:val="36"/>
          <w:szCs w:val="36"/>
          <w:highlight w:val="none"/>
        </w:rPr>
        <w:t>目录</w:t>
      </w:r>
      <w:bookmarkEnd w:id="1077"/>
    </w:p>
    <w:p w14:paraId="57827BBE">
      <w:pPr>
        <w:spacing w:line="360" w:lineRule="auto"/>
        <w:jc w:val="center"/>
        <w:outlineLvl w:val="0"/>
        <w:rPr>
          <w:rFonts w:ascii="宋体" w:hAnsi="宋体" w:cs="宋体"/>
          <w:b/>
          <w:color w:val="auto"/>
          <w:kern w:val="0"/>
          <w:sz w:val="36"/>
          <w:szCs w:val="36"/>
          <w:highlight w:val="none"/>
        </w:rPr>
      </w:pPr>
    </w:p>
    <w:p w14:paraId="24010CE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（1）有效的企业法人营业执照（或事业法人登记证）、其他组织（个体工商户）的营业执照或者民办非企业单位登记证书………………………………………（页码）</w:t>
      </w:r>
    </w:p>
    <w:p w14:paraId="396BB1E3">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符合参加政府采购活动应当具备的一般条件的承诺函……………（页码）</w:t>
      </w:r>
    </w:p>
    <w:p w14:paraId="5B6715A1">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val="en-US" w:eastAsia="zh-CN"/>
        </w:rPr>
        <w:t>3</w:t>
      </w:r>
      <w:r>
        <w:rPr>
          <w:rFonts w:hint="eastAsia" w:ascii="宋体" w:hAnsi="宋体" w:cs="宋体"/>
          <w:snapToGrid w:val="0"/>
          <w:color w:val="auto"/>
          <w:kern w:val="28"/>
          <w:sz w:val="24"/>
          <w:szCs w:val="20"/>
          <w:highlight w:val="none"/>
        </w:rPr>
        <w:t>）</w:t>
      </w:r>
      <w:r>
        <w:rPr>
          <w:rFonts w:hint="eastAsia" w:ascii="宋体" w:hAnsi="宋体" w:cs="宋体"/>
          <w:color w:val="auto"/>
          <w:sz w:val="24"/>
          <w:highlight w:val="none"/>
        </w:rPr>
        <w:t>落实政府采购政策需满足的资格要求………………………………（页码）</w:t>
      </w:r>
    </w:p>
    <w:p w14:paraId="449684F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）本项目的特定资格要求………………………………………………（页码）</w:t>
      </w:r>
    </w:p>
    <w:p w14:paraId="6432301D">
      <w:pPr>
        <w:snapToGrid w:val="0"/>
        <w:spacing w:line="360" w:lineRule="auto"/>
        <w:ind w:firstLine="480" w:firstLineChars="200"/>
        <w:rPr>
          <w:rFonts w:ascii="宋体" w:hAnsi="宋体" w:cs="宋体"/>
          <w:color w:val="auto"/>
          <w:sz w:val="24"/>
          <w:highlight w:val="none"/>
        </w:rPr>
      </w:pPr>
    </w:p>
    <w:p w14:paraId="6642EF56">
      <w:pPr>
        <w:spacing w:line="360" w:lineRule="auto"/>
        <w:ind w:firstLine="480" w:firstLineChars="200"/>
        <w:rPr>
          <w:rFonts w:ascii="宋体" w:hAnsi="宋体" w:cs="宋体"/>
          <w:color w:val="auto"/>
          <w:sz w:val="24"/>
          <w:highlight w:val="none"/>
        </w:rPr>
      </w:pPr>
    </w:p>
    <w:p w14:paraId="297829BF">
      <w:pPr>
        <w:snapToGrid w:val="0"/>
        <w:spacing w:line="360" w:lineRule="auto"/>
        <w:ind w:right="480"/>
        <w:jc w:val="center"/>
        <w:rPr>
          <w:rFonts w:hint="eastAsia" w:ascii="宋体" w:hAnsi="宋体" w:cs="宋体"/>
          <w:b/>
          <w:color w:val="auto"/>
          <w:kern w:val="0"/>
          <w:sz w:val="32"/>
          <w:szCs w:val="32"/>
          <w:highlight w:val="none"/>
        </w:rPr>
        <w:sectPr>
          <w:pgSz w:w="11905" w:h="16838"/>
          <w:pgMar w:top="1440" w:right="1440" w:bottom="1440" w:left="1440" w:header="851" w:footer="992" w:gutter="0"/>
          <w:pgBorders>
            <w:top w:val="none" w:sz="0" w:space="0"/>
            <w:left w:val="none" w:sz="0" w:space="0"/>
            <w:bottom w:val="none" w:sz="0" w:space="0"/>
            <w:right w:val="none" w:sz="0" w:space="0"/>
          </w:pgBorders>
          <w:cols w:space="0" w:num="1"/>
          <w:titlePg/>
          <w:rtlGutter w:val="0"/>
          <w:docGrid w:linePitch="312" w:charSpace="0"/>
        </w:sect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 有效的企业法人营业执照（或事业法人登记证）、其他组织（个体工商户）的营业执照或者民办非企业单位登记证书。</w:t>
      </w:r>
    </w:p>
    <w:p w14:paraId="3FABC559">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二、</w:t>
      </w:r>
      <w:r>
        <w:rPr>
          <w:rFonts w:hint="eastAsia" w:ascii="宋体" w:hAnsi="宋体" w:cs="宋体"/>
          <w:b/>
          <w:color w:val="auto"/>
          <w:kern w:val="0"/>
          <w:sz w:val="32"/>
          <w:szCs w:val="32"/>
          <w:highlight w:val="none"/>
        </w:rPr>
        <w:t>符合参加政府采购活动应当具备的一般条件的承诺函</w:t>
      </w:r>
    </w:p>
    <w:p w14:paraId="7CE98DA6">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宁波经贸学校、</w:t>
      </w:r>
      <w:r>
        <w:rPr>
          <w:rFonts w:hint="eastAsia" w:ascii="宋体" w:hAnsi="宋体" w:cs="宋体"/>
          <w:color w:val="auto"/>
          <w:sz w:val="24"/>
          <w:highlight w:val="none"/>
          <w:lang w:val="en-US" w:eastAsia="zh-CN"/>
        </w:rPr>
        <w:t>宁波中基国际招标有限公司</w:t>
      </w:r>
      <w:r>
        <w:rPr>
          <w:rFonts w:hint="eastAsia" w:ascii="宋体" w:hAnsi="宋体" w:cs="宋体"/>
          <w:color w:val="auto"/>
          <w:sz w:val="24"/>
          <w:highlight w:val="none"/>
        </w:rPr>
        <w:t>：</w:t>
      </w:r>
    </w:p>
    <w:p w14:paraId="75EABB1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宁波经贸学校2024年综合高中维修项目（</w:t>
      </w:r>
      <w:r>
        <w:rPr>
          <w:rFonts w:hint="eastAsia" w:ascii="宋体" w:hAnsi="宋体" w:cs="宋体"/>
          <w:color w:val="auto"/>
          <w:sz w:val="24"/>
          <w:highlight w:val="none"/>
          <w:lang w:val="en-US" w:eastAsia="zh-CN"/>
        </w:rPr>
        <w:t>重发</w:t>
      </w:r>
      <w:r>
        <w:rPr>
          <w:rFonts w:hint="eastAsia" w:ascii="宋体" w:hAnsi="宋体" w:cs="宋体"/>
          <w:color w:val="auto"/>
          <w:sz w:val="24"/>
          <w:highlight w:val="none"/>
          <w:lang w:eastAsia="zh-CN"/>
        </w:rPr>
        <w:t>）</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CBNB-20241373GGC</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】政府采购活动，郑重承诺：</w:t>
      </w:r>
    </w:p>
    <w:p w14:paraId="1C395494">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FD46D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EE94DC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A2F7F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B1FC2A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4A4DDE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05138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A2270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w:t>
      </w:r>
    </w:p>
    <w:p w14:paraId="5579C3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22BF722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5797D1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FA33AB0">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30EF08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C6A87C2">
      <w:pPr>
        <w:snapToGrid w:val="0"/>
        <w:spacing w:line="360" w:lineRule="auto"/>
        <w:ind w:right="480"/>
        <w:jc w:val="center"/>
        <w:rPr>
          <w:rFonts w:ascii="宋体" w:hAnsi="宋体" w:cs="宋体"/>
          <w:b/>
          <w:color w:val="auto"/>
          <w:kern w:val="0"/>
          <w:sz w:val="32"/>
          <w:szCs w:val="32"/>
          <w:highlight w:val="none"/>
        </w:rPr>
        <w:sectPr>
          <w:pgSz w:w="11905" w:h="16838"/>
          <w:pgMar w:top="1440" w:right="1440" w:bottom="1440" w:left="1440" w:header="851" w:footer="992" w:gutter="0"/>
          <w:pgBorders>
            <w:top w:val="none" w:sz="0" w:space="0"/>
            <w:left w:val="none" w:sz="0" w:space="0"/>
            <w:bottom w:val="none" w:sz="0" w:space="0"/>
            <w:right w:val="none" w:sz="0" w:space="0"/>
          </w:pgBorders>
          <w:cols w:space="0" w:num="1"/>
          <w:titlePg/>
          <w:rtlGutter w:val="0"/>
          <w:docGrid w:linePitch="312" w:charSpace="0"/>
        </w:sectPr>
      </w:pPr>
    </w:p>
    <w:p w14:paraId="2B3ACE38">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、落实政府采购政策需满足的资格要求</w:t>
      </w:r>
    </w:p>
    <w:p w14:paraId="783DAC2B">
      <w:pP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w:t>
      </w:r>
    </w:p>
    <w:p w14:paraId="41D30C3C">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w:t>
      </w:r>
      <w:r>
        <w:rPr>
          <w:rFonts w:hint="eastAsia" w:ascii="宋体" w:hAnsi="宋体" w:cs="宋体"/>
          <w:color w:val="auto"/>
          <w:sz w:val="24"/>
          <w:highlight w:val="none"/>
          <w:lang w:val="en-US" w:eastAsia="zh-CN"/>
        </w:rPr>
        <w:t>格式详见附件</w:t>
      </w:r>
      <w:r>
        <w:rPr>
          <w:rFonts w:hint="eastAsia" w:ascii="宋体" w:hAnsi="宋体" w:cs="宋体"/>
          <w:color w:val="auto"/>
          <w:sz w:val="24"/>
          <w:highlight w:val="none"/>
        </w:rPr>
        <w:t xml:space="preserve">）。 </w:t>
      </w:r>
    </w:p>
    <w:p w14:paraId="7094931E">
      <w:pPr>
        <w:widowControl/>
        <w:spacing w:line="360" w:lineRule="auto"/>
        <w:ind w:firstLine="480"/>
        <w:jc w:val="left"/>
        <w:rPr>
          <w:rFonts w:ascii="宋体" w:hAnsi="宋体" w:cs="宋体"/>
          <w:color w:val="auto"/>
          <w:sz w:val="24"/>
          <w:highlight w:val="none"/>
        </w:rPr>
      </w:pPr>
    </w:p>
    <w:p w14:paraId="357B114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要求合同分包的，提供分包意向协议（</w:t>
      </w:r>
      <w:r>
        <w:rPr>
          <w:rFonts w:hint="eastAsia" w:ascii="宋体" w:hAnsi="宋体" w:cs="宋体"/>
          <w:color w:val="auto"/>
          <w:sz w:val="24"/>
          <w:highlight w:val="none"/>
          <w:lang w:val="en-US" w:eastAsia="zh-CN"/>
        </w:rPr>
        <w:t>格式详见附件</w:t>
      </w:r>
      <w:r>
        <w:rPr>
          <w:rFonts w:hint="eastAsia" w:ascii="宋体" w:hAnsi="宋体" w:cs="宋体"/>
          <w:color w:val="auto"/>
          <w:sz w:val="24"/>
          <w:highlight w:val="none"/>
        </w:rPr>
        <w:t>）和中小企业声明函（</w:t>
      </w:r>
      <w:r>
        <w:rPr>
          <w:rFonts w:hint="eastAsia" w:ascii="宋体" w:hAnsi="宋体" w:cs="宋体"/>
          <w:color w:val="auto"/>
          <w:sz w:val="24"/>
          <w:highlight w:val="none"/>
          <w:lang w:val="en-US" w:eastAsia="zh-CN"/>
        </w:rPr>
        <w:t>格式详见附件</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6E45558">
      <w:pPr>
        <w:widowControl/>
        <w:spacing w:line="360" w:lineRule="auto"/>
        <w:ind w:left="150"/>
        <w:jc w:val="center"/>
        <w:rPr>
          <w:rFonts w:ascii="宋体" w:hAnsi="宋体" w:cs="宋体"/>
          <w:b/>
          <w:color w:val="auto"/>
          <w:kern w:val="0"/>
          <w:sz w:val="32"/>
          <w:szCs w:val="32"/>
          <w:highlight w:val="none"/>
        </w:rPr>
      </w:pPr>
    </w:p>
    <w:p w14:paraId="24E76E1D">
      <w:pPr>
        <w:widowControl/>
        <w:spacing w:line="360" w:lineRule="auto"/>
        <w:ind w:left="150"/>
        <w:jc w:val="center"/>
        <w:rPr>
          <w:rFonts w:hint="eastAsia" w:ascii="宋体" w:hAnsi="宋体" w:cs="宋体"/>
          <w:b/>
          <w:color w:val="auto"/>
          <w:kern w:val="0"/>
          <w:sz w:val="32"/>
          <w:szCs w:val="32"/>
          <w:highlight w:val="none"/>
          <w:lang w:val="en-US" w:eastAsia="zh-CN"/>
        </w:rPr>
      </w:pPr>
    </w:p>
    <w:p w14:paraId="033472EE">
      <w:pPr>
        <w:widowControl/>
        <w:spacing w:line="360" w:lineRule="auto"/>
        <w:ind w:left="150"/>
        <w:jc w:val="center"/>
        <w:rPr>
          <w:rFonts w:hint="eastAsia" w:ascii="宋体" w:hAnsi="宋体" w:cs="宋体"/>
          <w:b/>
          <w:color w:val="auto"/>
          <w:kern w:val="0"/>
          <w:sz w:val="32"/>
          <w:szCs w:val="32"/>
          <w:highlight w:val="none"/>
          <w:lang w:val="en-US" w:eastAsia="zh-CN"/>
        </w:rPr>
      </w:pPr>
    </w:p>
    <w:p w14:paraId="5C4BCC38">
      <w:pPr>
        <w:widowControl/>
        <w:spacing w:line="360" w:lineRule="auto"/>
        <w:ind w:left="150"/>
        <w:jc w:val="center"/>
        <w:rPr>
          <w:rFonts w:hint="eastAsia" w:ascii="宋体" w:hAnsi="宋体" w:cs="宋体"/>
          <w:b/>
          <w:color w:val="auto"/>
          <w:kern w:val="0"/>
          <w:sz w:val="32"/>
          <w:szCs w:val="32"/>
          <w:highlight w:val="none"/>
          <w:lang w:val="en-US" w:eastAsia="zh-CN"/>
        </w:rPr>
      </w:pPr>
    </w:p>
    <w:p w14:paraId="2BAC2100">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、本项目的特定资格要求</w:t>
      </w:r>
    </w:p>
    <w:p w14:paraId="5062F6A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w:t>
      </w:r>
    </w:p>
    <w:p w14:paraId="4E7584CB">
      <w:pPr>
        <w:rPr>
          <w:rFonts w:ascii="宋体" w:hAnsi="宋体" w:cs="宋体"/>
          <w:color w:val="auto"/>
          <w:highlight w:val="none"/>
        </w:rPr>
      </w:pPr>
    </w:p>
    <w:p w14:paraId="23DC2159">
      <w:pPr>
        <w:snapToGrid w:val="0"/>
        <w:spacing w:line="360" w:lineRule="auto"/>
        <w:ind w:right="480"/>
        <w:jc w:val="center"/>
        <w:rPr>
          <w:rFonts w:ascii="宋体" w:hAnsi="宋体" w:cs="宋体"/>
          <w:b/>
          <w:color w:val="auto"/>
          <w:kern w:val="0"/>
          <w:sz w:val="32"/>
          <w:szCs w:val="32"/>
          <w:highlight w:val="none"/>
        </w:rPr>
        <w:sectPr>
          <w:pgSz w:w="11905" w:h="16838"/>
          <w:pgMar w:top="1440" w:right="1440" w:bottom="1440" w:left="1440" w:header="851" w:footer="992" w:gutter="0"/>
          <w:pgBorders>
            <w:top w:val="none" w:sz="0" w:space="0"/>
            <w:left w:val="none" w:sz="0" w:space="0"/>
            <w:bottom w:val="none" w:sz="0" w:space="0"/>
            <w:right w:val="none" w:sz="0" w:space="0"/>
          </w:pgBorders>
          <w:cols w:space="0" w:num="1"/>
          <w:titlePg/>
          <w:rtlGutter w:val="0"/>
          <w:docGrid w:linePitch="312" w:charSpace="0"/>
        </w:sectPr>
      </w:pPr>
    </w:p>
    <w:p w14:paraId="54E608CF">
      <w:pPr>
        <w:pStyle w:val="3"/>
        <w:rPr>
          <w:rFonts w:ascii="宋体" w:hAnsi="宋体" w:cs="宋体"/>
          <w:b w:val="0"/>
          <w:color w:val="auto"/>
          <w:kern w:val="0"/>
          <w:sz w:val="36"/>
          <w:szCs w:val="36"/>
          <w:highlight w:val="none"/>
        </w:rPr>
      </w:pPr>
    </w:p>
    <w:p w14:paraId="2D6B7BC2">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AAA8850">
      <w:pPr>
        <w:spacing w:line="360" w:lineRule="auto"/>
        <w:jc w:val="center"/>
        <w:outlineLvl w:val="0"/>
        <w:rPr>
          <w:rFonts w:ascii="宋体" w:hAnsi="宋体" w:cs="宋体"/>
          <w:b/>
          <w:color w:val="auto"/>
          <w:kern w:val="0"/>
          <w:sz w:val="28"/>
          <w:szCs w:val="28"/>
          <w:highlight w:val="none"/>
        </w:rPr>
      </w:pPr>
      <w:bookmarkStart w:id="1078" w:name="_Toc32599"/>
      <w:r>
        <w:rPr>
          <w:rFonts w:hint="eastAsia" w:ascii="宋体" w:hAnsi="宋体" w:cs="宋体"/>
          <w:b/>
          <w:color w:val="auto"/>
          <w:kern w:val="0"/>
          <w:sz w:val="28"/>
          <w:szCs w:val="28"/>
          <w:highlight w:val="none"/>
        </w:rPr>
        <w:t>目录</w:t>
      </w:r>
      <w:bookmarkEnd w:id="1078"/>
    </w:p>
    <w:p w14:paraId="4CA32A2C">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14:paraId="17F1668A">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14:paraId="48503BF3">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14:paraId="0A2319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14:paraId="0C7A8DA1">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p>
    <w:p w14:paraId="01C31D8B">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）商务技术偏离表……………………………………………………………（页码）</w:t>
      </w:r>
    </w:p>
    <w:p w14:paraId="70467229">
      <w:pPr>
        <w:snapToGrid w:val="0"/>
        <w:spacing w:line="360" w:lineRule="auto"/>
        <w:ind w:left="479" w:leftChars="228"/>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）项目管理机构</w:t>
      </w:r>
      <w:r>
        <w:rPr>
          <w:rFonts w:hint="eastAsia" w:ascii="宋体" w:hAnsi="宋体" w:cs="宋体"/>
          <w:color w:val="auto"/>
          <w:sz w:val="24"/>
          <w:highlight w:val="none"/>
        </w:rPr>
        <w:t>………………………………………………………………（页码）</w:t>
      </w:r>
    </w:p>
    <w:p w14:paraId="71509E38">
      <w:pPr>
        <w:snapToGrid w:val="0"/>
        <w:spacing w:line="360" w:lineRule="auto"/>
        <w:ind w:left="479" w:leftChars="228"/>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val="zh-CN"/>
        </w:rPr>
        <w:t>）项目经理无在建项目承诺书</w:t>
      </w:r>
      <w:r>
        <w:rPr>
          <w:rFonts w:hint="eastAsia" w:ascii="宋体" w:hAnsi="宋体" w:cs="宋体"/>
          <w:color w:val="auto"/>
          <w:sz w:val="24"/>
          <w:highlight w:val="none"/>
        </w:rPr>
        <w:t>………………………………………………（页码）</w:t>
      </w:r>
    </w:p>
    <w:p w14:paraId="6FB435A9">
      <w:pPr>
        <w:snapToGrid w:val="0"/>
        <w:spacing w:line="360" w:lineRule="auto"/>
        <w:ind w:left="479" w:leftChars="228"/>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）施工组织设计</w:t>
      </w:r>
      <w:r>
        <w:rPr>
          <w:rFonts w:hint="eastAsia" w:ascii="宋体" w:hAnsi="宋体" w:cs="宋体"/>
          <w:color w:val="auto"/>
          <w:sz w:val="24"/>
          <w:highlight w:val="none"/>
        </w:rPr>
        <w:t>………………………………………………………………（页码）</w:t>
      </w:r>
    </w:p>
    <w:p w14:paraId="267986E6">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503C735D">
      <w:pPr>
        <w:snapToGrid w:val="0"/>
        <w:spacing w:line="360" w:lineRule="auto"/>
        <w:jc w:val="center"/>
        <w:rPr>
          <w:rFonts w:ascii="宋体" w:hAnsi="宋体" w:cs="宋体"/>
          <w:b/>
          <w:color w:val="auto"/>
          <w:kern w:val="0"/>
          <w:sz w:val="24"/>
          <w:szCs w:val="32"/>
          <w:highlight w:val="none"/>
          <w:lang w:val="zh-CN"/>
        </w:rPr>
        <w:sectPr>
          <w:pgSz w:w="11905" w:h="16838"/>
          <w:pgMar w:top="1440" w:right="1440" w:bottom="1440" w:left="1440" w:header="851" w:footer="992" w:gutter="0"/>
          <w:pgBorders>
            <w:top w:val="none" w:sz="0" w:space="0"/>
            <w:left w:val="none" w:sz="0" w:space="0"/>
            <w:bottom w:val="none" w:sz="0" w:space="0"/>
            <w:right w:val="none" w:sz="0" w:space="0"/>
          </w:pgBorders>
          <w:cols w:space="0" w:num="1"/>
          <w:titlePg/>
          <w:rtlGutter w:val="0"/>
          <w:docGrid w:linePitch="312" w:charSpace="0"/>
        </w:sectPr>
      </w:pPr>
    </w:p>
    <w:p w14:paraId="79550BF0">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7200AEFB">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宁波经贸学校、</w:t>
      </w:r>
      <w:r>
        <w:rPr>
          <w:rFonts w:hint="eastAsia" w:ascii="宋体" w:hAnsi="宋体" w:cs="宋体"/>
          <w:color w:val="auto"/>
          <w:sz w:val="24"/>
          <w:highlight w:val="none"/>
          <w:lang w:val="en-US" w:eastAsia="zh-CN"/>
        </w:rPr>
        <w:t>宁波中基国际招标有限公司</w:t>
      </w:r>
      <w:r>
        <w:rPr>
          <w:rFonts w:hint="eastAsia" w:ascii="宋体" w:hAnsi="宋体" w:cs="宋体"/>
          <w:color w:val="auto"/>
          <w:sz w:val="24"/>
          <w:highlight w:val="none"/>
        </w:rPr>
        <w:t>：</w:t>
      </w:r>
    </w:p>
    <w:p w14:paraId="1787C64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lang w:eastAsia="zh-CN"/>
        </w:rPr>
        <w:t>宁波经贸学校2024年综合高中维修项目（</w:t>
      </w:r>
      <w:r>
        <w:rPr>
          <w:rFonts w:hint="eastAsia" w:ascii="宋体" w:hAnsi="宋体" w:cs="宋体"/>
          <w:color w:val="auto"/>
          <w:sz w:val="24"/>
          <w:highlight w:val="none"/>
          <w:u w:val="single"/>
          <w:lang w:val="en-US" w:eastAsia="zh-CN"/>
        </w:rPr>
        <w:t>重发</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【项目编号：</w:t>
      </w:r>
      <w:r>
        <w:rPr>
          <w:rFonts w:hint="eastAsia" w:ascii="宋体" w:hAnsi="宋体" w:cs="宋体"/>
          <w:color w:val="auto"/>
          <w:sz w:val="24"/>
          <w:highlight w:val="none"/>
          <w:u w:val="single"/>
          <w:lang w:eastAsia="zh-CN"/>
        </w:rPr>
        <w:t>CBNB-20241373GGC</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w:t>
      </w:r>
      <w:r>
        <w:rPr>
          <w:rFonts w:hint="eastAsia" w:ascii="宋体" w:hAnsi="宋体" w:cs="宋体"/>
          <w:color w:val="auto"/>
          <w:sz w:val="24"/>
          <w:highlight w:val="none"/>
        </w:rPr>
        <w:t>采购的有关活动，并对此项目提交响应文件及报价。为此：</w:t>
      </w:r>
    </w:p>
    <w:p w14:paraId="1FDA8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48281E4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4616CF7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A2042BC">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137DE1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CF07EC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3、我方承诺除商务技术偏离表列出的偏离外，我方响应采购文件的全部要求。</w:t>
      </w:r>
    </w:p>
    <w:p w14:paraId="70A958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5DD0A3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531B45B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FE54EF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0B1215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A5EC67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171FEA6">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2CBF25B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D910289">
      <w:pPr>
        <w:snapToGrid w:val="0"/>
        <w:spacing w:line="360" w:lineRule="auto"/>
        <w:ind w:left="420" w:leftChars="200" w:firstLine="4200" w:firstLineChars="1750"/>
        <w:rPr>
          <w:rFonts w:ascii="宋体" w:hAnsi="宋体" w:cs="宋体"/>
          <w:color w:val="auto"/>
          <w:kern w:val="0"/>
          <w:sz w:val="24"/>
          <w:highlight w:val="none"/>
          <w:u w:val="single"/>
        </w:rPr>
      </w:pPr>
    </w:p>
    <w:p w14:paraId="4FFBA32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0D05BE5">
      <w:pPr>
        <w:snapToGrid w:val="0"/>
        <w:spacing w:line="360" w:lineRule="auto"/>
        <w:jc w:val="center"/>
        <w:rPr>
          <w:rFonts w:ascii="宋体" w:hAnsi="宋体" w:cs="宋体"/>
          <w:b/>
          <w:color w:val="auto"/>
          <w:kern w:val="0"/>
          <w:sz w:val="32"/>
          <w:szCs w:val="32"/>
          <w:highlight w:val="none"/>
        </w:rPr>
      </w:pPr>
    </w:p>
    <w:p w14:paraId="587C537B">
      <w:pPr>
        <w:snapToGrid w:val="0"/>
        <w:spacing w:line="360" w:lineRule="auto"/>
        <w:rPr>
          <w:rFonts w:ascii="宋体" w:hAnsi="宋体" w:cs="宋体"/>
          <w:color w:val="auto"/>
          <w:sz w:val="24"/>
          <w:highlight w:val="none"/>
        </w:rPr>
      </w:pPr>
    </w:p>
    <w:p w14:paraId="78062E6F">
      <w:pPr>
        <w:jc w:val="center"/>
        <w:rPr>
          <w:rFonts w:ascii="宋体" w:hAnsi="宋体" w:cs="宋体"/>
          <w:b/>
          <w:color w:val="auto"/>
          <w:kern w:val="0"/>
          <w:sz w:val="32"/>
          <w:szCs w:val="32"/>
          <w:highlight w:val="none"/>
        </w:rPr>
      </w:pPr>
    </w:p>
    <w:p w14:paraId="1C7A35BA">
      <w:pPr>
        <w:jc w:val="center"/>
        <w:rPr>
          <w:rFonts w:ascii="宋体" w:hAnsi="宋体" w:cs="宋体"/>
          <w:b/>
          <w:color w:val="auto"/>
          <w:kern w:val="0"/>
          <w:sz w:val="32"/>
          <w:szCs w:val="32"/>
          <w:highlight w:val="none"/>
        </w:rPr>
        <w:sectPr>
          <w:pgSz w:w="11905" w:h="16838"/>
          <w:pgMar w:top="1440" w:right="1440" w:bottom="1440" w:left="1440" w:header="851" w:footer="992" w:gutter="0"/>
          <w:pgBorders>
            <w:top w:val="none" w:sz="0" w:space="0"/>
            <w:left w:val="none" w:sz="0" w:space="0"/>
            <w:bottom w:val="none" w:sz="0" w:space="0"/>
            <w:right w:val="none" w:sz="0" w:space="0"/>
          </w:pgBorders>
          <w:cols w:space="0" w:num="1"/>
          <w:titlePg/>
          <w:rtlGutter w:val="0"/>
          <w:docGrid w:linePitch="312" w:charSpace="0"/>
        </w:sectPr>
      </w:pPr>
    </w:p>
    <w:p w14:paraId="3D8A751B">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4683045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4006F8D">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w:t>
      </w:r>
    </w:p>
    <w:p w14:paraId="7F7C019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宁波经贸学校、</w:t>
      </w:r>
      <w:r>
        <w:rPr>
          <w:rFonts w:hint="eastAsia" w:ascii="宋体" w:hAnsi="宋体" w:cs="宋体"/>
          <w:color w:val="auto"/>
          <w:sz w:val="24"/>
          <w:highlight w:val="none"/>
          <w:lang w:val="en-US" w:eastAsia="zh-CN"/>
        </w:rPr>
        <w:t>宁波中基国际招标有限公司</w:t>
      </w:r>
      <w:r>
        <w:rPr>
          <w:rFonts w:hint="eastAsia" w:ascii="宋体" w:hAnsi="宋体" w:cs="宋体"/>
          <w:color w:val="auto"/>
          <w:kern w:val="0"/>
          <w:sz w:val="24"/>
          <w:highlight w:val="none"/>
          <w:lang w:val="zh-CN"/>
        </w:rPr>
        <w:t>：</w:t>
      </w:r>
    </w:p>
    <w:p w14:paraId="01950F9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lang w:eastAsia="zh-CN"/>
        </w:rPr>
        <w:t>宁波经贸学校2024年综合高中维修项目（</w:t>
      </w:r>
      <w:r>
        <w:rPr>
          <w:rFonts w:hint="eastAsia" w:ascii="宋体" w:hAnsi="宋体" w:cs="宋体"/>
          <w:color w:val="auto"/>
          <w:sz w:val="24"/>
          <w:highlight w:val="none"/>
          <w:u w:val="single"/>
          <w:lang w:val="en-US" w:eastAsia="zh-CN"/>
        </w:rPr>
        <w:t>重发</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【项目编号：</w:t>
      </w:r>
      <w:r>
        <w:rPr>
          <w:rFonts w:hint="eastAsia" w:ascii="宋体" w:hAnsi="宋体" w:cs="宋体"/>
          <w:color w:val="auto"/>
          <w:sz w:val="24"/>
          <w:highlight w:val="none"/>
          <w:u w:val="single"/>
          <w:lang w:eastAsia="zh-CN"/>
        </w:rPr>
        <w:t>CBNB-20241373GGC</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3CDA168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C1E59D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1EC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5F43E52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8E864BB">
      <w:pPr>
        <w:snapToGrid w:val="0"/>
        <w:spacing w:line="360" w:lineRule="auto"/>
        <w:rPr>
          <w:rFonts w:ascii="宋体" w:hAnsi="宋体" w:cs="宋体"/>
          <w:color w:val="auto"/>
          <w:sz w:val="24"/>
          <w:highlight w:val="none"/>
        </w:rPr>
      </w:pPr>
    </w:p>
    <w:p w14:paraId="24ED9DFB">
      <w:pPr>
        <w:snapToGrid w:val="0"/>
        <w:spacing w:line="360" w:lineRule="auto"/>
        <w:rPr>
          <w:rFonts w:ascii="宋体" w:hAnsi="宋体" w:cs="宋体"/>
          <w:color w:val="auto"/>
          <w:sz w:val="24"/>
          <w:highlight w:val="none"/>
        </w:rPr>
      </w:pPr>
    </w:p>
    <w:p w14:paraId="35C2EA5B">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4411B334">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E894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C311F24">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263CAA5">
            <w:pPr>
              <w:pStyle w:val="150"/>
              <w:adjustRightInd w:val="0"/>
              <w:spacing w:line="360" w:lineRule="auto"/>
              <w:rPr>
                <w:rFonts w:hAnsi="宋体" w:cs="宋体"/>
                <w:bCs/>
                <w:color w:val="auto"/>
                <w:sz w:val="24"/>
                <w:highlight w:val="none"/>
              </w:rPr>
            </w:pPr>
          </w:p>
        </w:tc>
      </w:tr>
    </w:tbl>
    <w:p w14:paraId="10C6D428">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2017B6">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517953F9">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26B5F5F">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255B9B4B">
      <w:pPr>
        <w:widowControl/>
        <w:spacing w:line="360" w:lineRule="auto"/>
        <w:ind w:firstLine="120" w:firstLineChars="50"/>
        <w:jc w:val="left"/>
        <w:rPr>
          <w:rFonts w:ascii="宋体" w:hAnsi="宋体" w:cs="宋体"/>
          <w:color w:val="auto"/>
          <w:sz w:val="24"/>
          <w:highlight w:val="none"/>
        </w:rPr>
      </w:pPr>
      <w:bookmarkStart w:id="1079"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w:t>
      </w:r>
      <w:r>
        <w:rPr>
          <w:rFonts w:hint="eastAsia" w:ascii="宋体" w:hAnsi="宋体" w:cs="宋体"/>
          <w:b/>
          <w:color w:val="auto"/>
          <w:sz w:val="24"/>
          <w:highlight w:val="none"/>
          <w:lang w:val="en-US" w:eastAsia="zh-CN"/>
        </w:rPr>
        <w:t>格式详见附件</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1079"/>
    <w:p w14:paraId="05080670">
      <w:pPr>
        <w:snapToGrid w:val="0"/>
        <w:spacing w:line="360" w:lineRule="auto"/>
        <w:rPr>
          <w:rFonts w:ascii="宋体" w:hAnsi="宋体" w:cs="宋体"/>
          <w:color w:val="auto"/>
          <w:kern w:val="0"/>
          <w:sz w:val="24"/>
          <w:highlight w:val="none"/>
        </w:rPr>
      </w:pPr>
    </w:p>
    <w:p w14:paraId="3F50AE24">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5B07D0BA">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899A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B24FE2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1668F4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103EFA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32B565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3F41D20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7207D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D2F643">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2974CA44">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495AE925">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33CEA0B8">
            <w:pPr>
              <w:rPr>
                <w:rFonts w:ascii="宋体" w:hAnsi="宋体" w:cs="宋体"/>
                <w:color w:val="auto"/>
                <w:sz w:val="24"/>
                <w:highlight w:val="none"/>
              </w:rPr>
            </w:pPr>
            <w:r>
              <w:rPr>
                <w:rFonts w:hint="eastAsia" w:ascii="宋体" w:hAnsi="宋体" w:cs="宋体"/>
                <w:color w:val="auto"/>
                <w:sz w:val="24"/>
                <w:highlight w:val="none"/>
              </w:rPr>
              <w:t>见响应文件</w:t>
            </w:r>
          </w:p>
          <w:p w14:paraId="53531703">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19DC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7108CB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61EC17F7">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0B182C9A">
            <w:pP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vAlign w:val="center"/>
          </w:tcPr>
          <w:p w14:paraId="249C3C55">
            <w:pPr>
              <w:rPr>
                <w:rFonts w:ascii="宋体" w:hAnsi="宋体" w:cs="宋体"/>
                <w:color w:val="auto"/>
                <w:sz w:val="24"/>
                <w:highlight w:val="none"/>
              </w:rPr>
            </w:pPr>
            <w:r>
              <w:rPr>
                <w:rFonts w:hint="eastAsia" w:ascii="宋体" w:hAnsi="宋体" w:cs="宋体"/>
                <w:color w:val="auto"/>
                <w:sz w:val="24"/>
                <w:highlight w:val="none"/>
              </w:rPr>
              <w:t>见响应文件</w:t>
            </w:r>
          </w:p>
          <w:p w14:paraId="3CE61FAE">
            <w:pPr>
              <w:pStyle w:val="3"/>
              <w:jc w:val="both"/>
              <w:rPr>
                <w:rFonts w:ascii="宋体" w:hAnsi="宋体" w:eastAsia="宋体" w:cs="宋体"/>
                <w:color w:val="auto"/>
                <w:highlight w:val="none"/>
                <w:lang w:val="en-US"/>
              </w:rPr>
            </w:pPr>
            <w:bookmarkStart w:id="1080" w:name="_Toc9233"/>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bookmarkEnd w:id="1080"/>
          </w:p>
        </w:tc>
      </w:tr>
      <w:tr w14:paraId="60317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9F99B9">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35801758">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14:paraId="3F03438A">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724F7448">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1A98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A22732">
            <w:pPr>
              <w:jc w:val="center"/>
              <w:rPr>
                <w:rFonts w:ascii="宋体" w:hAnsi="宋体" w:cs="宋体"/>
                <w:color w:val="auto"/>
                <w:sz w:val="24"/>
                <w:highlight w:val="none"/>
              </w:rPr>
            </w:pPr>
            <w:r>
              <w:rPr>
                <w:rFonts w:hint="eastAsia" w:ascii="宋体" w:hAnsi="宋体" w:cs="宋体"/>
                <w:color w:val="auto"/>
                <w:sz w:val="24"/>
                <w:highlight w:val="none"/>
              </w:rPr>
              <w:t>4</w:t>
            </w:r>
          </w:p>
        </w:tc>
        <w:tc>
          <w:tcPr>
            <w:tcW w:w="4991" w:type="dxa"/>
            <w:vAlign w:val="center"/>
          </w:tcPr>
          <w:p w14:paraId="07C22322">
            <w:pPr>
              <w:spacing w:line="360" w:lineRule="auto"/>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2551" w:type="dxa"/>
            <w:vAlign w:val="center"/>
          </w:tcPr>
          <w:p w14:paraId="431BE77C">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32085A64">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3E98DF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8CD1643">
      <w:pPr>
        <w:jc w:val="center"/>
        <w:rPr>
          <w:rFonts w:ascii="宋体" w:hAnsi="宋体" w:cs="宋体"/>
          <w:b/>
          <w:color w:val="auto"/>
          <w:kern w:val="0"/>
          <w:sz w:val="32"/>
          <w:szCs w:val="32"/>
          <w:highlight w:val="none"/>
        </w:rPr>
      </w:pPr>
    </w:p>
    <w:p w14:paraId="1E30C78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0A96917B">
      <w:pPr>
        <w:jc w:val="center"/>
        <w:rPr>
          <w:rFonts w:ascii="宋体" w:hAnsi="宋体" w:cs="宋体"/>
          <w:b/>
          <w:color w:val="auto"/>
          <w:kern w:val="0"/>
          <w:sz w:val="32"/>
          <w:szCs w:val="32"/>
          <w:highlight w:val="none"/>
        </w:rPr>
      </w:pPr>
    </w:p>
    <w:p w14:paraId="75777163">
      <w:pPr>
        <w:jc w:val="center"/>
        <w:rPr>
          <w:rFonts w:ascii="宋体" w:hAnsi="宋体" w:cs="宋体"/>
          <w:b/>
          <w:color w:val="auto"/>
          <w:kern w:val="0"/>
          <w:sz w:val="32"/>
          <w:szCs w:val="32"/>
          <w:highlight w:val="none"/>
        </w:rPr>
      </w:pPr>
    </w:p>
    <w:p w14:paraId="0821C096">
      <w:pPr>
        <w:jc w:val="center"/>
        <w:rPr>
          <w:rFonts w:ascii="宋体" w:hAnsi="宋体" w:cs="宋体"/>
          <w:b/>
          <w:color w:val="auto"/>
          <w:kern w:val="0"/>
          <w:sz w:val="32"/>
          <w:szCs w:val="32"/>
          <w:highlight w:val="none"/>
        </w:rPr>
      </w:pPr>
    </w:p>
    <w:p w14:paraId="3A64A879">
      <w:pPr>
        <w:jc w:val="center"/>
        <w:rPr>
          <w:rFonts w:ascii="宋体" w:hAnsi="宋体" w:cs="宋体"/>
          <w:b/>
          <w:color w:val="auto"/>
          <w:kern w:val="0"/>
          <w:sz w:val="32"/>
          <w:szCs w:val="32"/>
          <w:highlight w:val="none"/>
        </w:rPr>
      </w:pPr>
    </w:p>
    <w:p w14:paraId="41A4F078">
      <w:pPr>
        <w:jc w:val="center"/>
        <w:rPr>
          <w:rFonts w:ascii="宋体" w:hAnsi="宋体" w:cs="宋体"/>
          <w:b/>
          <w:color w:val="auto"/>
          <w:kern w:val="0"/>
          <w:sz w:val="32"/>
          <w:szCs w:val="32"/>
          <w:highlight w:val="none"/>
        </w:rPr>
      </w:pPr>
    </w:p>
    <w:p w14:paraId="22700C02">
      <w:pPr>
        <w:jc w:val="center"/>
        <w:rPr>
          <w:rFonts w:ascii="宋体" w:hAnsi="宋体" w:cs="宋体"/>
          <w:b/>
          <w:color w:val="auto"/>
          <w:kern w:val="0"/>
          <w:sz w:val="32"/>
          <w:szCs w:val="32"/>
          <w:highlight w:val="none"/>
        </w:rPr>
      </w:pPr>
    </w:p>
    <w:p w14:paraId="612DB581">
      <w:pPr>
        <w:jc w:val="center"/>
        <w:rPr>
          <w:rFonts w:ascii="宋体" w:hAnsi="宋体" w:cs="宋体"/>
          <w:b/>
          <w:color w:val="auto"/>
          <w:kern w:val="0"/>
          <w:sz w:val="32"/>
          <w:szCs w:val="32"/>
          <w:highlight w:val="none"/>
        </w:rPr>
      </w:pPr>
    </w:p>
    <w:p w14:paraId="6D6B7B86">
      <w:pPr>
        <w:jc w:val="center"/>
        <w:rPr>
          <w:rFonts w:ascii="宋体" w:hAnsi="宋体" w:cs="宋体"/>
          <w:b/>
          <w:color w:val="auto"/>
          <w:kern w:val="0"/>
          <w:sz w:val="32"/>
          <w:szCs w:val="32"/>
          <w:highlight w:val="none"/>
        </w:rPr>
      </w:pPr>
    </w:p>
    <w:p w14:paraId="3FAE6864">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53692855">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p w14:paraId="62E43CA9">
      <w:pPr>
        <w:jc w:val="center"/>
        <w:rPr>
          <w:rFonts w:ascii="宋体" w:hAnsi="宋体" w:cs="宋体"/>
          <w:b/>
          <w:color w:val="auto"/>
          <w:kern w:val="0"/>
          <w:sz w:val="32"/>
          <w:szCs w:val="32"/>
          <w:highlight w:val="none"/>
        </w:rPr>
      </w:pPr>
    </w:p>
    <w:p w14:paraId="0B93D594">
      <w:pPr>
        <w:jc w:val="center"/>
        <w:rPr>
          <w:rFonts w:ascii="宋体" w:hAnsi="宋体" w:cs="宋体"/>
          <w:b/>
          <w:color w:val="auto"/>
          <w:kern w:val="0"/>
          <w:sz w:val="32"/>
          <w:szCs w:val="32"/>
          <w:highlight w:val="none"/>
        </w:rPr>
      </w:pPr>
    </w:p>
    <w:p w14:paraId="5B8FA1F8">
      <w:pPr>
        <w:jc w:val="center"/>
        <w:rPr>
          <w:rFonts w:ascii="宋体" w:hAnsi="宋体" w:cs="宋体"/>
          <w:b/>
          <w:color w:val="auto"/>
          <w:kern w:val="0"/>
          <w:sz w:val="32"/>
          <w:szCs w:val="32"/>
          <w:highlight w:val="none"/>
        </w:rPr>
      </w:pPr>
    </w:p>
    <w:p w14:paraId="174C92EE">
      <w:pPr>
        <w:jc w:val="center"/>
        <w:rPr>
          <w:rFonts w:ascii="宋体" w:hAnsi="宋体" w:cs="宋体"/>
          <w:b/>
          <w:color w:val="auto"/>
          <w:kern w:val="0"/>
          <w:sz w:val="32"/>
          <w:szCs w:val="32"/>
          <w:highlight w:val="none"/>
        </w:rPr>
      </w:pPr>
    </w:p>
    <w:p w14:paraId="40FA5A9C">
      <w:pPr>
        <w:jc w:val="center"/>
        <w:rPr>
          <w:rFonts w:ascii="宋体" w:hAnsi="宋体" w:cs="宋体"/>
          <w:b/>
          <w:color w:val="auto"/>
          <w:kern w:val="0"/>
          <w:sz w:val="32"/>
          <w:szCs w:val="32"/>
          <w:highlight w:val="none"/>
        </w:rPr>
      </w:pPr>
    </w:p>
    <w:p w14:paraId="2424F079">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531C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63DA0C">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0C482E1B">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586CA778">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0B58584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5E79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764F5A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DC9C071">
            <w:pPr>
              <w:jc w:val="center"/>
              <w:rPr>
                <w:rFonts w:ascii="宋体" w:hAnsi="宋体" w:cs="宋体"/>
                <w:b/>
                <w:color w:val="auto"/>
                <w:kern w:val="0"/>
                <w:sz w:val="32"/>
                <w:szCs w:val="32"/>
                <w:highlight w:val="none"/>
              </w:rPr>
            </w:pPr>
          </w:p>
        </w:tc>
        <w:tc>
          <w:tcPr>
            <w:tcW w:w="3546" w:type="dxa"/>
          </w:tcPr>
          <w:p w14:paraId="2B3641F3">
            <w:pPr>
              <w:jc w:val="center"/>
              <w:rPr>
                <w:rFonts w:ascii="宋体" w:hAnsi="宋体" w:cs="宋体"/>
                <w:b/>
                <w:color w:val="auto"/>
                <w:kern w:val="0"/>
                <w:sz w:val="32"/>
                <w:szCs w:val="32"/>
                <w:highlight w:val="none"/>
              </w:rPr>
            </w:pPr>
          </w:p>
        </w:tc>
        <w:tc>
          <w:tcPr>
            <w:tcW w:w="1276" w:type="dxa"/>
          </w:tcPr>
          <w:p w14:paraId="500BD304">
            <w:pPr>
              <w:jc w:val="center"/>
              <w:rPr>
                <w:rFonts w:ascii="宋体" w:hAnsi="宋体" w:cs="宋体"/>
                <w:b/>
                <w:color w:val="auto"/>
                <w:kern w:val="0"/>
                <w:sz w:val="32"/>
                <w:szCs w:val="32"/>
                <w:highlight w:val="none"/>
              </w:rPr>
            </w:pPr>
          </w:p>
        </w:tc>
      </w:tr>
      <w:tr w14:paraId="37045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72881F">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4B45ED8">
            <w:pPr>
              <w:jc w:val="center"/>
              <w:rPr>
                <w:rFonts w:ascii="宋体" w:hAnsi="宋体" w:cs="宋体"/>
                <w:b/>
                <w:color w:val="auto"/>
                <w:kern w:val="0"/>
                <w:sz w:val="32"/>
                <w:szCs w:val="32"/>
                <w:highlight w:val="none"/>
              </w:rPr>
            </w:pPr>
          </w:p>
        </w:tc>
        <w:tc>
          <w:tcPr>
            <w:tcW w:w="3546" w:type="dxa"/>
          </w:tcPr>
          <w:p w14:paraId="58D97E8D">
            <w:pPr>
              <w:jc w:val="center"/>
              <w:rPr>
                <w:rFonts w:ascii="宋体" w:hAnsi="宋体" w:cs="宋体"/>
                <w:b/>
                <w:color w:val="auto"/>
                <w:kern w:val="0"/>
                <w:sz w:val="32"/>
                <w:szCs w:val="32"/>
                <w:highlight w:val="none"/>
              </w:rPr>
            </w:pPr>
          </w:p>
        </w:tc>
        <w:tc>
          <w:tcPr>
            <w:tcW w:w="1276" w:type="dxa"/>
          </w:tcPr>
          <w:p w14:paraId="650562C1">
            <w:pPr>
              <w:jc w:val="center"/>
              <w:rPr>
                <w:rFonts w:ascii="宋体" w:hAnsi="宋体" w:cs="宋体"/>
                <w:b/>
                <w:color w:val="auto"/>
                <w:kern w:val="0"/>
                <w:sz w:val="32"/>
                <w:szCs w:val="32"/>
                <w:highlight w:val="none"/>
              </w:rPr>
            </w:pPr>
          </w:p>
        </w:tc>
      </w:tr>
      <w:tr w14:paraId="36BFF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A20711">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1D0533D7">
            <w:pPr>
              <w:jc w:val="center"/>
              <w:rPr>
                <w:rFonts w:ascii="宋体" w:hAnsi="宋体" w:cs="宋体"/>
                <w:b/>
                <w:color w:val="auto"/>
                <w:kern w:val="0"/>
                <w:sz w:val="32"/>
                <w:szCs w:val="32"/>
                <w:highlight w:val="none"/>
              </w:rPr>
            </w:pPr>
          </w:p>
        </w:tc>
        <w:tc>
          <w:tcPr>
            <w:tcW w:w="3546" w:type="dxa"/>
          </w:tcPr>
          <w:p w14:paraId="248838F7">
            <w:pPr>
              <w:jc w:val="center"/>
              <w:rPr>
                <w:rFonts w:ascii="宋体" w:hAnsi="宋体" w:cs="宋体"/>
                <w:b/>
                <w:color w:val="auto"/>
                <w:kern w:val="0"/>
                <w:sz w:val="32"/>
                <w:szCs w:val="32"/>
                <w:highlight w:val="none"/>
              </w:rPr>
            </w:pPr>
          </w:p>
        </w:tc>
        <w:tc>
          <w:tcPr>
            <w:tcW w:w="1276" w:type="dxa"/>
          </w:tcPr>
          <w:p w14:paraId="5827FDED">
            <w:pPr>
              <w:jc w:val="center"/>
              <w:rPr>
                <w:rFonts w:ascii="宋体" w:hAnsi="宋体" w:cs="宋体"/>
                <w:b/>
                <w:color w:val="auto"/>
                <w:kern w:val="0"/>
                <w:sz w:val="32"/>
                <w:szCs w:val="32"/>
                <w:highlight w:val="none"/>
              </w:rPr>
            </w:pPr>
          </w:p>
        </w:tc>
      </w:tr>
    </w:tbl>
    <w:p w14:paraId="492B333B">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127B96F2">
      <w:pPr>
        <w:jc w:val="center"/>
        <w:rPr>
          <w:rFonts w:ascii="宋体" w:hAnsi="宋体" w:cs="宋体"/>
          <w:b/>
          <w:color w:val="auto"/>
          <w:kern w:val="0"/>
          <w:sz w:val="32"/>
          <w:szCs w:val="32"/>
          <w:highlight w:val="none"/>
        </w:rPr>
      </w:pPr>
    </w:p>
    <w:p w14:paraId="0B10586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F9727C7">
      <w:pPr>
        <w:ind w:firstLine="1911" w:firstLineChars="595"/>
        <w:rPr>
          <w:rFonts w:ascii="宋体" w:hAnsi="宋体" w:cs="宋体"/>
          <w:b/>
          <w:bCs/>
          <w:color w:val="auto"/>
          <w:sz w:val="32"/>
          <w:szCs w:val="32"/>
          <w:highlight w:val="none"/>
        </w:rPr>
        <w:sectPr>
          <w:footerReference r:id="rId12" w:type="first"/>
          <w:footerReference r:id="rId11" w:type="default"/>
          <w:pgSz w:w="11905" w:h="16838"/>
          <w:pgMar w:top="1440" w:right="1440" w:bottom="1440" w:left="1440" w:header="851" w:footer="992" w:gutter="0"/>
          <w:pgBorders>
            <w:top w:val="none" w:sz="0" w:space="0"/>
            <w:left w:val="none" w:sz="0" w:space="0"/>
            <w:bottom w:val="none" w:sz="0" w:space="0"/>
            <w:right w:val="none" w:sz="0" w:space="0"/>
          </w:pgBorders>
          <w:cols w:space="0" w:num="1"/>
          <w:titlePg/>
          <w:rtlGutter w:val="0"/>
          <w:docGrid w:linePitch="312" w:charSpace="0"/>
        </w:sectPr>
      </w:pPr>
    </w:p>
    <w:p w14:paraId="32781E64">
      <w:pPr>
        <w:snapToGrid w:val="0"/>
        <w:jc w:val="center"/>
        <w:rPr>
          <w:rFonts w:hint="eastAsia" w:ascii="宋体" w:hAnsi="宋体" w:cs="宋体"/>
          <w:b/>
          <w:bCs/>
          <w:color w:val="auto"/>
          <w:sz w:val="32"/>
          <w:szCs w:val="32"/>
          <w:highlight w:val="none"/>
        </w:rPr>
      </w:pPr>
      <w:bookmarkStart w:id="1081" w:name="_Toc15852046"/>
      <w:r>
        <w:rPr>
          <w:rFonts w:hint="eastAsia" w:ascii="宋体" w:hAnsi="宋体" w:cs="宋体"/>
          <w:b/>
          <w:bCs/>
          <w:color w:val="auto"/>
          <w:sz w:val="32"/>
          <w:szCs w:val="32"/>
          <w:highlight w:val="none"/>
          <w:lang w:val="en-US" w:eastAsia="zh-CN"/>
        </w:rPr>
        <w:t>七、</w:t>
      </w:r>
      <w:r>
        <w:rPr>
          <w:rFonts w:hint="eastAsia" w:ascii="宋体" w:hAnsi="宋体" w:cs="宋体"/>
          <w:b/>
          <w:bCs/>
          <w:color w:val="auto"/>
          <w:sz w:val="32"/>
          <w:szCs w:val="32"/>
          <w:highlight w:val="none"/>
        </w:rPr>
        <w:t>项目管理机构</w:t>
      </w:r>
      <w:bookmarkEnd w:id="1081"/>
    </w:p>
    <w:p w14:paraId="2D88B138">
      <w:pPr>
        <w:keepNext/>
        <w:keepLines/>
        <w:rPr>
          <w:rFonts w:hint="eastAsia" w:ascii="宋体" w:hAnsi="宋体" w:eastAsia="宋体" w:cs="宋体"/>
          <w:b/>
          <w:sz w:val="24"/>
          <w:szCs w:val="24"/>
          <w:highlight w:val="none"/>
        </w:rPr>
      </w:pPr>
      <w:r>
        <w:rPr>
          <w:rFonts w:hint="eastAsia" w:ascii="宋体" w:hAnsi="宋体" w:eastAsia="宋体" w:cs="宋体"/>
          <w:b/>
          <w:sz w:val="24"/>
          <w:szCs w:val="24"/>
          <w:highlight w:val="none"/>
        </w:rPr>
        <w:t>1）项目管理机构组成表</w:t>
      </w:r>
    </w:p>
    <w:p w14:paraId="4636BF11">
      <w:pPr>
        <w:keepNext/>
        <w:keepLines/>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项目管理机构组成表</w:t>
      </w:r>
    </w:p>
    <w:tbl>
      <w:tblPr>
        <w:tblStyle w:val="62"/>
        <w:tblW w:w="9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26"/>
        <w:gridCol w:w="889"/>
        <w:gridCol w:w="1451"/>
        <w:gridCol w:w="900"/>
        <w:gridCol w:w="1080"/>
        <w:gridCol w:w="1286"/>
        <w:gridCol w:w="1328"/>
        <w:gridCol w:w="1069"/>
      </w:tblGrid>
      <w:tr w14:paraId="5F1A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14" w:type="dxa"/>
            <w:vMerge w:val="restart"/>
            <w:vAlign w:val="center"/>
          </w:tcPr>
          <w:p w14:paraId="12E261D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职务</w:t>
            </w:r>
          </w:p>
        </w:tc>
        <w:tc>
          <w:tcPr>
            <w:tcW w:w="726" w:type="dxa"/>
            <w:vMerge w:val="restart"/>
            <w:vAlign w:val="center"/>
          </w:tcPr>
          <w:p w14:paraId="0F02FE7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889" w:type="dxa"/>
            <w:vMerge w:val="restart"/>
            <w:vAlign w:val="center"/>
          </w:tcPr>
          <w:p w14:paraId="451FE78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职称</w:t>
            </w:r>
          </w:p>
        </w:tc>
        <w:tc>
          <w:tcPr>
            <w:tcW w:w="6045" w:type="dxa"/>
            <w:gridSpan w:val="5"/>
            <w:vAlign w:val="center"/>
          </w:tcPr>
          <w:p w14:paraId="3DDBD6C9">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执业或职业资格证明</w:t>
            </w:r>
          </w:p>
        </w:tc>
        <w:tc>
          <w:tcPr>
            <w:tcW w:w="1069" w:type="dxa"/>
            <w:vMerge w:val="restart"/>
            <w:vAlign w:val="center"/>
          </w:tcPr>
          <w:p w14:paraId="18B41A1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043A5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14" w:type="dxa"/>
            <w:vMerge w:val="continue"/>
          </w:tcPr>
          <w:p w14:paraId="5DD823CB">
            <w:pPr>
              <w:spacing w:line="360" w:lineRule="auto"/>
              <w:rPr>
                <w:rFonts w:hint="eastAsia" w:ascii="宋体" w:hAnsi="宋体" w:eastAsia="宋体" w:cs="宋体"/>
                <w:sz w:val="24"/>
                <w:szCs w:val="24"/>
                <w:highlight w:val="none"/>
              </w:rPr>
            </w:pPr>
          </w:p>
        </w:tc>
        <w:tc>
          <w:tcPr>
            <w:tcW w:w="726" w:type="dxa"/>
            <w:vMerge w:val="continue"/>
          </w:tcPr>
          <w:p w14:paraId="3B5559B7">
            <w:pPr>
              <w:spacing w:line="360" w:lineRule="auto"/>
              <w:rPr>
                <w:rFonts w:hint="eastAsia" w:ascii="宋体" w:hAnsi="宋体" w:eastAsia="宋体" w:cs="宋体"/>
                <w:sz w:val="24"/>
                <w:szCs w:val="24"/>
                <w:highlight w:val="none"/>
              </w:rPr>
            </w:pPr>
          </w:p>
        </w:tc>
        <w:tc>
          <w:tcPr>
            <w:tcW w:w="889" w:type="dxa"/>
            <w:vMerge w:val="continue"/>
          </w:tcPr>
          <w:p w14:paraId="3CEDA558">
            <w:pPr>
              <w:spacing w:line="360" w:lineRule="auto"/>
              <w:rPr>
                <w:rFonts w:hint="eastAsia" w:ascii="宋体" w:hAnsi="宋体" w:eastAsia="宋体" w:cs="宋体"/>
                <w:sz w:val="24"/>
                <w:szCs w:val="24"/>
                <w:highlight w:val="none"/>
              </w:rPr>
            </w:pPr>
          </w:p>
        </w:tc>
        <w:tc>
          <w:tcPr>
            <w:tcW w:w="1451" w:type="dxa"/>
            <w:vAlign w:val="center"/>
          </w:tcPr>
          <w:p w14:paraId="651BA9C9">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证书名称</w:t>
            </w:r>
          </w:p>
        </w:tc>
        <w:tc>
          <w:tcPr>
            <w:tcW w:w="900" w:type="dxa"/>
            <w:vAlign w:val="center"/>
          </w:tcPr>
          <w:p w14:paraId="146092E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级别</w:t>
            </w:r>
          </w:p>
        </w:tc>
        <w:tc>
          <w:tcPr>
            <w:tcW w:w="1080" w:type="dxa"/>
            <w:vAlign w:val="center"/>
          </w:tcPr>
          <w:p w14:paraId="2AFAFF17">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证号</w:t>
            </w:r>
          </w:p>
        </w:tc>
        <w:tc>
          <w:tcPr>
            <w:tcW w:w="1286" w:type="dxa"/>
            <w:vAlign w:val="center"/>
          </w:tcPr>
          <w:p w14:paraId="7C1EE45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专业</w:t>
            </w:r>
          </w:p>
        </w:tc>
        <w:tc>
          <w:tcPr>
            <w:tcW w:w="1328" w:type="dxa"/>
            <w:vAlign w:val="center"/>
          </w:tcPr>
          <w:p w14:paraId="6FD8CA09">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养老保险</w:t>
            </w:r>
          </w:p>
        </w:tc>
        <w:tc>
          <w:tcPr>
            <w:tcW w:w="1069" w:type="dxa"/>
            <w:vMerge w:val="continue"/>
          </w:tcPr>
          <w:p w14:paraId="3B60E124">
            <w:pPr>
              <w:spacing w:line="360" w:lineRule="auto"/>
              <w:rPr>
                <w:rFonts w:hint="eastAsia" w:ascii="宋体" w:hAnsi="宋体" w:eastAsia="宋体" w:cs="宋体"/>
                <w:sz w:val="24"/>
                <w:szCs w:val="24"/>
                <w:highlight w:val="none"/>
              </w:rPr>
            </w:pPr>
          </w:p>
        </w:tc>
      </w:tr>
      <w:tr w14:paraId="62C89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tcPr>
          <w:p w14:paraId="19DFD05D">
            <w:pPr>
              <w:spacing w:line="360" w:lineRule="auto"/>
              <w:rPr>
                <w:rFonts w:hint="eastAsia" w:ascii="宋体" w:hAnsi="宋体" w:eastAsia="宋体" w:cs="宋体"/>
                <w:sz w:val="24"/>
                <w:szCs w:val="24"/>
                <w:highlight w:val="none"/>
              </w:rPr>
            </w:pPr>
          </w:p>
        </w:tc>
        <w:tc>
          <w:tcPr>
            <w:tcW w:w="726" w:type="dxa"/>
          </w:tcPr>
          <w:p w14:paraId="582AC37F">
            <w:pPr>
              <w:spacing w:line="360" w:lineRule="auto"/>
              <w:rPr>
                <w:rFonts w:hint="eastAsia" w:ascii="宋体" w:hAnsi="宋体" w:eastAsia="宋体" w:cs="宋体"/>
                <w:sz w:val="24"/>
                <w:szCs w:val="24"/>
                <w:highlight w:val="none"/>
              </w:rPr>
            </w:pPr>
          </w:p>
        </w:tc>
        <w:tc>
          <w:tcPr>
            <w:tcW w:w="889" w:type="dxa"/>
          </w:tcPr>
          <w:p w14:paraId="751A29D1">
            <w:pPr>
              <w:spacing w:line="360" w:lineRule="auto"/>
              <w:rPr>
                <w:rFonts w:hint="eastAsia" w:ascii="宋体" w:hAnsi="宋体" w:eastAsia="宋体" w:cs="宋体"/>
                <w:sz w:val="24"/>
                <w:szCs w:val="24"/>
                <w:highlight w:val="none"/>
              </w:rPr>
            </w:pPr>
          </w:p>
        </w:tc>
        <w:tc>
          <w:tcPr>
            <w:tcW w:w="1451" w:type="dxa"/>
          </w:tcPr>
          <w:p w14:paraId="4F3E209E">
            <w:pPr>
              <w:spacing w:line="360" w:lineRule="auto"/>
              <w:rPr>
                <w:rFonts w:hint="eastAsia" w:ascii="宋体" w:hAnsi="宋体" w:eastAsia="宋体" w:cs="宋体"/>
                <w:sz w:val="24"/>
                <w:szCs w:val="24"/>
                <w:highlight w:val="none"/>
              </w:rPr>
            </w:pPr>
          </w:p>
        </w:tc>
        <w:tc>
          <w:tcPr>
            <w:tcW w:w="900" w:type="dxa"/>
          </w:tcPr>
          <w:p w14:paraId="2F2CDAE2">
            <w:pPr>
              <w:spacing w:line="360" w:lineRule="auto"/>
              <w:rPr>
                <w:rFonts w:hint="eastAsia" w:ascii="宋体" w:hAnsi="宋体" w:eastAsia="宋体" w:cs="宋体"/>
                <w:sz w:val="24"/>
                <w:szCs w:val="24"/>
                <w:highlight w:val="none"/>
              </w:rPr>
            </w:pPr>
          </w:p>
        </w:tc>
        <w:tc>
          <w:tcPr>
            <w:tcW w:w="1080" w:type="dxa"/>
          </w:tcPr>
          <w:p w14:paraId="50D3B5C6">
            <w:pPr>
              <w:spacing w:line="360" w:lineRule="auto"/>
              <w:rPr>
                <w:rFonts w:hint="eastAsia" w:ascii="宋体" w:hAnsi="宋体" w:eastAsia="宋体" w:cs="宋体"/>
                <w:sz w:val="24"/>
                <w:szCs w:val="24"/>
                <w:highlight w:val="none"/>
              </w:rPr>
            </w:pPr>
          </w:p>
        </w:tc>
        <w:tc>
          <w:tcPr>
            <w:tcW w:w="1286" w:type="dxa"/>
          </w:tcPr>
          <w:p w14:paraId="1AB4BD7C">
            <w:pPr>
              <w:spacing w:line="360" w:lineRule="auto"/>
              <w:rPr>
                <w:rFonts w:hint="eastAsia" w:ascii="宋体" w:hAnsi="宋体" w:eastAsia="宋体" w:cs="宋体"/>
                <w:sz w:val="24"/>
                <w:szCs w:val="24"/>
                <w:highlight w:val="none"/>
              </w:rPr>
            </w:pPr>
          </w:p>
        </w:tc>
        <w:tc>
          <w:tcPr>
            <w:tcW w:w="1328" w:type="dxa"/>
          </w:tcPr>
          <w:p w14:paraId="43BD7EE5">
            <w:pPr>
              <w:spacing w:line="360" w:lineRule="auto"/>
              <w:ind w:firstLine="480" w:firstLineChars="200"/>
              <w:rPr>
                <w:rFonts w:hint="eastAsia" w:ascii="宋体" w:hAnsi="宋体" w:eastAsia="宋体" w:cs="宋体"/>
                <w:sz w:val="24"/>
                <w:szCs w:val="24"/>
                <w:highlight w:val="none"/>
              </w:rPr>
            </w:pPr>
          </w:p>
        </w:tc>
        <w:tc>
          <w:tcPr>
            <w:tcW w:w="1069" w:type="dxa"/>
          </w:tcPr>
          <w:p w14:paraId="49CB9EDC">
            <w:pPr>
              <w:spacing w:line="360" w:lineRule="auto"/>
              <w:rPr>
                <w:rFonts w:hint="eastAsia" w:ascii="宋体" w:hAnsi="宋体" w:eastAsia="宋体" w:cs="宋体"/>
                <w:sz w:val="24"/>
                <w:szCs w:val="24"/>
                <w:highlight w:val="none"/>
              </w:rPr>
            </w:pPr>
          </w:p>
        </w:tc>
      </w:tr>
      <w:tr w14:paraId="0686C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14" w:type="dxa"/>
          </w:tcPr>
          <w:p w14:paraId="1DCA78C0">
            <w:pPr>
              <w:spacing w:line="360" w:lineRule="auto"/>
              <w:rPr>
                <w:rFonts w:hint="eastAsia" w:ascii="宋体" w:hAnsi="宋体" w:eastAsia="宋体" w:cs="宋体"/>
                <w:sz w:val="24"/>
                <w:szCs w:val="24"/>
                <w:highlight w:val="none"/>
              </w:rPr>
            </w:pPr>
          </w:p>
        </w:tc>
        <w:tc>
          <w:tcPr>
            <w:tcW w:w="726" w:type="dxa"/>
          </w:tcPr>
          <w:p w14:paraId="3A9DEC26">
            <w:pPr>
              <w:spacing w:line="360" w:lineRule="auto"/>
              <w:rPr>
                <w:rFonts w:hint="eastAsia" w:ascii="宋体" w:hAnsi="宋体" w:eastAsia="宋体" w:cs="宋体"/>
                <w:sz w:val="24"/>
                <w:szCs w:val="24"/>
                <w:highlight w:val="none"/>
              </w:rPr>
            </w:pPr>
          </w:p>
        </w:tc>
        <w:tc>
          <w:tcPr>
            <w:tcW w:w="889" w:type="dxa"/>
          </w:tcPr>
          <w:p w14:paraId="44627667">
            <w:pPr>
              <w:spacing w:line="360" w:lineRule="auto"/>
              <w:rPr>
                <w:rFonts w:hint="eastAsia" w:ascii="宋体" w:hAnsi="宋体" w:eastAsia="宋体" w:cs="宋体"/>
                <w:sz w:val="24"/>
                <w:szCs w:val="24"/>
                <w:highlight w:val="none"/>
              </w:rPr>
            </w:pPr>
          </w:p>
        </w:tc>
        <w:tc>
          <w:tcPr>
            <w:tcW w:w="1451" w:type="dxa"/>
          </w:tcPr>
          <w:p w14:paraId="4EAB9CC9">
            <w:pPr>
              <w:spacing w:line="360" w:lineRule="auto"/>
              <w:rPr>
                <w:rFonts w:hint="eastAsia" w:ascii="宋体" w:hAnsi="宋体" w:eastAsia="宋体" w:cs="宋体"/>
                <w:sz w:val="24"/>
                <w:szCs w:val="24"/>
                <w:highlight w:val="none"/>
              </w:rPr>
            </w:pPr>
          </w:p>
        </w:tc>
        <w:tc>
          <w:tcPr>
            <w:tcW w:w="900" w:type="dxa"/>
          </w:tcPr>
          <w:p w14:paraId="60E99E12">
            <w:pPr>
              <w:spacing w:line="360" w:lineRule="auto"/>
              <w:rPr>
                <w:rFonts w:hint="eastAsia" w:ascii="宋体" w:hAnsi="宋体" w:eastAsia="宋体" w:cs="宋体"/>
                <w:sz w:val="24"/>
                <w:szCs w:val="24"/>
                <w:highlight w:val="none"/>
              </w:rPr>
            </w:pPr>
          </w:p>
        </w:tc>
        <w:tc>
          <w:tcPr>
            <w:tcW w:w="1080" w:type="dxa"/>
          </w:tcPr>
          <w:p w14:paraId="04405AA3">
            <w:pPr>
              <w:spacing w:line="360" w:lineRule="auto"/>
              <w:rPr>
                <w:rFonts w:hint="eastAsia" w:ascii="宋体" w:hAnsi="宋体" w:eastAsia="宋体" w:cs="宋体"/>
                <w:sz w:val="24"/>
                <w:szCs w:val="24"/>
                <w:highlight w:val="none"/>
              </w:rPr>
            </w:pPr>
          </w:p>
        </w:tc>
        <w:tc>
          <w:tcPr>
            <w:tcW w:w="1286" w:type="dxa"/>
          </w:tcPr>
          <w:p w14:paraId="0524BA64">
            <w:pPr>
              <w:spacing w:line="360" w:lineRule="auto"/>
              <w:rPr>
                <w:rFonts w:hint="eastAsia" w:ascii="宋体" w:hAnsi="宋体" w:eastAsia="宋体" w:cs="宋体"/>
                <w:sz w:val="24"/>
                <w:szCs w:val="24"/>
                <w:highlight w:val="none"/>
              </w:rPr>
            </w:pPr>
          </w:p>
        </w:tc>
        <w:tc>
          <w:tcPr>
            <w:tcW w:w="1328" w:type="dxa"/>
          </w:tcPr>
          <w:p w14:paraId="7104E090">
            <w:pPr>
              <w:spacing w:line="360" w:lineRule="auto"/>
              <w:rPr>
                <w:rFonts w:hint="eastAsia" w:ascii="宋体" w:hAnsi="宋体" w:eastAsia="宋体" w:cs="宋体"/>
                <w:sz w:val="24"/>
                <w:szCs w:val="24"/>
                <w:highlight w:val="none"/>
              </w:rPr>
            </w:pPr>
          </w:p>
        </w:tc>
        <w:tc>
          <w:tcPr>
            <w:tcW w:w="1069" w:type="dxa"/>
          </w:tcPr>
          <w:p w14:paraId="63094687">
            <w:pPr>
              <w:spacing w:line="360" w:lineRule="auto"/>
              <w:rPr>
                <w:rFonts w:hint="eastAsia" w:ascii="宋体" w:hAnsi="宋体" w:eastAsia="宋体" w:cs="宋体"/>
                <w:sz w:val="24"/>
                <w:szCs w:val="24"/>
                <w:highlight w:val="none"/>
              </w:rPr>
            </w:pPr>
          </w:p>
        </w:tc>
      </w:tr>
      <w:tr w14:paraId="608B6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tcPr>
          <w:p w14:paraId="2FAB9648">
            <w:pPr>
              <w:spacing w:line="360" w:lineRule="auto"/>
              <w:rPr>
                <w:rFonts w:hint="eastAsia" w:ascii="宋体" w:hAnsi="宋体" w:eastAsia="宋体" w:cs="宋体"/>
                <w:sz w:val="24"/>
                <w:szCs w:val="24"/>
                <w:highlight w:val="none"/>
              </w:rPr>
            </w:pPr>
          </w:p>
        </w:tc>
        <w:tc>
          <w:tcPr>
            <w:tcW w:w="726" w:type="dxa"/>
          </w:tcPr>
          <w:p w14:paraId="571D1ECE">
            <w:pPr>
              <w:spacing w:line="360" w:lineRule="auto"/>
              <w:rPr>
                <w:rFonts w:hint="eastAsia" w:ascii="宋体" w:hAnsi="宋体" w:eastAsia="宋体" w:cs="宋体"/>
                <w:sz w:val="24"/>
                <w:szCs w:val="24"/>
                <w:highlight w:val="none"/>
              </w:rPr>
            </w:pPr>
          </w:p>
        </w:tc>
        <w:tc>
          <w:tcPr>
            <w:tcW w:w="889" w:type="dxa"/>
          </w:tcPr>
          <w:p w14:paraId="5B0119A3">
            <w:pPr>
              <w:spacing w:line="360" w:lineRule="auto"/>
              <w:rPr>
                <w:rFonts w:hint="eastAsia" w:ascii="宋体" w:hAnsi="宋体" w:eastAsia="宋体" w:cs="宋体"/>
                <w:sz w:val="24"/>
                <w:szCs w:val="24"/>
                <w:highlight w:val="none"/>
              </w:rPr>
            </w:pPr>
          </w:p>
        </w:tc>
        <w:tc>
          <w:tcPr>
            <w:tcW w:w="1451" w:type="dxa"/>
          </w:tcPr>
          <w:p w14:paraId="399E2FBA">
            <w:pPr>
              <w:spacing w:line="360" w:lineRule="auto"/>
              <w:rPr>
                <w:rFonts w:hint="eastAsia" w:ascii="宋体" w:hAnsi="宋体" w:eastAsia="宋体" w:cs="宋体"/>
                <w:sz w:val="24"/>
                <w:szCs w:val="24"/>
                <w:highlight w:val="none"/>
              </w:rPr>
            </w:pPr>
          </w:p>
        </w:tc>
        <w:tc>
          <w:tcPr>
            <w:tcW w:w="900" w:type="dxa"/>
          </w:tcPr>
          <w:p w14:paraId="616A3B24">
            <w:pPr>
              <w:spacing w:line="360" w:lineRule="auto"/>
              <w:rPr>
                <w:rFonts w:hint="eastAsia" w:ascii="宋体" w:hAnsi="宋体" w:eastAsia="宋体" w:cs="宋体"/>
                <w:sz w:val="24"/>
                <w:szCs w:val="24"/>
                <w:highlight w:val="none"/>
              </w:rPr>
            </w:pPr>
          </w:p>
        </w:tc>
        <w:tc>
          <w:tcPr>
            <w:tcW w:w="1080" w:type="dxa"/>
          </w:tcPr>
          <w:p w14:paraId="05B21745">
            <w:pPr>
              <w:spacing w:line="360" w:lineRule="auto"/>
              <w:rPr>
                <w:rFonts w:hint="eastAsia" w:ascii="宋体" w:hAnsi="宋体" w:eastAsia="宋体" w:cs="宋体"/>
                <w:sz w:val="24"/>
                <w:szCs w:val="24"/>
                <w:highlight w:val="none"/>
              </w:rPr>
            </w:pPr>
          </w:p>
        </w:tc>
        <w:tc>
          <w:tcPr>
            <w:tcW w:w="1286" w:type="dxa"/>
          </w:tcPr>
          <w:p w14:paraId="5754B01E">
            <w:pPr>
              <w:spacing w:line="360" w:lineRule="auto"/>
              <w:rPr>
                <w:rFonts w:hint="eastAsia" w:ascii="宋体" w:hAnsi="宋体" w:eastAsia="宋体" w:cs="宋体"/>
                <w:sz w:val="24"/>
                <w:szCs w:val="24"/>
                <w:highlight w:val="none"/>
              </w:rPr>
            </w:pPr>
          </w:p>
        </w:tc>
        <w:tc>
          <w:tcPr>
            <w:tcW w:w="1328" w:type="dxa"/>
          </w:tcPr>
          <w:p w14:paraId="10DC2F6C">
            <w:pPr>
              <w:spacing w:line="360" w:lineRule="auto"/>
              <w:rPr>
                <w:rFonts w:hint="eastAsia" w:ascii="宋体" w:hAnsi="宋体" w:eastAsia="宋体" w:cs="宋体"/>
                <w:sz w:val="24"/>
                <w:szCs w:val="24"/>
                <w:highlight w:val="none"/>
              </w:rPr>
            </w:pPr>
          </w:p>
        </w:tc>
        <w:tc>
          <w:tcPr>
            <w:tcW w:w="1069" w:type="dxa"/>
          </w:tcPr>
          <w:p w14:paraId="1801A43B">
            <w:pPr>
              <w:spacing w:line="360" w:lineRule="auto"/>
              <w:rPr>
                <w:rFonts w:hint="eastAsia" w:ascii="宋体" w:hAnsi="宋体" w:eastAsia="宋体" w:cs="宋体"/>
                <w:sz w:val="24"/>
                <w:szCs w:val="24"/>
                <w:highlight w:val="none"/>
              </w:rPr>
            </w:pPr>
          </w:p>
        </w:tc>
      </w:tr>
      <w:tr w14:paraId="3DFAE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14" w:type="dxa"/>
          </w:tcPr>
          <w:p w14:paraId="239343AF">
            <w:pPr>
              <w:spacing w:line="360" w:lineRule="auto"/>
              <w:rPr>
                <w:rFonts w:hint="eastAsia" w:ascii="宋体" w:hAnsi="宋体" w:eastAsia="宋体" w:cs="宋体"/>
                <w:sz w:val="24"/>
                <w:szCs w:val="24"/>
                <w:highlight w:val="none"/>
              </w:rPr>
            </w:pPr>
          </w:p>
        </w:tc>
        <w:tc>
          <w:tcPr>
            <w:tcW w:w="726" w:type="dxa"/>
          </w:tcPr>
          <w:p w14:paraId="200D95BF">
            <w:pPr>
              <w:spacing w:line="360" w:lineRule="auto"/>
              <w:rPr>
                <w:rFonts w:hint="eastAsia" w:ascii="宋体" w:hAnsi="宋体" w:eastAsia="宋体" w:cs="宋体"/>
                <w:sz w:val="24"/>
                <w:szCs w:val="24"/>
                <w:highlight w:val="none"/>
              </w:rPr>
            </w:pPr>
          </w:p>
        </w:tc>
        <w:tc>
          <w:tcPr>
            <w:tcW w:w="889" w:type="dxa"/>
          </w:tcPr>
          <w:p w14:paraId="31461AA7">
            <w:pPr>
              <w:spacing w:line="360" w:lineRule="auto"/>
              <w:rPr>
                <w:rFonts w:hint="eastAsia" w:ascii="宋体" w:hAnsi="宋体" w:eastAsia="宋体" w:cs="宋体"/>
                <w:sz w:val="24"/>
                <w:szCs w:val="24"/>
                <w:highlight w:val="none"/>
              </w:rPr>
            </w:pPr>
          </w:p>
        </w:tc>
        <w:tc>
          <w:tcPr>
            <w:tcW w:w="1451" w:type="dxa"/>
          </w:tcPr>
          <w:p w14:paraId="540F8EED">
            <w:pPr>
              <w:spacing w:line="360" w:lineRule="auto"/>
              <w:rPr>
                <w:rFonts w:hint="eastAsia" w:ascii="宋体" w:hAnsi="宋体" w:eastAsia="宋体" w:cs="宋体"/>
                <w:sz w:val="24"/>
                <w:szCs w:val="24"/>
                <w:highlight w:val="none"/>
              </w:rPr>
            </w:pPr>
          </w:p>
        </w:tc>
        <w:tc>
          <w:tcPr>
            <w:tcW w:w="900" w:type="dxa"/>
          </w:tcPr>
          <w:p w14:paraId="6154D208">
            <w:pPr>
              <w:spacing w:line="360" w:lineRule="auto"/>
              <w:rPr>
                <w:rFonts w:hint="eastAsia" w:ascii="宋体" w:hAnsi="宋体" w:eastAsia="宋体" w:cs="宋体"/>
                <w:sz w:val="24"/>
                <w:szCs w:val="24"/>
                <w:highlight w:val="none"/>
              </w:rPr>
            </w:pPr>
          </w:p>
        </w:tc>
        <w:tc>
          <w:tcPr>
            <w:tcW w:w="1080" w:type="dxa"/>
          </w:tcPr>
          <w:p w14:paraId="03E690DB">
            <w:pPr>
              <w:spacing w:line="360" w:lineRule="auto"/>
              <w:rPr>
                <w:rFonts w:hint="eastAsia" w:ascii="宋体" w:hAnsi="宋体" w:eastAsia="宋体" w:cs="宋体"/>
                <w:sz w:val="24"/>
                <w:szCs w:val="24"/>
                <w:highlight w:val="none"/>
              </w:rPr>
            </w:pPr>
          </w:p>
        </w:tc>
        <w:tc>
          <w:tcPr>
            <w:tcW w:w="1286" w:type="dxa"/>
          </w:tcPr>
          <w:p w14:paraId="513553E1">
            <w:pPr>
              <w:spacing w:line="360" w:lineRule="auto"/>
              <w:rPr>
                <w:rFonts w:hint="eastAsia" w:ascii="宋体" w:hAnsi="宋体" w:eastAsia="宋体" w:cs="宋体"/>
                <w:sz w:val="24"/>
                <w:szCs w:val="24"/>
                <w:highlight w:val="none"/>
              </w:rPr>
            </w:pPr>
          </w:p>
        </w:tc>
        <w:tc>
          <w:tcPr>
            <w:tcW w:w="1328" w:type="dxa"/>
          </w:tcPr>
          <w:p w14:paraId="1063184C">
            <w:pPr>
              <w:spacing w:line="360" w:lineRule="auto"/>
              <w:rPr>
                <w:rFonts w:hint="eastAsia" w:ascii="宋体" w:hAnsi="宋体" w:eastAsia="宋体" w:cs="宋体"/>
                <w:sz w:val="24"/>
                <w:szCs w:val="24"/>
                <w:highlight w:val="none"/>
              </w:rPr>
            </w:pPr>
          </w:p>
        </w:tc>
        <w:tc>
          <w:tcPr>
            <w:tcW w:w="1069" w:type="dxa"/>
          </w:tcPr>
          <w:p w14:paraId="397063B4">
            <w:pPr>
              <w:spacing w:line="360" w:lineRule="auto"/>
              <w:rPr>
                <w:rFonts w:hint="eastAsia" w:ascii="宋体" w:hAnsi="宋体" w:eastAsia="宋体" w:cs="宋体"/>
                <w:sz w:val="24"/>
                <w:szCs w:val="24"/>
                <w:highlight w:val="none"/>
              </w:rPr>
            </w:pPr>
          </w:p>
        </w:tc>
      </w:tr>
      <w:tr w14:paraId="3928E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tcPr>
          <w:p w14:paraId="437506CD">
            <w:pPr>
              <w:spacing w:line="360" w:lineRule="auto"/>
              <w:rPr>
                <w:rFonts w:hint="eastAsia" w:ascii="宋体" w:hAnsi="宋体" w:eastAsia="宋体" w:cs="宋体"/>
                <w:sz w:val="24"/>
                <w:szCs w:val="24"/>
                <w:highlight w:val="none"/>
              </w:rPr>
            </w:pPr>
          </w:p>
        </w:tc>
        <w:tc>
          <w:tcPr>
            <w:tcW w:w="726" w:type="dxa"/>
          </w:tcPr>
          <w:p w14:paraId="5DD8D794">
            <w:pPr>
              <w:spacing w:line="360" w:lineRule="auto"/>
              <w:rPr>
                <w:rFonts w:hint="eastAsia" w:ascii="宋体" w:hAnsi="宋体" w:eastAsia="宋体" w:cs="宋体"/>
                <w:sz w:val="24"/>
                <w:szCs w:val="24"/>
                <w:highlight w:val="none"/>
              </w:rPr>
            </w:pPr>
          </w:p>
        </w:tc>
        <w:tc>
          <w:tcPr>
            <w:tcW w:w="889" w:type="dxa"/>
          </w:tcPr>
          <w:p w14:paraId="7A42517A">
            <w:pPr>
              <w:spacing w:line="360" w:lineRule="auto"/>
              <w:rPr>
                <w:rFonts w:hint="eastAsia" w:ascii="宋体" w:hAnsi="宋体" w:eastAsia="宋体" w:cs="宋体"/>
                <w:sz w:val="24"/>
                <w:szCs w:val="24"/>
                <w:highlight w:val="none"/>
              </w:rPr>
            </w:pPr>
          </w:p>
        </w:tc>
        <w:tc>
          <w:tcPr>
            <w:tcW w:w="1451" w:type="dxa"/>
          </w:tcPr>
          <w:p w14:paraId="255B28CF">
            <w:pPr>
              <w:spacing w:line="360" w:lineRule="auto"/>
              <w:rPr>
                <w:rFonts w:hint="eastAsia" w:ascii="宋体" w:hAnsi="宋体" w:eastAsia="宋体" w:cs="宋体"/>
                <w:sz w:val="24"/>
                <w:szCs w:val="24"/>
                <w:highlight w:val="none"/>
              </w:rPr>
            </w:pPr>
          </w:p>
        </w:tc>
        <w:tc>
          <w:tcPr>
            <w:tcW w:w="900" w:type="dxa"/>
          </w:tcPr>
          <w:p w14:paraId="58C7B0E3">
            <w:pPr>
              <w:spacing w:line="360" w:lineRule="auto"/>
              <w:rPr>
                <w:rFonts w:hint="eastAsia" w:ascii="宋体" w:hAnsi="宋体" w:eastAsia="宋体" w:cs="宋体"/>
                <w:sz w:val="24"/>
                <w:szCs w:val="24"/>
                <w:highlight w:val="none"/>
              </w:rPr>
            </w:pPr>
          </w:p>
        </w:tc>
        <w:tc>
          <w:tcPr>
            <w:tcW w:w="1080" w:type="dxa"/>
          </w:tcPr>
          <w:p w14:paraId="6F7EDE2F">
            <w:pPr>
              <w:spacing w:line="360" w:lineRule="auto"/>
              <w:rPr>
                <w:rFonts w:hint="eastAsia" w:ascii="宋体" w:hAnsi="宋体" w:eastAsia="宋体" w:cs="宋体"/>
                <w:sz w:val="24"/>
                <w:szCs w:val="24"/>
                <w:highlight w:val="none"/>
              </w:rPr>
            </w:pPr>
          </w:p>
        </w:tc>
        <w:tc>
          <w:tcPr>
            <w:tcW w:w="1286" w:type="dxa"/>
          </w:tcPr>
          <w:p w14:paraId="337857C9">
            <w:pPr>
              <w:spacing w:line="360" w:lineRule="auto"/>
              <w:rPr>
                <w:rFonts w:hint="eastAsia" w:ascii="宋体" w:hAnsi="宋体" w:eastAsia="宋体" w:cs="宋体"/>
                <w:sz w:val="24"/>
                <w:szCs w:val="24"/>
                <w:highlight w:val="none"/>
              </w:rPr>
            </w:pPr>
          </w:p>
        </w:tc>
        <w:tc>
          <w:tcPr>
            <w:tcW w:w="1328" w:type="dxa"/>
          </w:tcPr>
          <w:p w14:paraId="31D84066">
            <w:pPr>
              <w:spacing w:line="360" w:lineRule="auto"/>
              <w:rPr>
                <w:rFonts w:hint="eastAsia" w:ascii="宋体" w:hAnsi="宋体" w:eastAsia="宋体" w:cs="宋体"/>
                <w:sz w:val="24"/>
                <w:szCs w:val="24"/>
                <w:highlight w:val="none"/>
              </w:rPr>
            </w:pPr>
          </w:p>
        </w:tc>
        <w:tc>
          <w:tcPr>
            <w:tcW w:w="1069" w:type="dxa"/>
          </w:tcPr>
          <w:p w14:paraId="15239685">
            <w:pPr>
              <w:spacing w:line="360" w:lineRule="auto"/>
              <w:rPr>
                <w:rFonts w:hint="eastAsia" w:ascii="宋体" w:hAnsi="宋体" w:eastAsia="宋体" w:cs="宋体"/>
                <w:sz w:val="24"/>
                <w:szCs w:val="24"/>
                <w:highlight w:val="none"/>
              </w:rPr>
            </w:pPr>
          </w:p>
        </w:tc>
      </w:tr>
      <w:tr w14:paraId="3E85F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14" w:type="dxa"/>
          </w:tcPr>
          <w:p w14:paraId="22E48D9B">
            <w:pPr>
              <w:spacing w:line="360" w:lineRule="auto"/>
              <w:rPr>
                <w:rFonts w:hint="eastAsia" w:ascii="宋体" w:hAnsi="宋体" w:eastAsia="宋体" w:cs="宋体"/>
                <w:sz w:val="24"/>
                <w:szCs w:val="24"/>
                <w:highlight w:val="none"/>
              </w:rPr>
            </w:pPr>
          </w:p>
        </w:tc>
        <w:tc>
          <w:tcPr>
            <w:tcW w:w="726" w:type="dxa"/>
          </w:tcPr>
          <w:p w14:paraId="08C4C7C1">
            <w:pPr>
              <w:spacing w:line="360" w:lineRule="auto"/>
              <w:rPr>
                <w:rFonts w:hint="eastAsia" w:ascii="宋体" w:hAnsi="宋体" w:eastAsia="宋体" w:cs="宋体"/>
                <w:sz w:val="24"/>
                <w:szCs w:val="24"/>
                <w:highlight w:val="none"/>
              </w:rPr>
            </w:pPr>
          </w:p>
        </w:tc>
        <w:tc>
          <w:tcPr>
            <w:tcW w:w="889" w:type="dxa"/>
          </w:tcPr>
          <w:p w14:paraId="56EAE2BF">
            <w:pPr>
              <w:spacing w:line="360" w:lineRule="auto"/>
              <w:rPr>
                <w:rFonts w:hint="eastAsia" w:ascii="宋体" w:hAnsi="宋体" w:eastAsia="宋体" w:cs="宋体"/>
                <w:sz w:val="24"/>
                <w:szCs w:val="24"/>
                <w:highlight w:val="none"/>
              </w:rPr>
            </w:pPr>
          </w:p>
        </w:tc>
        <w:tc>
          <w:tcPr>
            <w:tcW w:w="1451" w:type="dxa"/>
          </w:tcPr>
          <w:p w14:paraId="2E7ED3B8">
            <w:pPr>
              <w:spacing w:line="360" w:lineRule="auto"/>
              <w:rPr>
                <w:rFonts w:hint="eastAsia" w:ascii="宋体" w:hAnsi="宋体" w:eastAsia="宋体" w:cs="宋体"/>
                <w:sz w:val="24"/>
                <w:szCs w:val="24"/>
                <w:highlight w:val="none"/>
              </w:rPr>
            </w:pPr>
          </w:p>
        </w:tc>
        <w:tc>
          <w:tcPr>
            <w:tcW w:w="900" w:type="dxa"/>
          </w:tcPr>
          <w:p w14:paraId="305B976B">
            <w:pPr>
              <w:spacing w:line="360" w:lineRule="auto"/>
              <w:rPr>
                <w:rFonts w:hint="eastAsia" w:ascii="宋体" w:hAnsi="宋体" w:eastAsia="宋体" w:cs="宋体"/>
                <w:sz w:val="24"/>
                <w:szCs w:val="24"/>
                <w:highlight w:val="none"/>
              </w:rPr>
            </w:pPr>
          </w:p>
        </w:tc>
        <w:tc>
          <w:tcPr>
            <w:tcW w:w="1080" w:type="dxa"/>
          </w:tcPr>
          <w:p w14:paraId="72C6229A">
            <w:pPr>
              <w:spacing w:line="360" w:lineRule="auto"/>
              <w:rPr>
                <w:rFonts w:hint="eastAsia" w:ascii="宋体" w:hAnsi="宋体" w:eastAsia="宋体" w:cs="宋体"/>
                <w:sz w:val="24"/>
                <w:szCs w:val="24"/>
                <w:highlight w:val="none"/>
              </w:rPr>
            </w:pPr>
          </w:p>
        </w:tc>
        <w:tc>
          <w:tcPr>
            <w:tcW w:w="1286" w:type="dxa"/>
          </w:tcPr>
          <w:p w14:paraId="18D3D61A">
            <w:pPr>
              <w:spacing w:line="360" w:lineRule="auto"/>
              <w:rPr>
                <w:rFonts w:hint="eastAsia" w:ascii="宋体" w:hAnsi="宋体" w:eastAsia="宋体" w:cs="宋体"/>
                <w:sz w:val="24"/>
                <w:szCs w:val="24"/>
                <w:highlight w:val="none"/>
              </w:rPr>
            </w:pPr>
          </w:p>
        </w:tc>
        <w:tc>
          <w:tcPr>
            <w:tcW w:w="1328" w:type="dxa"/>
          </w:tcPr>
          <w:p w14:paraId="58C6A2E0">
            <w:pPr>
              <w:spacing w:line="360" w:lineRule="auto"/>
              <w:rPr>
                <w:rFonts w:hint="eastAsia" w:ascii="宋体" w:hAnsi="宋体" w:eastAsia="宋体" w:cs="宋体"/>
                <w:sz w:val="24"/>
                <w:szCs w:val="24"/>
                <w:highlight w:val="none"/>
              </w:rPr>
            </w:pPr>
          </w:p>
        </w:tc>
        <w:tc>
          <w:tcPr>
            <w:tcW w:w="1069" w:type="dxa"/>
          </w:tcPr>
          <w:p w14:paraId="5807615A">
            <w:pPr>
              <w:spacing w:line="360" w:lineRule="auto"/>
              <w:rPr>
                <w:rFonts w:hint="eastAsia" w:ascii="宋体" w:hAnsi="宋体" w:eastAsia="宋体" w:cs="宋体"/>
                <w:sz w:val="24"/>
                <w:szCs w:val="24"/>
                <w:highlight w:val="none"/>
              </w:rPr>
            </w:pPr>
          </w:p>
        </w:tc>
      </w:tr>
      <w:tr w14:paraId="0CDF3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tcPr>
          <w:p w14:paraId="626F64A3">
            <w:pPr>
              <w:spacing w:line="360" w:lineRule="auto"/>
              <w:rPr>
                <w:rFonts w:hint="eastAsia" w:ascii="宋体" w:hAnsi="宋体" w:eastAsia="宋体" w:cs="宋体"/>
                <w:sz w:val="24"/>
                <w:szCs w:val="24"/>
                <w:highlight w:val="none"/>
              </w:rPr>
            </w:pPr>
          </w:p>
        </w:tc>
        <w:tc>
          <w:tcPr>
            <w:tcW w:w="726" w:type="dxa"/>
          </w:tcPr>
          <w:p w14:paraId="0D724CB0">
            <w:pPr>
              <w:spacing w:line="360" w:lineRule="auto"/>
              <w:rPr>
                <w:rFonts w:hint="eastAsia" w:ascii="宋体" w:hAnsi="宋体" w:eastAsia="宋体" w:cs="宋体"/>
                <w:sz w:val="24"/>
                <w:szCs w:val="24"/>
                <w:highlight w:val="none"/>
              </w:rPr>
            </w:pPr>
          </w:p>
        </w:tc>
        <w:tc>
          <w:tcPr>
            <w:tcW w:w="889" w:type="dxa"/>
          </w:tcPr>
          <w:p w14:paraId="7B044FD1">
            <w:pPr>
              <w:spacing w:line="360" w:lineRule="auto"/>
              <w:rPr>
                <w:rFonts w:hint="eastAsia" w:ascii="宋体" w:hAnsi="宋体" w:eastAsia="宋体" w:cs="宋体"/>
                <w:sz w:val="24"/>
                <w:szCs w:val="24"/>
                <w:highlight w:val="none"/>
              </w:rPr>
            </w:pPr>
          </w:p>
        </w:tc>
        <w:tc>
          <w:tcPr>
            <w:tcW w:w="1451" w:type="dxa"/>
          </w:tcPr>
          <w:p w14:paraId="70DECB21">
            <w:pPr>
              <w:spacing w:line="360" w:lineRule="auto"/>
              <w:rPr>
                <w:rFonts w:hint="eastAsia" w:ascii="宋体" w:hAnsi="宋体" w:eastAsia="宋体" w:cs="宋体"/>
                <w:sz w:val="24"/>
                <w:szCs w:val="24"/>
                <w:highlight w:val="none"/>
              </w:rPr>
            </w:pPr>
          </w:p>
        </w:tc>
        <w:tc>
          <w:tcPr>
            <w:tcW w:w="900" w:type="dxa"/>
          </w:tcPr>
          <w:p w14:paraId="1B67F511">
            <w:pPr>
              <w:spacing w:line="360" w:lineRule="auto"/>
              <w:rPr>
                <w:rFonts w:hint="eastAsia" w:ascii="宋体" w:hAnsi="宋体" w:eastAsia="宋体" w:cs="宋体"/>
                <w:sz w:val="24"/>
                <w:szCs w:val="24"/>
                <w:highlight w:val="none"/>
              </w:rPr>
            </w:pPr>
          </w:p>
        </w:tc>
        <w:tc>
          <w:tcPr>
            <w:tcW w:w="1080" w:type="dxa"/>
          </w:tcPr>
          <w:p w14:paraId="441C56D7">
            <w:pPr>
              <w:spacing w:line="360" w:lineRule="auto"/>
              <w:rPr>
                <w:rFonts w:hint="eastAsia" w:ascii="宋体" w:hAnsi="宋体" w:eastAsia="宋体" w:cs="宋体"/>
                <w:sz w:val="24"/>
                <w:szCs w:val="24"/>
                <w:highlight w:val="none"/>
              </w:rPr>
            </w:pPr>
          </w:p>
        </w:tc>
        <w:tc>
          <w:tcPr>
            <w:tcW w:w="1286" w:type="dxa"/>
          </w:tcPr>
          <w:p w14:paraId="3F4D97BE">
            <w:pPr>
              <w:spacing w:line="360" w:lineRule="auto"/>
              <w:rPr>
                <w:rFonts w:hint="eastAsia" w:ascii="宋体" w:hAnsi="宋体" w:eastAsia="宋体" w:cs="宋体"/>
                <w:sz w:val="24"/>
                <w:szCs w:val="24"/>
                <w:highlight w:val="none"/>
              </w:rPr>
            </w:pPr>
          </w:p>
        </w:tc>
        <w:tc>
          <w:tcPr>
            <w:tcW w:w="1328" w:type="dxa"/>
          </w:tcPr>
          <w:p w14:paraId="764E029E">
            <w:pPr>
              <w:spacing w:line="360" w:lineRule="auto"/>
              <w:rPr>
                <w:rFonts w:hint="eastAsia" w:ascii="宋体" w:hAnsi="宋体" w:eastAsia="宋体" w:cs="宋体"/>
                <w:sz w:val="24"/>
                <w:szCs w:val="24"/>
                <w:highlight w:val="none"/>
              </w:rPr>
            </w:pPr>
          </w:p>
        </w:tc>
        <w:tc>
          <w:tcPr>
            <w:tcW w:w="1069" w:type="dxa"/>
          </w:tcPr>
          <w:p w14:paraId="6BFA157F">
            <w:pPr>
              <w:spacing w:line="360" w:lineRule="auto"/>
              <w:rPr>
                <w:rFonts w:hint="eastAsia" w:ascii="宋体" w:hAnsi="宋体" w:eastAsia="宋体" w:cs="宋体"/>
                <w:sz w:val="24"/>
                <w:szCs w:val="24"/>
                <w:highlight w:val="none"/>
              </w:rPr>
            </w:pPr>
          </w:p>
        </w:tc>
      </w:tr>
      <w:tr w14:paraId="3B325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14" w:type="dxa"/>
          </w:tcPr>
          <w:p w14:paraId="2A03065A">
            <w:pPr>
              <w:spacing w:line="360" w:lineRule="auto"/>
              <w:rPr>
                <w:rFonts w:hint="eastAsia" w:ascii="宋体" w:hAnsi="宋体" w:eastAsia="宋体" w:cs="宋体"/>
                <w:sz w:val="24"/>
                <w:szCs w:val="24"/>
                <w:highlight w:val="none"/>
              </w:rPr>
            </w:pPr>
          </w:p>
        </w:tc>
        <w:tc>
          <w:tcPr>
            <w:tcW w:w="726" w:type="dxa"/>
          </w:tcPr>
          <w:p w14:paraId="0B118F9D">
            <w:pPr>
              <w:spacing w:line="360" w:lineRule="auto"/>
              <w:rPr>
                <w:rFonts w:hint="eastAsia" w:ascii="宋体" w:hAnsi="宋体" w:eastAsia="宋体" w:cs="宋体"/>
                <w:sz w:val="24"/>
                <w:szCs w:val="24"/>
                <w:highlight w:val="none"/>
              </w:rPr>
            </w:pPr>
          </w:p>
        </w:tc>
        <w:tc>
          <w:tcPr>
            <w:tcW w:w="889" w:type="dxa"/>
          </w:tcPr>
          <w:p w14:paraId="383DA285">
            <w:pPr>
              <w:spacing w:line="360" w:lineRule="auto"/>
              <w:rPr>
                <w:rFonts w:hint="eastAsia" w:ascii="宋体" w:hAnsi="宋体" w:eastAsia="宋体" w:cs="宋体"/>
                <w:sz w:val="24"/>
                <w:szCs w:val="24"/>
                <w:highlight w:val="none"/>
              </w:rPr>
            </w:pPr>
          </w:p>
        </w:tc>
        <w:tc>
          <w:tcPr>
            <w:tcW w:w="1451" w:type="dxa"/>
          </w:tcPr>
          <w:p w14:paraId="69FA2415">
            <w:pPr>
              <w:spacing w:line="360" w:lineRule="auto"/>
              <w:rPr>
                <w:rFonts w:hint="eastAsia" w:ascii="宋体" w:hAnsi="宋体" w:eastAsia="宋体" w:cs="宋体"/>
                <w:sz w:val="24"/>
                <w:szCs w:val="24"/>
                <w:highlight w:val="none"/>
              </w:rPr>
            </w:pPr>
          </w:p>
        </w:tc>
        <w:tc>
          <w:tcPr>
            <w:tcW w:w="900" w:type="dxa"/>
          </w:tcPr>
          <w:p w14:paraId="7C44492F">
            <w:pPr>
              <w:spacing w:line="360" w:lineRule="auto"/>
              <w:rPr>
                <w:rFonts w:hint="eastAsia" w:ascii="宋体" w:hAnsi="宋体" w:eastAsia="宋体" w:cs="宋体"/>
                <w:sz w:val="24"/>
                <w:szCs w:val="24"/>
                <w:highlight w:val="none"/>
              </w:rPr>
            </w:pPr>
          </w:p>
        </w:tc>
        <w:tc>
          <w:tcPr>
            <w:tcW w:w="1080" w:type="dxa"/>
          </w:tcPr>
          <w:p w14:paraId="639517AA">
            <w:pPr>
              <w:spacing w:line="360" w:lineRule="auto"/>
              <w:rPr>
                <w:rFonts w:hint="eastAsia" w:ascii="宋体" w:hAnsi="宋体" w:eastAsia="宋体" w:cs="宋体"/>
                <w:sz w:val="24"/>
                <w:szCs w:val="24"/>
                <w:highlight w:val="none"/>
              </w:rPr>
            </w:pPr>
          </w:p>
        </w:tc>
        <w:tc>
          <w:tcPr>
            <w:tcW w:w="1286" w:type="dxa"/>
          </w:tcPr>
          <w:p w14:paraId="712A3CD7">
            <w:pPr>
              <w:spacing w:line="360" w:lineRule="auto"/>
              <w:rPr>
                <w:rFonts w:hint="eastAsia" w:ascii="宋体" w:hAnsi="宋体" w:eastAsia="宋体" w:cs="宋体"/>
                <w:sz w:val="24"/>
                <w:szCs w:val="24"/>
                <w:highlight w:val="none"/>
              </w:rPr>
            </w:pPr>
          </w:p>
        </w:tc>
        <w:tc>
          <w:tcPr>
            <w:tcW w:w="1328" w:type="dxa"/>
          </w:tcPr>
          <w:p w14:paraId="4B6911B4">
            <w:pPr>
              <w:spacing w:line="360" w:lineRule="auto"/>
              <w:rPr>
                <w:rFonts w:hint="eastAsia" w:ascii="宋体" w:hAnsi="宋体" w:eastAsia="宋体" w:cs="宋体"/>
                <w:sz w:val="24"/>
                <w:szCs w:val="24"/>
                <w:highlight w:val="none"/>
              </w:rPr>
            </w:pPr>
          </w:p>
        </w:tc>
        <w:tc>
          <w:tcPr>
            <w:tcW w:w="1069" w:type="dxa"/>
          </w:tcPr>
          <w:p w14:paraId="50CC386E">
            <w:pPr>
              <w:spacing w:line="360" w:lineRule="auto"/>
              <w:rPr>
                <w:rFonts w:hint="eastAsia" w:ascii="宋体" w:hAnsi="宋体" w:eastAsia="宋体" w:cs="宋体"/>
                <w:sz w:val="24"/>
                <w:szCs w:val="24"/>
                <w:highlight w:val="none"/>
              </w:rPr>
            </w:pPr>
          </w:p>
        </w:tc>
      </w:tr>
    </w:tbl>
    <w:p w14:paraId="746A838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349C25F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1.本表应包括项目经理、项目技术负责人、施工员、质量员、安全员等关键岗位人员。</w:t>
      </w:r>
    </w:p>
    <w:p w14:paraId="4D24746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2.参与评审及实施的人员由供应商在响应文件中提供供应商在响应截止时间当月或前三个月内任意一个月为该人员交纳社保的证明材料，社保证明必须是社保机构出具，可以是政务系统下载文件的复制件。</w:t>
      </w:r>
    </w:p>
    <w:p w14:paraId="5A3443A8">
      <w:pPr>
        <w:pStyle w:val="80"/>
        <w:rPr>
          <w:rFonts w:hint="eastAsia" w:ascii="宋体" w:hAnsi="宋体" w:eastAsia="宋体" w:cs="宋体"/>
          <w:sz w:val="24"/>
          <w:szCs w:val="24"/>
          <w:highlight w:val="none"/>
        </w:rPr>
        <w:sectPr>
          <w:headerReference r:id="rId13" w:type="default"/>
          <w:footerReference r:id="rId14" w:type="default"/>
          <w:pgSz w:w="11907" w:h="16840"/>
          <w:pgMar w:top="1440" w:right="1701" w:bottom="1440" w:left="1701" w:header="720" w:footer="720" w:gutter="0"/>
          <w:cols w:space="720" w:num="1"/>
          <w:docGrid w:type="lines" w:linePitch="285" w:charSpace="0"/>
        </w:sectPr>
      </w:pPr>
    </w:p>
    <w:p w14:paraId="3F5005E0">
      <w:pPr>
        <w:keepNext/>
        <w:keepLines/>
        <w:rPr>
          <w:rFonts w:hint="eastAsia" w:ascii="宋体" w:hAnsi="宋体" w:eastAsia="宋体" w:cs="宋体"/>
          <w:b/>
          <w:sz w:val="24"/>
          <w:szCs w:val="24"/>
          <w:highlight w:val="none"/>
        </w:rPr>
      </w:pPr>
      <w:r>
        <w:rPr>
          <w:rFonts w:hint="eastAsia" w:ascii="宋体" w:hAnsi="宋体" w:eastAsia="宋体" w:cs="宋体"/>
          <w:b/>
          <w:sz w:val="24"/>
          <w:szCs w:val="24"/>
          <w:highlight w:val="none"/>
        </w:rPr>
        <w:t>2）主要人员简历表</w:t>
      </w:r>
    </w:p>
    <w:p w14:paraId="69812CA5">
      <w:pPr>
        <w:keepNext/>
        <w:keepLines/>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主要人员简历表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55"/>
        <w:gridCol w:w="1625"/>
        <w:gridCol w:w="1080"/>
        <w:gridCol w:w="900"/>
        <w:gridCol w:w="540"/>
        <w:gridCol w:w="1252"/>
        <w:gridCol w:w="728"/>
        <w:gridCol w:w="1789"/>
      </w:tblGrid>
      <w:tr w14:paraId="77287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15" w:type="dxa"/>
            <w:gridSpan w:val="2"/>
            <w:vAlign w:val="center"/>
          </w:tcPr>
          <w:p w14:paraId="01D26C7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1625" w:type="dxa"/>
            <w:vAlign w:val="center"/>
          </w:tcPr>
          <w:p w14:paraId="3FC50086">
            <w:pPr>
              <w:rPr>
                <w:rFonts w:hint="eastAsia" w:ascii="宋体" w:hAnsi="宋体" w:eastAsia="宋体" w:cs="宋体"/>
                <w:sz w:val="24"/>
                <w:szCs w:val="24"/>
                <w:highlight w:val="none"/>
              </w:rPr>
            </w:pPr>
          </w:p>
        </w:tc>
        <w:tc>
          <w:tcPr>
            <w:tcW w:w="1080" w:type="dxa"/>
            <w:vAlign w:val="center"/>
          </w:tcPr>
          <w:p w14:paraId="64D57EF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年龄</w:t>
            </w:r>
          </w:p>
        </w:tc>
        <w:tc>
          <w:tcPr>
            <w:tcW w:w="1440" w:type="dxa"/>
            <w:gridSpan w:val="2"/>
            <w:vAlign w:val="center"/>
          </w:tcPr>
          <w:p w14:paraId="396FF89E">
            <w:pPr>
              <w:rPr>
                <w:rFonts w:hint="eastAsia" w:ascii="宋体" w:hAnsi="宋体" w:eastAsia="宋体" w:cs="宋体"/>
                <w:sz w:val="24"/>
                <w:szCs w:val="24"/>
                <w:highlight w:val="none"/>
              </w:rPr>
            </w:pPr>
          </w:p>
        </w:tc>
        <w:tc>
          <w:tcPr>
            <w:tcW w:w="1980" w:type="dxa"/>
            <w:gridSpan w:val="2"/>
            <w:vAlign w:val="center"/>
          </w:tcPr>
          <w:p w14:paraId="7B806B5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学          历</w:t>
            </w:r>
          </w:p>
        </w:tc>
        <w:tc>
          <w:tcPr>
            <w:tcW w:w="1789" w:type="dxa"/>
            <w:vAlign w:val="center"/>
          </w:tcPr>
          <w:p w14:paraId="36CE3674">
            <w:pPr>
              <w:rPr>
                <w:rFonts w:hint="eastAsia" w:ascii="宋体" w:hAnsi="宋体" w:eastAsia="宋体" w:cs="宋体"/>
                <w:sz w:val="24"/>
                <w:szCs w:val="24"/>
                <w:highlight w:val="none"/>
              </w:rPr>
            </w:pPr>
          </w:p>
        </w:tc>
      </w:tr>
      <w:tr w14:paraId="4C6B0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615" w:type="dxa"/>
            <w:gridSpan w:val="2"/>
            <w:vAlign w:val="center"/>
          </w:tcPr>
          <w:p w14:paraId="0DE9445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职称</w:t>
            </w:r>
          </w:p>
        </w:tc>
        <w:tc>
          <w:tcPr>
            <w:tcW w:w="1625" w:type="dxa"/>
            <w:vAlign w:val="center"/>
          </w:tcPr>
          <w:p w14:paraId="5331CB04">
            <w:pPr>
              <w:rPr>
                <w:rFonts w:hint="eastAsia" w:ascii="宋体" w:hAnsi="宋体" w:eastAsia="宋体" w:cs="宋体"/>
                <w:sz w:val="24"/>
                <w:szCs w:val="24"/>
                <w:highlight w:val="none"/>
              </w:rPr>
            </w:pPr>
          </w:p>
        </w:tc>
        <w:tc>
          <w:tcPr>
            <w:tcW w:w="1080" w:type="dxa"/>
            <w:vAlign w:val="center"/>
          </w:tcPr>
          <w:p w14:paraId="56191F2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职务</w:t>
            </w:r>
          </w:p>
        </w:tc>
        <w:tc>
          <w:tcPr>
            <w:tcW w:w="1440" w:type="dxa"/>
            <w:gridSpan w:val="2"/>
            <w:vAlign w:val="center"/>
          </w:tcPr>
          <w:p w14:paraId="0937D697">
            <w:pPr>
              <w:rPr>
                <w:rFonts w:hint="eastAsia" w:ascii="宋体" w:hAnsi="宋体" w:eastAsia="宋体" w:cs="宋体"/>
                <w:sz w:val="24"/>
                <w:szCs w:val="24"/>
                <w:highlight w:val="none"/>
              </w:rPr>
            </w:pPr>
          </w:p>
        </w:tc>
        <w:tc>
          <w:tcPr>
            <w:tcW w:w="1980" w:type="dxa"/>
            <w:gridSpan w:val="2"/>
            <w:vAlign w:val="center"/>
          </w:tcPr>
          <w:p w14:paraId="1DB0CEC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拟在本合同任职</w:t>
            </w:r>
          </w:p>
        </w:tc>
        <w:tc>
          <w:tcPr>
            <w:tcW w:w="1789" w:type="dxa"/>
            <w:vAlign w:val="center"/>
          </w:tcPr>
          <w:p w14:paraId="3EFC31CC">
            <w:pPr>
              <w:rPr>
                <w:rFonts w:hint="eastAsia" w:ascii="宋体" w:hAnsi="宋体" w:eastAsia="宋体" w:cs="宋体"/>
                <w:sz w:val="24"/>
                <w:szCs w:val="24"/>
                <w:highlight w:val="none"/>
              </w:rPr>
            </w:pPr>
          </w:p>
        </w:tc>
      </w:tr>
      <w:tr w14:paraId="7DEC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15" w:type="dxa"/>
            <w:gridSpan w:val="2"/>
            <w:vAlign w:val="center"/>
          </w:tcPr>
          <w:p w14:paraId="4E48BEB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毕业学校</w:t>
            </w:r>
          </w:p>
        </w:tc>
        <w:tc>
          <w:tcPr>
            <w:tcW w:w="7914" w:type="dxa"/>
            <w:gridSpan w:val="7"/>
            <w:vAlign w:val="center"/>
          </w:tcPr>
          <w:p w14:paraId="316A38A7">
            <w:pPr>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年毕业于                 学校         专业</w:t>
            </w:r>
          </w:p>
        </w:tc>
      </w:tr>
      <w:tr w14:paraId="3EE85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529" w:type="dxa"/>
            <w:gridSpan w:val="9"/>
            <w:vAlign w:val="center"/>
          </w:tcPr>
          <w:p w14:paraId="02F6C667">
            <w:pPr>
              <w:rPr>
                <w:rFonts w:hint="eastAsia" w:ascii="宋体" w:hAnsi="宋体" w:eastAsia="宋体" w:cs="宋体"/>
                <w:sz w:val="24"/>
                <w:szCs w:val="24"/>
                <w:highlight w:val="none"/>
              </w:rPr>
            </w:pPr>
            <w:r>
              <w:rPr>
                <w:rFonts w:hint="eastAsia" w:ascii="宋体" w:hAnsi="宋体" w:eastAsia="宋体" w:cs="宋体"/>
                <w:sz w:val="24"/>
                <w:szCs w:val="24"/>
                <w:highlight w:val="none"/>
              </w:rPr>
              <w:t>主要工作经历</w:t>
            </w:r>
          </w:p>
        </w:tc>
      </w:tr>
      <w:tr w14:paraId="3DA83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60" w:type="dxa"/>
            <w:vAlign w:val="center"/>
          </w:tcPr>
          <w:p w14:paraId="1CF94E1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时间</w:t>
            </w:r>
          </w:p>
        </w:tc>
        <w:tc>
          <w:tcPr>
            <w:tcW w:w="3960" w:type="dxa"/>
            <w:gridSpan w:val="4"/>
            <w:vAlign w:val="center"/>
          </w:tcPr>
          <w:p w14:paraId="549026D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参加过的类似项目</w:t>
            </w:r>
          </w:p>
        </w:tc>
        <w:tc>
          <w:tcPr>
            <w:tcW w:w="1792" w:type="dxa"/>
            <w:gridSpan w:val="2"/>
            <w:vAlign w:val="center"/>
          </w:tcPr>
          <w:p w14:paraId="6D5C817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担任职务</w:t>
            </w:r>
          </w:p>
        </w:tc>
        <w:tc>
          <w:tcPr>
            <w:tcW w:w="2517" w:type="dxa"/>
            <w:gridSpan w:val="2"/>
            <w:vAlign w:val="center"/>
          </w:tcPr>
          <w:p w14:paraId="7E06A17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发包人及联系电话</w:t>
            </w:r>
          </w:p>
        </w:tc>
      </w:tr>
      <w:tr w14:paraId="3DBC5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60" w:type="dxa"/>
            <w:vAlign w:val="center"/>
          </w:tcPr>
          <w:p w14:paraId="1E674136">
            <w:pPr>
              <w:rPr>
                <w:rFonts w:hint="eastAsia" w:ascii="宋体" w:hAnsi="宋体" w:eastAsia="宋体" w:cs="宋体"/>
                <w:sz w:val="24"/>
                <w:szCs w:val="24"/>
                <w:highlight w:val="none"/>
              </w:rPr>
            </w:pPr>
          </w:p>
        </w:tc>
        <w:tc>
          <w:tcPr>
            <w:tcW w:w="3960" w:type="dxa"/>
            <w:gridSpan w:val="4"/>
            <w:vAlign w:val="center"/>
          </w:tcPr>
          <w:p w14:paraId="45110E38">
            <w:pPr>
              <w:rPr>
                <w:rFonts w:hint="eastAsia" w:ascii="宋体" w:hAnsi="宋体" w:eastAsia="宋体" w:cs="宋体"/>
                <w:sz w:val="24"/>
                <w:szCs w:val="24"/>
                <w:highlight w:val="none"/>
              </w:rPr>
            </w:pPr>
          </w:p>
        </w:tc>
        <w:tc>
          <w:tcPr>
            <w:tcW w:w="1792" w:type="dxa"/>
            <w:gridSpan w:val="2"/>
            <w:vAlign w:val="center"/>
          </w:tcPr>
          <w:p w14:paraId="3886237E">
            <w:pPr>
              <w:rPr>
                <w:rFonts w:hint="eastAsia" w:ascii="宋体" w:hAnsi="宋体" w:eastAsia="宋体" w:cs="宋体"/>
                <w:sz w:val="24"/>
                <w:szCs w:val="24"/>
                <w:highlight w:val="none"/>
              </w:rPr>
            </w:pPr>
          </w:p>
        </w:tc>
        <w:tc>
          <w:tcPr>
            <w:tcW w:w="2517" w:type="dxa"/>
            <w:gridSpan w:val="2"/>
            <w:vAlign w:val="center"/>
          </w:tcPr>
          <w:p w14:paraId="0405B35E">
            <w:pPr>
              <w:rPr>
                <w:rFonts w:hint="eastAsia" w:ascii="宋体" w:hAnsi="宋体" w:eastAsia="宋体" w:cs="宋体"/>
                <w:sz w:val="24"/>
                <w:szCs w:val="24"/>
                <w:highlight w:val="none"/>
              </w:rPr>
            </w:pPr>
          </w:p>
        </w:tc>
      </w:tr>
      <w:tr w14:paraId="57FF6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60" w:type="dxa"/>
            <w:vAlign w:val="center"/>
          </w:tcPr>
          <w:p w14:paraId="0D61878A">
            <w:pPr>
              <w:rPr>
                <w:rFonts w:hint="eastAsia" w:ascii="宋体" w:hAnsi="宋体" w:eastAsia="宋体" w:cs="宋体"/>
                <w:sz w:val="24"/>
                <w:szCs w:val="24"/>
                <w:highlight w:val="none"/>
              </w:rPr>
            </w:pPr>
          </w:p>
        </w:tc>
        <w:tc>
          <w:tcPr>
            <w:tcW w:w="3960" w:type="dxa"/>
            <w:gridSpan w:val="4"/>
            <w:vAlign w:val="center"/>
          </w:tcPr>
          <w:p w14:paraId="0D5E3745">
            <w:pPr>
              <w:rPr>
                <w:rFonts w:hint="eastAsia" w:ascii="宋体" w:hAnsi="宋体" w:eastAsia="宋体" w:cs="宋体"/>
                <w:sz w:val="24"/>
                <w:szCs w:val="24"/>
                <w:highlight w:val="none"/>
              </w:rPr>
            </w:pPr>
          </w:p>
        </w:tc>
        <w:tc>
          <w:tcPr>
            <w:tcW w:w="1792" w:type="dxa"/>
            <w:gridSpan w:val="2"/>
            <w:vAlign w:val="center"/>
          </w:tcPr>
          <w:p w14:paraId="040074AE">
            <w:pPr>
              <w:rPr>
                <w:rFonts w:hint="eastAsia" w:ascii="宋体" w:hAnsi="宋体" w:eastAsia="宋体" w:cs="宋体"/>
                <w:sz w:val="24"/>
                <w:szCs w:val="24"/>
                <w:highlight w:val="none"/>
              </w:rPr>
            </w:pPr>
          </w:p>
        </w:tc>
        <w:tc>
          <w:tcPr>
            <w:tcW w:w="2517" w:type="dxa"/>
            <w:gridSpan w:val="2"/>
            <w:vAlign w:val="center"/>
          </w:tcPr>
          <w:p w14:paraId="510B75F5">
            <w:pPr>
              <w:rPr>
                <w:rFonts w:hint="eastAsia" w:ascii="宋体" w:hAnsi="宋体" w:eastAsia="宋体" w:cs="宋体"/>
                <w:sz w:val="24"/>
                <w:szCs w:val="24"/>
                <w:highlight w:val="none"/>
              </w:rPr>
            </w:pPr>
          </w:p>
        </w:tc>
      </w:tr>
      <w:tr w14:paraId="08C25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260" w:type="dxa"/>
            <w:vAlign w:val="center"/>
          </w:tcPr>
          <w:p w14:paraId="1765744F">
            <w:pPr>
              <w:rPr>
                <w:rFonts w:hint="eastAsia" w:ascii="宋体" w:hAnsi="宋体" w:eastAsia="宋体" w:cs="宋体"/>
                <w:sz w:val="24"/>
                <w:szCs w:val="24"/>
                <w:highlight w:val="none"/>
              </w:rPr>
            </w:pPr>
          </w:p>
        </w:tc>
        <w:tc>
          <w:tcPr>
            <w:tcW w:w="3960" w:type="dxa"/>
            <w:gridSpan w:val="4"/>
            <w:vAlign w:val="center"/>
          </w:tcPr>
          <w:p w14:paraId="0927A510">
            <w:pPr>
              <w:rPr>
                <w:rFonts w:hint="eastAsia" w:ascii="宋体" w:hAnsi="宋体" w:eastAsia="宋体" w:cs="宋体"/>
                <w:sz w:val="24"/>
                <w:szCs w:val="24"/>
                <w:highlight w:val="none"/>
              </w:rPr>
            </w:pPr>
          </w:p>
        </w:tc>
        <w:tc>
          <w:tcPr>
            <w:tcW w:w="1792" w:type="dxa"/>
            <w:gridSpan w:val="2"/>
            <w:vAlign w:val="center"/>
          </w:tcPr>
          <w:p w14:paraId="019163CF">
            <w:pPr>
              <w:rPr>
                <w:rFonts w:hint="eastAsia" w:ascii="宋体" w:hAnsi="宋体" w:eastAsia="宋体" w:cs="宋体"/>
                <w:sz w:val="24"/>
                <w:szCs w:val="24"/>
                <w:highlight w:val="none"/>
              </w:rPr>
            </w:pPr>
          </w:p>
        </w:tc>
        <w:tc>
          <w:tcPr>
            <w:tcW w:w="2517" w:type="dxa"/>
            <w:gridSpan w:val="2"/>
            <w:vAlign w:val="center"/>
          </w:tcPr>
          <w:p w14:paraId="0AAA944B">
            <w:pPr>
              <w:rPr>
                <w:rFonts w:hint="eastAsia" w:ascii="宋体" w:hAnsi="宋体" w:eastAsia="宋体" w:cs="宋体"/>
                <w:sz w:val="24"/>
                <w:szCs w:val="24"/>
                <w:highlight w:val="none"/>
              </w:rPr>
            </w:pPr>
          </w:p>
        </w:tc>
      </w:tr>
      <w:tr w14:paraId="206CD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260" w:type="dxa"/>
            <w:vAlign w:val="center"/>
          </w:tcPr>
          <w:p w14:paraId="0A3C3A40">
            <w:pPr>
              <w:rPr>
                <w:rFonts w:hint="eastAsia" w:ascii="宋体" w:hAnsi="宋体" w:eastAsia="宋体" w:cs="宋体"/>
                <w:sz w:val="24"/>
                <w:szCs w:val="24"/>
                <w:highlight w:val="none"/>
              </w:rPr>
            </w:pPr>
          </w:p>
        </w:tc>
        <w:tc>
          <w:tcPr>
            <w:tcW w:w="3960" w:type="dxa"/>
            <w:gridSpan w:val="4"/>
            <w:vAlign w:val="center"/>
          </w:tcPr>
          <w:p w14:paraId="4E2E5B20">
            <w:pPr>
              <w:rPr>
                <w:rFonts w:hint="eastAsia" w:ascii="宋体" w:hAnsi="宋体" w:eastAsia="宋体" w:cs="宋体"/>
                <w:sz w:val="24"/>
                <w:szCs w:val="24"/>
                <w:highlight w:val="none"/>
              </w:rPr>
            </w:pPr>
          </w:p>
        </w:tc>
        <w:tc>
          <w:tcPr>
            <w:tcW w:w="1792" w:type="dxa"/>
            <w:gridSpan w:val="2"/>
            <w:vAlign w:val="center"/>
          </w:tcPr>
          <w:p w14:paraId="5D6DA0C9">
            <w:pPr>
              <w:rPr>
                <w:rFonts w:hint="eastAsia" w:ascii="宋体" w:hAnsi="宋体" w:eastAsia="宋体" w:cs="宋体"/>
                <w:sz w:val="24"/>
                <w:szCs w:val="24"/>
                <w:highlight w:val="none"/>
              </w:rPr>
            </w:pPr>
          </w:p>
        </w:tc>
        <w:tc>
          <w:tcPr>
            <w:tcW w:w="2517" w:type="dxa"/>
            <w:gridSpan w:val="2"/>
            <w:vAlign w:val="center"/>
          </w:tcPr>
          <w:p w14:paraId="2CC8C85B">
            <w:pPr>
              <w:rPr>
                <w:rFonts w:hint="eastAsia" w:ascii="宋体" w:hAnsi="宋体" w:eastAsia="宋体" w:cs="宋体"/>
                <w:sz w:val="24"/>
                <w:szCs w:val="24"/>
                <w:highlight w:val="none"/>
              </w:rPr>
            </w:pPr>
          </w:p>
        </w:tc>
      </w:tr>
      <w:tr w14:paraId="31249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60" w:type="dxa"/>
            <w:vAlign w:val="center"/>
          </w:tcPr>
          <w:p w14:paraId="3F351B9C">
            <w:pPr>
              <w:rPr>
                <w:rFonts w:hint="eastAsia" w:ascii="宋体" w:hAnsi="宋体" w:eastAsia="宋体" w:cs="宋体"/>
                <w:sz w:val="24"/>
                <w:szCs w:val="24"/>
                <w:highlight w:val="none"/>
              </w:rPr>
            </w:pPr>
          </w:p>
        </w:tc>
        <w:tc>
          <w:tcPr>
            <w:tcW w:w="3960" w:type="dxa"/>
            <w:gridSpan w:val="4"/>
            <w:vAlign w:val="center"/>
          </w:tcPr>
          <w:p w14:paraId="2FCEBAD1">
            <w:pPr>
              <w:rPr>
                <w:rFonts w:hint="eastAsia" w:ascii="宋体" w:hAnsi="宋体" w:eastAsia="宋体" w:cs="宋体"/>
                <w:sz w:val="24"/>
                <w:szCs w:val="24"/>
                <w:highlight w:val="none"/>
              </w:rPr>
            </w:pPr>
          </w:p>
        </w:tc>
        <w:tc>
          <w:tcPr>
            <w:tcW w:w="1792" w:type="dxa"/>
            <w:gridSpan w:val="2"/>
            <w:vAlign w:val="center"/>
          </w:tcPr>
          <w:p w14:paraId="00EDEA29">
            <w:pPr>
              <w:rPr>
                <w:rFonts w:hint="eastAsia" w:ascii="宋体" w:hAnsi="宋体" w:eastAsia="宋体" w:cs="宋体"/>
                <w:sz w:val="24"/>
                <w:szCs w:val="24"/>
                <w:highlight w:val="none"/>
              </w:rPr>
            </w:pPr>
          </w:p>
        </w:tc>
        <w:tc>
          <w:tcPr>
            <w:tcW w:w="2517" w:type="dxa"/>
            <w:gridSpan w:val="2"/>
            <w:vAlign w:val="center"/>
          </w:tcPr>
          <w:p w14:paraId="459008D5">
            <w:pPr>
              <w:rPr>
                <w:rFonts w:hint="eastAsia" w:ascii="宋体" w:hAnsi="宋体" w:eastAsia="宋体" w:cs="宋体"/>
                <w:sz w:val="24"/>
                <w:szCs w:val="24"/>
                <w:highlight w:val="none"/>
              </w:rPr>
            </w:pPr>
          </w:p>
        </w:tc>
      </w:tr>
      <w:tr w14:paraId="3F069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60" w:type="dxa"/>
            <w:vAlign w:val="center"/>
          </w:tcPr>
          <w:p w14:paraId="4FBDBCBF">
            <w:pPr>
              <w:rPr>
                <w:rFonts w:hint="eastAsia" w:ascii="宋体" w:hAnsi="宋体" w:eastAsia="宋体" w:cs="宋体"/>
                <w:sz w:val="24"/>
                <w:szCs w:val="24"/>
                <w:highlight w:val="none"/>
              </w:rPr>
            </w:pPr>
          </w:p>
        </w:tc>
        <w:tc>
          <w:tcPr>
            <w:tcW w:w="3960" w:type="dxa"/>
            <w:gridSpan w:val="4"/>
            <w:vAlign w:val="center"/>
          </w:tcPr>
          <w:p w14:paraId="60E5772E">
            <w:pPr>
              <w:rPr>
                <w:rFonts w:hint="eastAsia" w:ascii="宋体" w:hAnsi="宋体" w:eastAsia="宋体" w:cs="宋体"/>
                <w:sz w:val="24"/>
                <w:szCs w:val="24"/>
                <w:highlight w:val="none"/>
              </w:rPr>
            </w:pPr>
          </w:p>
        </w:tc>
        <w:tc>
          <w:tcPr>
            <w:tcW w:w="1792" w:type="dxa"/>
            <w:gridSpan w:val="2"/>
            <w:vAlign w:val="center"/>
          </w:tcPr>
          <w:p w14:paraId="5D916465">
            <w:pPr>
              <w:rPr>
                <w:rFonts w:hint="eastAsia" w:ascii="宋体" w:hAnsi="宋体" w:eastAsia="宋体" w:cs="宋体"/>
                <w:sz w:val="24"/>
                <w:szCs w:val="24"/>
                <w:highlight w:val="none"/>
              </w:rPr>
            </w:pPr>
          </w:p>
        </w:tc>
        <w:tc>
          <w:tcPr>
            <w:tcW w:w="2517" w:type="dxa"/>
            <w:gridSpan w:val="2"/>
            <w:vAlign w:val="center"/>
          </w:tcPr>
          <w:p w14:paraId="2533383B">
            <w:pPr>
              <w:rPr>
                <w:rFonts w:hint="eastAsia" w:ascii="宋体" w:hAnsi="宋体" w:eastAsia="宋体" w:cs="宋体"/>
                <w:sz w:val="24"/>
                <w:szCs w:val="24"/>
                <w:highlight w:val="none"/>
              </w:rPr>
            </w:pPr>
          </w:p>
        </w:tc>
      </w:tr>
      <w:tr w14:paraId="211A2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60" w:type="dxa"/>
            <w:vAlign w:val="center"/>
          </w:tcPr>
          <w:p w14:paraId="26573004">
            <w:pPr>
              <w:rPr>
                <w:rFonts w:hint="eastAsia" w:ascii="宋体" w:hAnsi="宋体" w:eastAsia="宋体" w:cs="宋体"/>
                <w:sz w:val="24"/>
                <w:szCs w:val="24"/>
                <w:highlight w:val="none"/>
              </w:rPr>
            </w:pPr>
          </w:p>
        </w:tc>
        <w:tc>
          <w:tcPr>
            <w:tcW w:w="3960" w:type="dxa"/>
            <w:gridSpan w:val="4"/>
            <w:vAlign w:val="center"/>
          </w:tcPr>
          <w:p w14:paraId="73F4F488">
            <w:pPr>
              <w:rPr>
                <w:rFonts w:hint="eastAsia" w:ascii="宋体" w:hAnsi="宋体" w:eastAsia="宋体" w:cs="宋体"/>
                <w:sz w:val="24"/>
                <w:szCs w:val="24"/>
                <w:highlight w:val="none"/>
              </w:rPr>
            </w:pPr>
          </w:p>
        </w:tc>
        <w:tc>
          <w:tcPr>
            <w:tcW w:w="1792" w:type="dxa"/>
            <w:gridSpan w:val="2"/>
            <w:vAlign w:val="center"/>
          </w:tcPr>
          <w:p w14:paraId="4613A1FB">
            <w:pPr>
              <w:rPr>
                <w:rFonts w:hint="eastAsia" w:ascii="宋体" w:hAnsi="宋体" w:eastAsia="宋体" w:cs="宋体"/>
                <w:sz w:val="24"/>
                <w:szCs w:val="24"/>
                <w:highlight w:val="none"/>
              </w:rPr>
            </w:pPr>
          </w:p>
        </w:tc>
        <w:tc>
          <w:tcPr>
            <w:tcW w:w="2517" w:type="dxa"/>
            <w:gridSpan w:val="2"/>
            <w:vAlign w:val="center"/>
          </w:tcPr>
          <w:p w14:paraId="642EA4DD">
            <w:pPr>
              <w:rPr>
                <w:rFonts w:hint="eastAsia" w:ascii="宋体" w:hAnsi="宋体" w:eastAsia="宋体" w:cs="宋体"/>
                <w:sz w:val="24"/>
                <w:szCs w:val="24"/>
                <w:highlight w:val="none"/>
              </w:rPr>
            </w:pPr>
          </w:p>
        </w:tc>
      </w:tr>
      <w:tr w14:paraId="63860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60" w:type="dxa"/>
            <w:vAlign w:val="center"/>
          </w:tcPr>
          <w:p w14:paraId="4D02A263">
            <w:pPr>
              <w:rPr>
                <w:rFonts w:hint="eastAsia" w:ascii="宋体" w:hAnsi="宋体" w:eastAsia="宋体" w:cs="宋体"/>
                <w:sz w:val="24"/>
                <w:szCs w:val="24"/>
                <w:highlight w:val="none"/>
              </w:rPr>
            </w:pPr>
          </w:p>
        </w:tc>
        <w:tc>
          <w:tcPr>
            <w:tcW w:w="3960" w:type="dxa"/>
            <w:gridSpan w:val="4"/>
            <w:vAlign w:val="center"/>
          </w:tcPr>
          <w:p w14:paraId="710BB650">
            <w:pPr>
              <w:rPr>
                <w:rFonts w:hint="eastAsia" w:ascii="宋体" w:hAnsi="宋体" w:eastAsia="宋体" w:cs="宋体"/>
                <w:sz w:val="24"/>
                <w:szCs w:val="24"/>
                <w:highlight w:val="none"/>
              </w:rPr>
            </w:pPr>
          </w:p>
        </w:tc>
        <w:tc>
          <w:tcPr>
            <w:tcW w:w="1792" w:type="dxa"/>
            <w:gridSpan w:val="2"/>
            <w:vAlign w:val="center"/>
          </w:tcPr>
          <w:p w14:paraId="6289EDA0">
            <w:pPr>
              <w:rPr>
                <w:rFonts w:hint="eastAsia" w:ascii="宋体" w:hAnsi="宋体" w:eastAsia="宋体" w:cs="宋体"/>
                <w:sz w:val="24"/>
                <w:szCs w:val="24"/>
                <w:highlight w:val="none"/>
              </w:rPr>
            </w:pPr>
          </w:p>
        </w:tc>
        <w:tc>
          <w:tcPr>
            <w:tcW w:w="2517" w:type="dxa"/>
            <w:gridSpan w:val="2"/>
            <w:vAlign w:val="center"/>
          </w:tcPr>
          <w:p w14:paraId="37B452F5">
            <w:pPr>
              <w:rPr>
                <w:rFonts w:hint="eastAsia" w:ascii="宋体" w:hAnsi="宋体" w:eastAsia="宋体" w:cs="宋体"/>
                <w:sz w:val="24"/>
                <w:szCs w:val="24"/>
                <w:highlight w:val="none"/>
              </w:rPr>
            </w:pPr>
          </w:p>
        </w:tc>
      </w:tr>
      <w:tr w14:paraId="3DACE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260" w:type="dxa"/>
            <w:vAlign w:val="center"/>
          </w:tcPr>
          <w:p w14:paraId="7EBC343F">
            <w:pPr>
              <w:rPr>
                <w:rFonts w:hint="eastAsia" w:ascii="宋体" w:hAnsi="宋体" w:eastAsia="宋体" w:cs="宋体"/>
                <w:sz w:val="24"/>
                <w:szCs w:val="24"/>
                <w:highlight w:val="none"/>
              </w:rPr>
            </w:pPr>
          </w:p>
        </w:tc>
        <w:tc>
          <w:tcPr>
            <w:tcW w:w="3960" w:type="dxa"/>
            <w:gridSpan w:val="4"/>
            <w:vAlign w:val="center"/>
          </w:tcPr>
          <w:p w14:paraId="4C3455BD">
            <w:pPr>
              <w:rPr>
                <w:rFonts w:hint="eastAsia" w:ascii="宋体" w:hAnsi="宋体" w:eastAsia="宋体" w:cs="宋体"/>
                <w:sz w:val="24"/>
                <w:szCs w:val="24"/>
                <w:highlight w:val="none"/>
              </w:rPr>
            </w:pPr>
          </w:p>
        </w:tc>
        <w:tc>
          <w:tcPr>
            <w:tcW w:w="1792" w:type="dxa"/>
            <w:gridSpan w:val="2"/>
            <w:vAlign w:val="center"/>
          </w:tcPr>
          <w:p w14:paraId="50AD165F">
            <w:pPr>
              <w:rPr>
                <w:rFonts w:hint="eastAsia" w:ascii="宋体" w:hAnsi="宋体" w:eastAsia="宋体" w:cs="宋体"/>
                <w:sz w:val="24"/>
                <w:szCs w:val="24"/>
                <w:highlight w:val="none"/>
              </w:rPr>
            </w:pPr>
          </w:p>
        </w:tc>
        <w:tc>
          <w:tcPr>
            <w:tcW w:w="2517" w:type="dxa"/>
            <w:gridSpan w:val="2"/>
            <w:vAlign w:val="center"/>
          </w:tcPr>
          <w:p w14:paraId="18BD6108">
            <w:pPr>
              <w:rPr>
                <w:rFonts w:hint="eastAsia" w:ascii="宋体" w:hAnsi="宋体" w:eastAsia="宋体" w:cs="宋体"/>
                <w:sz w:val="24"/>
                <w:szCs w:val="24"/>
                <w:highlight w:val="none"/>
              </w:rPr>
            </w:pPr>
          </w:p>
        </w:tc>
      </w:tr>
      <w:tr w14:paraId="075B1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60" w:type="dxa"/>
            <w:vAlign w:val="center"/>
          </w:tcPr>
          <w:p w14:paraId="0B9DA0F9">
            <w:pPr>
              <w:rPr>
                <w:rFonts w:hint="eastAsia" w:ascii="宋体" w:hAnsi="宋体" w:eastAsia="宋体" w:cs="宋体"/>
                <w:sz w:val="24"/>
                <w:szCs w:val="24"/>
                <w:highlight w:val="none"/>
              </w:rPr>
            </w:pPr>
          </w:p>
        </w:tc>
        <w:tc>
          <w:tcPr>
            <w:tcW w:w="3960" w:type="dxa"/>
            <w:gridSpan w:val="4"/>
            <w:vAlign w:val="center"/>
          </w:tcPr>
          <w:p w14:paraId="566A319B">
            <w:pPr>
              <w:rPr>
                <w:rFonts w:hint="eastAsia" w:ascii="宋体" w:hAnsi="宋体" w:eastAsia="宋体" w:cs="宋体"/>
                <w:sz w:val="24"/>
                <w:szCs w:val="24"/>
                <w:highlight w:val="none"/>
              </w:rPr>
            </w:pPr>
          </w:p>
        </w:tc>
        <w:tc>
          <w:tcPr>
            <w:tcW w:w="1792" w:type="dxa"/>
            <w:gridSpan w:val="2"/>
            <w:vAlign w:val="center"/>
          </w:tcPr>
          <w:p w14:paraId="7BF29DAD">
            <w:pPr>
              <w:rPr>
                <w:rFonts w:hint="eastAsia" w:ascii="宋体" w:hAnsi="宋体" w:eastAsia="宋体" w:cs="宋体"/>
                <w:sz w:val="24"/>
                <w:szCs w:val="24"/>
                <w:highlight w:val="none"/>
              </w:rPr>
            </w:pPr>
          </w:p>
        </w:tc>
        <w:tc>
          <w:tcPr>
            <w:tcW w:w="2517" w:type="dxa"/>
            <w:gridSpan w:val="2"/>
            <w:vAlign w:val="center"/>
          </w:tcPr>
          <w:p w14:paraId="1CE4161B">
            <w:pPr>
              <w:rPr>
                <w:rFonts w:hint="eastAsia" w:ascii="宋体" w:hAnsi="宋体" w:eastAsia="宋体" w:cs="宋体"/>
                <w:sz w:val="24"/>
                <w:szCs w:val="24"/>
                <w:highlight w:val="none"/>
              </w:rPr>
            </w:pPr>
          </w:p>
        </w:tc>
      </w:tr>
      <w:tr w14:paraId="4A85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260" w:type="dxa"/>
            <w:vAlign w:val="center"/>
          </w:tcPr>
          <w:p w14:paraId="21273721">
            <w:pPr>
              <w:rPr>
                <w:rFonts w:hint="eastAsia" w:ascii="宋体" w:hAnsi="宋体" w:eastAsia="宋体" w:cs="宋体"/>
                <w:sz w:val="24"/>
                <w:szCs w:val="24"/>
                <w:highlight w:val="none"/>
              </w:rPr>
            </w:pPr>
          </w:p>
        </w:tc>
        <w:tc>
          <w:tcPr>
            <w:tcW w:w="3960" w:type="dxa"/>
            <w:gridSpan w:val="4"/>
            <w:vAlign w:val="center"/>
          </w:tcPr>
          <w:p w14:paraId="6B1F7962">
            <w:pPr>
              <w:rPr>
                <w:rFonts w:hint="eastAsia" w:ascii="宋体" w:hAnsi="宋体" w:eastAsia="宋体" w:cs="宋体"/>
                <w:sz w:val="24"/>
                <w:szCs w:val="24"/>
                <w:highlight w:val="none"/>
              </w:rPr>
            </w:pPr>
          </w:p>
        </w:tc>
        <w:tc>
          <w:tcPr>
            <w:tcW w:w="1792" w:type="dxa"/>
            <w:gridSpan w:val="2"/>
            <w:vAlign w:val="center"/>
          </w:tcPr>
          <w:p w14:paraId="0858E0CB">
            <w:pPr>
              <w:rPr>
                <w:rFonts w:hint="eastAsia" w:ascii="宋体" w:hAnsi="宋体" w:eastAsia="宋体" w:cs="宋体"/>
                <w:sz w:val="24"/>
                <w:szCs w:val="24"/>
                <w:highlight w:val="none"/>
              </w:rPr>
            </w:pPr>
          </w:p>
        </w:tc>
        <w:tc>
          <w:tcPr>
            <w:tcW w:w="2517" w:type="dxa"/>
            <w:gridSpan w:val="2"/>
            <w:vAlign w:val="center"/>
          </w:tcPr>
          <w:p w14:paraId="2F4DF3DA">
            <w:pPr>
              <w:rPr>
                <w:rFonts w:hint="eastAsia" w:ascii="宋体" w:hAnsi="宋体" w:eastAsia="宋体" w:cs="宋体"/>
                <w:sz w:val="24"/>
                <w:szCs w:val="24"/>
                <w:highlight w:val="none"/>
              </w:rPr>
            </w:pPr>
          </w:p>
        </w:tc>
      </w:tr>
    </w:tbl>
    <w:p w14:paraId="4AD2134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后附：项目经理的注册执业资格证书、安全生产考核合格证书（B证）等</w:t>
      </w:r>
      <w:r>
        <w:rPr>
          <w:rFonts w:hint="eastAsia" w:ascii="宋体" w:hAnsi="宋体" w:cs="宋体"/>
          <w:sz w:val="24"/>
          <w:szCs w:val="24"/>
          <w:highlight w:val="none"/>
          <w:lang w:eastAsia="zh-CN"/>
        </w:rPr>
        <w:t>扫描件</w:t>
      </w:r>
      <w:r>
        <w:rPr>
          <w:rFonts w:hint="eastAsia" w:ascii="宋体" w:hAnsi="宋体" w:eastAsia="宋体" w:cs="宋体"/>
          <w:sz w:val="24"/>
          <w:szCs w:val="24"/>
          <w:highlight w:val="none"/>
        </w:rPr>
        <w:t>，或其他人员的相关证书</w:t>
      </w:r>
      <w:r>
        <w:rPr>
          <w:rFonts w:hint="eastAsia" w:ascii="宋体" w:hAnsi="宋体" w:cs="宋体"/>
          <w:sz w:val="24"/>
          <w:szCs w:val="24"/>
          <w:highlight w:val="none"/>
          <w:lang w:eastAsia="zh-CN"/>
        </w:rPr>
        <w:t>扫描件</w:t>
      </w:r>
      <w:r>
        <w:rPr>
          <w:rFonts w:hint="eastAsia" w:ascii="宋体" w:hAnsi="宋体" w:eastAsia="宋体" w:cs="宋体"/>
          <w:sz w:val="24"/>
          <w:szCs w:val="24"/>
          <w:highlight w:val="none"/>
        </w:rPr>
        <w:t>。</w:t>
      </w:r>
    </w:p>
    <w:p w14:paraId="26D6E196">
      <w:pPr>
        <w:spacing w:line="360" w:lineRule="auto"/>
        <w:ind w:firstLine="480" w:firstLineChars="200"/>
        <w:rPr>
          <w:rFonts w:hint="eastAsia" w:ascii="宋体" w:hAnsi="宋体" w:eastAsia="宋体" w:cs="宋体"/>
          <w:sz w:val="24"/>
          <w:szCs w:val="24"/>
          <w:highlight w:val="none"/>
        </w:rPr>
      </w:pPr>
    </w:p>
    <w:p w14:paraId="2DDC66C7">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00E13BDD">
      <w:pPr>
        <w:adjustRightInd w:val="0"/>
        <w:snapToGrid w:val="0"/>
        <w:spacing w:line="480" w:lineRule="auto"/>
        <w:jc w:val="cente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八、项目经理无在建项目承诺书</w:t>
      </w:r>
    </w:p>
    <w:p w14:paraId="404DC60C">
      <w:pPr>
        <w:adjustRightInd w:val="0"/>
        <w:snapToGrid w:val="0"/>
        <w:spacing w:line="48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项目经理无在建项目承诺书</w:t>
      </w:r>
    </w:p>
    <w:p w14:paraId="4CEE44DB">
      <w:pPr>
        <w:spacing w:line="360" w:lineRule="auto"/>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lang w:val="en-US" w:eastAsia="zh-CN"/>
        </w:rPr>
        <w:t>宁波经贸学校/宁波中基国际招标有限公司</w:t>
      </w:r>
    </w:p>
    <w:p w14:paraId="4556E25A">
      <w:pPr>
        <w:spacing w:line="360" w:lineRule="auto"/>
        <w:ind w:firstLine="484" w:firstLineChars="202"/>
        <w:rPr>
          <w:rFonts w:hint="eastAsia" w:ascii="宋体" w:hAnsi="宋体" w:eastAsia="宋体" w:cs="宋体"/>
          <w:sz w:val="24"/>
          <w:szCs w:val="24"/>
          <w:highlight w:val="none"/>
        </w:rPr>
      </w:pPr>
      <w:r>
        <w:rPr>
          <w:rFonts w:hint="eastAsia" w:ascii="宋体" w:hAnsi="宋体" w:eastAsia="宋体" w:cs="宋体"/>
          <w:sz w:val="24"/>
          <w:szCs w:val="24"/>
          <w:highlight w:val="none"/>
        </w:rPr>
        <w:t>我</w:t>
      </w:r>
      <w:r>
        <w:rPr>
          <w:rFonts w:hint="eastAsia" w:ascii="宋体" w:hAnsi="宋体" w:eastAsia="宋体" w:cs="宋体"/>
          <w:sz w:val="24"/>
          <w:szCs w:val="24"/>
          <w:highlight w:val="none"/>
          <w:u w:val="single"/>
        </w:rPr>
        <w:t xml:space="preserve"> （法定代表人姓名）    </w:t>
      </w: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（供应商名称）  </w:t>
      </w:r>
      <w:r>
        <w:rPr>
          <w:rFonts w:hint="eastAsia" w:ascii="宋体" w:hAnsi="宋体" w:eastAsia="宋体" w:cs="宋体"/>
          <w:sz w:val="24"/>
          <w:szCs w:val="24"/>
          <w:highlight w:val="none"/>
        </w:rPr>
        <w:t>的法定代表人，现承诺本项目拟派的项目经理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，项目经理身份证号：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目前无在建工程。若有虚假一经查实，愿意承担一切责任，并承担由此造成的一切损失。</w:t>
      </w:r>
    </w:p>
    <w:p w14:paraId="0E6C6E8A">
      <w:pPr>
        <w:spacing w:line="360" w:lineRule="auto"/>
        <w:ind w:firstLine="484" w:firstLineChars="202"/>
        <w:rPr>
          <w:rFonts w:hint="eastAsia" w:ascii="宋体" w:hAnsi="宋体" w:eastAsia="宋体" w:cs="宋体"/>
          <w:sz w:val="24"/>
          <w:szCs w:val="24"/>
          <w:highlight w:val="none"/>
        </w:rPr>
      </w:pPr>
      <w:r>
        <w:rPr>
          <w:rFonts w:hint="eastAsia" w:ascii="宋体" w:hAnsi="宋体" w:eastAsia="宋体" w:cs="宋体"/>
          <w:sz w:val="24"/>
          <w:szCs w:val="24"/>
          <w:highlight w:val="none"/>
        </w:rPr>
        <w:t>我方特此承诺。</w:t>
      </w:r>
    </w:p>
    <w:p w14:paraId="3AE3D05D">
      <w:pPr>
        <w:spacing w:line="360" w:lineRule="auto"/>
        <w:ind w:right="210"/>
        <w:jc w:val="right"/>
        <w:rPr>
          <w:rFonts w:hint="eastAsia" w:ascii="宋体" w:hAnsi="宋体" w:eastAsia="宋体" w:cs="宋体"/>
          <w:sz w:val="24"/>
          <w:szCs w:val="24"/>
          <w:highlight w:val="none"/>
        </w:rPr>
      </w:pPr>
    </w:p>
    <w:p w14:paraId="404BEE6F">
      <w:pPr>
        <w:spacing w:line="360" w:lineRule="auto"/>
        <w:jc w:val="right"/>
        <w:rPr>
          <w:rFonts w:hint="eastAsia" w:ascii="宋体" w:hAnsi="宋体" w:eastAsia="宋体" w:cs="宋体"/>
          <w:sz w:val="24"/>
          <w:szCs w:val="24"/>
          <w:highlight w:val="none"/>
        </w:rPr>
      </w:pPr>
    </w:p>
    <w:p w14:paraId="41D37BB5">
      <w:pPr>
        <w:snapToGrid w:val="0"/>
        <w:spacing w:line="360" w:lineRule="auto"/>
        <w:ind w:firstLine="4212" w:firstLineChars="1755"/>
        <w:rPr>
          <w:rFonts w:hint="eastAsia"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 xml:space="preserve">        （填写全称并加盖公章)        </w:t>
      </w:r>
    </w:p>
    <w:p w14:paraId="590C2A5B">
      <w:pPr>
        <w:snapToGrid w:val="0"/>
        <w:spacing w:line="360" w:lineRule="auto"/>
        <w:ind w:firstLine="4212" w:firstLineChars="1755"/>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p>
    <w:p w14:paraId="19A131C6">
      <w:pPr>
        <w:snapToGrid w:val="0"/>
        <w:spacing w:line="360" w:lineRule="auto"/>
        <w:rPr>
          <w:rFonts w:hint="eastAsia" w:ascii="宋体" w:hAnsi="宋体" w:eastAsia="宋体" w:cs="宋体"/>
          <w:sz w:val="24"/>
          <w:szCs w:val="24"/>
          <w:highlight w:val="none"/>
        </w:rPr>
      </w:pPr>
    </w:p>
    <w:p w14:paraId="4DFEA484">
      <w:pPr>
        <w:pStyle w:val="24"/>
        <w:spacing w:line="360" w:lineRule="auto"/>
        <w:jc w:val="center"/>
        <w:rPr>
          <w:rFonts w:hint="eastAsia" w:ascii="宋体" w:hAnsi="宋体" w:eastAsia="宋体" w:cs="宋体"/>
          <w:sz w:val="24"/>
          <w:szCs w:val="24"/>
          <w:highlight w:val="none"/>
        </w:rPr>
      </w:pPr>
    </w:p>
    <w:p w14:paraId="53E5EE82">
      <w:pPr>
        <w:adjustRightInd w:val="0"/>
        <w:snapToGrid w:val="0"/>
        <w:spacing w:line="480" w:lineRule="auto"/>
        <w:jc w:val="center"/>
        <w:rPr>
          <w:rFonts w:hint="eastAsia" w:ascii="宋体" w:hAnsi="宋体" w:eastAsia="宋体" w:cs="宋体"/>
          <w:b/>
          <w:sz w:val="24"/>
          <w:szCs w:val="24"/>
          <w:highlight w:val="none"/>
        </w:rPr>
      </w:pPr>
      <w:r>
        <w:rPr>
          <w:rFonts w:hint="eastAsia" w:ascii="宋体" w:hAnsi="宋体" w:eastAsia="宋体" w:cs="宋体"/>
          <w:sz w:val="24"/>
          <w:szCs w:val="24"/>
          <w:highlight w:val="none"/>
        </w:rPr>
        <w:br w:type="page"/>
      </w:r>
      <w:r>
        <w:rPr>
          <w:rFonts w:hint="eastAsia" w:ascii="宋体" w:hAnsi="宋体" w:cs="宋体"/>
          <w:b/>
          <w:bCs/>
          <w:color w:val="auto"/>
          <w:sz w:val="32"/>
          <w:szCs w:val="32"/>
          <w:highlight w:val="none"/>
          <w:lang w:val="en-US" w:eastAsia="zh-CN"/>
        </w:rPr>
        <w:t>九、施工组织设计</w:t>
      </w:r>
    </w:p>
    <w:p w14:paraId="13A2DFAC">
      <w:pPr>
        <w:spacing w:line="360" w:lineRule="auto"/>
        <w:rPr>
          <w:rFonts w:hint="eastAsia" w:ascii="宋体" w:hAnsi="宋体" w:cs="宋体"/>
          <w:b/>
          <w:color w:val="auto"/>
          <w:kern w:val="0"/>
          <w:sz w:val="32"/>
          <w:szCs w:val="32"/>
          <w:highlight w:val="none"/>
          <w:lang w:val="en-US" w:eastAsia="zh-CN"/>
        </w:rPr>
      </w:pPr>
      <w:r>
        <w:rPr>
          <w:rFonts w:hint="eastAsia" w:ascii="宋体" w:hAnsi="宋体" w:eastAsia="宋体" w:cs="宋体"/>
          <w:sz w:val="24"/>
          <w:szCs w:val="24"/>
          <w:highlight w:val="none"/>
        </w:rPr>
        <w:t>应包括但不限于施工现场平面布置情况、施工方案、施工进度计划安排、施工质量保证措施、项目关键点、重难点分析及合理化建议、施工环保管理措施、突发事件应急措施、有必要说明的其他内容。</w:t>
      </w:r>
    </w:p>
    <w:p w14:paraId="431BCF5A">
      <w:pPr>
        <w:spacing w:line="360" w:lineRule="auto"/>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14:paraId="1451D224">
      <w:pPr>
        <w:snapToGrid w:val="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十</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C0F1A78">
      <w:pPr>
        <w:snapToGrid w:val="0"/>
        <w:spacing w:line="360" w:lineRule="auto"/>
        <w:rPr>
          <w:rFonts w:ascii="宋体" w:hAnsi="宋体" w:cs="宋体"/>
          <w:color w:val="auto"/>
          <w:sz w:val="24"/>
          <w:highlight w:val="none"/>
        </w:rPr>
      </w:pPr>
    </w:p>
    <w:p w14:paraId="7F709D4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宁波经贸学校、</w:t>
      </w:r>
      <w:r>
        <w:rPr>
          <w:rFonts w:hint="eastAsia" w:ascii="宋体" w:hAnsi="宋体" w:cs="宋体"/>
          <w:color w:val="auto"/>
          <w:sz w:val="24"/>
          <w:highlight w:val="none"/>
          <w:lang w:val="en-US" w:eastAsia="zh-CN"/>
        </w:rPr>
        <w:t>宁波中基国际招标有限公司</w:t>
      </w:r>
      <w:r>
        <w:rPr>
          <w:rFonts w:hint="eastAsia" w:ascii="宋体" w:hAnsi="宋体" w:cs="宋体"/>
          <w:color w:val="auto"/>
          <w:kern w:val="0"/>
          <w:sz w:val="24"/>
          <w:highlight w:val="none"/>
          <w:lang w:val="zh-CN"/>
        </w:rPr>
        <w:t>：</w:t>
      </w:r>
    </w:p>
    <w:p w14:paraId="0E9404F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58C9D6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32F1A6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BD0DDA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BD0787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19DCB7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32281B1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2308EE5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6FCD81F4">
      <w:pPr>
        <w:autoSpaceDE w:val="0"/>
        <w:autoSpaceDN w:val="0"/>
        <w:spacing w:line="360" w:lineRule="auto"/>
        <w:ind w:left="2"/>
        <w:jc w:val="left"/>
        <w:rPr>
          <w:rFonts w:ascii="宋体" w:hAnsi="宋体" w:cs="宋体"/>
          <w:color w:val="auto"/>
          <w:kern w:val="0"/>
          <w:sz w:val="24"/>
          <w:highlight w:val="none"/>
          <w:lang w:val="zh-CN"/>
        </w:rPr>
      </w:pPr>
    </w:p>
    <w:p w14:paraId="270F9EF0">
      <w:pPr>
        <w:autoSpaceDE w:val="0"/>
        <w:autoSpaceDN w:val="0"/>
        <w:spacing w:line="360" w:lineRule="auto"/>
        <w:ind w:left="2"/>
        <w:jc w:val="left"/>
        <w:rPr>
          <w:rFonts w:ascii="宋体" w:hAnsi="宋体" w:cs="宋体"/>
          <w:color w:val="auto"/>
          <w:kern w:val="0"/>
          <w:sz w:val="24"/>
          <w:highlight w:val="none"/>
          <w:lang w:val="zh-CN"/>
        </w:rPr>
      </w:pPr>
    </w:p>
    <w:p w14:paraId="7EFE7FBF">
      <w:pPr>
        <w:autoSpaceDE w:val="0"/>
        <w:autoSpaceDN w:val="0"/>
        <w:spacing w:line="360" w:lineRule="auto"/>
        <w:ind w:left="2"/>
        <w:jc w:val="left"/>
        <w:rPr>
          <w:rFonts w:ascii="宋体" w:hAnsi="宋体" w:cs="宋体"/>
          <w:color w:val="auto"/>
          <w:kern w:val="0"/>
          <w:sz w:val="24"/>
          <w:highlight w:val="none"/>
          <w:lang w:val="zh-CN"/>
        </w:rPr>
      </w:pPr>
    </w:p>
    <w:p w14:paraId="03633F45">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5C46C52">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A7E324D">
      <w:pPr>
        <w:spacing w:line="360" w:lineRule="auto"/>
        <w:jc w:val="center"/>
        <w:rPr>
          <w:rFonts w:ascii="宋体" w:hAnsi="宋体" w:cs="宋体"/>
          <w:b/>
          <w:bCs/>
          <w:color w:val="auto"/>
          <w:sz w:val="24"/>
          <w:highlight w:val="none"/>
        </w:rPr>
      </w:pPr>
    </w:p>
    <w:p w14:paraId="6A7DB55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484C277">
      <w:pPr>
        <w:rPr>
          <w:rFonts w:ascii="宋体" w:hAnsi="宋体" w:cs="宋体"/>
          <w:b/>
          <w:bCs/>
          <w:color w:val="auto"/>
          <w:sz w:val="24"/>
          <w:highlight w:val="none"/>
        </w:rPr>
      </w:pPr>
      <w:r>
        <w:rPr>
          <w:rFonts w:ascii="宋体" w:hAnsi="宋体" w:cs="宋体"/>
          <w:b/>
          <w:bCs/>
          <w:color w:val="auto"/>
          <w:sz w:val="24"/>
          <w:highlight w:val="none"/>
        </w:rPr>
        <w:br w:type="page"/>
      </w:r>
    </w:p>
    <w:p w14:paraId="70F586AE">
      <w:pPr>
        <w:spacing w:line="360" w:lineRule="auto"/>
        <w:jc w:val="center"/>
        <w:rPr>
          <w:rFonts w:ascii="宋体" w:hAnsi="宋体" w:cs="宋体"/>
          <w:b/>
          <w:bCs/>
          <w:color w:val="auto"/>
          <w:sz w:val="24"/>
          <w:highlight w:val="none"/>
        </w:rPr>
        <w:sectPr>
          <w:headerReference r:id="rId15" w:type="default"/>
          <w:footerReference r:id="rId16" w:type="default"/>
          <w:pgSz w:w="11905" w:h="16838"/>
          <w:pgMar w:top="1440" w:right="1440" w:bottom="1440" w:left="1440" w:header="851" w:footer="992" w:gutter="0"/>
          <w:pgBorders>
            <w:top w:val="none" w:sz="0" w:space="0"/>
            <w:left w:val="none" w:sz="0" w:space="0"/>
            <w:bottom w:val="none" w:sz="0" w:space="0"/>
            <w:right w:val="none" w:sz="0" w:space="0"/>
          </w:pgBorders>
          <w:cols w:space="0" w:num="1"/>
          <w:titlePg/>
          <w:rtlGutter w:val="0"/>
          <w:docGrid w:linePitch="312" w:charSpace="0"/>
        </w:sectPr>
      </w:pPr>
    </w:p>
    <w:p w14:paraId="38CA17B6">
      <w:pPr>
        <w:spacing w:line="360" w:lineRule="auto"/>
        <w:jc w:val="center"/>
        <w:outlineLvl w:val="0"/>
        <w:rPr>
          <w:rFonts w:ascii="宋体" w:hAnsi="宋体" w:cs="宋体"/>
          <w:b/>
          <w:color w:val="auto"/>
          <w:kern w:val="0"/>
          <w:sz w:val="36"/>
          <w:szCs w:val="36"/>
          <w:highlight w:val="none"/>
        </w:rPr>
      </w:pPr>
      <w:bookmarkStart w:id="1082" w:name="_Toc11255"/>
      <w:r>
        <w:rPr>
          <w:rFonts w:hint="eastAsia" w:ascii="宋体" w:hAnsi="宋体" w:cs="宋体"/>
          <w:b/>
          <w:color w:val="auto"/>
          <w:kern w:val="0"/>
          <w:sz w:val="36"/>
          <w:szCs w:val="36"/>
          <w:highlight w:val="none"/>
        </w:rPr>
        <w:t>报价文件部分</w:t>
      </w:r>
      <w:bookmarkEnd w:id="1082"/>
    </w:p>
    <w:p w14:paraId="696D26AD">
      <w:pPr>
        <w:spacing w:line="360" w:lineRule="auto"/>
        <w:jc w:val="center"/>
        <w:outlineLvl w:val="0"/>
        <w:rPr>
          <w:rFonts w:ascii="宋体" w:hAnsi="宋体" w:cs="宋体"/>
          <w:b/>
          <w:color w:val="auto"/>
          <w:kern w:val="0"/>
          <w:sz w:val="36"/>
          <w:szCs w:val="36"/>
          <w:highlight w:val="none"/>
        </w:rPr>
      </w:pPr>
      <w:bookmarkStart w:id="1083" w:name="_Toc7866"/>
      <w:r>
        <w:rPr>
          <w:rFonts w:hint="eastAsia" w:ascii="宋体" w:hAnsi="宋体" w:cs="宋体"/>
          <w:b/>
          <w:color w:val="auto"/>
          <w:kern w:val="0"/>
          <w:sz w:val="36"/>
          <w:szCs w:val="36"/>
          <w:highlight w:val="none"/>
        </w:rPr>
        <w:t>目录</w:t>
      </w:r>
      <w:bookmarkEnd w:id="1083"/>
    </w:p>
    <w:p w14:paraId="30DA772B">
      <w:pPr>
        <w:spacing w:line="360" w:lineRule="auto"/>
        <w:jc w:val="center"/>
        <w:outlineLvl w:val="0"/>
        <w:rPr>
          <w:rFonts w:ascii="宋体" w:hAnsi="宋体" w:cs="宋体"/>
          <w:b/>
          <w:color w:val="auto"/>
          <w:kern w:val="0"/>
          <w:sz w:val="36"/>
          <w:szCs w:val="36"/>
          <w:highlight w:val="none"/>
        </w:rPr>
      </w:pPr>
    </w:p>
    <w:p w14:paraId="16F692E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（1）报价单…………………………………………………………………………（页码）</w:t>
      </w:r>
    </w:p>
    <w:p w14:paraId="2F9712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（2）已标价工程量清单……………………………………………………………（页码）</w:t>
      </w:r>
    </w:p>
    <w:p w14:paraId="173A1987">
      <w:pPr>
        <w:snapToGrid w:val="0"/>
        <w:spacing w:line="360" w:lineRule="auto"/>
        <w:ind w:right="480"/>
        <w:jc w:val="center"/>
        <w:rPr>
          <w:rFonts w:ascii="宋体" w:hAnsi="宋体" w:cs="宋体"/>
          <w:b/>
          <w:color w:val="auto"/>
          <w:kern w:val="0"/>
          <w:sz w:val="32"/>
          <w:szCs w:val="32"/>
          <w:highlight w:val="none"/>
        </w:rPr>
      </w:pPr>
    </w:p>
    <w:p w14:paraId="3B092E85">
      <w:pPr>
        <w:snapToGrid w:val="0"/>
        <w:spacing w:line="360" w:lineRule="auto"/>
        <w:ind w:right="480"/>
        <w:jc w:val="center"/>
        <w:rPr>
          <w:rFonts w:ascii="宋体" w:hAnsi="宋体" w:cs="宋体"/>
          <w:b/>
          <w:color w:val="auto"/>
          <w:kern w:val="0"/>
          <w:sz w:val="32"/>
          <w:szCs w:val="32"/>
          <w:highlight w:val="none"/>
        </w:rPr>
      </w:pPr>
    </w:p>
    <w:p w14:paraId="00C28C1B">
      <w:pPr>
        <w:snapToGrid w:val="0"/>
        <w:spacing w:line="360" w:lineRule="auto"/>
        <w:ind w:right="480"/>
        <w:jc w:val="center"/>
        <w:rPr>
          <w:rFonts w:ascii="宋体" w:hAnsi="宋体" w:cs="宋体"/>
          <w:b/>
          <w:color w:val="auto"/>
          <w:kern w:val="0"/>
          <w:sz w:val="32"/>
          <w:szCs w:val="32"/>
          <w:highlight w:val="none"/>
        </w:rPr>
      </w:pPr>
    </w:p>
    <w:p w14:paraId="036C2274">
      <w:pPr>
        <w:snapToGrid w:val="0"/>
        <w:spacing w:line="360" w:lineRule="auto"/>
        <w:ind w:right="480"/>
        <w:jc w:val="center"/>
        <w:rPr>
          <w:rFonts w:ascii="宋体" w:hAnsi="宋体" w:cs="宋体"/>
          <w:b/>
          <w:color w:val="auto"/>
          <w:kern w:val="0"/>
          <w:sz w:val="32"/>
          <w:szCs w:val="32"/>
          <w:highlight w:val="none"/>
        </w:rPr>
      </w:pPr>
    </w:p>
    <w:p w14:paraId="29756FCF">
      <w:pPr>
        <w:snapToGrid w:val="0"/>
        <w:spacing w:line="360" w:lineRule="auto"/>
        <w:ind w:right="480"/>
        <w:jc w:val="center"/>
        <w:rPr>
          <w:rFonts w:ascii="宋体" w:hAnsi="宋体" w:cs="宋体"/>
          <w:b/>
          <w:color w:val="auto"/>
          <w:kern w:val="0"/>
          <w:sz w:val="32"/>
          <w:szCs w:val="32"/>
          <w:highlight w:val="none"/>
        </w:rPr>
      </w:pPr>
    </w:p>
    <w:p w14:paraId="2D33397F">
      <w:pPr>
        <w:snapToGrid w:val="0"/>
        <w:spacing w:line="360" w:lineRule="auto"/>
        <w:ind w:right="480"/>
        <w:jc w:val="center"/>
        <w:rPr>
          <w:rFonts w:ascii="宋体" w:hAnsi="宋体" w:cs="宋体"/>
          <w:b/>
          <w:color w:val="auto"/>
          <w:kern w:val="0"/>
          <w:sz w:val="32"/>
          <w:szCs w:val="32"/>
          <w:highlight w:val="none"/>
        </w:rPr>
      </w:pPr>
    </w:p>
    <w:p w14:paraId="7D427EEE">
      <w:pPr>
        <w:snapToGrid w:val="0"/>
        <w:spacing w:line="360" w:lineRule="auto"/>
        <w:ind w:right="480"/>
        <w:jc w:val="center"/>
        <w:rPr>
          <w:rFonts w:ascii="宋体" w:hAnsi="宋体" w:cs="宋体"/>
          <w:b/>
          <w:color w:val="auto"/>
          <w:kern w:val="0"/>
          <w:sz w:val="32"/>
          <w:szCs w:val="32"/>
          <w:highlight w:val="none"/>
        </w:rPr>
      </w:pPr>
    </w:p>
    <w:p w14:paraId="43FFF8E3">
      <w:pPr>
        <w:snapToGrid w:val="0"/>
        <w:spacing w:line="360" w:lineRule="auto"/>
        <w:ind w:right="480"/>
        <w:jc w:val="center"/>
        <w:rPr>
          <w:rFonts w:ascii="宋体" w:hAnsi="宋体" w:cs="宋体"/>
          <w:b/>
          <w:color w:val="auto"/>
          <w:kern w:val="0"/>
          <w:sz w:val="32"/>
          <w:szCs w:val="32"/>
          <w:highlight w:val="none"/>
        </w:rPr>
      </w:pPr>
    </w:p>
    <w:p w14:paraId="3E11A595">
      <w:pPr>
        <w:snapToGrid w:val="0"/>
        <w:spacing w:line="360" w:lineRule="auto"/>
        <w:ind w:right="480"/>
        <w:jc w:val="center"/>
        <w:rPr>
          <w:rFonts w:ascii="宋体" w:hAnsi="宋体" w:cs="宋体"/>
          <w:b/>
          <w:color w:val="auto"/>
          <w:kern w:val="0"/>
          <w:sz w:val="32"/>
          <w:szCs w:val="32"/>
          <w:highlight w:val="none"/>
        </w:rPr>
      </w:pPr>
    </w:p>
    <w:p w14:paraId="3A5812DD">
      <w:pPr>
        <w:snapToGrid w:val="0"/>
        <w:spacing w:line="360" w:lineRule="auto"/>
        <w:ind w:right="480"/>
        <w:jc w:val="center"/>
        <w:rPr>
          <w:rFonts w:ascii="宋体" w:hAnsi="宋体" w:cs="宋体"/>
          <w:b/>
          <w:color w:val="auto"/>
          <w:kern w:val="0"/>
          <w:sz w:val="32"/>
          <w:szCs w:val="32"/>
          <w:highlight w:val="none"/>
        </w:rPr>
      </w:pPr>
    </w:p>
    <w:p w14:paraId="2AA17D3C">
      <w:pPr>
        <w:snapToGrid w:val="0"/>
        <w:spacing w:line="360" w:lineRule="auto"/>
        <w:ind w:right="480"/>
        <w:jc w:val="center"/>
        <w:rPr>
          <w:rFonts w:ascii="宋体" w:hAnsi="宋体" w:cs="宋体"/>
          <w:b/>
          <w:color w:val="auto"/>
          <w:kern w:val="0"/>
          <w:sz w:val="32"/>
          <w:szCs w:val="32"/>
          <w:highlight w:val="none"/>
        </w:rPr>
      </w:pPr>
    </w:p>
    <w:p w14:paraId="6CF7152F">
      <w:pPr>
        <w:snapToGrid w:val="0"/>
        <w:spacing w:line="360" w:lineRule="auto"/>
        <w:ind w:right="480"/>
        <w:jc w:val="center"/>
        <w:rPr>
          <w:rFonts w:ascii="宋体" w:hAnsi="宋体" w:cs="宋体"/>
          <w:b/>
          <w:color w:val="auto"/>
          <w:kern w:val="0"/>
          <w:sz w:val="32"/>
          <w:szCs w:val="32"/>
          <w:highlight w:val="none"/>
        </w:rPr>
      </w:pPr>
    </w:p>
    <w:p w14:paraId="25091C2A">
      <w:pPr>
        <w:snapToGrid w:val="0"/>
        <w:spacing w:line="360" w:lineRule="auto"/>
        <w:ind w:right="480"/>
        <w:jc w:val="center"/>
        <w:rPr>
          <w:rFonts w:ascii="宋体" w:hAnsi="宋体" w:cs="宋体"/>
          <w:b/>
          <w:color w:val="auto"/>
          <w:kern w:val="0"/>
          <w:sz w:val="32"/>
          <w:szCs w:val="32"/>
          <w:highlight w:val="none"/>
        </w:rPr>
      </w:pPr>
    </w:p>
    <w:p w14:paraId="4CC83FA7">
      <w:pPr>
        <w:snapToGrid w:val="0"/>
        <w:spacing w:line="360" w:lineRule="auto"/>
        <w:ind w:right="480"/>
        <w:jc w:val="center"/>
        <w:rPr>
          <w:rFonts w:ascii="宋体" w:hAnsi="宋体" w:cs="宋体"/>
          <w:b/>
          <w:color w:val="auto"/>
          <w:kern w:val="0"/>
          <w:sz w:val="32"/>
          <w:szCs w:val="32"/>
          <w:highlight w:val="none"/>
        </w:rPr>
      </w:pPr>
    </w:p>
    <w:p w14:paraId="091B5122">
      <w:pPr>
        <w:snapToGrid w:val="0"/>
        <w:spacing w:line="360" w:lineRule="auto"/>
        <w:ind w:right="480"/>
        <w:jc w:val="center"/>
        <w:rPr>
          <w:rFonts w:ascii="宋体" w:hAnsi="宋体" w:cs="宋体"/>
          <w:b/>
          <w:color w:val="auto"/>
          <w:kern w:val="0"/>
          <w:sz w:val="32"/>
          <w:szCs w:val="32"/>
          <w:highlight w:val="none"/>
        </w:rPr>
      </w:pPr>
    </w:p>
    <w:p w14:paraId="516EE4CD">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19" w:type="first"/>
          <w:headerReference r:id="rId17" w:type="default"/>
          <w:footerReference r:id="rId18" w:type="default"/>
          <w:pgSz w:w="11905" w:h="16838"/>
          <w:pgMar w:top="1440" w:right="1440" w:bottom="1440" w:left="1440" w:header="851" w:footer="992" w:gutter="0"/>
          <w:pgBorders>
            <w:top w:val="none" w:sz="0" w:space="0"/>
            <w:left w:val="none" w:sz="0" w:space="0"/>
            <w:bottom w:val="none" w:sz="0" w:space="0"/>
            <w:right w:val="none" w:sz="0" w:space="0"/>
          </w:pgBorders>
          <w:cols w:space="0" w:num="1"/>
          <w:titlePg/>
          <w:rtlGutter w:val="0"/>
          <w:docGrid w:linePitch="312" w:charSpace="0"/>
        </w:sectPr>
      </w:pPr>
    </w:p>
    <w:p w14:paraId="7BDF8339">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bookmarkStart w:id="1084" w:name="_Toc8448"/>
      <w:r>
        <w:rPr>
          <w:rFonts w:hint="eastAsia" w:ascii="宋体" w:hAnsi="宋体" w:eastAsia="宋体" w:cs="宋体"/>
          <w:color w:val="auto"/>
          <w:kern w:val="2"/>
          <w:sz w:val="32"/>
          <w:szCs w:val="32"/>
          <w:highlight w:val="none"/>
        </w:rPr>
        <w:t>一、报价单</w:t>
      </w:r>
      <w:bookmarkEnd w:id="1084"/>
    </w:p>
    <w:p w14:paraId="29E04EF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宁波经贸学校、</w:t>
      </w:r>
      <w:r>
        <w:rPr>
          <w:rFonts w:hint="eastAsia" w:ascii="宋体" w:hAnsi="宋体" w:cs="宋体"/>
          <w:color w:val="auto"/>
          <w:sz w:val="24"/>
          <w:highlight w:val="none"/>
          <w:lang w:val="en-US" w:eastAsia="zh-CN"/>
        </w:rPr>
        <w:t>宁波中基国际招标有限公司</w:t>
      </w:r>
      <w:r>
        <w:rPr>
          <w:rFonts w:hint="eastAsia" w:ascii="宋体" w:hAnsi="宋体" w:cs="宋体"/>
          <w:color w:val="auto"/>
          <w:kern w:val="0"/>
          <w:sz w:val="24"/>
          <w:highlight w:val="none"/>
          <w:lang w:val="zh-CN"/>
        </w:rPr>
        <w:t>：</w:t>
      </w:r>
    </w:p>
    <w:p w14:paraId="159BD325">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u w:val="single"/>
          <w:lang w:eastAsia="zh-CN"/>
        </w:rPr>
        <w:t>宁波经贸学校2024年综合高中维修项目（</w:t>
      </w:r>
      <w:r>
        <w:rPr>
          <w:rFonts w:hint="eastAsia" w:ascii="宋体" w:hAnsi="宋体" w:cs="宋体"/>
          <w:color w:val="auto"/>
          <w:sz w:val="24"/>
          <w:highlight w:val="none"/>
          <w:u w:val="single"/>
          <w:lang w:val="en-US" w:eastAsia="zh-CN"/>
        </w:rPr>
        <w:t>重发</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【项目编号：</w:t>
      </w:r>
      <w:r>
        <w:rPr>
          <w:rFonts w:hint="eastAsia" w:ascii="宋体" w:hAnsi="宋体" w:cs="宋体"/>
          <w:color w:val="auto"/>
          <w:sz w:val="24"/>
          <w:highlight w:val="none"/>
          <w:u w:val="single"/>
          <w:lang w:eastAsia="zh-CN"/>
        </w:rPr>
        <w:t>CBNB-20241373GGC</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218DCE4E">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2"/>
        <w:gridCol w:w="2262"/>
        <w:gridCol w:w="2282"/>
        <w:gridCol w:w="2262"/>
        <w:gridCol w:w="3217"/>
        <w:gridCol w:w="1886"/>
      </w:tblGrid>
      <w:tr w14:paraId="500ED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98" w:type="pct"/>
            <w:vAlign w:val="center"/>
          </w:tcPr>
          <w:p w14:paraId="4CEB68A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798" w:type="pct"/>
          </w:tcPr>
          <w:p w14:paraId="7265DD57">
            <w:pPr>
              <w:spacing w:line="360" w:lineRule="auto"/>
              <w:jc w:val="center"/>
              <w:rPr>
                <w:rFonts w:ascii="宋体" w:hAnsi="宋体" w:cs="宋体"/>
                <w:b/>
                <w:color w:val="auto"/>
                <w:sz w:val="24"/>
                <w:highlight w:val="none"/>
              </w:rPr>
            </w:pPr>
          </w:p>
          <w:p w14:paraId="4AF54B9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805" w:type="pct"/>
            <w:vAlign w:val="center"/>
          </w:tcPr>
          <w:p w14:paraId="3E30394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施工工期</w:t>
            </w:r>
          </w:p>
        </w:tc>
        <w:tc>
          <w:tcPr>
            <w:tcW w:w="798" w:type="pct"/>
            <w:vAlign w:val="center"/>
          </w:tcPr>
          <w:p w14:paraId="312153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项目经理</w:t>
            </w:r>
          </w:p>
        </w:tc>
        <w:tc>
          <w:tcPr>
            <w:tcW w:w="1135" w:type="pct"/>
            <w:vAlign w:val="center"/>
          </w:tcPr>
          <w:p w14:paraId="56FA31E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执业证书信息</w:t>
            </w:r>
          </w:p>
        </w:tc>
        <w:tc>
          <w:tcPr>
            <w:tcW w:w="664" w:type="pct"/>
            <w:vAlign w:val="center"/>
          </w:tcPr>
          <w:p w14:paraId="5CB85D8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tc>
      </w:tr>
      <w:tr w14:paraId="1B2CF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pct"/>
            <w:vAlign w:val="center"/>
          </w:tcPr>
          <w:p w14:paraId="31DD64AF">
            <w:pPr>
              <w:snapToGrid w:val="0"/>
              <w:spacing w:line="360" w:lineRule="auto"/>
              <w:jc w:val="center"/>
              <w:rPr>
                <w:rFonts w:ascii="宋体" w:hAnsi="宋体" w:cs="宋体"/>
                <w:color w:val="auto"/>
                <w:sz w:val="24"/>
                <w:highlight w:val="none"/>
              </w:rPr>
            </w:pPr>
          </w:p>
        </w:tc>
        <w:tc>
          <w:tcPr>
            <w:tcW w:w="798" w:type="pct"/>
            <w:vAlign w:val="center"/>
          </w:tcPr>
          <w:p w14:paraId="08D238E9">
            <w:pPr>
              <w:snapToGrid w:val="0"/>
              <w:spacing w:line="360" w:lineRule="auto"/>
              <w:jc w:val="center"/>
              <w:rPr>
                <w:rFonts w:ascii="宋体" w:hAnsi="宋体" w:cs="宋体"/>
                <w:color w:val="auto"/>
                <w:sz w:val="24"/>
                <w:highlight w:val="none"/>
              </w:rPr>
            </w:pPr>
          </w:p>
        </w:tc>
        <w:tc>
          <w:tcPr>
            <w:tcW w:w="805" w:type="pct"/>
            <w:vAlign w:val="center"/>
          </w:tcPr>
          <w:p w14:paraId="4C5A1342">
            <w:pPr>
              <w:snapToGrid w:val="0"/>
              <w:spacing w:line="360" w:lineRule="auto"/>
              <w:jc w:val="center"/>
              <w:rPr>
                <w:rFonts w:ascii="宋体" w:hAnsi="宋体" w:cs="宋体"/>
                <w:color w:val="auto"/>
                <w:sz w:val="24"/>
                <w:highlight w:val="none"/>
              </w:rPr>
            </w:pPr>
          </w:p>
        </w:tc>
        <w:tc>
          <w:tcPr>
            <w:tcW w:w="798" w:type="pct"/>
            <w:vAlign w:val="center"/>
          </w:tcPr>
          <w:p w14:paraId="227B343C">
            <w:pPr>
              <w:spacing w:line="360" w:lineRule="auto"/>
              <w:jc w:val="center"/>
              <w:rPr>
                <w:rFonts w:ascii="宋体" w:hAnsi="宋体" w:cs="宋体"/>
                <w:color w:val="auto"/>
                <w:sz w:val="24"/>
                <w:highlight w:val="none"/>
              </w:rPr>
            </w:pPr>
          </w:p>
        </w:tc>
        <w:tc>
          <w:tcPr>
            <w:tcW w:w="1135" w:type="pct"/>
            <w:vAlign w:val="center"/>
          </w:tcPr>
          <w:p w14:paraId="7C67CE5D">
            <w:pPr>
              <w:spacing w:line="360" w:lineRule="auto"/>
              <w:jc w:val="center"/>
              <w:rPr>
                <w:rFonts w:ascii="宋体" w:hAnsi="宋体" w:cs="宋体"/>
                <w:color w:val="auto"/>
                <w:sz w:val="24"/>
                <w:highlight w:val="none"/>
              </w:rPr>
            </w:pPr>
          </w:p>
        </w:tc>
        <w:tc>
          <w:tcPr>
            <w:tcW w:w="664" w:type="pct"/>
            <w:vAlign w:val="center"/>
          </w:tcPr>
          <w:p w14:paraId="6F42CA4E">
            <w:pPr>
              <w:spacing w:line="360" w:lineRule="auto"/>
              <w:jc w:val="center"/>
              <w:rPr>
                <w:rFonts w:ascii="宋体" w:hAnsi="宋体" w:cs="宋体"/>
                <w:color w:val="auto"/>
                <w:sz w:val="24"/>
                <w:highlight w:val="none"/>
              </w:rPr>
            </w:pPr>
          </w:p>
        </w:tc>
      </w:tr>
      <w:tr w14:paraId="04BE8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401" w:type="pct"/>
            <w:gridSpan w:val="3"/>
            <w:vAlign w:val="center"/>
          </w:tcPr>
          <w:p w14:paraId="3895E7D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2598" w:type="pct"/>
            <w:gridSpan w:val="3"/>
            <w:vAlign w:val="center"/>
          </w:tcPr>
          <w:p w14:paraId="6D9FBCCA">
            <w:pPr>
              <w:spacing w:line="360" w:lineRule="auto"/>
              <w:jc w:val="center"/>
              <w:rPr>
                <w:rFonts w:ascii="宋体" w:hAnsi="宋体" w:cs="宋体"/>
                <w:color w:val="auto"/>
                <w:sz w:val="24"/>
                <w:highlight w:val="none"/>
              </w:rPr>
            </w:pPr>
          </w:p>
        </w:tc>
      </w:tr>
      <w:tr w14:paraId="26CC2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401" w:type="pct"/>
            <w:gridSpan w:val="3"/>
            <w:vAlign w:val="center"/>
          </w:tcPr>
          <w:p w14:paraId="32A382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2598" w:type="pct"/>
            <w:gridSpan w:val="3"/>
            <w:vAlign w:val="center"/>
          </w:tcPr>
          <w:p w14:paraId="2E8AD9AC">
            <w:pPr>
              <w:spacing w:line="360" w:lineRule="auto"/>
              <w:jc w:val="center"/>
              <w:rPr>
                <w:rFonts w:ascii="宋体" w:hAnsi="宋体" w:cs="宋体"/>
                <w:color w:val="auto"/>
                <w:sz w:val="24"/>
                <w:highlight w:val="none"/>
              </w:rPr>
            </w:pPr>
          </w:p>
        </w:tc>
      </w:tr>
    </w:tbl>
    <w:p w14:paraId="365FEDAC">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A51C432">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color w:val="auto"/>
          <w:kern w:val="0"/>
          <w:sz w:val="24"/>
          <w:highlight w:val="none"/>
          <w:lang w:val="zh-CN"/>
        </w:rPr>
        <w:t>。</w:t>
      </w:r>
    </w:p>
    <w:p w14:paraId="2897C4D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14:paraId="35C63FCF">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5B8C854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en-US" w:eastAsia="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592FF138">
      <w:pPr>
        <w:spacing w:line="360" w:lineRule="auto"/>
        <w:ind w:firstLine="482" w:firstLineChars="200"/>
        <w:rPr>
          <w:rFonts w:ascii="宋体" w:hAnsi="宋体" w:cs="宋体"/>
          <w:b/>
          <w:color w:val="auto"/>
          <w:kern w:val="0"/>
          <w:sz w:val="24"/>
          <w:highlight w:val="none"/>
        </w:rPr>
      </w:pPr>
    </w:p>
    <w:p w14:paraId="37CBFADF">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73B9DD71">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5" w:orient="landscape"/>
          <w:pgMar w:top="1440" w:right="1440" w:bottom="1440" w:left="1440" w:header="851" w:footer="992" w:gutter="0"/>
          <w:pgBorders>
            <w:top w:val="none" w:sz="0" w:space="0"/>
            <w:left w:val="none" w:sz="0" w:space="0"/>
            <w:bottom w:val="none" w:sz="0" w:space="0"/>
            <w:right w:val="none" w:sz="0" w:space="0"/>
          </w:pgBorders>
          <w:cols w:space="0" w:num="1"/>
          <w:titlePg/>
          <w:rtlGutter w:val="0"/>
          <w:docGrid w:linePitch="312" w:charSpace="0"/>
        </w:sectPr>
      </w:pPr>
    </w:p>
    <w:p w14:paraId="0E32662D">
      <w:pPr>
        <w:pStyle w:val="694"/>
        <w:keepNext w:val="0"/>
        <w:pageBreakBefore w:val="0"/>
        <w:tabs>
          <w:tab w:val="clear" w:pos="720"/>
        </w:tabs>
        <w:snapToGrid w:val="0"/>
        <w:spacing w:before="120" w:after="120"/>
        <w:outlineLvl w:val="9"/>
        <w:rPr>
          <w:rFonts w:ascii="宋体" w:hAnsi="宋体" w:eastAsia="宋体" w:cs="宋体"/>
          <w:color w:val="auto"/>
          <w:kern w:val="2"/>
          <w:sz w:val="32"/>
          <w:szCs w:val="32"/>
          <w:highlight w:val="none"/>
        </w:rPr>
      </w:pPr>
      <w:bookmarkStart w:id="1085" w:name="_Toc23729"/>
      <w:r>
        <w:rPr>
          <w:rFonts w:hint="eastAsia" w:ascii="宋体" w:hAnsi="宋体" w:eastAsia="宋体" w:cs="宋体"/>
          <w:color w:val="auto"/>
          <w:kern w:val="2"/>
          <w:sz w:val="32"/>
          <w:szCs w:val="32"/>
          <w:highlight w:val="none"/>
        </w:rPr>
        <w:t>二、已标价工程量清单</w:t>
      </w:r>
      <w:bookmarkEnd w:id="1085"/>
    </w:p>
    <w:p w14:paraId="7D2E9F54">
      <w:pPr>
        <w:ind w:right="420"/>
        <w:rPr>
          <w:rFonts w:ascii="宋体" w:hAnsi="宋体" w:cs="宋体"/>
          <w:color w:val="auto"/>
          <w:sz w:val="24"/>
          <w:highlight w:val="none"/>
        </w:rPr>
      </w:pPr>
      <w:r>
        <w:rPr>
          <w:rFonts w:hint="eastAsia" w:ascii="宋体" w:hAnsi="宋体" w:cs="宋体"/>
          <w:color w:val="auto"/>
          <w:sz w:val="24"/>
          <w:highlight w:val="none"/>
        </w:rPr>
        <w:t xml:space="preserve">注：按采购文件工程量清单编制 </w:t>
      </w:r>
    </w:p>
    <w:p w14:paraId="4FE29675">
      <w:pPr>
        <w:pStyle w:val="61"/>
        <w:ind w:firstLine="480"/>
        <w:rPr>
          <w:rFonts w:cs="宋体"/>
          <w:color w:val="auto"/>
          <w:sz w:val="24"/>
          <w:highlight w:val="none"/>
        </w:rPr>
      </w:pPr>
    </w:p>
    <w:p w14:paraId="3999EA2F">
      <w:pPr>
        <w:pStyle w:val="61"/>
        <w:ind w:firstLine="480"/>
        <w:rPr>
          <w:rFonts w:cs="宋体"/>
          <w:color w:val="auto"/>
          <w:sz w:val="24"/>
          <w:highlight w:val="none"/>
        </w:rPr>
        <w:sectPr>
          <w:footerReference r:id="rId23" w:type="first"/>
          <w:headerReference r:id="rId20" w:type="default"/>
          <w:footerReference r:id="rId21" w:type="default"/>
          <w:footerReference r:id="rId22" w:type="even"/>
          <w:pgSz w:w="11905" w:h="16838"/>
          <w:pgMar w:top="1440" w:right="1440" w:bottom="1440" w:left="1440" w:header="851" w:footer="992" w:gutter="0"/>
          <w:pgBorders>
            <w:top w:val="none" w:sz="0" w:space="0"/>
            <w:left w:val="none" w:sz="0" w:space="0"/>
            <w:bottom w:val="none" w:sz="0" w:space="0"/>
            <w:right w:val="none" w:sz="0" w:space="0"/>
          </w:pgBorders>
          <w:cols w:space="0" w:num="1"/>
          <w:titlePg/>
          <w:rtlGutter w:val="0"/>
          <w:docGrid w:linePitch="312" w:charSpace="0"/>
        </w:sectPr>
      </w:pPr>
    </w:p>
    <w:p w14:paraId="4EE5FF39">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1086" w:name="_Toc11139"/>
      <w:bookmarkStart w:id="1087" w:name="_Toc465665161"/>
      <w:r>
        <w:rPr>
          <w:rFonts w:hint="eastAsia" w:ascii="宋体" w:hAnsi="宋体" w:cs="宋体"/>
          <w:color w:val="auto"/>
          <w:highlight w:val="none"/>
        </w:rPr>
        <w:t>附件</w:t>
      </w:r>
      <w:bookmarkEnd w:id="1086"/>
      <w:bookmarkEnd w:id="1087"/>
    </w:p>
    <w:p w14:paraId="527E57B4">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06DF85C">
      <w:pPr>
        <w:spacing w:line="360" w:lineRule="auto"/>
        <w:jc w:val="center"/>
        <w:rPr>
          <w:rFonts w:ascii="宋体" w:hAnsi="宋体" w:cs="宋体"/>
          <w:b/>
          <w:color w:val="auto"/>
          <w:spacing w:val="6"/>
          <w:sz w:val="32"/>
          <w:szCs w:val="32"/>
          <w:highlight w:val="none"/>
        </w:rPr>
      </w:pPr>
      <w:bookmarkStart w:id="1088" w:name="OLE_LINK14"/>
      <w:bookmarkStart w:id="1089" w:name="OLE_LINK13"/>
      <w:r>
        <w:rPr>
          <w:rFonts w:hint="eastAsia" w:ascii="宋体" w:hAnsi="宋体" w:cs="宋体"/>
          <w:b/>
          <w:color w:val="auto"/>
          <w:spacing w:val="6"/>
          <w:sz w:val="32"/>
          <w:szCs w:val="32"/>
          <w:highlight w:val="none"/>
        </w:rPr>
        <w:t>残疾人福利性单位声明函</w:t>
      </w:r>
    </w:p>
    <w:bookmarkEnd w:id="1088"/>
    <w:bookmarkEnd w:id="1089"/>
    <w:p w14:paraId="11FA1539">
      <w:pPr>
        <w:spacing w:line="360" w:lineRule="auto"/>
        <w:rPr>
          <w:rFonts w:ascii="宋体" w:hAnsi="宋体" w:cs="宋体"/>
          <w:b/>
          <w:color w:val="auto"/>
          <w:spacing w:val="6"/>
          <w:sz w:val="30"/>
          <w:szCs w:val="30"/>
          <w:highlight w:val="none"/>
        </w:rPr>
      </w:pPr>
    </w:p>
    <w:p w14:paraId="257AD6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w:t>
      </w:r>
      <w:r>
        <w:rPr>
          <w:rFonts w:hint="eastAsia" w:ascii="宋体" w:hAnsi="宋体" w:cs="宋体"/>
          <w:color w:val="auto"/>
          <w:sz w:val="24"/>
          <w:highlight w:val="none"/>
          <w:u w:val="single"/>
          <w:lang w:eastAsia="zh-CN"/>
        </w:rPr>
        <w:t>宁波经贸学校2024年综合高中维修项目（</w:t>
      </w:r>
      <w:r>
        <w:rPr>
          <w:rFonts w:hint="eastAsia" w:ascii="宋体" w:hAnsi="宋体" w:cs="宋体"/>
          <w:color w:val="auto"/>
          <w:sz w:val="24"/>
          <w:highlight w:val="none"/>
          <w:u w:val="single"/>
          <w:lang w:val="en-US" w:eastAsia="zh-CN"/>
        </w:rPr>
        <w:t>重发</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【项目编号：</w:t>
      </w:r>
      <w:r>
        <w:rPr>
          <w:rFonts w:hint="eastAsia" w:ascii="宋体" w:hAnsi="宋体" w:cs="宋体"/>
          <w:color w:val="auto"/>
          <w:sz w:val="24"/>
          <w:highlight w:val="none"/>
          <w:u w:val="single"/>
          <w:lang w:eastAsia="zh-CN"/>
        </w:rPr>
        <w:t>CBNB-20241373GGC</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385911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00D25ADA">
      <w:pPr>
        <w:spacing w:line="360" w:lineRule="auto"/>
        <w:ind w:firstLine="480" w:firstLineChars="200"/>
        <w:rPr>
          <w:rFonts w:ascii="宋体" w:hAnsi="宋体" w:cs="宋体"/>
          <w:color w:val="auto"/>
          <w:sz w:val="24"/>
          <w:highlight w:val="none"/>
        </w:rPr>
      </w:pPr>
    </w:p>
    <w:p w14:paraId="20A4D407">
      <w:pPr>
        <w:spacing w:line="360" w:lineRule="auto"/>
        <w:ind w:firstLine="480" w:firstLineChars="200"/>
        <w:rPr>
          <w:rFonts w:ascii="宋体" w:hAnsi="宋体" w:cs="宋体"/>
          <w:color w:val="auto"/>
          <w:sz w:val="24"/>
          <w:highlight w:val="none"/>
        </w:rPr>
      </w:pPr>
    </w:p>
    <w:p w14:paraId="69D2E91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66C29C2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0BE60700">
      <w:pPr>
        <w:spacing w:line="360" w:lineRule="auto"/>
        <w:ind w:firstLine="480" w:firstLineChars="200"/>
        <w:rPr>
          <w:rFonts w:ascii="宋体" w:hAnsi="宋体" w:cs="宋体"/>
          <w:color w:val="auto"/>
          <w:sz w:val="24"/>
          <w:highlight w:val="none"/>
        </w:rPr>
      </w:pPr>
    </w:p>
    <w:p w14:paraId="4B9EB8D4">
      <w:pPr>
        <w:spacing w:line="360" w:lineRule="auto"/>
        <w:ind w:firstLine="420" w:firstLineChars="200"/>
        <w:rPr>
          <w:rFonts w:ascii="宋体" w:hAnsi="宋体" w:cs="宋体"/>
          <w:color w:val="auto"/>
          <w:highlight w:val="none"/>
        </w:rPr>
      </w:pPr>
    </w:p>
    <w:p w14:paraId="7C853757">
      <w:pPr>
        <w:spacing w:line="360" w:lineRule="auto"/>
        <w:ind w:firstLine="420" w:firstLineChars="200"/>
        <w:rPr>
          <w:rFonts w:ascii="宋体" w:hAnsi="宋体" w:cs="宋体"/>
          <w:color w:val="auto"/>
          <w:highlight w:val="none"/>
        </w:rPr>
      </w:pPr>
    </w:p>
    <w:p w14:paraId="5387272D">
      <w:pPr>
        <w:spacing w:line="360" w:lineRule="auto"/>
        <w:ind w:firstLine="420" w:firstLineChars="200"/>
        <w:rPr>
          <w:rFonts w:ascii="宋体" w:hAnsi="宋体" w:cs="宋体"/>
          <w:color w:val="auto"/>
          <w:highlight w:val="none"/>
        </w:rPr>
      </w:pPr>
    </w:p>
    <w:p w14:paraId="1D2D958E">
      <w:pPr>
        <w:spacing w:line="360" w:lineRule="auto"/>
        <w:ind w:firstLine="420" w:firstLineChars="200"/>
        <w:rPr>
          <w:rFonts w:ascii="宋体" w:hAnsi="宋体" w:cs="宋体"/>
          <w:color w:val="auto"/>
          <w:highlight w:val="none"/>
        </w:rPr>
      </w:pPr>
    </w:p>
    <w:p w14:paraId="4C5908BD">
      <w:pPr>
        <w:spacing w:line="360" w:lineRule="auto"/>
        <w:rPr>
          <w:rFonts w:ascii="宋体" w:hAnsi="宋体" w:cs="宋体"/>
          <w:b/>
          <w:color w:val="auto"/>
          <w:sz w:val="24"/>
          <w:highlight w:val="none"/>
        </w:rPr>
      </w:pPr>
    </w:p>
    <w:p w14:paraId="790A6797">
      <w:pPr>
        <w:spacing w:line="360" w:lineRule="auto"/>
        <w:rPr>
          <w:rFonts w:ascii="宋体" w:hAnsi="宋体" w:cs="宋体"/>
          <w:b/>
          <w:color w:val="auto"/>
          <w:sz w:val="24"/>
          <w:highlight w:val="none"/>
        </w:rPr>
      </w:pPr>
    </w:p>
    <w:p w14:paraId="756F4840">
      <w:pPr>
        <w:spacing w:line="360" w:lineRule="auto"/>
        <w:rPr>
          <w:rFonts w:ascii="宋体" w:hAnsi="宋体" w:cs="宋体"/>
          <w:b/>
          <w:color w:val="auto"/>
          <w:sz w:val="24"/>
          <w:highlight w:val="none"/>
        </w:rPr>
      </w:pPr>
    </w:p>
    <w:p w14:paraId="52B6CFF3">
      <w:pPr>
        <w:spacing w:line="360" w:lineRule="auto"/>
        <w:rPr>
          <w:rFonts w:ascii="宋体" w:hAnsi="宋体" w:cs="宋体"/>
          <w:b/>
          <w:color w:val="auto"/>
          <w:sz w:val="24"/>
          <w:highlight w:val="none"/>
        </w:rPr>
      </w:pPr>
    </w:p>
    <w:p w14:paraId="7F78E901">
      <w:pPr>
        <w:spacing w:line="360" w:lineRule="auto"/>
        <w:rPr>
          <w:rFonts w:ascii="宋体" w:hAnsi="宋体" w:cs="宋体"/>
          <w:b/>
          <w:color w:val="auto"/>
          <w:sz w:val="24"/>
          <w:highlight w:val="none"/>
        </w:rPr>
      </w:pPr>
    </w:p>
    <w:p w14:paraId="08E18B9B">
      <w:pPr>
        <w:spacing w:line="360" w:lineRule="auto"/>
        <w:rPr>
          <w:rFonts w:ascii="宋体" w:hAnsi="宋体" w:cs="宋体"/>
          <w:b/>
          <w:color w:val="auto"/>
          <w:sz w:val="24"/>
          <w:highlight w:val="none"/>
        </w:rPr>
      </w:pPr>
    </w:p>
    <w:p w14:paraId="3ED245DC">
      <w:pPr>
        <w:spacing w:line="360" w:lineRule="auto"/>
        <w:rPr>
          <w:rFonts w:ascii="宋体" w:hAnsi="宋体" w:cs="宋体"/>
          <w:b/>
          <w:color w:val="auto"/>
          <w:sz w:val="24"/>
          <w:highlight w:val="none"/>
        </w:rPr>
      </w:pPr>
    </w:p>
    <w:p w14:paraId="2E2989B6">
      <w:pPr>
        <w:spacing w:line="360" w:lineRule="auto"/>
        <w:rPr>
          <w:rFonts w:ascii="宋体" w:hAnsi="宋体" w:cs="宋体"/>
          <w:b/>
          <w:color w:val="auto"/>
          <w:sz w:val="24"/>
          <w:highlight w:val="none"/>
        </w:rPr>
      </w:pPr>
    </w:p>
    <w:p w14:paraId="40FFCEC3">
      <w:pPr>
        <w:autoSpaceDE w:val="0"/>
        <w:autoSpaceDN w:val="0"/>
        <w:jc w:val="both"/>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2</w:t>
      </w:r>
      <w:r>
        <w:rPr>
          <w:rFonts w:hint="eastAsia" w:ascii="宋体" w:hAnsi="宋体" w:cs="宋体"/>
          <w:b/>
          <w:color w:val="auto"/>
          <w:spacing w:val="6"/>
          <w:sz w:val="32"/>
          <w:szCs w:val="32"/>
          <w:highlight w:val="none"/>
        </w:rPr>
        <w:t>：</w:t>
      </w:r>
    </w:p>
    <w:p w14:paraId="430382F7">
      <w:pPr>
        <w:autoSpaceDE w:val="0"/>
        <w:autoSpaceDN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业务专用章使用说明函</w:t>
      </w:r>
    </w:p>
    <w:p w14:paraId="18256393">
      <w:pPr>
        <w:spacing w:line="360" w:lineRule="auto"/>
        <w:rPr>
          <w:rFonts w:ascii="宋体" w:hAnsi="宋体" w:cs="宋体"/>
          <w:color w:val="auto"/>
          <w:sz w:val="24"/>
          <w:highlight w:val="none"/>
          <w:u w:val="single"/>
        </w:rPr>
      </w:pPr>
    </w:p>
    <w:p w14:paraId="7E8774EC">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宁波经贸学校、</w:t>
      </w:r>
      <w:r>
        <w:rPr>
          <w:rFonts w:hint="eastAsia" w:ascii="宋体" w:hAnsi="宋体" w:cs="宋体"/>
          <w:color w:val="auto"/>
          <w:sz w:val="24"/>
          <w:highlight w:val="none"/>
          <w:lang w:val="en-US" w:eastAsia="zh-CN"/>
        </w:rPr>
        <w:t>宁波中基国际招标有限公司：</w:t>
      </w:r>
    </w:p>
    <w:p w14:paraId="01BE776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lang w:eastAsia="zh-CN"/>
        </w:rPr>
        <w:t>宁波经贸学校2024年综合高中维修项目（</w:t>
      </w:r>
      <w:r>
        <w:rPr>
          <w:rFonts w:hint="eastAsia" w:ascii="宋体" w:hAnsi="宋体" w:cs="宋体"/>
          <w:color w:val="auto"/>
          <w:sz w:val="24"/>
          <w:highlight w:val="none"/>
          <w:u w:val="single"/>
          <w:lang w:val="en-US" w:eastAsia="zh-CN"/>
        </w:rPr>
        <w:t>重发</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【项目编号：</w:t>
      </w:r>
      <w:r>
        <w:rPr>
          <w:rFonts w:hint="eastAsia" w:ascii="宋体" w:hAnsi="宋体" w:cs="宋体"/>
          <w:color w:val="auto"/>
          <w:sz w:val="24"/>
          <w:highlight w:val="none"/>
          <w:u w:val="single"/>
          <w:lang w:eastAsia="zh-CN"/>
        </w:rPr>
        <w:t>CBNB-20241373GGC</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63575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6D92C29">
      <w:pPr>
        <w:spacing w:line="360" w:lineRule="auto"/>
        <w:ind w:firstLine="494"/>
        <w:rPr>
          <w:rFonts w:ascii="宋体" w:hAnsi="宋体" w:cs="宋体"/>
          <w:color w:val="auto"/>
          <w:sz w:val="24"/>
          <w:highlight w:val="none"/>
        </w:rPr>
      </w:pPr>
    </w:p>
    <w:p w14:paraId="19D4F946">
      <w:pPr>
        <w:spacing w:line="360" w:lineRule="auto"/>
        <w:ind w:firstLine="494"/>
        <w:rPr>
          <w:rFonts w:ascii="宋体" w:hAnsi="宋体" w:cs="宋体"/>
          <w:color w:val="auto"/>
          <w:sz w:val="24"/>
          <w:highlight w:val="none"/>
        </w:rPr>
      </w:pPr>
    </w:p>
    <w:p w14:paraId="7231F3F2">
      <w:pPr>
        <w:spacing w:line="360" w:lineRule="auto"/>
        <w:ind w:firstLine="494"/>
        <w:rPr>
          <w:rFonts w:ascii="宋体" w:hAnsi="宋体" w:cs="宋体"/>
          <w:color w:val="auto"/>
          <w:sz w:val="24"/>
          <w:highlight w:val="none"/>
        </w:rPr>
      </w:pPr>
    </w:p>
    <w:p w14:paraId="7F94D8E0">
      <w:pPr>
        <w:spacing w:line="360" w:lineRule="auto"/>
        <w:ind w:firstLine="494"/>
        <w:rPr>
          <w:rFonts w:ascii="宋体" w:hAnsi="宋体" w:cs="宋体"/>
          <w:color w:val="auto"/>
          <w:sz w:val="24"/>
          <w:highlight w:val="none"/>
        </w:rPr>
      </w:pPr>
    </w:p>
    <w:p w14:paraId="0A5EF67E">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14:paraId="71BA4FC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4215835">
      <w:pPr>
        <w:rPr>
          <w:rFonts w:ascii="宋体" w:hAnsi="宋体" w:cs="宋体"/>
          <w:color w:val="auto"/>
          <w:sz w:val="24"/>
          <w:highlight w:val="none"/>
        </w:rPr>
      </w:pPr>
      <w:r>
        <w:rPr>
          <w:rFonts w:hint="eastAsia" w:ascii="宋体" w:hAnsi="宋体" w:cs="宋体"/>
          <w:b/>
          <w:bCs/>
          <w:color w:val="auto"/>
          <w:sz w:val="24"/>
          <w:highlight w:val="none"/>
        </w:rPr>
        <w:t>附：</w:t>
      </w:r>
    </w:p>
    <w:p w14:paraId="44217ABB">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3D94AF06">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3D94AF06">
                      <w:pPr>
                        <w:jc w:val="center"/>
                      </w:pPr>
                    </w:p>
                  </w:txbxContent>
                </v:textbox>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7080189C">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7080189C">
                      <w:pPr>
                        <w:jc w:val="center"/>
                      </w:pPr>
                    </w:p>
                  </w:txbxContent>
                </v:textbox>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14:paraId="2E11F903">
      <w:pPr>
        <w:autoSpaceDE w:val="0"/>
        <w:autoSpaceDN w:val="0"/>
        <w:jc w:val="center"/>
        <w:rPr>
          <w:rFonts w:ascii="宋体" w:hAnsi="宋体" w:cs="宋体"/>
          <w:b/>
          <w:color w:val="auto"/>
          <w:spacing w:val="6"/>
          <w:sz w:val="32"/>
          <w:szCs w:val="32"/>
          <w:highlight w:val="none"/>
        </w:rPr>
      </w:pPr>
    </w:p>
    <w:p w14:paraId="1A139451">
      <w:pPr>
        <w:autoSpaceDE w:val="0"/>
        <w:autoSpaceDN w:val="0"/>
        <w:jc w:val="center"/>
        <w:rPr>
          <w:rFonts w:ascii="宋体" w:hAnsi="宋体" w:cs="宋体"/>
          <w:b/>
          <w:color w:val="auto"/>
          <w:spacing w:val="6"/>
          <w:sz w:val="32"/>
          <w:szCs w:val="32"/>
          <w:highlight w:val="none"/>
        </w:rPr>
      </w:pPr>
    </w:p>
    <w:p w14:paraId="2A6C8AB3">
      <w:pPr>
        <w:autoSpaceDE w:val="0"/>
        <w:autoSpaceDN w:val="0"/>
        <w:jc w:val="center"/>
        <w:rPr>
          <w:rFonts w:ascii="宋体" w:hAnsi="宋体" w:cs="宋体"/>
          <w:b/>
          <w:color w:val="auto"/>
          <w:spacing w:val="6"/>
          <w:sz w:val="32"/>
          <w:szCs w:val="32"/>
          <w:highlight w:val="none"/>
        </w:rPr>
      </w:pPr>
    </w:p>
    <w:p w14:paraId="0A6709E2">
      <w:pPr>
        <w:autoSpaceDE w:val="0"/>
        <w:autoSpaceDN w:val="0"/>
        <w:jc w:val="center"/>
        <w:rPr>
          <w:rFonts w:ascii="宋体" w:hAnsi="宋体" w:cs="宋体"/>
          <w:b/>
          <w:color w:val="auto"/>
          <w:spacing w:val="6"/>
          <w:sz w:val="32"/>
          <w:szCs w:val="32"/>
          <w:highlight w:val="none"/>
        </w:rPr>
      </w:pPr>
    </w:p>
    <w:p w14:paraId="4A30E29B">
      <w:pPr>
        <w:autoSpaceDE w:val="0"/>
        <w:autoSpaceDN w:val="0"/>
        <w:jc w:val="center"/>
        <w:rPr>
          <w:rFonts w:ascii="宋体" w:hAnsi="宋体" w:cs="宋体"/>
          <w:b/>
          <w:color w:val="auto"/>
          <w:spacing w:val="6"/>
          <w:sz w:val="32"/>
          <w:szCs w:val="32"/>
          <w:highlight w:val="none"/>
        </w:rPr>
      </w:pPr>
    </w:p>
    <w:p w14:paraId="0A29F609">
      <w:pPr>
        <w:autoSpaceDE w:val="0"/>
        <w:autoSpaceDN w:val="0"/>
        <w:jc w:val="center"/>
        <w:rPr>
          <w:rFonts w:ascii="宋体" w:hAnsi="宋体" w:cs="宋体"/>
          <w:b/>
          <w:color w:val="auto"/>
          <w:spacing w:val="6"/>
          <w:sz w:val="32"/>
          <w:szCs w:val="32"/>
          <w:highlight w:val="none"/>
        </w:rPr>
      </w:pPr>
    </w:p>
    <w:p w14:paraId="1CC25F9F">
      <w:pPr>
        <w:autoSpaceDE w:val="0"/>
        <w:autoSpaceDN w:val="0"/>
        <w:jc w:val="center"/>
        <w:rPr>
          <w:rFonts w:ascii="宋体" w:hAnsi="宋体" w:cs="宋体"/>
          <w:b/>
          <w:color w:val="auto"/>
          <w:spacing w:val="6"/>
          <w:sz w:val="32"/>
          <w:szCs w:val="32"/>
          <w:highlight w:val="none"/>
        </w:rPr>
      </w:pPr>
    </w:p>
    <w:p w14:paraId="16608B24">
      <w:pPr>
        <w:autoSpaceDE w:val="0"/>
        <w:autoSpaceDN w:val="0"/>
        <w:jc w:val="center"/>
        <w:rPr>
          <w:rFonts w:ascii="宋体" w:hAnsi="宋体" w:cs="宋体"/>
          <w:b/>
          <w:color w:val="auto"/>
          <w:spacing w:val="6"/>
          <w:sz w:val="32"/>
          <w:szCs w:val="32"/>
          <w:highlight w:val="none"/>
        </w:rPr>
      </w:pPr>
    </w:p>
    <w:p w14:paraId="257467E5">
      <w:pPr>
        <w:autoSpaceDE w:val="0"/>
        <w:autoSpaceDN w:val="0"/>
        <w:jc w:val="center"/>
        <w:rPr>
          <w:rFonts w:ascii="宋体" w:hAnsi="宋体" w:cs="宋体"/>
          <w:b/>
          <w:color w:val="auto"/>
          <w:spacing w:val="6"/>
          <w:sz w:val="32"/>
          <w:szCs w:val="32"/>
          <w:highlight w:val="none"/>
        </w:rPr>
      </w:pPr>
    </w:p>
    <w:p w14:paraId="4B6A225A">
      <w:pPr>
        <w:autoSpaceDE w:val="0"/>
        <w:autoSpaceDN w:val="0"/>
        <w:jc w:val="center"/>
        <w:rPr>
          <w:rFonts w:ascii="宋体" w:hAnsi="宋体" w:cs="宋体"/>
          <w:b/>
          <w:color w:val="auto"/>
          <w:spacing w:val="6"/>
          <w:sz w:val="32"/>
          <w:szCs w:val="32"/>
          <w:highlight w:val="none"/>
        </w:rPr>
      </w:pPr>
    </w:p>
    <w:p w14:paraId="746D699F">
      <w:pPr>
        <w:autoSpaceDE w:val="0"/>
        <w:autoSpaceDN w:val="0"/>
        <w:jc w:val="center"/>
        <w:rPr>
          <w:rFonts w:ascii="宋体" w:hAnsi="宋体" w:cs="宋体"/>
          <w:b/>
          <w:color w:val="auto"/>
          <w:spacing w:val="6"/>
          <w:sz w:val="32"/>
          <w:szCs w:val="32"/>
          <w:highlight w:val="none"/>
        </w:rPr>
      </w:pPr>
    </w:p>
    <w:p w14:paraId="20F21E94">
      <w:pPr>
        <w:autoSpaceDE w:val="0"/>
        <w:autoSpaceDN w:val="0"/>
        <w:jc w:val="center"/>
        <w:rPr>
          <w:rFonts w:ascii="宋体" w:hAnsi="宋体" w:cs="宋体"/>
          <w:b/>
          <w:color w:val="auto"/>
          <w:spacing w:val="6"/>
          <w:sz w:val="32"/>
          <w:szCs w:val="32"/>
          <w:highlight w:val="none"/>
        </w:rPr>
      </w:pPr>
    </w:p>
    <w:p w14:paraId="2BF00B03">
      <w:pPr>
        <w:autoSpaceDE w:val="0"/>
        <w:autoSpaceDN w:val="0"/>
        <w:jc w:val="center"/>
        <w:rPr>
          <w:rFonts w:ascii="宋体" w:hAnsi="宋体" w:cs="宋体"/>
          <w:b/>
          <w:color w:val="auto"/>
          <w:spacing w:val="6"/>
          <w:sz w:val="32"/>
          <w:szCs w:val="32"/>
          <w:highlight w:val="none"/>
        </w:rPr>
      </w:pPr>
    </w:p>
    <w:p w14:paraId="7EEB2DE1">
      <w:pPr>
        <w:autoSpaceDE w:val="0"/>
        <w:autoSpaceDN w:val="0"/>
        <w:jc w:val="center"/>
        <w:rPr>
          <w:rFonts w:ascii="宋体" w:hAnsi="宋体" w:cs="宋体"/>
          <w:b/>
          <w:color w:val="auto"/>
          <w:spacing w:val="6"/>
          <w:sz w:val="32"/>
          <w:szCs w:val="32"/>
          <w:highlight w:val="none"/>
        </w:rPr>
      </w:pPr>
    </w:p>
    <w:p w14:paraId="45E9B899">
      <w:pPr>
        <w:autoSpaceDE w:val="0"/>
        <w:autoSpaceDN w:val="0"/>
        <w:jc w:val="both"/>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3</w:t>
      </w:r>
      <w:r>
        <w:rPr>
          <w:rFonts w:hint="eastAsia" w:ascii="宋体" w:hAnsi="宋体" w:cs="宋体"/>
          <w:b/>
          <w:color w:val="auto"/>
          <w:spacing w:val="6"/>
          <w:sz w:val="32"/>
          <w:szCs w:val="32"/>
          <w:highlight w:val="none"/>
        </w:rPr>
        <w:t>：</w:t>
      </w:r>
    </w:p>
    <w:p w14:paraId="4EADB919">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分包意向协议</w:t>
      </w:r>
      <w:r>
        <w:rPr>
          <w:rFonts w:hint="eastAsia" w:ascii="宋体" w:hAnsi="宋体" w:cs="宋体"/>
          <w:b/>
          <w:color w:val="auto"/>
          <w:kern w:val="0"/>
          <w:sz w:val="32"/>
          <w:szCs w:val="32"/>
          <w:highlight w:val="none"/>
          <w:lang w:val="zh-CN"/>
        </w:rPr>
        <w:t>（</w:t>
      </w:r>
      <w:r>
        <w:rPr>
          <w:rFonts w:hint="eastAsia" w:ascii="宋体" w:hAnsi="宋体" w:cs="宋体"/>
          <w:b/>
          <w:color w:val="auto"/>
          <w:kern w:val="0"/>
          <w:sz w:val="32"/>
          <w:szCs w:val="32"/>
          <w:highlight w:val="none"/>
          <w:lang w:val="en-US" w:eastAsia="zh-CN"/>
        </w:rPr>
        <w:t>如有</w:t>
      </w:r>
      <w:r>
        <w:rPr>
          <w:rFonts w:hint="eastAsia" w:ascii="宋体" w:hAnsi="宋体" w:cs="宋体"/>
          <w:b/>
          <w:color w:val="auto"/>
          <w:kern w:val="0"/>
          <w:sz w:val="32"/>
          <w:szCs w:val="32"/>
          <w:highlight w:val="none"/>
          <w:lang w:val="zh-CN"/>
        </w:rPr>
        <w:t>）</w:t>
      </w:r>
    </w:p>
    <w:p w14:paraId="2CF2238B">
      <w:pPr>
        <w:widowControl/>
        <w:spacing w:line="24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45B27E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u w:val="single"/>
          <w:lang w:eastAsia="zh-CN"/>
        </w:rPr>
        <w:t>宁波经贸学校2024年综合高中维修项目（</w:t>
      </w:r>
      <w:r>
        <w:rPr>
          <w:rFonts w:hint="eastAsia" w:ascii="宋体" w:hAnsi="宋体" w:cs="宋体"/>
          <w:color w:val="auto"/>
          <w:sz w:val="24"/>
          <w:highlight w:val="none"/>
          <w:u w:val="single"/>
          <w:lang w:val="en-US" w:eastAsia="zh-CN"/>
        </w:rPr>
        <w:t>重发</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【项目编号：</w:t>
      </w:r>
      <w:r>
        <w:rPr>
          <w:rFonts w:hint="eastAsia" w:ascii="宋体" w:hAnsi="宋体" w:cs="宋体"/>
          <w:color w:val="auto"/>
          <w:sz w:val="24"/>
          <w:highlight w:val="none"/>
          <w:u w:val="single"/>
          <w:lang w:eastAsia="zh-CN"/>
        </w:rPr>
        <w:t>CBNB-20241373GGC</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329F70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3BAD1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63C59D7">
      <w:pPr>
        <w:pStyle w:val="3"/>
        <w:ind w:left="664" w:leftChars="316" w:firstLine="229" w:firstLineChars="95"/>
        <w:rPr>
          <w:rFonts w:ascii="宋体" w:hAnsi="宋体" w:eastAsia="宋体" w:cs="宋体"/>
          <w:color w:val="auto"/>
          <w:kern w:val="0"/>
          <w:sz w:val="24"/>
          <w:szCs w:val="24"/>
          <w:highlight w:val="none"/>
        </w:rPr>
      </w:pPr>
      <w:bookmarkStart w:id="1090" w:name="_Toc7437"/>
      <w:r>
        <w:rPr>
          <w:rFonts w:hint="eastAsia" w:ascii="宋体" w:hAnsi="宋体" w:eastAsia="宋体" w:cs="宋体"/>
          <w:color w:val="auto"/>
          <w:kern w:val="0"/>
          <w:sz w:val="24"/>
          <w:szCs w:val="24"/>
          <w:highlight w:val="none"/>
        </w:rPr>
        <w:t>……</w:t>
      </w:r>
      <w:bookmarkEnd w:id="1090"/>
    </w:p>
    <w:p w14:paraId="46E6178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2AA087BC">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F398862">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109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1091"/>
    </w:p>
    <w:p w14:paraId="563B99E9">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349EDCD">
      <w:pPr>
        <w:snapToGrid w:val="0"/>
        <w:spacing w:line="24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51E2F56">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C8E677F">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675A552">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7CB02A4">
      <w:pPr>
        <w:snapToGrid w:val="0"/>
        <w:spacing w:line="24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FDFAB41">
      <w:pPr>
        <w:snapToGrid w:val="0"/>
        <w:spacing w:line="24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5D1D96E">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F82D102">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6F5CB37">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19BE7D9">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17AE2A9F">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489E570A">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7C54B27">
      <w:pPr>
        <w:autoSpaceDE/>
        <w:autoSpaceDN/>
        <w:spacing w:line="360" w:lineRule="auto"/>
        <w:jc w:val="center"/>
        <w:rPr>
          <w:rFonts w:ascii="宋体" w:hAnsi="宋体" w:cs="宋体"/>
          <w:b/>
          <w:color w:val="auto"/>
          <w:spacing w:val="6"/>
          <w:sz w:val="32"/>
          <w:szCs w:val="32"/>
          <w:highlight w:val="none"/>
        </w:rPr>
      </w:pPr>
      <w:r>
        <w:rPr>
          <w:rFonts w:hint="eastAsia" w:ascii="宋体" w:hAnsi="宋体" w:cs="宋体"/>
          <w:color w:val="auto"/>
          <w:kern w:val="0"/>
          <w:sz w:val="24"/>
          <w:highlight w:val="none"/>
          <w:lang w:val="zh-CN"/>
        </w:rPr>
        <w:t xml:space="preserve">                                        日期：  年  月   日</w:t>
      </w:r>
    </w:p>
    <w:p w14:paraId="6C5FDBB4">
      <w:pPr>
        <w:autoSpaceDE w:val="0"/>
        <w:autoSpaceDN w:val="0"/>
        <w:jc w:val="center"/>
        <w:rPr>
          <w:rFonts w:ascii="宋体" w:hAnsi="宋体" w:cs="宋体"/>
          <w:b/>
          <w:color w:val="auto"/>
          <w:spacing w:val="6"/>
          <w:sz w:val="32"/>
          <w:szCs w:val="32"/>
          <w:highlight w:val="none"/>
        </w:rPr>
        <w:sectPr>
          <w:pgSz w:w="11905" w:h="16838"/>
          <w:pgMar w:top="1440" w:right="1440" w:bottom="1440" w:left="1440" w:header="851" w:footer="992" w:gutter="0"/>
          <w:pgBorders>
            <w:top w:val="none" w:sz="0" w:space="0"/>
            <w:left w:val="none" w:sz="0" w:space="0"/>
            <w:bottom w:val="none" w:sz="0" w:space="0"/>
            <w:right w:val="none" w:sz="0" w:space="0"/>
          </w:pgBorders>
          <w:cols w:space="0" w:num="1"/>
          <w:titlePg/>
          <w:rtlGutter w:val="0"/>
          <w:docGrid w:linePitch="312" w:charSpace="0"/>
        </w:sectPr>
      </w:pPr>
    </w:p>
    <w:p w14:paraId="52C34FA4">
      <w:pPr>
        <w:autoSpaceDE w:val="0"/>
        <w:autoSpaceDN w:val="0"/>
        <w:jc w:val="both"/>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4</w:t>
      </w:r>
      <w:r>
        <w:rPr>
          <w:rFonts w:hint="eastAsia" w:ascii="宋体" w:hAnsi="宋体" w:cs="宋体"/>
          <w:b/>
          <w:color w:val="auto"/>
          <w:spacing w:val="6"/>
          <w:sz w:val="32"/>
          <w:szCs w:val="32"/>
          <w:highlight w:val="none"/>
        </w:rPr>
        <w:t>：</w:t>
      </w:r>
    </w:p>
    <w:p w14:paraId="18391BDF">
      <w:pPr>
        <w:spacing w:line="360" w:lineRule="auto"/>
        <w:jc w:val="center"/>
        <w:rPr>
          <w:rFonts w:ascii="宋体" w:hAnsi="宋体" w:cs="宋体"/>
          <w:color w:val="auto"/>
          <w:sz w:val="24"/>
          <w:highlight w:val="none"/>
          <w:u w:val="single"/>
        </w:rPr>
      </w:pPr>
    </w:p>
    <w:p w14:paraId="579CE81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48676B06">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lang w:eastAsia="zh-CN"/>
        </w:rPr>
        <w:t>宁波经贸学校2024年综合高中维修项目（</w:t>
      </w:r>
      <w:r>
        <w:rPr>
          <w:rFonts w:hint="eastAsia" w:ascii="宋体" w:hAnsi="宋体" w:cs="宋体"/>
          <w:color w:val="auto"/>
          <w:sz w:val="24"/>
          <w:highlight w:val="none"/>
          <w:u w:val="single"/>
          <w:lang w:val="en-US" w:eastAsia="zh-CN"/>
        </w:rPr>
        <w:t>重发</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【项目编号：</w:t>
      </w:r>
      <w:r>
        <w:rPr>
          <w:rFonts w:hint="eastAsia" w:ascii="宋体" w:hAnsi="宋体" w:cs="宋体"/>
          <w:color w:val="auto"/>
          <w:sz w:val="24"/>
          <w:highlight w:val="none"/>
          <w:u w:val="single"/>
          <w:lang w:eastAsia="zh-CN"/>
        </w:rPr>
        <w:t>CBNB-20241373GGC</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A4B268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宁波经贸学校</w:t>
      </w:r>
      <w:r>
        <w:rPr>
          <w:rFonts w:hint="eastAsia" w:ascii="宋体" w:hAnsi="宋体" w:cs="宋体"/>
          <w:color w:val="auto"/>
          <w:sz w:val="24"/>
          <w:highlight w:val="none"/>
          <w:u w:val="single"/>
          <w:lang w:val="en-US" w:eastAsia="zh-CN"/>
        </w:rPr>
        <w:t>2024年</w:t>
      </w:r>
      <w:r>
        <w:rPr>
          <w:rFonts w:hint="eastAsia" w:ascii="宋体" w:hAnsi="宋体" w:cs="宋体"/>
          <w:color w:val="auto"/>
          <w:sz w:val="24"/>
          <w:highlight w:val="none"/>
          <w:u w:val="single"/>
          <w:lang w:eastAsia="zh-CN"/>
        </w:rPr>
        <w:t>综合高中维修</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val="en-US" w:eastAsia="zh-CN"/>
        </w:rPr>
        <w:t>建筑业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bookmarkStart w:id="1096" w:name="_GoBack"/>
      <w:bookmarkEnd w:id="1096"/>
    </w:p>
    <w:p w14:paraId="64C5F16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4DF56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9EA2763">
      <w:pPr>
        <w:spacing w:line="360" w:lineRule="auto"/>
        <w:ind w:firstLine="480" w:firstLineChars="200"/>
        <w:rPr>
          <w:rFonts w:ascii="宋体" w:hAnsi="宋体" w:cs="宋体"/>
          <w:color w:val="auto"/>
          <w:sz w:val="24"/>
          <w:highlight w:val="none"/>
        </w:rPr>
      </w:pPr>
    </w:p>
    <w:p w14:paraId="750580B1">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1F9B3250">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FE114CC">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30FF0CA7">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6F04EB9C">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中小企业声明函无效，不享受中小企业扶持政策。声明内容不实的，属于提供虚假材料谋取中标、成交的，依法承担法律责任。</w:t>
      </w:r>
    </w:p>
    <w:p w14:paraId="0C34590C">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建筑业。营业收入80000万元以下或资产总额80000万元以下的为中小微型企业。其中，营业收入6000万元及以上，且资产总额5000万元及以上的为中型企业；营业收入300万元及以上，且资产总额300万元及以上的为小型企业；营业收入 300万元以下或资产总额300万元以下的为微型企业。 </w:t>
      </w:r>
    </w:p>
    <w:p w14:paraId="6F31B650">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D75384A">
      <w:pPr>
        <w:spacing w:line="360" w:lineRule="auto"/>
        <w:ind w:right="420"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联合体投标的，联合体双方均需提供中小企业声明函。</w:t>
      </w:r>
    </w:p>
    <w:p w14:paraId="6ECF29FE">
      <w:pPr>
        <w:spacing w:line="360" w:lineRule="auto"/>
        <w:jc w:val="center"/>
        <w:rPr>
          <w:rFonts w:ascii="宋体" w:hAnsi="宋体" w:cs="宋体"/>
          <w:b/>
          <w:color w:val="auto"/>
          <w:sz w:val="32"/>
          <w:szCs w:val="32"/>
          <w:highlight w:val="none"/>
        </w:rPr>
      </w:pPr>
    </w:p>
    <w:p w14:paraId="01312F4F">
      <w:pPr>
        <w:spacing w:line="360" w:lineRule="auto"/>
        <w:jc w:val="center"/>
        <w:rPr>
          <w:rFonts w:ascii="宋体" w:hAnsi="宋体" w:cs="宋体"/>
          <w:b/>
          <w:color w:val="auto"/>
          <w:sz w:val="32"/>
          <w:szCs w:val="32"/>
          <w:highlight w:val="none"/>
        </w:rPr>
      </w:pPr>
    </w:p>
    <w:p w14:paraId="28D7CD5A">
      <w:pPr>
        <w:spacing w:line="360" w:lineRule="auto"/>
        <w:jc w:val="center"/>
        <w:rPr>
          <w:rFonts w:ascii="宋体" w:hAnsi="宋体" w:cs="宋体"/>
          <w:b/>
          <w:color w:val="auto"/>
          <w:sz w:val="32"/>
          <w:szCs w:val="32"/>
          <w:highlight w:val="none"/>
        </w:rPr>
      </w:pPr>
    </w:p>
    <w:p w14:paraId="33074924">
      <w:pPr>
        <w:spacing w:line="360" w:lineRule="auto"/>
        <w:jc w:val="center"/>
        <w:rPr>
          <w:rFonts w:ascii="宋体" w:hAnsi="宋体" w:cs="宋体"/>
          <w:b/>
          <w:color w:val="auto"/>
          <w:sz w:val="32"/>
          <w:szCs w:val="32"/>
          <w:highlight w:val="none"/>
        </w:rPr>
      </w:pPr>
    </w:p>
    <w:p w14:paraId="3E772F95">
      <w:pPr>
        <w:spacing w:line="360" w:lineRule="auto"/>
        <w:jc w:val="center"/>
        <w:rPr>
          <w:rFonts w:ascii="宋体" w:hAnsi="宋体" w:cs="宋体"/>
          <w:b/>
          <w:color w:val="auto"/>
          <w:sz w:val="32"/>
          <w:szCs w:val="32"/>
          <w:highlight w:val="none"/>
        </w:rPr>
      </w:pPr>
    </w:p>
    <w:p w14:paraId="5B5733A8">
      <w:pPr>
        <w:spacing w:line="360" w:lineRule="auto"/>
        <w:jc w:val="center"/>
        <w:rPr>
          <w:rFonts w:ascii="宋体" w:hAnsi="宋体" w:cs="宋体"/>
          <w:b/>
          <w:color w:val="auto"/>
          <w:sz w:val="32"/>
          <w:szCs w:val="32"/>
          <w:highlight w:val="none"/>
        </w:rPr>
      </w:pPr>
    </w:p>
    <w:p w14:paraId="3DC8331C">
      <w:pPr>
        <w:spacing w:line="360" w:lineRule="auto"/>
        <w:jc w:val="center"/>
        <w:rPr>
          <w:rFonts w:ascii="宋体" w:hAnsi="宋体" w:cs="宋体"/>
          <w:b/>
          <w:color w:val="auto"/>
          <w:sz w:val="32"/>
          <w:szCs w:val="32"/>
          <w:highlight w:val="none"/>
        </w:rPr>
      </w:pPr>
    </w:p>
    <w:p w14:paraId="06EEA5DB">
      <w:pPr>
        <w:spacing w:line="360" w:lineRule="auto"/>
        <w:jc w:val="center"/>
        <w:rPr>
          <w:rFonts w:ascii="宋体" w:hAnsi="宋体" w:cs="宋体"/>
          <w:b/>
          <w:color w:val="auto"/>
          <w:sz w:val="32"/>
          <w:szCs w:val="32"/>
          <w:highlight w:val="none"/>
        </w:rPr>
      </w:pPr>
    </w:p>
    <w:p w14:paraId="6C8F92BA">
      <w:pPr>
        <w:spacing w:line="360" w:lineRule="auto"/>
        <w:jc w:val="center"/>
        <w:rPr>
          <w:rFonts w:ascii="宋体" w:hAnsi="宋体" w:cs="宋体"/>
          <w:b/>
          <w:color w:val="auto"/>
          <w:sz w:val="32"/>
          <w:szCs w:val="32"/>
          <w:highlight w:val="none"/>
        </w:rPr>
      </w:pPr>
    </w:p>
    <w:p w14:paraId="2727919F">
      <w:pPr>
        <w:spacing w:line="360" w:lineRule="auto"/>
        <w:jc w:val="center"/>
        <w:rPr>
          <w:rFonts w:ascii="宋体" w:hAnsi="宋体" w:cs="宋体"/>
          <w:b/>
          <w:color w:val="auto"/>
          <w:sz w:val="32"/>
          <w:szCs w:val="32"/>
          <w:highlight w:val="none"/>
        </w:rPr>
      </w:pPr>
    </w:p>
    <w:p w14:paraId="79015254">
      <w:pPr>
        <w:spacing w:line="360" w:lineRule="auto"/>
        <w:jc w:val="center"/>
        <w:rPr>
          <w:rFonts w:ascii="宋体" w:hAnsi="宋体" w:cs="宋体"/>
          <w:b/>
          <w:color w:val="auto"/>
          <w:sz w:val="32"/>
          <w:szCs w:val="32"/>
          <w:highlight w:val="none"/>
        </w:rPr>
      </w:pPr>
    </w:p>
    <w:p w14:paraId="6E6B987B">
      <w:pPr>
        <w:spacing w:line="360" w:lineRule="auto"/>
        <w:jc w:val="center"/>
        <w:rPr>
          <w:rFonts w:ascii="宋体" w:hAnsi="宋体" w:cs="宋体"/>
          <w:b/>
          <w:color w:val="auto"/>
          <w:sz w:val="32"/>
          <w:szCs w:val="32"/>
          <w:highlight w:val="none"/>
        </w:rPr>
      </w:pPr>
    </w:p>
    <w:p w14:paraId="1984C275">
      <w:pPr>
        <w:spacing w:line="360" w:lineRule="auto"/>
        <w:jc w:val="center"/>
        <w:rPr>
          <w:rFonts w:ascii="宋体" w:hAnsi="宋体" w:cs="宋体"/>
          <w:b/>
          <w:color w:val="auto"/>
          <w:sz w:val="32"/>
          <w:szCs w:val="32"/>
          <w:highlight w:val="none"/>
        </w:rPr>
      </w:pPr>
    </w:p>
    <w:p w14:paraId="1701F535">
      <w:pPr>
        <w:spacing w:line="360" w:lineRule="auto"/>
        <w:jc w:val="center"/>
        <w:rPr>
          <w:rFonts w:ascii="宋体" w:hAnsi="宋体" w:cs="宋体"/>
          <w:b/>
          <w:color w:val="auto"/>
          <w:sz w:val="32"/>
          <w:szCs w:val="32"/>
          <w:highlight w:val="none"/>
        </w:rPr>
      </w:pPr>
    </w:p>
    <w:p w14:paraId="4F9D3019">
      <w:pPr>
        <w:spacing w:line="360" w:lineRule="auto"/>
        <w:jc w:val="center"/>
        <w:rPr>
          <w:rFonts w:ascii="宋体" w:hAnsi="宋体" w:cs="宋体"/>
          <w:b/>
          <w:color w:val="auto"/>
          <w:sz w:val="32"/>
          <w:szCs w:val="32"/>
          <w:highlight w:val="none"/>
        </w:rPr>
      </w:pPr>
    </w:p>
    <w:p w14:paraId="0F045548">
      <w:pPr>
        <w:spacing w:line="360" w:lineRule="auto"/>
        <w:jc w:val="center"/>
        <w:rPr>
          <w:rFonts w:ascii="宋体" w:hAnsi="宋体" w:cs="宋体"/>
          <w:b/>
          <w:color w:val="auto"/>
          <w:sz w:val="32"/>
          <w:szCs w:val="32"/>
          <w:highlight w:val="none"/>
        </w:rPr>
      </w:pPr>
    </w:p>
    <w:p w14:paraId="673739B3">
      <w:pPr>
        <w:spacing w:line="360" w:lineRule="auto"/>
        <w:jc w:val="center"/>
        <w:rPr>
          <w:rFonts w:ascii="宋体" w:hAnsi="宋体" w:cs="宋体"/>
          <w:b/>
          <w:color w:val="auto"/>
          <w:sz w:val="32"/>
          <w:szCs w:val="32"/>
          <w:highlight w:val="none"/>
        </w:rPr>
      </w:pPr>
    </w:p>
    <w:p w14:paraId="72F69F71">
      <w:pPr>
        <w:spacing w:line="360" w:lineRule="auto"/>
        <w:rPr>
          <w:rFonts w:ascii="宋体" w:hAnsi="宋体" w:cs="宋体"/>
          <w:bCs/>
          <w:color w:val="auto"/>
          <w:sz w:val="24"/>
          <w:highlight w:val="none"/>
        </w:rPr>
        <w:sectPr>
          <w:pgSz w:w="11905" w:h="16838"/>
          <w:pgMar w:top="1440" w:right="1440" w:bottom="1440" w:left="1440" w:header="851" w:footer="992" w:gutter="0"/>
          <w:pgBorders>
            <w:top w:val="none" w:sz="0" w:space="0"/>
            <w:left w:val="none" w:sz="0" w:space="0"/>
            <w:bottom w:val="none" w:sz="0" w:space="0"/>
            <w:right w:val="none" w:sz="0" w:space="0"/>
          </w:pgBorders>
          <w:cols w:space="0" w:num="1"/>
          <w:titlePg/>
          <w:rtlGutter w:val="0"/>
          <w:docGrid w:linePitch="312" w:charSpace="0"/>
        </w:sectPr>
      </w:pPr>
    </w:p>
    <w:p w14:paraId="6B03086D">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5</w:t>
      </w:r>
      <w:r>
        <w:rPr>
          <w:rFonts w:hint="eastAsia" w:ascii="宋体" w:hAnsi="宋体" w:cs="宋体"/>
          <w:b/>
          <w:color w:val="auto"/>
          <w:spacing w:val="6"/>
          <w:sz w:val="32"/>
          <w:szCs w:val="32"/>
          <w:highlight w:val="none"/>
        </w:rPr>
        <w:t>：工程量清单（另附）</w:t>
      </w:r>
    </w:p>
    <w:p w14:paraId="55AF99A9">
      <w:pPr>
        <w:spacing w:line="360" w:lineRule="auto"/>
        <w:rPr>
          <w:rFonts w:ascii="宋体" w:hAnsi="宋体" w:cs="宋体"/>
          <w:b/>
          <w:color w:val="auto"/>
          <w:spacing w:val="6"/>
          <w:sz w:val="32"/>
          <w:szCs w:val="32"/>
          <w:highlight w:val="none"/>
        </w:rPr>
      </w:pPr>
    </w:p>
    <w:p w14:paraId="5A4CC084">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6</w:t>
      </w:r>
      <w:r>
        <w:rPr>
          <w:rFonts w:hint="eastAsia" w:ascii="宋体" w:hAnsi="宋体" w:cs="宋体"/>
          <w:b/>
          <w:color w:val="auto"/>
          <w:spacing w:val="6"/>
          <w:sz w:val="32"/>
          <w:szCs w:val="32"/>
          <w:highlight w:val="none"/>
        </w:rPr>
        <w:t>：图纸（另附）</w:t>
      </w:r>
    </w:p>
    <w:p w14:paraId="66F33743">
      <w:pPr>
        <w:pStyle w:val="24"/>
        <w:rPr>
          <w:color w:val="auto"/>
          <w:highlight w:val="none"/>
        </w:rPr>
      </w:pPr>
    </w:p>
    <w:sectPr>
      <w:pgSz w:w="11905" w:h="16838"/>
      <w:pgMar w:top="1440" w:right="1440" w:bottom="1440" w:left="1440" w:header="851" w:footer="992" w:gutter="0"/>
      <w:pgBorders>
        <w:top w:val="none" w:sz="0" w:space="0"/>
        <w:left w:val="none" w:sz="0" w:space="0"/>
        <w:bottom w:val="none" w:sz="0" w:space="0"/>
        <w:right w:val="none" w:sz="0" w:space="0"/>
      </w:pgBorders>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DE89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7CE9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4BC0B36E">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F06B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45003634">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6EE0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B6B38">
    <w:pPr>
      <w:pStyle w:val="39"/>
      <w:framePr w:wrap="around" w:vAnchor="text" w:hAnchor="margin" w:xAlign="right" w:y="1"/>
      <w:rPr>
        <w:rStyle w:val="72"/>
      </w:rPr>
    </w:pPr>
    <w:r>
      <w:fldChar w:fldCharType="begin"/>
    </w:r>
    <w:r>
      <w:rPr>
        <w:rStyle w:val="72"/>
      </w:rPr>
      <w:instrText xml:space="preserve">PAGE  </w:instrText>
    </w:r>
    <w:r>
      <w:fldChar w:fldCharType="end"/>
    </w:r>
  </w:p>
  <w:p w14:paraId="24039B57">
    <w:pPr>
      <w:pStyle w:val="39"/>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E33AE">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1092" w:name="_Toc131845147"/>
    <w:bookmarkStart w:id="1093" w:name="_Toc36110187"/>
    <w:bookmarkStart w:id="1094" w:name="_Toc164085800"/>
    <w:bookmarkStart w:id="1095" w:name="_Toc91899912"/>
    <w:r>
      <w:rPr>
        <w:rFonts w:hint="eastAsia" w:ascii="仿宋_GB2312" w:eastAsia="仿宋_GB2312"/>
        <w:kern w:val="0"/>
        <w:szCs w:val="21"/>
      </w:rPr>
      <w:t xml:space="preserve"> 页</w:t>
    </w:r>
    <w:bookmarkEnd w:id="1092"/>
    <w:bookmarkEnd w:id="1093"/>
    <w:bookmarkEnd w:id="1094"/>
    <w:bookmarkEnd w:id="109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EBD24">
    <w:pPr>
      <w:pStyle w:val="39"/>
      <w:framePr w:wrap="around" w:vAnchor="text" w:hAnchor="margin" w:xAlign="right" w:y="1"/>
      <w:rPr>
        <w:rStyle w:val="72"/>
      </w:rPr>
    </w:pPr>
    <w:r>
      <w:fldChar w:fldCharType="begin"/>
    </w:r>
    <w:r>
      <w:rPr>
        <w:rStyle w:val="72"/>
      </w:rPr>
      <w:instrText xml:space="preserve">PAGE  </w:instrText>
    </w:r>
    <w:r>
      <w:fldChar w:fldCharType="end"/>
    </w:r>
  </w:p>
  <w:p w14:paraId="1C35C1AD">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E21F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7E58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1E52C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CBC6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F0BA08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B00D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4F5538D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8E46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78F8EAD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781E0">
    <w:pPr>
      <w:pStyle w:val="39"/>
      <w:jc w:val="center"/>
    </w:pPr>
    <w:r>
      <w:fldChar w:fldCharType="begin"/>
    </w:r>
    <w:r>
      <w:instrText xml:space="preserve"> PAGE   \* MERGEFORMAT </w:instrText>
    </w:r>
    <w:r>
      <w:fldChar w:fldCharType="separate"/>
    </w:r>
    <w:r>
      <w:rPr>
        <w:lang w:val="zh-CN"/>
      </w:rPr>
      <w:t>9</w:t>
    </w:r>
    <w:r>
      <w:rPr>
        <w:lang w:val="zh-CN"/>
      </w:rPr>
      <w:fldChar w:fldCharType="end"/>
    </w:r>
  </w:p>
  <w:p w14:paraId="1F7FAB55">
    <w:pPr>
      <w:pStyle w:val="3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0DBC5">
    <w:pPr>
      <w:pStyle w:val="39"/>
      <w:jc w:val="center"/>
    </w:pPr>
    <w:r>
      <w:fldChar w:fldCharType="begin"/>
    </w:r>
    <w:r>
      <w:instrText xml:space="preserve"> PAGE   \* MERGEFORMAT </w:instrText>
    </w:r>
    <w:r>
      <w:fldChar w:fldCharType="separate"/>
    </w:r>
    <w:r>
      <w:rPr>
        <w:lang w:val="zh-CN"/>
      </w:rPr>
      <w:t>9</w:t>
    </w:r>
    <w:r>
      <w:rPr>
        <w:lang w:val="zh-CN"/>
      </w:rPr>
      <w:fldChar w:fldCharType="end"/>
    </w:r>
  </w:p>
  <w:p w14:paraId="4DB370A4">
    <w:pPr>
      <w:pStyle w:val="3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A268F">
    <w:pPr>
      <w:pStyle w:val="40"/>
      <w:pBdr>
        <w:bottom w:val="single" w:color="auto" w:sz="6" w:space="0"/>
      </w:pBdr>
      <w:jc w:val="right"/>
      <w:rPr>
        <w:rFonts w:ascii="仿宋_GB2312" w:eastAsia="仿宋_GB2312"/>
        <w:i/>
        <w:u w:val="single"/>
      </w:rPr>
    </w:pPr>
    <w:r>
      <w:rPr>
        <w:lang w:val="zh-CN"/>
      </w:rPr>
      <w:t>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0D438">
    <w:pPr>
      <w:pStyle w:val="40"/>
      <w:pBdr>
        <w:bottom w:val="single" w:color="auto" w:sz="6" w:space="0"/>
      </w:pBdr>
      <w:tabs>
        <w:tab w:val="center" w:pos="4535"/>
        <w:tab w:val="right" w:pos="9070"/>
        <w:tab w:val="clear" w:pos="4153"/>
        <w:tab w:val="clear" w:pos="8306"/>
      </w:tabs>
      <w:jc w:val="right"/>
    </w:pPr>
    <w:r>
      <w:rPr>
        <w:lang w:val="zh-CN"/>
      </w:rPr>
      <w:t>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5828F">
    <w:pPr>
      <w:pStyle w:val="40"/>
      <w:pBdr>
        <w:bottom w:val="single" w:color="auto" w:sz="6" w:space="0"/>
      </w:pBdr>
      <w:tabs>
        <w:tab w:val="center" w:pos="4535"/>
        <w:tab w:val="right" w:pos="9070"/>
        <w:tab w:val="clear" w:pos="4153"/>
        <w:tab w:val="clear" w:pos="8306"/>
      </w:tabs>
      <w:jc w:val="right"/>
    </w:pPr>
    <w:r>
      <w:rPr>
        <w:lang w:val="zh-CN"/>
      </w:rPr>
      <w:t>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4EDA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03D0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D285C">
    <w:pPr>
      <w:pStyle w:val="40"/>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政府采购</w:t>
    </w:r>
    <w:r>
      <w:rPr>
        <w:rFonts w:hint="eastAsia"/>
        <w:lang w:val="zh-CN"/>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B135B">
    <w:pPr>
      <w:pStyle w:val="40"/>
      <w:pBdr>
        <w:bottom w:val="single" w:color="auto" w:sz="6" w:space="0"/>
      </w:pBdr>
      <w:tabs>
        <w:tab w:val="center" w:pos="4535"/>
        <w:tab w:val="right" w:pos="9070"/>
        <w:tab w:val="clear" w:pos="4153"/>
        <w:tab w:val="clear" w:pos="8306"/>
      </w:tabs>
      <w:jc w:val="right"/>
      <w:rPr>
        <w:rFonts w:ascii="仿宋_GB2312"/>
        <w:b/>
        <w:i/>
        <w:iCs/>
        <w:u w:val="single"/>
      </w:rPr>
    </w:pPr>
    <w:r>
      <w:rPr>
        <w:lang w:val="zh-CN"/>
      </w:rPr>
      <w:t>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B8693E"/>
    <w:multiLevelType w:val="singleLevel"/>
    <w:tmpl w:val="A1B8693E"/>
    <w:lvl w:ilvl="0" w:tentative="0">
      <w:start w:val="2"/>
      <w:numFmt w:val="decimal"/>
      <w:suff w:val="nothing"/>
      <w:lvlText w:val="（%1）"/>
      <w:lvlJc w:val="left"/>
    </w:lvl>
  </w:abstractNum>
  <w:abstractNum w:abstractNumId="1">
    <w:nsid w:val="DE7624AE"/>
    <w:multiLevelType w:val="singleLevel"/>
    <w:tmpl w:val="DE7624AE"/>
    <w:lvl w:ilvl="0" w:tentative="0">
      <w:start w:val="10"/>
      <w:numFmt w:val="decimal"/>
      <w:suff w:val="nothing"/>
      <w:lvlText w:val="（%1）"/>
      <w:lvlJc w:val="left"/>
    </w:lvl>
  </w:abstractNum>
  <w:abstractNum w:abstractNumId="2">
    <w:nsid w:val="08DDAD96"/>
    <w:multiLevelType w:val="singleLevel"/>
    <w:tmpl w:val="08DDAD96"/>
    <w:lvl w:ilvl="0" w:tentative="0">
      <w:start w:val="1"/>
      <w:numFmt w:val="decimal"/>
      <w:suff w:val="space"/>
      <w:lvlText w:val="（%1）"/>
      <w:lvlJc w:val="left"/>
    </w:lvl>
  </w:abstractNum>
  <w:abstractNum w:abstractNumId="3">
    <w:nsid w:val="55EF43E1"/>
    <w:multiLevelType w:val="singleLevel"/>
    <w:tmpl w:val="55EF43E1"/>
    <w:lvl w:ilvl="0" w:tentative="0">
      <w:start w:val="1"/>
      <w:numFmt w:val="decimal"/>
      <w:suff w:val="nothing"/>
      <w:lvlText w:val="（%1）"/>
      <w:lvlJc w:val="left"/>
    </w:lvl>
  </w:abstractNum>
  <w:abstractNum w:abstractNumId="4">
    <w:nsid w:val="6487B98B"/>
    <w:multiLevelType w:val="singleLevel"/>
    <w:tmpl w:val="6487B98B"/>
    <w:lvl w:ilvl="0" w:tentative="0">
      <w:start w:val="5"/>
      <w:numFmt w:val="decimal"/>
      <w:lvlText w:val="%1."/>
      <w:lvlJc w:val="left"/>
      <w:pPr>
        <w:tabs>
          <w:tab w:val="left" w:pos="312"/>
        </w:tabs>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xODcyYWIxMmZlMWY5MDRjYmIyYTIyOGY2MGIxMWEifQ=="/>
    <w:docVar w:name="KSO_WPS_MARK_KEY" w:val="fe90b4ce-5f06-4d66-acd7-120a6646d9b7"/>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B5A3A"/>
    <w:rsid w:val="011F6449"/>
    <w:rsid w:val="01236AFB"/>
    <w:rsid w:val="019F7441"/>
    <w:rsid w:val="01AE1035"/>
    <w:rsid w:val="01B37585"/>
    <w:rsid w:val="01C65DA5"/>
    <w:rsid w:val="01D55165"/>
    <w:rsid w:val="01DF6BF8"/>
    <w:rsid w:val="01EC2C57"/>
    <w:rsid w:val="01FF193E"/>
    <w:rsid w:val="022004C2"/>
    <w:rsid w:val="025F0711"/>
    <w:rsid w:val="026B2E25"/>
    <w:rsid w:val="02824D4D"/>
    <w:rsid w:val="02D40D80"/>
    <w:rsid w:val="02DC4B10"/>
    <w:rsid w:val="02DD76CE"/>
    <w:rsid w:val="02F36323"/>
    <w:rsid w:val="02F5619C"/>
    <w:rsid w:val="0326446A"/>
    <w:rsid w:val="032D5555"/>
    <w:rsid w:val="036634D2"/>
    <w:rsid w:val="03AD58A1"/>
    <w:rsid w:val="03DD35E4"/>
    <w:rsid w:val="03F040A4"/>
    <w:rsid w:val="04076900"/>
    <w:rsid w:val="041A5A3B"/>
    <w:rsid w:val="042311BA"/>
    <w:rsid w:val="042B157A"/>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6B0180C"/>
    <w:rsid w:val="06C81297"/>
    <w:rsid w:val="06F41BE1"/>
    <w:rsid w:val="07245D42"/>
    <w:rsid w:val="07264C62"/>
    <w:rsid w:val="0779354C"/>
    <w:rsid w:val="07A46B95"/>
    <w:rsid w:val="08061376"/>
    <w:rsid w:val="08452D77"/>
    <w:rsid w:val="086401F8"/>
    <w:rsid w:val="08661343"/>
    <w:rsid w:val="08751CAA"/>
    <w:rsid w:val="087C17E8"/>
    <w:rsid w:val="087E4C40"/>
    <w:rsid w:val="08923AEE"/>
    <w:rsid w:val="08A871D0"/>
    <w:rsid w:val="08B35123"/>
    <w:rsid w:val="08D66AD6"/>
    <w:rsid w:val="08DA33A3"/>
    <w:rsid w:val="08E80F13"/>
    <w:rsid w:val="09326DE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D51E39"/>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39220B"/>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2EE2AE2"/>
    <w:rsid w:val="13072A44"/>
    <w:rsid w:val="131279EC"/>
    <w:rsid w:val="135F4BE2"/>
    <w:rsid w:val="13637D2A"/>
    <w:rsid w:val="139B1A0A"/>
    <w:rsid w:val="139D25C7"/>
    <w:rsid w:val="13BF3CE4"/>
    <w:rsid w:val="13CF2234"/>
    <w:rsid w:val="13DC0614"/>
    <w:rsid w:val="141008D8"/>
    <w:rsid w:val="14125FE6"/>
    <w:rsid w:val="142373C3"/>
    <w:rsid w:val="142F5125"/>
    <w:rsid w:val="146D271E"/>
    <w:rsid w:val="14982588"/>
    <w:rsid w:val="149A5AD9"/>
    <w:rsid w:val="14A7619D"/>
    <w:rsid w:val="150536C3"/>
    <w:rsid w:val="150C1963"/>
    <w:rsid w:val="151447A0"/>
    <w:rsid w:val="152B4878"/>
    <w:rsid w:val="154A6454"/>
    <w:rsid w:val="15762120"/>
    <w:rsid w:val="16A8729C"/>
    <w:rsid w:val="16B33777"/>
    <w:rsid w:val="16BC70A7"/>
    <w:rsid w:val="16C6339E"/>
    <w:rsid w:val="172F2D79"/>
    <w:rsid w:val="17557BEF"/>
    <w:rsid w:val="17D349C1"/>
    <w:rsid w:val="1830729E"/>
    <w:rsid w:val="185A650C"/>
    <w:rsid w:val="1870062C"/>
    <w:rsid w:val="18817102"/>
    <w:rsid w:val="18830A15"/>
    <w:rsid w:val="18852B28"/>
    <w:rsid w:val="188B5321"/>
    <w:rsid w:val="18AC64E2"/>
    <w:rsid w:val="19932372"/>
    <w:rsid w:val="19A20DD5"/>
    <w:rsid w:val="19AE03F1"/>
    <w:rsid w:val="1A071A03"/>
    <w:rsid w:val="1A1F16AE"/>
    <w:rsid w:val="1A3B5C77"/>
    <w:rsid w:val="1A984BAD"/>
    <w:rsid w:val="1AA52C5D"/>
    <w:rsid w:val="1AB8220E"/>
    <w:rsid w:val="1AE4166C"/>
    <w:rsid w:val="1AF06CFB"/>
    <w:rsid w:val="1AF11B8D"/>
    <w:rsid w:val="1B0413AC"/>
    <w:rsid w:val="1B11359C"/>
    <w:rsid w:val="1B2A271F"/>
    <w:rsid w:val="1B530544"/>
    <w:rsid w:val="1B713184"/>
    <w:rsid w:val="1BA209CF"/>
    <w:rsid w:val="1BB4777D"/>
    <w:rsid w:val="1BD75AB8"/>
    <w:rsid w:val="1C0459C2"/>
    <w:rsid w:val="1C1B3B4A"/>
    <w:rsid w:val="1C7725CD"/>
    <w:rsid w:val="1C88086E"/>
    <w:rsid w:val="1C952B32"/>
    <w:rsid w:val="1D266CE1"/>
    <w:rsid w:val="1D3963AF"/>
    <w:rsid w:val="1D3D0FE5"/>
    <w:rsid w:val="1D594678"/>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904124"/>
    <w:rsid w:val="1FE868A9"/>
    <w:rsid w:val="20034907"/>
    <w:rsid w:val="20173E4B"/>
    <w:rsid w:val="204E48BC"/>
    <w:rsid w:val="208921B3"/>
    <w:rsid w:val="20973DEB"/>
    <w:rsid w:val="20B26522"/>
    <w:rsid w:val="20B44310"/>
    <w:rsid w:val="20EC4592"/>
    <w:rsid w:val="211116EB"/>
    <w:rsid w:val="216133FC"/>
    <w:rsid w:val="21880A2D"/>
    <w:rsid w:val="21D56769"/>
    <w:rsid w:val="21E52EF3"/>
    <w:rsid w:val="21FB5D7B"/>
    <w:rsid w:val="22015E94"/>
    <w:rsid w:val="220B1C3D"/>
    <w:rsid w:val="221D1D20"/>
    <w:rsid w:val="22334A87"/>
    <w:rsid w:val="22BE6801"/>
    <w:rsid w:val="233500BF"/>
    <w:rsid w:val="23377FF7"/>
    <w:rsid w:val="235A601B"/>
    <w:rsid w:val="236B425F"/>
    <w:rsid w:val="23836192"/>
    <w:rsid w:val="23901F29"/>
    <w:rsid w:val="239C0061"/>
    <w:rsid w:val="23B908A4"/>
    <w:rsid w:val="23E95BEF"/>
    <w:rsid w:val="23FD0064"/>
    <w:rsid w:val="243304D3"/>
    <w:rsid w:val="245375B0"/>
    <w:rsid w:val="24642C0A"/>
    <w:rsid w:val="247660B5"/>
    <w:rsid w:val="24B22173"/>
    <w:rsid w:val="24B95AD9"/>
    <w:rsid w:val="24BE24DA"/>
    <w:rsid w:val="24CF5825"/>
    <w:rsid w:val="24D663E6"/>
    <w:rsid w:val="24D77F2B"/>
    <w:rsid w:val="250822DD"/>
    <w:rsid w:val="258B00E2"/>
    <w:rsid w:val="25A917A6"/>
    <w:rsid w:val="25BE27CC"/>
    <w:rsid w:val="25F74A5C"/>
    <w:rsid w:val="2628662C"/>
    <w:rsid w:val="262D45DE"/>
    <w:rsid w:val="26871DC8"/>
    <w:rsid w:val="26A53EF9"/>
    <w:rsid w:val="26A94201"/>
    <w:rsid w:val="26AC274F"/>
    <w:rsid w:val="27044A29"/>
    <w:rsid w:val="271D34C8"/>
    <w:rsid w:val="273E5511"/>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8330C6"/>
    <w:rsid w:val="2BA50BF7"/>
    <w:rsid w:val="2BBF00EC"/>
    <w:rsid w:val="2BC37CFD"/>
    <w:rsid w:val="2BD5237F"/>
    <w:rsid w:val="2BE536CE"/>
    <w:rsid w:val="2BE758D9"/>
    <w:rsid w:val="2C09049E"/>
    <w:rsid w:val="2C0A653C"/>
    <w:rsid w:val="2C191F85"/>
    <w:rsid w:val="2C373BFF"/>
    <w:rsid w:val="2CE82D6F"/>
    <w:rsid w:val="2D343236"/>
    <w:rsid w:val="2DD15014"/>
    <w:rsid w:val="2DF72DE4"/>
    <w:rsid w:val="2E0220AF"/>
    <w:rsid w:val="2E447356"/>
    <w:rsid w:val="2E4B082A"/>
    <w:rsid w:val="2E594847"/>
    <w:rsid w:val="2E5D4E86"/>
    <w:rsid w:val="2E5D790B"/>
    <w:rsid w:val="2E9A3C18"/>
    <w:rsid w:val="2EBB0FEE"/>
    <w:rsid w:val="2EC63002"/>
    <w:rsid w:val="2ED30F85"/>
    <w:rsid w:val="2F0A6B38"/>
    <w:rsid w:val="2F946CCB"/>
    <w:rsid w:val="2FB11445"/>
    <w:rsid w:val="2FD25781"/>
    <w:rsid w:val="2FDC745C"/>
    <w:rsid w:val="2FFD7934"/>
    <w:rsid w:val="30733ACD"/>
    <w:rsid w:val="308C3862"/>
    <w:rsid w:val="309379D8"/>
    <w:rsid w:val="30A270F7"/>
    <w:rsid w:val="30DF1478"/>
    <w:rsid w:val="30EC586F"/>
    <w:rsid w:val="319C6071"/>
    <w:rsid w:val="31A11ECE"/>
    <w:rsid w:val="31AC537E"/>
    <w:rsid w:val="31E3679B"/>
    <w:rsid w:val="31E732FD"/>
    <w:rsid w:val="32306183"/>
    <w:rsid w:val="32517576"/>
    <w:rsid w:val="32A30D11"/>
    <w:rsid w:val="32BE5C2C"/>
    <w:rsid w:val="32D63C1D"/>
    <w:rsid w:val="32FB6478"/>
    <w:rsid w:val="332410BB"/>
    <w:rsid w:val="33263B3F"/>
    <w:rsid w:val="336963EB"/>
    <w:rsid w:val="33816EEB"/>
    <w:rsid w:val="33871564"/>
    <w:rsid w:val="33C95110"/>
    <w:rsid w:val="33EB55CD"/>
    <w:rsid w:val="33EC4C02"/>
    <w:rsid w:val="340D2360"/>
    <w:rsid w:val="340D4CA7"/>
    <w:rsid w:val="3410665D"/>
    <w:rsid w:val="34211214"/>
    <w:rsid w:val="342E63AB"/>
    <w:rsid w:val="34950E68"/>
    <w:rsid w:val="34986E94"/>
    <w:rsid w:val="34AF62C9"/>
    <w:rsid w:val="34CB4388"/>
    <w:rsid w:val="34FA6E12"/>
    <w:rsid w:val="3519774E"/>
    <w:rsid w:val="354D7158"/>
    <w:rsid w:val="358D5588"/>
    <w:rsid w:val="358E704D"/>
    <w:rsid w:val="363A3B40"/>
    <w:rsid w:val="365302AE"/>
    <w:rsid w:val="36607A0A"/>
    <w:rsid w:val="366E227C"/>
    <w:rsid w:val="366F2E0D"/>
    <w:rsid w:val="367B6A5C"/>
    <w:rsid w:val="36A74ADA"/>
    <w:rsid w:val="36AD60D5"/>
    <w:rsid w:val="36B224F9"/>
    <w:rsid w:val="36EC0CC9"/>
    <w:rsid w:val="373F410B"/>
    <w:rsid w:val="37EB7A11"/>
    <w:rsid w:val="37EE7094"/>
    <w:rsid w:val="38296C89"/>
    <w:rsid w:val="383002EB"/>
    <w:rsid w:val="38586797"/>
    <w:rsid w:val="387D0A94"/>
    <w:rsid w:val="38BC0149"/>
    <w:rsid w:val="38C369F1"/>
    <w:rsid w:val="38D52A09"/>
    <w:rsid w:val="38D87D1C"/>
    <w:rsid w:val="39636459"/>
    <w:rsid w:val="396B7F6C"/>
    <w:rsid w:val="39B417A9"/>
    <w:rsid w:val="39FC5695"/>
    <w:rsid w:val="3A006D8E"/>
    <w:rsid w:val="3A204F94"/>
    <w:rsid w:val="3A3651E5"/>
    <w:rsid w:val="3A5133C8"/>
    <w:rsid w:val="3A744481"/>
    <w:rsid w:val="3A7D3D8C"/>
    <w:rsid w:val="3A8C7BEF"/>
    <w:rsid w:val="3A906246"/>
    <w:rsid w:val="3AA77366"/>
    <w:rsid w:val="3B2349B7"/>
    <w:rsid w:val="3B616CFF"/>
    <w:rsid w:val="3B6259F6"/>
    <w:rsid w:val="3B976654"/>
    <w:rsid w:val="3BA63351"/>
    <w:rsid w:val="3BC01EFC"/>
    <w:rsid w:val="3BCA786A"/>
    <w:rsid w:val="3BD31E2F"/>
    <w:rsid w:val="3BF15831"/>
    <w:rsid w:val="3C105946"/>
    <w:rsid w:val="3C471448"/>
    <w:rsid w:val="3C5F759A"/>
    <w:rsid w:val="3C6C525A"/>
    <w:rsid w:val="3CCE23CB"/>
    <w:rsid w:val="3CD17D17"/>
    <w:rsid w:val="3D1B6E87"/>
    <w:rsid w:val="3D3C7F39"/>
    <w:rsid w:val="3D440F09"/>
    <w:rsid w:val="3D4504A0"/>
    <w:rsid w:val="3D8734BB"/>
    <w:rsid w:val="3D9A11D4"/>
    <w:rsid w:val="3DA16D89"/>
    <w:rsid w:val="3DA364BE"/>
    <w:rsid w:val="3DE041CB"/>
    <w:rsid w:val="3E00276C"/>
    <w:rsid w:val="3E0D48F6"/>
    <w:rsid w:val="3E1868B4"/>
    <w:rsid w:val="3E377251"/>
    <w:rsid w:val="3E42664B"/>
    <w:rsid w:val="3E5A7334"/>
    <w:rsid w:val="3E7B5D6B"/>
    <w:rsid w:val="3E843E66"/>
    <w:rsid w:val="3E8F51FE"/>
    <w:rsid w:val="3E926F87"/>
    <w:rsid w:val="3E9A59DE"/>
    <w:rsid w:val="3EAF4836"/>
    <w:rsid w:val="3EC33DFA"/>
    <w:rsid w:val="3EC408A4"/>
    <w:rsid w:val="3EFE5765"/>
    <w:rsid w:val="3F060E16"/>
    <w:rsid w:val="3F1D1096"/>
    <w:rsid w:val="3F2F0234"/>
    <w:rsid w:val="3F6363FE"/>
    <w:rsid w:val="3F756B8F"/>
    <w:rsid w:val="3F95482B"/>
    <w:rsid w:val="3FE26E1C"/>
    <w:rsid w:val="4019356B"/>
    <w:rsid w:val="40592157"/>
    <w:rsid w:val="406E1CAE"/>
    <w:rsid w:val="4070413B"/>
    <w:rsid w:val="40A0133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AD1FF3"/>
    <w:rsid w:val="43C77C27"/>
    <w:rsid w:val="43DE09EE"/>
    <w:rsid w:val="44002FAD"/>
    <w:rsid w:val="441C37AA"/>
    <w:rsid w:val="449101DD"/>
    <w:rsid w:val="44DE1391"/>
    <w:rsid w:val="44FE43BB"/>
    <w:rsid w:val="451B225C"/>
    <w:rsid w:val="452410C9"/>
    <w:rsid w:val="45317DFB"/>
    <w:rsid w:val="456D3CE4"/>
    <w:rsid w:val="4579042C"/>
    <w:rsid w:val="457F0571"/>
    <w:rsid w:val="45851176"/>
    <w:rsid w:val="45C55BC2"/>
    <w:rsid w:val="45C63B94"/>
    <w:rsid w:val="45E0442A"/>
    <w:rsid w:val="460E7DA5"/>
    <w:rsid w:val="46422483"/>
    <w:rsid w:val="4659254A"/>
    <w:rsid w:val="465B0637"/>
    <w:rsid w:val="465E3F0D"/>
    <w:rsid w:val="466A16E6"/>
    <w:rsid w:val="46893F2B"/>
    <w:rsid w:val="46C444E6"/>
    <w:rsid w:val="46C4686E"/>
    <w:rsid w:val="477B778F"/>
    <w:rsid w:val="478203EC"/>
    <w:rsid w:val="47B025FA"/>
    <w:rsid w:val="47B813A0"/>
    <w:rsid w:val="4809698F"/>
    <w:rsid w:val="4811697D"/>
    <w:rsid w:val="487A3E25"/>
    <w:rsid w:val="488B5503"/>
    <w:rsid w:val="48937E21"/>
    <w:rsid w:val="489A0361"/>
    <w:rsid w:val="48A8102D"/>
    <w:rsid w:val="48B94FF3"/>
    <w:rsid w:val="48D67755"/>
    <w:rsid w:val="48E37AAB"/>
    <w:rsid w:val="48FD4B4C"/>
    <w:rsid w:val="490A68E0"/>
    <w:rsid w:val="491055FE"/>
    <w:rsid w:val="495F5B3E"/>
    <w:rsid w:val="496F77D7"/>
    <w:rsid w:val="497654FD"/>
    <w:rsid w:val="499E03EC"/>
    <w:rsid w:val="49B64211"/>
    <w:rsid w:val="49D41AAC"/>
    <w:rsid w:val="49F6167F"/>
    <w:rsid w:val="4A064FA0"/>
    <w:rsid w:val="4A16615C"/>
    <w:rsid w:val="4A4424D7"/>
    <w:rsid w:val="4AB82D0F"/>
    <w:rsid w:val="4AEB7664"/>
    <w:rsid w:val="4AFD7C19"/>
    <w:rsid w:val="4B0567D1"/>
    <w:rsid w:val="4B236AAE"/>
    <w:rsid w:val="4B2F799D"/>
    <w:rsid w:val="4B707271"/>
    <w:rsid w:val="4B9739F7"/>
    <w:rsid w:val="4B9E1964"/>
    <w:rsid w:val="4BEE2503"/>
    <w:rsid w:val="4BF727EA"/>
    <w:rsid w:val="4C245A30"/>
    <w:rsid w:val="4C3F2CF1"/>
    <w:rsid w:val="4CB6685F"/>
    <w:rsid w:val="4CC367FE"/>
    <w:rsid w:val="4CC92BA5"/>
    <w:rsid w:val="4CF90278"/>
    <w:rsid w:val="4D077F3C"/>
    <w:rsid w:val="4D103E2D"/>
    <w:rsid w:val="4D123355"/>
    <w:rsid w:val="4D1B3D5A"/>
    <w:rsid w:val="4D2A3B31"/>
    <w:rsid w:val="4D312C52"/>
    <w:rsid w:val="4D905305"/>
    <w:rsid w:val="4D964A72"/>
    <w:rsid w:val="4D9C1254"/>
    <w:rsid w:val="4D9E5B15"/>
    <w:rsid w:val="4E76066F"/>
    <w:rsid w:val="4E793892"/>
    <w:rsid w:val="4E7D272E"/>
    <w:rsid w:val="4E800872"/>
    <w:rsid w:val="4EC569ED"/>
    <w:rsid w:val="4ED50EA1"/>
    <w:rsid w:val="4EEC050C"/>
    <w:rsid w:val="4F104EC3"/>
    <w:rsid w:val="4F47354A"/>
    <w:rsid w:val="4F911C54"/>
    <w:rsid w:val="4FE625E0"/>
    <w:rsid w:val="5021480F"/>
    <w:rsid w:val="50315626"/>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A13E23"/>
    <w:rsid w:val="53E325D5"/>
    <w:rsid w:val="54013861"/>
    <w:rsid w:val="54041F40"/>
    <w:rsid w:val="54487265"/>
    <w:rsid w:val="544D6070"/>
    <w:rsid w:val="54605E1E"/>
    <w:rsid w:val="54B3506A"/>
    <w:rsid w:val="54CA0D16"/>
    <w:rsid w:val="54DD4057"/>
    <w:rsid w:val="54E7490F"/>
    <w:rsid w:val="550764A4"/>
    <w:rsid w:val="550B2BF6"/>
    <w:rsid w:val="55214EB5"/>
    <w:rsid w:val="55364EFD"/>
    <w:rsid w:val="555667CB"/>
    <w:rsid w:val="555D4828"/>
    <w:rsid w:val="557A4C8B"/>
    <w:rsid w:val="558931E1"/>
    <w:rsid w:val="55923347"/>
    <w:rsid w:val="55925180"/>
    <w:rsid w:val="55983B1B"/>
    <w:rsid w:val="55A03EEB"/>
    <w:rsid w:val="55A8376B"/>
    <w:rsid w:val="55DC29B6"/>
    <w:rsid w:val="55DD4241"/>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7F15040"/>
    <w:rsid w:val="58917D2F"/>
    <w:rsid w:val="5894085C"/>
    <w:rsid w:val="58AE4F0C"/>
    <w:rsid w:val="58B85899"/>
    <w:rsid w:val="58E363A9"/>
    <w:rsid w:val="591E264C"/>
    <w:rsid w:val="595E1678"/>
    <w:rsid w:val="596D5BD4"/>
    <w:rsid w:val="597C7F56"/>
    <w:rsid w:val="597E3DD8"/>
    <w:rsid w:val="59E1361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BA06A1D"/>
    <w:rsid w:val="5C02690E"/>
    <w:rsid w:val="5C196DA7"/>
    <w:rsid w:val="5C2340B8"/>
    <w:rsid w:val="5C2A048C"/>
    <w:rsid w:val="5C2A2760"/>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3F358C"/>
    <w:rsid w:val="5E4A7017"/>
    <w:rsid w:val="5E552BBA"/>
    <w:rsid w:val="5E5F6CA0"/>
    <w:rsid w:val="5E611C10"/>
    <w:rsid w:val="5E7A0F3F"/>
    <w:rsid w:val="5EFC7377"/>
    <w:rsid w:val="5F06174D"/>
    <w:rsid w:val="5F3A3602"/>
    <w:rsid w:val="5F45733B"/>
    <w:rsid w:val="5F6277C6"/>
    <w:rsid w:val="5F6D0B1D"/>
    <w:rsid w:val="5F8D0B82"/>
    <w:rsid w:val="5F8E3BB6"/>
    <w:rsid w:val="5FB8580A"/>
    <w:rsid w:val="5FC53DF1"/>
    <w:rsid w:val="5FCC5339"/>
    <w:rsid w:val="5FE34A5B"/>
    <w:rsid w:val="5FFE1E36"/>
    <w:rsid w:val="60232584"/>
    <w:rsid w:val="607330CE"/>
    <w:rsid w:val="60825176"/>
    <w:rsid w:val="609F2AC4"/>
    <w:rsid w:val="60C556F5"/>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F40B65"/>
    <w:rsid w:val="62FC2CFE"/>
    <w:rsid w:val="63024505"/>
    <w:rsid w:val="63075F77"/>
    <w:rsid w:val="63306B29"/>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854376"/>
    <w:rsid w:val="658767BE"/>
    <w:rsid w:val="65892531"/>
    <w:rsid w:val="66195831"/>
    <w:rsid w:val="661A5BD3"/>
    <w:rsid w:val="662E75B1"/>
    <w:rsid w:val="66342C2E"/>
    <w:rsid w:val="663E784C"/>
    <w:rsid w:val="668B6A45"/>
    <w:rsid w:val="67112C4A"/>
    <w:rsid w:val="672F3F24"/>
    <w:rsid w:val="673E055F"/>
    <w:rsid w:val="67551CE3"/>
    <w:rsid w:val="67A22552"/>
    <w:rsid w:val="67B22DCC"/>
    <w:rsid w:val="67BE71AA"/>
    <w:rsid w:val="67CF7323"/>
    <w:rsid w:val="67D90273"/>
    <w:rsid w:val="67DE5875"/>
    <w:rsid w:val="67E55852"/>
    <w:rsid w:val="67EB1AB4"/>
    <w:rsid w:val="67FA1285"/>
    <w:rsid w:val="67FC0C04"/>
    <w:rsid w:val="68551F4F"/>
    <w:rsid w:val="687C10C9"/>
    <w:rsid w:val="68840C16"/>
    <w:rsid w:val="68876EFB"/>
    <w:rsid w:val="68884654"/>
    <w:rsid w:val="689F444F"/>
    <w:rsid w:val="689F7EB7"/>
    <w:rsid w:val="68B96DBB"/>
    <w:rsid w:val="68CA2805"/>
    <w:rsid w:val="68E937A3"/>
    <w:rsid w:val="68FB149A"/>
    <w:rsid w:val="693E15D3"/>
    <w:rsid w:val="69627681"/>
    <w:rsid w:val="6977531D"/>
    <w:rsid w:val="69CC2BFF"/>
    <w:rsid w:val="69FD55B8"/>
    <w:rsid w:val="6A0B1C62"/>
    <w:rsid w:val="6A2406C8"/>
    <w:rsid w:val="6A9A1ADF"/>
    <w:rsid w:val="6ADE0BD1"/>
    <w:rsid w:val="6AE81378"/>
    <w:rsid w:val="6AE96859"/>
    <w:rsid w:val="6B147746"/>
    <w:rsid w:val="6B24787C"/>
    <w:rsid w:val="6B573233"/>
    <w:rsid w:val="6B5B6274"/>
    <w:rsid w:val="6B935D53"/>
    <w:rsid w:val="6BB01E7E"/>
    <w:rsid w:val="6C1316F7"/>
    <w:rsid w:val="6C196F71"/>
    <w:rsid w:val="6C226FCB"/>
    <w:rsid w:val="6C31226F"/>
    <w:rsid w:val="6C517EC7"/>
    <w:rsid w:val="6C552F0B"/>
    <w:rsid w:val="6C6415B3"/>
    <w:rsid w:val="6C8C67B7"/>
    <w:rsid w:val="6C9A1FF7"/>
    <w:rsid w:val="6C9D744C"/>
    <w:rsid w:val="6D167928"/>
    <w:rsid w:val="6D26299B"/>
    <w:rsid w:val="6D2C791B"/>
    <w:rsid w:val="6D4772EC"/>
    <w:rsid w:val="6D9078AF"/>
    <w:rsid w:val="6DAA3FEF"/>
    <w:rsid w:val="6DC0172B"/>
    <w:rsid w:val="6DCB690C"/>
    <w:rsid w:val="6DD41A5B"/>
    <w:rsid w:val="6DD87623"/>
    <w:rsid w:val="6DF43C2E"/>
    <w:rsid w:val="6DF51CA3"/>
    <w:rsid w:val="6E8335BD"/>
    <w:rsid w:val="6E8E12EF"/>
    <w:rsid w:val="6E972936"/>
    <w:rsid w:val="6ED446C5"/>
    <w:rsid w:val="6EE256B9"/>
    <w:rsid w:val="6F2A7D94"/>
    <w:rsid w:val="6F4D1B95"/>
    <w:rsid w:val="6F8331F1"/>
    <w:rsid w:val="6FAE1A09"/>
    <w:rsid w:val="6FD75BF8"/>
    <w:rsid w:val="707723D0"/>
    <w:rsid w:val="70F5661B"/>
    <w:rsid w:val="71360107"/>
    <w:rsid w:val="713B688E"/>
    <w:rsid w:val="7148279F"/>
    <w:rsid w:val="71D43752"/>
    <w:rsid w:val="71F1796A"/>
    <w:rsid w:val="71FB63D5"/>
    <w:rsid w:val="72154626"/>
    <w:rsid w:val="72262B5D"/>
    <w:rsid w:val="72283FF7"/>
    <w:rsid w:val="722E7212"/>
    <w:rsid w:val="72361FF5"/>
    <w:rsid w:val="723A0474"/>
    <w:rsid w:val="725923E4"/>
    <w:rsid w:val="72864BF7"/>
    <w:rsid w:val="729023FC"/>
    <w:rsid w:val="73476224"/>
    <w:rsid w:val="73C0646E"/>
    <w:rsid w:val="742222F5"/>
    <w:rsid w:val="74476126"/>
    <w:rsid w:val="74706664"/>
    <w:rsid w:val="747F3682"/>
    <w:rsid w:val="749C4185"/>
    <w:rsid w:val="75067759"/>
    <w:rsid w:val="752E6DCD"/>
    <w:rsid w:val="7551380D"/>
    <w:rsid w:val="755D394A"/>
    <w:rsid w:val="75600BE5"/>
    <w:rsid w:val="7564475C"/>
    <w:rsid w:val="7583797F"/>
    <w:rsid w:val="75D20610"/>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26436F"/>
    <w:rsid w:val="7861270F"/>
    <w:rsid w:val="78775729"/>
    <w:rsid w:val="78A42DB0"/>
    <w:rsid w:val="78A656AB"/>
    <w:rsid w:val="78B2245C"/>
    <w:rsid w:val="78E172CC"/>
    <w:rsid w:val="78EA1D1F"/>
    <w:rsid w:val="79036DC3"/>
    <w:rsid w:val="7904172F"/>
    <w:rsid w:val="790F7E27"/>
    <w:rsid w:val="792A231A"/>
    <w:rsid w:val="79316829"/>
    <w:rsid w:val="79590AE9"/>
    <w:rsid w:val="79610156"/>
    <w:rsid w:val="797E66A9"/>
    <w:rsid w:val="797F645C"/>
    <w:rsid w:val="798518A4"/>
    <w:rsid w:val="79A97383"/>
    <w:rsid w:val="79E27E8B"/>
    <w:rsid w:val="79F850CE"/>
    <w:rsid w:val="79FD443C"/>
    <w:rsid w:val="7A1D1975"/>
    <w:rsid w:val="7A3E5150"/>
    <w:rsid w:val="7A4670D6"/>
    <w:rsid w:val="7A534B63"/>
    <w:rsid w:val="7A615382"/>
    <w:rsid w:val="7A67303B"/>
    <w:rsid w:val="7A7C4677"/>
    <w:rsid w:val="7AAB1D04"/>
    <w:rsid w:val="7ABA4368"/>
    <w:rsid w:val="7AD05746"/>
    <w:rsid w:val="7B257FFD"/>
    <w:rsid w:val="7B343476"/>
    <w:rsid w:val="7B5A2978"/>
    <w:rsid w:val="7B5A7E4C"/>
    <w:rsid w:val="7B667AF9"/>
    <w:rsid w:val="7B7468F8"/>
    <w:rsid w:val="7BEB41C7"/>
    <w:rsid w:val="7BEE0103"/>
    <w:rsid w:val="7C0A0FE4"/>
    <w:rsid w:val="7C1568F9"/>
    <w:rsid w:val="7C254906"/>
    <w:rsid w:val="7C272095"/>
    <w:rsid w:val="7C590818"/>
    <w:rsid w:val="7C7C10F6"/>
    <w:rsid w:val="7C853BEA"/>
    <w:rsid w:val="7C881368"/>
    <w:rsid w:val="7CD564F7"/>
    <w:rsid w:val="7CE27788"/>
    <w:rsid w:val="7D0C32F1"/>
    <w:rsid w:val="7D0F408D"/>
    <w:rsid w:val="7D491C6C"/>
    <w:rsid w:val="7D5429C0"/>
    <w:rsid w:val="7D6E6D43"/>
    <w:rsid w:val="7DB57A34"/>
    <w:rsid w:val="7DE23C75"/>
    <w:rsid w:val="7DE60973"/>
    <w:rsid w:val="7DEF0916"/>
    <w:rsid w:val="7E1E5218"/>
    <w:rsid w:val="7E6C679B"/>
    <w:rsid w:val="7E894C20"/>
    <w:rsid w:val="7E9A4E1F"/>
    <w:rsid w:val="7EA7723A"/>
    <w:rsid w:val="7EF56FBB"/>
    <w:rsid w:val="7F0768EB"/>
    <w:rsid w:val="7F143BEC"/>
    <w:rsid w:val="7F362021"/>
    <w:rsid w:val="7F715AF2"/>
    <w:rsid w:val="7F7B47F9"/>
    <w:rsid w:val="7F886E69"/>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6"/>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7">
    <w:name w:val="endnote text"/>
    <w:basedOn w:val="1"/>
    <w:link w:val="933"/>
    <w:qFormat/>
    <w:uiPriority w:val="0"/>
    <w:rPr>
      <w:lang w:val="zh-CN"/>
    </w:rPr>
  </w:style>
  <w:style w:type="paragraph" w:styleId="38">
    <w:name w:val="Balloon Text"/>
    <w:basedOn w:val="1"/>
    <w:link w:val="189"/>
    <w:qFormat/>
    <w:uiPriority w:val="0"/>
    <w:rPr>
      <w:sz w:val="18"/>
      <w:szCs w:val="18"/>
    </w:rPr>
  </w:style>
  <w:style w:type="paragraph" w:styleId="39">
    <w:name w:val="footer"/>
    <w:basedOn w:val="1"/>
    <w:link w:val="384"/>
    <w:qFormat/>
    <w:uiPriority w:val="99"/>
    <w:pPr>
      <w:tabs>
        <w:tab w:val="center" w:pos="4153"/>
        <w:tab w:val="right" w:pos="8306"/>
      </w:tabs>
      <w:snapToGrid w:val="0"/>
      <w:jc w:val="left"/>
    </w:pPr>
    <w:rPr>
      <w:sz w:val="18"/>
      <w:szCs w:val="18"/>
    </w:rPr>
  </w:style>
  <w:style w:type="paragraph" w:styleId="40">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link w:val="311"/>
    <w:qFormat/>
    <w:uiPriority w:val="0"/>
    <w:pPr>
      <w:adjustRightInd/>
      <w:snapToGrid/>
      <w:spacing w:before="60" w:after="60" w:line="300" w:lineRule="exact"/>
      <w:ind w:firstLine="0"/>
    </w:pPr>
    <w:rPr>
      <w:rFonts w:ascii="Calibri" w:hAnsi="Times New Roman" w:eastAsia="宋体" w:cs="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6"/>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3"/>
    <w:qFormat/>
    <w:uiPriority w:val="0"/>
    <w:pPr>
      <w:spacing w:after="120" w:line="480" w:lineRule="auto"/>
    </w:pPr>
  </w:style>
  <w:style w:type="paragraph" w:styleId="56">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7"/>
    <w:qFormat/>
    <w:uiPriority w:val="0"/>
    <w:rPr>
      <w:b/>
      <w:bCs/>
    </w:rPr>
  </w:style>
  <w:style w:type="paragraph" w:styleId="60">
    <w:name w:val="Body Text First Indent"/>
    <w:basedOn w:val="23"/>
    <w:next w:val="50"/>
    <w:link w:val="322"/>
    <w:qFormat/>
    <w:uiPriority w:val="0"/>
    <w:pPr>
      <w:ind w:firstLine="420"/>
    </w:pPr>
    <w:rPr>
      <w:rFonts w:hAnsi="Calibri" w:cs="Times New Roman"/>
      <w:snapToGrid/>
      <w:szCs w:val="20"/>
    </w:rPr>
  </w:style>
  <w:style w:type="paragraph" w:styleId="61">
    <w:name w:val="Body Text First Indent 2"/>
    <w:basedOn w:val="24"/>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paragraph" w:styleId="80">
    <w:name w:val="List Paragraph"/>
    <w:basedOn w:val="1"/>
    <w:qFormat/>
    <w:uiPriority w:val="34"/>
    <w:pPr>
      <w:ind w:firstLine="420" w:firstLineChars="200"/>
    </w:pPr>
  </w:style>
  <w:style w:type="paragraph" w:customStyle="1" w:styleId="81">
    <w:name w:val="Normal Indent"/>
    <w:basedOn w:val="1"/>
    <w:next w:val="1"/>
    <w:qFormat/>
    <w:uiPriority w:val="0"/>
    <w:pPr>
      <w:ind w:firstLine="420"/>
    </w:pPr>
    <w:rPr>
      <w:szCs w:val="20"/>
    </w:rPr>
  </w:style>
  <w:style w:type="paragraph" w:customStyle="1" w:styleId="82">
    <w:name w:val="Normal Indent1"/>
    <w:basedOn w:val="1"/>
    <w:next w:val="1"/>
    <w:qFormat/>
    <w:uiPriority w:val="0"/>
    <w:pPr>
      <w:ind w:firstLine="420"/>
    </w:pPr>
    <w:rPr>
      <w:szCs w:val="20"/>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59"/>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6"/>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7"/>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5"/>
    <w:qFormat/>
    <w:uiPriority w:val="0"/>
    <w:rPr>
      <w:rFonts w:ascii="宋体"/>
      <w:kern w:val="2"/>
      <w:sz w:val="24"/>
      <w:szCs w:val="21"/>
      <w:lang w:val="zh-CN"/>
    </w:rPr>
  </w:style>
  <w:style w:type="character" w:customStyle="1" w:styleId="183">
    <w:name w:val="标题 9 Char"/>
    <w:link w:val="10"/>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8"/>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29"/>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5"/>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出段落1"/>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4"/>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8"/>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6"/>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6"/>
    <w:qFormat/>
    <w:uiPriority w:val="0"/>
    <w:rPr>
      <w:rFonts w:ascii="黑体" w:hAnsi="Courier New" w:eastAsia="黑体"/>
    </w:rPr>
  </w:style>
  <w:style w:type="character" w:customStyle="1" w:styleId="303">
    <w:name w:val="正文文本 2 Char1"/>
    <w:link w:val="55"/>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5"/>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8"/>
    <w:qFormat/>
    <w:uiPriority w:val="0"/>
    <w:rPr>
      <w:b/>
      <w:bCs/>
      <w:kern w:val="2"/>
      <w:sz w:val="24"/>
      <w:szCs w:val="24"/>
    </w:rPr>
  </w:style>
  <w:style w:type="character" w:customStyle="1" w:styleId="309">
    <w:name w:val="正文文本缩进 2 Char"/>
    <w:link w:val="36"/>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49"/>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0"/>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5"/>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99"/>
    <w:rPr>
      <w:kern w:val="2"/>
      <w:sz w:val="21"/>
      <w:szCs w:val="24"/>
    </w:rPr>
  </w:style>
  <w:style w:type="character" w:customStyle="1" w:styleId="346">
    <w:name w:val="签名 Char"/>
    <w:link w:val="41"/>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9"/>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2"/>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39"/>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0"/>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link w:val="429"/>
    <w:qFormat/>
    <w:uiPriority w:val="0"/>
    <w:pPr>
      <w:widowControl w:val="0"/>
      <w:adjustRightInd/>
      <w:snapToGrid/>
      <w:spacing w:line="360" w:lineRule="auto"/>
      <w:ind w:firstLine="200" w:firstLineChars="200"/>
    </w:pPr>
    <w:rPr>
      <w:rFonts w:ascii="Calibri" w:hAnsi="Times New Roman" w:eastAsia="宋体" w:cs="Times New Roman"/>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6"/>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qFormat/>
    <w:uiPriority w:val="0"/>
    <w:pPr>
      <w:widowControl w:val="0"/>
      <w:tabs>
        <w:tab w:val="left" w:pos="0"/>
        <w:tab w:val="left" w:pos="992"/>
      </w:tabs>
      <w:adjustRightInd/>
      <w:snapToGrid/>
      <w:spacing w:line="360" w:lineRule="auto"/>
      <w:ind w:firstLine="0"/>
    </w:pPr>
    <w:rPr>
      <w:rFonts w:ascii="黑体" w:hAnsi="Times New Roman" w:eastAsia="黑体" w:cs="Times New Roman"/>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5"/>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6"/>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qFormat/>
    <w:uiPriority w:val="0"/>
    <w:pPr>
      <w:adjustRightInd/>
      <w:snapToGrid/>
      <w:spacing w:before="100" w:beforeAutospacing="1" w:after="100" w:afterLines="50" w:afterAutospacing="1" w:line="360" w:lineRule="auto"/>
      <w:ind w:firstLine="480" w:firstLineChars="200"/>
      <w:jc w:val="left"/>
    </w:pPr>
    <w:rPr>
      <w:rFonts w:ascii="Times New Roman" w:hAnsi="Times New Roman" w:eastAsia="宋体" w:cs="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7"/>
    <w:qFormat/>
    <w:uiPriority w:val="0"/>
    <w:rPr>
      <w:kern w:val="2"/>
      <w:sz w:val="21"/>
      <w:szCs w:val="24"/>
      <w:lang w:val="zh-CN"/>
    </w:rPr>
  </w:style>
  <w:style w:type="character" w:customStyle="1" w:styleId="934">
    <w:name w:val="无间隔 字符"/>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6">
    <w:name w:val="p16"/>
    <w:basedOn w:val="1"/>
    <w:qFormat/>
    <w:uiPriority w:val="0"/>
    <w:pPr>
      <w:widowControl/>
      <w:spacing w:before="100" w:after="100"/>
      <w:jc w:val="left"/>
    </w:pPr>
    <w:rPr>
      <w:rFonts w:ascii="宋体" w:hAnsi="宋体" w:cs="宋体"/>
      <w:color w:val="000000"/>
      <w:kern w:val="0"/>
      <w:sz w:val="24"/>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须知小标题"/>
    <w:basedOn w:val="1"/>
    <w:qFormat/>
    <w:uiPriority w:val="0"/>
    <w:pPr>
      <w:spacing w:line="500" w:lineRule="exact"/>
    </w:pPr>
    <w:rPr>
      <w:rFonts w:ascii="黑体" w:hAnsi="Calibri" w:eastAsia="黑体" w:cs="Calibri"/>
      <w:b/>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41521</Words>
  <Characters>43961</Characters>
  <Lines>405</Lines>
  <Paragraphs>114</Paragraphs>
  <TotalTime>2</TotalTime>
  <ScaleCrop>false</ScaleCrop>
  <LinksUpToDate>false</LinksUpToDate>
  <CharactersWithSpaces>47759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BigBearΨ熊﹏</cp:lastModifiedBy>
  <cp:lastPrinted>2023-04-21T01:17:00Z</cp:lastPrinted>
  <dcterms:modified xsi:type="dcterms:W3CDTF">2024-08-01T09:35:11Z</dcterms:modified>
  <dc:title>杭州市市民卡扩大发卡工程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813FA95D4E554A779A71B811A3BC998F_13</vt:lpwstr>
  </property>
  <property fmtid="{D5CDD505-2E9C-101B-9397-08002B2CF9AE}" pid="5" name="commondata">
    <vt:lpwstr>eyJoZGlkIjoiNGNlMmFkMDQ1NDY0ZmRiM2Q0NjY4NTFjN2IwMTllYjMifQ==</vt:lpwstr>
  </property>
</Properties>
</file>