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40258">
      <w:pPr>
        <w:spacing w:line="360" w:lineRule="auto"/>
        <w:jc w:val="center"/>
        <w:rPr>
          <w:rFonts w:cs="仿宋_GB2312" w:asciiTheme="minorEastAsia" w:hAnsiTheme="minorEastAsia" w:eastAsiaTheme="minorEastAsia"/>
          <w:b/>
          <w:color w:val="auto"/>
          <w:sz w:val="24"/>
          <w:highlight w:val="none"/>
        </w:rPr>
      </w:pPr>
      <w:bookmarkStart w:id="113" w:name="_GoBack"/>
    </w:p>
    <w:p w14:paraId="597E87EC">
      <w:pPr>
        <w:spacing w:line="360" w:lineRule="auto"/>
        <w:jc w:val="center"/>
        <w:rPr>
          <w:rFonts w:cs="仿宋_GB2312" w:asciiTheme="minorEastAsia" w:hAnsiTheme="minorEastAsia" w:eastAsiaTheme="minorEastAsia"/>
          <w:b/>
          <w:color w:val="auto"/>
          <w:sz w:val="24"/>
          <w:highlight w:val="none"/>
        </w:rPr>
      </w:pPr>
    </w:p>
    <w:p w14:paraId="28052B28">
      <w:pPr>
        <w:adjustRightInd/>
        <w:spacing w:line="360" w:lineRule="auto"/>
        <w:jc w:val="center"/>
        <w:rPr>
          <w:rFonts w:cs="仿宋_GB2312" w:asciiTheme="minorEastAsia" w:hAnsiTheme="minorEastAsia" w:eastAsiaTheme="minorEastAsia"/>
          <w:b/>
          <w:color w:val="auto"/>
          <w:sz w:val="44"/>
          <w:szCs w:val="44"/>
          <w:highlight w:val="none"/>
        </w:rPr>
      </w:pPr>
    </w:p>
    <w:p w14:paraId="53BC1E3F">
      <w:pPr>
        <w:adjustRightInd/>
        <w:spacing w:line="360" w:lineRule="auto"/>
        <w:jc w:val="center"/>
        <w:rPr>
          <w:rFonts w:hint="eastAsia" w:cs="仿宋_GB2312" w:asciiTheme="minorEastAsia" w:hAnsiTheme="minorEastAsia" w:eastAsiaTheme="minorEastAsia"/>
          <w:b/>
          <w:bCs/>
          <w:color w:val="auto"/>
          <w:w w:val="95"/>
          <w:sz w:val="48"/>
          <w:szCs w:val="48"/>
          <w:highlight w:val="none"/>
          <w:lang w:val="zh-CN" w:eastAsia="zh-CN"/>
        </w:rPr>
      </w:pPr>
      <w:bookmarkStart w:id="0" w:name="OLE_LINK15"/>
      <w:r>
        <w:rPr>
          <w:rFonts w:hint="eastAsia" w:cs="仿宋_GB2312" w:asciiTheme="minorEastAsia" w:hAnsiTheme="minorEastAsia" w:eastAsiaTheme="minorEastAsia"/>
          <w:b/>
          <w:bCs/>
          <w:color w:val="auto"/>
          <w:w w:val="95"/>
          <w:sz w:val="48"/>
          <w:szCs w:val="48"/>
          <w:highlight w:val="none"/>
          <w:lang w:val="zh-CN" w:eastAsia="zh-CN"/>
        </w:rPr>
        <w:t>鄞州区公安分局智安小区感知及联网服务采购项目</w:t>
      </w:r>
      <w:bookmarkEnd w:id="0"/>
    </w:p>
    <w:p w14:paraId="37DABB50">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37DDEB29">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0FF93011">
      <w:pPr>
        <w:snapToGrid w:val="0"/>
        <w:spacing w:line="360" w:lineRule="auto"/>
        <w:jc w:val="center"/>
        <w:rPr>
          <w:rFonts w:cs="仿宋_GB2312" w:asciiTheme="minorEastAsia" w:hAnsiTheme="minorEastAsia" w:eastAsiaTheme="minorEastAsia"/>
          <w:color w:val="auto"/>
          <w:sz w:val="30"/>
          <w:szCs w:val="30"/>
          <w:highlight w:val="none"/>
        </w:rPr>
      </w:pPr>
    </w:p>
    <w:p w14:paraId="501C3D82">
      <w:pPr>
        <w:snapToGrid w:val="0"/>
        <w:spacing w:line="360" w:lineRule="auto"/>
        <w:jc w:val="center"/>
        <w:rPr>
          <w:rFonts w:hint="eastAsia" w:cs="仿宋_GB2312" w:asciiTheme="minorEastAsia" w:hAnsiTheme="minorEastAsia" w:eastAsiaTheme="minorEastAsia"/>
          <w:b/>
          <w:bCs/>
          <w:color w:val="auto"/>
          <w:sz w:val="32"/>
          <w:szCs w:val="32"/>
          <w:highlight w:val="none"/>
          <w:lang w:eastAsia="zh-CN"/>
        </w:rPr>
      </w:pPr>
      <w:r>
        <w:rPr>
          <w:rFonts w:hint="eastAsia" w:cs="仿宋_GB2312" w:asciiTheme="minorEastAsia" w:hAnsiTheme="minorEastAsia" w:eastAsiaTheme="minorEastAsia"/>
          <w:b/>
          <w:bCs/>
          <w:color w:val="auto"/>
          <w:sz w:val="32"/>
          <w:szCs w:val="32"/>
          <w:highlight w:val="none"/>
        </w:rPr>
        <w:t>项目编号:</w:t>
      </w:r>
      <w:bookmarkStart w:id="1" w:name="OLE_LINK32"/>
      <w:bookmarkStart w:id="2" w:name="OLE_LINK1"/>
      <w:r>
        <w:rPr>
          <w:rFonts w:hint="eastAsia" w:cs="仿宋_GB2312" w:asciiTheme="minorEastAsia" w:hAnsiTheme="minorEastAsia" w:eastAsiaTheme="minorEastAsia"/>
          <w:b/>
          <w:bCs/>
          <w:color w:val="auto"/>
          <w:sz w:val="32"/>
          <w:szCs w:val="32"/>
          <w:highlight w:val="none"/>
          <w:lang w:val="zh-CN" w:eastAsia="zh-CN"/>
        </w:rPr>
        <w:t>CBNB-2024</w:t>
      </w:r>
      <w:r>
        <w:rPr>
          <w:rFonts w:hint="eastAsia" w:cs="仿宋_GB2312" w:asciiTheme="minorEastAsia" w:hAnsiTheme="minorEastAsia" w:eastAsiaTheme="minorEastAsia"/>
          <w:b/>
          <w:bCs/>
          <w:color w:val="auto"/>
          <w:sz w:val="32"/>
          <w:szCs w:val="32"/>
          <w:highlight w:val="none"/>
          <w:lang w:val="en-US" w:eastAsia="zh-CN"/>
        </w:rPr>
        <w:t>2452</w:t>
      </w:r>
      <w:r>
        <w:rPr>
          <w:rFonts w:hint="eastAsia" w:cs="仿宋_GB2312" w:asciiTheme="minorEastAsia" w:hAnsiTheme="minorEastAsia" w:eastAsiaTheme="minorEastAsia"/>
          <w:b/>
          <w:bCs/>
          <w:color w:val="auto"/>
          <w:sz w:val="32"/>
          <w:szCs w:val="32"/>
          <w:highlight w:val="none"/>
          <w:lang w:val="zh-CN" w:eastAsia="zh-CN"/>
        </w:rPr>
        <w:t>G</w:t>
      </w:r>
      <w:bookmarkEnd w:id="1"/>
    </w:p>
    <w:bookmarkEnd w:id="2"/>
    <w:p w14:paraId="680FFD24">
      <w:pPr>
        <w:adjustRightInd/>
        <w:spacing w:line="360" w:lineRule="auto"/>
        <w:rPr>
          <w:rFonts w:cs="仿宋_GB2312" w:asciiTheme="minorEastAsia" w:hAnsiTheme="minorEastAsia" w:eastAsiaTheme="minorEastAsia"/>
          <w:color w:val="auto"/>
          <w:sz w:val="28"/>
          <w:szCs w:val="20"/>
          <w:highlight w:val="none"/>
        </w:rPr>
      </w:pPr>
    </w:p>
    <w:p w14:paraId="649D34B4">
      <w:pPr>
        <w:spacing w:line="360" w:lineRule="auto"/>
        <w:jc w:val="center"/>
        <w:rPr>
          <w:rFonts w:cs="仿宋_GB2312" w:asciiTheme="minorEastAsia" w:hAnsiTheme="minorEastAsia" w:eastAsiaTheme="minorEastAsia"/>
          <w:color w:val="auto"/>
          <w:sz w:val="24"/>
          <w:highlight w:val="none"/>
        </w:rPr>
      </w:pPr>
    </w:p>
    <w:p w14:paraId="678C7C7E">
      <w:pPr>
        <w:spacing w:line="360" w:lineRule="auto"/>
        <w:jc w:val="center"/>
        <w:rPr>
          <w:rFonts w:cs="仿宋_GB2312" w:asciiTheme="minorEastAsia" w:hAnsiTheme="minorEastAsia" w:eastAsiaTheme="minorEastAsia"/>
          <w:color w:val="auto"/>
          <w:sz w:val="24"/>
          <w:highlight w:val="none"/>
        </w:rPr>
      </w:pPr>
    </w:p>
    <w:p w14:paraId="7186132A">
      <w:pPr>
        <w:pStyle w:val="188"/>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4B8A6E4B">
      <w:pPr>
        <w:spacing w:line="360" w:lineRule="auto"/>
        <w:ind w:firstLine="1600" w:firstLineChars="500"/>
        <w:rPr>
          <w:rFonts w:ascii="宋体" w:hAnsi="宋体" w:cs="宋体"/>
          <w:bCs/>
          <w:color w:val="auto"/>
          <w:sz w:val="32"/>
          <w:szCs w:val="32"/>
          <w:highlight w:val="none"/>
        </w:rPr>
      </w:pPr>
    </w:p>
    <w:p w14:paraId="756D3EB2">
      <w:pPr>
        <w:spacing w:line="360" w:lineRule="auto"/>
        <w:ind w:firstLine="1600" w:firstLineChars="500"/>
        <w:rPr>
          <w:rFonts w:ascii="宋体" w:hAnsi="宋体" w:cs="宋体"/>
          <w:bCs/>
          <w:color w:val="auto"/>
          <w:sz w:val="32"/>
          <w:szCs w:val="32"/>
          <w:highlight w:val="none"/>
        </w:rPr>
      </w:pPr>
    </w:p>
    <w:p w14:paraId="28450C4B">
      <w:pPr>
        <w:spacing w:line="360" w:lineRule="auto"/>
        <w:ind w:firstLine="1280" w:firstLineChars="4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采</w:t>
      </w:r>
      <w:r>
        <w:rPr>
          <w:rFonts w:hint="eastAsia" w:ascii="宋体" w:hAnsi="宋体" w:cs="宋体"/>
          <w:bCs/>
          <w:color w:val="auto"/>
          <w:sz w:val="32"/>
          <w:szCs w:val="32"/>
          <w:highlight w:val="none"/>
          <w:lang w:val="en-US" w:eastAsia="zh-CN"/>
        </w:rPr>
        <w:t xml:space="preserve">   </w:t>
      </w:r>
      <w:r>
        <w:rPr>
          <w:rFonts w:hint="eastAsia" w:ascii="宋体" w:hAnsi="宋体" w:cs="宋体"/>
          <w:bCs/>
          <w:color w:val="auto"/>
          <w:sz w:val="32"/>
          <w:szCs w:val="32"/>
          <w:highlight w:val="none"/>
        </w:rPr>
        <w:t>购</w:t>
      </w:r>
      <w:r>
        <w:rPr>
          <w:rFonts w:hint="eastAsia" w:ascii="宋体" w:hAnsi="宋体" w:cs="宋体"/>
          <w:bCs/>
          <w:color w:val="auto"/>
          <w:sz w:val="32"/>
          <w:szCs w:val="32"/>
          <w:highlight w:val="none"/>
          <w:lang w:val="en-US" w:eastAsia="zh-CN"/>
        </w:rPr>
        <w:t xml:space="preserve">   </w:t>
      </w:r>
      <w:r>
        <w:rPr>
          <w:rFonts w:hint="eastAsia" w:ascii="宋体" w:hAnsi="宋体" w:cs="宋体"/>
          <w:bCs/>
          <w:color w:val="auto"/>
          <w:sz w:val="32"/>
          <w:szCs w:val="32"/>
          <w:highlight w:val="none"/>
        </w:rPr>
        <w:t>人：</w:t>
      </w:r>
      <w:r>
        <w:rPr>
          <w:rFonts w:hint="eastAsia" w:ascii="宋体" w:hAnsi="宋体" w:cs="宋体"/>
          <w:bCs/>
          <w:color w:val="auto"/>
          <w:sz w:val="32"/>
          <w:szCs w:val="32"/>
          <w:highlight w:val="none"/>
          <w:lang w:val="zh-CN" w:eastAsia="zh-CN"/>
        </w:rPr>
        <w:t>宁波市公安局鄞州分局</w:t>
      </w:r>
    </w:p>
    <w:p w14:paraId="4825BEA0">
      <w:pPr>
        <w:spacing w:line="360" w:lineRule="auto"/>
        <w:jc w:val="center"/>
        <w:rPr>
          <w:rFonts w:cs="仿宋_GB2312" w:asciiTheme="minorEastAsia" w:hAnsiTheme="minorEastAsia"/>
          <w:bCs/>
          <w:color w:val="auto"/>
          <w:sz w:val="32"/>
          <w:szCs w:val="32"/>
          <w:highlight w:val="none"/>
        </w:rPr>
      </w:pPr>
      <w:r>
        <w:rPr>
          <w:rFonts w:hint="eastAsia" w:ascii="宋体" w:hAnsi="宋体" w:cs="宋体"/>
          <w:bCs/>
          <w:color w:val="auto"/>
          <w:sz w:val="32"/>
          <w:szCs w:val="32"/>
          <w:highlight w:val="none"/>
        </w:rPr>
        <w:t xml:space="preserve"> 采购代理机构：宁波中基国际招标有限公司</w:t>
      </w:r>
    </w:p>
    <w:p w14:paraId="20F8F1F9">
      <w:pPr>
        <w:snapToGrid w:val="0"/>
        <w:spacing w:line="360" w:lineRule="auto"/>
        <w:jc w:val="center"/>
        <w:rPr>
          <w:rFonts w:cs="仿宋_GB2312" w:asciiTheme="minorEastAsia" w:hAnsiTheme="minorEastAsia" w:eastAsiaTheme="minorEastAsia"/>
          <w:bCs/>
          <w:color w:val="auto"/>
          <w:sz w:val="32"/>
          <w:szCs w:val="32"/>
          <w:highlight w:val="none"/>
        </w:rPr>
      </w:pPr>
    </w:p>
    <w:p w14:paraId="6A83A8D4">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四</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九</w:t>
      </w:r>
      <w:r>
        <w:rPr>
          <w:rFonts w:hint="eastAsia" w:cs="仿宋_GB2312" w:asciiTheme="minorEastAsia" w:hAnsiTheme="minorEastAsia" w:eastAsiaTheme="minorEastAsia"/>
          <w:bCs/>
          <w:color w:val="auto"/>
          <w:sz w:val="32"/>
          <w:szCs w:val="32"/>
          <w:highlight w:val="none"/>
        </w:rPr>
        <w:t>月</w:t>
      </w:r>
      <w:r>
        <w:rPr>
          <w:rFonts w:hint="eastAsia" w:cs="仿宋_GB2312" w:asciiTheme="minorEastAsia" w:hAnsiTheme="minorEastAsia" w:eastAsiaTheme="minorEastAsia"/>
          <w:color w:val="auto"/>
          <w:sz w:val="24"/>
          <w:highlight w:val="none"/>
        </w:rPr>
        <w:br w:type="page"/>
      </w:r>
      <w:bookmarkStart w:id="3" w:name="_Hlt67893495"/>
      <w:bookmarkEnd w:id="3"/>
    </w:p>
    <w:p w14:paraId="60643D19">
      <w:pPr>
        <w:tabs>
          <w:tab w:val="left" w:pos="2268"/>
        </w:tabs>
        <w:spacing w:line="360" w:lineRule="auto"/>
        <w:jc w:val="center"/>
        <w:rPr>
          <w:rFonts w:cs="仿宋_GB2312" w:asciiTheme="minorEastAsia" w:hAnsiTheme="minorEastAsia" w:eastAsiaTheme="minorEastAsia"/>
          <w:color w:val="auto"/>
          <w:sz w:val="24"/>
          <w:highlight w:val="none"/>
        </w:rPr>
      </w:pPr>
    </w:p>
    <w:p w14:paraId="754F0B60">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7C61B4DB">
      <w:pPr>
        <w:spacing w:line="360" w:lineRule="auto"/>
        <w:rPr>
          <w:rFonts w:cs="仿宋_GB2312" w:asciiTheme="minorEastAsia" w:hAnsiTheme="minorEastAsia" w:eastAsiaTheme="minorEastAsia"/>
          <w:color w:val="auto"/>
          <w:sz w:val="32"/>
          <w:szCs w:val="32"/>
          <w:highlight w:val="none"/>
        </w:rPr>
      </w:pPr>
    </w:p>
    <w:p w14:paraId="66E60028">
      <w:pPr>
        <w:spacing w:line="360" w:lineRule="auto"/>
        <w:rPr>
          <w:rFonts w:cs="仿宋_GB2312" w:asciiTheme="minorEastAsia" w:hAnsiTheme="minorEastAsia" w:eastAsiaTheme="minorEastAsia"/>
          <w:color w:val="auto"/>
          <w:sz w:val="32"/>
          <w:szCs w:val="32"/>
          <w:highlight w:val="none"/>
        </w:rPr>
      </w:pPr>
    </w:p>
    <w:p w14:paraId="3C0965EF">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374BF2B2">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4D907F2B">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747D00C5">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3D93F90E">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45950E5C">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3D08EEFD">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1D27E697">
      <w:pPr>
        <w:spacing w:line="360" w:lineRule="auto"/>
        <w:ind w:firstLine="549" w:firstLineChars="229"/>
        <w:rPr>
          <w:rFonts w:cs="仿宋_GB2312" w:asciiTheme="minorEastAsia" w:hAnsiTheme="minorEastAsia" w:eastAsiaTheme="minorEastAsia"/>
          <w:color w:val="auto"/>
          <w:sz w:val="24"/>
          <w:highlight w:val="none"/>
        </w:rPr>
      </w:pPr>
      <w:bookmarkStart w:id="4" w:name="_Hlt91233176"/>
      <w:bookmarkEnd w:id="4"/>
      <w:bookmarkStart w:id="5" w:name="_Toc91899869"/>
    </w:p>
    <w:p w14:paraId="152FF326">
      <w:pPr>
        <w:spacing w:line="360" w:lineRule="auto"/>
        <w:ind w:firstLine="549" w:firstLineChars="229"/>
        <w:rPr>
          <w:rFonts w:cs="仿宋_GB2312" w:asciiTheme="minorEastAsia" w:hAnsiTheme="minorEastAsia" w:eastAsiaTheme="minorEastAsia"/>
          <w:color w:val="auto"/>
          <w:sz w:val="24"/>
          <w:highlight w:val="none"/>
        </w:rPr>
      </w:pPr>
    </w:p>
    <w:p w14:paraId="7A9004AE">
      <w:pPr>
        <w:spacing w:line="360" w:lineRule="auto"/>
        <w:ind w:firstLine="549" w:firstLineChars="229"/>
        <w:rPr>
          <w:rFonts w:cs="仿宋_GB2312" w:asciiTheme="minorEastAsia" w:hAnsiTheme="minorEastAsia" w:eastAsiaTheme="minorEastAsia"/>
          <w:color w:val="auto"/>
          <w:sz w:val="24"/>
          <w:highlight w:val="none"/>
        </w:rPr>
      </w:pPr>
    </w:p>
    <w:p w14:paraId="289FC319">
      <w:pPr>
        <w:spacing w:line="360" w:lineRule="auto"/>
        <w:ind w:firstLine="549" w:firstLineChars="229"/>
        <w:rPr>
          <w:rFonts w:cs="仿宋_GB2312" w:asciiTheme="minorEastAsia" w:hAnsiTheme="minorEastAsia" w:eastAsiaTheme="minorEastAsia"/>
          <w:color w:val="auto"/>
          <w:sz w:val="24"/>
          <w:highlight w:val="none"/>
        </w:rPr>
      </w:pPr>
    </w:p>
    <w:p w14:paraId="5946132C">
      <w:pPr>
        <w:spacing w:line="360" w:lineRule="auto"/>
        <w:ind w:firstLine="549" w:firstLineChars="229"/>
        <w:rPr>
          <w:rFonts w:cs="仿宋_GB2312" w:asciiTheme="minorEastAsia" w:hAnsiTheme="minorEastAsia" w:eastAsiaTheme="minorEastAsia"/>
          <w:color w:val="auto"/>
          <w:sz w:val="24"/>
          <w:highlight w:val="none"/>
        </w:rPr>
      </w:pPr>
    </w:p>
    <w:p w14:paraId="105D6B5F">
      <w:pPr>
        <w:spacing w:line="360" w:lineRule="auto"/>
        <w:ind w:firstLine="549" w:firstLineChars="229"/>
        <w:rPr>
          <w:rFonts w:cs="仿宋_GB2312" w:asciiTheme="minorEastAsia" w:hAnsiTheme="minorEastAsia" w:eastAsiaTheme="minorEastAsia"/>
          <w:color w:val="auto"/>
          <w:sz w:val="24"/>
          <w:highlight w:val="none"/>
        </w:rPr>
      </w:pPr>
    </w:p>
    <w:p w14:paraId="6CE24FA0">
      <w:pPr>
        <w:spacing w:line="360" w:lineRule="auto"/>
        <w:ind w:firstLine="549" w:firstLineChars="229"/>
        <w:rPr>
          <w:rFonts w:cs="仿宋_GB2312" w:asciiTheme="minorEastAsia" w:hAnsiTheme="minorEastAsia" w:eastAsiaTheme="minorEastAsia"/>
          <w:color w:val="auto"/>
          <w:sz w:val="24"/>
          <w:highlight w:val="none"/>
        </w:rPr>
      </w:pPr>
    </w:p>
    <w:p w14:paraId="4CD0EC1C">
      <w:pPr>
        <w:spacing w:line="360" w:lineRule="auto"/>
        <w:ind w:firstLine="549" w:firstLineChars="229"/>
        <w:rPr>
          <w:rFonts w:cs="仿宋_GB2312" w:asciiTheme="minorEastAsia" w:hAnsiTheme="minorEastAsia" w:eastAsiaTheme="minorEastAsia"/>
          <w:color w:val="auto"/>
          <w:sz w:val="24"/>
          <w:highlight w:val="none"/>
        </w:rPr>
      </w:pPr>
    </w:p>
    <w:p w14:paraId="61A28072">
      <w:pPr>
        <w:spacing w:line="360" w:lineRule="auto"/>
        <w:ind w:firstLine="549" w:firstLineChars="229"/>
        <w:rPr>
          <w:rFonts w:cs="仿宋_GB2312" w:asciiTheme="minorEastAsia" w:hAnsiTheme="minorEastAsia" w:eastAsiaTheme="minorEastAsia"/>
          <w:color w:val="auto"/>
          <w:sz w:val="24"/>
          <w:highlight w:val="none"/>
        </w:rPr>
      </w:pPr>
    </w:p>
    <w:p w14:paraId="13C985F7">
      <w:pPr>
        <w:spacing w:line="360" w:lineRule="auto"/>
        <w:ind w:firstLine="549" w:firstLineChars="229"/>
        <w:rPr>
          <w:rFonts w:cs="仿宋_GB2312" w:asciiTheme="minorEastAsia" w:hAnsiTheme="minorEastAsia" w:eastAsiaTheme="minorEastAsia"/>
          <w:color w:val="auto"/>
          <w:sz w:val="24"/>
          <w:highlight w:val="none"/>
        </w:rPr>
      </w:pPr>
    </w:p>
    <w:p w14:paraId="1B7998A1">
      <w:pPr>
        <w:spacing w:line="360" w:lineRule="auto"/>
        <w:ind w:firstLine="549" w:firstLineChars="229"/>
        <w:rPr>
          <w:rFonts w:cs="仿宋_GB2312" w:asciiTheme="minorEastAsia" w:hAnsiTheme="minorEastAsia" w:eastAsiaTheme="minorEastAsia"/>
          <w:color w:val="auto"/>
          <w:sz w:val="24"/>
          <w:highlight w:val="none"/>
        </w:rPr>
      </w:pPr>
    </w:p>
    <w:p w14:paraId="7AC3AC6B">
      <w:pPr>
        <w:spacing w:line="360" w:lineRule="auto"/>
        <w:ind w:firstLine="549" w:firstLineChars="229"/>
        <w:rPr>
          <w:rFonts w:cs="仿宋_GB2312" w:asciiTheme="minorEastAsia" w:hAnsiTheme="minorEastAsia" w:eastAsiaTheme="minorEastAsia"/>
          <w:color w:val="auto"/>
          <w:sz w:val="24"/>
          <w:highlight w:val="none"/>
        </w:rPr>
      </w:pPr>
    </w:p>
    <w:p w14:paraId="50BDD5A6">
      <w:pPr>
        <w:spacing w:line="360" w:lineRule="auto"/>
        <w:ind w:firstLine="549" w:firstLineChars="229"/>
        <w:rPr>
          <w:rFonts w:cs="仿宋_GB2312" w:asciiTheme="minorEastAsia" w:hAnsiTheme="minorEastAsia" w:eastAsiaTheme="minorEastAsia"/>
          <w:color w:val="auto"/>
          <w:sz w:val="24"/>
          <w:highlight w:val="none"/>
        </w:rPr>
      </w:pPr>
    </w:p>
    <w:p w14:paraId="1C9C0A66">
      <w:pPr>
        <w:spacing w:line="360" w:lineRule="auto"/>
        <w:rPr>
          <w:rFonts w:cs="仿宋_GB2312" w:asciiTheme="minorEastAsia" w:hAnsiTheme="minorEastAsia" w:eastAsiaTheme="minorEastAsia"/>
          <w:color w:val="auto"/>
          <w:sz w:val="24"/>
          <w:highlight w:val="none"/>
        </w:rPr>
      </w:pPr>
    </w:p>
    <w:p w14:paraId="43E7F2D3">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6" w:name="第一部分"/>
      <w:r>
        <w:rPr>
          <w:rFonts w:hint="eastAsia" w:cs="仿宋_GB2312" w:asciiTheme="minorEastAsia" w:hAnsiTheme="minorEastAsia" w:eastAsiaTheme="minorEastAsia"/>
          <w:b/>
          <w:color w:val="auto"/>
          <w:sz w:val="36"/>
          <w:szCs w:val="36"/>
          <w:highlight w:val="none"/>
        </w:rPr>
        <w:br w:type="page"/>
      </w:r>
      <w:bookmarkEnd w:id="5"/>
      <w:bookmarkEnd w:id="6"/>
      <w:bookmarkStart w:id="7" w:name="_Hlt74729822"/>
      <w:bookmarkEnd w:id="7"/>
      <w:bookmarkStart w:id="8" w:name="_Hlt74649545"/>
      <w:bookmarkEnd w:id="8"/>
      <w:bookmarkStart w:id="9" w:name="_Hlt74728647"/>
      <w:bookmarkEnd w:id="9"/>
      <w:bookmarkStart w:id="10" w:name="_Hlt74707423"/>
      <w:bookmarkEnd w:id="10"/>
      <w:bookmarkStart w:id="11" w:name="第二部分"/>
      <w:bookmarkStart w:id="12" w:name="_Toc91899870"/>
      <w:bookmarkStart w:id="13" w:name="_Toc91899871"/>
      <w:r>
        <w:rPr>
          <w:rFonts w:hint="eastAsia" w:cs="仿宋_GB2312" w:asciiTheme="minorEastAsia" w:hAnsiTheme="minorEastAsia" w:eastAsiaTheme="minorEastAsia"/>
          <w:b/>
          <w:color w:val="auto"/>
          <w:sz w:val="36"/>
          <w:szCs w:val="20"/>
          <w:highlight w:val="none"/>
        </w:rPr>
        <w:t>第一部分  邀请供应商</w:t>
      </w:r>
    </w:p>
    <w:p w14:paraId="5F7A3842">
      <w:pPr>
        <w:adjustRightInd/>
        <w:spacing w:line="360" w:lineRule="auto"/>
        <w:jc w:val="center"/>
        <w:outlineLvl w:val="0"/>
        <w:rPr>
          <w:rFonts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6"/>
          <w:szCs w:val="20"/>
          <w:highlight w:val="none"/>
        </w:rPr>
        <w:t>竞争性磋商邀请公告</w:t>
      </w:r>
    </w:p>
    <w:p w14:paraId="41158AB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项目概况                                                    </w:t>
      </w:r>
    </w:p>
    <w:p w14:paraId="21973E10">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鄞州区公安分局智安小区感知及联网服务采购项目采购项目的潜在供应商应在政采云平台（https://www.zcygov.cn/）获取（下载）采购文件，并于2024年10月14日 09:00（北京时间）前提交（上传）响应文件。</w:t>
      </w:r>
    </w:p>
    <w:p w14:paraId="0D1E86B9">
      <w:pPr>
        <w:spacing w:line="360" w:lineRule="auto"/>
        <w:rPr>
          <w:rFonts w:asciiTheme="minorEastAsia" w:hAnsiTheme="minorEastAsia" w:eastAsiaTheme="minorEastAsia"/>
          <w:color w:val="auto"/>
          <w:sz w:val="24"/>
          <w:highlight w:val="none"/>
        </w:rPr>
      </w:pPr>
    </w:p>
    <w:p w14:paraId="694BFF0E">
      <w:pPr>
        <w:pStyle w:val="5"/>
        <w:numPr>
          <w:ilvl w:val="0"/>
          <w:numId w:val="0"/>
        </w:numPr>
        <w:ind w:left="432" w:hanging="432"/>
        <w:rPr>
          <w:rFonts w:cs="宋体" w:asciiTheme="minorEastAsia" w:hAnsiTheme="minorEastAsia" w:eastAsiaTheme="minorEastAsia"/>
          <w:color w:val="auto"/>
          <w:sz w:val="24"/>
          <w:szCs w:val="24"/>
          <w:highlight w:val="none"/>
        </w:rPr>
      </w:pPr>
      <w:bookmarkStart w:id="14" w:name="_Toc28359012"/>
      <w:bookmarkStart w:id="15" w:name="_Toc28359089"/>
      <w:bookmarkStart w:id="16" w:name="_Toc35393798"/>
      <w:bookmarkStart w:id="17" w:name="_Toc35393629"/>
      <w:r>
        <w:rPr>
          <w:rFonts w:hint="eastAsia" w:cs="宋体" w:asciiTheme="minorEastAsia" w:hAnsiTheme="minorEastAsia" w:eastAsiaTheme="minorEastAsia"/>
          <w:color w:val="auto"/>
          <w:sz w:val="24"/>
          <w:szCs w:val="24"/>
          <w:highlight w:val="none"/>
        </w:rPr>
        <w:t>一、项目基本情况</w:t>
      </w:r>
      <w:bookmarkEnd w:id="14"/>
      <w:bookmarkEnd w:id="15"/>
      <w:bookmarkEnd w:id="16"/>
      <w:bookmarkEnd w:id="17"/>
    </w:p>
    <w:p w14:paraId="3D3252A3">
      <w:pPr>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color w:val="auto"/>
          <w:sz w:val="24"/>
          <w:highlight w:val="none"/>
          <w:lang w:eastAsia="zh-CN"/>
        </w:rPr>
        <w:t>CBNB-2024</w:t>
      </w:r>
      <w:r>
        <w:rPr>
          <w:rFonts w:hint="eastAsia" w:asciiTheme="minorEastAsia" w:hAnsiTheme="minorEastAsia" w:eastAsiaTheme="minorEastAsia"/>
          <w:color w:val="auto"/>
          <w:sz w:val="24"/>
          <w:highlight w:val="none"/>
          <w:lang w:val="en-US" w:eastAsia="zh-CN"/>
        </w:rPr>
        <w:t>2452</w:t>
      </w:r>
      <w:r>
        <w:rPr>
          <w:rFonts w:hint="eastAsia" w:asciiTheme="minorEastAsia" w:hAnsiTheme="minorEastAsia" w:eastAsiaTheme="minorEastAsia"/>
          <w:color w:val="auto"/>
          <w:sz w:val="24"/>
          <w:highlight w:val="none"/>
          <w:lang w:eastAsia="zh-CN"/>
        </w:rPr>
        <w:t>G</w:t>
      </w:r>
    </w:p>
    <w:p w14:paraId="12E2E886">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项目名称：</w:t>
      </w:r>
      <w:bookmarkStart w:id="18" w:name="OLE_LINK16"/>
      <w:r>
        <w:rPr>
          <w:rFonts w:hint="eastAsia" w:asciiTheme="minorEastAsia" w:hAnsiTheme="minorEastAsia" w:eastAsiaTheme="minorEastAsia"/>
          <w:color w:val="auto"/>
          <w:sz w:val="24"/>
          <w:highlight w:val="none"/>
          <w:lang w:val="zh-CN" w:eastAsia="zh-CN"/>
        </w:rPr>
        <w:t>鄞州区公安分局智安小区感知及联网服务采购项目</w:t>
      </w:r>
      <w:bookmarkEnd w:id="18"/>
    </w:p>
    <w:p w14:paraId="6F081078">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19820338">
      <w:pPr>
        <w:spacing w:line="360" w:lineRule="auto"/>
        <w:ind w:firstLine="482"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b/>
          <w:color w:val="auto"/>
          <w:sz w:val="24"/>
          <w:highlight w:val="none"/>
        </w:rPr>
        <w:t>预算金额（元）：</w:t>
      </w:r>
      <w:bookmarkStart w:id="19" w:name="OLE_LINK17"/>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lang w:val="zh-CN" w:eastAsia="zh-CN"/>
        </w:rPr>
        <w:t>,0</w:t>
      </w:r>
      <w:r>
        <w:rPr>
          <w:rFonts w:hint="eastAsia" w:asciiTheme="minorEastAsia" w:hAnsiTheme="minorEastAsia" w:eastAsiaTheme="minorEastAsia"/>
          <w:color w:val="auto"/>
          <w:sz w:val="24"/>
          <w:highlight w:val="none"/>
          <w:lang w:val="en-US" w:eastAsia="zh-CN"/>
        </w:rPr>
        <w:t>93</w:t>
      </w:r>
      <w:r>
        <w:rPr>
          <w:rFonts w:hint="eastAsia" w:asciiTheme="minorEastAsia" w:hAnsiTheme="minorEastAsia" w:eastAsiaTheme="minorEastAsia"/>
          <w:color w:val="auto"/>
          <w:sz w:val="24"/>
          <w:highlight w:val="none"/>
          <w:lang w:val="zh-CN" w:eastAsia="zh-CN"/>
        </w:rPr>
        <w:t>,000.00</w:t>
      </w:r>
      <w:bookmarkEnd w:id="19"/>
      <w:r>
        <w:rPr>
          <w:rFonts w:hint="eastAsia" w:asciiTheme="minorEastAsia" w:hAnsiTheme="minorEastAsia" w:eastAsiaTheme="minorEastAsia"/>
          <w:color w:val="auto"/>
          <w:sz w:val="24"/>
          <w:highlight w:val="none"/>
          <w:lang w:val="en-US" w:eastAsia="zh-CN"/>
        </w:rPr>
        <w:t>元/三年</w:t>
      </w:r>
    </w:p>
    <w:p w14:paraId="531E3477">
      <w:pPr>
        <w:spacing w:line="360" w:lineRule="auto"/>
        <w:ind w:firstLine="482" w:firstLineChars="200"/>
        <w:rPr>
          <w:rFonts w:hint="eastAsia" w:asciiTheme="minorEastAsia" w:hAnsiTheme="minorEastAsia" w:eastAsiaTheme="minorEastAsia"/>
          <w:color w:val="auto"/>
          <w:sz w:val="24"/>
          <w:highlight w:val="none"/>
          <w:lang w:val="zh-CN" w:eastAsia="zh-CN"/>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lang w:val="zh-CN" w:eastAsia="zh-CN"/>
        </w:rPr>
        <w:t>,0</w:t>
      </w:r>
      <w:r>
        <w:rPr>
          <w:rFonts w:hint="eastAsia" w:asciiTheme="minorEastAsia" w:hAnsiTheme="minorEastAsia" w:eastAsiaTheme="minorEastAsia"/>
          <w:color w:val="auto"/>
          <w:sz w:val="24"/>
          <w:highlight w:val="none"/>
          <w:lang w:val="en-US" w:eastAsia="zh-CN"/>
        </w:rPr>
        <w:t>93</w:t>
      </w:r>
      <w:r>
        <w:rPr>
          <w:rFonts w:hint="eastAsia" w:asciiTheme="minorEastAsia" w:hAnsiTheme="minorEastAsia" w:eastAsiaTheme="minorEastAsia"/>
          <w:color w:val="auto"/>
          <w:sz w:val="24"/>
          <w:highlight w:val="none"/>
          <w:lang w:val="zh-CN" w:eastAsia="zh-CN"/>
        </w:rPr>
        <w:t>,000.00</w:t>
      </w:r>
      <w:r>
        <w:rPr>
          <w:rFonts w:hint="eastAsia" w:asciiTheme="minorEastAsia" w:hAnsiTheme="minorEastAsia" w:eastAsiaTheme="minorEastAsia"/>
          <w:color w:val="auto"/>
          <w:sz w:val="24"/>
          <w:highlight w:val="none"/>
          <w:lang w:val="en-US" w:eastAsia="zh-CN"/>
        </w:rPr>
        <w:t>元/三年</w:t>
      </w:r>
    </w:p>
    <w:p w14:paraId="6F179D5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采购需求：</w:t>
      </w:r>
    </w:p>
    <w:p w14:paraId="710618D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标项名称：</w:t>
      </w:r>
      <w:r>
        <w:rPr>
          <w:rFonts w:hint="eastAsia" w:asciiTheme="minorEastAsia" w:hAnsiTheme="minorEastAsia" w:eastAsiaTheme="minorEastAsia"/>
          <w:color w:val="auto"/>
          <w:sz w:val="24"/>
          <w:highlight w:val="none"/>
          <w:lang w:val="zh-CN" w:eastAsia="zh-CN"/>
        </w:rPr>
        <w:t>鄞州区公安分局智安小区感知及联网服务采购项目</w:t>
      </w:r>
    </w:p>
    <w:p w14:paraId="38AD2451">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数量：1       </w:t>
      </w:r>
    </w:p>
    <w:p w14:paraId="5F0D52C4">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预算金额（元）</w:t>
      </w:r>
      <w:r>
        <w:rPr>
          <w:rFonts w:hint="eastAsia" w:asciiTheme="minorEastAsia" w:hAnsiTheme="minorEastAsia" w:eastAsiaTheme="minorEastAsia"/>
          <w:color w:val="auto"/>
          <w:sz w:val="24"/>
          <w:highlight w:val="none"/>
          <w:lang w:val="zh-CN" w:eastAsia="zh-CN"/>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lang w:val="zh-CN" w:eastAsia="zh-CN"/>
        </w:rPr>
        <w:t>,0</w:t>
      </w:r>
      <w:r>
        <w:rPr>
          <w:rFonts w:hint="eastAsia" w:asciiTheme="minorEastAsia" w:hAnsiTheme="minorEastAsia" w:eastAsiaTheme="minorEastAsia"/>
          <w:color w:val="auto"/>
          <w:sz w:val="24"/>
          <w:highlight w:val="none"/>
          <w:lang w:val="en-US" w:eastAsia="zh-CN"/>
        </w:rPr>
        <w:t>93</w:t>
      </w:r>
      <w:r>
        <w:rPr>
          <w:rFonts w:hint="eastAsia" w:asciiTheme="minorEastAsia" w:hAnsiTheme="minorEastAsia" w:eastAsiaTheme="minorEastAsia"/>
          <w:color w:val="auto"/>
          <w:sz w:val="24"/>
          <w:highlight w:val="none"/>
          <w:lang w:val="zh-CN" w:eastAsia="zh-CN"/>
        </w:rPr>
        <w:t>,000.00</w:t>
      </w:r>
      <w:r>
        <w:rPr>
          <w:rFonts w:hint="eastAsia" w:asciiTheme="minorEastAsia" w:hAnsiTheme="minorEastAsia" w:eastAsiaTheme="minorEastAsia"/>
          <w:color w:val="auto"/>
          <w:sz w:val="24"/>
          <w:highlight w:val="none"/>
          <w:lang w:val="en-US" w:eastAsia="zh-CN"/>
        </w:rPr>
        <w:t>元/三年</w:t>
      </w:r>
      <w:r>
        <w:rPr>
          <w:rFonts w:hint="eastAsia" w:asciiTheme="minorEastAsia" w:hAnsiTheme="minorEastAsia" w:eastAsiaTheme="minorEastAsia"/>
          <w:color w:val="auto"/>
          <w:sz w:val="24"/>
          <w:highlight w:val="none"/>
          <w:lang w:val="zh-CN" w:eastAsia="zh-CN"/>
        </w:rPr>
        <w:t xml:space="preserve"> </w:t>
      </w:r>
    </w:p>
    <w:p w14:paraId="2AC0D107">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单位：项 </w:t>
      </w:r>
    </w:p>
    <w:p w14:paraId="18AC9052">
      <w:pPr>
        <w:pStyle w:val="3"/>
        <w:keepNext w:val="0"/>
        <w:keepLines w:val="0"/>
        <w:pageBreakBefore w:val="0"/>
        <w:widowControl w:val="0"/>
        <w:kinsoku/>
        <w:wordWrap/>
        <w:overflowPunct/>
        <w:topLinePunct w:val="0"/>
        <w:autoSpaceDE w:val="0"/>
        <w:autoSpaceDN w:val="0"/>
        <w:bidi w:val="0"/>
        <w:adjustRightInd w:val="0"/>
        <w:snapToGrid/>
        <w:spacing w:before="246" w:line="360" w:lineRule="auto"/>
        <w:ind w:right="11" w:firstLine="480" w:firstLineChars="200"/>
        <w:jc w:val="both"/>
        <w:textAlignment w:val="auto"/>
        <w:rPr>
          <w:rFonts w:hint="eastAsia" w:cs="Times New Roman" w:asciiTheme="minorEastAsia" w:hAnsiTheme="minorEastAsia" w:eastAsiaTheme="minorEastAsia"/>
          <w:color w:val="auto"/>
          <w:kern w:val="2"/>
          <w:sz w:val="24"/>
          <w:szCs w:val="24"/>
          <w:highlight w:val="none"/>
          <w:lang w:val="zh-CN" w:eastAsia="zh-CN" w:bidi="ar-SA"/>
        </w:rPr>
      </w:pPr>
      <w:r>
        <w:rPr>
          <w:rFonts w:hint="eastAsia" w:cs="Times New Roman" w:asciiTheme="minorEastAsia" w:hAnsiTheme="minorEastAsia" w:eastAsiaTheme="minorEastAsia"/>
          <w:color w:val="auto"/>
          <w:kern w:val="2"/>
          <w:sz w:val="24"/>
          <w:szCs w:val="24"/>
          <w:highlight w:val="none"/>
          <w:lang w:val="zh-CN" w:eastAsia="zh-CN" w:bidi="ar-SA"/>
        </w:rPr>
        <w:t>简要规格描述：</w:t>
      </w:r>
      <w:bookmarkStart w:id="20" w:name="OLE_LINK9"/>
      <w:r>
        <w:rPr>
          <w:rFonts w:hint="eastAsia" w:cs="Times New Roman" w:asciiTheme="minorEastAsia" w:hAnsiTheme="minorEastAsia" w:eastAsiaTheme="minorEastAsia"/>
          <w:color w:val="auto"/>
          <w:kern w:val="2"/>
          <w:sz w:val="24"/>
          <w:szCs w:val="24"/>
          <w:highlight w:val="none"/>
          <w:lang w:val="en-US" w:eastAsia="zh-CN" w:bidi="ar-SA"/>
        </w:rPr>
        <w:t>该服务为满足智安小区建设的业务需求。依托智能化设备以及社区治理管理等功能，满足进一步提升鄞州区区社会治理平安建设整体水平的要求</w:t>
      </w:r>
      <w:r>
        <w:rPr>
          <w:rFonts w:hint="eastAsia" w:cs="Times New Roman" w:asciiTheme="minorEastAsia" w:hAnsiTheme="minorEastAsia" w:eastAsiaTheme="minorEastAsia"/>
          <w:color w:val="auto"/>
          <w:kern w:val="2"/>
          <w:sz w:val="24"/>
          <w:szCs w:val="24"/>
          <w:highlight w:val="none"/>
          <w:lang w:val="zh-CN" w:eastAsia="zh-CN" w:bidi="ar-SA"/>
        </w:rPr>
        <w:t>，具体见第四部分《采购需求》。</w:t>
      </w:r>
      <w:bookmarkEnd w:id="20"/>
      <w:r>
        <w:rPr>
          <w:rFonts w:hint="eastAsia" w:cs="Times New Roman" w:asciiTheme="minorEastAsia" w:hAnsiTheme="minorEastAsia" w:eastAsiaTheme="minorEastAsia"/>
          <w:color w:val="auto"/>
          <w:kern w:val="2"/>
          <w:sz w:val="24"/>
          <w:szCs w:val="24"/>
          <w:highlight w:val="none"/>
          <w:lang w:val="zh-CN" w:eastAsia="zh-CN" w:bidi="ar-SA"/>
        </w:rPr>
        <w:t xml:space="preserve"> </w:t>
      </w:r>
    </w:p>
    <w:p w14:paraId="41997BA6">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备注：无 </w:t>
      </w:r>
    </w:p>
    <w:p w14:paraId="3A3DFF91">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合同履约期限</w:t>
      </w:r>
      <w:r>
        <w:rPr>
          <w:rFonts w:hint="eastAsia" w:cs="Times New Roman" w:asciiTheme="minorEastAsia" w:hAnsiTheme="minorEastAsia" w:eastAsiaTheme="minorEastAsia"/>
          <w:color w:val="auto"/>
          <w:kern w:val="2"/>
          <w:sz w:val="24"/>
          <w:szCs w:val="24"/>
          <w:highlight w:val="none"/>
          <w:lang w:val="en-US" w:eastAsia="zh-CN" w:bidi="ar-SA"/>
        </w:rPr>
        <w:t>：</w:t>
      </w:r>
      <w:bookmarkStart w:id="21" w:name="OLE_LINK10"/>
      <w:r>
        <w:rPr>
          <w:rFonts w:hint="eastAsia" w:cs="Times New Roman" w:asciiTheme="minorEastAsia" w:hAnsiTheme="minorEastAsia" w:eastAsiaTheme="minorEastAsia"/>
          <w:color w:val="auto"/>
          <w:kern w:val="2"/>
          <w:sz w:val="24"/>
          <w:szCs w:val="24"/>
          <w:highlight w:val="none"/>
          <w:lang w:val="en-US" w:eastAsia="zh-CN" w:bidi="ar-SA"/>
        </w:rPr>
        <w:t>标项1：服务期限三年，合同一年一签；合同签订之日起进入服务筹备期，服务筹备期不超过20天，第一年服务期限从服务筹备期结束之日起12个月</w:t>
      </w:r>
      <w:bookmarkEnd w:id="21"/>
      <w:r>
        <w:rPr>
          <w:rFonts w:hint="eastAsia" w:cs="Times New Roman" w:asciiTheme="minorEastAsia" w:hAnsiTheme="minorEastAsia" w:eastAsiaTheme="minorEastAsia"/>
          <w:color w:val="auto"/>
          <w:kern w:val="2"/>
          <w:sz w:val="24"/>
          <w:szCs w:val="24"/>
          <w:highlight w:val="none"/>
          <w:lang w:val="en-US" w:eastAsia="zh-CN" w:bidi="ar-SA"/>
        </w:rPr>
        <w:t>。</w:t>
      </w:r>
    </w:p>
    <w:p w14:paraId="02D580C8">
      <w:pPr>
        <w:spacing w:line="360" w:lineRule="auto"/>
        <w:ind w:firstLine="480" w:firstLineChars="200"/>
        <w:rPr>
          <w:rFonts w:hint="eastAsia" w:cs="Times New Roman" w:asciiTheme="minorEastAsia" w:hAnsiTheme="minorEastAsia" w:eastAsiaTheme="minorEastAsia"/>
          <w:color w:val="auto"/>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本项目（否）接受联合体投标。</w:t>
      </w:r>
    </w:p>
    <w:p w14:paraId="7F6C16CB">
      <w:pPr>
        <w:spacing w:line="360" w:lineRule="auto"/>
        <w:ind w:firstLine="480" w:firstLineChars="200"/>
        <w:rPr>
          <w:rFonts w:cs="宋体" w:asciiTheme="minorEastAsia" w:hAnsiTheme="minorEastAsia" w:eastAsiaTheme="minorEastAsia"/>
          <w:color w:val="auto"/>
          <w:sz w:val="24"/>
          <w:highlight w:val="none"/>
        </w:rPr>
      </w:pPr>
      <w:bookmarkStart w:id="22" w:name="_Toc28359090"/>
      <w:bookmarkStart w:id="23" w:name="_Toc35393630"/>
      <w:bookmarkStart w:id="24" w:name="_Toc28359013"/>
      <w:bookmarkStart w:id="25" w:name="_Toc35393799"/>
      <w:r>
        <w:rPr>
          <w:rFonts w:hint="eastAsia" w:cs="宋体" w:asciiTheme="minorEastAsia" w:hAnsiTheme="minorEastAsia" w:eastAsiaTheme="minorEastAsia"/>
          <w:color w:val="auto"/>
          <w:sz w:val="24"/>
          <w:highlight w:val="none"/>
        </w:rPr>
        <w:t>二、申请人的资格要求：</w:t>
      </w:r>
      <w:bookmarkEnd w:id="22"/>
      <w:bookmarkEnd w:id="23"/>
      <w:bookmarkEnd w:id="24"/>
      <w:bookmarkEnd w:id="25"/>
    </w:p>
    <w:p w14:paraId="4F4AFAAF">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69C7DBB0">
      <w:pPr>
        <w:spacing w:line="360" w:lineRule="auto"/>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 xml:space="preserve">    </w:t>
      </w: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14:paraId="32F375AB">
      <w:pPr>
        <w:pStyle w:val="32"/>
        <w:spacing w:line="360" w:lineRule="auto"/>
        <w:ind w:firstLine="480" w:firstLineChars="200"/>
        <w:rPr>
          <w:rFonts w:hint="eastAsia" w:cs="Times New Roman" w:asciiTheme="minorEastAsia" w:hAnsiTheme="minorEastAsia" w:eastAsiaTheme="minorEastAsia"/>
          <w:color w:val="auto"/>
          <w:sz w:val="24"/>
          <w:highlight w:val="none"/>
          <w:lang w:eastAsia="zh-CN"/>
        </w:rPr>
      </w:pPr>
      <w:r>
        <w:rPr>
          <w:rFonts w:hint="eastAsia" w:cs="Times New Roman" w:asciiTheme="minorEastAsia" w:hAnsiTheme="minorEastAsia" w:eastAsiaTheme="minorEastAsia"/>
          <w:color w:val="auto"/>
          <w:sz w:val="24"/>
          <w:highlight w:val="none"/>
          <w:lang w:eastAsia="zh-CN"/>
        </w:rPr>
        <w:t>3.落实政府采购政策需满足的资格要求：专门面向中小企业：服务全部由符合政策要求的中小企业承接，提供中小企业声明函；</w:t>
      </w:r>
    </w:p>
    <w:p w14:paraId="14EFBCD9">
      <w:pPr>
        <w:numPr>
          <w:ilvl w:val="0"/>
          <w:numId w:val="8"/>
        </w:num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本项目的特定资格要求：无；</w:t>
      </w:r>
    </w:p>
    <w:p w14:paraId="3E065983">
      <w:pPr>
        <w:numPr>
          <w:ilvl w:val="0"/>
          <w:numId w:val="8"/>
        </w:num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FCFBD7A">
      <w:pPr>
        <w:spacing w:line="360" w:lineRule="auto"/>
        <w:ind w:firstLine="480" w:firstLineChars="200"/>
        <w:rPr>
          <w:rFonts w:cs="宋体" w:asciiTheme="minorEastAsia" w:hAnsiTheme="minorEastAsia" w:eastAsiaTheme="minorEastAsia"/>
          <w:color w:val="auto"/>
          <w:sz w:val="24"/>
          <w:highlight w:val="none"/>
        </w:rPr>
      </w:pPr>
      <w:bookmarkStart w:id="26" w:name="_Toc35393800"/>
      <w:bookmarkStart w:id="27" w:name="_Toc28359014"/>
      <w:bookmarkStart w:id="28" w:name="_Toc28359091"/>
      <w:bookmarkStart w:id="29" w:name="_Toc35393631"/>
      <w:r>
        <w:rPr>
          <w:rFonts w:hint="eastAsia" w:cs="宋体" w:asciiTheme="minorEastAsia" w:hAnsiTheme="minorEastAsia" w:eastAsiaTheme="minorEastAsia"/>
          <w:color w:val="auto"/>
          <w:sz w:val="24"/>
          <w:highlight w:val="none"/>
        </w:rPr>
        <w:t>三、获取（下载）采购文件</w:t>
      </w:r>
      <w:bookmarkEnd w:id="26"/>
      <w:bookmarkEnd w:id="27"/>
      <w:bookmarkEnd w:id="28"/>
      <w:bookmarkEnd w:id="29"/>
    </w:p>
    <w:p w14:paraId="1DE8A44A">
      <w:pPr>
        <w:spacing w:line="360" w:lineRule="auto"/>
        <w:ind w:firstLine="54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b/>
          <w:color w:val="auto"/>
          <w:sz w:val="24"/>
          <w:highlight w:val="none"/>
        </w:rPr>
        <w:t>时间：</w:t>
      </w:r>
      <w:r>
        <w:rPr>
          <w:rFonts w:hint="eastAsia" w:cs="宋体" w:asciiTheme="minorEastAsia" w:hAnsiTheme="minorEastAsia" w:eastAsiaTheme="minorEastAsia"/>
          <w:color w:val="auto"/>
          <w:sz w:val="24"/>
          <w:highlight w:val="none"/>
        </w:rPr>
        <w:t>2024年09月30日至2024年10月12日，每天上午00:00至12:00，下午12:00至23:59（北京时间，线上获取法定节假日均可，线下获取文件法定节假日除外）</w:t>
      </w:r>
      <w:r>
        <w:rPr>
          <w:rFonts w:hint="eastAsia" w:cs="宋体" w:asciiTheme="minorEastAsia" w:hAnsiTheme="minorEastAsia" w:eastAsiaTheme="minorEastAsia"/>
          <w:color w:val="auto"/>
          <w:sz w:val="24"/>
          <w:highlight w:val="none"/>
          <w:lang w:eastAsia="zh-CN"/>
        </w:rPr>
        <w:t>；</w:t>
      </w:r>
    </w:p>
    <w:p w14:paraId="6936631C">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b/>
          <w:color w:val="auto"/>
          <w:sz w:val="24"/>
          <w:highlight w:val="none"/>
        </w:rPr>
        <w:t>https://www.zcygov.cn/</w:t>
      </w:r>
      <w:r>
        <w:rPr>
          <w:rStyle w:val="69"/>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1F5D1B03">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51F04945">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0。</w:t>
      </w:r>
    </w:p>
    <w:p w14:paraId="416C9078">
      <w:pPr>
        <w:pStyle w:val="5"/>
        <w:numPr>
          <w:ilvl w:val="0"/>
          <w:numId w:val="0"/>
        </w:numPr>
        <w:ind w:left="432" w:hanging="432"/>
        <w:rPr>
          <w:rFonts w:cs="宋体" w:asciiTheme="minorEastAsia" w:hAnsiTheme="minorEastAsia" w:eastAsiaTheme="minorEastAsia"/>
          <w:color w:val="auto"/>
          <w:sz w:val="24"/>
          <w:szCs w:val="24"/>
          <w:highlight w:val="none"/>
        </w:rPr>
      </w:pPr>
      <w:bookmarkStart w:id="30" w:name="_Toc35393632"/>
      <w:bookmarkStart w:id="31" w:name="_Toc28359092"/>
      <w:bookmarkStart w:id="32" w:name="_Toc28359015"/>
      <w:bookmarkStart w:id="33" w:name="_Toc35393801"/>
      <w:r>
        <w:rPr>
          <w:rFonts w:hint="eastAsia" w:cs="宋体" w:asciiTheme="minorEastAsia" w:hAnsiTheme="minorEastAsia" w:eastAsiaTheme="minorEastAsia"/>
          <w:color w:val="auto"/>
          <w:sz w:val="24"/>
          <w:szCs w:val="24"/>
          <w:highlight w:val="none"/>
        </w:rPr>
        <w:t>四、响应文件提交</w:t>
      </w:r>
      <w:bookmarkEnd w:id="30"/>
      <w:bookmarkEnd w:id="31"/>
      <w:bookmarkEnd w:id="32"/>
      <w:bookmarkEnd w:id="33"/>
      <w:r>
        <w:rPr>
          <w:rFonts w:hint="eastAsia" w:cs="宋体" w:asciiTheme="minorEastAsia" w:hAnsiTheme="minorEastAsia" w:eastAsiaTheme="minorEastAsia"/>
          <w:color w:val="auto"/>
          <w:sz w:val="24"/>
          <w:szCs w:val="24"/>
          <w:highlight w:val="none"/>
        </w:rPr>
        <w:t>（上传）</w:t>
      </w:r>
    </w:p>
    <w:p w14:paraId="27178421">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截止时间：2024年10月14日 09:00（北京时间）</w:t>
      </w:r>
    </w:p>
    <w:p w14:paraId="7A25DFF4">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地点：政府采购云平台（http://www.zcygov.cn/）。</w:t>
      </w:r>
    </w:p>
    <w:p w14:paraId="31AD01CF">
      <w:pPr>
        <w:pStyle w:val="5"/>
        <w:numPr>
          <w:ilvl w:val="0"/>
          <w:numId w:val="0"/>
        </w:numPr>
        <w:ind w:left="432" w:hanging="432"/>
        <w:rPr>
          <w:rFonts w:cs="宋体" w:asciiTheme="minorEastAsia" w:hAnsiTheme="minorEastAsia" w:eastAsiaTheme="minorEastAsia"/>
          <w:color w:val="auto"/>
          <w:sz w:val="24"/>
          <w:szCs w:val="24"/>
          <w:highlight w:val="none"/>
        </w:rPr>
      </w:pPr>
      <w:bookmarkStart w:id="34" w:name="_Toc28359093"/>
      <w:bookmarkStart w:id="35" w:name="_Toc35393633"/>
      <w:bookmarkStart w:id="36" w:name="_Toc28359016"/>
      <w:bookmarkStart w:id="37" w:name="_Toc35393802"/>
      <w:r>
        <w:rPr>
          <w:rFonts w:hint="eastAsia" w:cs="宋体" w:asciiTheme="minorEastAsia" w:hAnsiTheme="minorEastAsia" w:eastAsiaTheme="minorEastAsia"/>
          <w:color w:val="auto"/>
          <w:sz w:val="24"/>
          <w:szCs w:val="24"/>
          <w:highlight w:val="none"/>
        </w:rPr>
        <w:t>五、响应文件开启</w:t>
      </w:r>
      <w:bookmarkEnd w:id="34"/>
      <w:bookmarkEnd w:id="35"/>
      <w:bookmarkEnd w:id="36"/>
      <w:bookmarkEnd w:id="37"/>
    </w:p>
    <w:p w14:paraId="3AD8EC01">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时间：2024年10月14日 09:00（北京时间）</w:t>
      </w:r>
    </w:p>
    <w:p w14:paraId="530F49E3">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地点：政府采购云平台（http://www.zcygov.cn/）。</w:t>
      </w:r>
    </w:p>
    <w:p w14:paraId="40946D2E">
      <w:pPr>
        <w:pStyle w:val="5"/>
        <w:numPr>
          <w:ilvl w:val="0"/>
          <w:numId w:val="0"/>
        </w:numPr>
        <w:ind w:left="432" w:hanging="432"/>
        <w:rPr>
          <w:rFonts w:cs="宋体" w:asciiTheme="minorEastAsia" w:hAnsiTheme="minorEastAsia" w:eastAsiaTheme="minorEastAsia"/>
          <w:color w:val="auto"/>
          <w:sz w:val="24"/>
          <w:szCs w:val="24"/>
          <w:highlight w:val="none"/>
        </w:rPr>
      </w:pPr>
      <w:bookmarkStart w:id="38" w:name="_Toc35393634"/>
      <w:bookmarkStart w:id="39" w:name="_Toc35393803"/>
      <w:bookmarkStart w:id="40" w:name="_Toc28359094"/>
      <w:bookmarkStart w:id="41" w:name="_Toc28359017"/>
      <w:r>
        <w:rPr>
          <w:rFonts w:hint="eastAsia" w:cs="宋体" w:asciiTheme="minorEastAsia" w:hAnsiTheme="minorEastAsia" w:eastAsiaTheme="minorEastAsia"/>
          <w:color w:val="auto"/>
          <w:sz w:val="24"/>
          <w:szCs w:val="24"/>
          <w:highlight w:val="none"/>
        </w:rPr>
        <w:t>六、公告期限</w:t>
      </w:r>
      <w:bookmarkEnd w:id="38"/>
      <w:bookmarkEnd w:id="39"/>
      <w:bookmarkEnd w:id="40"/>
      <w:bookmarkEnd w:id="41"/>
    </w:p>
    <w:p w14:paraId="7EB7ACDD">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4496DB32">
      <w:pPr>
        <w:pStyle w:val="5"/>
        <w:numPr>
          <w:ilvl w:val="0"/>
          <w:numId w:val="0"/>
        </w:numPr>
        <w:ind w:left="432" w:hanging="432"/>
        <w:rPr>
          <w:rFonts w:cs="宋体" w:asciiTheme="minorEastAsia" w:hAnsiTheme="minorEastAsia" w:eastAsiaTheme="minorEastAsia"/>
          <w:color w:val="auto"/>
          <w:sz w:val="24"/>
          <w:szCs w:val="24"/>
          <w:highlight w:val="none"/>
        </w:rPr>
      </w:pPr>
      <w:bookmarkStart w:id="42" w:name="_Toc35393804"/>
      <w:bookmarkStart w:id="43" w:name="_Toc35393635"/>
      <w:r>
        <w:rPr>
          <w:rFonts w:hint="eastAsia" w:cs="宋体" w:asciiTheme="minorEastAsia" w:hAnsiTheme="minorEastAsia" w:eastAsiaTheme="minorEastAsia"/>
          <w:color w:val="auto"/>
          <w:sz w:val="24"/>
          <w:szCs w:val="24"/>
          <w:highlight w:val="none"/>
        </w:rPr>
        <w:t>七、其他补充事宜</w:t>
      </w:r>
      <w:bookmarkEnd w:id="42"/>
      <w:bookmarkEnd w:id="43"/>
    </w:p>
    <w:p w14:paraId="2FBC696E">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8CE6E59">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F55C467">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EC15322">
      <w:pPr>
        <w:spacing w:line="360" w:lineRule="auto"/>
        <w:ind w:firstLine="482" w:firstLineChars="200"/>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lang w:val="en-US" w:eastAsia="zh-CN"/>
        </w:rPr>
        <w:t>4</w:t>
      </w:r>
      <w:r>
        <w:rPr>
          <w:rFonts w:hint="eastAsia" w:cs="宋体" w:asciiTheme="minorEastAsia" w:hAnsiTheme="minorEastAsia" w:eastAsiaTheme="minorEastAsia"/>
          <w:b/>
          <w:color w:val="auto"/>
          <w:kern w:val="0"/>
          <w:sz w:val="24"/>
          <w:highlight w:val="none"/>
        </w:rPr>
        <w:t>. 其他事项：</w:t>
      </w:r>
    </w:p>
    <w:p w14:paraId="11D141A2">
      <w:pPr>
        <w:spacing w:line="360" w:lineRule="auto"/>
        <w:ind w:firstLine="482"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sz w:val="24"/>
          <w:highlight w:val="none"/>
        </w:rPr>
        <w:t>（1）</w:t>
      </w:r>
      <w:r>
        <w:rPr>
          <w:rFonts w:hint="eastAsia" w:cs="宋体" w:asciiTheme="minorEastAsia" w:hAnsiTheme="minorEastAsia" w:eastAsiaTheme="minorEastAsia"/>
          <w:b/>
          <w:color w:val="auto"/>
          <w:kern w:val="0"/>
          <w:sz w:val="24"/>
          <w:highlight w:val="none"/>
        </w:rPr>
        <w:t>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促进中小企业发展等，具体见磋商文件第三部分。</w:t>
      </w:r>
    </w:p>
    <w:p w14:paraId="5ABCD19B">
      <w:pPr>
        <w:spacing w:line="360" w:lineRule="auto"/>
        <w:ind w:firstLine="482" w:firstLineChars="200"/>
        <w:rPr>
          <w:rFonts w:cs="仿宋_GB2312"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 xml:space="preserve">电子交易的说明: </w:t>
      </w:r>
    </w:p>
    <w:p w14:paraId="189E2670">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p>
    <w:p w14:paraId="394EBB99">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w:t>
      </w:r>
      <w:r>
        <w:rPr>
          <w:rFonts w:hint="eastAsia" w:cs="宋体" w:asciiTheme="minorEastAsia" w:hAnsiTheme="minorEastAsia" w:eastAsiaTheme="minorEastAsia"/>
          <w:color w:val="auto"/>
          <w:kern w:val="0"/>
          <w:sz w:val="24"/>
          <w:highlight w:val="none"/>
        </w:rPr>
        <w:t>具体</w:t>
      </w:r>
      <w:r>
        <w:rPr>
          <w:rFonts w:hint="eastAsia" w:cs="仿宋_GB2312" w:asciiTheme="minorEastAsia" w:hAnsiTheme="minorEastAsia" w:eastAsiaTheme="minorEastAsia"/>
          <w:color w:val="auto"/>
          <w:sz w:val="24"/>
          <w:highlight w:val="none"/>
        </w:rPr>
        <w:t>见“浙江政府采购网-下载专区-电子交易客户端-CA驱动和申领流程”；安装“政采云电子交易客户端”----前往“浙江政府采购网-下载专区-电子交易客户端”进行下载并安装。</w:t>
      </w:r>
    </w:p>
    <w:p w14:paraId="1D24CAF8">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p>
    <w:p w14:paraId="2F248580">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在“政采云电子交易客户端”中完成“填写基本信息”、“导入响应文件”、“标书关联”、“标书检查”、“电子签名”、“生成电子标书”等操作。</w:t>
      </w:r>
    </w:p>
    <w:p w14:paraId="5F329402">
      <w:pPr>
        <w:spacing w:line="360" w:lineRule="auto"/>
        <w:ind w:firstLine="482"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采购人、采购代理机构将依托政采云平台完成本项目的电子交易活动，平台不接受未按本公告约定方式获取磋商文件的供应商进行响应活动；</w:t>
      </w:r>
    </w:p>
    <w:p w14:paraId="09A40E53">
      <w:pPr>
        <w:spacing w:line="360" w:lineRule="auto"/>
        <w:ind w:firstLine="482" w:firstLineChars="200"/>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p>
    <w:p w14:paraId="2D3B192A">
      <w:pPr>
        <w:spacing w:line="360" w:lineRule="auto"/>
        <w:ind w:firstLine="482"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p>
    <w:p w14:paraId="30478A7E">
      <w:pPr>
        <w:spacing w:line="360" w:lineRule="auto"/>
        <w:ind w:firstLine="482"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供应商在提交响应文件的截止时间前将加密的响应文件上传至政府采购云平台，还可以在提交响应文件的截止时间前直接提交或者以快递方式提交备份响应文件1份。备份响应文件的制作、存储、密封</w:t>
      </w:r>
      <w:r>
        <w:rPr>
          <w:rFonts w:hint="eastAsia" w:cs="宋体" w:asciiTheme="minorEastAsia" w:hAnsiTheme="minorEastAsia" w:eastAsiaTheme="minorEastAsia"/>
          <w:color w:val="auto"/>
          <w:kern w:val="0"/>
          <w:sz w:val="24"/>
          <w:highlight w:val="none"/>
        </w:rPr>
        <w:t>具体</w:t>
      </w:r>
      <w:r>
        <w:rPr>
          <w:rFonts w:hint="eastAsia" w:cs="仿宋_GB2312" w:asciiTheme="minorEastAsia" w:hAnsiTheme="minorEastAsia" w:eastAsiaTheme="minorEastAsia"/>
          <w:color w:val="auto"/>
          <w:sz w:val="24"/>
          <w:highlight w:val="none"/>
        </w:rPr>
        <w:t>见磋商文件第三部分 “备份响应文件”；</w:t>
      </w:r>
    </w:p>
    <w:p w14:paraId="6D6080F0">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p>
    <w:p w14:paraId="536D4AB5">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rPr>
        <w:t>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具体</w:t>
      </w:r>
      <w:r>
        <w:rPr>
          <w:rFonts w:hint="eastAsia" w:cs="仿宋_GB2312" w:asciiTheme="minorEastAsia" w:hAnsiTheme="minorEastAsia" w:eastAsiaTheme="minorEastAsia"/>
          <w:color w:val="auto"/>
          <w:sz w:val="24"/>
          <w:highlight w:val="none"/>
        </w:rPr>
        <w:t>见政采云平台“服务中心-帮助文档-项目采购-操作流程-电子招投标-政府采购项目电子交易管理操作指南-供应商”。</w:t>
      </w:r>
    </w:p>
    <w:p w14:paraId="236D7233">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（3）磋商文件公告期限与磋商公告的公告期限一致。</w:t>
      </w:r>
    </w:p>
    <w:p w14:paraId="2FADC383">
      <w:pPr>
        <w:pStyle w:val="5"/>
        <w:numPr>
          <w:ilvl w:val="0"/>
          <w:numId w:val="0"/>
        </w:numPr>
        <w:ind w:left="432" w:hanging="432"/>
        <w:rPr>
          <w:rFonts w:cs="宋体" w:asciiTheme="minorEastAsia" w:hAnsiTheme="minorEastAsia" w:eastAsiaTheme="minorEastAsia"/>
          <w:color w:val="auto"/>
          <w:sz w:val="24"/>
          <w:szCs w:val="24"/>
          <w:highlight w:val="none"/>
        </w:rPr>
      </w:pPr>
      <w:bookmarkStart w:id="44" w:name="_Toc35393805"/>
      <w:bookmarkStart w:id="45" w:name="_Toc28359018"/>
      <w:bookmarkStart w:id="46" w:name="_Toc35393636"/>
      <w:bookmarkStart w:id="47" w:name="_Toc28359095"/>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44"/>
      <w:bookmarkEnd w:id="45"/>
      <w:bookmarkEnd w:id="46"/>
      <w:bookmarkEnd w:id="47"/>
    </w:p>
    <w:p w14:paraId="3B5199CE">
      <w:pPr>
        <w:pStyle w:val="5"/>
        <w:numPr>
          <w:ilvl w:val="0"/>
          <w:numId w:val="0"/>
        </w:numPr>
        <w:ind w:left="432" w:hanging="432"/>
        <w:rPr>
          <w:rFonts w:cs="宋体" w:asciiTheme="minorEastAsia" w:hAnsiTheme="minorEastAsia" w:eastAsiaTheme="minorEastAsia"/>
          <w:color w:val="auto"/>
          <w:sz w:val="24"/>
          <w:szCs w:val="24"/>
          <w:highlight w:val="none"/>
        </w:rPr>
      </w:pPr>
      <w:bookmarkStart w:id="48" w:name="_Toc35393806"/>
      <w:bookmarkStart w:id="49" w:name="_Toc35393637"/>
      <w:bookmarkStart w:id="50" w:name="_Toc28359096"/>
      <w:bookmarkStart w:id="51" w:name="_Toc28359019"/>
      <w:r>
        <w:rPr>
          <w:rFonts w:hint="eastAsia" w:cs="宋体" w:asciiTheme="minorEastAsia" w:hAnsiTheme="minorEastAsia" w:eastAsiaTheme="minorEastAsia"/>
          <w:color w:val="auto"/>
          <w:sz w:val="24"/>
          <w:szCs w:val="24"/>
          <w:highlight w:val="none"/>
        </w:rPr>
        <w:t>1.采购人信息</w:t>
      </w:r>
      <w:bookmarkEnd w:id="48"/>
      <w:bookmarkEnd w:id="49"/>
      <w:bookmarkEnd w:id="50"/>
      <w:bookmarkEnd w:id="51"/>
      <w:r>
        <w:rPr>
          <w:rFonts w:hint="eastAsia" w:cs="宋体" w:asciiTheme="minorEastAsia" w:hAnsiTheme="minorEastAsia" w:eastAsiaTheme="minorEastAsia"/>
          <w:color w:val="auto"/>
          <w:sz w:val="24"/>
          <w:szCs w:val="24"/>
          <w:highlight w:val="none"/>
        </w:rPr>
        <w:t>：</w:t>
      </w:r>
    </w:p>
    <w:p w14:paraId="719C5F23">
      <w:pPr>
        <w:spacing w:line="360" w:lineRule="auto"/>
        <w:ind w:firstLine="480" w:firstLineChars="200"/>
        <w:rPr>
          <w:rFonts w:hint="eastAsia" w:cs="仿宋_GB2312" w:asciiTheme="minorEastAsia" w:hAnsiTheme="minorEastAsia" w:eastAsiaTheme="minorEastAsia"/>
          <w:color w:val="auto"/>
          <w:sz w:val="24"/>
          <w:highlight w:val="none"/>
          <w:lang w:val="en-US" w:eastAsia="zh-CN"/>
        </w:rPr>
      </w:pPr>
      <w:bookmarkStart w:id="52" w:name="_Toc35393638"/>
      <w:bookmarkStart w:id="53" w:name="_Toc28359097"/>
      <w:bookmarkStart w:id="54" w:name="_Toc35393807"/>
      <w:bookmarkStart w:id="55" w:name="_Toc28359020"/>
      <w:r>
        <w:rPr>
          <w:rFonts w:hint="eastAsia" w:cs="仿宋_GB2312" w:asciiTheme="minorEastAsia" w:hAnsiTheme="minorEastAsia" w:eastAsiaTheme="minorEastAsia"/>
          <w:color w:val="auto"/>
          <w:sz w:val="24"/>
          <w:highlight w:val="none"/>
          <w:lang w:val="en-US" w:eastAsia="zh-CN"/>
        </w:rPr>
        <w:t>名    称：宁波市公安局鄞州分局 </w:t>
      </w:r>
    </w:p>
    <w:p w14:paraId="386B5A3A">
      <w:pPr>
        <w:spacing w:line="360" w:lineRule="auto"/>
        <w:ind w:firstLine="480" w:firstLineChars="20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地    址：宁波市鄞州区惠风西路10号  </w:t>
      </w:r>
    </w:p>
    <w:p w14:paraId="2C54A080">
      <w:pPr>
        <w:spacing w:line="360" w:lineRule="auto"/>
        <w:ind w:firstLine="480" w:firstLineChars="20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传    真：/  </w:t>
      </w:r>
    </w:p>
    <w:p w14:paraId="7716B56D">
      <w:pPr>
        <w:spacing w:line="360" w:lineRule="auto"/>
        <w:ind w:firstLine="480" w:firstLineChars="20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项目联系人（询问）：王警官  </w:t>
      </w:r>
    </w:p>
    <w:p w14:paraId="62485D80">
      <w:pPr>
        <w:spacing w:line="360" w:lineRule="auto"/>
        <w:ind w:firstLine="480" w:firstLineChars="20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项目联系方式（询问）：0574-88155168  </w:t>
      </w:r>
    </w:p>
    <w:p w14:paraId="50162FE8">
      <w:pPr>
        <w:spacing w:line="360" w:lineRule="auto"/>
        <w:ind w:firstLine="480" w:firstLineChars="20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质疑联系人：杨警官     </w:t>
      </w:r>
    </w:p>
    <w:p w14:paraId="4566126D">
      <w:pPr>
        <w:spacing w:line="360" w:lineRule="auto"/>
        <w:ind w:firstLine="480" w:firstLineChars="20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 xml:space="preserve">质疑联系方式：0574-88155263 </w:t>
      </w:r>
    </w:p>
    <w:p w14:paraId="52C2C3B4">
      <w:pPr>
        <w:pStyle w:val="5"/>
        <w:numPr>
          <w:ilvl w:val="0"/>
          <w:numId w:val="0"/>
        </w:numPr>
        <w:ind w:left="432" w:hanging="43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szCs w:val="24"/>
          <w:highlight w:val="none"/>
        </w:rPr>
        <w:t>2.采购代理机构信息</w:t>
      </w:r>
      <w:bookmarkEnd w:id="52"/>
      <w:bookmarkEnd w:id="53"/>
      <w:bookmarkEnd w:id="54"/>
      <w:bookmarkEnd w:id="55"/>
      <w:r>
        <w:rPr>
          <w:rFonts w:hint="eastAsia" w:cs="宋体" w:asciiTheme="minorEastAsia" w:hAnsiTheme="minorEastAsia" w:eastAsiaTheme="minorEastAsia"/>
          <w:color w:val="auto"/>
          <w:sz w:val="24"/>
          <w:szCs w:val="24"/>
          <w:highlight w:val="none"/>
        </w:rPr>
        <w:t>：</w:t>
      </w:r>
    </w:p>
    <w:p w14:paraId="461F645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名    称：宁波中基国际招标有限公司            </w:t>
      </w:r>
    </w:p>
    <w:p w14:paraId="2E32A3DF">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址：宁波市鄞州区天童南路666号中基大厦19楼</w:t>
      </w:r>
      <w:r>
        <w:rPr>
          <w:rFonts w:asciiTheme="minorEastAsia" w:hAnsiTheme="minorEastAsia" w:eastAsiaTheme="minorEastAsia"/>
          <w:color w:val="auto"/>
          <w:sz w:val="24"/>
          <w:highlight w:val="none"/>
        </w:rPr>
        <w:t xml:space="preserve"> </w:t>
      </w:r>
    </w:p>
    <w:p w14:paraId="4562C827">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    真：/             </w:t>
      </w:r>
    </w:p>
    <w:p w14:paraId="552EFA16">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w:t>
      </w:r>
      <w:r>
        <w:rPr>
          <w:rFonts w:hint="eastAsia" w:asciiTheme="minorEastAsia" w:hAnsiTheme="minorEastAsia" w:eastAsiaTheme="minorEastAsia"/>
          <w:color w:val="auto"/>
          <w:sz w:val="24"/>
          <w:highlight w:val="none"/>
          <w:lang w:val="en-US" w:eastAsia="zh-CN"/>
        </w:rPr>
        <w:t>方芸</w:t>
      </w:r>
      <w:r>
        <w:rPr>
          <w:rFonts w:hint="eastAsia" w:asciiTheme="minorEastAsia" w:hAnsiTheme="minorEastAsia" w:eastAsiaTheme="minorEastAsia"/>
          <w:color w:val="auto"/>
          <w:sz w:val="24"/>
          <w:highlight w:val="none"/>
        </w:rPr>
        <w:t>、史维</w:t>
      </w:r>
    </w:p>
    <w:p w14:paraId="314D39EE">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项目联系方式（询问）：0574-88090063</w:t>
      </w:r>
    </w:p>
    <w:p w14:paraId="62D59E59">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质疑联系人：吕勇             </w:t>
      </w:r>
    </w:p>
    <w:p w14:paraId="22EE1FCC">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质疑联系方式：0574-87426103</w:t>
      </w:r>
    </w:p>
    <w:p w14:paraId="5C3E6100">
      <w:pPr>
        <w:spacing w:line="360" w:lineRule="auto"/>
        <w:rPr>
          <w:rFonts w:asciiTheme="minorEastAsia" w:hAnsiTheme="minorEastAsia" w:eastAsiaTheme="minorEastAsia"/>
          <w:b/>
          <w:color w:val="auto"/>
          <w:sz w:val="24"/>
          <w:highlight w:val="none"/>
        </w:rPr>
      </w:pPr>
      <w:bookmarkStart w:id="56" w:name="_Toc28359098"/>
      <w:bookmarkStart w:id="57" w:name="_Toc28359021"/>
      <w:bookmarkStart w:id="58" w:name="_Toc35393808"/>
      <w:bookmarkStart w:id="59" w:name="_Toc35393639"/>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56"/>
    <w:bookmarkEnd w:id="57"/>
    <w:bookmarkEnd w:id="58"/>
    <w:bookmarkEnd w:id="59"/>
    <w:p w14:paraId="78D76F1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称：宁波市鄞州区政府采购管理办公室</w:t>
      </w:r>
    </w:p>
    <w:p w14:paraId="260BFC0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址：宁波市鄞州区民惠东路16号 </w:t>
      </w:r>
    </w:p>
    <w:p w14:paraId="4D56F5D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3B637B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：郑老师</w:t>
      </w:r>
    </w:p>
    <w:p w14:paraId="3DF70C6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监督投诉电话：0574-89295894</w:t>
      </w:r>
    </w:p>
    <w:p w14:paraId="04A7F0F4">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若对项目采购电子交易系统操作有疑问，可登录政采云（https://www.zcygov.cn/），点击右侧咨询小采，获取采小蜜智能服务管家帮助，或拨打政采云服务热线95763获取热线服务帮助。        </w:t>
      </w:r>
    </w:p>
    <w:p w14:paraId="681B4E0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CA问题联系电话（人工）：汇信CA 400-888-4636；天谷CA 400-087-8198。</w:t>
      </w:r>
    </w:p>
    <w:p w14:paraId="443D24C1">
      <w:pPr>
        <w:adjustRightInd/>
        <w:spacing w:line="360" w:lineRule="auto"/>
        <w:jc w:val="center"/>
        <w:outlineLvl w:val="0"/>
        <w:rPr>
          <w:rFonts w:cs="仿宋_GB2312" w:asciiTheme="minorEastAsia" w:hAnsiTheme="minorEastAsia" w:eastAsiaTheme="minorEastAsia"/>
          <w:b/>
          <w:color w:val="auto"/>
          <w:sz w:val="36"/>
          <w:szCs w:val="20"/>
          <w:highlight w:val="none"/>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02B5E66">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3FA14FBE">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71A84E47">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2C98E22F">
      <w:pPr>
        <w:pStyle w:val="398"/>
        <w:numPr>
          <w:ilvl w:val="0"/>
          <w:numId w:val="9"/>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33B867D2">
      <w:pPr>
        <w:pStyle w:val="398"/>
        <w:numPr>
          <w:ilvl w:val="0"/>
          <w:numId w:val="9"/>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690772B7">
      <w:pPr>
        <w:pStyle w:val="398"/>
        <w:numPr>
          <w:ilvl w:val="0"/>
          <w:numId w:val="9"/>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A0A0B91">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5A8C4979">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41205B62">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524E3B38">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1841EE4C">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11D604F1">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76F645D1">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6DB21933">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6B94EA6A">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5BDD5004">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3B68EECA">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2A08221F">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2F205E6F">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6F17AC91">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37504079">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E52CFDE">
      <w:pPr>
        <w:pStyle w:val="398"/>
        <w:spacing w:before="0"/>
        <w:ind w:firstLine="480"/>
        <w:rPr>
          <w:rFonts w:hint="eastAsia" w:ascii="宋体" w:hAnsi="宋体" w:eastAsia="宋体" w:cs="宋体"/>
          <w:color w:val="auto"/>
          <w:szCs w:val="24"/>
          <w:highlight w:val="none"/>
        </w:rPr>
      </w:pPr>
      <w:r>
        <w:rPr>
          <w:rFonts w:hint="eastAsia" w:asciiTheme="minorEastAsia" w:hAnsiTheme="minorEastAsia" w:eastAsiaTheme="minorEastAsia"/>
          <w:color w:val="auto"/>
          <w:szCs w:val="24"/>
          <w:highlight w:val="none"/>
        </w:rPr>
        <w:t>3.8</w:t>
      </w:r>
      <w:bookmarkStart w:id="60" w:name="OLE_LINK11"/>
      <w:r>
        <w:rPr>
          <w:rFonts w:hint="eastAsia" w:ascii="宋体" w:hAnsi="宋体" w:eastAsia="宋体" w:cs="宋体"/>
          <w:color w:val="auto"/>
          <w:szCs w:val="24"/>
          <w:highlight w:val="none"/>
        </w:rPr>
        <w:t>磋商小组与符合要求的供应商进行磋商。磋商小组所有成员按照响应文件</w:t>
      </w:r>
      <w:r>
        <w:rPr>
          <w:rFonts w:hint="eastAsia" w:ascii="宋体" w:hAnsi="宋体" w:eastAsia="宋体" w:cs="宋体"/>
          <w:color w:val="auto"/>
          <w:szCs w:val="24"/>
          <w:highlight w:val="none"/>
          <w:lang w:val="en-US" w:eastAsia="zh-CN"/>
        </w:rPr>
        <w:t>规定</w:t>
      </w:r>
      <w:r>
        <w:rPr>
          <w:rFonts w:hint="eastAsia" w:ascii="宋体" w:hAnsi="宋体" w:eastAsia="宋体" w:cs="宋体"/>
          <w:color w:val="auto"/>
          <w:szCs w:val="24"/>
          <w:highlight w:val="none"/>
        </w:rPr>
        <w:t>与单一供应商分别进行磋商，并给予所有参加磋商的供应商平等的磋商机会。磋商过程中，磋商小组可以根据磋商情况调整轮次。磋商时由</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利用政采云平台发起磋商邀请，供应商通过政采云</w:t>
      </w:r>
      <w:r>
        <w:rPr>
          <w:rFonts w:hint="eastAsia" w:ascii="宋体" w:hAnsi="宋体" w:eastAsia="宋体" w:cs="宋体"/>
          <w:color w:val="auto"/>
          <w:szCs w:val="24"/>
          <w:highlight w:val="none"/>
          <w:lang w:val="en-US" w:eastAsia="zh-CN"/>
        </w:rPr>
        <w:t>进行磋商回复</w:t>
      </w:r>
      <w:r>
        <w:rPr>
          <w:rFonts w:hint="eastAsia" w:ascii="宋体" w:hAnsi="宋体" w:eastAsia="宋体" w:cs="宋体"/>
          <w:color w:val="auto"/>
          <w:szCs w:val="24"/>
          <w:highlight w:val="none"/>
        </w:rPr>
        <w:t>。如磋商小组认定磋商文件技术、服务要求以及合同草案条款无需进行变动且供应商应答明确，则以书面形式（政采云系统发出磋商响应函或邮件形式等）通知所有符合性审查合格的供应商，视作与供应商进行磋商</w:t>
      </w:r>
      <w:bookmarkEnd w:id="60"/>
      <w:r>
        <w:rPr>
          <w:rFonts w:hint="eastAsia" w:ascii="宋体" w:hAnsi="宋体" w:eastAsia="宋体" w:cs="宋体"/>
          <w:color w:val="auto"/>
          <w:szCs w:val="24"/>
          <w:highlight w:val="none"/>
          <w:lang w:eastAsia="zh-CN"/>
        </w:rPr>
        <w:t>。</w:t>
      </w:r>
    </w:p>
    <w:p w14:paraId="21DB950C">
      <w:pPr>
        <w:pStyle w:val="398"/>
        <w:spacing w:before="0"/>
        <w:ind w:firstLine="480"/>
        <w:rPr>
          <w:color w:val="auto"/>
          <w:highlight w:val="none"/>
        </w:rPr>
      </w:pPr>
      <w:r>
        <w:rPr>
          <w:rFonts w:hint="eastAsia" w:asciiTheme="minorEastAsia" w:hAnsiTheme="minorEastAsia" w:eastAsiaTheme="minorEastAsia"/>
          <w:color w:val="auto"/>
          <w:szCs w:val="24"/>
          <w:highlight w:val="none"/>
        </w:rPr>
        <w:t>3.9</w:t>
      </w:r>
      <w:r>
        <w:rPr>
          <w:rFonts w:hint="eastAsia"/>
          <w:color w:val="auto"/>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67F05E90">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经磋商确定磋商文件的变动情况。对磋商文件作出的实质性变动是磋商文件的有效组成部分，磋商小组应当及时以书面形式同时通知所有参加磋商的供应商。</w:t>
      </w:r>
    </w:p>
    <w:p w14:paraId="4C41CF7A">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6AD54C1E">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1ED5A44C">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2A1027BC">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03010573">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2424AE71">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00716CE8">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745817E7">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737E01E6">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5个工作日内，从评审报告提出的成交候选供应商中，按照排序由高到低的原则确定成交供应商，采购人也可以书面授权磋商小组直接确定成交供应商。</w:t>
      </w:r>
    </w:p>
    <w:p w14:paraId="2B0BBF2F">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767B8D91">
      <w:pPr>
        <w:pStyle w:val="398"/>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0200619B">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5.1采购人与成交供应商应当在成交通知书发出之日起30日内签订政府采购合同。</w:t>
      </w:r>
    </w:p>
    <w:p w14:paraId="11B9A397">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72F525A1">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5D4FD162">
      <w:pPr>
        <w:pStyle w:val="398"/>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18CE1A73">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0BA37698">
      <w:pPr>
        <w:pStyle w:val="398"/>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3B4A1D2D">
      <w:pPr>
        <w:pStyle w:val="398"/>
        <w:spacing w:before="0"/>
        <w:ind w:firstLine="0" w:firstLineChars="0"/>
        <w:rPr>
          <w:rFonts w:asciiTheme="minorEastAsia" w:hAnsiTheme="minorEastAsia" w:eastAsiaTheme="minorEastAsia"/>
          <w:b/>
          <w:color w:val="auto"/>
          <w:highlight w:val="none"/>
        </w:rPr>
      </w:pPr>
    </w:p>
    <w:p w14:paraId="7D934B0F">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7AD0CBC6">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48F399">
                            <w:pPr>
                              <w:rPr>
                                <w:rFonts w:asciiTheme="minorEastAsia" w:hAnsiTheme="minorEastAsia" w:eastAsiaTheme="minorEastAsia"/>
                              </w:rPr>
                            </w:pPr>
                            <w:r>
                              <w:rPr>
                                <w:rFonts w:hint="eastAsia" w:asciiTheme="minorEastAsia" w:hAnsiTheme="minorEastAsia" w:eastAsiaTheme="minorEastAsia"/>
                              </w:rPr>
                              <w:t>验收</w:t>
                            </w:r>
                          </w:p>
                          <w:p w14:paraId="62ED345F">
                            <w:pPr>
                              <w:rPr>
                                <w:rFonts w:ascii="仿宋_GB2312" w:eastAsia="仿宋_GB2312"/>
                              </w:rPr>
                            </w:pPr>
                            <w:r>
                              <w:rPr>
                                <w:rFonts w:hint="eastAsia" w:ascii="仿宋_GB2312" w:eastAsia="仿宋_GB2312"/>
                              </w:rPr>
                              <w:t>立项</w:t>
                            </w:r>
                          </w:p>
                          <w:p w14:paraId="33025ED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2348F399">
                      <w:pPr>
                        <w:rPr>
                          <w:rFonts w:asciiTheme="minorEastAsia" w:hAnsiTheme="minorEastAsia" w:eastAsiaTheme="minorEastAsia"/>
                        </w:rPr>
                      </w:pPr>
                      <w:r>
                        <w:rPr>
                          <w:rFonts w:hint="eastAsia" w:asciiTheme="minorEastAsia" w:hAnsiTheme="minorEastAsia" w:eastAsiaTheme="minorEastAsia"/>
                        </w:rPr>
                        <w:t>验收</w:t>
                      </w:r>
                    </w:p>
                    <w:p w14:paraId="62ED345F">
                      <w:pPr>
                        <w:rPr>
                          <w:rFonts w:ascii="仿宋_GB2312" w:eastAsia="仿宋_GB2312"/>
                        </w:rPr>
                      </w:pPr>
                      <w:r>
                        <w:rPr>
                          <w:rFonts w:hint="eastAsia" w:ascii="仿宋_GB2312" w:eastAsia="仿宋_GB2312"/>
                        </w:rPr>
                        <w:t>立项</w:t>
                      </w:r>
                    </w:p>
                    <w:p w14:paraId="33025ED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4C38CC">
                            <w:pPr>
                              <w:rPr>
                                <w:rFonts w:asciiTheme="minorEastAsia" w:hAnsiTheme="minorEastAsia" w:eastAsiaTheme="minorEastAsia"/>
                              </w:rPr>
                            </w:pPr>
                            <w:r>
                              <w:rPr>
                                <w:rFonts w:hint="eastAsia" w:asciiTheme="minorEastAsia" w:hAnsiTheme="minorEastAsia" w:eastAsiaTheme="minorEastAsia"/>
                              </w:rPr>
                              <w:t>履约</w:t>
                            </w:r>
                          </w:p>
                          <w:p w14:paraId="432CBD50">
                            <w:pPr>
                              <w:rPr>
                                <w:rFonts w:ascii="仿宋_GB2312" w:eastAsia="仿宋_GB2312"/>
                              </w:rPr>
                            </w:pPr>
                            <w:r>
                              <w:rPr>
                                <w:rFonts w:hint="eastAsia" w:ascii="仿宋_GB2312" w:eastAsia="仿宋_GB2312"/>
                              </w:rPr>
                              <w:t>立项</w:t>
                            </w:r>
                          </w:p>
                          <w:p w14:paraId="60266A7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0C4C38CC">
                      <w:pPr>
                        <w:rPr>
                          <w:rFonts w:asciiTheme="minorEastAsia" w:hAnsiTheme="minorEastAsia" w:eastAsiaTheme="minorEastAsia"/>
                        </w:rPr>
                      </w:pPr>
                      <w:r>
                        <w:rPr>
                          <w:rFonts w:hint="eastAsia" w:asciiTheme="minorEastAsia" w:hAnsiTheme="minorEastAsia" w:eastAsiaTheme="minorEastAsia"/>
                        </w:rPr>
                        <w:t>履约</w:t>
                      </w:r>
                    </w:p>
                    <w:p w14:paraId="432CBD50">
                      <w:pPr>
                        <w:rPr>
                          <w:rFonts w:ascii="仿宋_GB2312" w:eastAsia="仿宋_GB2312"/>
                        </w:rPr>
                      </w:pPr>
                      <w:r>
                        <w:rPr>
                          <w:rFonts w:hint="eastAsia" w:ascii="仿宋_GB2312" w:eastAsia="仿宋_GB2312"/>
                        </w:rPr>
                        <w:t>立项</w:t>
                      </w:r>
                    </w:p>
                    <w:p w14:paraId="60266A7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37B95D">
                            <w:pPr>
                              <w:jc w:val="center"/>
                              <w:rPr>
                                <w:rFonts w:asciiTheme="minorEastAsia" w:hAnsiTheme="minorEastAsia" w:eastAsiaTheme="minorEastAsia"/>
                              </w:rPr>
                            </w:pPr>
                            <w:r>
                              <w:rPr>
                                <w:rFonts w:hint="eastAsia" w:asciiTheme="minorEastAsia" w:hAnsiTheme="minorEastAsia" w:eastAsiaTheme="minorEastAsia"/>
                              </w:rPr>
                              <w:t>签订合同</w:t>
                            </w:r>
                          </w:p>
                          <w:p w14:paraId="43F14841">
                            <w:pPr>
                              <w:rPr>
                                <w:rFonts w:ascii="仿宋_GB2312" w:eastAsia="仿宋_GB2312"/>
                              </w:rPr>
                            </w:pPr>
                            <w:r>
                              <w:rPr>
                                <w:rFonts w:hint="eastAsia" w:ascii="仿宋_GB2312" w:eastAsia="仿宋_GB2312"/>
                              </w:rPr>
                              <w:t>立项</w:t>
                            </w:r>
                          </w:p>
                          <w:p w14:paraId="3608CEE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1737B95D">
                      <w:pPr>
                        <w:jc w:val="center"/>
                        <w:rPr>
                          <w:rFonts w:asciiTheme="minorEastAsia" w:hAnsiTheme="minorEastAsia" w:eastAsiaTheme="minorEastAsia"/>
                        </w:rPr>
                      </w:pPr>
                      <w:r>
                        <w:rPr>
                          <w:rFonts w:hint="eastAsia" w:asciiTheme="minorEastAsia" w:hAnsiTheme="minorEastAsia" w:eastAsiaTheme="minorEastAsia"/>
                        </w:rPr>
                        <w:t>签订合同</w:t>
                      </w:r>
                    </w:p>
                    <w:p w14:paraId="43F14841">
                      <w:pPr>
                        <w:rPr>
                          <w:rFonts w:ascii="仿宋_GB2312" w:eastAsia="仿宋_GB2312"/>
                        </w:rPr>
                      </w:pPr>
                      <w:r>
                        <w:rPr>
                          <w:rFonts w:hint="eastAsia" w:ascii="仿宋_GB2312" w:eastAsia="仿宋_GB2312"/>
                        </w:rPr>
                        <w:t>立项</w:t>
                      </w:r>
                    </w:p>
                    <w:p w14:paraId="3608CEE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8161CB">
                            <w:pPr>
                              <w:rPr>
                                <w:rFonts w:asciiTheme="minorEastAsia" w:hAnsiTheme="minorEastAsia" w:eastAsiaTheme="minorEastAsia"/>
                              </w:rPr>
                            </w:pPr>
                            <w:r>
                              <w:rPr>
                                <w:rFonts w:hint="eastAsia" w:asciiTheme="minorEastAsia" w:hAnsiTheme="minorEastAsia" w:eastAsiaTheme="minorEastAsia"/>
                              </w:rPr>
                              <w:t>成交公告；成交通知书</w:t>
                            </w:r>
                          </w:p>
                          <w:p w14:paraId="31B59375">
                            <w:pPr>
                              <w:rPr>
                                <w:rFonts w:ascii="仿宋_GB2312" w:eastAsia="仿宋_GB2312"/>
                              </w:rPr>
                            </w:pPr>
                            <w:r>
                              <w:rPr>
                                <w:rFonts w:hint="eastAsia" w:ascii="仿宋_GB2312" w:eastAsia="仿宋_GB2312"/>
                              </w:rPr>
                              <w:t>立项</w:t>
                            </w:r>
                          </w:p>
                          <w:p w14:paraId="0E59E62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5B8161CB">
                      <w:pPr>
                        <w:rPr>
                          <w:rFonts w:asciiTheme="minorEastAsia" w:hAnsiTheme="minorEastAsia" w:eastAsiaTheme="minorEastAsia"/>
                        </w:rPr>
                      </w:pPr>
                      <w:r>
                        <w:rPr>
                          <w:rFonts w:hint="eastAsia" w:asciiTheme="minorEastAsia" w:hAnsiTheme="minorEastAsia" w:eastAsiaTheme="minorEastAsia"/>
                        </w:rPr>
                        <w:t>成交公告；成交通知书</w:t>
                      </w:r>
                    </w:p>
                    <w:p w14:paraId="31B59375">
                      <w:pPr>
                        <w:rPr>
                          <w:rFonts w:ascii="仿宋_GB2312" w:eastAsia="仿宋_GB2312"/>
                        </w:rPr>
                      </w:pPr>
                      <w:r>
                        <w:rPr>
                          <w:rFonts w:hint="eastAsia" w:ascii="仿宋_GB2312" w:eastAsia="仿宋_GB2312"/>
                        </w:rPr>
                        <w:t>立项</w:t>
                      </w:r>
                    </w:p>
                    <w:p w14:paraId="0E59E62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A65D5D">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EF3E876">
                            <w:pPr>
                              <w:rPr>
                                <w:rFonts w:ascii="仿宋_GB2312" w:eastAsia="仿宋_GB2312"/>
                              </w:rPr>
                            </w:pPr>
                            <w:r>
                              <w:rPr>
                                <w:rFonts w:hint="eastAsia" w:ascii="仿宋_GB2312" w:eastAsia="仿宋_GB2312"/>
                              </w:rPr>
                              <w:t>立项</w:t>
                            </w:r>
                          </w:p>
                          <w:p w14:paraId="12D20AC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25A65D5D">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EF3E876">
                      <w:pPr>
                        <w:rPr>
                          <w:rFonts w:ascii="仿宋_GB2312" w:eastAsia="仿宋_GB2312"/>
                        </w:rPr>
                      </w:pPr>
                      <w:r>
                        <w:rPr>
                          <w:rFonts w:hint="eastAsia" w:ascii="仿宋_GB2312" w:eastAsia="仿宋_GB2312"/>
                        </w:rPr>
                        <w:t>立项</w:t>
                      </w:r>
                    </w:p>
                    <w:p w14:paraId="12D20AC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B3F946">
                            <w:pPr>
                              <w:jc w:val="center"/>
                              <w:rPr>
                                <w:rFonts w:asciiTheme="minorEastAsia" w:hAnsiTheme="minorEastAsia" w:eastAsiaTheme="minorEastAsia"/>
                              </w:rPr>
                            </w:pPr>
                            <w:r>
                              <w:rPr>
                                <w:rFonts w:hint="eastAsia" w:asciiTheme="minorEastAsia" w:hAnsiTheme="minorEastAsia" w:eastAsiaTheme="minorEastAsia"/>
                              </w:rPr>
                              <w:t>评审打分</w:t>
                            </w:r>
                          </w:p>
                          <w:p w14:paraId="31F4436E">
                            <w:pPr>
                              <w:rPr>
                                <w:rFonts w:ascii="仿宋_GB2312" w:eastAsia="仿宋_GB2312"/>
                              </w:rPr>
                            </w:pPr>
                            <w:r>
                              <w:rPr>
                                <w:rFonts w:hint="eastAsia" w:ascii="仿宋_GB2312" w:eastAsia="仿宋_GB2312"/>
                              </w:rPr>
                              <w:t>立项</w:t>
                            </w:r>
                          </w:p>
                          <w:p w14:paraId="76B73B3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DB3F946">
                      <w:pPr>
                        <w:jc w:val="center"/>
                        <w:rPr>
                          <w:rFonts w:asciiTheme="minorEastAsia" w:hAnsiTheme="minorEastAsia" w:eastAsiaTheme="minorEastAsia"/>
                        </w:rPr>
                      </w:pPr>
                      <w:r>
                        <w:rPr>
                          <w:rFonts w:hint="eastAsia" w:asciiTheme="minorEastAsia" w:hAnsiTheme="minorEastAsia" w:eastAsiaTheme="minorEastAsia"/>
                        </w:rPr>
                        <w:t>评审打分</w:t>
                      </w:r>
                    </w:p>
                    <w:p w14:paraId="31F4436E">
                      <w:pPr>
                        <w:rPr>
                          <w:rFonts w:ascii="仿宋_GB2312" w:eastAsia="仿宋_GB2312"/>
                        </w:rPr>
                      </w:pPr>
                      <w:r>
                        <w:rPr>
                          <w:rFonts w:hint="eastAsia" w:ascii="仿宋_GB2312" w:eastAsia="仿宋_GB2312"/>
                        </w:rPr>
                        <w:t>立项</w:t>
                      </w:r>
                    </w:p>
                    <w:p w14:paraId="76B73B3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7EE9B3">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ABC56A1">
                            <w:pPr>
                              <w:rPr>
                                <w:rFonts w:ascii="仿宋_GB2312" w:eastAsia="仿宋_GB2312"/>
                              </w:rPr>
                            </w:pPr>
                            <w:r>
                              <w:rPr>
                                <w:rFonts w:hint="eastAsia" w:ascii="仿宋_GB2312" w:eastAsia="仿宋_GB2312"/>
                              </w:rPr>
                              <w:t>立项</w:t>
                            </w:r>
                          </w:p>
                          <w:p w14:paraId="40654FD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017EE9B3">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ABC56A1">
                      <w:pPr>
                        <w:rPr>
                          <w:rFonts w:ascii="仿宋_GB2312" w:eastAsia="仿宋_GB2312"/>
                        </w:rPr>
                      </w:pPr>
                      <w:r>
                        <w:rPr>
                          <w:rFonts w:hint="eastAsia" w:ascii="仿宋_GB2312" w:eastAsia="仿宋_GB2312"/>
                        </w:rPr>
                        <w:t>立项</w:t>
                      </w:r>
                    </w:p>
                    <w:p w14:paraId="40654FD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BF3928">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3BBF3928">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5A4A59">
                            <w:pPr>
                              <w:jc w:val="center"/>
                              <w:rPr>
                                <w:rFonts w:asciiTheme="minorEastAsia" w:hAnsiTheme="minorEastAsia" w:eastAsiaTheme="minorEastAsia"/>
                              </w:rPr>
                            </w:pPr>
                            <w:r>
                              <w:rPr>
                                <w:rFonts w:hint="eastAsia" w:asciiTheme="minorEastAsia" w:hAnsiTheme="minorEastAsia" w:eastAsiaTheme="minorEastAsia"/>
                              </w:rPr>
                              <w:t>资格审查</w:t>
                            </w:r>
                          </w:p>
                          <w:p w14:paraId="30180717">
                            <w:pPr>
                              <w:jc w:val="center"/>
                              <w:rPr>
                                <w:rFonts w:ascii="仿宋_GB2312" w:eastAsia="仿宋_GB2312"/>
                              </w:rPr>
                            </w:pPr>
                          </w:p>
                          <w:p w14:paraId="07DD19C1">
                            <w:pPr>
                              <w:rPr>
                                <w:rFonts w:ascii="仿宋_GB2312" w:eastAsia="仿宋_GB2312"/>
                              </w:rPr>
                            </w:pPr>
                            <w:r>
                              <w:rPr>
                                <w:rFonts w:hint="eastAsia" w:ascii="仿宋_GB2312" w:eastAsia="仿宋_GB2312"/>
                              </w:rPr>
                              <w:t>立项</w:t>
                            </w:r>
                          </w:p>
                          <w:p w14:paraId="07CD894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7E5A4A59">
                      <w:pPr>
                        <w:jc w:val="center"/>
                        <w:rPr>
                          <w:rFonts w:asciiTheme="minorEastAsia" w:hAnsiTheme="minorEastAsia" w:eastAsiaTheme="minorEastAsia"/>
                        </w:rPr>
                      </w:pPr>
                      <w:r>
                        <w:rPr>
                          <w:rFonts w:hint="eastAsia" w:asciiTheme="minorEastAsia" w:hAnsiTheme="minorEastAsia" w:eastAsiaTheme="minorEastAsia"/>
                        </w:rPr>
                        <w:t>资格审查</w:t>
                      </w:r>
                    </w:p>
                    <w:p w14:paraId="30180717">
                      <w:pPr>
                        <w:jc w:val="center"/>
                        <w:rPr>
                          <w:rFonts w:ascii="仿宋_GB2312" w:eastAsia="仿宋_GB2312"/>
                        </w:rPr>
                      </w:pPr>
                    </w:p>
                    <w:p w14:paraId="07DD19C1">
                      <w:pPr>
                        <w:rPr>
                          <w:rFonts w:ascii="仿宋_GB2312" w:eastAsia="仿宋_GB2312"/>
                        </w:rPr>
                      </w:pPr>
                      <w:r>
                        <w:rPr>
                          <w:rFonts w:hint="eastAsia" w:ascii="仿宋_GB2312" w:eastAsia="仿宋_GB2312"/>
                        </w:rPr>
                        <w:t>立项</w:t>
                      </w:r>
                    </w:p>
                    <w:p w14:paraId="07CD894E">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CA3CD4">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5FCA3CD4">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6B8BA4">
                            <w:pPr>
                              <w:jc w:val="center"/>
                              <w:rPr>
                                <w:rFonts w:asciiTheme="minorEastAsia" w:hAnsiTheme="minorEastAsia" w:eastAsiaTheme="minorEastAsia"/>
                              </w:rPr>
                            </w:pPr>
                            <w:r>
                              <w:rPr>
                                <w:rFonts w:hint="eastAsia" w:asciiTheme="minorEastAsia" w:hAnsiTheme="minorEastAsia" w:eastAsiaTheme="minorEastAsia"/>
                              </w:rPr>
                              <w:t>开启响应文件</w:t>
                            </w:r>
                          </w:p>
                          <w:p w14:paraId="12D7769A">
                            <w:pPr>
                              <w:rPr>
                                <w:rFonts w:ascii="仿宋_GB2312" w:eastAsia="仿宋_GB2312"/>
                              </w:rPr>
                            </w:pPr>
                            <w:r>
                              <w:rPr>
                                <w:rFonts w:hint="eastAsia" w:ascii="仿宋_GB2312" w:eastAsia="仿宋_GB2312"/>
                              </w:rPr>
                              <w:t>立项</w:t>
                            </w:r>
                          </w:p>
                          <w:p w14:paraId="6FDFE87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3B6B8BA4">
                      <w:pPr>
                        <w:jc w:val="center"/>
                        <w:rPr>
                          <w:rFonts w:asciiTheme="minorEastAsia" w:hAnsiTheme="minorEastAsia" w:eastAsiaTheme="minorEastAsia"/>
                        </w:rPr>
                      </w:pPr>
                      <w:r>
                        <w:rPr>
                          <w:rFonts w:hint="eastAsia" w:asciiTheme="minorEastAsia" w:hAnsiTheme="minorEastAsia" w:eastAsiaTheme="minorEastAsia"/>
                        </w:rPr>
                        <w:t>开启响应文件</w:t>
                      </w:r>
                    </w:p>
                    <w:p w14:paraId="12D7769A">
                      <w:pPr>
                        <w:rPr>
                          <w:rFonts w:ascii="仿宋_GB2312" w:eastAsia="仿宋_GB2312"/>
                        </w:rPr>
                      </w:pPr>
                      <w:r>
                        <w:rPr>
                          <w:rFonts w:hint="eastAsia" w:ascii="仿宋_GB2312" w:eastAsia="仿宋_GB2312"/>
                        </w:rPr>
                        <w:t>立项</w:t>
                      </w:r>
                    </w:p>
                    <w:p w14:paraId="6FDFE87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D76BFF">
                            <w:pPr>
                              <w:jc w:val="center"/>
                              <w:rPr>
                                <w:rFonts w:asciiTheme="minorEastAsia" w:hAnsiTheme="minorEastAsia" w:eastAsiaTheme="minorEastAsia"/>
                              </w:rPr>
                            </w:pPr>
                            <w:r>
                              <w:rPr>
                                <w:rFonts w:hint="eastAsia" w:asciiTheme="minorEastAsia" w:hAnsiTheme="minorEastAsia" w:eastAsiaTheme="minorEastAsia"/>
                              </w:rPr>
                              <w:t>邀请供应商</w:t>
                            </w:r>
                          </w:p>
                          <w:p w14:paraId="25663DF6">
                            <w:pPr>
                              <w:rPr>
                                <w:rFonts w:ascii="仿宋_GB2312" w:eastAsia="仿宋_GB2312"/>
                              </w:rPr>
                            </w:pPr>
                            <w:r>
                              <w:rPr>
                                <w:rFonts w:hint="eastAsia" w:ascii="仿宋_GB2312" w:eastAsia="仿宋_GB2312"/>
                              </w:rPr>
                              <w:t>立项</w:t>
                            </w:r>
                          </w:p>
                          <w:p w14:paraId="526142F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28D76BFF">
                      <w:pPr>
                        <w:jc w:val="center"/>
                        <w:rPr>
                          <w:rFonts w:asciiTheme="minorEastAsia" w:hAnsiTheme="minorEastAsia" w:eastAsiaTheme="minorEastAsia"/>
                        </w:rPr>
                      </w:pPr>
                      <w:r>
                        <w:rPr>
                          <w:rFonts w:hint="eastAsia" w:asciiTheme="minorEastAsia" w:hAnsiTheme="minorEastAsia" w:eastAsiaTheme="minorEastAsia"/>
                        </w:rPr>
                        <w:t>邀请供应商</w:t>
                      </w:r>
                    </w:p>
                    <w:p w14:paraId="25663DF6">
                      <w:pPr>
                        <w:rPr>
                          <w:rFonts w:ascii="仿宋_GB2312" w:eastAsia="仿宋_GB2312"/>
                        </w:rPr>
                      </w:pPr>
                      <w:r>
                        <w:rPr>
                          <w:rFonts w:hint="eastAsia" w:ascii="仿宋_GB2312" w:eastAsia="仿宋_GB2312"/>
                        </w:rPr>
                        <w:t>立项</w:t>
                      </w:r>
                    </w:p>
                    <w:p w14:paraId="526142F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35797E20">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11"/>
      <w:r>
        <w:rPr>
          <w:rFonts w:hint="eastAsia" w:cs="仿宋_GB2312" w:asciiTheme="minorEastAsia" w:hAnsiTheme="minorEastAsia" w:eastAsiaTheme="minorEastAsia"/>
          <w:b/>
          <w:color w:val="auto"/>
          <w:sz w:val="36"/>
          <w:szCs w:val="20"/>
          <w:highlight w:val="none"/>
        </w:rPr>
        <w:t xml:space="preserve">  供应商须知</w:t>
      </w:r>
      <w:bookmarkEnd w:id="12"/>
    </w:p>
    <w:p w14:paraId="35DDEA1E">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1"/>
        <w:tblW w:w="93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3"/>
        <w:gridCol w:w="1534"/>
        <w:gridCol w:w="7102"/>
      </w:tblGrid>
      <w:tr w14:paraId="63D75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2" w:hRule="atLeast"/>
          <w:tblHeader/>
          <w:jc w:val="center"/>
        </w:trPr>
        <w:tc>
          <w:tcPr>
            <w:tcW w:w="683" w:type="dxa"/>
            <w:tcBorders>
              <w:top w:val="single" w:color="auto" w:sz="4" w:space="0"/>
              <w:left w:val="single" w:color="auto" w:sz="4" w:space="0"/>
              <w:bottom w:val="single" w:color="auto" w:sz="4" w:space="0"/>
              <w:right w:val="single" w:color="auto" w:sz="4" w:space="0"/>
            </w:tcBorders>
            <w:vAlign w:val="center"/>
          </w:tcPr>
          <w:p w14:paraId="3E8F9E28">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534" w:type="dxa"/>
            <w:tcBorders>
              <w:top w:val="single" w:color="000000" w:sz="8" w:space="0"/>
              <w:left w:val="single" w:color="auto" w:sz="4" w:space="0"/>
              <w:bottom w:val="single" w:color="000000" w:sz="8" w:space="0"/>
              <w:right w:val="single" w:color="000000" w:sz="8" w:space="0"/>
            </w:tcBorders>
            <w:vAlign w:val="center"/>
          </w:tcPr>
          <w:p w14:paraId="17F7D587">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7102" w:type="dxa"/>
            <w:tcBorders>
              <w:top w:val="single" w:color="000000" w:sz="8" w:space="0"/>
              <w:left w:val="single" w:color="000000" w:sz="2" w:space="0"/>
              <w:bottom w:val="single" w:color="000000" w:sz="8" w:space="0"/>
              <w:right w:val="single" w:color="000000" w:sz="8" w:space="0"/>
            </w:tcBorders>
            <w:vAlign w:val="center"/>
          </w:tcPr>
          <w:p w14:paraId="213B0A56">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34FDD0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6968A0E4">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534" w:type="dxa"/>
            <w:tcBorders>
              <w:top w:val="single" w:color="000000" w:sz="8" w:space="0"/>
              <w:left w:val="single" w:color="auto" w:sz="4" w:space="0"/>
              <w:bottom w:val="single" w:color="000000" w:sz="8" w:space="0"/>
              <w:right w:val="single" w:color="000000" w:sz="8" w:space="0"/>
            </w:tcBorders>
            <w:vAlign w:val="center"/>
          </w:tcPr>
          <w:p w14:paraId="0F098946">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7102" w:type="dxa"/>
            <w:tcBorders>
              <w:top w:val="single" w:color="000000" w:sz="8" w:space="0"/>
              <w:left w:val="single" w:color="000000" w:sz="2" w:space="0"/>
              <w:bottom w:val="single" w:color="000000" w:sz="8" w:space="0"/>
              <w:right w:val="single" w:color="000000" w:sz="8" w:space="0"/>
            </w:tcBorders>
            <w:vAlign w:val="center"/>
          </w:tcPr>
          <w:p w14:paraId="2ABE3D16">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0ECB2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548D4D05">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534" w:type="dxa"/>
            <w:tcBorders>
              <w:top w:val="single" w:color="000000" w:sz="8" w:space="0"/>
              <w:left w:val="single" w:color="auto" w:sz="4" w:space="0"/>
              <w:bottom w:val="single" w:color="000000" w:sz="8" w:space="0"/>
              <w:right w:val="single" w:color="000000" w:sz="8" w:space="0"/>
            </w:tcBorders>
            <w:vAlign w:val="center"/>
          </w:tcPr>
          <w:p w14:paraId="56638F60">
            <w:pPr>
              <w:snapToGrid w:val="0"/>
              <w:spacing w:line="400" w:lineRule="exact"/>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7102" w:type="dxa"/>
            <w:tcBorders>
              <w:top w:val="single" w:color="000000" w:sz="8" w:space="0"/>
              <w:left w:val="single" w:color="000000" w:sz="2" w:space="0"/>
              <w:bottom w:val="single" w:color="000000" w:sz="8" w:space="0"/>
              <w:right w:val="single" w:color="000000" w:sz="8" w:space="0"/>
            </w:tcBorders>
            <w:vAlign w:val="center"/>
          </w:tcPr>
          <w:p w14:paraId="65E812EB">
            <w:pPr>
              <w:snapToGrid w:val="0"/>
              <w:spacing w:line="360" w:lineRule="auto"/>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本项目专门面向中小微企业采购；</w:t>
            </w:r>
          </w:p>
          <w:p w14:paraId="1579DABF">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标的：</w:t>
            </w:r>
            <w:r>
              <w:rPr>
                <w:rFonts w:hint="eastAsia" w:asciiTheme="minorEastAsia" w:hAnsiTheme="minorEastAsia" w:eastAsiaTheme="minorEastAsia"/>
                <w:color w:val="auto"/>
                <w:sz w:val="24"/>
                <w:highlight w:val="none"/>
                <w:u w:val="single"/>
                <w:lang w:val="zh-CN" w:eastAsia="zh-CN"/>
              </w:rPr>
              <w:t>鄞</w:t>
            </w:r>
            <w:r>
              <w:rPr>
                <w:rFonts w:hint="eastAsia" w:cs="宋体" w:asciiTheme="minorEastAsia" w:hAnsiTheme="minorEastAsia" w:eastAsiaTheme="minorEastAsia"/>
                <w:color w:val="auto"/>
                <w:kern w:val="0"/>
                <w:sz w:val="24"/>
                <w:highlight w:val="none"/>
                <w:u w:val="single"/>
                <w:lang w:val="zh-CN" w:eastAsia="zh-CN"/>
              </w:rPr>
              <w:t>州区公安分局智安小区感知及联网服务采购项目</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软件和信息技术服务业</w:t>
            </w:r>
            <w:r>
              <w:rPr>
                <w:rFonts w:hint="eastAsia" w:cs="宋体" w:asciiTheme="minorEastAsia" w:hAnsiTheme="minorEastAsia" w:eastAsiaTheme="minorEastAsia"/>
                <w:color w:val="auto"/>
                <w:kern w:val="0"/>
                <w:sz w:val="24"/>
                <w:highlight w:val="none"/>
              </w:rPr>
              <w:t>。</w:t>
            </w:r>
          </w:p>
          <w:p w14:paraId="41C62F0B">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备注：《关于印发中小企业划型标准规定的通知》（工信部联企业〔2011〕300）：</w:t>
            </w:r>
          </w:p>
          <w:p w14:paraId="23AB1FCB">
            <w:pPr>
              <w:spacing w:line="360" w:lineRule="auto"/>
              <w:ind w:right="42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0D968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5B41494D">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534" w:type="dxa"/>
            <w:tcBorders>
              <w:top w:val="single" w:color="000000" w:sz="8" w:space="0"/>
              <w:left w:val="single" w:color="auto" w:sz="4" w:space="0"/>
              <w:bottom w:val="single" w:color="000000" w:sz="8" w:space="0"/>
              <w:right w:val="single" w:color="000000" w:sz="8" w:space="0"/>
            </w:tcBorders>
            <w:vAlign w:val="center"/>
          </w:tcPr>
          <w:p w14:paraId="52BB4DBC">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7102" w:type="dxa"/>
            <w:tcBorders>
              <w:top w:val="single" w:color="000000" w:sz="8" w:space="0"/>
              <w:left w:val="single" w:color="000000" w:sz="2" w:space="0"/>
              <w:bottom w:val="single" w:color="000000" w:sz="8" w:space="0"/>
              <w:right w:val="single" w:color="000000" w:sz="8" w:space="0"/>
            </w:tcBorders>
            <w:vAlign w:val="center"/>
          </w:tcPr>
          <w:p w14:paraId="496ED88E">
            <w:pPr>
              <w:spacing w:line="400" w:lineRule="exact"/>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cs="宋体" w:asciiTheme="minorEastAsia" w:hAnsiTheme="minorEastAsia" w:eastAsiaTheme="minorEastAsia"/>
                <w:color w:val="auto"/>
                <w:kern w:val="0"/>
                <w:sz w:val="24"/>
                <w:highlight w:val="none"/>
              </w:rPr>
              <w:t>本项目不允许采购进口产品。</w:t>
            </w:r>
          </w:p>
          <w:p w14:paraId="7D4AE46F">
            <w:pPr>
              <w:spacing w:line="400" w:lineRule="exact"/>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01C93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2327AC80">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534" w:type="dxa"/>
            <w:tcBorders>
              <w:top w:val="single" w:color="000000" w:sz="8" w:space="0"/>
              <w:left w:val="single" w:color="auto" w:sz="4" w:space="0"/>
              <w:bottom w:val="single" w:color="000000" w:sz="8" w:space="0"/>
              <w:right w:val="single" w:color="000000" w:sz="8" w:space="0"/>
            </w:tcBorders>
            <w:vAlign w:val="center"/>
          </w:tcPr>
          <w:p w14:paraId="57789F1A">
            <w:pPr>
              <w:snapToGrid w:val="0"/>
              <w:spacing w:line="400" w:lineRule="exact"/>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7102" w:type="dxa"/>
            <w:tcBorders>
              <w:top w:val="single" w:color="000000" w:sz="8" w:space="0"/>
              <w:left w:val="single" w:color="000000" w:sz="2" w:space="0"/>
              <w:bottom w:val="single" w:color="000000" w:sz="8" w:space="0"/>
              <w:right w:val="single" w:color="000000" w:sz="8" w:space="0"/>
            </w:tcBorders>
            <w:vAlign w:val="center"/>
          </w:tcPr>
          <w:p w14:paraId="2C6A447E">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p>
          <w:p w14:paraId="7C1874EF">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27633135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6D0ADBA9">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2A58A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65BD06C4">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57</w:t>
            </w:r>
          </w:p>
        </w:tc>
        <w:tc>
          <w:tcPr>
            <w:tcW w:w="1534" w:type="dxa"/>
            <w:tcBorders>
              <w:top w:val="single" w:color="000000" w:sz="8" w:space="0"/>
              <w:left w:val="single" w:color="auto" w:sz="4" w:space="0"/>
              <w:bottom w:val="single" w:color="000000" w:sz="8" w:space="0"/>
              <w:right w:val="single" w:color="000000" w:sz="8" w:space="0"/>
            </w:tcBorders>
            <w:vAlign w:val="center"/>
          </w:tcPr>
          <w:p w14:paraId="4A98458D">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7102" w:type="dxa"/>
            <w:tcBorders>
              <w:top w:val="single" w:color="000000" w:sz="8" w:space="0"/>
              <w:left w:val="single" w:color="000000" w:sz="2" w:space="0"/>
              <w:bottom w:val="single" w:color="000000" w:sz="8" w:space="0"/>
              <w:right w:val="single" w:color="000000" w:sz="8" w:space="0"/>
            </w:tcBorders>
            <w:vAlign w:val="center"/>
          </w:tcPr>
          <w:p w14:paraId="6B168BA2">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5BEF9EC8">
            <w:pPr>
              <w:spacing w:line="400" w:lineRule="exact"/>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4584A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3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2E7640C0">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534" w:type="dxa"/>
            <w:tcBorders>
              <w:top w:val="single" w:color="000000" w:sz="8" w:space="0"/>
              <w:left w:val="single" w:color="auto" w:sz="4" w:space="0"/>
              <w:bottom w:val="single" w:color="000000" w:sz="8" w:space="0"/>
              <w:right w:val="single" w:color="000000" w:sz="8" w:space="0"/>
            </w:tcBorders>
            <w:vAlign w:val="center"/>
          </w:tcPr>
          <w:p w14:paraId="0B0E85EF">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7102" w:type="dxa"/>
            <w:tcBorders>
              <w:top w:val="single" w:color="000000" w:sz="8" w:space="0"/>
              <w:left w:val="single" w:color="000000" w:sz="2" w:space="0"/>
              <w:bottom w:val="single" w:color="000000" w:sz="8" w:space="0"/>
              <w:right w:val="single" w:color="000000" w:sz="8" w:space="0"/>
            </w:tcBorders>
            <w:vAlign w:val="center"/>
          </w:tcPr>
          <w:p w14:paraId="05576A88">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526DCEA6">
            <w:pPr>
              <w:spacing w:line="400" w:lineRule="exact"/>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1A749573">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33AC0630">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445C0406">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：具体见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6FD9A02F">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65FE1C58">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1080371F">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2A735537">
            <w:pPr>
              <w:spacing w:line="400" w:lineRule="exac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5E6E9C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4CED160D">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534" w:type="dxa"/>
            <w:tcBorders>
              <w:top w:val="single" w:color="000000" w:sz="8" w:space="0"/>
              <w:left w:val="single" w:color="auto" w:sz="4" w:space="0"/>
              <w:bottom w:val="single" w:color="000000" w:sz="8" w:space="0"/>
              <w:right w:val="single" w:color="000000" w:sz="8" w:space="0"/>
            </w:tcBorders>
            <w:vAlign w:val="center"/>
          </w:tcPr>
          <w:p w14:paraId="5B2E2BBF">
            <w:pPr>
              <w:snapToGrid w:val="0"/>
              <w:spacing w:line="400" w:lineRule="exact"/>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7102" w:type="dxa"/>
            <w:tcBorders>
              <w:top w:val="single" w:color="000000" w:sz="8" w:space="0"/>
              <w:left w:val="single" w:color="000000" w:sz="2" w:space="0"/>
              <w:bottom w:val="single" w:color="000000" w:sz="8" w:space="0"/>
              <w:right w:val="single" w:color="000000" w:sz="8" w:space="0"/>
            </w:tcBorders>
            <w:vAlign w:val="center"/>
          </w:tcPr>
          <w:p w14:paraId="4D5E7594">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5B908093">
            <w:pPr>
              <w:spacing w:line="400" w:lineRule="exact"/>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B组织。</w:t>
            </w:r>
          </w:p>
          <w:p w14:paraId="536831D1">
            <w:pPr>
              <w:numPr>
                <w:ilvl w:val="0"/>
                <w:numId w:val="10"/>
              </w:numPr>
              <w:snapToGrid w:val="0"/>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15</w:t>
            </w:r>
            <w:r>
              <w:rPr>
                <w:rFonts w:hint="eastAsia" w:cs="宋体" w:asciiTheme="minorEastAsia" w:hAnsiTheme="minorEastAsia" w:eastAsiaTheme="minorEastAsia"/>
                <w:color w:val="auto"/>
                <w:kern w:val="0"/>
                <w:sz w:val="24"/>
                <w:highlight w:val="none"/>
              </w:rPr>
              <w:t>分钟，讲解次序以响应文件解密时间先后次序为准。</w:t>
            </w:r>
          </w:p>
          <w:p w14:paraId="3A4762D7">
            <w:pPr>
              <w:numPr>
                <w:ilvl w:val="0"/>
                <w:numId w:val="10"/>
              </w:numPr>
              <w:snapToGrid w:val="0"/>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方案讲解演示方式：</w:t>
            </w:r>
          </w:p>
          <w:p w14:paraId="3658E0AE">
            <w:pPr>
              <w:snapToGrid w:val="0"/>
              <w:spacing w:line="400" w:lineRule="exac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录制演示内容（不限于软件小样或软件案例演示）。录制的演示内容需以U盘形式单独密封包装，送达时间及地址同备份响应文件送达时间和地点。供应商应当确保视频能够打开运行并正常使用（格式：AVI或MP4或rmvb），视频未提供或无法打开或采用PPT、word形式或未进行演示的不得分。</w:t>
            </w:r>
          </w:p>
        </w:tc>
      </w:tr>
      <w:tr w14:paraId="3F5DB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5" w:hRule="atLeast"/>
          <w:jc w:val="center"/>
        </w:trPr>
        <w:tc>
          <w:tcPr>
            <w:tcW w:w="683" w:type="dxa"/>
            <w:vMerge w:val="restart"/>
            <w:tcBorders>
              <w:top w:val="single" w:color="auto" w:sz="4" w:space="0"/>
              <w:left w:val="single" w:color="auto" w:sz="4" w:space="0"/>
              <w:right w:val="single" w:color="auto" w:sz="4" w:space="0"/>
            </w:tcBorders>
            <w:vAlign w:val="center"/>
          </w:tcPr>
          <w:p w14:paraId="7045E933">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534" w:type="dxa"/>
            <w:vMerge w:val="restart"/>
            <w:tcBorders>
              <w:top w:val="single" w:color="000000" w:sz="8" w:space="0"/>
              <w:left w:val="single" w:color="auto" w:sz="4" w:space="0"/>
              <w:right w:val="single" w:color="000000" w:sz="8" w:space="0"/>
            </w:tcBorders>
            <w:vAlign w:val="center"/>
          </w:tcPr>
          <w:p w14:paraId="72357FC0">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7102" w:type="dxa"/>
            <w:tcBorders>
              <w:top w:val="single" w:color="000000" w:sz="8" w:space="0"/>
              <w:left w:val="single" w:color="000000" w:sz="2" w:space="0"/>
              <w:bottom w:val="single" w:color="auto" w:sz="4" w:space="0"/>
              <w:right w:val="single" w:color="000000" w:sz="8" w:space="0"/>
            </w:tcBorders>
            <w:vAlign w:val="center"/>
          </w:tcPr>
          <w:p w14:paraId="3C92AA1B">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（1）资格证明文件：见磋商文件第三部分“六、响应文件的编制”。</w:t>
            </w:r>
          </w:p>
          <w:p w14:paraId="70DEFF37">
            <w:pPr>
              <w:spacing w:line="400" w:lineRule="exac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7B7DB1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7" w:hRule="atLeast"/>
          <w:jc w:val="center"/>
        </w:trPr>
        <w:tc>
          <w:tcPr>
            <w:tcW w:w="683" w:type="dxa"/>
            <w:vMerge w:val="continue"/>
            <w:tcBorders>
              <w:left w:val="single" w:color="auto" w:sz="4" w:space="0"/>
              <w:bottom w:val="single" w:color="auto" w:sz="4" w:space="0"/>
              <w:right w:val="single" w:color="auto" w:sz="4" w:space="0"/>
            </w:tcBorders>
            <w:vAlign w:val="center"/>
          </w:tcPr>
          <w:p w14:paraId="0CA67AAC">
            <w:pPr>
              <w:snapToGrid w:val="0"/>
              <w:spacing w:line="400" w:lineRule="exact"/>
              <w:jc w:val="center"/>
              <w:rPr>
                <w:rFonts w:cs="宋体" w:asciiTheme="minorEastAsia" w:hAnsiTheme="minorEastAsia" w:eastAsiaTheme="minorEastAsia"/>
                <w:color w:val="auto"/>
                <w:sz w:val="24"/>
                <w:highlight w:val="none"/>
              </w:rPr>
            </w:pPr>
          </w:p>
        </w:tc>
        <w:tc>
          <w:tcPr>
            <w:tcW w:w="1534" w:type="dxa"/>
            <w:vMerge w:val="continue"/>
            <w:tcBorders>
              <w:left w:val="single" w:color="auto" w:sz="4" w:space="0"/>
              <w:bottom w:val="single" w:color="000000" w:sz="8" w:space="0"/>
              <w:right w:val="single" w:color="000000" w:sz="8" w:space="0"/>
            </w:tcBorders>
            <w:vAlign w:val="center"/>
          </w:tcPr>
          <w:p w14:paraId="3CD6BB8D">
            <w:pPr>
              <w:snapToGrid w:val="0"/>
              <w:spacing w:line="400" w:lineRule="exact"/>
              <w:jc w:val="center"/>
              <w:rPr>
                <w:rFonts w:cs="宋体" w:asciiTheme="minorEastAsia" w:hAnsiTheme="minorEastAsia" w:eastAsiaTheme="minorEastAsia"/>
                <w:b/>
                <w:color w:val="auto"/>
                <w:sz w:val="24"/>
                <w:highlight w:val="none"/>
              </w:rPr>
            </w:pPr>
          </w:p>
        </w:tc>
        <w:tc>
          <w:tcPr>
            <w:tcW w:w="7102" w:type="dxa"/>
            <w:tcBorders>
              <w:top w:val="single" w:color="auto" w:sz="4" w:space="0"/>
              <w:left w:val="single" w:color="000000" w:sz="2" w:space="0"/>
              <w:bottom w:val="single" w:color="000000" w:sz="8" w:space="0"/>
              <w:right w:val="single" w:color="000000" w:sz="8" w:space="0"/>
            </w:tcBorders>
            <w:vAlign w:val="center"/>
          </w:tcPr>
          <w:p w14:paraId="0EF5D584">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55AE5B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7"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190D58EF">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534" w:type="dxa"/>
            <w:tcBorders>
              <w:top w:val="single" w:color="000000" w:sz="8" w:space="0"/>
              <w:left w:val="single" w:color="000000" w:sz="2" w:space="0"/>
              <w:bottom w:val="single" w:color="000000" w:sz="8" w:space="0"/>
              <w:right w:val="single" w:color="000000" w:sz="8" w:space="0"/>
            </w:tcBorders>
            <w:vAlign w:val="center"/>
          </w:tcPr>
          <w:p w14:paraId="0CAC8915">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7102" w:type="dxa"/>
            <w:tcBorders>
              <w:top w:val="single" w:color="000000" w:sz="8" w:space="0"/>
              <w:left w:val="single" w:color="000000" w:sz="2" w:space="0"/>
              <w:bottom w:val="single" w:color="000000" w:sz="8" w:space="0"/>
              <w:right w:val="single" w:color="000000" w:sz="8" w:space="0"/>
            </w:tcBorders>
            <w:vAlign w:val="center"/>
          </w:tcPr>
          <w:p w14:paraId="554E0DAB">
            <w:pPr>
              <w:snapToGrid w:val="0"/>
              <w:spacing w:line="400" w:lineRule="exac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8B3B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90"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6E76E267">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534" w:type="dxa"/>
            <w:tcBorders>
              <w:top w:val="single" w:color="000000" w:sz="8" w:space="0"/>
              <w:left w:val="single" w:color="000000" w:sz="2" w:space="0"/>
              <w:bottom w:val="single" w:color="000000" w:sz="8" w:space="0"/>
              <w:right w:val="single" w:color="000000" w:sz="8" w:space="0"/>
            </w:tcBorders>
            <w:vAlign w:val="center"/>
          </w:tcPr>
          <w:p w14:paraId="2991F5BA">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7102" w:type="dxa"/>
            <w:tcBorders>
              <w:top w:val="single" w:color="000000" w:sz="8" w:space="0"/>
              <w:left w:val="single" w:color="000000" w:sz="2" w:space="0"/>
              <w:bottom w:val="single" w:color="000000" w:sz="8" w:space="0"/>
              <w:right w:val="single" w:color="000000" w:sz="8" w:space="0"/>
            </w:tcBorders>
            <w:vAlign w:val="center"/>
          </w:tcPr>
          <w:p w14:paraId="42C26486">
            <w:pPr>
              <w:snapToGrid w:val="0"/>
              <w:spacing w:line="400" w:lineRule="exact"/>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p>
          <w:p w14:paraId="4311B90A">
            <w:pPr>
              <w:snapToGrid w:val="0"/>
              <w:spacing w:line="400" w:lineRule="exact"/>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47C570FF">
            <w:pPr>
              <w:snapToGrid w:val="0"/>
              <w:spacing w:line="400" w:lineRule="exact"/>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2A61124B">
            <w:pPr>
              <w:snapToGrid w:val="0"/>
              <w:spacing w:line="400" w:lineRule="exact"/>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2C5EB190">
            <w:pPr>
              <w:spacing w:line="400" w:lineRule="exact"/>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14:paraId="71EB5EE6">
            <w:pPr>
              <w:spacing w:line="400" w:lineRule="exact"/>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4BEB6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7"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42996A6A">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534" w:type="dxa"/>
            <w:tcBorders>
              <w:top w:val="single" w:color="000000" w:sz="8" w:space="0"/>
              <w:left w:val="single" w:color="000000" w:sz="2" w:space="0"/>
              <w:bottom w:val="single" w:color="auto" w:sz="4" w:space="0"/>
              <w:right w:val="single" w:color="000000" w:sz="8" w:space="0"/>
            </w:tcBorders>
            <w:vAlign w:val="center"/>
          </w:tcPr>
          <w:p w14:paraId="0D10271A">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7102" w:type="dxa"/>
            <w:tcBorders>
              <w:top w:val="single" w:color="000000" w:sz="8" w:space="0"/>
              <w:left w:val="single" w:color="000000" w:sz="2" w:space="0"/>
              <w:bottom w:val="single" w:color="auto" w:sz="4" w:space="0"/>
              <w:right w:val="single" w:color="000000" w:sz="8" w:space="0"/>
            </w:tcBorders>
            <w:vAlign w:val="center"/>
          </w:tcPr>
          <w:p w14:paraId="7D036BA1">
            <w:pPr>
              <w:pStyle w:val="21"/>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采用邮寄方式递交电子备份响应文件，需按以下要求递交：各供应商在响应文件开启时间前一工作日17:00前将电子备份响应文件邮寄至规定地点，由采购代理工作人员进行签收，各供应商自行考虑邮寄在途时间，邮寄过程中无论何种因素导致电子备份响应文件未按时递交的后果，均由供应商自行负责。电子备份响应文件递交时间以采购代理实际收到电子备份响应文件的时间为准。</w:t>
            </w:r>
          </w:p>
          <w:p w14:paraId="4CEE6C03">
            <w:pPr>
              <w:pStyle w:val="21"/>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邮寄地址为：宁波市鄞州区天童南路666号中基大厦19楼业务二部；</w:t>
            </w:r>
          </w:p>
          <w:p w14:paraId="14666A2B">
            <w:pPr>
              <w:pStyle w:val="21"/>
              <w:spacing w:line="400" w:lineRule="exact"/>
              <w:rPr>
                <w:rFonts w:hint="default" w:cs="宋体" w:asciiTheme="minorEastAsia" w:hAnsiTheme="minorEastAsia" w:eastAsiaTheme="minorEastAsia"/>
                <w:color w:val="auto"/>
                <w:kern w:val="0"/>
                <w:sz w:val="24"/>
                <w:highlight w:val="none"/>
                <w:lang w:val="en-US" w:eastAsia="zh-CN"/>
              </w:rPr>
            </w:pPr>
            <w:r>
              <w:rPr>
                <w:rFonts w:hint="eastAsia" w:cs="宋体" w:asciiTheme="minorEastAsia" w:hAnsiTheme="minorEastAsia" w:eastAsiaTheme="minorEastAsia"/>
                <w:color w:val="auto"/>
                <w:kern w:val="0"/>
                <w:sz w:val="24"/>
                <w:highlight w:val="none"/>
              </w:rPr>
              <w:t>收件人：</w:t>
            </w:r>
            <w:r>
              <w:rPr>
                <w:rFonts w:hint="eastAsia" w:cs="宋体" w:asciiTheme="minorEastAsia" w:hAnsiTheme="minorEastAsia" w:eastAsiaTheme="minorEastAsia"/>
                <w:color w:val="auto"/>
                <w:kern w:val="0"/>
                <w:sz w:val="24"/>
                <w:highlight w:val="none"/>
                <w:lang w:val="en-US" w:eastAsia="zh-CN"/>
              </w:rPr>
              <w:t xml:space="preserve">史维  </w:t>
            </w:r>
            <w:r>
              <w:rPr>
                <w:rFonts w:hint="eastAsia" w:cs="宋体" w:asciiTheme="minorEastAsia" w:hAnsiTheme="minorEastAsia" w:eastAsiaTheme="minorEastAsia"/>
                <w:color w:val="auto"/>
                <w:kern w:val="0"/>
                <w:sz w:val="24"/>
                <w:highlight w:val="none"/>
              </w:rPr>
              <w:t xml:space="preserve">  联系方式：0574-8742</w:t>
            </w:r>
            <w:r>
              <w:rPr>
                <w:rFonts w:hint="eastAsia" w:cs="宋体" w:asciiTheme="minorEastAsia" w:hAnsiTheme="minorEastAsia" w:eastAsiaTheme="minorEastAsia"/>
                <w:color w:val="auto"/>
                <w:kern w:val="0"/>
                <w:sz w:val="24"/>
                <w:highlight w:val="none"/>
                <w:lang w:val="en-US" w:eastAsia="zh-CN"/>
              </w:rPr>
              <w:t>567</w:t>
            </w:r>
          </w:p>
          <w:p w14:paraId="6079AB67">
            <w:pPr>
              <w:pStyle w:val="21"/>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请各供应商确保密封包装在邮寄过程密封包装完好，因邮寄过程的密封破损造成不符合开标要求的，本采购代理及采购人概不负责。</w:t>
            </w:r>
          </w:p>
          <w:p w14:paraId="34818D34">
            <w:pPr>
              <w:pStyle w:val="21"/>
              <w:spacing w:line="400" w:lineRule="exac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rPr>
              <w:t>（2）直接提交电子备份响应文件，需按以下要求递交：所有供应商可安排人员在响应文件提交（上传）截止时间前将电子备份响应文件送至宁波市鄞州区公共资源交易中心（鄞州区蕙江路567号，鄞州区妇儿医院对面，鄞州区政务服务中心5楼，具体开标厅室具体见大厅大屏幕）开标室。响应文件递交时需同时递交供应商的法定代表人（或其委托代理人）联系方式，并保证磋商期间联系方式的畅通。</w:t>
            </w:r>
          </w:p>
          <w:p w14:paraId="782B8C82">
            <w:pPr>
              <w:pStyle w:val="21"/>
              <w:spacing w:line="400" w:lineRule="exact"/>
              <w:rPr>
                <w:color w:val="auto"/>
                <w:highlight w:val="none"/>
              </w:rPr>
            </w:pPr>
            <w:r>
              <w:rPr>
                <w:rFonts w:hint="eastAsia" w:cs="宋体" w:asciiTheme="minorEastAsia" w:hAnsiTheme="minorEastAsia" w:eastAsiaTheme="minorEastAsia"/>
                <w:b/>
                <w:color w:val="auto"/>
                <w:sz w:val="24"/>
                <w:highlight w:val="none"/>
              </w:rPr>
              <w:t>采购人、采购代理机构不强制或变相强制供应商提交备份响应文件。</w:t>
            </w:r>
          </w:p>
        </w:tc>
      </w:tr>
      <w:tr w14:paraId="09B8C6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83" w:type="dxa"/>
            <w:vMerge w:val="restart"/>
            <w:tcBorders>
              <w:top w:val="single" w:color="auto" w:sz="4" w:space="0"/>
              <w:left w:val="single" w:color="auto" w:sz="4" w:space="0"/>
              <w:bottom w:val="single" w:color="auto" w:sz="4" w:space="0"/>
              <w:right w:val="single" w:color="auto" w:sz="4" w:space="0"/>
            </w:tcBorders>
            <w:vAlign w:val="center"/>
          </w:tcPr>
          <w:p w14:paraId="442ED7D4">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534" w:type="dxa"/>
            <w:vMerge w:val="restart"/>
            <w:tcBorders>
              <w:top w:val="single" w:color="auto" w:sz="4" w:space="0"/>
              <w:left w:val="single" w:color="auto" w:sz="4" w:space="0"/>
              <w:bottom w:val="single" w:color="auto" w:sz="4" w:space="0"/>
              <w:right w:val="single" w:color="auto" w:sz="4" w:space="0"/>
            </w:tcBorders>
            <w:vAlign w:val="center"/>
          </w:tcPr>
          <w:p w14:paraId="015207E2">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7102" w:type="dxa"/>
            <w:tcBorders>
              <w:top w:val="single" w:color="auto" w:sz="4" w:space="0"/>
              <w:left w:val="single" w:color="auto" w:sz="4" w:space="0"/>
              <w:bottom w:val="single" w:color="auto" w:sz="4" w:space="0"/>
              <w:right w:val="single" w:color="auto" w:sz="4" w:space="0"/>
            </w:tcBorders>
            <w:vAlign w:val="center"/>
          </w:tcPr>
          <w:p w14:paraId="2F2387BF">
            <w:pPr>
              <w:spacing w:line="400" w:lineRule="exac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联合体响应的，联合体各方分别提供与联合体协议中规定的分工内容相应的业绩证明材料，业绩数量以提供材料较少的一方为准。</w:t>
            </w:r>
          </w:p>
        </w:tc>
      </w:tr>
      <w:tr w14:paraId="5A20A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69" w:hRule="atLeast"/>
          <w:jc w:val="center"/>
        </w:trPr>
        <w:tc>
          <w:tcPr>
            <w:tcW w:w="683" w:type="dxa"/>
            <w:vMerge w:val="continue"/>
            <w:tcBorders>
              <w:top w:val="single" w:color="auto" w:sz="4" w:space="0"/>
              <w:left w:val="single" w:color="auto" w:sz="4" w:space="0"/>
              <w:bottom w:val="single" w:color="auto" w:sz="4" w:space="0"/>
              <w:right w:val="single" w:color="auto" w:sz="4" w:space="0"/>
            </w:tcBorders>
            <w:vAlign w:val="center"/>
          </w:tcPr>
          <w:p w14:paraId="452E4BCE">
            <w:pPr>
              <w:snapToGrid w:val="0"/>
              <w:spacing w:line="400" w:lineRule="exact"/>
              <w:jc w:val="center"/>
              <w:rPr>
                <w:rFonts w:cs="宋体" w:asciiTheme="minorEastAsia" w:hAnsiTheme="minorEastAsia" w:eastAsiaTheme="minorEastAsia"/>
                <w:color w:val="auto"/>
                <w:sz w:val="24"/>
                <w:highlight w:val="none"/>
              </w:rPr>
            </w:pPr>
          </w:p>
        </w:tc>
        <w:tc>
          <w:tcPr>
            <w:tcW w:w="1534" w:type="dxa"/>
            <w:vMerge w:val="continue"/>
            <w:tcBorders>
              <w:top w:val="single" w:color="auto" w:sz="4" w:space="0"/>
              <w:left w:val="single" w:color="auto" w:sz="4" w:space="0"/>
              <w:bottom w:val="single" w:color="auto" w:sz="4" w:space="0"/>
              <w:right w:val="single" w:color="auto" w:sz="4" w:space="0"/>
            </w:tcBorders>
            <w:vAlign w:val="center"/>
          </w:tcPr>
          <w:p w14:paraId="7AB09496">
            <w:pPr>
              <w:snapToGrid w:val="0"/>
              <w:spacing w:line="400" w:lineRule="exact"/>
              <w:jc w:val="center"/>
              <w:rPr>
                <w:rFonts w:cs="宋体" w:asciiTheme="minorEastAsia" w:hAnsiTheme="minorEastAsia" w:eastAsiaTheme="minorEastAsia"/>
                <w:b/>
                <w:color w:val="auto"/>
                <w:sz w:val="24"/>
                <w:highlight w:val="none"/>
              </w:rPr>
            </w:pPr>
          </w:p>
        </w:tc>
        <w:tc>
          <w:tcPr>
            <w:tcW w:w="7102" w:type="dxa"/>
            <w:tcBorders>
              <w:top w:val="single" w:color="auto" w:sz="4" w:space="0"/>
              <w:left w:val="single" w:color="auto" w:sz="4" w:space="0"/>
              <w:bottom w:val="single" w:color="auto" w:sz="4" w:space="0"/>
              <w:right w:val="single" w:color="auto" w:sz="4" w:space="0"/>
            </w:tcBorders>
            <w:vAlign w:val="center"/>
          </w:tcPr>
          <w:p w14:paraId="374230DC">
            <w:pPr>
              <w:spacing w:line="400" w:lineRule="exact"/>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6C61ED55">
            <w:pPr>
              <w:spacing w:line="400" w:lineRule="exact"/>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540FCC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69C5544F">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534" w:type="dxa"/>
            <w:tcBorders>
              <w:top w:val="single" w:color="auto" w:sz="4" w:space="0"/>
              <w:left w:val="single" w:color="000000" w:sz="2" w:space="0"/>
              <w:bottom w:val="single" w:color="000000" w:sz="8" w:space="0"/>
              <w:right w:val="single" w:color="000000" w:sz="8" w:space="0"/>
            </w:tcBorders>
            <w:vAlign w:val="center"/>
          </w:tcPr>
          <w:p w14:paraId="0AEC27C8">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采购</w:t>
            </w:r>
            <w:bookmarkStart w:id="61" w:name="OLE_LINK20"/>
            <w:r>
              <w:rPr>
                <w:rFonts w:hint="eastAsia" w:ascii="宋体" w:hAnsi="宋体" w:cs="宋体"/>
                <w:b/>
                <w:color w:val="auto"/>
                <w:sz w:val="24"/>
                <w:highlight w:val="none"/>
              </w:rPr>
              <w:t>代理服务费</w:t>
            </w:r>
            <w:bookmarkEnd w:id="61"/>
          </w:p>
        </w:tc>
        <w:tc>
          <w:tcPr>
            <w:tcW w:w="7102" w:type="dxa"/>
            <w:tcBorders>
              <w:top w:val="single" w:color="auto" w:sz="4" w:space="0"/>
              <w:left w:val="single" w:color="000000" w:sz="2" w:space="0"/>
              <w:bottom w:val="single" w:color="000000" w:sz="8" w:space="0"/>
              <w:right w:val="single" w:color="000000" w:sz="8" w:space="0"/>
            </w:tcBorders>
            <w:vAlign w:val="center"/>
          </w:tcPr>
          <w:p w14:paraId="740FDA1B">
            <w:pPr>
              <w:spacing w:line="360" w:lineRule="auto"/>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（1）收取方式：供应商应当自中标结果公告发布之日起5个工作日内一次性向采购代理机构支付代理服务费。</w:t>
            </w:r>
          </w:p>
          <w:p w14:paraId="48AE93CD">
            <w:pPr>
              <w:pStyle w:val="21"/>
              <w:spacing w:line="360" w:lineRule="auto"/>
              <w:rPr>
                <w:rFonts w:hint="default" w:asciiTheme="minorEastAsia" w:hAnsiTheme="minorEastAsia" w:eastAsiaTheme="minorEastAsia" w:cstheme="minorEastAsia"/>
                <w:snapToGrid w:val="0"/>
                <w:color w:val="auto"/>
                <w:kern w:val="28"/>
                <w:sz w:val="24"/>
                <w:highlight w:val="none"/>
                <w:lang w:val="en-US" w:eastAsia="zh-CN"/>
              </w:rPr>
            </w:pPr>
            <w:r>
              <w:rPr>
                <w:rFonts w:hint="eastAsia" w:asciiTheme="minorEastAsia" w:hAnsiTheme="minorEastAsia" w:eastAsiaTheme="minorEastAsia" w:cstheme="minorEastAsia"/>
                <w:snapToGrid w:val="0"/>
                <w:color w:val="auto"/>
                <w:kern w:val="28"/>
                <w:sz w:val="24"/>
                <w:highlight w:val="none"/>
              </w:rPr>
              <w:t>（2）采购代理服务费收费标准：本项目采购代理服务费用参照国家发改委发改办价格[2003]857号通知和国家计委计价格[2002]1980号文件中招标费率规定的</w:t>
            </w:r>
            <w:r>
              <w:rPr>
                <w:rFonts w:hint="eastAsia" w:asciiTheme="minorEastAsia" w:hAnsiTheme="minorEastAsia" w:eastAsiaTheme="minorEastAsia" w:cstheme="minorEastAsia"/>
                <w:snapToGrid w:val="0"/>
                <w:color w:val="auto"/>
                <w:kern w:val="28"/>
                <w:sz w:val="24"/>
                <w:highlight w:val="none"/>
                <w:lang w:val="en-US" w:eastAsia="zh-CN"/>
              </w:rPr>
              <w:t>服务</w:t>
            </w:r>
            <w:r>
              <w:rPr>
                <w:rFonts w:hint="eastAsia" w:asciiTheme="minorEastAsia" w:hAnsiTheme="minorEastAsia" w:eastAsiaTheme="minorEastAsia" w:cstheme="minorEastAsia"/>
                <w:snapToGrid w:val="0"/>
                <w:color w:val="auto"/>
                <w:kern w:val="28"/>
                <w:sz w:val="24"/>
                <w:highlight w:val="none"/>
              </w:rPr>
              <w:t>类标准（差额累进制），</w:t>
            </w:r>
            <w:r>
              <w:rPr>
                <w:rFonts w:hint="eastAsia" w:asciiTheme="minorEastAsia" w:hAnsiTheme="minorEastAsia" w:eastAsiaTheme="minorEastAsia" w:cstheme="minorEastAsia"/>
                <w:snapToGrid w:val="0"/>
                <w:color w:val="auto"/>
                <w:kern w:val="28"/>
                <w:sz w:val="24"/>
                <w:highlight w:val="none"/>
                <w:lang w:val="en-US" w:eastAsia="zh-CN"/>
              </w:rPr>
              <w:t>按一年成交价为基数计算</w:t>
            </w:r>
            <w:r>
              <w:rPr>
                <w:rFonts w:hint="eastAsia" w:asciiTheme="minorEastAsia" w:hAnsiTheme="minorEastAsia" w:eastAsiaTheme="minorEastAsia" w:cstheme="minorEastAsia"/>
                <w:snapToGrid w:val="0"/>
                <w:color w:val="auto"/>
                <w:kern w:val="28"/>
                <w:sz w:val="24"/>
                <w:highlight w:val="none"/>
              </w:rPr>
              <w:t>向</w:t>
            </w:r>
            <w:r>
              <w:rPr>
                <w:rFonts w:hint="eastAsia" w:asciiTheme="minorEastAsia" w:hAnsiTheme="minorEastAsia" w:eastAsiaTheme="minorEastAsia" w:cstheme="minorEastAsia"/>
                <w:snapToGrid w:val="0"/>
                <w:color w:val="auto"/>
                <w:kern w:val="28"/>
                <w:sz w:val="24"/>
                <w:highlight w:val="none"/>
                <w:lang w:val="en-US" w:eastAsia="zh-CN"/>
              </w:rPr>
              <w:t>成交</w:t>
            </w:r>
            <w:r>
              <w:rPr>
                <w:rFonts w:hint="eastAsia" w:asciiTheme="minorEastAsia" w:hAnsiTheme="minorEastAsia" w:eastAsiaTheme="minorEastAsia" w:cstheme="minorEastAsia"/>
                <w:snapToGrid w:val="0"/>
                <w:color w:val="auto"/>
                <w:kern w:val="28"/>
                <w:sz w:val="24"/>
                <w:highlight w:val="none"/>
              </w:rPr>
              <w:t>人收取。</w:t>
            </w:r>
          </w:p>
          <w:p w14:paraId="25864DC5">
            <w:pPr>
              <w:spacing w:line="360" w:lineRule="auto"/>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（3）支付形式及账号：</w:t>
            </w:r>
          </w:p>
          <w:p w14:paraId="06BC6AC2">
            <w:pPr>
              <w:spacing w:line="360" w:lineRule="auto"/>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①代理服务费缴纳形式：汇票/电汇/现金</w:t>
            </w:r>
          </w:p>
          <w:p w14:paraId="1ADB996A">
            <w:pPr>
              <w:spacing w:line="360" w:lineRule="auto"/>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②代理服务费汇入以下账户 ：</w:t>
            </w:r>
          </w:p>
          <w:p w14:paraId="0272A62B">
            <w:pPr>
              <w:spacing w:line="360" w:lineRule="auto"/>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收款单位（户名）：宁波中基国际招标有限公司</w:t>
            </w:r>
          </w:p>
          <w:p w14:paraId="60A7CCD3">
            <w:pPr>
              <w:spacing w:line="360" w:lineRule="auto"/>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开户：宁波银行科技支行</w:t>
            </w:r>
          </w:p>
          <w:p w14:paraId="1512D89A">
            <w:pPr>
              <w:spacing w:line="360" w:lineRule="auto"/>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账号：31010122000005488</w:t>
            </w:r>
          </w:p>
          <w:p w14:paraId="03FADF35">
            <w:pPr>
              <w:spacing w:line="360" w:lineRule="auto"/>
              <w:rPr>
                <w:rFonts w:ascii="宋体" w:hAnsi="宋体" w:cs="宋体"/>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（4）支付流程：中标供应商按照中标结果公告确定金额支付至采购代理机构账户后将汇款底单、开票信息和发票邮寄地址发送至</w:t>
            </w:r>
            <w:r>
              <w:rPr>
                <w:rFonts w:hint="eastAsia" w:asciiTheme="minorEastAsia" w:hAnsiTheme="minorEastAsia" w:eastAsiaTheme="minorEastAsia" w:cstheme="minorEastAsia"/>
                <w:snapToGrid w:val="0"/>
                <w:color w:val="auto"/>
                <w:kern w:val="28"/>
                <w:sz w:val="24"/>
                <w:highlight w:val="none"/>
                <w:u w:val="single"/>
              </w:rPr>
              <w:t xml:space="preserve"> 719126619@qq.com</w:t>
            </w:r>
            <w:r>
              <w:rPr>
                <w:rFonts w:hint="eastAsia" w:asciiTheme="minorEastAsia" w:hAnsiTheme="minorEastAsia" w:eastAsiaTheme="minorEastAsia" w:cstheme="minorEastAsia"/>
                <w:snapToGrid w:val="0"/>
                <w:color w:val="auto"/>
                <w:kern w:val="28"/>
                <w:sz w:val="24"/>
                <w:highlight w:val="none"/>
              </w:rPr>
              <w:t>，采购代理机构在收到邮件后开具发票。</w:t>
            </w:r>
          </w:p>
        </w:tc>
      </w:tr>
    </w:tbl>
    <w:p w14:paraId="27DDABCC">
      <w:pP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5D839AED">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1FE94DC5">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585287B4">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53205D88">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2294CFA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11E4990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76E095D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76DD687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0FC392A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343C5FA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5D249C9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Times New Roman" w:asciiTheme="minorEastAsia" w:hAnsiTheme="minorEastAsia" w:eastAsiaTheme="minorEastAsia"/>
          <w:snapToGrid/>
          <w:color w:val="auto"/>
          <w:kern w:val="2"/>
          <w:sz w:val="24"/>
          <w:szCs w:val="24"/>
          <w:highlight w:val="none"/>
        </w:rPr>
        <w:t>https://www.zcygov.cn/</w:t>
      </w:r>
      <w:r>
        <w:rPr>
          <w:rStyle w:val="69"/>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40A69C7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6E2F2F2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1402231D">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w:t>
      </w:r>
      <w:r>
        <w:rPr>
          <w:rFonts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highlight w:val="none"/>
            </w:rPr>
            <w:t>þ</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35ED0C65">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3DD03705">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4F46FC55">
      <w:pPr>
        <w:pStyle w:val="398"/>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5229D382">
      <w:pPr>
        <w:pStyle w:val="398"/>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08F57B10">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0C4C56EC">
      <w:pPr>
        <w:pStyle w:val="32"/>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21251E2C">
      <w:pPr>
        <w:spacing w:line="360" w:lineRule="auto"/>
        <w:jc w:val="center"/>
        <w:rPr>
          <w:rFonts w:cs="仿宋_GB2312" w:asciiTheme="minorEastAsia" w:hAnsiTheme="minorEastAsia" w:eastAsiaTheme="minorEastAsia"/>
          <w:b/>
          <w:color w:val="auto"/>
          <w:sz w:val="24"/>
          <w:highlight w:val="none"/>
        </w:rPr>
      </w:pPr>
    </w:p>
    <w:p w14:paraId="67DCA5B4">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2C445B7F">
      <w:pPr>
        <w:pStyle w:val="398"/>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7042FF9B">
      <w:pPr>
        <w:pStyle w:val="32"/>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5F3876DA">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790AEC05">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069D03F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1BE56E69">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927E35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w:t>
      </w:r>
    </w:p>
    <w:p w14:paraId="4974B489">
      <w:pPr>
        <w:pStyle w:val="32"/>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32DA269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040A88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63596F30">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5729A6D7">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037FB1B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52FA2F0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1A06AD6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AC8FAB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266E8E9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02E3B5B6">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58BCE1EE">
      <w:pPr>
        <w:spacing w:line="360" w:lineRule="auto"/>
        <w:ind w:firstLine="480" w:firstLineChars="200"/>
        <w:rPr>
          <w:rFonts w:hint="eastAsia" w:ascii="宋体" w:hAnsi="宋体" w:cs="宋体"/>
          <w:color w:val="auto"/>
          <w:sz w:val="24"/>
          <w:highlight w:val="none"/>
        </w:rPr>
      </w:pPr>
      <w:bookmarkStart w:id="62" w:name="OLE_LINK12"/>
      <w:r>
        <w:rPr>
          <w:rFonts w:hint="eastAsia" w:cs="宋体" w:asciiTheme="minorEastAsia" w:hAnsiTheme="minorEastAsia" w:eastAsiaTheme="minorEastAsia"/>
          <w:color w:val="auto"/>
          <w:sz w:val="24"/>
          <w:highlight w:val="none"/>
        </w:rPr>
        <w:t xml:space="preserve">4.1 </w:t>
      </w:r>
      <w:r>
        <w:rPr>
          <w:rFonts w:hint="eastAsia" w:ascii="宋体" w:hAnsi="宋体" w:cs="宋体"/>
          <w:color w:val="auto"/>
          <w:sz w:val="24"/>
          <w:highlight w:val="none"/>
        </w:rPr>
        <w:t>对省级以上主管部门认定的首台套产品，自纳入《省推广应用指导目录》起三年内参加政府采购活动，视同已具备相应销售业绩，业绩分为满分。</w:t>
      </w:r>
    </w:p>
    <w:bookmarkEnd w:id="62"/>
    <w:p w14:paraId="4E33B058">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141D1B32">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1B07991E">
      <w:pPr>
        <w:pStyle w:val="2"/>
        <w:rPr>
          <w:color w:val="auto"/>
          <w:highlight w:val="none"/>
        </w:rPr>
      </w:pPr>
    </w:p>
    <w:p w14:paraId="78EC20D0">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3C1312AF">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w:t>
      </w:r>
    </w:p>
    <w:p w14:paraId="399FBDA7">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p>
    <w:p w14:paraId="6AA9220D">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4A05251E">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FD0FA6E">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38D3CF3B">
      <w:pPr>
        <w:pStyle w:val="32"/>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61DC7A84">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3A8A9668">
      <w:pPr>
        <w:pStyle w:val="32"/>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7856E1DB">
      <w:pPr>
        <w:pStyle w:val="17"/>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6F2F4653">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0355F996">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066A48C9">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304A749C">
      <w:pPr>
        <w:pStyle w:val="32"/>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7C84955B">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3.2.1根据采购人与采购代理机构签订的《委托代理协议》的规定，质疑答复责任主体如下：</w:t>
      </w:r>
    </w:p>
    <w:p w14:paraId="39CFAE1B">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2"/>
        <w:tblW w:w="8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4"/>
        <w:gridCol w:w="4185"/>
        <w:gridCol w:w="2205"/>
      </w:tblGrid>
      <w:tr w14:paraId="39AB1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79" w:type="dxa"/>
            <w:gridSpan w:val="2"/>
            <w:vAlign w:val="center"/>
          </w:tcPr>
          <w:p w14:paraId="5AA34C7B">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05" w:type="dxa"/>
            <w:vAlign w:val="center"/>
          </w:tcPr>
          <w:p w14:paraId="5735FC1B">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5749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494" w:type="dxa"/>
            <w:vMerge w:val="restart"/>
            <w:vAlign w:val="center"/>
          </w:tcPr>
          <w:p w14:paraId="63FAEEAE">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185" w:type="dxa"/>
            <w:vAlign w:val="center"/>
          </w:tcPr>
          <w:p w14:paraId="651F7B33">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05" w:type="dxa"/>
            <w:vAlign w:val="center"/>
          </w:tcPr>
          <w:p w14:paraId="093132F5">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3FB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494" w:type="dxa"/>
            <w:vMerge w:val="continue"/>
            <w:vAlign w:val="center"/>
          </w:tcPr>
          <w:p w14:paraId="4FEE3234">
            <w:pPr>
              <w:pStyle w:val="32"/>
              <w:spacing w:line="360" w:lineRule="auto"/>
              <w:jc w:val="center"/>
              <w:rPr>
                <w:rFonts w:asciiTheme="minorEastAsia" w:hAnsiTheme="minorEastAsia" w:eastAsiaTheme="minorEastAsia"/>
                <w:color w:val="auto"/>
                <w:sz w:val="24"/>
                <w:highlight w:val="none"/>
              </w:rPr>
            </w:pPr>
          </w:p>
        </w:tc>
        <w:tc>
          <w:tcPr>
            <w:tcW w:w="4185" w:type="dxa"/>
            <w:vAlign w:val="center"/>
          </w:tcPr>
          <w:p w14:paraId="17396BBB">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05" w:type="dxa"/>
            <w:vAlign w:val="center"/>
          </w:tcPr>
          <w:p w14:paraId="36BB9DEB">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6B54D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494" w:type="dxa"/>
            <w:vMerge w:val="restart"/>
            <w:vAlign w:val="center"/>
          </w:tcPr>
          <w:p w14:paraId="7CAC47F4">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185" w:type="dxa"/>
            <w:vAlign w:val="center"/>
          </w:tcPr>
          <w:p w14:paraId="7710CC02">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05" w:type="dxa"/>
            <w:vAlign w:val="center"/>
          </w:tcPr>
          <w:p w14:paraId="40196AEE">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5445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94" w:type="dxa"/>
            <w:vMerge w:val="continue"/>
            <w:vAlign w:val="center"/>
          </w:tcPr>
          <w:p w14:paraId="4B143982">
            <w:pPr>
              <w:pStyle w:val="32"/>
              <w:spacing w:line="360" w:lineRule="auto"/>
              <w:jc w:val="center"/>
              <w:rPr>
                <w:rFonts w:asciiTheme="minorEastAsia" w:hAnsiTheme="minorEastAsia" w:eastAsiaTheme="minorEastAsia"/>
                <w:color w:val="auto"/>
                <w:sz w:val="24"/>
                <w:highlight w:val="none"/>
              </w:rPr>
            </w:pPr>
          </w:p>
        </w:tc>
        <w:tc>
          <w:tcPr>
            <w:tcW w:w="4185" w:type="dxa"/>
            <w:vAlign w:val="center"/>
          </w:tcPr>
          <w:p w14:paraId="68CAC531">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05" w:type="dxa"/>
            <w:vAlign w:val="center"/>
          </w:tcPr>
          <w:p w14:paraId="4039C4B5">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26293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vAlign w:val="center"/>
          </w:tcPr>
          <w:p w14:paraId="22F580EC">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185" w:type="dxa"/>
            <w:vAlign w:val="center"/>
          </w:tcPr>
          <w:p w14:paraId="734104BC">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05" w:type="dxa"/>
            <w:vAlign w:val="center"/>
          </w:tcPr>
          <w:p w14:paraId="076D2BDF">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1D1D043E">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w:t>
      </w:r>
      <w:r>
        <w:rPr>
          <w:rFonts w:asciiTheme="minorEastAsia" w:hAnsiTheme="minorEastAsia" w:eastAsiaTheme="minorEastAsia"/>
          <w:color w:val="auto"/>
          <w:sz w:val="24"/>
          <w:highlight w:val="none"/>
        </w:rPr>
        <w:t>采购人或者</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3A2B4608">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46E89A0D">
      <w:pPr>
        <w:pStyle w:val="32"/>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289397F9">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7F3A2A7F">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68D58E7C">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7C23FF58">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5FDD732E">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66F4E6C5">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6B24722D">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01D671A5">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47857AC5">
      <w:pPr>
        <w:pStyle w:val="3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质疑函范本请到浙江政府采购网下载专区下载。</w:t>
      </w:r>
    </w:p>
    <w:p w14:paraId="415A0EB1">
      <w:pPr>
        <w:rPr>
          <w:color w:val="auto"/>
          <w:highlight w:val="none"/>
        </w:rPr>
      </w:pPr>
    </w:p>
    <w:p w14:paraId="7FBC17F2">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43434D0C">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67018764">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304F1A3A">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0DFA329A">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2DA5A16E">
      <w:pPr>
        <w:spacing w:line="360" w:lineRule="auto"/>
        <w:ind w:firstLine="480" w:firstLineChars="200"/>
        <w:rPr>
          <w:rFonts w:ascii="宋体" w:hAnsi="Courier New"/>
          <w:color w:val="auto"/>
          <w:sz w:val="24"/>
          <w:highlight w:val="none"/>
        </w:rPr>
      </w:pPr>
      <w:r>
        <w:rPr>
          <w:rFonts w:hint="eastAsia" w:asciiTheme="minorEastAsia" w:hAnsiTheme="minorEastAsia" w:eastAsiaTheme="minorEastAsia"/>
          <w:color w:val="auto"/>
          <w:sz w:val="24"/>
          <w:highlight w:val="none"/>
        </w:rPr>
        <w:t>4.5</w:t>
      </w:r>
      <w:r>
        <w:rPr>
          <w:rFonts w:hint="eastAsia" w:ascii="宋体" w:hAnsi="Courier New"/>
          <w:color w:val="auto"/>
          <w:sz w:val="24"/>
          <w:highlight w:val="none"/>
        </w:rPr>
        <w:t>政府采购项目投诉材料可寄送至</w:t>
      </w:r>
      <w:r>
        <w:rPr>
          <w:rFonts w:hint="eastAsia"/>
          <w:color w:val="auto"/>
          <w:sz w:val="24"/>
          <w:highlight w:val="none"/>
        </w:rPr>
        <w:t>宁波市鄞州区政府采购管理办公室</w:t>
      </w:r>
      <w:r>
        <w:rPr>
          <w:rFonts w:hint="eastAsia" w:ascii="宋体" w:hAnsi="Courier New"/>
          <w:color w:val="auto"/>
          <w:sz w:val="24"/>
          <w:highlight w:val="none"/>
        </w:rPr>
        <w:t>，地址：</w:t>
      </w:r>
      <w:r>
        <w:rPr>
          <w:rFonts w:hint="eastAsia" w:ascii="宋体" w:hAnsi="宋体" w:cs="宋体"/>
          <w:color w:val="auto"/>
          <w:sz w:val="24"/>
          <w:highlight w:val="none"/>
        </w:rPr>
        <w:t>宁波市鄞州区民惠东路16号</w:t>
      </w:r>
      <w:r>
        <w:rPr>
          <w:rFonts w:hint="eastAsia" w:ascii="宋体" w:hAnsi="Courier New"/>
          <w:color w:val="auto"/>
          <w:sz w:val="24"/>
          <w:highlight w:val="none"/>
        </w:rPr>
        <w:t>，收件人：郑老师，电话：0574-89295894。</w:t>
      </w:r>
    </w:p>
    <w:p w14:paraId="623BE3EB">
      <w:pPr>
        <w:pStyle w:val="3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投诉书范本请到浙江政府采购网下载专区下载。</w:t>
      </w:r>
    </w:p>
    <w:p w14:paraId="19AFBFBD">
      <w:pPr>
        <w:rPr>
          <w:color w:val="auto"/>
          <w:highlight w:val="none"/>
        </w:rPr>
      </w:pPr>
      <w:r>
        <w:rPr>
          <w:color w:val="auto"/>
          <w:highlight w:val="none"/>
        </w:rPr>
        <w:br w:type="page"/>
      </w:r>
    </w:p>
    <w:p w14:paraId="0EF12308">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2795BA68">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6F422AE9">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07B3ABC6">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201F02E3">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113E297C">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7D3B935B">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7AE58D58">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14183C01">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6C5C0304">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7328DB9C">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5082AAB9">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1E360A08">
      <w:pPr>
        <w:pStyle w:val="398"/>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3D176DAA">
      <w:pPr>
        <w:pStyle w:val="398"/>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4A5D2F6A">
      <w:pPr>
        <w:pStyle w:val="398"/>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0E5F16B4">
      <w:pPr>
        <w:pStyle w:val="398"/>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7183F378">
      <w:pPr>
        <w:pStyle w:val="3"/>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57743D5B">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326B4F2D">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0FA8F8B2">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1BA6E72F">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3C2C622D">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127EA4D2">
      <w:pPr>
        <w:pStyle w:val="32"/>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2.1资格文件</w:t>
      </w:r>
    </w:p>
    <w:p w14:paraId="1F57ACC6">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sz w:val="24"/>
          <w:highlight w:val="none"/>
        </w:rPr>
        <w:t>（1）符合参加政府采购活动应当具备的一般条件的承诺函（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395086C3">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（2）提供有效的营业执照副本（或事业法人登记证副本或其他登记证明材料）原件扫描件或者电子营业执照加盖供应商公章；响应供应商如果有名称变更的，应提供由行政主管部门出具的变更证明文件；</w:t>
      </w:r>
    </w:p>
    <w:p w14:paraId="3E8FAA13">
      <w:pPr>
        <w:pStyle w:val="32"/>
        <w:spacing w:line="360" w:lineRule="auto"/>
        <w:ind w:firstLine="480" w:firstLineChars="200"/>
        <w:rPr>
          <w:rFonts w:hint="eastAsia" w:cs="仿宋_GB2312" w:asciiTheme="minorEastAsia" w:hAnsiTheme="minorEastAsia" w:eastAsiaTheme="minorEastAsia"/>
          <w:color w:val="auto"/>
          <w:sz w:val="24"/>
          <w:highlight w:val="none"/>
          <w:lang w:eastAsia="zh-CN"/>
        </w:rPr>
      </w:pPr>
      <w:r>
        <w:rPr>
          <w:rFonts w:hint="eastAsia" w:cs="Arial" w:asciiTheme="minorEastAsia" w:hAnsiTheme="minorEastAsia" w:eastAsiaTheme="minorEastAsia"/>
          <w:color w:val="auto"/>
          <w:sz w:val="24"/>
          <w:highlight w:val="none"/>
        </w:rPr>
        <w:t>（3）联合协议</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不适用</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eastAsia="zh-CN"/>
        </w:rPr>
        <w:t>；</w:t>
      </w:r>
    </w:p>
    <w:p w14:paraId="65546267">
      <w:pPr>
        <w:pStyle w:val="32"/>
        <w:spacing w:line="360" w:lineRule="auto"/>
        <w:ind w:firstLine="480" w:firstLineChars="200"/>
        <w:rPr>
          <w:rFonts w:asciiTheme="minorEastAsia" w:hAnsiTheme="minorEastAsia" w:eastAsiaTheme="minorEastAsia"/>
          <w:color w:val="auto"/>
          <w:sz w:val="24"/>
          <w:highlight w:val="none"/>
        </w:rPr>
      </w:pPr>
      <w:bookmarkStart w:id="63" w:name="OLE_LINK5"/>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中小企业声明函（</w:t>
      </w:r>
      <w:r>
        <w:rPr>
          <w:rFonts w:hint="eastAsia" w:cs="Arial" w:asciiTheme="minorEastAsia" w:hAnsiTheme="minorEastAsia" w:eastAsiaTheme="minorEastAsia"/>
          <w:color w:val="auto"/>
          <w:sz w:val="24"/>
          <w:highlight w:val="none"/>
        </w:rPr>
        <w:t>格式见第七部分</w:t>
      </w:r>
      <w:r>
        <w:rPr>
          <w:rFonts w:hint="eastAsia" w:asciiTheme="minorEastAsia" w:hAnsiTheme="minorEastAsia" w:eastAsiaTheme="minorEastAsia"/>
          <w:color w:val="auto"/>
          <w:sz w:val="24"/>
          <w:highlight w:val="none"/>
        </w:rPr>
        <w:t>）；</w:t>
      </w:r>
    </w:p>
    <w:p w14:paraId="09A68CD9">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）供应商为监狱企业的证明文件：省级以上监狱管理局、戒毒管理局（含新疆生产建设兵团）出具（如是，请提供）；</w:t>
      </w:r>
    </w:p>
    <w:p w14:paraId="73B0BCE3">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）残疾人福利性单位声明函（如是，请提供，</w:t>
      </w:r>
      <w:r>
        <w:rPr>
          <w:rFonts w:hint="eastAsia" w:cs="Arial" w:asciiTheme="minorEastAsia" w:hAnsiTheme="minorEastAsia" w:eastAsiaTheme="minorEastAsia"/>
          <w:color w:val="auto"/>
          <w:sz w:val="24"/>
          <w:highlight w:val="none"/>
        </w:rPr>
        <w:t>格式见第七部分</w:t>
      </w:r>
      <w:r>
        <w:rPr>
          <w:rFonts w:hint="eastAsia" w:asciiTheme="minorEastAsia" w:hAnsiTheme="minorEastAsia" w:eastAsiaTheme="minorEastAsia"/>
          <w:color w:val="auto"/>
          <w:sz w:val="24"/>
          <w:highlight w:val="none"/>
        </w:rPr>
        <w:t>）。</w:t>
      </w:r>
    </w:p>
    <w:bookmarkEnd w:id="63"/>
    <w:p w14:paraId="32DA482D">
      <w:pPr>
        <w:pStyle w:val="32"/>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2.2商务技术文件</w:t>
      </w:r>
    </w:p>
    <w:p w14:paraId="6262BA33">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（1）评分索引表（格式见第七部分）；</w:t>
      </w:r>
    </w:p>
    <w:p w14:paraId="353A5872">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（2）响应函（格式见第七部分）；</w:t>
      </w:r>
    </w:p>
    <w:p w14:paraId="1DC315A2">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r>
        <w:rPr>
          <w:rFonts w:hint="eastAsia" w:asciiTheme="minorEastAsia" w:hAnsiTheme="minorEastAsia" w:eastAsiaTheme="minorEastAsia"/>
          <w:color w:val="auto"/>
          <w:sz w:val="24"/>
          <w:highlight w:val="none"/>
        </w:rPr>
        <w:t>（格式见第七部分）</w:t>
      </w:r>
      <w:r>
        <w:rPr>
          <w:rFonts w:hint="eastAsia" w:hAnsi="宋体" w:cs="宋体"/>
          <w:color w:val="auto"/>
          <w:sz w:val="24"/>
          <w:highlight w:val="none"/>
        </w:rPr>
        <w:t>；</w:t>
      </w:r>
    </w:p>
    <w:p w14:paraId="7083F4CA">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hint="eastAsia" w:hAnsi="宋体" w:cs="宋体" w:eastAsiaTheme="minorEastAsia"/>
          <w:color w:val="auto"/>
          <w:sz w:val="24"/>
          <w:highlight w:val="none"/>
        </w:rPr>
        <w:t>供应商</w:t>
      </w:r>
      <w:r>
        <w:rPr>
          <w:rFonts w:hint="eastAsia" w:hAnsi="宋体" w:cs="宋体"/>
          <w:color w:val="auto"/>
          <w:sz w:val="24"/>
          <w:highlight w:val="none"/>
        </w:rPr>
        <w:t>基本情况表（</w:t>
      </w:r>
      <w:r>
        <w:rPr>
          <w:rFonts w:hint="eastAsia" w:cs="Arial" w:asciiTheme="minorEastAsia" w:hAnsiTheme="minorEastAsia" w:eastAsiaTheme="minorEastAsia"/>
          <w:color w:val="auto"/>
          <w:sz w:val="24"/>
          <w:highlight w:val="none"/>
        </w:rPr>
        <w:t>格式见第七部分</w:t>
      </w:r>
      <w:r>
        <w:rPr>
          <w:rFonts w:hint="eastAsia" w:hAnsi="宋体" w:cs="宋体"/>
          <w:color w:val="auto"/>
          <w:sz w:val="24"/>
          <w:highlight w:val="none"/>
        </w:rPr>
        <w:t>）</w:t>
      </w:r>
      <w:r>
        <w:rPr>
          <w:rFonts w:hint="eastAsia" w:cs="仿宋_GB2312" w:asciiTheme="minorEastAsia" w:hAnsiTheme="minorEastAsia" w:eastAsiaTheme="minorEastAsia"/>
          <w:color w:val="auto"/>
          <w:kern w:val="0"/>
          <w:sz w:val="24"/>
          <w:highlight w:val="none"/>
          <w:lang w:val="zh-CN"/>
        </w:rPr>
        <w:t>；</w:t>
      </w:r>
    </w:p>
    <w:p w14:paraId="7743E508">
      <w:pPr>
        <w:pStyle w:val="32"/>
        <w:spacing w:line="360" w:lineRule="auto"/>
        <w:ind w:firstLine="480" w:firstLineChars="200"/>
        <w:rPr>
          <w:rFonts w:asciiTheme="minorEastAsia" w:hAnsiTheme="minorEastAsia"/>
          <w:color w:val="auto"/>
          <w:sz w:val="24"/>
          <w:highlight w:val="none"/>
        </w:rPr>
      </w:pPr>
      <w:r>
        <w:rPr>
          <w:rFonts w:hint="eastAsia" w:cs="宋体" w:asciiTheme="minorEastAsia" w:hAnsiTheme="minorEastAsia" w:eastAsiaTheme="minorEastAsia"/>
          <w:color w:val="auto"/>
          <w:kern w:val="0"/>
          <w:sz w:val="24"/>
          <w:highlight w:val="none"/>
        </w:rPr>
        <w:t>（5）</w:t>
      </w:r>
      <w:r>
        <w:rPr>
          <w:rFonts w:hint="eastAsia" w:asciiTheme="minorEastAsia" w:hAnsiTheme="minorEastAsia" w:eastAsiaTheme="minorEastAsia"/>
          <w:color w:val="auto"/>
          <w:sz w:val="24"/>
          <w:highlight w:val="none"/>
        </w:rPr>
        <w:t>商务技术条款响应（偏离）表</w:t>
      </w:r>
      <w:r>
        <w:rPr>
          <w:rFonts w:hint="eastAsia" w:hAnsi="宋体" w:cs="宋体"/>
          <w:color w:val="auto"/>
          <w:sz w:val="24"/>
          <w:highlight w:val="none"/>
        </w:rPr>
        <w:t>（</w:t>
      </w:r>
      <w:r>
        <w:rPr>
          <w:rFonts w:hint="eastAsia" w:cs="Arial" w:asciiTheme="minorEastAsia" w:hAnsiTheme="minorEastAsia" w:eastAsiaTheme="minorEastAsia"/>
          <w:color w:val="auto"/>
          <w:sz w:val="24"/>
          <w:highlight w:val="none"/>
        </w:rPr>
        <w:t>格式见第七部分</w:t>
      </w:r>
      <w:r>
        <w:rPr>
          <w:rFonts w:hint="eastAsia" w:hAnsi="宋体" w:cs="宋体"/>
          <w:color w:val="auto"/>
          <w:sz w:val="24"/>
          <w:highlight w:val="none"/>
        </w:rPr>
        <w:t>）；</w:t>
      </w:r>
    </w:p>
    <w:p w14:paraId="0DA70E16">
      <w:pPr>
        <w:pStyle w:val="32"/>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（6）</w:t>
      </w:r>
      <w:r>
        <w:rPr>
          <w:rFonts w:hint="eastAsia" w:cs="宋体" w:asciiTheme="minorEastAsia" w:hAnsiTheme="minorEastAsia" w:eastAsiaTheme="minorEastAsia"/>
          <w:color w:val="auto"/>
          <w:kern w:val="0"/>
          <w:sz w:val="24"/>
          <w:highlight w:val="none"/>
        </w:rPr>
        <w:t>同类项目业绩（格式见第七部分）</w:t>
      </w:r>
      <w:r>
        <w:rPr>
          <w:rFonts w:hint="eastAsia" w:asciiTheme="minorEastAsia" w:hAnsiTheme="minorEastAsia" w:eastAsiaTheme="minorEastAsia"/>
          <w:color w:val="auto"/>
          <w:kern w:val="0"/>
          <w:sz w:val="24"/>
          <w:highlight w:val="none"/>
        </w:rPr>
        <w:t>；</w:t>
      </w:r>
    </w:p>
    <w:p w14:paraId="6F3B4F62">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（7）</w:t>
      </w:r>
      <w:r>
        <w:rPr>
          <w:rFonts w:hint="eastAsia" w:ascii="宋体" w:hAnsi="宋体" w:eastAsia="宋体" w:cs="宋体"/>
          <w:color w:val="auto"/>
          <w:sz w:val="24"/>
          <w:szCs w:val="24"/>
          <w:highlight w:val="none"/>
          <w:lang w:val="en-US" w:eastAsia="zh-CN"/>
        </w:rPr>
        <w:t>信息系统项目管理师</w:t>
      </w:r>
      <w:r>
        <w:rPr>
          <w:rFonts w:hint="eastAsia" w:ascii="宋体" w:hAnsi="宋体" w:eastAsia="宋体" w:cs="宋体"/>
          <w:color w:val="auto"/>
          <w:sz w:val="24"/>
          <w:szCs w:val="24"/>
          <w:highlight w:val="none"/>
        </w:rPr>
        <w:t>证书</w:t>
      </w:r>
      <w:bookmarkStart w:id="64" w:name="OLE_LINK3"/>
      <w:r>
        <w:rPr>
          <w:rFonts w:hint="eastAsia" w:hAnsi="宋体" w:cs="宋体"/>
          <w:color w:val="auto"/>
          <w:sz w:val="24"/>
          <w:szCs w:val="24"/>
          <w:highlight w:val="none"/>
          <w:lang w:val="en-US" w:eastAsia="zh-CN"/>
        </w:rPr>
        <w:t>扫描件</w:t>
      </w:r>
      <w:bookmarkEnd w:id="64"/>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加盖公章，</w:t>
      </w:r>
      <w:bookmarkStart w:id="65" w:name="OLE_LINK2"/>
      <w:r>
        <w:rPr>
          <w:rFonts w:hint="eastAsia" w:hAnsi="宋体" w:cs="宋体"/>
          <w:color w:val="auto"/>
          <w:sz w:val="24"/>
          <w:szCs w:val="24"/>
          <w:highlight w:val="none"/>
          <w:lang w:val="en-US" w:eastAsia="zh-CN"/>
        </w:rPr>
        <w:t>如有请提供</w:t>
      </w:r>
      <w:bookmarkEnd w:id="65"/>
      <w:r>
        <w:rPr>
          <w:rFonts w:hint="eastAsia" w:hAnsi="宋体" w:cs="宋体"/>
          <w:color w:val="auto"/>
          <w:sz w:val="24"/>
          <w:szCs w:val="24"/>
          <w:highlight w:val="none"/>
          <w:lang w:eastAsia="zh-CN"/>
        </w:rPr>
        <w:t>）</w:t>
      </w:r>
      <w:r>
        <w:rPr>
          <w:rFonts w:hint="eastAsia" w:asciiTheme="minorEastAsia" w:hAnsiTheme="minorEastAsia" w:eastAsiaTheme="minorEastAsia"/>
          <w:color w:val="auto"/>
          <w:sz w:val="24"/>
          <w:highlight w:val="none"/>
        </w:rPr>
        <w:t>；</w:t>
      </w:r>
    </w:p>
    <w:p w14:paraId="53580D7F">
      <w:pPr>
        <w:pStyle w:val="32"/>
        <w:spacing w:line="360" w:lineRule="auto"/>
        <w:ind w:firstLine="480" w:firstLineChars="20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8</w:t>
      </w: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lang w:val="en-US" w:eastAsia="zh-CN"/>
        </w:rPr>
        <w:t xml:space="preserve"> </w:t>
      </w:r>
      <w:r>
        <w:rPr>
          <w:rFonts w:hint="eastAsia" w:ascii="宋体" w:hAnsi="宋体" w:eastAsia="宋体" w:cs="宋体"/>
          <w:color w:val="auto"/>
          <w:sz w:val="24"/>
          <w:szCs w:val="24"/>
          <w:highlight w:val="none"/>
        </w:rPr>
        <w:t>数据库系统工程师</w:t>
      </w:r>
      <w:r>
        <w:rPr>
          <w:rFonts w:hint="eastAsia" w:hAnsi="宋体" w:cs="宋体"/>
          <w:color w:val="auto"/>
          <w:sz w:val="24"/>
          <w:szCs w:val="24"/>
          <w:highlight w:val="none"/>
          <w:lang w:val="en-US" w:eastAsia="zh-CN"/>
        </w:rPr>
        <w:t>扫描件</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加盖公章，如有请提供</w:t>
      </w:r>
      <w:r>
        <w:rPr>
          <w:rFonts w:hint="eastAsia" w:hAnsi="宋体" w:cs="宋体"/>
          <w:color w:val="auto"/>
          <w:sz w:val="24"/>
          <w:szCs w:val="24"/>
          <w:highlight w:val="none"/>
          <w:lang w:eastAsia="zh-CN"/>
        </w:rPr>
        <w:t>）</w:t>
      </w:r>
      <w:r>
        <w:rPr>
          <w:rFonts w:hint="eastAsia" w:asciiTheme="minorEastAsia" w:hAnsiTheme="minorEastAsia" w:eastAsiaTheme="minorEastAsia"/>
          <w:color w:val="auto"/>
          <w:kern w:val="0"/>
          <w:sz w:val="24"/>
          <w:highlight w:val="none"/>
          <w:lang w:val="zh-CN"/>
        </w:rPr>
        <w:t>；</w:t>
      </w:r>
    </w:p>
    <w:p w14:paraId="77B6BB2B">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en-US" w:eastAsia="zh-CN"/>
        </w:rPr>
        <w:t>人员管理、保障方案</w:t>
      </w:r>
    </w:p>
    <w:p w14:paraId="6AB52161">
      <w:pPr>
        <w:pStyle w:val="32"/>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（10）</w:t>
      </w:r>
      <w:r>
        <w:rPr>
          <w:rFonts w:hint="eastAsia" w:ascii="宋体" w:hAnsi="宋体" w:eastAsia="宋体" w:cs="宋体"/>
          <w:color w:val="auto"/>
          <w:sz w:val="24"/>
          <w:highlight w:val="none"/>
          <w:lang w:val="en-US" w:eastAsia="zh-CN"/>
        </w:rPr>
        <w:t>项目实施进度计划</w:t>
      </w:r>
      <w:r>
        <w:rPr>
          <w:rFonts w:hint="eastAsia" w:ascii="宋体" w:hAnsi="宋体" w:eastAsia="宋体" w:cs="宋体"/>
          <w:color w:val="auto"/>
          <w:sz w:val="24"/>
          <w:highlight w:val="none"/>
          <w:lang w:val="zh-CN"/>
        </w:rPr>
        <w:t>；</w:t>
      </w:r>
    </w:p>
    <w:p w14:paraId="154D9B9F">
      <w:pPr>
        <w:pStyle w:val="32"/>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val="zh-CN"/>
        </w:rPr>
        <w:t>）</w:t>
      </w:r>
      <w:r>
        <w:rPr>
          <w:rFonts w:hint="eastAsia" w:hAnsi="宋体" w:cs="宋体"/>
          <w:color w:val="auto"/>
          <w:sz w:val="24"/>
          <w:highlight w:val="none"/>
          <w:lang w:val="en-US" w:eastAsia="zh-CN"/>
        </w:rPr>
        <w:t>项目</w:t>
      </w:r>
      <w:r>
        <w:rPr>
          <w:rFonts w:hint="eastAsia" w:ascii="宋体" w:hAnsi="宋体" w:eastAsia="宋体" w:cs="宋体"/>
          <w:color w:val="auto"/>
          <w:sz w:val="24"/>
          <w:highlight w:val="none"/>
          <w:lang w:val="zh-CN"/>
        </w:rPr>
        <w:t>服务方案</w:t>
      </w:r>
    </w:p>
    <w:p w14:paraId="0E17CED8">
      <w:pPr>
        <w:pStyle w:val="32"/>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12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服务保障方案；</w:t>
      </w:r>
    </w:p>
    <w:p w14:paraId="69B3E999">
      <w:pPr>
        <w:pStyle w:val="32"/>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（13）</w:t>
      </w:r>
      <w:r>
        <w:rPr>
          <w:rFonts w:hint="eastAsia" w:hAnsi="宋体" w:cs="宋体"/>
          <w:color w:val="auto"/>
          <w:sz w:val="24"/>
          <w:highlight w:val="none"/>
          <w:lang w:val="en-US" w:eastAsia="zh-CN"/>
        </w:rPr>
        <w:t>培训方案；</w:t>
      </w:r>
    </w:p>
    <w:p w14:paraId="462DC07E">
      <w:pPr>
        <w:pStyle w:val="32"/>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14）</w:t>
      </w:r>
      <w:r>
        <w:rPr>
          <w:rFonts w:hint="eastAsia" w:ascii="宋体" w:hAnsi="宋体" w:eastAsia="宋体" w:cs="宋体"/>
          <w:color w:val="auto"/>
          <w:sz w:val="24"/>
          <w:highlight w:val="none"/>
          <w:lang w:val="en-US" w:eastAsia="zh-CN"/>
        </w:rPr>
        <w:t>考核应对措施</w:t>
      </w:r>
      <w:r>
        <w:rPr>
          <w:rFonts w:hint="eastAsia" w:ascii="宋体" w:hAnsi="宋体" w:eastAsia="宋体" w:cs="宋体"/>
          <w:color w:val="auto"/>
          <w:sz w:val="24"/>
          <w:highlight w:val="none"/>
          <w:lang w:val="zh-CN"/>
        </w:rPr>
        <w:t>；</w:t>
      </w:r>
    </w:p>
    <w:p w14:paraId="2C7FA865">
      <w:pPr>
        <w:pStyle w:val="32"/>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突发事件预测及应急处理预案</w:t>
      </w:r>
      <w:r>
        <w:rPr>
          <w:rFonts w:hint="eastAsia" w:ascii="宋体" w:hAnsi="宋体" w:eastAsia="宋体" w:cs="宋体"/>
          <w:color w:val="auto"/>
          <w:sz w:val="24"/>
          <w:highlight w:val="none"/>
          <w:lang w:val="en-US" w:eastAsia="zh-CN"/>
        </w:rPr>
        <w:t>；</w:t>
      </w:r>
    </w:p>
    <w:p w14:paraId="7B0F5D4D">
      <w:pPr>
        <w:pStyle w:val="32"/>
        <w:spacing w:line="360" w:lineRule="auto"/>
        <w:ind w:firstLine="480" w:firstLineChars="200"/>
        <w:rPr>
          <w:rFonts w:hint="eastAsia" w:ascii="宋体" w:hAnsi="宋体" w:eastAsia="宋体" w:cs="宋体"/>
          <w:color w:val="auto"/>
          <w:sz w:val="24"/>
          <w:highlight w:val="none"/>
        </w:rPr>
      </w:pPr>
      <w:r>
        <w:rPr>
          <w:rFonts w:hint="eastAsia" w:hAnsi="宋体" w:cs="宋体"/>
          <w:color w:val="auto"/>
          <w:sz w:val="24"/>
          <w:highlight w:val="none"/>
          <w:lang w:eastAsia="zh-CN"/>
        </w:rPr>
        <w:t>（</w:t>
      </w:r>
      <w:r>
        <w:rPr>
          <w:rFonts w:hint="eastAsia" w:hAnsi="宋体" w:cs="宋体"/>
          <w:color w:val="auto"/>
          <w:sz w:val="24"/>
          <w:highlight w:val="none"/>
          <w:lang w:val="en-US" w:eastAsia="zh-CN"/>
        </w:rPr>
        <w:t>16</w:t>
      </w:r>
      <w:r>
        <w:rPr>
          <w:rFonts w:hint="eastAsia" w:hAnsi="宋体" w:cs="宋体"/>
          <w:color w:val="auto"/>
          <w:sz w:val="24"/>
          <w:highlight w:val="none"/>
          <w:lang w:eastAsia="zh-CN"/>
        </w:rPr>
        <w:t>）</w:t>
      </w:r>
      <w:r>
        <w:rPr>
          <w:rFonts w:hint="eastAsia" w:ascii="宋体" w:hAnsi="宋体" w:eastAsia="宋体" w:cs="宋体"/>
          <w:color w:val="auto"/>
          <w:sz w:val="24"/>
          <w:highlight w:val="none"/>
        </w:rPr>
        <w:t>重难点分析及解决方案</w:t>
      </w:r>
      <w:r>
        <w:rPr>
          <w:rFonts w:hint="eastAsia" w:ascii="宋体" w:hAnsi="宋体" w:eastAsia="宋体" w:cs="宋体"/>
          <w:color w:val="auto"/>
          <w:sz w:val="24"/>
          <w:highlight w:val="none"/>
          <w:lang w:val="zh-CN"/>
        </w:rPr>
        <w:t>；</w:t>
      </w:r>
    </w:p>
    <w:p w14:paraId="0B87D87B">
      <w:pPr>
        <w:pStyle w:val="32"/>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1</w:t>
      </w:r>
      <w:r>
        <w:rPr>
          <w:rFonts w:hint="eastAsia" w:hAnsi="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r>
        <w:rPr>
          <w:rFonts w:hint="eastAsia" w:ascii="宋体" w:hAnsi="宋体" w:eastAsia="宋体" w:cs="宋体"/>
          <w:color w:val="auto"/>
          <w:sz w:val="24"/>
          <w:highlight w:val="none"/>
          <w:lang w:eastAsia="zh-CN"/>
        </w:rPr>
        <w:t>。</w:t>
      </w:r>
    </w:p>
    <w:p w14:paraId="12144329">
      <w:pPr>
        <w:pStyle w:val="32"/>
        <w:spacing w:line="360" w:lineRule="auto"/>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2.3报价文件</w:t>
      </w:r>
    </w:p>
    <w:p w14:paraId="0269EC9B">
      <w:pPr>
        <w:pStyle w:val="32"/>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（1）初次报价一览表</w:t>
      </w:r>
      <w:r>
        <w:rPr>
          <w:rFonts w:hint="eastAsia" w:hAnsi="宋体" w:cs="宋体"/>
          <w:color w:val="auto"/>
          <w:sz w:val="24"/>
          <w:highlight w:val="none"/>
        </w:rPr>
        <w:t>（</w:t>
      </w:r>
      <w:r>
        <w:rPr>
          <w:rFonts w:hint="eastAsia" w:cs="Arial" w:asciiTheme="minorEastAsia" w:hAnsiTheme="minorEastAsia" w:eastAsiaTheme="minorEastAsia"/>
          <w:color w:val="auto"/>
          <w:sz w:val="24"/>
          <w:highlight w:val="none"/>
        </w:rPr>
        <w:t>格式见第七部分</w:t>
      </w:r>
      <w:r>
        <w:rPr>
          <w:rFonts w:hint="eastAsia" w:hAnsi="宋体" w:cs="宋体"/>
          <w:color w:val="auto"/>
          <w:sz w:val="24"/>
          <w:highlight w:val="none"/>
        </w:rPr>
        <w:t>）</w:t>
      </w:r>
      <w:r>
        <w:rPr>
          <w:rFonts w:hint="eastAsia" w:asciiTheme="minorEastAsia" w:hAnsiTheme="minorEastAsia" w:eastAsiaTheme="minorEastAsia"/>
          <w:color w:val="auto"/>
          <w:sz w:val="24"/>
          <w:highlight w:val="none"/>
        </w:rPr>
        <w:t>；</w:t>
      </w:r>
    </w:p>
    <w:p w14:paraId="3F06A9D0">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（2）报价明细表</w:t>
      </w:r>
      <w:r>
        <w:rPr>
          <w:rFonts w:hint="eastAsia" w:hAnsi="宋体" w:cs="宋体"/>
          <w:color w:val="auto"/>
          <w:sz w:val="24"/>
          <w:highlight w:val="none"/>
        </w:rPr>
        <w:t>（</w:t>
      </w:r>
      <w:r>
        <w:rPr>
          <w:rFonts w:hint="eastAsia" w:cs="Arial" w:asciiTheme="minorEastAsia" w:hAnsiTheme="minorEastAsia" w:eastAsiaTheme="minorEastAsia"/>
          <w:color w:val="auto"/>
          <w:sz w:val="24"/>
          <w:highlight w:val="none"/>
        </w:rPr>
        <w:t>格式见第七部分</w:t>
      </w:r>
      <w:r>
        <w:rPr>
          <w:rFonts w:hint="eastAsia" w:hAnsi="宋体" w:cs="宋体"/>
          <w:color w:val="auto"/>
          <w:sz w:val="24"/>
          <w:highlight w:val="none"/>
        </w:rPr>
        <w:t>）</w:t>
      </w:r>
      <w:r>
        <w:rPr>
          <w:rFonts w:hint="eastAsia" w:asciiTheme="minorEastAsia" w:hAnsiTheme="minorEastAsia" w:eastAsiaTheme="minorEastAsia"/>
          <w:color w:val="auto"/>
          <w:sz w:val="24"/>
          <w:highlight w:val="none"/>
        </w:rPr>
        <w:t>；</w:t>
      </w:r>
    </w:p>
    <w:p w14:paraId="0969C078">
      <w:pPr>
        <w:pStyle w:val="32"/>
        <w:spacing w:line="360" w:lineRule="auto"/>
        <w:ind w:firstLine="480"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（3）其他资料（如有）。</w:t>
      </w:r>
    </w:p>
    <w:p w14:paraId="66A0E35C">
      <w:pPr>
        <w:pStyle w:val="32"/>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1E2A9799">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21F872B9">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77A9A45A">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3A67F578">
      <w:pPr>
        <w:pStyle w:val="398"/>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7BA24339">
      <w:pPr>
        <w:pStyle w:val="398"/>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317557F7">
      <w:pPr>
        <w:pStyle w:val="398"/>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7BC81D50">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5EB49980">
      <w:pPr>
        <w:pStyle w:val="398"/>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1FBF8621">
      <w:pPr>
        <w:pStyle w:val="398"/>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81EC39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383F071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049C694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3129189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4A475465">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7431F85E">
      <w:pPr>
        <w:pStyle w:val="3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供应商在电子交易平台传输提交响应文件后，还可以在响应截止时间前直接提交或者以邮寄方式递交备份响应文件1份，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4C89B572">
      <w:pPr>
        <w:pStyle w:val="3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w:t>
      </w:r>
      <w:r>
        <w:rPr>
          <w:rFonts w:hint="eastAsia" w:asciiTheme="minorEastAsia" w:hAnsiTheme="minorEastAsia" w:eastAsiaTheme="minorEastAsia"/>
          <w:b/>
          <w:color w:val="auto"/>
          <w:sz w:val="24"/>
          <w:highlight w:val="none"/>
          <w:u w:val="single"/>
        </w:rPr>
        <w:t>U盘</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56256EE4">
      <w:pPr>
        <w:pStyle w:val="21"/>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2.3 直接提交备份响应文件的，根据</w:t>
      </w:r>
      <w:r>
        <w:rPr>
          <w:rFonts w:hint="eastAsia" w:cs="宋体" w:asciiTheme="minorEastAsia" w:hAnsiTheme="minorEastAsia" w:eastAsiaTheme="minorEastAsia"/>
          <w:color w:val="auto"/>
          <w:sz w:val="24"/>
          <w:highlight w:val="none"/>
        </w:rPr>
        <w:t>磋商文件第三部分供应商须知前附表规定</w:t>
      </w:r>
      <w:r>
        <w:rPr>
          <w:rFonts w:hint="eastAsia" w:cs="仿宋_GB2312" w:asciiTheme="minorEastAsia" w:hAnsiTheme="minorEastAsia" w:eastAsiaTheme="minorEastAsia"/>
          <w:color w:val="auto"/>
          <w:sz w:val="24"/>
          <w:highlight w:val="none"/>
        </w:rPr>
        <w:t>提交给采购代理机构，采购代理机构将拒绝接受逾期送达的备份响应文件。</w:t>
      </w:r>
    </w:p>
    <w:p w14:paraId="40395D20">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寄方式递交备份响应文件的，供应商应先将备份响应文件按要求密封和标记，再进行快递包装后邮寄。备份响应文件须在采购文件第三部分供应商须知前附表中载明的截止时间之前送达到规定的地点；送达时间以签收人签收时间为准。采购代理机构将拒绝接受逾期送达的备份响应文件。邮寄过程中，电子备份响应文件发生泄露、遗失、损坏或延期送达等情况的，由供应商自行负责。</w:t>
      </w:r>
    </w:p>
    <w:p w14:paraId="3D42874B">
      <w:pPr>
        <w:pStyle w:val="32"/>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0A293143">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28AD3BDB">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3AFBD17F">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4109CF85">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41FEB6D0">
      <w:pPr>
        <w:pStyle w:val="32"/>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41B6AF04">
      <w:pPr>
        <w:pStyle w:val="398"/>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16DD4A2B">
      <w:pPr>
        <w:pStyle w:val="398"/>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41DF3B2E">
      <w:pPr>
        <w:pStyle w:val="398"/>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01324DCB">
      <w:pPr>
        <w:pStyle w:val="398"/>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549BD871">
      <w:pPr>
        <w:pStyle w:val="398"/>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B1167B4">
      <w:pPr>
        <w:pStyle w:val="32"/>
        <w:spacing w:line="360" w:lineRule="auto"/>
        <w:rPr>
          <w:rFonts w:cs="仿宋_GB2312" w:asciiTheme="minorEastAsia" w:hAnsiTheme="minorEastAsia" w:eastAsiaTheme="minorEastAsia"/>
          <w:b/>
          <w:color w:val="auto"/>
          <w:sz w:val="24"/>
          <w:szCs w:val="24"/>
          <w:highlight w:val="none"/>
        </w:rPr>
      </w:pPr>
    </w:p>
    <w:p w14:paraId="474A4F6D">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九、提交最后报价</w:t>
      </w:r>
    </w:p>
    <w:p w14:paraId="6D5F4CE1">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237801F3">
      <w:pPr>
        <w:adjustRightInd/>
        <w:spacing w:line="360" w:lineRule="auto"/>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color w:val="auto"/>
          <w:sz w:val="24"/>
          <w:highlight w:val="none"/>
        </w:rPr>
        <w:t>1.1供应商在政采云平台上提交最后报价。</w:t>
      </w:r>
    </w:p>
    <w:p w14:paraId="055C4454">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356E0A3E">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517225C2">
      <w:pPr>
        <w:pStyle w:val="398"/>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5D2F9A3F">
      <w:pPr>
        <w:pStyle w:val="398"/>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2222823D">
      <w:pPr>
        <w:pStyle w:val="398"/>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具体见磋商文件第五部分“评审方法及评审标准”。</w:t>
      </w:r>
    </w:p>
    <w:p w14:paraId="055D37C2">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p>
    <w:p w14:paraId="2918C4EC">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3EE0FD75">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68D22ED5">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4231F55F">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66B6080F">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305E23C8">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4402CC28">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rPr>
        <w:t>采购代理机构</w:t>
      </w:r>
      <w:r>
        <w:rPr>
          <w:rFonts w:hint="eastAsia" w:ascii="宋体" w:hAnsi="宋体" w:cs="宋体"/>
          <w:color w:val="auto"/>
          <w:sz w:val="24"/>
          <w:highlight w:val="none"/>
        </w:rPr>
        <w:t>也可以以纸质形式进行成交通知。</w:t>
      </w:r>
    </w:p>
    <w:p w14:paraId="479F2675">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采购人及其委托的采购代理机构的名称、地址、联系方式，项目名称和项目编号，成交人名称、地址和成交金额，主要中标标的的名称、规格型号、数量、单价、服务要求，开标记录、</w:t>
      </w:r>
      <w:bookmarkStart w:id="66" w:name="_Hlk101184471"/>
      <w:r>
        <w:rPr>
          <w:rFonts w:hint="eastAsia" w:cs="宋体" w:asciiTheme="minorEastAsia" w:hAnsiTheme="minorEastAsia" w:eastAsiaTheme="minorEastAsia"/>
          <w:color w:val="auto"/>
          <w:sz w:val="24"/>
          <w:highlight w:val="none"/>
        </w:rPr>
        <w:t>资格审查情况、评审专家抽取规则、符合性审查情况、</w:t>
      </w:r>
      <w:bookmarkEnd w:id="66"/>
      <w:r>
        <w:rPr>
          <w:rFonts w:hint="eastAsia" w:cs="宋体" w:asciiTheme="minorEastAsia" w:hAnsiTheme="minorEastAsia" w:eastAsiaTheme="minorEastAsia"/>
          <w:color w:val="auto"/>
          <w:sz w:val="24"/>
          <w:highlight w:val="none"/>
        </w:rPr>
        <w:t>未成交情况说明、成交公告期限以及评审专家名单、评分汇总及明细。</w:t>
      </w:r>
    </w:p>
    <w:p w14:paraId="033833B6">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3506CFE5">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3B1666BA">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十二、合同</w:t>
      </w:r>
    </w:p>
    <w:p w14:paraId="6BB685EB">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具体见“第六部分拟签订的合同文本”。</w:t>
      </w:r>
    </w:p>
    <w:p w14:paraId="5C5DF6AA">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5656686B">
      <w:pPr>
        <w:widowControl/>
        <w:spacing w:line="360" w:lineRule="auto"/>
        <w:ind w:firstLine="48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szCs w:val="20"/>
          <w:highlight w:val="none"/>
          <w:lang w:val="zh-CN" w:eastAsia="zh-CN" w:bidi="ar-SA"/>
        </w:rPr>
        <w:t>2.1除不</w:t>
      </w:r>
      <w:r>
        <w:rPr>
          <w:rFonts w:hint="eastAsia" w:cs="宋体" w:asciiTheme="minorEastAsia" w:hAnsiTheme="minorEastAsia" w:eastAsiaTheme="minorEastAsia"/>
          <w:color w:val="auto"/>
          <w:kern w:val="0"/>
          <w:sz w:val="24"/>
          <w:highlight w:val="none"/>
        </w:rPr>
        <w:t>可抗力等特殊情况外，采购人应当在成交通知书发出之日起</w:t>
      </w:r>
      <w:r>
        <w:rPr>
          <w:rFonts w:hint="eastAsia" w:cs="宋体" w:asciiTheme="minorEastAsia" w:hAnsiTheme="minorEastAsia" w:eastAsiaTheme="minorEastAsia"/>
          <w:color w:val="auto"/>
          <w:kern w:val="0"/>
          <w:sz w:val="24"/>
          <w:highlight w:val="none"/>
          <w:lang w:val="en-US" w:eastAsia="zh-CN"/>
        </w:rPr>
        <w:t>30日</w:t>
      </w:r>
      <w:r>
        <w:rPr>
          <w:rFonts w:hint="eastAsia" w:cs="宋体" w:asciiTheme="minorEastAsia" w:hAnsiTheme="minorEastAsia" w:eastAsiaTheme="minorEastAsia"/>
          <w:color w:val="auto"/>
          <w:kern w:val="0"/>
          <w:sz w:val="24"/>
          <w:highlight w:val="none"/>
        </w:rPr>
        <w:t>内，与成交供应商按照磋商文件确定的事项签订政府采购合同，并在签订之日起2个工作日内将政府采购合同在浙江政府采购网上公告。</w:t>
      </w:r>
    </w:p>
    <w:p w14:paraId="5C2AE9B5">
      <w:pPr>
        <w:pStyle w:val="398"/>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3BAE008E">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2228396">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C558859">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00022859">
      <w:pPr>
        <w:pStyle w:val="398"/>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716B626E">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287D390A">
      <w:pPr>
        <w:tabs>
          <w:tab w:val="left" w:pos="0"/>
        </w:tabs>
        <w:spacing w:line="360" w:lineRule="auto"/>
        <w:ind w:firstLine="482"/>
        <w:rPr>
          <w:rFonts w:cs="宋体" w:asciiTheme="minorEastAsia" w:hAnsiTheme="minorEastAsia"/>
          <w:snapToGrid w:val="0"/>
          <w:color w:val="auto"/>
          <w:kern w:val="28"/>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。履约保证金的数额为政府采购合同金额的1%</w:t>
      </w:r>
      <w:r>
        <w:rPr>
          <w:rFonts w:hint="eastAsia" w:ascii="宋体" w:hAnsi="宋体" w:cs="宋体"/>
          <w:color w:val="auto"/>
          <w:sz w:val="24"/>
          <w:highlight w:val="none"/>
        </w:rPr>
        <w:t>。</w:t>
      </w:r>
    </w:p>
    <w:p w14:paraId="624BC27A">
      <w:pPr>
        <w:tabs>
          <w:tab w:val="left" w:pos="0"/>
        </w:tabs>
        <w:spacing w:line="360" w:lineRule="auto"/>
        <w:rPr>
          <w:rFonts w:cs="宋体" w:asciiTheme="minorEastAsia" w:hAnsiTheme="minorEastAsia" w:eastAsiaTheme="minorEastAsia"/>
          <w:snapToGrid w:val="0"/>
          <w:color w:val="auto"/>
          <w:kern w:val="28"/>
          <w:sz w:val="24"/>
          <w:highlight w:val="none"/>
        </w:rPr>
      </w:pPr>
    </w:p>
    <w:p w14:paraId="2613F3B0">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2"/>
          <w:szCs w:val="20"/>
          <w:highlight w:val="none"/>
        </w:rPr>
        <w:t>十三、验收</w:t>
      </w:r>
    </w:p>
    <w:p w14:paraId="1018DC36">
      <w:pPr>
        <w:pStyle w:val="24"/>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5563617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9AD605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53DD4FF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A13A34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A159FA9">
      <w:pPr>
        <w:snapToGrid w:val="0"/>
        <w:spacing w:line="360" w:lineRule="auto"/>
        <w:jc w:val="center"/>
        <w:rPr>
          <w:rFonts w:cs="仿宋_GB2312" w:asciiTheme="minorEastAsia" w:hAnsiTheme="minorEastAsia" w:eastAsiaTheme="minorEastAsia"/>
          <w:b/>
          <w:color w:val="auto"/>
          <w:sz w:val="36"/>
          <w:szCs w:val="36"/>
          <w:highlight w:val="none"/>
        </w:rPr>
      </w:pPr>
    </w:p>
    <w:p w14:paraId="1A667F46">
      <w:pPr>
        <w:snapToGrid w:val="0"/>
        <w:spacing w:line="360" w:lineRule="auto"/>
        <w:jc w:val="center"/>
        <w:outlineLvl w:val="0"/>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十四、电子交易活动的中止</w:t>
      </w:r>
    </w:p>
    <w:p w14:paraId="13BF3C12">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0BA8D883">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752AEE21">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3615EC1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5018E8EE">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7F262615">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16012A5F">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0B6E9C70">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3"/>
      <w:bookmarkStart w:id="67" w:name="_Hlt75236101"/>
      <w:bookmarkEnd w:id="67"/>
      <w:bookmarkStart w:id="68" w:name="_Hlt68072990"/>
      <w:bookmarkEnd w:id="68"/>
      <w:bookmarkStart w:id="69" w:name="_Hlt75236290"/>
      <w:bookmarkEnd w:id="69"/>
      <w:bookmarkStart w:id="70" w:name="_Hlt74707468"/>
      <w:bookmarkEnd w:id="70"/>
      <w:bookmarkStart w:id="71" w:name="_Hlt68057669"/>
      <w:bookmarkEnd w:id="71"/>
      <w:bookmarkStart w:id="72" w:name="_Hlt74714665"/>
      <w:bookmarkEnd w:id="72"/>
      <w:bookmarkStart w:id="73" w:name="_Hlt75236011"/>
      <w:bookmarkEnd w:id="73"/>
      <w:bookmarkStart w:id="74" w:name="_Hlt74729768"/>
      <w:bookmarkEnd w:id="74"/>
      <w:bookmarkStart w:id="75" w:name="_Hlt74730295"/>
      <w:bookmarkEnd w:id="75"/>
      <w:bookmarkStart w:id="76" w:name="_Toc164416483"/>
      <w:bookmarkStart w:id="77" w:name="第三部分"/>
    </w:p>
    <w:p w14:paraId="7F2A6696">
      <w:pPr>
        <w:adjustRightInd/>
        <w:spacing w:line="360" w:lineRule="auto"/>
        <w:jc w:val="center"/>
        <w:outlineLvl w:val="0"/>
        <w:rPr>
          <w:rFonts w:cs="仿宋_GB2312" w:asciiTheme="minorEastAsia" w:hAnsiTheme="minorEastAsia" w:eastAsiaTheme="minorEastAsia"/>
          <w:b/>
          <w:color w:val="auto"/>
          <w:sz w:val="36"/>
          <w:szCs w:val="36"/>
          <w:highlight w:val="none"/>
        </w:rPr>
        <w:sectPr>
          <w:headerReference r:id="rId8" w:type="default"/>
          <w:footerReference r:id="rId9" w:type="default"/>
          <w:pgSz w:w="11907" w:h="16840"/>
          <w:pgMar w:top="1440" w:right="1800" w:bottom="1440" w:left="1800" w:header="851" w:footer="851" w:gutter="0"/>
          <w:pgBorders>
            <w:top w:val="none" w:sz="0" w:space="0"/>
            <w:left w:val="none" w:sz="0" w:space="0"/>
            <w:bottom w:val="none" w:sz="0" w:space="0"/>
            <w:right w:val="none" w:sz="0" w:space="0"/>
          </w:pgBorders>
          <w:pgNumType w:fmt="decimal"/>
          <w:cols w:space="720" w:num="1"/>
        </w:sectPr>
      </w:pPr>
    </w:p>
    <w:p w14:paraId="19697209">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7987C4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根据宁波市公安局鄞州分局的业务需求，拟采购宁波市鄞州区公安分局智安小区感知及联网服务，服务采购需求如下。</w:t>
      </w:r>
    </w:p>
    <w:p w14:paraId="4BF555DF">
      <w:pPr>
        <w:pStyle w:val="4"/>
        <w:keepNext/>
        <w:keepLines w:val="0"/>
        <w:pageBreakBefore w:val="0"/>
        <w:widowControl w:val="0"/>
        <w:numPr>
          <w:ilvl w:val="0"/>
          <w:numId w:val="11"/>
        </w:numPr>
        <w:kinsoku/>
        <w:wordWrap/>
        <w:overflowPunct/>
        <w:topLinePunct w:val="0"/>
        <w:autoSpaceDE/>
        <w:autoSpaceDN/>
        <w:bidi w:val="0"/>
        <w:adjustRightInd/>
        <w:snapToGrid/>
        <w:spacing w:after="0" w:line="360" w:lineRule="auto"/>
        <w:ind w:left="0" w:leftChars="0" w:firstLine="482"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服务内容</w:t>
      </w:r>
    </w:p>
    <w:p w14:paraId="127D5A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该服务为满足智安小区建设的业务需求。依托</w:t>
      </w:r>
      <w:r>
        <w:rPr>
          <w:rFonts w:hint="eastAsia" w:ascii="宋体" w:hAnsi="宋体" w:cs="宋体"/>
          <w:color w:val="auto"/>
          <w:sz w:val="24"/>
          <w:szCs w:val="24"/>
          <w:highlight w:val="none"/>
          <w:lang w:val="en-US" w:eastAsia="zh-CN"/>
        </w:rPr>
        <w:t>RL</w:t>
      </w:r>
      <w:r>
        <w:rPr>
          <w:rFonts w:hint="eastAsia" w:ascii="宋体" w:hAnsi="宋体" w:eastAsia="宋体" w:cs="宋体"/>
          <w:color w:val="auto"/>
          <w:sz w:val="24"/>
          <w:szCs w:val="24"/>
          <w:highlight w:val="none"/>
          <w:lang w:val="en-US" w:eastAsia="zh-CN"/>
        </w:rPr>
        <w:t>抓拍机、车脸抓拍机等智能化设备以及社区治理管理、警务通等功能，满足进一步提升我区社会治理平安建设整体水平的要求。</w:t>
      </w:r>
    </w:p>
    <w:p w14:paraId="151A0213">
      <w:pPr>
        <w:pStyle w:val="4"/>
        <w:keepNext/>
        <w:keepLines w:val="0"/>
        <w:pageBreakBefore w:val="0"/>
        <w:widowControl w:val="0"/>
        <w:numPr>
          <w:ilvl w:val="0"/>
          <w:numId w:val="0"/>
        </w:numPr>
        <w:kinsoku/>
        <w:wordWrap/>
        <w:overflowPunct/>
        <w:topLinePunct w:val="0"/>
        <w:autoSpaceDE/>
        <w:autoSpaceDN/>
        <w:bidi w:val="0"/>
        <w:adjustRightInd/>
        <w:snapToGrid/>
        <w:spacing w:after="100" w:line="360" w:lineRule="auto"/>
        <w:ind w:firstLine="482"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（一）服务清单</w:t>
      </w:r>
    </w:p>
    <w:tbl>
      <w:tblPr>
        <w:tblStyle w:val="62"/>
        <w:tblW w:w="9435"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070"/>
        <w:gridCol w:w="6585"/>
      </w:tblGrid>
      <w:tr w14:paraId="24DE6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trPr>
        <w:tc>
          <w:tcPr>
            <w:tcW w:w="780" w:type="dxa"/>
            <w:vAlign w:val="center"/>
          </w:tcPr>
          <w:p w14:paraId="32A45B4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2070" w:type="dxa"/>
            <w:vAlign w:val="center"/>
          </w:tcPr>
          <w:p w14:paraId="36B7286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服务内容</w:t>
            </w:r>
          </w:p>
        </w:tc>
        <w:tc>
          <w:tcPr>
            <w:tcW w:w="6585" w:type="dxa"/>
            <w:vAlign w:val="center"/>
          </w:tcPr>
          <w:p w14:paraId="724DAFE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详情</w:t>
            </w:r>
          </w:p>
        </w:tc>
      </w:tr>
      <w:tr w14:paraId="5B46F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518BDCF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2070" w:type="dxa"/>
            <w:vAlign w:val="center"/>
          </w:tcPr>
          <w:p w14:paraId="0DC8855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管理端-社区管控</w:t>
            </w:r>
          </w:p>
        </w:tc>
        <w:tc>
          <w:tcPr>
            <w:tcW w:w="6585" w:type="dxa"/>
            <w:vAlign w:val="center"/>
          </w:tcPr>
          <w:p w14:paraId="1DE30E2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包含常落未登记人员、外来人员、涉毒人员、社区矫正人员、频繁夜归、涉赌人员等功能。</w:t>
            </w:r>
          </w:p>
        </w:tc>
      </w:tr>
      <w:tr w14:paraId="6C9E6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202692C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2070" w:type="dxa"/>
            <w:vAlign w:val="center"/>
          </w:tcPr>
          <w:p w14:paraId="49428CD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管理端－社区关怀</w:t>
            </w:r>
          </w:p>
        </w:tc>
        <w:tc>
          <w:tcPr>
            <w:tcW w:w="6585" w:type="dxa"/>
            <w:vAlign w:val="center"/>
          </w:tcPr>
          <w:p w14:paraId="57FB7CD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包含精神病人管控、独居老人管控、信访人员管控等功能。</w:t>
            </w:r>
          </w:p>
        </w:tc>
      </w:tr>
      <w:tr w14:paraId="1541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556A3CB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2070" w:type="dxa"/>
            <w:vAlign w:val="center"/>
          </w:tcPr>
          <w:p w14:paraId="1137285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管理端-人口管理</w:t>
            </w:r>
          </w:p>
        </w:tc>
        <w:tc>
          <w:tcPr>
            <w:tcW w:w="6585" w:type="dxa"/>
            <w:vAlign w:val="center"/>
          </w:tcPr>
          <w:p w14:paraId="57AAB97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包含实有人口管理、人口标签库等功能。</w:t>
            </w:r>
          </w:p>
        </w:tc>
      </w:tr>
      <w:tr w14:paraId="4E5AE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37C22DF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2070" w:type="dxa"/>
            <w:vAlign w:val="center"/>
          </w:tcPr>
          <w:p w14:paraId="552925A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管理端-车辆管理</w:t>
            </w:r>
          </w:p>
        </w:tc>
        <w:tc>
          <w:tcPr>
            <w:tcW w:w="6585" w:type="dxa"/>
            <w:vAlign w:val="center"/>
          </w:tcPr>
          <w:p w14:paraId="5EA1714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包含车辆档案管理、人车匹配管理等功能。</w:t>
            </w:r>
          </w:p>
        </w:tc>
      </w:tr>
      <w:tr w14:paraId="7CF1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2003A4F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c>
          <w:tcPr>
            <w:tcW w:w="2070" w:type="dxa"/>
            <w:vAlign w:val="center"/>
          </w:tcPr>
          <w:p w14:paraId="482D99D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管理端－车行系统</w:t>
            </w:r>
          </w:p>
        </w:tc>
        <w:tc>
          <w:tcPr>
            <w:tcW w:w="6585" w:type="dxa"/>
            <w:vAlign w:val="center"/>
          </w:tcPr>
          <w:p w14:paraId="62D5BF9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包含车辆进场记录、车辆出场记录、车行态势分析等功能。</w:t>
            </w:r>
          </w:p>
        </w:tc>
      </w:tr>
      <w:tr w14:paraId="1B27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7339421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w:t>
            </w:r>
          </w:p>
        </w:tc>
        <w:tc>
          <w:tcPr>
            <w:tcW w:w="2070" w:type="dxa"/>
            <w:vAlign w:val="center"/>
          </w:tcPr>
          <w:p w14:paraId="65CB6E7E">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管理端-人行系统</w:t>
            </w:r>
          </w:p>
        </w:tc>
        <w:tc>
          <w:tcPr>
            <w:tcW w:w="6585" w:type="dxa"/>
            <w:vAlign w:val="center"/>
          </w:tcPr>
          <w:p w14:paraId="4AF870F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包含大门出入记录、单元门出入记录、人行态势分析等功能。</w:t>
            </w:r>
          </w:p>
        </w:tc>
      </w:tr>
      <w:tr w14:paraId="6681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6D6A78C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w:t>
            </w:r>
          </w:p>
        </w:tc>
        <w:tc>
          <w:tcPr>
            <w:tcW w:w="2070" w:type="dxa"/>
            <w:vAlign w:val="center"/>
          </w:tcPr>
          <w:p w14:paraId="447A560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管理端－模型</w:t>
            </w:r>
          </w:p>
        </w:tc>
        <w:tc>
          <w:tcPr>
            <w:tcW w:w="6585" w:type="dxa"/>
            <w:vAlign w:val="center"/>
          </w:tcPr>
          <w:p w14:paraId="2DF3CBB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包含常住人口研判模型、暂住人口未登记研判模型、小区人员异常进出研判模型、出租房未登记研判、群租房分析模型、尾随进入研判模型、人员异常模型。</w:t>
            </w:r>
          </w:p>
        </w:tc>
      </w:tr>
      <w:tr w14:paraId="7C704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08730A2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8</w:t>
            </w:r>
          </w:p>
        </w:tc>
        <w:tc>
          <w:tcPr>
            <w:tcW w:w="2070" w:type="dxa"/>
            <w:vAlign w:val="center"/>
          </w:tcPr>
          <w:p w14:paraId="0A6DC49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管理端－系统管理</w:t>
            </w:r>
          </w:p>
        </w:tc>
        <w:tc>
          <w:tcPr>
            <w:tcW w:w="6585" w:type="dxa"/>
            <w:vAlign w:val="center"/>
          </w:tcPr>
          <w:p w14:paraId="36A9C31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包含后台管理、安全审计等功能。</w:t>
            </w:r>
          </w:p>
        </w:tc>
      </w:tr>
      <w:tr w14:paraId="4F4D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30B2350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9</w:t>
            </w:r>
          </w:p>
        </w:tc>
        <w:tc>
          <w:tcPr>
            <w:tcW w:w="2070" w:type="dxa"/>
            <w:vAlign w:val="center"/>
          </w:tcPr>
          <w:p w14:paraId="7F391D7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警务通-数据展示</w:t>
            </w:r>
          </w:p>
        </w:tc>
        <w:tc>
          <w:tcPr>
            <w:tcW w:w="6585" w:type="dxa"/>
            <w:vAlign w:val="center"/>
          </w:tcPr>
          <w:p w14:paraId="5A9E1F2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包含待办事项、告警信息、分析等功能。</w:t>
            </w:r>
          </w:p>
        </w:tc>
      </w:tr>
      <w:tr w14:paraId="1BF4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7C2A990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w:t>
            </w:r>
          </w:p>
        </w:tc>
        <w:tc>
          <w:tcPr>
            <w:tcW w:w="2070" w:type="dxa"/>
            <w:vAlign w:val="center"/>
          </w:tcPr>
          <w:p w14:paraId="565D9C1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警务通-人口管理</w:t>
            </w:r>
          </w:p>
        </w:tc>
        <w:tc>
          <w:tcPr>
            <w:tcW w:w="6585" w:type="dxa"/>
            <w:vAlign w:val="center"/>
          </w:tcPr>
          <w:p w14:paraId="5CD118C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包含常落未登记人口、信访人口、精神病人、老年人关怀、频繁夜归等功能。</w:t>
            </w:r>
          </w:p>
        </w:tc>
      </w:tr>
      <w:tr w14:paraId="7C783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2E58D8A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11</w:t>
            </w:r>
          </w:p>
        </w:tc>
        <w:tc>
          <w:tcPr>
            <w:tcW w:w="2070" w:type="dxa"/>
            <w:vAlign w:val="center"/>
          </w:tcPr>
          <w:p w14:paraId="27C5504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中间件数据服务平台</w:t>
            </w:r>
          </w:p>
        </w:tc>
        <w:tc>
          <w:tcPr>
            <w:tcW w:w="6585" w:type="dxa"/>
            <w:vAlign w:val="center"/>
          </w:tcPr>
          <w:p w14:paraId="1505471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包含社区</w:t>
            </w:r>
            <w:bookmarkStart w:id="78" w:name="OLE_LINK27"/>
            <w:r>
              <w:rPr>
                <w:rFonts w:hint="eastAsia" w:ascii="宋体" w:hAnsi="宋体" w:cs="宋体"/>
                <w:i w:val="0"/>
                <w:iCs w:val="0"/>
                <w:color w:val="auto"/>
                <w:kern w:val="0"/>
                <w:sz w:val="24"/>
                <w:szCs w:val="24"/>
                <w:highlight w:val="none"/>
                <w:u w:val="none"/>
                <w:lang w:val="en-US" w:eastAsia="zh-CN" w:bidi="ar"/>
              </w:rPr>
              <w:t>RL</w:t>
            </w:r>
            <w:bookmarkEnd w:id="78"/>
            <w:r>
              <w:rPr>
                <w:rFonts w:hint="eastAsia" w:ascii="宋体" w:hAnsi="宋体" w:eastAsia="宋体" w:cs="宋体"/>
                <w:i w:val="0"/>
                <w:iCs w:val="0"/>
                <w:color w:val="auto"/>
                <w:kern w:val="0"/>
                <w:sz w:val="24"/>
                <w:szCs w:val="24"/>
                <w:highlight w:val="none"/>
                <w:u w:val="none"/>
                <w:lang w:val="en-US" w:eastAsia="zh-CN" w:bidi="ar"/>
              </w:rPr>
              <w:t>底库同步，社区视频监控、门禁点位同步等服务。</w:t>
            </w:r>
          </w:p>
        </w:tc>
      </w:tr>
      <w:tr w14:paraId="6AA5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3E7C1D0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12</w:t>
            </w:r>
          </w:p>
        </w:tc>
        <w:tc>
          <w:tcPr>
            <w:tcW w:w="2070" w:type="dxa"/>
            <w:vAlign w:val="center"/>
          </w:tcPr>
          <w:p w14:paraId="4494EFB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第三方对接</w:t>
            </w:r>
          </w:p>
        </w:tc>
        <w:tc>
          <w:tcPr>
            <w:tcW w:w="6585" w:type="dxa"/>
            <w:vAlign w:val="center"/>
          </w:tcPr>
          <w:p w14:paraId="346C79A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需对接完成</w:t>
            </w:r>
            <w:r>
              <w:rPr>
                <w:rFonts w:hint="eastAsia" w:ascii="宋体" w:hAnsi="宋体" w:eastAsia="宋体" w:cs="宋体"/>
                <w:i w:val="0"/>
                <w:iCs w:val="0"/>
                <w:color w:val="auto"/>
                <w:kern w:val="0"/>
                <w:sz w:val="24"/>
                <w:szCs w:val="24"/>
                <w:highlight w:val="none"/>
                <w:u w:val="none"/>
                <w:lang w:val="en-US" w:eastAsia="zh-CN" w:bidi="ar"/>
              </w:rPr>
              <w:t>常住人口信息、暂住人口信息、</w:t>
            </w:r>
            <w:bookmarkStart w:id="79" w:name="OLE_LINK28"/>
            <w:r>
              <w:rPr>
                <w:rFonts w:hint="eastAsia" w:ascii="宋体" w:hAnsi="宋体" w:eastAsia="宋体" w:cs="宋体"/>
                <w:i w:val="0"/>
                <w:iCs w:val="0"/>
                <w:color w:val="auto"/>
                <w:kern w:val="0"/>
                <w:sz w:val="24"/>
                <w:szCs w:val="24"/>
                <w:highlight w:val="none"/>
                <w:u w:val="none"/>
                <w:lang w:val="en-US" w:eastAsia="zh-CN" w:bidi="ar"/>
              </w:rPr>
              <w:t>车辆</w:t>
            </w:r>
            <w:r>
              <w:rPr>
                <w:rFonts w:hint="eastAsia" w:ascii="宋体" w:hAnsi="宋体" w:cs="宋体"/>
                <w:i w:val="0"/>
                <w:iCs w:val="0"/>
                <w:color w:val="auto"/>
                <w:kern w:val="0"/>
                <w:sz w:val="24"/>
                <w:szCs w:val="24"/>
                <w:highlight w:val="none"/>
                <w:u w:val="none"/>
                <w:lang w:val="en-US" w:eastAsia="zh-CN" w:bidi="ar"/>
              </w:rPr>
              <w:t>行迹</w:t>
            </w:r>
            <w:bookmarkEnd w:id="79"/>
            <w:r>
              <w:rPr>
                <w:rFonts w:hint="eastAsia" w:ascii="宋体" w:hAnsi="宋体" w:eastAsia="宋体" w:cs="宋体"/>
                <w:i w:val="0"/>
                <w:iCs w:val="0"/>
                <w:color w:val="auto"/>
                <w:kern w:val="0"/>
                <w:sz w:val="24"/>
                <w:szCs w:val="24"/>
                <w:highlight w:val="none"/>
                <w:u w:val="none"/>
                <w:lang w:val="en-US" w:eastAsia="zh-CN" w:bidi="ar"/>
              </w:rPr>
              <w:t>、人员轨迹、人员关系、身份落地核查、背景标签、人员档案等信息</w:t>
            </w:r>
          </w:p>
        </w:tc>
      </w:tr>
    </w:tbl>
    <w:p w14:paraId="327A8A4A">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14:paraId="6E6251F5">
      <w:pPr>
        <w:pStyle w:val="4"/>
        <w:keepNext/>
        <w:keepLines w:val="0"/>
        <w:pageBreakBefore w:val="0"/>
        <w:widowControl w:val="0"/>
        <w:numPr>
          <w:ilvl w:val="0"/>
          <w:numId w:val="0"/>
        </w:numPr>
        <w:kinsoku/>
        <w:wordWrap/>
        <w:overflowPunct/>
        <w:topLinePunct w:val="0"/>
        <w:autoSpaceDE/>
        <w:autoSpaceDN/>
        <w:bidi w:val="0"/>
        <w:adjustRightInd/>
        <w:snapToGrid/>
        <w:spacing w:after="100" w:line="360" w:lineRule="auto"/>
        <w:jc w:val="left"/>
        <w:textAlignment w:val="auto"/>
        <w:rPr>
          <w:rFonts w:hint="eastAsia" w:ascii="宋体" w:hAnsi="宋体" w:eastAsia="宋体" w:cs="宋体"/>
          <w:color w:val="auto"/>
          <w:sz w:val="24"/>
          <w:szCs w:val="24"/>
          <w:highlight w:val="none"/>
          <w:lang w:val="en-US" w:eastAsia="zh-CN"/>
        </w:rPr>
      </w:pPr>
      <w:bookmarkStart w:id="80" w:name="OLE_LINK29"/>
      <w:r>
        <w:rPr>
          <w:rFonts w:hint="eastAsia" w:ascii="宋体" w:hAnsi="宋体" w:eastAsia="宋体" w:cs="宋体"/>
          <w:color w:val="auto"/>
          <w:sz w:val="24"/>
          <w:szCs w:val="24"/>
          <w:highlight w:val="none"/>
          <w:lang w:val="en-US" w:eastAsia="zh-CN"/>
        </w:rPr>
        <w:t>（二）</w:t>
      </w:r>
      <w:bookmarkStart w:id="81" w:name="OLE_LINK30"/>
      <w:r>
        <w:rPr>
          <w:rFonts w:hint="eastAsia" w:ascii="宋体" w:hAnsi="宋体" w:eastAsia="宋体" w:cs="宋体"/>
          <w:color w:val="auto"/>
          <w:sz w:val="24"/>
          <w:szCs w:val="24"/>
          <w:highlight w:val="none"/>
          <w:lang w:val="en-US" w:eastAsia="zh-CN"/>
        </w:rPr>
        <w:t>采购服务所需</w:t>
      </w:r>
      <w:bookmarkEnd w:id="81"/>
      <w:r>
        <w:rPr>
          <w:rFonts w:hint="eastAsia" w:ascii="宋体" w:hAnsi="宋体" w:eastAsia="宋体" w:cs="宋体"/>
          <w:color w:val="auto"/>
          <w:sz w:val="24"/>
          <w:szCs w:val="24"/>
          <w:highlight w:val="none"/>
          <w:lang w:val="en-US" w:eastAsia="zh-CN"/>
        </w:rPr>
        <w:t>配置设备清单</w:t>
      </w:r>
    </w:p>
    <w:bookmarkEnd w:id="80"/>
    <w:tbl>
      <w:tblPr>
        <w:tblStyle w:val="62"/>
        <w:tblW w:w="9086"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675"/>
        <w:gridCol w:w="5742"/>
        <w:gridCol w:w="904"/>
      </w:tblGrid>
      <w:tr w14:paraId="7B92B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765" w:type="dxa"/>
            <w:vAlign w:val="center"/>
          </w:tcPr>
          <w:p w14:paraId="32FA5964">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1675" w:type="dxa"/>
            <w:vAlign w:val="center"/>
          </w:tcPr>
          <w:p w14:paraId="3E4FA0B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设备名称</w:t>
            </w:r>
          </w:p>
        </w:tc>
        <w:tc>
          <w:tcPr>
            <w:tcW w:w="5742" w:type="dxa"/>
            <w:vAlign w:val="center"/>
          </w:tcPr>
          <w:p w14:paraId="0C44226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技术参数</w:t>
            </w:r>
          </w:p>
        </w:tc>
        <w:tc>
          <w:tcPr>
            <w:tcW w:w="904" w:type="dxa"/>
            <w:vAlign w:val="center"/>
          </w:tcPr>
          <w:p w14:paraId="162EB9D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数量</w:t>
            </w:r>
          </w:p>
        </w:tc>
      </w:tr>
      <w:tr w14:paraId="73994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blHeader/>
        </w:trPr>
        <w:tc>
          <w:tcPr>
            <w:tcW w:w="9086" w:type="dxa"/>
            <w:gridSpan w:val="4"/>
            <w:vAlign w:val="center"/>
          </w:tcPr>
          <w:p w14:paraId="48B8A9B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1、前端摄像机</w:t>
            </w:r>
          </w:p>
        </w:tc>
      </w:tr>
      <w:tr w14:paraId="04D0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65" w:type="dxa"/>
            <w:vAlign w:val="center"/>
          </w:tcPr>
          <w:p w14:paraId="0417E62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1675" w:type="dxa"/>
            <w:vAlign w:val="center"/>
          </w:tcPr>
          <w:p w14:paraId="3B1F707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400万像素智能</w:t>
            </w:r>
            <w:r>
              <w:rPr>
                <w:rFonts w:hint="eastAsia" w:ascii="宋体" w:hAnsi="宋体" w:cs="宋体"/>
                <w:i w:val="0"/>
                <w:iCs w:val="0"/>
                <w:color w:val="auto"/>
                <w:kern w:val="0"/>
                <w:sz w:val="24"/>
                <w:szCs w:val="24"/>
                <w:highlight w:val="none"/>
                <w:u w:val="none"/>
                <w:lang w:val="en-US" w:eastAsia="zh-CN" w:bidi="ar"/>
              </w:rPr>
              <w:t>RL</w:t>
            </w:r>
            <w:r>
              <w:rPr>
                <w:rFonts w:hint="eastAsia" w:ascii="宋体" w:hAnsi="宋体" w:eastAsia="宋体" w:cs="宋体"/>
                <w:i w:val="0"/>
                <w:iCs w:val="0"/>
                <w:color w:val="auto"/>
                <w:kern w:val="0"/>
                <w:sz w:val="24"/>
                <w:szCs w:val="24"/>
                <w:highlight w:val="none"/>
                <w:u w:val="none"/>
                <w:lang w:val="en-US" w:eastAsia="zh-CN" w:bidi="ar"/>
              </w:rPr>
              <w:t>抓拍机</w:t>
            </w:r>
          </w:p>
        </w:tc>
        <w:tc>
          <w:tcPr>
            <w:tcW w:w="5742" w:type="dxa"/>
            <w:vAlign w:val="center"/>
          </w:tcPr>
          <w:p w14:paraId="2A87AC80">
            <w:pPr>
              <w:widowControl/>
              <w:spacing w:afterLines="0" w:line="24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1"/>
                <w:szCs w:val="21"/>
                <w:highlight w:val="none"/>
              </w:rPr>
              <w:t>400万 1/1.8" 星光级CMOS AI护罩一体化网络摄像机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支持智能资源模式切换：全结构化（默认）、</w:t>
            </w:r>
            <w:r>
              <w:rPr>
                <w:rFonts w:hint="eastAsia" w:ascii="宋体" w:hAnsi="宋体" w:cs="宋体"/>
                <w:color w:val="auto"/>
                <w:kern w:val="0"/>
                <w:sz w:val="21"/>
                <w:szCs w:val="21"/>
                <w:highlight w:val="none"/>
                <w:lang w:eastAsia="zh-CN"/>
              </w:rPr>
              <w:t>RL</w:t>
            </w:r>
            <w:r>
              <w:rPr>
                <w:rFonts w:hint="eastAsia" w:ascii="宋体" w:hAnsi="宋体" w:eastAsia="宋体" w:cs="宋体"/>
                <w:color w:val="auto"/>
                <w:kern w:val="0"/>
                <w:sz w:val="21"/>
                <w:szCs w:val="21"/>
                <w:highlight w:val="none"/>
              </w:rPr>
              <w:t>抓拍、</w:t>
            </w:r>
            <w:r>
              <w:rPr>
                <w:rFonts w:hint="eastAsia" w:ascii="宋体" w:hAnsi="宋体" w:cs="宋体"/>
                <w:color w:val="auto"/>
                <w:kern w:val="0"/>
                <w:sz w:val="21"/>
                <w:szCs w:val="21"/>
                <w:highlight w:val="none"/>
                <w:lang w:eastAsia="zh-CN"/>
              </w:rPr>
              <w:t>RL</w:t>
            </w:r>
            <w:r>
              <w:rPr>
                <w:rFonts w:hint="eastAsia" w:ascii="宋体" w:hAnsi="宋体" w:eastAsia="宋体" w:cs="宋体"/>
                <w:color w:val="auto"/>
                <w:kern w:val="0"/>
                <w:sz w:val="21"/>
                <w:szCs w:val="21"/>
                <w:highlight w:val="none"/>
              </w:rPr>
              <w:t>比对、道路监控、Smart事件</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全结构化模式：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a)抓拍人体：支持运动方向、上衣颜色、下装颜色、性别、年龄段、戴眼镜、背包、拎东西、戴帽子、戴口罩、发型、上衣类型、下装类型等属性识别</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b)抓拍</w:t>
            </w:r>
            <w:r>
              <w:rPr>
                <w:rFonts w:hint="eastAsia" w:ascii="宋体" w:hAnsi="宋体" w:cs="宋体"/>
                <w:color w:val="auto"/>
                <w:kern w:val="0"/>
                <w:sz w:val="21"/>
                <w:szCs w:val="21"/>
                <w:highlight w:val="none"/>
                <w:lang w:eastAsia="zh-CN"/>
              </w:rPr>
              <w:t>RL</w:t>
            </w:r>
            <w:r>
              <w:rPr>
                <w:rFonts w:hint="eastAsia" w:ascii="宋体" w:hAnsi="宋体" w:eastAsia="宋体" w:cs="宋体"/>
                <w:color w:val="auto"/>
                <w:kern w:val="0"/>
                <w:sz w:val="21"/>
                <w:szCs w:val="21"/>
                <w:highlight w:val="none"/>
              </w:rPr>
              <w:t>：支持性别、年龄、年龄段、戴眼镜、戴口罩、表情、戴帽子等属性识别</w:t>
            </w:r>
            <w:r>
              <w:rPr>
                <w:rFonts w:hint="eastAsia" w:ascii="宋体" w:hAnsi="宋体" w:eastAsia="宋体" w:cs="宋体"/>
                <w:color w:val="auto"/>
                <w:kern w:val="0"/>
                <w:sz w:val="21"/>
                <w:szCs w:val="21"/>
                <w:highlight w:val="none"/>
              </w:rPr>
              <w:br w:type="textWrapping"/>
            </w:r>
            <w:r>
              <w:rPr>
                <w:rFonts w:hint="eastAsia" w:ascii="宋体" w:hAnsi="宋体" w:cs="宋体"/>
                <w:color w:val="auto"/>
                <w:kern w:val="0"/>
                <w:sz w:val="21"/>
                <w:szCs w:val="21"/>
                <w:highlight w:val="none"/>
                <w:lang w:eastAsia="zh-CN"/>
              </w:rPr>
              <w:t>RL</w:t>
            </w:r>
            <w:r>
              <w:rPr>
                <w:rFonts w:hint="eastAsia" w:ascii="宋体" w:hAnsi="宋体" w:eastAsia="宋体" w:cs="宋体"/>
                <w:color w:val="auto"/>
                <w:kern w:val="0"/>
                <w:sz w:val="21"/>
                <w:szCs w:val="21"/>
                <w:highlight w:val="none"/>
              </w:rPr>
              <w:t>抓拍模式：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a)支持对运动</w:t>
            </w:r>
            <w:r>
              <w:rPr>
                <w:rFonts w:hint="eastAsia" w:ascii="宋体" w:hAnsi="宋体" w:cs="宋体"/>
                <w:color w:val="auto"/>
                <w:kern w:val="0"/>
                <w:sz w:val="21"/>
                <w:szCs w:val="21"/>
                <w:highlight w:val="none"/>
                <w:lang w:eastAsia="zh-CN"/>
              </w:rPr>
              <w:t>RL</w:t>
            </w:r>
            <w:r>
              <w:rPr>
                <w:rFonts w:hint="eastAsia" w:ascii="宋体" w:hAnsi="宋体" w:eastAsia="宋体" w:cs="宋体"/>
                <w:color w:val="auto"/>
                <w:kern w:val="0"/>
                <w:sz w:val="21"/>
                <w:szCs w:val="21"/>
                <w:highlight w:val="none"/>
              </w:rPr>
              <w:t>进行检测、跟踪、抓拍、评分、筛选，输出最优的</w:t>
            </w:r>
            <w:r>
              <w:rPr>
                <w:rFonts w:hint="eastAsia" w:ascii="宋体" w:hAnsi="宋体" w:cs="宋体"/>
                <w:color w:val="auto"/>
                <w:kern w:val="0"/>
                <w:sz w:val="21"/>
                <w:szCs w:val="21"/>
                <w:highlight w:val="none"/>
                <w:lang w:eastAsia="zh-CN"/>
              </w:rPr>
              <w:t>RL</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b)支持</w:t>
            </w:r>
            <w:r>
              <w:rPr>
                <w:rFonts w:hint="eastAsia" w:ascii="宋体" w:hAnsi="宋体" w:cs="宋体"/>
                <w:color w:val="auto"/>
                <w:kern w:val="0"/>
                <w:sz w:val="21"/>
                <w:szCs w:val="21"/>
                <w:highlight w:val="none"/>
                <w:lang w:eastAsia="zh-CN"/>
              </w:rPr>
              <w:t>RL</w:t>
            </w:r>
            <w:r>
              <w:rPr>
                <w:rFonts w:hint="eastAsia" w:ascii="宋体" w:hAnsi="宋体" w:eastAsia="宋体" w:cs="宋体"/>
                <w:color w:val="auto"/>
                <w:kern w:val="0"/>
                <w:sz w:val="21"/>
                <w:szCs w:val="21"/>
                <w:highlight w:val="none"/>
              </w:rPr>
              <w:t>去误报、快速抓拍</w:t>
            </w:r>
            <w:r>
              <w:rPr>
                <w:rFonts w:hint="eastAsia" w:ascii="宋体" w:hAnsi="宋体" w:cs="宋体"/>
                <w:color w:val="auto"/>
                <w:kern w:val="0"/>
                <w:sz w:val="21"/>
                <w:szCs w:val="21"/>
                <w:highlight w:val="none"/>
                <w:lang w:eastAsia="zh-CN"/>
              </w:rPr>
              <w:t>RL</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c)支持快速抓拍和最佳抓拍两种模式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d)最多同时检测120张</w:t>
            </w:r>
            <w:r>
              <w:rPr>
                <w:rFonts w:hint="eastAsia" w:ascii="宋体" w:hAnsi="宋体" w:cs="宋体"/>
                <w:color w:val="auto"/>
                <w:kern w:val="0"/>
                <w:sz w:val="21"/>
                <w:szCs w:val="21"/>
                <w:highlight w:val="none"/>
                <w:lang w:eastAsia="zh-CN"/>
              </w:rPr>
              <w:t>RL</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e)支持</w:t>
            </w:r>
            <w:r>
              <w:rPr>
                <w:rFonts w:hint="eastAsia" w:ascii="宋体" w:hAnsi="宋体" w:cs="宋体"/>
                <w:color w:val="auto"/>
                <w:kern w:val="0"/>
                <w:sz w:val="21"/>
                <w:szCs w:val="21"/>
                <w:highlight w:val="none"/>
                <w:lang w:eastAsia="zh-CN"/>
              </w:rPr>
              <w:t>RL</w:t>
            </w:r>
            <w:r>
              <w:rPr>
                <w:rFonts w:hint="eastAsia" w:ascii="宋体" w:hAnsi="宋体" w:eastAsia="宋体" w:cs="宋体"/>
                <w:color w:val="auto"/>
                <w:kern w:val="0"/>
                <w:sz w:val="21"/>
                <w:szCs w:val="21"/>
                <w:highlight w:val="none"/>
              </w:rPr>
              <w:t>去重</w:t>
            </w:r>
            <w:r>
              <w:rPr>
                <w:rFonts w:hint="eastAsia" w:ascii="宋体" w:hAnsi="宋体" w:eastAsia="宋体" w:cs="宋体"/>
                <w:color w:val="auto"/>
                <w:kern w:val="0"/>
                <w:sz w:val="21"/>
                <w:szCs w:val="21"/>
                <w:highlight w:val="none"/>
              </w:rPr>
              <w:br w:type="textWrapping"/>
            </w:r>
            <w:r>
              <w:rPr>
                <w:rFonts w:hint="eastAsia" w:ascii="宋体" w:hAnsi="宋体" w:cs="宋体"/>
                <w:color w:val="auto"/>
                <w:kern w:val="0"/>
                <w:sz w:val="21"/>
                <w:szCs w:val="21"/>
                <w:highlight w:val="none"/>
                <w:lang w:eastAsia="zh-CN"/>
              </w:rPr>
              <w:t>RL</w:t>
            </w:r>
            <w:r>
              <w:rPr>
                <w:rFonts w:hint="eastAsia" w:ascii="宋体" w:hAnsi="宋体" w:eastAsia="宋体" w:cs="宋体"/>
                <w:color w:val="auto"/>
                <w:kern w:val="0"/>
                <w:sz w:val="21"/>
                <w:szCs w:val="21"/>
                <w:highlight w:val="none"/>
              </w:rPr>
              <w:t>比对模式：</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a)支持前端</w:t>
            </w:r>
            <w:r>
              <w:rPr>
                <w:rFonts w:hint="eastAsia" w:ascii="宋体" w:hAnsi="宋体" w:cs="宋体"/>
                <w:color w:val="auto"/>
                <w:kern w:val="0"/>
                <w:sz w:val="21"/>
                <w:szCs w:val="21"/>
                <w:highlight w:val="none"/>
                <w:lang w:eastAsia="zh-CN"/>
              </w:rPr>
              <w:t>RL</w:t>
            </w:r>
            <w:r>
              <w:rPr>
                <w:rFonts w:hint="eastAsia" w:ascii="宋体" w:hAnsi="宋体" w:eastAsia="宋体" w:cs="宋体"/>
                <w:color w:val="auto"/>
                <w:kern w:val="0"/>
                <w:sz w:val="21"/>
                <w:szCs w:val="21"/>
                <w:highlight w:val="none"/>
              </w:rPr>
              <w:t>比对</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b)支持最多10个</w:t>
            </w:r>
            <w:r>
              <w:rPr>
                <w:rFonts w:hint="eastAsia" w:ascii="宋体" w:hAnsi="宋体" w:cs="宋体"/>
                <w:color w:val="auto"/>
                <w:kern w:val="0"/>
                <w:sz w:val="21"/>
                <w:szCs w:val="21"/>
                <w:highlight w:val="none"/>
                <w:lang w:eastAsia="zh-CN"/>
              </w:rPr>
              <w:t>RL</w:t>
            </w:r>
            <w:r>
              <w:rPr>
                <w:rFonts w:hint="eastAsia" w:ascii="宋体" w:hAnsi="宋体" w:eastAsia="宋体" w:cs="宋体"/>
                <w:color w:val="auto"/>
                <w:kern w:val="0"/>
                <w:sz w:val="21"/>
                <w:szCs w:val="21"/>
                <w:highlight w:val="none"/>
              </w:rPr>
              <w:t>库的管理，最多15万张</w:t>
            </w:r>
            <w:r>
              <w:rPr>
                <w:rFonts w:hint="eastAsia" w:ascii="宋体" w:hAnsi="宋体" w:cs="宋体"/>
                <w:color w:val="auto"/>
                <w:kern w:val="0"/>
                <w:sz w:val="21"/>
                <w:szCs w:val="21"/>
                <w:highlight w:val="none"/>
                <w:lang w:eastAsia="zh-CN"/>
              </w:rPr>
              <w:t>RL</w:t>
            </w:r>
            <w:r>
              <w:rPr>
                <w:rFonts w:hint="eastAsia" w:ascii="宋体" w:hAnsi="宋体" w:eastAsia="宋体" w:cs="宋体"/>
                <w:color w:val="auto"/>
                <w:kern w:val="0"/>
                <w:sz w:val="21"/>
                <w:szCs w:val="21"/>
                <w:highlight w:val="none"/>
              </w:rPr>
              <w:t>的导入</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c)支持合计</w:t>
            </w:r>
            <w:r>
              <w:rPr>
                <w:rFonts w:hint="eastAsia" w:ascii="宋体" w:hAnsi="宋体" w:cs="宋体"/>
                <w:color w:val="auto"/>
                <w:kern w:val="0"/>
                <w:sz w:val="21"/>
                <w:szCs w:val="21"/>
                <w:highlight w:val="none"/>
                <w:lang w:eastAsia="zh-CN"/>
              </w:rPr>
              <w:t>RL</w:t>
            </w:r>
            <w:r>
              <w:rPr>
                <w:rFonts w:hint="eastAsia" w:ascii="宋体" w:hAnsi="宋体" w:eastAsia="宋体" w:cs="宋体"/>
                <w:color w:val="auto"/>
                <w:kern w:val="0"/>
                <w:sz w:val="21"/>
                <w:szCs w:val="21"/>
                <w:highlight w:val="none"/>
              </w:rPr>
              <w:t>库的存储空间最大3 GB，单张</w:t>
            </w:r>
            <w:r>
              <w:rPr>
                <w:rFonts w:hint="eastAsia" w:ascii="宋体" w:hAnsi="宋体" w:cs="宋体"/>
                <w:color w:val="auto"/>
                <w:kern w:val="0"/>
                <w:sz w:val="21"/>
                <w:szCs w:val="21"/>
                <w:highlight w:val="none"/>
                <w:lang w:eastAsia="zh-CN"/>
              </w:rPr>
              <w:t>RL</w:t>
            </w:r>
            <w:r>
              <w:rPr>
                <w:rFonts w:hint="eastAsia" w:ascii="宋体" w:hAnsi="宋体" w:eastAsia="宋体" w:cs="宋体"/>
                <w:color w:val="auto"/>
                <w:kern w:val="0"/>
                <w:sz w:val="21"/>
                <w:szCs w:val="21"/>
                <w:highlight w:val="none"/>
              </w:rPr>
              <w:t>不超过300 KB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d)支持不同</w:t>
            </w:r>
            <w:r>
              <w:rPr>
                <w:rFonts w:hint="eastAsia" w:ascii="宋体" w:hAnsi="宋体" w:cs="宋体"/>
                <w:color w:val="auto"/>
                <w:kern w:val="0"/>
                <w:sz w:val="21"/>
                <w:szCs w:val="21"/>
                <w:highlight w:val="none"/>
                <w:lang w:eastAsia="zh-CN"/>
              </w:rPr>
              <w:t>RL</w:t>
            </w:r>
            <w:r>
              <w:rPr>
                <w:rFonts w:hint="eastAsia" w:ascii="宋体" w:hAnsi="宋体" w:eastAsia="宋体" w:cs="宋体"/>
                <w:color w:val="auto"/>
                <w:kern w:val="0"/>
                <w:sz w:val="21"/>
                <w:szCs w:val="21"/>
                <w:highlight w:val="none"/>
              </w:rPr>
              <w:t>库不同时间布防</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e)支持黑名单比对成功报警输出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f)支持</w:t>
            </w:r>
            <w:r>
              <w:rPr>
                <w:rFonts w:hint="eastAsia" w:ascii="宋体" w:hAnsi="宋体" w:cs="宋体"/>
                <w:color w:val="auto"/>
                <w:kern w:val="0"/>
                <w:sz w:val="21"/>
                <w:szCs w:val="21"/>
                <w:highlight w:val="none"/>
                <w:lang w:eastAsia="zh-CN"/>
              </w:rPr>
              <w:t>RL</w:t>
            </w:r>
            <w:r>
              <w:rPr>
                <w:rFonts w:hint="eastAsia" w:ascii="宋体" w:hAnsi="宋体" w:eastAsia="宋体" w:cs="宋体"/>
                <w:color w:val="auto"/>
                <w:kern w:val="0"/>
                <w:sz w:val="21"/>
                <w:szCs w:val="21"/>
                <w:highlight w:val="none"/>
              </w:rPr>
              <w:t>瞳距20像素以上的</w:t>
            </w:r>
            <w:r>
              <w:rPr>
                <w:rFonts w:hint="eastAsia" w:ascii="宋体" w:hAnsi="宋体" w:cs="宋体"/>
                <w:color w:val="auto"/>
                <w:kern w:val="0"/>
                <w:sz w:val="21"/>
                <w:szCs w:val="21"/>
                <w:highlight w:val="none"/>
                <w:lang w:eastAsia="zh-CN"/>
              </w:rPr>
              <w:t>RL</w:t>
            </w:r>
            <w:r>
              <w:rPr>
                <w:rFonts w:hint="eastAsia" w:ascii="宋体" w:hAnsi="宋体" w:eastAsia="宋体" w:cs="宋体"/>
                <w:color w:val="auto"/>
                <w:kern w:val="0"/>
                <w:sz w:val="21"/>
                <w:szCs w:val="21"/>
                <w:highlight w:val="none"/>
              </w:rPr>
              <w:t>检测</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g)支持</w:t>
            </w:r>
            <w:r>
              <w:rPr>
                <w:rFonts w:hint="eastAsia" w:ascii="宋体" w:hAnsi="宋体" w:cs="宋体"/>
                <w:color w:val="auto"/>
                <w:kern w:val="0"/>
                <w:sz w:val="21"/>
                <w:szCs w:val="21"/>
                <w:highlight w:val="none"/>
                <w:lang w:eastAsia="zh-CN"/>
              </w:rPr>
              <w:t>RL</w:t>
            </w:r>
            <w:r>
              <w:rPr>
                <w:rFonts w:hint="eastAsia" w:ascii="宋体" w:hAnsi="宋体" w:eastAsia="宋体" w:cs="宋体"/>
                <w:color w:val="auto"/>
                <w:kern w:val="0"/>
                <w:sz w:val="21"/>
                <w:szCs w:val="21"/>
                <w:highlight w:val="none"/>
              </w:rPr>
              <w:t>快速比对，最佳比对方式设置，最多同时检测120个目标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传感器类型: 1/1.8" Progressive Scan CMOS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最低照度: 彩色：0.0005 Lux @（F1.2，AGC ON），0 Lux with Light; 黑白：0.0001 Lux @（F1.2，AGC ON），0 Lux with IR</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宽动态: 120 dB</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焦距&amp;视场角:  11~40mm： 水平视场角：37.0°~11.5°，垂直视场角：20.2°~6.5°，对角线视场角：43.2°13.2°</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补光距离: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混光模式：普通监控：100 m，</w:t>
            </w:r>
            <w:r>
              <w:rPr>
                <w:rFonts w:hint="eastAsia" w:ascii="宋体" w:hAnsi="宋体" w:cs="宋体"/>
                <w:color w:val="auto"/>
                <w:kern w:val="0"/>
                <w:sz w:val="21"/>
                <w:szCs w:val="21"/>
                <w:highlight w:val="none"/>
                <w:lang w:eastAsia="zh-CN"/>
              </w:rPr>
              <w:t>RL</w:t>
            </w:r>
            <w:r>
              <w:rPr>
                <w:rFonts w:hint="eastAsia" w:ascii="宋体" w:hAnsi="宋体" w:eastAsia="宋体" w:cs="宋体"/>
                <w:color w:val="auto"/>
                <w:kern w:val="0"/>
                <w:sz w:val="21"/>
                <w:szCs w:val="21"/>
                <w:highlight w:val="none"/>
              </w:rPr>
              <w:t>抓拍/识别：20 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白光模式：普通监控：70 m，</w:t>
            </w:r>
            <w:r>
              <w:rPr>
                <w:rFonts w:hint="eastAsia" w:ascii="宋体" w:hAnsi="宋体" w:cs="宋体"/>
                <w:color w:val="auto"/>
                <w:kern w:val="0"/>
                <w:sz w:val="21"/>
                <w:szCs w:val="21"/>
                <w:highlight w:val="none"/>
                <w:lang w:eastAsia="zh-CN"/>
              </w:rPr>
              <w:t>RL</w:t>
            </w:r>
            <w:r>
              <w:rPr>
                <w:rFonts w:hint="eastAsia" w:ascii="宋体" w:hAnsi="宋体" w:eastAsia="宋体" w:cs="宋体"/>
                <w:color w:val="auto"/>
                <w:kern w:val="0"/>
                <w:sz w:val="21"/>
                <w:szCs w:val="21"/>
                <w:highlight w:val="none"/>
              </w:rPr>
              <w:t>抓拍/识别：15 m</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补光灯类型: 混合补光（支持白光模式和混光模式），750 nm+白光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最大图像尺寸: 2688 × 1520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视频压缩标准: H.265/H.264/MJPEG</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网络: 1个RJ45 10 M/100 M/1000 M自适应以太网口</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电源输出: 支持DC12 V，100 mA</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视频输出: 1 Vp-p Composite Output(75Ω/CVBS)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供电方式: AC：24 V ± 20%，摄像机出厂自带适配器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防护: IP66</w:t>
            </w:r>
          </w:p>
        </w:tc>
        <w:tc>
          <w:tcPr>
            <w:tcW w:w="904" w:type="dxa"/>
            <w:vAlign w:val="center"/>
          </w:tcPr>
          <w:p w14:paraId="1E33EC8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167只</w:t>
            </w:r>
          </w:p>
        </w:tc>
      </w:tr>
      <w:tr w14:paraId="10231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65" w:type="dxa"/>
            <w:vAlign w:val="center"/>
          </w:tcPr>
          <w:p w14:paraId="21111BF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1675" w:type="dxa"/>
            <w:vAlign w:val="center"/>
          </w:tcPr>
          <w:p w14:paraId="2C288E8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420万像素智能车脸抓拍机</w:t>
            </w:r>
          </w:p>
        </w:tc>
        <w:tc>
          <w:tcPr>
            <w:tcW w:w="5742" w:type="dxa"/>
            <w:vAlign w:val="center"/>
          </w:tcPr>
          <w:p w14:paraId="1D31AACA">
            <w:pPr>
              <w:widowControl/>
              <w:spacing w:afterLines="0" w:line="24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1"/>
                <w:szCs w:val="21"/>
                <w:highlight w:val="none"/>
              </w:rPr>
              <w:t>包含摄像机、高清镜头、室外防护罩、LED下挂灯、风扇、相机内置防雷模块、电源适配器、安装万向节等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像素：420W</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分辨率：最大支持 2688 × 1520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支持固定OSD叠加功能，支持在屏幕左上、左中、左下、中上、中下、右上、右中、右下位置进行叠加，位置可调；叠加字体大小不受视频主、副码流影响；</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帧率：25fps</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感光器件：1/1.8" CMOS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镜头：11～40mm变焦镜头</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照度：彩色:0.001 Lux @(F1.2，AGC ON)</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黑白:0.0001 Lux @(F1.2，AGC ON)</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可通过IE浏览器设置</w:t>
            </w:r>
            <w:r>
              <w:rPr>
                <w:rFonts w:hint="eastAsia" w:ascii="宋体" w:hAnsi="宋体" w:cs="宋体"/>
                <w:color w:val="auto"/>
                <w:kern w:val="0"/>
                <w:sz w:val="21"/>
                <w:szCs w:val="21"/>
                <w:highlight w:val="none"/>
                <w:lang w:eastAsia="zh-CN"/>
              </w:rPr>
              <w:t>RL</w:t>
            </w:r>
            <w:r>
              <w:rPr>
                <w:rFonts w:hint="eastAsia" w:ascii="宋体" w:hAnsi="宋体" w:eastAsia="宋体" w:cs="宋体"/>
                <w:color w:val="auto"/>
                <w:kern w:val="0"/>
                <w:sz w:val="21"/>
                <w:szCs w:val="21"/>
                <w:highlight w:val="none"/>
              </w:rPr>
              <w:t>抓拍模式为最佳抓拍模式/快速抓拍模式；在最佳抓拍模式时，可设置抓拍次数、抓拍帧数间隔及抓拍阈值，次数可设置为1次~10次，间隔帧数可设置为1帧~255帧，抓拍阈值可设置为0~20；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开启混合抓拍模式后，设备支持正面/侧面/背面行人（包括成年人和儿童）的抓拍；支持对骑自行车、骑三轮车、骑电动车、踩平衡车、骑车带人等非机动车的抓拍；支持对轿车、客车、面包车、货车、卡车、摩托车等机动车的抓拍；</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设备支持</w:t>
            </w:r>
            <w:r>
              <w:rPr>
                <w:rFonts w:hint="eastAsia" w:ascii="宋体" w:hAnsi="宋体" w:cs="宋体"/>
                <w:color w:val="auto"/>
                <w:kern w:val="0"/>
                <w:sz w:val="21"/>
                <w:szCs w:val="21"/>
                <w:highlight w:val="none"/>
                <w:lang w:eastAsia="zh-CN"/>
              </w:rPr>
              <w:t>RL</w:t>
            </w:r>
            <w:r>
              <w:rPr>
                <w:rFonts w:hint="eastAsia" w:ascii="宋体" w:hAnsi="宋体" w:eastAsia="宋体" w:cs="宋体"/>
                <w:color w:val="auto"/>
                <w:kern w:val="0"/>
                <w:sz w:val="21"/>
                <w:szCs w:val="21"/>
                <w:highlight w:val="none"/>
              </w:rPr>
              <w:t>区域自动曝光，可根据</w:t>
            </w:r>
            <w:r>
              <w:rPr>
                <w:rFonts w:hint="eastAsia" w:ascii="宋体" w:hAnsi="宋体" w:cs="宋体"/>
                <w:color w:val="auto"/>
                <w:kern w:val="0"/>
                <w:sz w:val="21"/>
                <w:szCs w:val="21"/>
                <w:highlight w:val="none"/>
                <w:lang w:eastAsia="zh-CN"/>
              </w:rPr>
              <w:t>RL</w:t>
            </w:r>
            <w:r>
              <w:rPr>
                <w:rFonts w:hint="eastAsia" w:ascii="宋体" w:hAnsi="宋体" w:eastAsia="宋体" w:cs="宋体"/>
                <w:color w:val="auto"/>
                <w:kern w:val="0"/>
                <w:sz w:val="21"/>
                <w:szCs w:val="21"/>
                <w:highlight w:val="none"/>
              </w:rPr>
              <w:t>区域和光照变化自动调节</w:t>
            </w:r>
            <w:r>
              <w:rPr>
                <w:rFonts w:hint="eastAsia" w:ascii="宋体" w:hAnsi="宋体" w:cs="宋体"/>
                <w:color w:val="auto"/>
                <w:kern w:val="0"/>
                <w:sz w:val="21"/>
                <w:szCs w:val="21"/>
                <w:highlight w:val="none"/>
                <w:lang w:eastAsia="zh-CN"/>
              </w:rPr>
              <w:t>RL</w:t>
            </w:r>
            <w:r>
              <w:rPr>
                <w:rFonts w:hint="eastAsia" w:ascii="宋体" w:hAnsi="宋体" w:eastAsia="宋体" w:cs="宋体"/>
                <w:color w:val="auto"/>
                <w:kern w:val="0"/>
                <w:sz w:val="21"/>
                <w:szCs w:val="21"/>
                <w:highlight w:val="none"/>
              </w:rPr>
              <w:t>区域曝光参数；可通过IE浏览器设置</w:t>
            </w:r>
            <w:r>
              <w:rPr>
                <w:rFonts w:hint="eastAsia" w:ascii="宋体" w:hAnsi="宋体" w:cs="宋体"/>
                <w:color w:val="auto"/>
                <w:kern w:val="0"/>
                <w:sz w:val="21"/>
                <w:szCs w:val="21"/>
                <w:highlight w:val="none"/>
                <w:lang w:eastAsia="zh-CN"/>
              </w:rPr>
              <w:t>RL</w:t>
            </w:r>
            <w:r>
              <w:rPr>
                <w:rFonts w:hint="eastAsia" w:ascii="宋体" w:hAnsi="宋体" w:eastAsia="宋体" w:cs="宋体"/>
                <w:color w:val="auto"/>
                <w:kern w:val="0"/>
                <w:sz w:val="21"/>
                <w:szCs w:val="21"/>
                <w:highlight w:val="none"/>
              </w:rPr>
              <w:t>自动曝光的参考亮度、最短持续时间和</w:t>
            </w:r>
            <w:r>
              <w:rPr>
                <w:rFonts w:hint="eastAsia" w:ascii="宋体" w:hAnsi="宋体" w:cs="宋体"/>
                <w:color w:val="auto"/>
                <w:kern w:val="0"/>
                <w:sz w:val="21"/>
                <w:szCs w:val="21"/>
                <w:highlight w:val="none"/>
                <w:lang w:eastAsia="zh-CN"/>
              </w:rPr>
              <w:t>RL</w:t>
            </w:r>
            <w:r>
              <w:rPr>
                <w:rFonts w:hint="eastAsia" w:ascii="宋体" w:hAnsi="宋体" w:eastAsia="宋体" w:cs="宋体"/>
                <w:color w:val="auto"/>
                <w:kern w:val="0"/>
                <w:sz w:val="21"/>
                <w:szCs w:val="21"/>
                <w:highlight w:val="none"/>
              </w:rPr>
              <w:t>过滤时间；</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视频压缩标准：H.264/H.265/MJPEG</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图像输出格式：JPEG</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支持低置信度过滤功能，可过滤置信度低的车牌；支持多拍过滤功能，可设置多拍过滤时间段为0-320000ms，在此时间段内多次经过的车辆只抓拍一次；</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输出：电平量信号</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通讯接口：1个RJ45 10M/100M/1000M 自适应网口，1个RS485接口，1个RS232接口</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外部接口：4路IO输入接口，3对IO输出接口(可以作为报警输出，补光灯光灯控制接口)，同步电源接口SYNC</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存储支持：支持64G TF卡</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自动光圈镜头：支持</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ICR：支持</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工作电压：100VAC～240VAC；频率：48Hz～52Hz；功耗：＜20W</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防护等级IP65</w:t>
            </w:r>
          </w:p>
        </w:tc>
        <w:tc>
          <w:tcPr>
            <w:tcW w:w="904" w:type="dxa"/>
            <w:vAlign w:val="center"/>
          </w:tcPr>
          <w:p w14:paraId="4B092B1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167只</w:t>
            </w:r>
          </w:p>
        </w:tc>
      </w:tr>
      <w:tr w14:paraId="2C8AE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65" w:type="dxa"/>
            <w:vAlign w:val="center"/>
          </w:tcPr>
          <w:p w14:paraId="5A975AB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1675" w:type="dxa"/>
            <w:vAlign w:val="center"/>
          </w:tcPr>
          <w:p w14:paraId="1F948B9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摄像机立杆</w:t>
            </w:r>
          </w:p>
        </w:tc>
        <w:tc>
          <w:tcPr>
            <w:tcW w:w="5742" w:type="dxa"/>
            <w:vAlign w:val="center"/>
          </w:tcPr>
          <w:p w14:paraId="2CD1408D">
            <w:pPr>
              <w:widowControl/>
              <w:spacing w:afterLines="0" w:line="24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1"/>
                <w:szCs w:val="21"/>
                <w:highlight w:val="none"/>
              </w:rPr>
              <w:t>立杆高度3m，Φ140等径杆，管壁厚3mm；挑臂长根据现场情况定制，等径φ60，壁厚3mm；立杆需贴反光膜；立杆基础须做灌筑基础，基础深度0.8m，底部边长应≥0.6m，底部螺栓、螺丝应使用防腐高强度材料，接地电阻小于10Ω</w:t>
            </w:r>
          </w:p>
        </w:tc>
        <w:tc>
          <w:tcPr>
            <w:tcW w:w="904" w:type="dxa"/>
            <w:vAlign w:val="center"/>
          </w:tcPr>
          <w:p w14:paraId="1008F64D">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167根</w:t>
            </w:r>
          </w:p>
        </w:tc>
      </w:tr>
      <w:tr w14:paraId="781E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2ECA301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1675" w:type="dxa"/>
            <w:vAlign w:val="center"/>
          </w:tcPr>
          <w:p w14:paraId="1532F2C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室外机箱</w:t>
            </w:r>
          </w:p>
        </w:tc>
        <w:tc>
          <w:tcPr>
            <w:tcW w:w="5742" w:type="dxa"/>
            <w:vAlign w:val="center"/>
          </w:tcPr>
          <w:p w14:paraId="072A2412">
            <w:pPr>
              <w:widowControl/>
              <w:spacing w:afterLines="0" w:line="24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1"/>
                <w:szCs w:val="21"/>
                <w:highlight w:val="none"/>
              </w:rPr>
              <w:t>尺寸：400×300×250mm，箱壳采用≥1.0 mm（其中门厚为≥1.2mm）201不锈钢；露天防雨设计；隔板采用不锈钢板；箱体外应标有公安部门专用标识；配件：12V开关电源1只；三芯插座1只；空气开关1只；滚轴直流风扇2只，浪涌保护器1只；光纤盒一个、隔板2块，光纤固定脚、接地排、不锈钢防尘网、水平线缆管理杆、进线孔胶套等</w:t>
            </w:r>
          </w:p>
        </w:tc>
        <w:tc>
          <w:tcPr>
            <w:tcW w:w="904" w:type="dxa"/>
            <w:vAlign w:val="center"/>
          </w:tcPr>
          <w:p w14:paraId="0E8C96B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167只</w:t>
            </w:r>
          </w:p>
        </w:tc>
      </w:tr>
      <w:tr w14:paraId="7397D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3B79E76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c>
          <w:tcPr>
            <w:tcW w:w="1675" w:type="dxa"/>
            <w:vAlign w:val="center"/>
          </w:tcPr>
          <w:p w14:paraId="2A84D93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四口单模</w:t>
            </w:r>
          </w:p>
          <w:p w14:paraId="3F9315B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发射器</w:t>
            </w:r>
          </w:p>
        </w:tc>
        <w:tc>
          <w:tcPr>
            <w:tcW w:w="5742" w:type="dxa"/>
            <w:vAlign w:val="center"/>
          </w:tcPr>
          <w:p w14:paraId="0FF05C1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工业级光纤收发器发送机，4个百兆电口，1个千兆光口，传输距离≥20公里。</w:t>
            </w:r>
          </w:p>
        </w:tc>
        <w:tc>
          <w:tcPr>
            <w:tcW w:w="904" w:type="dxa"/>
            <w:vAlign w:val="center"/>
          </w:tcPr>
          <w:p w14:paraId="2A5F759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167只</w:t>
            </w:r>
          </w:p>
        </w:tc>
      </w:tr>
      <w:tr w14:paraId="23B6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0D0BDB88">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w:t>
            </w:r>
          </w:p>
        </w:tc>
        <w:tc>
          <w:tcPr>
            <w:tcW w:w="1675" w:type="dxa"/>
            <w:vAlign w:val="center"/>
          </w:tcPr>
          <w:p w14:paraId="14998A4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单模单口</w:t>
            </w:r>
          </w:p>
          <w:p w14:paraId="1AEA5CA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接收器</w:t>
            </w:r>
          </w:p>
        </w:tc>
        <w:tc>
          <w:tcPr>
            <w:tcW w:w="5742" w:type="dxa"/>
            <w:vAlign w:val="center"/>
          </w:tcPr>
          <w:p w14:paraId="6736226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工业级光纤收发器接收机，1个千兆电口，1个千兆光口，插卡式，传输距离≥20公里。</w:t>
            </w:r>
          </w:p>
        </w:tc>
        <w:tc>
          <w:tcPr>
            <w:tcW w:w="904" w:type="dxa"/>
            <w:vAlign w:val="center"/>
          </w:tcPr>
          <w:p w14:paraId="688C63C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167只</w:t>
            </w:r>
          </w:p>
        </w:tc>
      </w:tr>
      <w:tr w14:paraId="7EB51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03D71437">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w:t>
            </w:r>
          </w:p>
        </w:tc>
        <w:tc>
          <w:tcPr>
            <w:tcW w:w="1675" w:type="dxa"/>
            <w:vAlign w:val="center"/>
          </w:tcPr>
          <w:p w14:paraId="6D12E42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16口光端机机箱</w:t>
            </w:r>
          </w:p>
        </w:tc>
        <w:tc>
          <w:tcPr>
            <w:tcW w:w="5742" w:type="dxa"/>
            <w:vAlign w:val="center"/>
          </w:tcPr>
          <w:p w14:paraId="74956C9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19英寸光端机箱，单220伏电源。</w:t>
            </w:r>
          </w:p>
        </w:tc>
        <w:tc>
          <w:tcPr>
            <w:tcW w:w="904" w:type="dxa"/>
            <w:vAlign w:val="center"/>
          </w:tcPr>
          <w:p w14:paraId="3958B55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18只</w:t>
            </w:r>
          </w:p>
        </w:tc>
      </w:tr>
      <w:tr w14:paraId="0477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399AFEE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8</w:t>
            </w:r>
          </w:p>
        </w:tc>
        <w:tc>
          <w:tcPr>
            <w:tcW w:w="1675" w:type="dxa"/>
            <w:vAlign w:val="center"/>
          </w:tcPr>
          <w:p w14:paraId="5EE44A5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24口千兆</w:t>
            </w:r>
          </w:p>
          <w:p w14:paraId="06D7EB6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交换机</w:t>
            </w:r>
          </w:p>
        </w:tc>
        <w:tc>
          <w:tcPr>
            <w:tcW w:w="5742" w:type="dxa"/>
            <w:vAlign w:val="center"/>
          </w:tcPr>
          <w:p w14:paraId="1366CC2A">
            <w:pPr>
              <w:widowControl/>
              <w:spacing w:afterLines="0" w:line="24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1"/>
                <w:szCs w:val="21"/>
                <w:highlight w:val="none"/>
              </w:rPr>
              <w:t>交换容量≥335Gbps, 包转发率≥51Mpps；千兆电口≥24个，千兆光口≥4个；MAC地址容量≥16K；支持Ipv4路由表≥4000，Ipv6路由表≥1000，支持MUX VLAN，支持静态路由、RIP、RIPng、OSPF、OSPFv3协议；支持9KV业务端口防雷能力；支持G.8032以太环保护协议；支持能效以太网标准；支持Cpu保护技术；支持堆叠技术，支持以太网电口堆叠</w:t>
            </w:r>
          </w:p>
        </w:tc>
        <w:tc>
          <w:tcPr>
            <w:tcW w:w="904" w:type="dxa"/>
            <w:vAlign w:val="center"/>
          </w:tcPr>
          <w:p w14:paraId="59E2F0A9">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16台</w:t>
            </w:r>
          </w:p>
        </w:tc>
      </w:tr>
      <w:tr w14:paraId="01FC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2473A79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9</w:t>
            </w:r>
          </w:p>
        </w:tc>
        <w:tc>
          <w:tcPr>
            <w:tcW w:w="1675" w:type="dxa"/>
            <w:vAlign w:val="center"/>
          </w:tcPr>
          <w:p w14:paraId="2AFD212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千兆多模</w:t>
            </w:r>
          </w:p>
          <w:p w14:paraId="4C27E0C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模块</w:t>
            </w:r>
          </w:p>
        </w:tc>
        <w:tc>
          <w:tcPr>
            <w:tcW w:w="5742" w:type="dxa"/>
            <w:vAlign w:val="center"/>
          </w:tcPr>
          <w:p w14:paraId="628C651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光模块-eSFP-GE-多模模块（850nm，0.5km，LC），与汇聚交换机互联。</w:t>
            </w:r>
          </w:p>
        </w:tc>
        <w:tc>
          <w:tcPr>
            <w:tcW w:w="904" w:type="dxa"/>
            <w:vAlign w:val="center"/>
          </w:tcPr>
          <w:p w14:paraId="7C996C23">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32块</w:t>
            </w:r>
          </w:p>
        </w:tc>
      </w:tr>
      <w:tr w14:paraId="573E5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0B8499E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w:t>
            </w:r>
          </w:p>
        </w:tc>
        <w:tc>
          <w:tcPr>
            <w:tcW w:w="1675" w:type="dxa"/>
            <w:vAlign w:val="center"/>
          </w:tcPr>
          <w:p w14:paraId="6EA2484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万兆多模</w:t>
            </w:r>
          </w:p>
          <w:p w14:paraId="2C5FB73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光模块</w:t>
            </w:r>
          </w:p>
        </w:tc>
        <w:tc>
          <w:tcPr>
            <w:tcW w:w="5742" w:type="dxa"/>
            <w:vAlign w:val="center"/>
          </w:tcPr>
          <w:p w14:paraId="0C50564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光模块-SFP+-10G-多模模块（850nm，0.3km，LC）。</w:t>
            </w:r>
          </w:p>
        </w:tc>
        <w:tc>
          <w:tcPr>
            <w:tcW w:w="904" w:type="dxa"/>
            <w:vAlign w:val="center"/>
          </w:tcPr>
          <w:p w14:paraId="2A01EC2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8块</w:t>
            </w:r>
          </w:p>
        </w:tc>
      </w:tr>
      <w:tr w14:paraId="38EE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086" w:type="dxa"/>
            <w:gridSpan w:val="4"/>
            <w:vAlign w:val="center"/>
          </w:tcPr>
          <w:p w14:paraId="20A7FCCF">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2、姜山镇村级</w:t>
            </w:r>
            <w:r>
              <w:rPr>
                <w:rFonts w:hint="eastAsia" w:ascii="宋体" w:hAnsi="宋体" w:cs="宋体"/>
                <w:i w:val="0"/>
                <w:iCs w:val="0"/>
                <w:color w:val="auto"/>
                <w:kern w:val="0"/>
                <w:sz w:val="24"/>
                <w:szCs w:val="24"/>
                <w:highlight w:val="none"/>
                <w:u w:val="none"/>
                <w:lang w:val="en-US" w:eastAsia="zh-CN" w:bidi="ar"/>
              </w:rPr>
              <w:t>RL</w:t>
            </w:r>
            <w:r>
              <w:rPr>
                <w:rFonts w:hint="eastAsia" w:ascii="宋体" w:hAnsi="宋体" w:eastAsia="宋体" w:cs="宋体"/>
                <w:b/>
                <w:bCs/>
                <w:i w:val="0"/>
                <w:iCs w:val="0"/>
                <w:color w:val="auto"/>
                <w:kern w:val="0"/>
                <w:sz w:val="24"/>
                <w:szCs w:val="24"/>
                <w:highlight w:val="none"/>
                <w:u w:val="none"/>
                <w:lang w:val="en-US" w:eastAsia="zh-CN" w:bidi="ar"/>
              </w:rPr>
              <w:t>接入服务</w:t>
            </w:r>
          </w:p>
        </w:tc>
      </w:tr>
      <w:tr w14:paraId="345D8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39F8B70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1675" w:type="dxa"/>
            <w:vAlign w:val="center"/>
          </w:tcPr>
          <w:p w14:paraId="4AD6EDA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四口单模</w:t>
            </w:r>
          </w:p>
          <w:p w14:paraId="2FD459D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发射器</w:t>
            </w:r>
          </w:p>
        </w:tc>
        <w:tc>
          <w:tcPr>
            <w:tcW w:w="5742" w:type="dxa"/>
            <w:vAlign w:val="center"/>
          </w:tcPr>
          <w:p w14:paraId="2544E7D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工业级光纤收发器发送机，4个百兆电口，1个千兆光口，传输距离≥20公里。</w:t>
            </w:r>
          </w:p>
        </w:tc>
        <w:tc>
          <w:tcPr>
            <w:tcW w:w="904" w:type="dxa"/>
            <w:vAlign w:val="center"/>
          </w:tcPr>
          <w:p w14:paraId="5896202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53只</w:t>
            </w:r>
          </w:p>
        </w:tc>
      </w:tr>
      <w:tr w14:paraId="0B8EA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10BC8AE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1675" w:type="dxa"/>
            <w:vAlign w:val="center"/>
          </w:tcPr>
          <w:p w14:paraId="1D72167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单模单口</w:t>
            </w:r>
          </w:p>
          <w:p w14:paraId="2852051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接收器</w:t>
            </w:r>
          </w:p>
        </w:tc>
        <w:tc>
          <w:tcPr>
            <w:tcW w:w="5742" w:type="dxa"/>
            <w:vAlign w:val="center"/>
          </w:tcPr>
          <w:p w14:paraId="3AEB47D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工业级光纤收发器接收机，1个千兆电口，1个千兆光口，插卡式，传输距离≥20公里。</w:t>
            </w:r>
          </w:p>
        </w:tc>
        <w:tc>
          <w:tcPr>
            <w:tcW w:w="904" w:type="dxa"/>
            <w:vAlign w:val="center"/>
          </w:tcPr>
          <w:p w14:paraId="2A57D4E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53只</w:t>
            </w:r>
          </w:p>
        </w:tc>
      </w:tr>
      <w:tr w14:paraId="4C3CF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79C45FC0">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1675" w:type="dxa"/>
            <w:vAlign w:val="center"/>
          </w:tcPr>
          <w:p w14:paraId="062E304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16口光端机机箱</w:t>
            </w:r>
          </w:p>
        </w:tc>
        <w:tc>
          <w:tcPr>
            <w:tcW w:w="5742" w:type="dxa"/>
            <w:vAlign w:val="center"/>
          </w:tcPr>
          <w:p w14:paraId="2345488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19英寸光端机箱，单220伏电源。</w:t>
            </w:r>
          </w:p>
        </w:tc>
        <w:tc>
          <w:tcPr>
            <w:tcW w:w="904" w:type="dxa"/>
            <w:vAlign w:val="center"/>
          </w:tcPr>
          <w:p w14:paraId="7889DFD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4只</w:t>
            </w:r>
          </w:p>
        </w:tc>
      </w:tr>
      <w:tr w14:paraId="38431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6DCDACF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1675" w:type="dxa"/>
            <w:vAlign w:val="center"/>
          </w:tcPr>
          <w:p w14:paraId="31BEFA9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24口千兆</w:t>
            </w:r>
          </w:p>
          <w:p w14:paraId="39AC0E5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交换机</w:t>
            </w:r>
          </w:p>
        </w:tc>
        <w:tc>
          <w:tcPr>
            <w:tcW w:w="5742" w:type="dxa"/>
            <w:vAlign w:val="center"/>
          </w:tcPr>
          <w:p w14:paraId="62F4DD6D">
            <w:pPr>
              <w:widowControl/>
              <w:spacing w:afterLines="0" w:line="240" w:lineRule="auto"/>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1"/>
                <w:szCs w:val="21"/>
                <w:highlight w:val="none"/>
              </w:rPr>
              <w:t>交换容量≥335Gbps, 包转发率≥51Mpps；千兆电口≥24个，千兆光口≥4个；MAC地址容量≥16K；支持Ipv4路由表≥4000，Ipv6路由表≥1000，支持MUX VLAN，支持静态路由、RIP、RIPng、OSPF、OSPFv3协议；支持9KV业务端口防雷能力；支持G.8032以太环保护协议；支持能效以太网标准；支持Cpu保护技术；支持堆叠技术，支持以太网电口堆叠</w:t>
            </w:r>
          </w:p>
        </w:tc>
        <w:tc>
          <w:tcPr>
            <w:tcW w:w="904" w:type="dxa"/>
            <w:vAlign w:val="center"/>
          </w:tcPr>
          <w:p w14:paraId="1CFDB47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3台</w:t>
            </w:r>
          </w:p>
        </w:tc>
      </w:tr>
      <w:tr w14:paraId="5A7EE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3BA26232">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c>
          <w:tcPr>
            <w:tcW w:w="1675" w:type="dxa"/>
            <w:vAlign w:val="center"/>
          </w:tcPr>
          <w:p w14:paraId="2A387D0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千兆多模模块</w:t>
            </w:r>
          </w:p>
        </w:tc>
        <w:tc>
          <w:tcPr>
            <w:tcW w:w="5742" w:type="dxa"/>
            <w:vAlign w:val="center"/>
          </w:tcPr>
          <w:p w14:paraId="78EEA170">
            <w:pPr>
              <w:widowControl/>
              <w:spacing w:afterLines="0" w:line="240" w:lineRule="auto"/>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1"/>
                <w:szCs w:val="21"/>
                <w:highlight w:val="none"/>
              </w:rPr>
              <w:t>光模块-eSFP-GE-多模模块（850nm，0.5km，LC），与汇聚交换机互联</w:t>
            </w:r>
          </w:p>
        </w:tc>
        <w:tc>
          <w:tcPr>
            <w:tcW w:w="904" w:type="dxa"/>
            <w:vAlign w:val="center"/>
          </w:tcPr>
          <w:p w14:paraId="41322AD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6块</w:t>
            </w:r>
          </w:p>
        </w:tc>
      </w:tr>
      <w:tr w14:paraId="10FB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6FE2DB65">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w:t>
            </w:r>
          </w:p>
        </w:tc>
        <w:tc>
          <w:tcPr>
            <w:tcW w:w="1675" w:type="dxa"/>
            <w:vAlign w:val="center"/>
          </w:tcPr>
          <w:p w14:paraId="77F44C7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室外机箱</w:t>
            </w:r>
          </w:p>
        </w:tc>
        <w:tc>
          <w:tcPr>
            <w:tcW w:w="5742" w:type="dxa"/>
            <w:vAlign w:val="center"/>
          </w:tcPr>
          <w:p w14:paraId="7D61BEC7">
            <w:pPr>
              <w:widowControl/>
              <w:spacing w:afterLines="0" w:line="240" w:lineRule="auto"/>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1"/>
                <w:szCs w:val="21"/>
                <w:highlight w:val="none"/>
              </w:rPr>
              <w:t>尺寸：400×300×250mm，箱壳采用≥1.0 mm（其中门厚为≥1.2mm）201不锈钢；露天防雨设计；隔板采用不锈钢板；箱体外应标有公安部门专用标识；配件：12V开关电源1只；三芯插座1只；空气开关1只；滚轴直流风扇2只，浪涌保护器1只；光纤盒一个、隔板2块，光纤固定脚、接地排、不锈钢防尘网、水平线缆管理杆、进线孔胶套等</w:t>
            </w:r>
          </w:p>
        </w:tc>
        <w:tc>
          <w:tcPr>
            <w:tcW w:w="904" w:type="dxa"/>
            <w:vAlign w:val="center"/>
          </w:tcPr>
          <w:p w14:paraId="7206D8D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bidi="ar"/>
              </w:rPr>
              <w:t>53只</w:t>
            </w:r>
          </w:p>
        </w:tc>
      </w:tr>
      <w:tr w14:paraId="48E84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086" w:type="dxa"/>
            <w:gridSpan w:val="4"/>
            <w:vAlign w:val="center"/>
          </w:tcPr>
          <w:p w14:paraId="210F9DD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3、小区内部监控接入服务</w:t>
            </w:r>
          </w:p>
        </w:tc>
      </w:tr>
      <w:tr w14:paraId="33B4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1508B1F6">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1675" w:type="dxa"/>
            <w:vAlign w:val="center"/>
          </w:tcPr>
          <w:p w14:paraId="351A051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一对一</w:t>
            </w:r>
            <w:r>
              <w:rPr>
                <w:rFonts w:hint="eastAsia" w:ascii="宋体" w:hAnsi="宋体" w:eastAsia="宋体" w:cs="宋体"/>
                <w:i w:val="0"/>
                <w:iCs w:val="0"/>
                <w:caps w:val="0"/>
                <w:color w:val="auto"/>
                <w:spacing w:val="0"/>
                <w:sz w:val="24"/>
                <w:szCs w:val="24"/>
                <w:highlight w:val="none"/>
                <w:shd w:val="clear" w:fill="FFFFFF"/>
              </w:rPr>
              <w:t>网络地址转换</w:t>
            </w:r>
            <w:r>
              <w:rPr>
                <w:rFonts w:hint="eastAsia" w:ascii="宋体" w:hAnsi="宋体" w:eastAsia="宋体" w:cs="宋体"/>
                <w:i w:val="0"/>
                <w:iCs w:val="0"/>
                <w:color w:val="auto"/>
                <w:kern w:val="0"/>
                <w:sz w:val="24"/>
                <w:szCs w:val="24"/>
                <w:highlight w:val="none"/>
                <w:u w:val="none"/>
                <w:lang w:val="en-US" w:eastAsia="zh-CN" w:bidi="ar"/>
              </w:rPr>
              <w:t>路由器</w:t>
            </w:r>
          </w:p>
        </w:tc>
        <w:tc>
          <w:tcPr>
            <w:tcW w:w="5742" w:type="dxa"/>
            <w:vAlign w:val="center"/>
          </w:tcPr>
          <w:p w14:paraId="687BFA4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1个10/100兆固定</w:t>
            </w:r>
            <w:r>
              <w:rPr>
                <w:rStyle w:val="64"/>
                <w:rFonts w:hint="eastAsia" w:ascii="宋体" w:hAnsi="宋体" w:eastAsia="宋体" w:cs="宋体"/>
                <w:b w:val="0"/>
                <w:bCs w:val="0"/>
                <w:i w:val="0"/>
                <w:iCs w:val="0"/>
                <w:caps w:val="0"/>
                <w:color w:val="auto"/>
                <w:spacing w:val="0"/>
                <w:sz w:val="24"/>
                <w:szCs w:val="24"/>
                <w:highlight w:val="none"/>
                <w:shd w:val="clear" w:fill="FFFFFF"/>
              </w:rPr>
              <w:t>局域网接口</w:t>
            </w:r>
            <w:r>
              <w:rPr>
                <w:rFonts w:hint="eastAsia" w:ascii="宋体" w:hAnsi="宋体" w:eastAsia="宋体" w:cs="宋体"/>
                <w:b w:val="0"/>
                <w:bCs w:val="0"/>
                <w:i w:val="0"/>
                <w:iCs w:val="0"/>
                <w:color w:val="auto"/>
                <w:kern w:val="0"/>
                <w:sz w:val="24"/>
                <w:szCs w:val="24"/>
                <w:highlight w:val="none"/>
                <w:u w:val="none"/>
                <w:lang w:val="en-US" w:eastAsia="zh-CN" w:bidi="ar"/>
              </w:rPr>
              <w:t>，4/8个10/100兆固定</w:t>
            </w:r>
            <w:r>
              <w:rPr>
                <w:rStyle w:val="64"/>
                <w:rFonts w:hint="eastAsia" w:ascii="宋体" w:hAnsi="宋体" w:eastAsia="宋体" w:cs="宋体"/>
                <w:b w:val="0"/>
                <w:bCs w:val="0"/>
                <w:i w:val="0"/>
                <w:iCs w:val="0"/>
                <w:caps w:val="0"/>
                <w:color w:val="auto"/>
                <w:spacing w:val="0"/>
                <w:sz w:val="24"/>
                <w:szCs w:val="24"/>
                <w:highlight w:val="none"/>
                <w:shd w:val="clear" w:fill="FFFFFF"/>
              </w:rPr>
              <w:t>广域网接口</w:t>
            </w:r>
            <w:r>
              <w:rPr>
                <w:rFonts w:hint="eastAsia" w:ascii="宋体" w:hAnsi="宋体" w:eastAsia="宋体" w:cs="宋体"/>
                <w:b w:val="0"/>
                <w:bCs w:val="0"/>
                <w:i w:val="0"/>
                <w:iCs w:val="0"/>
                <w:color w:val="auto"/>
                <w:kern w:val="0"/>
                <w:sz w:val="24"/>
                <w:szCs w:val="24"/>
                <w:highlight w:val="none"/>
                <w:u w:val="none"/>
                <w:lang w:val="en-US" w:eastAsia="zh-CN" w:bidi="ar"/>
              </w:rPr>
              <w:t>；包含上网行为管理、攻击防护、智能带宽控制及连接数控制等功能。</w:t>
            </w:r>
          </w:p>
        </w:tc>
        <w:tc>
          <w:tcPr>
            <w:tcW w:w="904" w:type="dxa"/>
            <w:vAlign w:val="center"/>
          </w:tcPr>
          <w:p w14:paraId="2704E3C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100只</w:t>
            </w:r>
          </w:p>
        </w:tc>
      </w:tr>
      <w:tr w14:paraId="25F0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6A77F011">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1675" w:type="dxa"/>
            <w:vAlign w:val="center"/>
          </w:tcPr>
          <w:p w14:paraId="773F51B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交换机</w:t>
            </w:r>
          </w:p>
        </w:tc>
        <w:tc>
          <w:tcPr>
            <w:tcW w:w="5742" w:type="dxa"/>
            <w:vAlign w:val="center"/>
          </w:tcPr>
          <w:p w14:paraId="6A66E0A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5个10/100/1000Mbps RJ45端口，支持存储转发，支持2K的MAC地址表。</w:t>
            </w:r>
          </w:p>
        </w:tc>
        <w:tc>
          <w:tcPr>
            <w:tcW w:w="904" w:type="dxa"/>
            <w:vAlign w:val="center"/>
          </w:tcPr>
          <w:p w14:paraId="46ED53F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100台</w:t>
            </w:r>
          </w:p>
        </w:tc>
      </w:tr>
      <w:tr w14:paraId="76BF5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086" w:type="dxa"/>
            <w:gridSpan w:val="4"/>
            <w:vAlign w:val="center"/>
          </w:tcPr>
          <w:p w14:paraId="68D2229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i w:val="0"/>
                <w:iCs w:val="0"/>
                <w:color w:val="auto"/>
                <w:kern w:val="0"/>
                <w:sz w:val="24"/>
                <w:szCs w:val="24"/>
                <w:highlight w:val="none"/>
                <w:u w:val="none"/>
                <w:lang w:val="en-US" w:eastAsia="zh-CN" w:bidi="ar"/>
              </w:rPr>
              <w:t>4、终端管控系统服务</w:t>
            </w:r>
          </w:p>
        </w:tc>
      </w:tr>
      <w:tr w14:paraId="1939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4C17A48B">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1675" w:type="dxa"/>
            <w:vAlign w:val="center"/>
          </w:tcPr>
          <w:p w14:paraId="7D33AB7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终端管控</w:t>
            </w:r>
          </w:p>
          <w:p w14:paraId="2C39E89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网关</w:t>
            </w:r>
          </w:p>
        </w:tc>
        <w:tc>
          <w:tcPr>
            <w:tcW w:w="5742" w:type="dxa"/>
            <w:vAlign w:val="center"/>
          </w:tcPr>
          <w:p w14:paraId="5F6E8AA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标准2U机架式结构，搭载CPU≥1.7GHz，6核6线程处理器；内存≥16G；标配4个千兆电口，可扩展2个千兆电口或万兆光口；配置≥6000点授权许可。</w:t>
            </w:r>
          </w:p>
        </w:tc>
        <w:tc>
          <w:tcPr>
            <w:tcW w:w="904" w:type="dxa"/>
            <w:vAlign w:val="center"/>
          </w:tcPr>
          <w:p w14:paraId="3877B56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1台</w:t>
            </w:r>
          </w:p>
        </w:tc>
      </w:tr>
    </w:tbl>
    <w:p w14:paraId="0E1F747E">
      <w:pPr>
        <w:pStyle w:val="640"/>
        <w:numPr>
          <w:ilvl w:val="1"/>
          <w:numId w:val="0"/>
        </w:numPr>
        <w:spacing w:line="360" w:lineRule="auto"/>
        <w:ind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（三）采购服务所需</w:t>
      </w:r>
      <w:r>
        <w:rPr>
          <w:rFonts w:hint="eastAsia" w:ascii="宋体" w:hAnsi="宋体" w:eastAsia="宋体" w:cs="宋体"/>
          <w:color w:val="auto"/>
          <w:sz w:val="24"/>
          <w:szCs w:val="24"/>
          <w:highlight w:val="none"/>
          <w:lang w:eastAsia="zh-CN"/>
        </w:rPr>
        <w:t>智安小区治理平台</w:t>
      </w:r>
    </w:p>
    <w:p w14:paraId="0EF2727C">
      <w:pPr>
        <w:pStyle w:val="641"/>
        <w:numPr>
          <w:ilvl w:val="2"/>
          <w:numId w:val="0"/>
        </w:numPr>
        <w:spacing w:after="156" w:line="360" w:lineRule="auto"/>
        <w:ind w:leftChars="0"/>
        <w:rPr>
          <w:rFonts w:hint="eastAsia" w:ascii="宋体" w:hAnsi="宋体" w:eastAsia="宋体" w:cs="宋体"/>
          <w:color w:val="auto"/>
          <w:sz w:val="21"/>
          <w:szCs w:val="21"/>
          <w:highlight w:val="none"/>
          <w:lang w:eastAsia="zh-CN"/>
        </w:rPr>
      </w:pPr>
      <w:bookmarkStart w:id="82" w:name="_Toc104924852"/>
      <w:bookmarkStart w:id="83" w:name="_Toc104924913"/>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功能模块</w:t>
      </w:r>
      <w:bookmarkEnd w:id="82"/>
      <w:bookmarkEnd w:id="83"/>
    </w:p>
    <w:p w14:paraId="36AEF975">
      <w:pPr>
        <w:spacing w:afterLines="0"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社区管控</w:t>
      </w:r>
    </w:p>
    <w:p w14:paraId="5213994E">
      <w:pPr>
        <w:pStyle w:val="110"/>
        <w:numPr>
          <w:ilvl w:val="0"/>
          <w:numId w:val="12"/>
        </w:numPr>
        <w:spacing w:line="360" w:lineRule="auto"/>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常落未登记人员</w:t>
      </w:r>
    </w:p>
    <w:p w14:paraId="1751928F">
      <w:pPr>
        <w:pStyle w:val="64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管控分析建立频繁出现任务，根据任务结果可知频繁出现的未办证人员与其一段时间内出现的地点与时间，支持将此类人员预警信息推送至相关基础管控平台，由社区民警进行核实，辅助社区民警日常工作。并通过警务通APP定期完善这类人员资料库，使这类人员变更已登记人口。</w:t>
      </w:r>
    </w:p>
    <w:p w14:paraId="3518BA6C">
      <w:pPr>
        <w:pStyle w:val="110"/>
        <w:numPr>
          <w:ilvl w:val="0"/>
          <w:numId w:val="12"/>
        </w:numPr>
        <w:spacing w:line="360" w:lineRule="auto"/>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外来人员</w:t>
      </w:r>
    </w:p>
    <w:p w14:paraId="5E3A2447">
      <w:pPr>
        <w:spacing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对非小区人员进行分类管理，结合人员抓拍,通过AI算法分析建立社区外来人口库。</w:t>
      </w:r>
    </w:p>
    <w:p w14:paraId="4E38052D">
      <w:pPr>
        <w:pStyle w:val="110"/>
        <w:numPr>
          <w:ilvl w:val="0"/>
          <w:numId w:val="12"/>
        </w:numPr>
        <w:spacing w:line="360" w:lineRule="auto"/>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涉毒人员</w:t>
      </w:r>
    </w:p>
    <w:p w14:paraId="1E3B32D0">
      <w:pPr>
        <w:spacing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社区民警定期导入更新涉毒人员，通过涉毒人员异常进出模型，智能预警异常进出，同时根据AI算法分析尾随人员。</w:t>
      </w:r>
    </w:p>
    <w:p w14:paraId="0F809CE5">
      <w:pPr>
        <w:pStyle w:val="110"/>
        <w:numPr>
          <w:ilvl w:val="0"/>
          <w:numId w:val="12"/>
        </w:numPr>
        <w:spacing w:line="360" w:lineRule="auto"/>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社区矫正人员</w:t>
      </w:r>
    </w:p>
    <w:p w14:paraId="22B869DE">
      <w:pPr>
        <w:spacing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社区民警定期导入更新社区矫正人员，通过社区矫正人员异常进出模型，实现智能预警。</w:t>
      </w:r>
    </w:p>
    <w:p w14:paraId="507E2F61">
      <w:pPr>
        <w:pStyle w:val="110"/>
        <w:numPr>
          <w:ilvl w:val="0"/>
          <w:numId w:val="12"/>
        </w:numPr>
        <w:spacing w:line="360" w:lineRule="auto"/>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频繁夜归</w:t>
      </w:r>
    </w:p>
    <w:p w14:paraId="22008307">
      <w:pPr>
        <w:pStyle w:val="110"/>
        <w:spacing w:line="360" w:lineRule="auto"/>
        <w:ind w:left="42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根据频发夜归模型自动更新频繁夜归人口库。</w:t>
      </w:r>
    </w:p>
    <w:p w14:paraId="21F5B5D8">
      <w:pPr>
        <w:pStyle w:val="110"/>
        <w:numPr>
          <w:ilvl w:val="0"/>
          <w:numId w:val="12"/>
        </w:numPr>
        <w:spacing w:line="360" w:lineRule="auto"/>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涉赌人员</w:t>
      </w:r>
    </w:p>
    <w:p w14:paraId="16C2E385">
      <w:pPr>
        <w:spacing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社区民警定期导入更新涉赌人员，通过涉赌人员异常进出模型，智能预警异常进出。</w:t>
      </w:r>
    </w:p>
    <w:p w14:paraId="6060AD4A">
      <w:pPr>
        <w:spacing w:afterLines="0"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社区关怀</w:t>
      </w:r>
    </w:p>
    <w:p w14:paraId="7CCF1048">
      <w:pPr>
        <w:pStyle w:val="110"/>
        <w:numPr>
          <w:ilvl w:val="0"/>
          <w:numId w:val="12"/>
        </w:numPr>
        <w:spacing w:line="360" w:lineRule="auto"/>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精神病人管控</w:t>
      </w:r>
    </w:p>
    <w:p w14:paraId="3E125532">
      <w:pPr>
        <w:pStyle w:val="642"/>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社区内居住的精神病人员建立本地特定名单库，或人脸特定名单库，通过重点人像大数据应用，对于社区内精神病人的信息及行踪进行全面采集和有效管控。逐一落实责任人，采取各种措施，及时跟踪掌控其基本情况，真正做到“走明去向、来能预警、动知轨迹、全程掌控”。</w:t>
      </w:r>
    </w:p>
    <w:p w14:paraId="7D806B64">
      <w:pPr>
        <w:pStyle w:val="110"/>
        <w:numPr>
          <w:ilvl w:val="0"/>
          <w:numId w:val="12"/>
        </w:numPr>
        <w:spacing w:line="360" w:lineRule="auto"/>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独居老人管控</w:t>
      </w:r>
    </w:p>
    <w:p w14:paraId="25E9DFB4">
      <w:pPr>
        <w:pStyle w:val="11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对独居老人出入监管，实现异常出入、久居未出人员实现智能预警。</w:t>
      </w:r>
    </w:p>
    <w:p w14:paraId="08D3291A">
      <w:pPr>
        <w:pStyle w:val="110"/>
        <w:numPr>
          <w:ilvl w:val="0"/>
          <w:numId w:val="12"/>
        </w:numPr>
        <w:spacing w:line="360" w:lineRule="auto"/>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信访人员管控</w:t>
      </w:r>
    </w:p>
    <w:p w14:paraId="251194A7">
      <w:pPr>
        <w:spacing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对信访人员出入监管，实现异常出入智能预警，出现异常出入时短信提醒片区民警。</w:t>
      </w:r>
    </w:p>
    <w:p w14:paraId="7BD24D63">
      <w:pPr>
        <w:spacing w:afterLines="0"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人口管理</w:t>
      </w:r>
    </w:p>
    <w:p w14:paraId="03E62EF7">
      <w:pPr>
        <w:pStyle w:val="110"/>
        <w:numPr>
          <w:ilvl w:val="0"/>
          <w:numId w:val="12"/>
        </w:numPr>
        <w:spacing w:line="360" w:lineRule="auto"/>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实有人口管理</w:t>
      </w:r>
    </w:p>
    <w:p w14:paraId="2A7AC1F8">
      <w:pPr>
        <w:spacing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管理已登记社区人员，根据人员出入规则及模型分析，实现人员智能标签。</w:t>
      </w:r>
    </w:p>
    <w:p w14:paraId="3D275D55">
      <w:pPr>
        <w:pStyle w:val="110"/>
        <w:numPr>
          <w:ilvl w:val="0"/>
          <w:numId w:val="12"/>
        </w:numPr>
        <w:spacing w:line="360" w:lineRule="auto"/>
        <w:ind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人口标签库</w:t>
      </w:r>
    </w:p>
    <w:p w14:paraId="3589B1F3">
      <w:pPr>
        <w:spacing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对人口实际情况，进行人口标签管理，以便对人员进行分类管理。</w:t>
      </w:r>
    </w:p>
    <w:p w14:paraId="3826BBB8">
      <w:pPr>
        <w:spacing w:afterLines="0"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lang w:eastAsia="zh-CN"/>
        </w:rPr>
        <w:t>（</w:t>
      </w:r>
      <w:r>
        <w:rPr>
          <w:rFonts w:hint="eastAsia" w:ascii="宋体" w:hAnsi="宋体" w:eastAsia="宋体" w:cs="宋体"/>
          <w:b/>
          <w:bCs/>
          <w:color w:val="auto"/>
          <w:szCs w:val="24"/>
          <w:highlight w:val="none"/>
        </w:rPr>
        <w:t>4</w:t>
      </w:r>
      <w:r>
        <w:rPr>
          <w:rFonts w:hint="eastAsia" w:ascii="宋体" w:hAnsi="宋体" w:eastAsia="宋体" w:cs="宋体"/>
          <w:b/>
          <w:bCs/>
          <w:color w:val="auto"/>
          <w:szCs w:val="24"/>
          <w:highlight w:val="none"/>
          <w:lang w:eastAsia="zh-CN"/>
        </w:rPr>
        <w:t>）</w:t>
      </w:r>
      <w:r>
        <w:rPr>
          <w:rFonts w:hint="eastAsia" w:ascii="宋体" w:hAnsi="宋体" w:eastAsia="宋体" w:cs="宋体"/>
          <w:b/>
          <w:bCs/>
          <w:color w:val="auto"/>
          <w:szCs w:val="24"/>
          <w:highlight w:val="none"/>
        </w:rPr>
        <w:t>车辆管理</w:t>
      </w:r>
    </w:p>
    <w:p w14:paraId="11D4FEC5">
      <w:pPr>
        <w:pStyle w:val="110"/>
        <w:numPr>
          <w:ilvl w:val="0"/>
          <w:numId w:val="12"/>
        </w:numPr>
        <w:spacing w:line="360" w:lineRule="auto"/>
        <w:ind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车辆档案管理</w:t>
      </w:r>
    </w:p>
    <w:p w14:paraId="683648C2">
      <w:pPr>
        <w:spacing w:afterLines="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对接社区车辆、车主信息对社区内的车辆实时掌控。</w:t>
      </w:r>
    </w:p>
    <w:p w14:paraId="5EC6713C">
      <w:pPr>
        <w:pStyle w:val="110"/>
        <w:numPr>
          <w:ilvl w:val="0"/>
          <w:numId w:val="12"/>
        </w:numPr>
        <w:spacing w:line="360" w:lineRule="auto"/>
        <w:ind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人车匹配管理</w:t>
      </w:r>
    </w:p>
    <w:p w14:paraId="3592D722">
      <w:pPr>
        <w:spacing w:afterLines="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车闸系统加装人脸抓拍机，核对进出车辆车牌与开车人员智能匹配，精准管控进出社区人员。</w:t>
      </w:r>
    </w:p>
    <w:p w14:paraId="2240C5CA">
      <w:pPr>
        <w:spacing w:afterLines="0"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lang w:eastAsia="zh-CN"/>
        </w:rPr>
        <w:t>（</w:t>
      </w:r>
      <w:r>
        <w:rPr>
          <w:rFonts w:hint="eastAsia" w:ascii="宋体" w:hAnsi="宋体" w:eastAsia="宋体" w:cs="宋体"/>
          <w:b/>
          <w:bCs/>
          <w:color w:val="auto"/>
          <w:szCs w:val="24"/>
          <w:highlight w:val="none"/>
        </w:rPr>
        <w:t>5</w:t>
      </w:r>
      <w:r>
        <w:rPr>
          <w:rFonts w:hint="eastAsia" w:ascii="宋体" w:hAnsi="宋体" w:eastAsia="宋体" w:cs="宋体"/>
          <w:b/>
          <w:bCs/>
          <w:color w:val="auto"/>
          <w:szCs w:val="24"/>
          <w:highlight w:val="none"/>
          <w:lang w:eastAsia="zh-CN"/>
        </w:rPr>
        <w:t>）</w:t>
      </w:r>
      <w:r>
        <w:rPr>
          <w:rFonts w:hint="eastAsia" w:ascii="宋体" w:hAnsi="宋体" w:eastAsia="宋体" w:cs="宋体"/>
          <w:b/>
          <w:bCs/>
          <w:color w:val="auto"/>
          <w:szCs w:val="24"/>
          <w:highlight w:val="none"/>
        </w:rPr>
        <w:t>车行系统</w:t>
      </w:r>
    </w:p>
    <w:p w14:paraId="5B6FABBA">
      <w:pPr>
        <w:pStyle w:val="110"/>
        <w:numPr>
          <w:ilvl w:val="0"/>
          <w:numId w:val="12"/>
        </w:numPr>
        <w:spacing w:line="360" w:lineRule="auto"/>
        <w:ind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车辆进场记录</w:t>
      </w:r>
    </w:p>
    <w:p w14:paraId="468605F9">
      <w:pPr>
        <w:spacing w:afterLines="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同步显示社区车辆进场记录。</w:t>
      </w:r>
    </w:p>
    <w:p w14:paraId="321E52F9">
      <w:pPr>
        <w:pStyle w:val="110"/>
        <w:numPr>
          <w:ilvl w:val="0"/>
          <w:numId w:val="12"/>
        </w:numPr>
        <w:spacing w:line="360" w:lineRule="auto"/>
        <w:ind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车辆出场记录</w:t>
      </w:r>
    </w:p>
    <w:p w14:paraId="42FC17E9">
      <w:pPr>
        <w:spacing w:afterLines="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同步显示社区车辆出场记录。</w:t>
      </w:r>
    </w:p>
    <w:p w14:paraId="78DC78F8">
      <w:pPr>
        <w:pStyle w:val="110"/>
        <w:numPr>
          <w:ilvl w:val="0"/>
          <w:numId w:val="12"/>
        </w:numPr>
        <w:spacing w:line="360" w:lineRule="auto"/>
        <w:ind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车行态势分析</w:t>
      </w:r>
    </w:p>
    <w:p w14:paraId="31A026BE">
      <w:pPr>
        <w:pStyle w:val="642"/>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系统能实现出入小区车辆与黑名单库的实时比对，发现目标车辆进入或离开小区时实时报警。通过输入车辆牌照，查询该车辆出入记录，描述其落脚点和活动规律。</w:t>
      </w:r>
    </w:p>
    <w:p w14:paraId="0F21E87C">
      <w:pPr>
        <w:spacing w:afterLines="0"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lang w:eastAsia="zh-CN"/>
        </w:rPr>
        <w:t>（</w:t>
      </w:r>
      <w:r>
        <w:rPr>
          <w:rFonts w:hint="eastAsia" w:ascii="宋体" w:hAnsi="宋体" w:eastAsia="宋体" w:cs="宋体"/>
          <w:b/>
          <w:bCs/>
          <w:color w:val="auto"/>
          <w:szCs w:val="24"/>
          <w:highlight w:val="none"/>
        </w:rPr>
        <w:t>6</w:t>
      </w:r>
      <w:r>
        <w:rPr>
          <w:rFonts w:hint="eastAsia" w:ascii="宋体" w:hAnsi="宋体" w:eastAsia="宋体" w:cs="宋体"/>
          <w:b/>
          <w:bCs/>
          <w:color w:val="auto"/>
          <w:szCs w:val="24"/>
          <w:highlight w:val="none"/>
          <w:lang w:eastAsia="zh-CN"/>
        </w:rPr>
        <w:t>）</w:t>
      </w:r>
      <w:r>
        <w:rPr>
          <w:rFonts w:hint="eastAsia" w:ascii="宋体" w:hAnsi="宋体" w:eastAsia="宋体" w:cs="宋体"/>
          <w:b/>
          <w:bCs/>
          <w:color w:val="auto"/>
          <w:szCs w:val="24"/>
          <w:highlight w:val="none"/>
        </w:rPr>
        <w:t>人行系统</w:t>
      </w:r>
    </w:p>
    <w:p w14:paraId="277FEC2F">
      <w:pPr>
        <w:pStyle w:val="110"/>
        <w:numPr>
          <w:ilvl w:val="0"/>
          <w:numId w:val="12"/>
        </w:numPr>
        <w:spacing w:line="360" w:lineRule="auto"/>
        <w:ind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大门出入记录</w:t>
      </w:r>
    </w:p>
    <w:p w14:paraId="2FCC1921">
      <w:pPr>
        <w:spacing w:afterLines="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同步显示大门人员出入记录。</w:t>
      </w:r>
    </w:p>
    <w:p w14:paraId="7B44A052">
      <w:pPr>
        <w:pStyle w:val="110"/>
        <w:numPr>
          <w:ilvl w:val="0"/>
          <w:numId w:val="12"/>
        </w:numPr>
        <w:spacing w:line="360" w:lineRule="auto"/>
        <w:ind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单元门出入记录</w:t>
      </w:r>
    </w:p>
    <w:p w14:paraId="332629DF">
      <w:pPr>
        <w:spacing w:afterLines="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同步显示单元门人员出入记录。</w:t>
      </w:r>
    </w:p>
    <w:p w14:paraId="5CC1C816">
      <w:pPr>
        <w:pStyle w:val="110"/>
        <w:numPr>
          <w:ilvl w:val="0"/>
          <w:numId w:val="12"/>
        </w:numPr>
        <w:spacing w:line="360" w:lineRule="auto"/>
        <w:ind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人行态势分析</w:t>
      </w:r>
    </w:p>
    <w:p w14:paraId="6BB0B45E">
      <w:pPr>
        <w:pStyle w:val="642"/>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支持将选定区域内抓拍的人脸与名单库内人脸进行比对，实时分析打标签，获取小区人员进出规律。支持根据已知人员信息在管控查询中查询相应人员，在相应人员聚合中查看人员轨迹与人员出现规律，为社区民警掌握特定人员信息提供支撑。</w:t>
      </w:r>
    </w:p>
    <w:p w14:paraId="06CDC084">
      <w:pPr>
        <w:spacing w:afterLines="0"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lang w:eastAsia="zh-CN"/>
        </w:rPr>
        <w:t>（</w:t>
      </w:r>
      <w:r>
        <w:rPr>
          <w:rFonts w:hint="eastAsia" w:ascii="宋体" w:hAnsi="宋体" w:eastAsia="宋体" w:cs="宋体"/>
          <w:b/>
          <w:bCs/>
          <w:color w:val="auto"/>
          <w:szCs w:val="24"/>
          <w:highlight w:val="none"/>
        </w:rPr>
        <w:t>7</w:t>
      </w:r>
      <w:r>
        <w:rPr>
          <w:rFonts w:hint="eastAsia" w:ascii="宋体" w:hAnsi="宋体" w:eastAsia="宋体" w:cs="宋体"/>
          <w:b/>
          <w:bCs/>
          <w:color w:val="auto"/>
          <w:szCs w:val="24"/>
          <w:highlight w:val="none"/>
          <w:lang w:eastAsia="zh-CN"/>
        </w:rPr>
        <w:t>）</w:t>
      </w:r>
      <w:r>
        <w:rPr>
          <w:rFonts w:hint="eastAsia" w:ascii="宋体" w:hAnsi="宋体" w:eastAsia="宋体" w:cs="宋体"/>
          <w:b/>
          <w:bCs/>
          <w:color w:val="auto"/>
          <w:szCs w:val="24"/>
          <w:highlight w:val="none"/>
        </w:rPr>
        <w:t>模型建设</w:t>
      </w:r>
    </w:p>
    <w:p w14:paraId="09D8C2A6">
      <w:pPr>
        <w:pStyle w:val="110"/>
        <w:numPr>
          <w:ilvl w:val="0"/>
          <w:numId w:val="12"/>
        </w:numPr>
        <w:spacing w:line="360" w:lineRule="auto"/>
        <w:ind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常住人口研判模型</w:t>
      </w:r>
    </w:p>
    <w:p w14:paraId="2DF51ADF">
      <w:pPr>
        <w:spacing w:afterLines="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分析小区内的人员是否为常住人口。</w:t>
      </w:r>
    </w:p>
    <w:p w14:paraId="2FA103CE">
      <w:pPr>
        <w:pStyle w:val="110"/>
        <w:numPr>
          <w:ilvl w:val="0"/>
          <w:numId w:val="12"/>
        </w:numPr>
        <w:spacing w:line="360" w:lineRule="auto"/>
        <w:ind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暂住人口未登记研判模型</w:t>
      </w:r>
    </w:p>
    <w:p w14:paraId="106056A1">
      <w:pPr>
        <w:spacing w:afterLines="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在小区内的租住人员，是否登记。</w:t>
      </w:r>
    </w:p>
    <w:p w14:paraId="403D7768">
      <w:pPr>
        <w:pStyle w:val="110"/>
        <w:numPr>
          <w:ilvl w:val="0"/>
          <w:numId w:val="12"/>
        </w:numPr>
        <w:spacing w:line="360" w:lineRule="auto"/>
        <w:ind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小区人员异常进出研判模型</w:t>
      </w:r>
    </w:p>
    <w:p w14:paraId="2508A2EE">
      <w:pPr>
        <w:spacing w:afterLines="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进出异常的人员进行信息汇总提示。</w:t>
      </w:r>
    </w:p>
    <w:p w14:paraId="41C454A0">
      <w:pPr>
        <w:pStyle w:val="110"/>
        <w:numPr>
          <w:ilvl w:val="0"/>
          <w:numId w:val="12"/>
        </w:numPr>
        <w:spacing w:line="360" w:lineRule="auto"/>
        <w:ind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出租房未登记研判</w:t>
      </w:r>
    </w:p>
    <w:p w14:paraId="63CD78C3">
      <w:pPr>
        <w:spacing w:afterLines="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小区内的房屋，在出租而未向公安机关登记的进行研判。</w:t>
      </w:r>
    </w:p>
    <w:p w14:paraId="41BA5D2A">
      <w:pPr>
        <w:pStyle w:val="110"/>
        <w:numPr>
          <w:ilvl w:val="0"/>
          <w:numId w:val="12"/>
        </w:numPr>
        <w:spacing w:line="360" w:lineRule="auto"/>
        <w:ind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群租房分析模型</w:t>
      </w:r>
    </w:p>
    <w:p w14:paraId="0505127E">
      <w:pPr>
        <w:spacing w:afterLines="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对出租房是否进行群租进行研判。</w:t>
      </w:r>
    </w:p>
    <w:p w14:paraId="46B70601">
      <w:pPr>
        <w:pStyle w:val="110"/>
        <w:numPr>
          <w:ilvl w:val="0"/>
          <w:numId w:val="12"/>
        </w:numPr>
        <w:spacing w:line="360" w:lineRule="auto"/>
        <w:ind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尾随进入研判模型</w:t>
      </w:r>
    </w:p>
    <w:p w14:paraId="6A19A7EA">
      <w:pPr>
        <w:spacing w:afterLines="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研判有人开门时，进行尾随研判，排除正常跟随进入。</w:t>
      </w:r>
    </w:p>
    <w:p w14:paraId="0862594E">
      <w:pPr>
        <w:pStyle w:val="110"/>
        <w:numPr>
          <w:ilvl w:val="0"/>
          <w:numId w:val="12"/>
        </w:numPr>
        <w:spacing w:line="360" w:lineRule="auto"/>
        <w:ind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人员异常模型</w:t>
      </w:r>
    </w:p>
    <w:p w14:paraId="3CBC7F92">
      <w:pPr>
        <w:spacing w:afterLines="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对孤寡老人等特殊人群，建立对应的保障及异常研判模型。</w:t>
      </w:r>
    </w:p>
    <w:p w14:paraId="502E5F3E">
      <w:pPr>
        <w:spacing w:afterLines="0"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lang w:eastAsia="zh-CN"/>
        </w:rPr>
        <w:t>（</w:t>
      </w:r>
      <w:r>
        <w:rPr>
          <w:rFonts w:hint="eastAsia" w:ascii="宋体" w:hAnsi="宋体" w:eastAsia="宋体" w:cs="宋体"/>
          <w:b/>
          <w:bCs/>
          <w:color w:val="auto"/>
          <w:szCs w:val="24"/>
          <w:highlight w:val="none"/>
        </w:rPr>
        <w:t>8</w:t>
      </w:r>
      <w:r>
        <w:rPr>
          <w:rFonts w:hint="eastAsia" w:ascii="宋体" w:hAnsi="宋体" w:eastAsia="宋体" w:cs="宋体"/>
          <w:b/>
          <w:bCs/>
          <w:color w:val="auto"/>
          <w:szCs w:val="24"/>
          <w:highlight w:val="none"/>
          <w:lang w:eastAsia="zh-CN"/>
        </w:rPr>
        <w:t>）</w:t>
      </w:r>
      <w:r>
        <w:rPr>
          <w:rFonts w:hint="eastAsia" w:ascii="宋体" w:hAnsi="宋体" w:eastAsia="宋体" w:cs="宋体"/>
          <w:b/>
          <w:bCs/>
          <w:color w:val="auto"/>
          <w:szCs w:val="24"/>
          <w:highlight w:val="none"/>
        </w:rPr>
        <w:t>系统管理</w:t>
      </w:r>
    </w:p>
    <w:p w14:paraId="64F481FE">
      <w:pPr>
        <w:pStyle w:val="110"/>
        <w:numPr>
          <w:ilvl w:val="0"/>
          <w:numId w:val="12"/>
        </w:numPr>
        <w:spacing w:line="360" w:lineRule="auto"/>
        <w:ind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安全审计对接</w:t>
      </w:r>
    </w:p>
    <w:p w14:paraId="7B039C2A">
      <w:pPr>
        <w:spacing w:afterLines="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根据符合《信息系统应用日志安全审计平台日志采集规范》，记录所有系统操作，实现对访问审计的分析，充分保证系统整体的安全性，便于日后审计需要。</w:t>
      </w:r>
    </w:p>
    <w:p w14:paraId="42BDAEDD">
      <w:pPr>
        <w:spacing w:afterLines="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实现用户对平台登录日志的记录，记录登录部门、登录人、登录时间、登录IP等。实现用户对平台访问模块日志的记录，记录访问部门、访问人、访问时间、访问模块信息等。平台自动记录民警对各类应用工具的使用情况，对平台中工具使用情况、数据检索情况进行事后审计。</w:t>
      </w:r>
    </w:p>
    <w:p w14:paraId="5105416C">
      <w:pPr>
        <w:pStyle w:val="110"/>
        <w:numPr>
          <w:ilvl w:val="0"/>
          <w:numId w:val="12"/>
        </w:numPr>
        <w:spacing w:line="360" w:lineRule="auto"/>
        <w:ind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后台管理</w:t>
      </w:r>
    </w:p>
    <w:p w14:paraId="0D9B37F5">
      <w:pPr>
        <w:spacing w:afterLines="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后台系统对整个平台进行管理和监管，包括部门用户管理、角色与权限控制、访问IP限制。</w:t>
      </w:r>
    </w:p>
    <w:p w14:paraId="2BAC8A28">
      <w:pPr>
        <w:spacing w:afterLines="0"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lang w:eastAsia="zh-CN"/>
        </w:rPr>
        <w:t>（</w:t>
      </w:r>
      <w:r>
        <w:rPr>
          <w:rFonts w:hint="eastAsia" w:ascii="宋体" w:hAnsi="宋体" w:eastAsia="宋体" w:cs="宋体"/>
          <w:b/>
          <w:bCs/>
          <w:color w:val="auto"/>
          <w:szCs w:val="24"/>
          <w:highlight w:val="none"/>
        </w:rPr>
        <w:t>9</w:t>
      </w:r>
      <w:r>
        <w:rPr>
          <w:rFonts w:hint="eastAsia" w:ascii="宋体" w:hAnsi="宋体" w:eastAsia="宋体" w:cs="宋体"/>
          <w:b/>
          <w:bCs/>
          <w:color w:val="auto"/>
          <w:szCs w:val="24"/>
          <w:highlight w:val="none"/>
          <w:lang w:eastAsia="zh-CN"/>
        </w:rPr>
        <w:t>）</w:t>
      </w:r>
      <w:r>
        <w:rPr>
          <w:rFonts w:hint="eastAsia" w:ascii="宋体" w:hAnsi="宋体" w:eastAsia="宋体" w:cs="宋体"/>
          <w:b/>
          <w:bCs/>
          <w:color w:val="auto"/>
          <w:szCs w:val="24"/>
          <w:highlight w:val="none"/>
        </w:rPr>
        <w:t>警务通APP</w:t>
      </w:r>
    </w:p>
    <w:p w14:paraId="66E6CF85">
      <w:pPr>
        <w:spacing w:afterLines="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根据实际业务，待办事项中需要民警处理的事项，比如经常出入小区但未登记人员（重点处理出入top10这类人员）。</w:t>
      </w:r>
    </w:p>
    <w:p w14:paraId="1B899593">
      <w:pPr>
        <w:spacing w:afterLines="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通过智能分析推送民警社区人员告警信息，这类信息为民警知晓但非必须处理信息。</w:t>
      </w:r>
    </w:p>
    <w:p w14:paraId="032F1B92">
      <w:pPr>
        <w:spacing w:afterLines="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展示社区态势分析、新登记人员统计、重点管控对象统计、社区关怀人员统计等。</w:t>
      </w:r>
    </w:p>
    <w:p w14:paraId="1650ACAE">
      <w:pPr>
        <w:spacing w:afterLines="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民警根据系统筛选分析常落未登记人口，定期定点使用APP登记这类人员资料。</w:t>
      </w:r>
    </w:p>
    <w:p w14:paraId="3E2BBDA7">
      <w:pPr>
        <w:spacing w:afterLines="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查看社区信访人员轨迹，重点信访人员跟踪预警。</w:t>
      </w:r>
    </w:p>
    <w:p w14:paraId="4A9214AF">
      <w:pPr>
        <w:spacing w:afterLines="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查看社区精神病人轨迹，异常出入预警。</w:t>
      </w:r>
    </w:p>
    <w:p w14:paraId="17555E88">
      <w:pPr>
        <w:spacing w:afterLines="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孤寡老人久居未出预警、出入分析。</w:t>
      </w:r>
    </w:p>
    <w:p w14:paraId="09ACE069">
      <w:pPr>
        <w:spacing w:afterLines="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频繁凌晨出入社区人员告警分析。</w:t>
      </w:r>
    </w:p>
    <w:p w14:paraId="453D557B">
      <w:pPr>
        <w:spacing w:afterLines="0"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lang w:eastAsia="zh-CN"/>
        </w:rPr>
        <w:t>（</w:t>
      </w:r>
      <w:r>
        <w:rPr>
          <w:rFonts w:hint="eastAsia" w:ascii="宋体" w:hAnsi="宋体" w:eastAsia="宋体" w:cs="宋体"/>
          <w:b/>
          <w:bCs/>
          <w:color w:val="auto"/>
          <w:szCs w:val="24"/>
          <w:highlight w:val="none"/>
        </w:rPr>
        <w:t>10</w:t>
      </w:r>
      <w:r>
        <w:rPr>
          <w:rFonts w:hint="eastAsia" w:ascii="宋体" w:hAnsi="宋体" w:eastAsia="宋体" w:cs="宋体"/>
          <w:b/>
          <w:bCs/>
          <w:color w:val="auto"/>
          <w:szCs w:val="24"/>
          <w:highlight w:val="none"/>
          <w:lang w:eastAsia="zh-CN"/>
        </w:rPr>
        <w:t>）</w:t>
      </w:r>
      <w:r>
        <w:rPr>
          <w:rFonts w:hint="eastAsia" w:ascii="宋体" w:hAnsi="宋体" w:eastAsia="宋体" w:cs="宋体"/>
          <w:b/>
          <w:bCs/>
          <w:color w:val="auto"/>
          <w:szCs w:val="24"/>
          <w:highlight w:val="none"/>
        </w:rPr>
        <w:t>中间件数据服务</w:t>
      </w:r>
    </w:p>
    <w:p w14:paraId="6064F41F">
      <w:pPr>
        <w:spacing w:afterLines="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提供智安小区平台与社区治理平台数据传输服务，将社区感知数据、人脸数据通过中间件平台数据接入到社区治理平台，将社区视频监控、门禁点位同步通过中间件平台数据接入到社区治理平台。</w:t>
      </w:r>
    </w:p>
    <w:p w14:paraId="2F9E0F63">
      <w:pPr>
        <w:spacing w:afterLines="0" w:line="360" w:lineRule="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lang w:eastAsia="zh-CN"/>
        </w:rPr>
        <w:t>（</w:t>
      </w:r>
      <w:r>
        <w:rPr>
          <w:rFonts w:hint="eastAsia" w:ascii="宋体" w:hAnsi="宋体" w:eastAsia="宋体" w:cs="宋体"/>
          <w:b/>
          <w:bCs/>
          <w:color w:val="auto"/>
          <w:szCs w:val="24"/>
          <w:highlight w:val="none"/>
        </w:rPr>
        <w:t>11</w:t>
      </w:r>
      <w:r>
        <w:rPr>
          <w:rFonts w:hint="eastAsia" w:ascii="宋体" w:hAnsi="宋体" w:eastAsia="宋体" w:cs="宋体"/>
          <w:b/>
          <w:bCs/>
          <w:color w:val="auto"/>
          <w:szCs w:val="24"/>
          <w:highlight w:val="none"/>
          <w:lang w:eastAsia="zh-CN"/>
        </w:rPr>
        <w:t>）</w:t>
      </w:r>
      <w:r>
        <w:rPr>
          <w:rFonts w:hint="eastAsia" w:ascii="宋体" w:hAnsi="宋体" w:eastAsia="宋体" w:cs="宋体"/>
          <w:b/>
          <w:bCs/>
          <w:color w:val="auto"/>
          <w:szCs w:val="24"/>
          <w:highlight w:val="none"/>
        </w:rPr>
        <w:t>第三方数据对接</w:t>
      </w:r>
    </w:p>
    <w:p w14:paraId="6B675F30">
      <w:pPr>
        <w:pStyle w:val="642"/>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智安小区治理平台软件所用到的数据接口在技术框架、数据接入、集成规范、安全上与原数据对接接口保持一致性，所用到的数据资源的对接方案须符合宁波公安信息资源平台（“警务百度”）接入规范。通过与省、市二级的信息中心资源服务平台对接，实现关注人员及关系人、关注车辆等数据的实时同步，与省厅众智平台，市局警务百度、云智平台的数据资源对接，数据类型包括常住人口信息、暂住人口信息、车辆轨迹、人员轨迹、人员关系、身份落地核查、背景标签、人员档案等。</w:t>
      </w:r>
    </w:p>
    <w:p w14:paraId="728A4118">
      <w:pPr>
        <w:pStyle w:val="4"/>
        <w:keepNext/>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服务保障需求</w:t>
      </w:r>
    </w:p>
    <w:p w14:paraId="785C03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（一）服务保障总体要求</w:t>
      </w:r>
    </w:p>
    <w:p w14:paraId="4F5030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服务范围包含167个点位。服务</w:t>
      </w:r>
      <w:r>
        <w:rPr>
          <w:rFonts w:hint="eastAsia" w:ascii="宋体" w:hAnsi="宋体" w:eastAsia="宋体" w:cs="宋体"/>
          <w:color w:val="auto"/>
          <w:sz w:val="24"/>
          <w:szCs w:val="24"/>
          <w:highlight w:val="none"/>
          <w:lang w:val="zh-CN" w:eastAsia="zh-CN"/>
        </w:rPr>
        <w:t>期内</w:t>
      </w:r>
      <w:r>
        <w:rPr>
          <w:rFonts w:hint="eastAsia" w:ascii="宋体" w:hAnsi="宋体" w:eastAsia="宋体" w:cs="宋体"/>
          <w:color w:val="auto"/>
          <w:sz w:val="24"/>
          <w:szCs w:val="24"/>
          <w:highlight w:val="none"/>
          <w:lang w:val="en-US" w:eastAsia="zh-CN"/>
        </w:rPr>
        <w:t>服务单位</w:t>
      </w:r>
      <w:r>
        <w:rPr>
          <w:rFonts w:hint="eastAsia" w:ascii="宋体" w:hAnsi="宋体" w:eastAsia="宋体" w:cs="宋体"/>
          <w:color w:val="auto"/>
          <w:sz w:val="24"/>
          <w:szCs w:val="24"/>
          <w:highlight w:val="none"/>
          <w:lang w:val="zh-CN" w:eastAsia="zh-CN"/>
        </w:rPr>
        <w:t>负责包括设备的质保、系统的巡检、故障的修复、设备的更新更换、重大活动的保障等。项目的日常</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lang w:val="zh-CN" w:eastAsia="zh-CN"/>
        </w:rPr>
        <w:t>范围包括所有前端点位的设备、网络传输、取电和辅助设施，后端设备和软件的可靠、稳定运行。中标单位提供如下服务：</w:t>
      </w:r>
    </w:p>
    <w:p w14:paraId="3FBB4B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必须保证在维护期间除去地震、洪水、战争因素外每天/每月/每年前端设备完好率在98%以上（包括因人为因素造成的前端监控设备故障），后端设备完好率100%，必须安排专用车辆和人员作为日常维护力量。</w:t>
      </w:r>
    </w:p>
    <w:p w14:paraId="0163C7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设备维修和故障件替换服务，确保系统处于正常工作状态：供应商应提供快速技术服务，接到报修电话后，服务响应时间为20分钟，在2小时内解决问题，重大故障应在8小时内解决。若故障无法在12小时内解决的，中标单位应提供备品备件进行临时更换，待维修设备维修完成后更换，以保证系统正常运行。</w:t>
      </w:r>
    </w:p>
    <w:p w14:paraId="26E8FC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每周7×24小时技术支持，需落实具体的技术服务人员，负责日常视频监控平台专用软件的升级和维护。</w:t>
      </w:r>
    </w:p>
    <w:p w14:paraId="59026E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配合业主单位的重大活动的技术保障工作。</w:t>
      </w:r>
    </w:p>
    <w:p w14:paraId="33FB1A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4FB19E0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（二）服务保障内容</w:t>
      </w:r>
    </w:p>
    <w:p w14:paraId="2AB64D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服务单位应提供的服务内容包括日常运作、服务咨询、巡检保养、主动监测、故障修复、特殊保障和升级优化。</w:t>
      </w:r>
    </w:p>
    <w:p w14:paraId="07C7B7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1.日常运作</w:t>
      </w:r>
    </w:p>
    <w:p w14:paraId="717293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7*24小时对前端设备运作情况（比如图像清晰度，监控方位等），进行实时监测，获取各类告警、故障信息，实时响应并及时恢复、解决。</w:t>
      </w:r>
    </w:p>
    <w:p w14:paraId="08338C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2.服务咨询</w:t>
      </w:r>
    </w:p>
    <w:p w14:paraId="020C89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服务单位提供保修期内7*24小时热线服务，以确保内方得到最快的技术及售后服务响应。</w:t>
      </w:r>
    </w:p>
    <w:p w14:paraId="6ECE61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3.日常巡检及保养</w:t>
      </w:r>
    </w:p>
    <w:p w14:paraId="180569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对前端摄像机点位相关设备进行日常巡检，摄像机和镜头定期擦拭维护，清晰率须达到98%以上。立杆定期清除小广告，定期剪枝等，确保监控系统的设备完好。</w:t>
      </w:r>
    </w:p>
    <w:p w14:paraId="36999C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4.故障修复</w:t>
      </w:r>
    </w:p>
    <w:p w14:paraId="497446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7x24小时故障响应，发现故障后，及时到达现场对前端故障件更换、返修，以保证前端设备持续可用。不能修复的设备立即更换代用设备。定期对设备进行评估。</w:t>
      </w:r>
    </w:p>
    <w:p w14:paraId="4BCBDD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5.重大活动保障服务</w:t>
      </w:r>
    </w:p>
    <w:p w14:paraId="181D00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当有重大社会活动或重大自然灾害时，服务单位根据业主需要提供相应的保障。</w:t>
      </w:r>
    </w:p>
    <w:p w14:paraId="75969B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6.升级优化</w:t>
      </w:r>
    </w:p>
    <w:p w14:paraId="799B3D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服务单位为适应用户方业务要求，通过提供调优改进服务，达到提高运行维护服务对象性能或管理能力的目的。</w:t>
      </w:r>
    </w:p>
    <w:p w14:paraId="4CA24E4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（三）服务保障机制</w:t>
      </w:r>
    </w:p>
    <w:p w14:paraId="7F96CF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服务单位应定期对系统进行全面维护。每月不少于一次的巡检，每次巡检要有详细记录并由委托方书面确认。服务单位每年应对杆件和箱体进行一次维护，确保表面整洁，无锈迹。</w:t>
      </w:r>
    </w:p>
    <w:p w14:paraId="452A26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单位提供的系统软件为当前最新版本，服务期内有新版本时，服务单位负责免费升级。如上级管理部门有要求接入其他相关设备或与上级联网，服务单位免费且及时负责提供相关软件接口及协议，并协助服务单位完成接入和联网工作，服务单位应免费为委托方提供培训，培训工作应与系统升级保持同步，确保委托方操作。</w:t>
      </w:r>
    </w:p>
    <w:p w14:paraId="688CF66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p>
    <w:p w14:paraId="71D349C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（四）服务效能要求</w:t>
      </w:r>
    </w:p>
    <w:p w14:paraId="43BE0B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1.前端设备和供电线路完好率≥98%；</w:t>
      </w:r>
    </w:p>
    <w:p w14:paraId="37F4BE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2.前端点位平台上线率≥98%；</w:t>
      </w:r>
    </w:p>
    <w:p w14:paraId="1E0971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3.业主单位每月随机对服务方的设备抓拍率、图片质量抽查，要求设备抓拍率需大于等于90%，图片点位信息与一机一档中信息一致且字符叠加规范。</w:t>
      </w:r>
    </w:p>
    <w:p w14:paraId="2AA671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.重大故障发生次数：0次/年。</w:t>
      </w:r>
    </w:p>
    <w:p w14:paraId="38D13A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.常规故障处理时限≤4小时，疑难故障处理时限≤8小时；最长不得超过24小时，因自然灾害等特殊原因的故障除外。</w:t>
      </w:r>
    </w:p>
    <w:p w14:paraId="04864B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.服务电话接通率≥99%（提供7x24小时热线电话，随时响应）。</w:t>
      </w:r>
    </w:p>
    <w:p w14:paraId="2CC4FC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.因维修工作不到位，受到鄞州分局各部门投诉的，核实后按规定扣款。</w:t>
      </w:r>
    </w:p>
    <w:p w14:paraId="258CCC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.凡每月设备及系统服务考核完好率未达到规定的，按规定扣款。</w:t>
      </w:r>
    </w:p>
    <w:p w14:paraId="7C6904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.应急响应，服务方需7x24小时专人待命。</w:t>
      </w:r>
    </w:p>
    <w:p w14:paraId="1AAD611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（五）服务考核指标</w:t>
      </w:r>
    </w:p>
    <w:p w14:paraId="01A907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服务的考核是为了确保鄞州区公共安全视频系统运行情况满足上级部门考核要求并符合公安日常业务实战化开展的需要，同时延长系统使用寿命降低后续新建项目建设投入。通过设置科学合理的考核指标体系，使服务过程中的约束管理措施有效，考核督查结果有力。其中涉及网络安全问题通报的考核，按合同模版内第七条第二点内容执行。年度考核扣款总金额（含合同模版内第七条第二点约定的网络数据安全处罚）不超过年度运维服务费。</w:t>
      </w:r>
    </w:p>
    <w:p w14:paraId="6F83BEE3">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highlight w:val="none"/>
          <w:lang w:val="en-US" w:eastAsia="zh-CN"/>
        </w:rPr>
      </w:pPr>
      <w:bookmarkStart w:id="84" w:name="_Toc23793"/>
      <w:r>
        <w:rPr>
          <w:rFonts w:hint="eastAsia" w:ascii="宋体" w:hAnsi="宋体" w:eastAsia="宋体" w:cs="宋体"/>
          <w:b/>
          <w:bCs/>
          <w:color w:val="auto"/>
          <w:sz w:val="24"/>
          <w:szCs w:val="24"/>
          <w:highlight w:val="none"/>
          <w:lang w:val="en-US" w:eastAsia="zh-CN"/>
        </w:rPr>
        <w:t>考核说明</w:t>
      </w:r>
      <w:bookmarkEnd w:id="84"/>
    </w:p>
    <w:p w14:paraId="245E7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1.月设备正常率：月设备正常率=正常的设备数÷总设备数×100%，月设备正常率每月计算一次。</w:t>
      </w:r>
    </w:p>
    <w:p w14:paraId="1FDA4A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2.服务服务期1年，如期间因业主单位设备升级改造而更换或报废的，业主单位可以单方面减少服务点位，并同步扣减相关费用。</w:t>
      </w:r>
    </w:p>
    <w:p w14:paraId="14A578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3.如果考核不达标，根据方案中“技术指标”“过程指标”中相关的不合理处理方式进行扣款或者中止服务。</w:t>
      </w:r>
    </w:p>
    <w:p w14:paraId="3EF2B62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bookmarkStart w:id="85" w:name="_Toc20661"/>
      <w:r>
        <w:rPr>
          <w:rFonts w:hint="eastAsia" w:ascii="宋体" w:hAnsi="宋体" w:eastAsia="宋体" w:cs="宋体"/>
          <w:b/>
          <w:bCs/>
          <w:color w:val="auto"/>
          <w:sz w:val="24"/>
          <w:szCs w:val="24"/>
          <w:highlight w:val="none"/>
          <w:lang w:val="en-US" w:eastAsia="zh-CN"/>
        </w:rPr>
        <w:t>技术指标</w:t>
      </w:r>
      <w:bookmarkEnd w:id="85"/>
    </w:p>
    <w:p w14:paraId="047479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1.前端服务技术考核指标</w:t>
      </w:r>
    </w:p>
    <w:p w14:paraId="50685B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方负责相关系统的日常运作，在运行期间，前端设备月均完好率需达到当年宁波市公安局下达的最低考核指标（参照标准：分局月考核或市公安局月考核使用完好率指标，以最低者为准，依据每月末抽查考核及运维平台日平均完好率），月均设备完好率=每月完好设备总台数/设备总台数×100％。</w:t>
      </w:r>
    </w:p>
    <w:tbl>
      <w:tblPr>
        <w:tblStyle w:val="61"/>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10"/>
        <w:gridCol w:w="2569"/>
        <w:gridCol w:w="4368"/>
      </w:tblGrid>
      <w:tr w14:paraId="38903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00" w:type="dxa"/>
            <w:vAlign w:val="center"/>
          </w:tcPr>
          <w:p w14:paraId="3B05A3E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序号</w:t>
            </w:r>
          </w:p>
        </w:tc>
        <w:tc>
          <w:tcPr>
            <w:tcW w:w="1210" w:type="dxa"/>
            <w:vAlign w:val="center"/>
          </w:tcPr>
          <w:p w14:paraId="3C75F86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考核内容</w:t>
            </w:r>
          </w:p>
        </w:tc>
        <w:tc>
          <w:tcPr>
            <w:tcW w:w="2569" w:type="dxa"/>
            <w:vAlign w:val="center"/>
          </w:tcPr>
          <w:p w14:paraId="2CEB487D">
            <w:pPr>
              <w:keepNext w:val="0"/>
              <w:keepLines w:val="0"/>
              <w:pageBreakBefore w:val="0"/>
              <w:widowControl w:val="0"/>
              <w:kinsoku/>
              <w:wordWrap/>
              <w:overflowPunct/>
              <w:topLinePunct w:val="0"/>
              <w:autoSpaceDE/>
              <w:autoSpaceDN/>
              <w:bidi w:val="0"/>
              <w:adjustRightInd/>
              <w:snapToGrid/>
              <w:spacing w:line="340" w:lineRule="exact"/>
              <w:ind w:firstLine="482" w:firstLineChars="20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考核标准</w:t>
            </w:r>
          </w:p>
        </w:tc>
        <w:tc>
          <w:tcPr>
            <w:tcW w:w="4368" w:type="dxa"/>
            <w:vAlign w:val="center"/>
          </w:tcPr>
          <w:p w14:paraId="6A25F12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不合格处理方式</w:t>
            </w:r>
          </w:p>
        </w:tc>
      </w:tr>
      <w:tr w14:paraId="7AB5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vAlign w:val="center"/>
          </w:tcPr>
          <w:p w14:paraId="6EF8A9B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1210" w:type="dxa"/>
            <w:vAlign w:val="center"/>
          </w:tcPr>
          <w:p w14:paraId="33C934D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前端设备完好率</w:t>
            </w:r>
          </w:p>
        </w:tc>
        <w:tc>
          <w:tcPr>
            <w:tcW w:w="2569" w:type="dxa"/>
            <w:vAlign w:val="center"/>
          </w:tcPr>
          <w:p w14:paraId="307A98E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按宁波市公安局当年考核指标，月均需达到98%以上，包括摄像机、镜头、杆件、防护罩、云台、机箱等的完好。</w:t>
            </w:r>
          </w:p>
        </w:tc>
        <w:tc>
          <w:tcPr>
            <w:tcW w:w="4368" w:type="dxa"/>
            <w:vAlign w:val="center"/>
          </w:tcPr>
          <w:p w14:paraId="4B54A18E">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每下降一个百分点（含不到一个百分点），扣当月服务费5%；每下降两个百分点（超过一个百分点至两个百分点）扣当月服务费10%；以此类推。若一年中出现三次以上（含三次）达不到考核目标，业主单位有权中止与服务方合同。</w:t>
            </w:r>
          </w:p>
        </w:tc>
      </w:tr>
      <w:tr w14:paraId="1720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vAlign w:val="center"/>
          </w:tcPr>
          <w:p w14:paraId="684CC3A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1210" w:type="dxa"/>
            <w:vAlign w:val="center"/>
          </w:tcPr>
          <w:p w14:paraId="626DC3C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摄像机</w:t>
            </w:r>
          </w:p>
          <w:p w14:paraId="489B6DE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清晰率</w:t>
            </w:r>
          </w:p>
        </w:tc>
        <w:tc>
          <w:tcPr>
            <w:tcW w:w="2569" w:type="dxa"/>
            <w:vAlign w:val="center"/>
          </w:tcPr>
          <w:p w14:paraId="3FF1694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月均需达到98%以上。</w:t>
            </w:r>
          </w:p>
        </w:tc>
        <w:tc>
          <w:tcPr>
            <w:tcW w:w="4368" w:type="dxa"/>
            <w:vAlign w:val="center"/>
          </w:tcPr>
          <w:p w14:paraId="5FA40527">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每下降一个百分点（含不到一个百分点）扣扣当月服务费1%。</w:t>
            </w:r>
          </w:p>
        </w:tc>
      </w:tr>
      <w:tr w14:paraId="7E34A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vAlign w:val="center"/>
          </w:tcPr>
          <w:p w14:paraId="6997C45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p>
        </w:tc>
        <w:tc>
          <w:tcPr>
            <w:tcW w:w="1210" w:type="dxa"/>
            <w:vAlign w:val="center"/>
          </w:tcPr>
          <w:p w14:paraId="1891053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人员设备</w:t>
            </w:r>
          </w:p>
        </w:tc>
        <w:tc>
          <w:tcPr>
            <w:tcW w:w="2569" w:type="dxa"/>
            <w:vAlign w:val="center"/>
          </w:tcPr>
          <w:p w14:paraId="6FD77DA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7*24小时专车专人在分局待命。</w:t>
            </w:r>
          </w:p>
        </w:tc>
        <w:tc>
          <w:tcPr>
            <w:tcW w:w="4368" w:type="dxa"/>
            <w:vAlign w:val="center"/>
          </w:tcPr>
          <w:p w14:paraId="31CB3CCF">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发现人员设备未有待命情况，每次500元。</w:t>
            </w:r>
          </w:p>
        </w:tc>
      </w:tr>
      <w:tr w14:paraId="496CA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vAlign w:val="center"/>
          </w:tcPr>
          <w:p w14:paraId="66831F5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p>
        </w:tc>
        <w:tc>
          <w:tcPr>
            <w:tcW w:w="1210" w:type="dxa"/>
            <w:vAlign w:val="center"/>
          </w:tcPr>
          <w:p w14:paraId="0344655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人员、设备安全</w:t>
            </w:r>
          </w:p>
        </w:tc>
        <w:tc>
          <w:tcPr>
            <w:tcW w:w="2569" w:type="dxa"/>
            <w:vAlign w:val="center"/>
          </w:tcPr>
          <w:p w14:paraId="780A23B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不可出现人员伤亡，设备损坏。</w:t>
            </w:r>
          </w:p>
        </w:tc>
        <w:tc>
          <w:tcPr>
            <w:tcW w:w="4368" w:type="dxa"/>
            <w:vAlign w:val="center"/>
          </w:tcPr>
          <w:p w14:paraId="0F7879DA">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修复和赔偿经费由中标单位承担。</w:t>
            </w:r>
          </w:p>
        </w:tc>
      </w:tr>
    </w:tbl>
    <w:p w14:paraId="63810A4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2.后端服务技术考核指标</w:t>
      </w:r>
    </w:p>
    <w:tbl>
      <w:tblPr>
        <w:tblStyle w:val="61"/>
        <w:tblW w:w="8944" w:type="dxa"/>
        <w:tblInd w:w="0" w:type="dxa"/>
        <w:tblLayout w:type="fixed"/>
        <w:tblCellMar>
          <w:top w:w="0" w:type="dxa"/>
          <w:left w:w="108" w:type="dxa"/>
          <w:bottom w:w="0" w:type="dxa"/>
          <w:right w:w="108" w:type="dxa"/>
        </w:tblCellMar>
      </w:tblPr>
      <w:tblGrid>
        <w:gridCol w:w="724"/>
        <w:gridCol w:w="2070"/>
        <w:gridCol w:w="2565"/>
        <w:gridCol w:w="3585"/>
      </w:tblGrid>
      <w:tr w14:paraId="36C96BE8">
        <w:tblPrEx>
          <w:tblCellMar>
            <w:top w:w="0" w:type="dxa"/>
            <w:left w:w="108" w:type="dxa"/>
            <w:bottom w:w="0" w:type="dxa"/>
            <w:right w:w="108" w:type="dxa"/>
          </w:tblCellMar>
        </w:tblPrEx>
        <w:trPr>
          <w:trHeight w:val="525" w:hRule="atLeast"/>
          <w:tblHeader/>
        </w:trPr>
        <w:tc>
          <w:tcPr>
            <w:tcW w:w="724" w:type="dxa"/>
            <w:tcBorders>
              <w:top w:val="single" w:color="auto" w:sz="4" w:space="0"/>
              <w:left w:val="single" w:color="auto" w:sz="4" w:space="0"/>
              <w:bottom w:val="single" w:color="auto" w:sz="4" w:space="0"/>
              <w:right w:val="single" w:color="auto" w:sz="4" w:space="0"/>
            </w:tcBorders>
            <w:vAlign w:val="center"/>
          </w:tcPr>
          <w:p w14:paraId="631E44C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序号</w:t>
            </w:r>
          </w:p>
        </w:tc>
        <w:tc>
          <w:tcPr>
            <w:tcW w:w="2070" w:type="dxa"/>
            <w:tcBorders>
              <w:top w:val="single" w:color="auto" w:sz="4" w:space="0"/>
              <w:left w:val="single" w:color="auto" w:sz="4" w:space="0"/>
              <w:bottom w:val="single" w:color="auto" w:sz="4" w:space="0"/>
              <w:right w:val="single" w:color="auto" w:sz="4" w:space="0"/>
            </w:tcBorders>
            <w:vAlign w:val="center"/>
          </w:tcPr>
          <w:p w14:paraId="4ACE12D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考核内容</w:t>
            </w:r>
          </w:p>
        </w:tc>
        <w:tc>
          <w:tcPr>
            <w:tcW w:w="2565" w:type="dxa"/>
            <w:tcBorders>
              <w:top w:val="single" w:color="auto" w:sz="4" w:space="0"/>
              <w:left w:val="single" w:color="auto" w:sz="4" w:space="0"/>
              <w:bottom w:val="single" w:color="auto" w:sz="4" w:space="0"/>
              <w:right w:val="single" w:color="auto" w:sz="4" w:space="0"/>
            </w:tcBorders>
            <w:vAlign w:val="center"/>
          </w:tcPr>
          <w:p w14:paraId="4EF3524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考核标准</w:t>
            </w:r>
          </w:p>
        </w:tc>
        <w:tc>
          <w:tcPr>
            <w:tcW w:w="3585" w:type="dxa"/>
            <w:tcBorders>
              <w:top w:val="single" w:color="auto" w:sz="4" w:space="0"/>
              <w:left w:val="single" w:color="auto" w:sz="4" w:space="0"/>
              <w:bottom w:val="single" w:color="auto" w:sz="4" w:space="0"/>
              <w:right w:val="single" w:color="auto" w:sz="4" w:space="0"/>
            </w:tcBorders>
            <w:vAlign w:val="center"/>
          </w:tcPr>
          <w:p w14:paraId="0372D52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不合格处理方式</w:t>
            </w:r>
          </w:p>
        </w:tc>
      </w:tr>
      <w:tr w14:paraId="0B65910C">
        <w:tblPrEx>
          <w:tblCellMar>
            <w:top w:w="0" w:type="dxa"/>
            <w:left w:w="108" w:type="dxa"/>
            <w:bottom w:w="0" w:type="dxa"/>
            <w:right w:w="108" w:type="dxa"/>
          </w:tblCellMar>
        </w:tblPrEx>
        <w:trPr>
          <w:trHeight w:val="595" w:hRule="atLeast"/>
        </w:trPr>
        <w:tc>
          <w:tcPr>
            <w:tcW w:w="724" w:type="dxa"/>
            <w:tcBorders>
              <w:top w:val="single" w:color="auto" w:sz="4" w:space="0"/>
              <w:left w:val="single" w:color="auto" w:sz="4" w:space="0"/>
              <w:bottom w:val="single" w:color="auto" w:sz="4" w:space="0"/>
              <w:right w:val="single" w:color="auto" w:sz="4" w:space="0"/>
            </w:tcBorders>
            <w:vAlign w:val="center"/>
          </w:tcPr>
          <w:p w14:paraId="4737002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2070" w:type="dxa"/>
            <w:tcBorders>
              <w:top w:val="single" w:color="auto" w:sz="4" w:space="0"/>
              <w:left w:val="single" w:color="auto" w:sz="4" w:space="0"/>
              <w:bottom w:val="single" w:color="auto" w:sz="4" w:space="0"/>
              <w:right w:val="single" w:color="auto" w:sz="4" w:space="0"/>
            </w:tcBorders>
            <w:vAlign w:val="center"/>
          </w:tcPr>
          <w:p w14:paraId="162340E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后台设备完好率</w:t>
            </w:r>
          </w:p>
        </w:tc>
        <w:tc>
          <w:tcPr>
            <w:tcW w:w="2565" w:type="dxa"/>
            <w:tcBorders>
              <w:top w:val="single" w:color="auto" w:sz="4" w:space="0"/>
              <w:left w:val="single" w:color="auto" w:sz="4" w:space="0"/>
              <w:bottom w:val="single" w:color="auto" w:sz="4" w:space="0"/>
              <w:right w:val="single" w:color="auto" w:sz="4" w:space="0"/>
            </w:tcBorders>
            <w:vAlign w:val="center"/>
          </w:tcPr>
          <w:p w14:paraId="426A569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月均需达到99%以上。</w:t>
            </w:r>
          </w:p>
        </w:tc>
        <w:tc>
          <w:tcPr>
            <w:tcW w:w="3585" w:type="dxa"/>
            <w:vMerge w:val="restart"/>
            <w:tcBorders>
              <w:top w:val="single" w:color="auto" w:sz="4" w:space="0"/>
              <w:left w:val="single" w:color="auto" w:sz="4" w:space="0"/>
              <w:bottom w:val="single" w:color="auto" w:sz="4" w:space="0"/>
              <w:right w:val="single" w:color="auto" w:sz="4" w:space="0"/>
            </w:tcBorders>
            <w:vAlign w:val="center"/>
          </w:tcPr>
          <w:p w14:paraId="7153CD6C">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每下降一个百分点（含不到一个百分点），扣当月服务费3%；每下降两个百分点（超过一个百分点至两个百分点）扣当月服务费6%；以此类推。若一年中出现三次以上（含三次）达不到考核目标，业主单位有权中止与服务方合同。</w:t>
            </w:r>
          </w:p>
        </w:tc>
      </w:tr>
      <w:tr w14:paraId="2A23AFB6">
        <w:tblPrEx>
          <w:tblCellMar>
            <w:top w:w="0" w:type="dxa"/>
            <w:left w:w="108" w:type="dxa"/>
            <w:bottom w:w="0" w:type="dxa"/>
            <w:right w:w="108" w:type="dxa"/>
          </w:tblCellMar>
        </w:tblPrEx>
        <w:trPr>
          <w:trHeight w:val="640" w:hRule="atLeast"/>
        </w:trPr>
        <w:tc>
          <w:tcPr>
            <w:tcW w:w="724" w:type="dxa"/>
            <w:tcBorders>
              <w:top w:val="single" w:color="auto" w:sz="4" w:space="0"/>
              <w:left w:val="single" w:color="auto" w:sz="4" w:space="0"/>
              <w:bottom w:val="single" w:color="auto" w:sz="4" w:space="0"/>
              <w:right w:val="single" w:color="auto" w:sz="4" w:space="0"/>
            </w:tcBorders>
            <w:vAlign w:val="center"/>
          </w:tcPr>
          <w:p w14:paraId="2FC3C1B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2070" w:type="dxa"/>
            <w:tcBorders>
              <w:top w:val="single" w:color="auto" w:sz="4" w:space="0"/>
              <w:left w:val="single" w:color="auto" w:sz="4" w:space="0"/>
              <w:bottom w:val="single" w:color="auto" w:sz="4" w:space="0"/>
              <w:right w:val="single" w:color="auto" w:sz="4" w:space="0"/>
            </w:tcBorders>
            <w:vAlign w:val="center"/>
          </w:tcPr>
          <w:p w14:paraId="183C881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软件平台完好率</w:t>
            </w:r>
          </w:p>
        </w:tc>
        <w:tc>
          <w:tcPr>
            <w:tcW w:w="2565" w:type="dxa"/>
            <w:tcBorders>
              <w:top w:val="single" w:color="auto" w:sz="4" w:space="0"/>
              <w:left w:val="single" w:color="auto" w:sz="4" w:space="0"/>
              <w:bottom w:val="single" w:color="auto" w:sz="4" w:space="0"/>
              <w:right w:val="single" w:color="auto" w:sz="4" w:space="0"/>
            </w:tcBorders>
            <w:vAlign w:val="center"/>
          </w:tcPr>
          <w:p w14:paraId="73E399D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月均需达到99%以上。</w:t>
            </w:r>
          </w:p>
        </w:tc>
        <w:tc>
          <w:tcPr>
            <w:tcW w:w="3585" w:type="dxa"/>
            <w:vMerge w:val="continue"/>
            <w:tcBorders>
              <w:top w:val="single" w:color="auto" w:sz="4" w:space="0"/>
              <w:left w:val="single" w:color="auto" w:sz="4" w:space="0"/>
              <w:bottom w:val="single" w:color="auto" w:sz="4" w:space="0"/>
              <w:right w:val="single" w:color="auto" w:sz="4" w:space="0"/>
            </w:tcBorders>
            <w:vAlign w:val="center"/>
          </w:tcPr>
          <w:p w14:paraId="0359F82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lang w:val="en-US" w:eastAsia="zh-CN"/>
              </w:rPr>
            </w:pPr>
          </w:p>
        </w:tc>
      </w:tr>
      <w:tr w14:paraId="3B098B2E">
        <w:tblPrEx>
          <w:tblCellMar>
            <w:top w:w="0" w:type="dxa"/>
            <w:left w:w="108" w:type="dxa"/>
            <w:bottom w:w="0" w:type="dxa"/>
            <w:right w:w="108" w:type="dxa"/>
          </w:tblCellMar>
        </w:tblPrEx>
        <w:trPr>
          <w:trHeight w:val="715" w:hRule="atLeast"/>
        </w:trPr>
        <w:tc>
          <w:tcPr>
            <w:tcW w:w="724" w:type="dxa"/>
            <w:tcBorders>
              <w:top w:val="single" w:color="auto" w:sz="4" w:space="0"/>
              <w:left w:val="single" w:color="auto" w:sz="4" w:space="0"/>
              <w:bottom w:val="single" w:color="auto" w:sz="4" w:space="0"/>
              <w:right w:val="single" w:color="auto" w:sz="4" w:space="0"/>
            </w:tcBorders>
            <w:vAlign w:val="center"/>
          </w:tcPr>
          <w:p w14:paraId="14377C9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2070" w:type="dxa"/>
            <w:tcBorders>
              <w:top w:val="single" w:color="auto" w:sz="4" w:space="0"/>
              <w:left w:val="nil"/>
              <w:bottom w:val="single" w:color="auto" w:sz="4" w:space="0"/>
              <w:right w:val="single" w:color="auto" w:sz="4" w:space="0"/>
            </w:tcBorders>
            <w:vAlign w:val="center"/>
          </w:tcPr>
          <w:p w14:paraId="30B503A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视频数据存储完整率</w:t>
            </w:r>
          </w:p>
        </w:tc>
        <w:tc>
          <w:tcPr>
            <w:tcW w:w="2565" w:type="dxa"/>
            <w:tcBorders>
              <w:top w:val="single" w:color="auto" w:sz="4" w:space="0"/>
              <w:left w:val="nil"/>
              <w:bottom w:val="single" w:color="auto" w:sz="4" w:space="0"/>
              <w:right w:val="single" w:color="auto" w:sz="4" w:space="0"/>
            </w:tcBorders>
            <w:vAlign w:val="center"/>
          </w:tcPr>
          <w:p w14:paraId="247F232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月均需达到99%以上。</w:t>
            </w:r>
          </w:p>
        </w:tc>
        <w:tc>
          <w:tcPr>
            <w:tcW w:w="3585" w:type="dxa"/>
            <w:vMerge w:val="continue"/>
            <w:tcBorders>
              <w:top w:val="single" w:color="auto" w:sz="4" w:space="0"/>
              <w:left w:val="nil"/>
              <w:bottom w:val="single" w:color="auto" w:sz="4" w:space="0"/>
              <w:right w:val="single" w:color="auto" w:sz="4" w:space="0"/>
            </w:tcBorders>
            <w:vAlign w:val="center"/>
          </w:tcPr>
          <w:p w14:paraId="6ECBD56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lang w:val="en-US" w:eastAsia="zh-CN"/>
              </w:rPr>
            </w:pPr>
          </w:p>
        </w:tc>
      </w:tr>
    </w:tbl>
    <w:p w14:paraId="6197919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bookmarkStart w:id="86" w:name="_Toc12976"/>
    </w:p>
    <w:p w14:paraId="640D13C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过程指标</w:t>
      </w:r>
      <w:bookmarkEnd w:id="86"/>
    </w:p>
    <w:p w14:paraId="4846B5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1.服务报告考核指标</w:t>
      </w:r>
    </w:p>
    <w:tbl>
      <w:tblPr>
        <w:tblStyle w:val="61"/>
        <w:tblW w:w="8917" w:type="dxa"/>
        <w:tblInd w:w="0" w:type="dxa"/>
        <w:tblLayout w:type="fixed"/>
        <w:tblCellMar>
          <w:top w:w="0" w:type="dxa"/>
          <w:left w:w="108" w:type="dxa"/>
          <w:bottom w:w="0" w:type="dxa"/>
          <w:right w:w="108" w:type="dxa"/>
        </w:tblCellMar>
      </w:tblPr>
      <w:tblGrid>
        <w:gridCol w:w="764"/>
        <w:gridCol w:w="1677"/>
        <w:gridCol w:w="4921"/>
        <w:gridCol w:w="1555"/>
      </w:tblGrid>
      <w:tr w14:paraId="2767D87B">
        <w:tblPrEx>
          <w:tblCellMar>
            <w:top w:w="0" w:type="dxa"/>
            <w:left w:w="108" w:type="dxa"/>
            <w:bottom w:w="0" w:type="dxa"/>
            <w:right w:w="108" w:type="dxa"/>
          </w:tblCellMar>
        </w:tblPrEx>
        <w:trPr>
          <w:trHeight w:val="871" w:hRule="atLeast"/>
          <w:tblHeader/>
        </w:trPr>
        <w:tc>
          <w:tcPr>
            <w:tcW w:w="764" w:type="dxa"/>
            <w:tcBorders>
              <w:top w:val="single" w:color="auto" w:sz="4" w:space="0"/>
              <w:left w:val="single" w:color="auto" w:sz="4" w:space="0"/>
              <w:bottom w:val="single" w:color="auto" w:sz="4" w:space="0"/>
              <w:right w:val="single" w:color="auto" w:sz="4" w:space="0"/>
            </w:tcBorders>
            <w:vAlign w:val="center"/>
          </w:tcPr>
          <w:p w14:paraId="3D1B8D8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序号</w:t>
            </w:r>
          </w:p>
        </w:tc>
        <w:tc>
          <w:tcPr>
            <w:tcW w:w="1677" w:type="dxa"/>
            <w:tcBorders>
              <w:top w:val="single" w:color="auto" w:sz="4" w:space="0"/>
              <w:left w:val="nil"/>
              <w:bottom w:val="single" w:color="auto" w:sz="4" w:space="0"/>
              <w:right w:val="single" w:color="auto" w:sz="4" w:space="0"/>
            </w:tcBorders>
            <w:vAlign w:val="center"/>
          </w:tcPr>
          <w:p w14:paraId="0AC480A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报告内容</w:t>
            </w:r>
          </w:p>
        </w:tc>
        <w:tc>
          <w:tcPr>
            <w:tcW w:w="4921" w:type="dxa"/>
            <w:tcBorders>
              <w:top w:val="single" w:color="auto" w:sz="4" w:space="0"/>
              <w:left w:val="nil"/>
              <w:bottom w:val="single" w:color="auto" w:sz="4" w:space="0"/>
              <w:right w:val="single" w:color="auto" w:sz="4" w:space="0"/>
            </w:tcBorders>
            <w:vAlign w:val="center"/>
          </w:tcPr>
          <w:p w14:paraId="7A827C5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考核标准</w:t>
            </w:r>
          </w:p>
        </w:tc>
        <w:tc>
          <w:tcPr>
            <w:tcW w:w="1555" w:type="dxa"/>
            <w:tcBorders>
              <w:top w:val="single" w:color="auto" w:sz="4" w:space="0"/>
              <w:left w:val="nil"/>
              <w:bottom w:val="single" w:color="auto" w:sz="4" w:space="0"/>
              <w:right w:val="single" w:color="auto" w:sz="4" w:space="0"/>
            </w:tcBorders>
            <w:vAlign w:val="center"/>
          </w:tcPr>
          <w:p w14:paraId="7F5E5D2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不合格处理方式</w:t>
            </w:r>
          </w:p>
        </w:tc>
      </w:tr>
      <w:tr w14:paraId="3672768C">
        <w:tblPrEx>
          <w:tblCellMar>
            <w:top w:w="0" w:type="dxa"/>
            <w:left w:w="108" w:type="dxa"/>
            <w:bottom w:w="0" w:type="dxa"/>
            <w:right w:w="108" w:type="dxa"/>
          </w:tblCellMar>
        </w:tblPrEx>
        <w:trPr>
          <w:trHeight w:val="441" w:hRule="atLeast"/>
        </w:trPr>
        <w:tc>
          <w:tcPr>
            <w:tcW w:w="764" w:type="dxa"/>
            <w:tcBorders>
              <w:top w:val="single" w:color="auto" w:sz="4" w:space="0"/>
              <w:left w:val="single" w:color="auto" w:sz="4" w:space="0"/>
              <w:bottom w:val="single" w:color="auto" w:sz="4" w:space="0"/>
              <w:right w:val="single" w:color="auto" w:sz="4" w:space="0"/>
            </w:tcBorders>
            <w:vAlign w:val="center"/>
          </w:tcPr>
          <w:p w14:paraId="17A58A3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1677" w:type="dxa"/>
            <w:tcBorders>
              <w:top w:val="single" w:color="auto" w:sz="4" w:space="0"/>
              <w:left w:val="nil"/>
              <w:bottom w:val="single" w:color="auto" w:sz="4" w:space="0"/>
              <w:right w:val="single" w:color="auto" w:sz="4" w:space="0"/>
            </w:tcBorders>
            <w:vAlign w:val="center"/>
          </w:tcPr>
          <w:p w14:paraId="73EE8BA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巡检报告</w:t>
            </w:r>
          </w:p>
        </w:tc>
        <w:tc>
          <w:tcPr>
            <w:tcW w:w="4921" w:type="dxa"/>
            <w:tcBorders>
              <w:top w:val="single" w:color="auto" w:sz="4" w:space="0"/>
              <w:left w:val="nil"/>
              <w:bottom w:val="single" w:color="auto" w:sz="4" w:space="0"/>
              <w:right w:val="single" w:color="auto" w:sz="4" w:space="0"/>
            </w:tcBorders>
            <w:vAlign w:val="center"/>
          </w:tcPr>
          <w:p w14:paraId="0FF5B2D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内容是否完整，月报表是否按时提交。</w:t>
            </w:r>
          </w:p>
        </w:tc>
        <w:tc>
          <w:tcPr>
            <w:tcW w:w="1555" w:type="dxa"/>
            <w:vMerge w:val="restart"/>
            <w:tcBorders>
              <w:top w:val="single" w:color="auto" w:sz="4" w:space="0"/>
              <w:left w:val="nil"/>
              <w:bottom w:val="single" w:color="auto" w:sz="4" w:space="0"/>
              <w:right w:val="single" w:color="auto" w:sz="4" w:space="0"/>
            </w:tcBorders>
            <w:vAlign w:val="center"/>
          </w:tcPr>
          <w:p w14:paraId="07AFCAB6">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一份报告不按时提交或内容不合格，扣罚200元。</w:t>
            </w:r>
          </w:p>
        </w:tc>
      </w:tr>
      <w:tr w14:paraId="406A28AA">
        <w:tblPrEx>
          <w:tblCellMar>
            <w:top w:w="0" w:type="dxa"/>
            <w:left w:w="108" w:type="dxa"/>
            <w:bottom w:w="0" w:type="dxa"/>
            <w:right w:w="108" w:type="dxa"/>
          </w:tblCellMar>
        </w:tblPrEx>
        <w:trPr>
          <w:trHeight w:val="441" w:hRule="atLeast"/>
        </w:trPr>
        <w:tc>
          <w:tcPr>
            <w:tcW w:w="764" w:type="dxa"/>
            <w:tcBorders>
              <w:top w:val="single" w:color="auto" w:sz="4" w:space="0"/>
              <w:left w:val="single" w:color="auto" w:sz="4" w:space="0"/>
              <w:bottom w:val="single" w:color="auto" w:sz="4" w:space="0"/>
              <w:right w:val="single" w:color="auto" w:sz="4" w:space="0"/>
            </w:tcBorders>
            <w:vAlign w:val="center"/>
          </w:tcPr>
          <w:p w14:paraId="2FE5FBE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1677" w:type="dxa"/>
            <w:tcBorders>
              <w:top w:val="single" w:color="auto" w:sz="4" w:space="0"/>
              <w:left w:val="nil"/>
              <w:bottom w:val="single" w:color="auto" w:sz="4" w:space="0"/>
              <w:right w:val="single" w:color="auto" w:sz="4" w:space="0"/>
            </w:tcBorders>
            <w:vAlign w:val="center"/>
          </w:tcPr>
          <w:p w14:paraId="0EB2C8B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监测报告</w:t>
            </w:r>
          </w:p>
        </w:tc>
        <w:tc>
          <w:tcPr>
            <w:tcW w:w="4921" w:type="dxa"/>
            <w:tcBorders>
              <w:top w:val="single" w:color="auto" w:sz="4" w:space="0"/>
              <w:left w:val="nil"/>
              <w:bottom w:val="single" w:color="auto" w:sz="4" w:space="0"/>
              <w:right w:val="single" w:color="auto" w:sz="4" w:space="0"/>
            </w:tcBorders>
            <w:vAlign w:val="center"/>
          </w:tcPr>
          <w:p w14:paraId="4F9FA42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内容是否完整，月报表是否按时提交。</w:t>
            </w:r>
          </w:p>
        </w:tc>
        <w:tc>
          <w:tcPr>
            <w:tcW w:w="1555" w:type="dxa"/>
            <w:vMerge w:val="continue"/>
            <w:tcBorders>
              <w:top w:val="single" w:color="auto" w:sz="4" w:space="0"/>
              <w:left w:val="nil"/>
              <w:bottom w:val="single" w:color="auto" w:sz="4" w:space="0"/>
              <w:right w:val="single" w:color="auto" w:sz="4" w:space="0"/>
            </w:tcBorders>
            <w:vAlign w:val="center"/>
          </w:tcPr>
          <w:p w14:paraId="241E0A5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p>
        </w:tc>
      </w:tr>
      <w:tr w14:paraId="7D718E7B">
        <w:tblPrEx>
          <w:tblCellMar>
            <w:top w:w="0" w:type="dxa"/>
            <w:left w:w="108" w:type="dxa"/>
            <w:bottom w:w="0" w:type="dxa"/>
            <w:right w:w="108" w:type="dxa"/>
          </w:tblCellMar>
        </w:tblPrEx>
        <w:trPr>
          <w:trHeight w:val="441" w:hRule="atLeast"/>
        </w:trPr>
        <w:tc>
          <w:tcPr>
            <w:tcW w:w="764" w:type="dxa"/>
            <w:tcBorders>
              <w:top w:val="single" w:color="auto" w:sz="4" w:space="0"/>
              <w:left w:val="single" w:color="auto" w:sz="4" w:space="0"/>
              <w:bottom w:val="single" w:color="auto" w:sz="4" w:space="0"/>
              <w:right w:val="single" w:color="auto" w:sz="4" w:space="0"/>
            </w:tcBorders>
            <w:vAlign w:val="center"/>
          </w:tcPr>
          <w:p w14:paraId="273BC3A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677" w:type="dxa"/>
            <w:tcBorders>
              <w:top w:val="single" w:color="auto" w:sz="4" w:space="0"/>
              <w:left w:val="nil"/>
              <w:bottom w:val="single" w:color="auto" w:sz="4" w:space="0"/>
              <w:right w:val="single" w:color="auto" w:sz="4" w:space="0"/>
            </w:tcBorders>
            <w:vAlign w:val="center"/>
          </w:tcPr>
          <w:p w14:paraId="1597967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预警报告</w:t>
            </w:r>
          </w:p>
        </w:tc>
        <w:tc>
          <w:tcPr>
            <w:tcW w:w="4921" w:type="dxa"/>
            <w:tcBorders>
              <w:top w:val="single" w:color="auto" w:sz="4" w:space="0"/>
              <w:left w:val="nil"/>
              <w:bottom w:val="single" w:color="auto" w:sz="4" w:space="0"/>
              <w:right w:val="single" w:color="auto" w:sz="4" w:space="0"/>
            </w:tcBorders>
            <w:vAlign w:val="center"/>
          </w:tcPr>
          <w:p w14:paraId="12D1130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内容是否完整，月报表是否按时提交。</w:t>
            </w:r>
          </w:p>
        </w:tc>
        <w:tc>
          <w:tcPr>
            <w:tcW w:w="1555" w:type="dxa"/>
            <w:vMerge w:val="continue"/>
            <w:tcBorders>
              <w:top w:val="single" w:color="auto" w:sz="4" w:space="0"/>
              <w:left w:val="nil"/>
              <w:bottom w:val="single" w:color="auto" w:sz="4" w:space="0"/>
              <w:right w:val="single" w:color="auto" w:sz="4" w:space="0"/>
            </w:tcBorders>
            <w:vAlign w:val="center"/>
          </w:tcPr>
          <w:p w14:paraId="458FA57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p>
        </w:tc>
      </w:tr>
      <w:tr w14:paraId="39769463">
        <w:tblPrEx>
          <w:tblCellMar>
            <w:top w:w="0" w:type="dxa"/>
            <w:left w:w="108" w:type="dxa"/>
            <w:bottom w:w="0" w:type="dxa"/>
            <w:right w:w="108" w:type="dxa"/>
          </w:tblCellMar>
        </w:tblPrEx>
        <w:trPr>
          <w:trHeight w:val="441" w:hRule="atLeast"/>
        </w:trPr>
        <w:tc>
          <w:tcPr>
            <w:tcW w:w="764" w:type="dxa"/>
            <w:tcBorders>
              <w:top w:val="single" w:color="auto" w:sz="4" w:space="0"/>
              <w:left w:val="single" w:color="auto" w:sz="4" w:space="0"/>
              <w:bottom w:val="single" w:color="auto" w:sz="4" w:space="0"/>
              <w:right w:val="single" w:color="auto" w:sz="4" w:space="0"/>
            </w:tcBorders>
            <w:vAlign w:val="center"/>
          </w:tcPr>
          <w:p w14:paraId="5AB5F23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1677" w:type="dxa"/>
            <w:tcBorders>
              <w:top w:val="single" w:color="auto" w:sz="4" w:space="0"/>
              <w:left w:val="nil"/>
              <w:bottom w:val="single" w:color="auto" w:sz="4" w:space="0"/>
              <w:right w:val="single" w:color="auto" w:sz="4" w:space="0"/>
            </w:tcBorders>
            <w:vAlign w:val="center"/>
          </w:tcPr>
          <w:p w14:paraId="099405C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应急事件报告</w:t>
            </w:r>
          </w:p>
        </w:tc>
        <w:tc>
          <w:tcPr>
            <w:tcW w:w="4921" w:type="dxa"/>
            <w:tcBorders>
              <w:top w:val="single" w:color="auto" w:sz="4" w:space="0"/>
              <w:left w:val="nil"/>
              <w:bottom w:val="single" w:color="auto" w:sz="4" w:space="0"/>
              <w:right w:val="single" w:color="auto" w:sz="4" w:space="0"/>
            </w:tcBorders>
            <w:vAlign w:val="center"/>
          </w:tcPr>
          <w:p w14:paraId="13522FB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内容是否完整，月报表是否按时提交。</w:t>
            </w:r>
          </w:p>
        </w:tc>
        <w:tc>
          <w:tcPr>
            <w:tcW w:w="1555" w:type="dxa"/>
            <w:vMerge w:val="continue"/>
            <w:tcBorders>
              <w:top w:val="single" w:color="auto" w:sz="4" w:space="0"/>
              <w:left w:val="nil"/>
              <w:bottom w:val="single" w:color="auto" w:sz="4" w:space="0"/>
              <w:right w:val="single" w:color="auto" w:sz="4" w:space="0"/>
            </w:tcBorders>
            <w:vAlign w:val="center"/>
          </w:tcPr>
          <w:p w14:paraId="0433F53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p>
        </w:tc>
      </w:tr>
      <w:tr w14:paraId="36BDB43F">
        <w:tblPrEx>
          <w:tblCellMar>
            <w:top w:w="0" w:type="dxa"/>
            <w:left w:w="108" w:type="dxa"/>
            <w:bottom w:w="0" w:type="dxa"/>
            <w:right w:w="108" w:type="dxa"/>
          </w:tblCellMar>
        </w:tblPrEx>
        <w:trPr>
          <w:trHeight w:val="441" w:hRule="atLeast"/>
        </w:trPr>
        <w:tc>
          <w:tcPr>
            <w:tcW w:w="764" w:type="dxa"/>
            <w:tcBorders>
              <w:top w:val="single" w:color="auto" w:sz="4" w:space="0"/>
              <w:left w:val="single" w:color="auto" w:sz="4" w:space="0"/>
              <w:bottom w:val="single" w:color="auto" w:sz="4" w:space="0"/>
              <w:right w:val="single" w:color="auto" w:sz="4" w:space="0"/>
            </w:tcBorders>
            <w:vAlign w:val="center"/>
          </w:tcPr>
          <w:p w14:paraId="63289DB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1677" w:type="dxa"/>
            <w:tcBorders>
              <w:top w:val="single" w:color="auto" w:sz="4" w:space="0"/>
              <w:left w:val="nil"/>
              <w:bottom w:val="single" w:color="auto" w:sz="4" w:space="0"/>
              <w:right w:val="single" w:color="auto" w:sz="4" w:space="0"/>
            </w:tcBorders>
            <w:vAlign w:val="center"/>
          </w:tcPr>
          <w:p w14:paraId="6629101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预案启动报告</w:t>
            </w:r>
          </w:p>
        </w:tc>
        <w:tc>
          <w:tcPr>
            <w:tcW w:w="4921" w:type="dxa"/>
            <w:tcBorders>
              <w:top w:val="single" w:color="auto" w:sz="4" w:space="0"/>
              <w:left w:val="nil"/>
              <w:bottom w:val="single" w:color="auto" w:sz="4" w:space="0"/>
              <w:right w:val="single" w:color="auto" w:sz="4" w:space="0"/>
            </w:tcBorders>
            <w:vAlign w:val="center"/>
          </w:tcPr>
          <w:p w14:paraId="5B64FE6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内容是否完整，月报表是否按时提交。</w:t>
            </w:r>
          </w:p>
        </w:tc>
        <w:tc>
          <w:tcPr>
            <w:tcW w:w="1555" w:type="dxa"/>
            <w:vMerge w:val="continue"/>
            <w:tcBorders>
              <w:top w:val="single" w:color="auto" w:sz="4" w:space="0"/>
              <w:left w:val="nil"/>
              <w:bottom w:val="single" w:color="auto" w:sz="4" w:space="0"/>
              <w:right w:val="single" w:color="auto" w:sz="4" w:space="0"/>
            </w:tcBorders>
            <w:vAlign w:val="center"/>
          </w:tcPr>
          <w:p w14:paraId="4B91443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p>
        </w:tc>
      </w:tr>
      <w:tr w14:paraId="35A87A34">
        <w:tblPrEx>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vAlign w:val="center"/>
          </w:tcPr>
          <w:p w14:paraId="03C285F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p>
        </w:tc>
        <w:tc>
          <w:tcPr>
            <w:tcW w:w="1677" w:type="dxa"/>
            <w:tcBorders>
              <w:top w:val="single" w:color="auto" w:sz="4" w:space="0"/>
              <w:left w:val="nil"/>
              <w:bottom w:val="single" w:color="auto" w:sz="4" w:space="0"/>
              <w:right w:val="single" w:color="auto" w:sz="4" w:space="0"/>
            </w:tcBorders>
            <w:vAlign w:val="center"/>
          </w:tcPr>
          <w:p w14:paraId="59B017E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维修报告</w:t>
            </w:r>
          </w:p>
        </w:tc>
        <w:tc>
          <w:tcPr>
            <w:tcW w:w="4921" w:type="dxa"/>
            <w:tcBorders>
              <w:top w:val="single" w:color="auto" w:sz="4" w:space="0"/>
              <w:left w:val="nil"/>
              <w:bottom w:val="single" w:color="auto" w:sz="4" w:space="0"/>
              <w:right w:val="single" w:color="auto" w:sz="4" w:space="0"/>
            </w:tcBorders>
            <w:vAlign w:val="center"/>
          </w:tcPr>
          <w:p w14:paraId="353A985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内容是否完整，月报表是否按时提交。</w:t>
            </w:r>
          </w:p>
        </w:tc>
        <w:tc>
          <w:tcPr>
            <w:tcW w:w="1555" w:type="dxa"/>
            <w:vMerge w:val="continue"/>
            <w:tcBorders>
              <w:top w:val="single" w:color="auto" w:sz="4" w:space="0"/>
              <w:left w:val="nil"/>
              <w:bottom w:val="single" w:color="auto" w:sz="4" w:space="0"/>
              <w:right w:val="single" w:color="auto" w:sz="4" w:space="0"/>
            </w:tcBorders>
            <w:vAlign w:val="center"/>
          </w:tcPr>
          <w:p w14:paraId="767EBED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p>
        </w:tc>
      </w:tr>
    </w:tbl>
    <w:p w14:paraId="6E25670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2.时间考核指标</w:t>
      </w:r>
    </w:p>
    <w:p w14:paraId="2F80876F">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维修保养时间考核</w:t>
      </w:r>
    </w:p>
    <w:tbl>
      <w:tblPr>
        <w:tblStyle w:val="61"/>
        <w:tblW w:w="8944" w:type="dxa"/>
        <w:tblInd w:w="0" w:type="dxa"/>
        <w:tblLayout w:type="fixed"/>
        <w:tblCellMar>
          <w:top w:w="0" w:type="dxa"/>
          <w:left w:w="108" w:type="dxa"/>
          <w:bottom w:w="0" w:type="dxa"/>
          <w:right w:w="108" w:type="dxa"/>
        </w:tblCellMar>
      </w:tblPr>
      <w:tblGrid>
        <w:gridCol w:w="757"/>
        <w:gridCol w:w="1746"/>
        <w:gridCol w:w="4456"/>
        <w:gridCol w:w="1985"/>
      </w:tblGrid>
      <w:tr w14:paraId="11904B5B">
        <w:tblPrEx>
          <w:tblCellMar>
            <w:top w:w="0" w:type="dxa"/>
            <w:left w:w="108" w:type="dxa"/>
            <w:bottom w:w="0" w:type="dxa"/>
            <w:right w:w="108" w:type="dxa"/>
          </w:tblCellMar>
        </w:tblPrEx>
        <w:trPr>
          <w:trHeight w:val="525" w:hRule="atLeast"/>
          <w:tblHeader/>
        </w:trPr>
        <w:tc>
          <w:tcPr>
            <w:tcW w:w="757" w:type="dxa"/>
            <w:tcBorders>
              <w:top w:val="single" w:color="auto" w:sz="4" w:space="0"/>
              <w:left w:val="single" w:color="auto" w:sz="4" w:space="0"/>
              <w:bottom w:val="single" w:color="auto" w:sz="4" w:space="0"/>
              <w:right w:val="single" w:color="auto" w:sz="4" w:space="0"/>
            </w:tcBorders>
            <w:vAlign w:val="center"/>
          </w:tcPr>
          <w:p w14:paraId="7573ECC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序号</w:t>
            </w:r>
          </w:p>
        </w:tc>
        <w:tc>
          <w:tcPr>
            <w:tcW w:w="1746" w:type="dxa"/>
            <w:tcBorders>
              <w:top w:val="single" w:color="auto" w:sz="4" w:space="0"/>
              <w:left w:val="nil"/>
              <w:bottom w:val="single" w:color="auto" w:sz="4" w:space="0"/>
              <w:right w:val="single" w:color="auto" w:sz="4" w:space="0"/>
            </w:tcBorders>
            <w:vAlign w:val="center"/>
          </w:tcPr>
          <w:p w14:paraId="4C6132E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维修保养内容</w:t>
            </w:r>
          </w:p>
        </w:tc>
        <w:tc>
          <w:tcPr>
            <w:tcW w:w="4456" w:type="dxa"/>
            <w:tcBorders>
              <w:top w:val="single" w:color="auto" w:sz="4" w:space="0"/>
              <w:left w:val="nil"/>
              <w:bottom w:val="single" w:color="auto" w:sz="4" w:space="0"/>
              <w:right w:val="single" w:color="auto" w:sz="4" w:space="0"/>
            </w:tcBorders>
            <w:vAlign w:val="center"/>
          </w:tcPr>
          <w:p w14:paraId="574A0E0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维保时间标准</w:t>
            </w:r>
          </w:p>
        </w:tc>
        <w:tc>
          <w:tcPr>
            <w:tcW w:w="1985" w:type="dxa"/>
            <w:tcBorders>
              <w:top w:val="single" w:color="auto" w:sz="4" w:space="0"/>
              <w:left w:val="nil"/>
              <w:bottom w:val="single" w:color="auto" w:sz="4" w:space="0"/>
              <w:right w:val="single" w:color="auto" w:sz="4" w:space="0"/>
            </w:tcBorders>
            <w:vAlign w:val="center"/>
          </w:tcPr>
          <w:p w14:paraId="0498BE6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不合格处理方式</w:t>
            </w:r>
          </w:p>
        </w:tc>
      </w:tr>
      <w:tr w14:paraId="0C949EDE">
        <w:tblPrEx>
          <w:tblCellMar>
            <w:top w:w="0" w:type="dxa"/>
            <w:left w:w="108" w:type="dxa"/>
            <w:bottom w:w="0" w:type="dxa"/>
            <w:right w:w="108" w:type="dxa"/>
          </w:tblCellMar>
        </w:tblPrEx>
        <w:trPr>
          <w:trHeight w:val="670" w:hRule="atLeast"/>
        </w:trPr>
        <w:tc>
          <w:tcPr>
            <w:tcW w:w="757" w:type="dxa"/>
            <w:tcBorders>
              <w:top w:val="nil"/>
              <w:left w:val="single" w:color="auto" w:sz="4" w:space="0"/>
              <w:bottom w:val="single" w:color="auto" w:sz="4" w:space="0"/>
              <w:right w:val="single" w:color="auto" w:sz="4" w:space="0"/>
            </w:tcBorders>
            <w:vAlign w:val="center"/>
          </w:tcPr>
          <w:p w14:paraId="043E4F6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1746" w:type="dxa"/>
            <w:tcBorders>
              <w:top w:val="nil"/>
              <w:left w:val="nil"/>
              <w:bottom w:val="single" w:color="auto" w:sz="4" w:space="0"/>
              <w:right w:val="single" w:color="auto" w:sz="4" w:space="0"/>
            </w:tcBorders>
            <w:vAlign w:val="center"/>
          </w:tcPr>
          <w:p w14:paraId="2AEBB61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前端设备</w:t>
            </w:r>
          </w:p>
        </w:tc>
        <w:tc>
          <w:tcPr>
            <w:tcW w:w="4456" w:type="dxa"/>
            <w:tcBorders>
              <w:top w:val="nil"/>
              <w:left w:val="nil"/>
              <w:bottom w:val="single" w:color="auto" w:sz="4" w:space="0"/>
              <w:right w:val="single" w:color="auto" w:sz="4" w:space="0"/>
            </w:tcBorders>
            <w:vAlign w:val="center"/>
          </w:tcPr>
          <w:p w14:paraId="191035D6">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前端摄像机和镜头至少每1个月一次，其他设备至少每季度一次。</w:t>
            </w:r>
          </w:p>
        </w:tc>
        <w:tc>
          <w:tcPr>
            <w:tcW w:w="1985" w:type="dxa"/>
            <w:vMerge w:val="restart"/>
            <w:tcBorders>
              <w:top w:val="nil"/>
              <w:left w:val="nil"/>
              <w:right w:val="single" w:color="auto" w:sz="4" w:space="0"/>
            </w:tcBorders>
            <w:vAlign w:val="center"/>
          </w:tcPr>
          <w:p w14:paraId="3A991BA9">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抽查不按时维保，发现一次扣罚3000元。</w:t>
            </w:r>
          </w:p>
        </w:tc>
      </w:tr>
      <w:tr w14:paraId="19DD0C43">
        <w:tblPrEx>
          <w:tblCellMar>
            <w:top w:w="0" w:type="dxa"/>
            <w:left w:w="108" w:type="dxa"/>
            <w:bottom w:w="0" w:type="dxa"/>
            <w:right w:w="108" w:type="dxa"/>
          </w:tblCellMar>
        </w:tblPrEx>
        <w:trPr>
          <w:trHeight w:val="515" w:hRule="atLeast"/>
        </w:trPr>
        <w:tc>
          <w:tcPr>
            <w:tcW w:w="757" w:type="dxa"/>
            <w:tcBorders>
              <w:top w:val="nil"/>
              <w:left w:val="single" w:color="auto" w:sz="4" w:space="0"/>
              <w:bottom w:val="single" w:color="auto" w:sz="4" w:space="0"/>
              <w:right w:val="single" w:color="auto" w:sz="4" w:space="0"/>
            </w:tcBorders>
            <w:vAlign w:val="center"/>
          </w:tcPr>
          <w:p w14:paraId="0DC4406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1746" w:type="dxa"/>
            <w:tcBorders>
              <w:top w:val="nil"/>
              <w:left w:val="nil"/>
              <w:bottom w:val="single" w:color="auto" w:sz="4" w:space="0"/>
              <w:right w:val="single" w:color="auto" w:sz="4" w:space="0"/>
            </w:tcBorders>
            <w:vAlign w:val="center"/>
          </w:tcPr>
          <w:p w14:paraId="0C857E6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传输网络</w:t>
            </w:r>
          </w:p>
        </w:tc>
        <w:tc>
          <w:tcPr>
            <w:tcW w:w="4456" w:type="dxa"/>
            <w:tcBorders>
              <w:top w:val="nil"/>
              <w:left w:val="nil"/>
              <w:bottom w:val="single" w:color="auto" w:sz="4" w:space="0"/>
              <w:right w:val="single" w:color="auto" w:sz="4" w:space="0"/>
            </w:tcBorders>
            <w:vAlign w:val="center"/>
          </w:tcPr>
          <w:p w14:paraId="4CE3C169">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至少每个月一次。</w:t>
            </w:r>
          </w:p>
        </w:tc>
        <w:tc>
          <w:tcPr>
            <w:tcW w:w="1985" w:type="dxa"/>
            <w:vMerge w:val="continue"/>
            <w:tcBorders>
              <w:left w:val="nil"/>
              <w:right w:val="single" w:color="auto" w:sz="4" w:space="0"/>
            </w:tcBorders>
            <w:vAlign w:val="center"/>
          </w:tcPr>
          <w:p w14:paraId="6F3D01A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lang w:val="en-US" w:eastAsia="zh-CN"/>
              </w:rPr>
            </w:pPr>
          </w:p>
        </w:tc>
      </w:tr>
      <w:tr w14:paraId="3BA2277C">
        <w:tblPrEx>
          <w:tblCellMar>
            <w:top w:w="0" w:type="dxa"/>
            <w:left w:w="108" w:type="dxa"/>
            <w:bottom w:w="0" w:type="dxa"/>
            <w:right w:w="108" w:type="dxa"/>
          </w:tblCellMar>
        </w:tblPrEx>
        <w:trPr>
          <w:trHeight w:val="515" w:hRule="atLeast"/>
        </w:trPr>
        <w:tc>
          <w:tcPr>
            <w:tcW w:w="757" w:type="dxa"/>
            <w:tcBorders>
              <w:top w:val="nil"/>
              <w:left w:val="single" w:color="auto" w:sz="4" w:space="0"/>
              <w:bottom w:val="single" w:color="auto" w:sz="4" w:space="0"/>
              <w:right w:val="single" w:color="auto" w:sz="4" w:space="0"/>
            </w:tcBorders>
            <w:vAlign w:val="center"/>
          </w:tcPr>
          <w:p w14:paraId="04A56D7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746" w:type="dxa"/>
            <w:tcBorders>
              <w:top w:val="nil"/>
              <w:left w:val="nil"/>
              <w:bottom w:val="single" w:color="auto" w:sz="4" w:space="0"/>
              <w:right w:val="single" w:color="auto" w:sz="4" w:space="0"/>
            </w:tcBorders>
            <w:vAlign w:val="center"/>
          </w:tcPr>
          <w:p w14:paraId="3209762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后端设备</w:t>
            </w:r>
          </w:p>
        </w:tc>
        <w:tc>
          <w:tcPr>
            <w:tcW w:w="4456" w:type="dxa"/>
            <w:tcBorders>
              <w:top w:val="nil"/>
              <w:left w:val="nil"/>
              <w:bottom w:val="single" w:color="auto" w:sz="4" w:space="0"/>
              <w:right w:val="single" w:color="auto" w:sz="4" w:space="0"/>
            </w:tcBorders>
            <w:vAlign w:val="center"/>
          </w:tcPr>
          <w:p w14:paraId="0360F032">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至少每个月一次。</w:t>
            </w:r>
          </w:p>
        </w:tc>
        <w:tc>
          <w:tcPr>
            <w:tcW w:w="1985" w:type="dxa"/>
            <w:vMerge w:val="continue"/>
            <w:tcBorders>
              <w:left w:val="nil"/>
              <w:bottom w:val="single" w:color="auto" w:sz="4" w:space="0"/>
              <w:right w:val="single" w:color="auto" w:sz="4" w:space="0"/>
            </w:tcBorders>
            <w:vAlign w:val="center"/>
          </w:tcPr>
          <w:p w14:paraId="7F5AB1B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lang w:val="en-US" w:eastAsia="zh-CN"/>
              </w:rPr>
            </w:pPr>
          </w:p>
        </w:tc>
      </w:tr>
    </w:tbl>
    <w:p w14:paraId="4BF581E9">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5733FEEC">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故障响应处理时限考核</w:t>
      </w:r>
    </w:p>
    <w:p w14:paraId="3A871AB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服务方需提供7×24小时响应服务，具体响应方式及响应时间具体内容如下：</w:t>
      </w:r>
    </w:p>
    <w:tbl>
      <w:tblPr>
        <w:tblStyle w:val="62"/>
        <w:tblW w:w="8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3784"/>
        <w:gridCol w:w="3501"/>
      </w:tblGrid>
      <w:tr w14:paraId="524F6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59" w:type="dxa"/>
            <w:vAlign w:val="center"/>
          </w:tcPr>
          <w:p w14:paraId="6655821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故障类型</w:t>
            </w:r>
          </w:p>
        </w:tc>
        <w:tc>
          <w:tcPr>
            <w:tcW w:w="3784" w:type="dxa"/>
            <w:vAlign w:val="center"/>
          </w:tcPr>
          <w:p w14:paraId="10B266F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故障内容</w:t>
            </w:r>
          </w:p>
        </w:tc>
        <w:tc>
          <w:tcPr>
            <w:tcW w:w="3501" w:type="dxa"/>
            <w:vAlign w:val="center"/>
          </w:tcPr>
          <w:p w14:paraId="7B0872B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响应时间</w:t>
            </w:r>
          </w:p>
        </w:tc>
      </w:tr>
      <w:tr w14:paraId="70C3D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159E90B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故障驱动响应</w:t>
            </w:r>
          </w:p>
        </w:tc>
        <w:tc>
          <w:tcPr>
            <w:tcW w:w="3784" w:type="dxa"/>
            <w:vAlign w:val="center"/>
          </w:tcPr>
          <w:p w14:paraId="4F1F279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设备出现警告，不影响系统运行。</w:t>
            </w:r>
          </w:p>
        </w:tc>
        <w:tc>
          <w:tcPr>
            <w:tcW w:w="3501" w:type="dxa"/>
            <w:vAlign w:val="center"/>
          </w:tcPr>
          <w:p w14:paraId="61715734">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7×24小时电话咨询，8小时内到达现场并修复。</w:t>
            </w:r>
          </w:p>
        </w:tc>
      </w:tr>
      <w:tr w14:paraId="16D3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5CD70A4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服务请求响应</w:t>
            </w:r>
          </w:p>
        </w:tc>
        <w:tc>
          <w:tcPr>
            <w:tcW w:w="3784" w:type="dxa"/>
            <w:vAlign w:val="center"/>
          </w:tcPr>
          <w:p w14:paraId="1C9A866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部分设备损坏，但系统正常运行。</w:t>
            </w:r>
          </w:p>
        </w:tc>
        <w:tc>
          <w:tcPr>
            <w:tcW w:w="3501" w:type="dxa"/>
            <w:vAlign w:val="center"/>
          </w:tcPr>
          <w:p w14:paraId="0668511F">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7×24小时电话咨询，4小时内到达现场并修复。</w:t>
            </w:r>
          </w:p>
        </w:tc>
      </w:tr>
      <w:tr w14:paraId="36B7B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157DB62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应急响应</w:t>
            </w:r>
          </w:p>
        </w:tc>
        <w:tc>
          <w:tcPr>
            <w:tcW w:w="3784" w:type="dxa"/>
            <w:vAlign w:val="center"/>
          </w:tcPr>
          <w:p w14:paraId="176C6F8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设备故障。</w:t>
            </w:r>
          </w:p>
        </w:tc>
        <w:tc>
          <w:tcPr>
            <w:tcW w:w="3501" w:type="dxa"/>
            <w:vAlign w:val="center"/>
          </w:tcPr>
          <w:p w14:paraId="108E9DDF">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7×24小时电话咨询，2小时内到达现场并修复。</w:t>
            </w:r>
          </w:p>
        </w:tc>
      </w:tr>
    </w:tbl>
    <w:p w14:paraId="1DAB88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到达现场后，需8小时内修复，故障修复时间均以业主单位申报开始计时，若有特殊情况须经业主单位书面同意方可延长故障排除时间。</w:t>
      </w:r>
    </w:p>
    <w:p w14:paraId="3AC2DE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超时处置：</w:t>
      </w:r>
    </w:p>
    <w:p w14:paraId="6F085D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1.响应时间每超过1小时，扣罚200元；</w:t>
      </w:r>
    </w:p>
    <w:p w14:paraId="6E74E1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2.故障处理每超过1天未修复，扣罚200元（特殊情况业主单位书面同意延长排除时间的除外）；</w:t>
      </w:r>
    </w:p>
    <w:p w14:paraId="047E58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3.故障处理严重超时，且无法提供用户方能认可的原因的，扣罚1000元/次。</w:t>
      </w:r>
    </w:p>
    <w:p w14:paraId="3D5D173B">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14:paraId="581BBD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p>
    <w:p w14:paraId="4745D3A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（三）商务要求表  </w:t>
      </w:r>
    </w:p>
    <w:tbl>
      <w:tblPr>
        <w:tblStyle w:val="61"/>
        <w:tblW w:w="863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24"/>
        <w:gridCol w:w="7110"/>
      </w:tblGrid>
      <w:tr w14:paraId="6E3106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524" w:type="dxa"/>
            <w:noWrap w:val="0"/>
            <w:vAlign w:val="center"/>
          </w:tcPr>
          <w:p w14:paraId="1816C35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项目</w:t>
            </w:r>
          </w:p>
        </w:tc>
        <w:tc>
          <w:tcPr>
            <w:tcW w:w="7110" w:type="dxa"/>
            <w:noWrap w:val="0"/>
            <w:vAlign w:val="center"/>
          </w:tcPr>
          <w:p w14:paraId="23A463FE">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bidi="ar"/>
              </w:rPr>
              <w:t>要 求</w:t>
            </w:r>
          </w:p>
        </w:tc>
      </w:tr>
      <w:tr w14:paraId="61652D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35" w:hRule="atLeast"/>
          <w:jc w:val="center"/>
        </w:trPr>
        <w:tc>
          <w:tcPr>
            <w:tcW w:w="1524" w:type="dxa"/>
            <w:noWrap w:val="0"/>
            <w:vAlign w:val="center"/>
          </w:tcPr>
          <w:p w14:paraId="27CD35E0">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服务期限</w:t>
            </w:r>
          </w:p>
        </w:tc>
        <w:tc>
          <w:tcPr>
            <w:tcW w:w="7110" w:type="dxa"/>
            <w:noWrap w:val="0"/>
            <w:vAlign w:val="center"/>
          </w:tcPr>
          <w:p w14:paraId="22674400">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服务期限三年，合同一年一签；</w:t>
            </w:r>
          </w:p>
          <w:p w14:paraId="579CDC48">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第一年合同签订之日起进入服务筹备期，服务筹备期不超过20天；第一年服务期限从服务筹备期结束之日起一年；第一年合同期满后经采购人考核合格合同可续签一年，最多可续签二年。</w:t>
            </w:r>
          </w:p>
          <w:p w14:paraId="0C01139C">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服务期结束后</w:t>
            </w:r>
            <w:r>
              <w:rPr>
                <w:rFonts w:hint="eastAsia" w:ascii="宋体" w:hAnsi="宋体" w:cs="宋体"/>
                <w:color w:val="auto"/>
                <w:sz w:val="24"/>
                <w:szCs w:val="24"/>
                <w:highlight w:val="none"/>
                <w:lang w:val="en-US" w:eastAsia="zh-CN"/>
              </w:rPr>
              <w:t>中标人提供的</w:t>
            </w:r>
            <w:r>
              <w:rPr>
                <w:rFonts w:hint="eastAsia" w:ascii="宋体" w:hAnsi="宋体" w:eastAsia="宋体" w:cs="宋体"/>
                <w:color w:val="auto"/>
                <w:sz w:val="24"/>
                <w:szCs w:val="24"/>
                <w:highlight w:val="none"/>
                <w:lang w:val="en-US" w:eastAsia="zh-CN"/>
              </w:rPr>
              <w:t>设备及软件系统产权归中标人所有。</w:t>
            </w:r>
          </w:p>
        </w:tc>
      </w:tr>
      <w:tr w14:paraId="147186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2" w:hRule="atLeast"/>
          <w:jc w:val="center"/>
        </w:trPr>
        <w:tc>
          <w:tcPr>
            <w:tcW w:w="1524" w:type="dxa"/>
            <w:noWrap w:val="0"/>
            <w:vAlign w:val="center"/>
          </w:tcPr>
          <w:p w14:paraId="0A2ADE2B">
            <w:pPr>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履约保证金</w:t>
            </w:r>
          </w:p>
        </w:tc>
        <w:tc>
          <w:tcPr>
            <w:tcW w:w="7110" w:type="dxa"/>
            <w:noWrap w:val="0"/>
            <w:vAlign w:val="center"/>
          </w:tcPr>
          <w:p w14:paraId="190A4915">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本项目不收取。</w:t>
            </w:r>
          </w:p>
        </w:tc>
      </w:tr>
      <w:tr w14:paraId="7542E7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41" w:hRule="atLeast"/>
          <w:jc w:val="center"/>
        </w:trPr>
        <w:tc>
          <w:tcPr>
            <w:tcW w:w="1524" w:type="dxa"/>
            <w:noWrap w:val="0"/>
            <w:vAlign w:val="center"/>
          </w:tcPr>
          <w:p w14:paraId="7FFB9338">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付款方式</w:t>
            </w:r>
          </w:p>
        </w:tc>
        <w:tc>
          <w:tcPr>
            <w:tcW w:w="7110" w:type="dxa"/>
            <w:noWrap w:val="0"/>
            <w:vAlign w:val="center"/>
          </w:tcPr>
          <w:p w14:paraId="46B7F371">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合同生效以及具备实施条件后7个工作日内向成交供应商预付合同金额的</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0%，成交供应商于合同签订前书面承诺放弃预付款或降低预付款支付比例的，可不适用本条款。</w:t>
            </w:r>
          </w:p>
          <w:p w14:paraId="5F03FA22">
            <w:pPr>
              <w:spacing w:line="400" w:lineRule="exact"/>
              <w:jc w:val="left"/>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服务期满后</w:t>
            </w:r>
            <w:r>
              <w:rPr>
                <w:rFonts w:hint="eastAsia" w:ascii="宋体" w:hAnsi="宋体" w:eastAsia="宋体" w:cs="宋体"/>
                <w:color w:val="auto"/>
                <w:sz w:val="24"/>
                <w:szCs w:val="24"/>
                <w:highlight w:val="none"/>
                <w:lang w:val="en-US" w:eastAsia="zh-CN"/>
              </w:rPr>
              <w:t>根据考核情况</w:t>
            </w:r>
            <w:r>
              <w:rPr>
                <w:rFonts w:hint="eastAsia" w:ascii="宋体" w:hAnsi="宋体" w:eastAsia="宋体" w:cs="宋体"/>
                <w:color w:val="auto"/>
                <w:sz w:val="24"/>
                <w:szCs w:val="24"/>
                <w:highlight w:val="none"/>
              </w:rPr>
              <w:t>支付剩余合同金额。</w:t>
            </w:r>
          </w:p>
        </w:tc>
      </w:tr>
      <w:tr w14:paraId="542851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06" w:hRule="atLeast"/>
          <w:jc w:val="center"/>
        </w:trPr>
        <w:tc>
          <w:tcPr>
            <w:tcW w:w="1524" w:type="dxa"/>
            <w:noWrap w:val="0"/>
            <w:vAlign w:val="center"/>
          </w:tcPr>
          <w:p w14:paraId="704BB01D">
            <w:pPr>
              <w:spacing w:line="400" w:lineRule="exact"/>
              <w:jc w:val="center"/>
              <w:rPr>
                <w:rFonts w:hint="eastAsia" w:ascii="宋体" w:hAnsi="宋体" w:eastAsia="宋体" w:cs="宋体"/>
                <w:color w:val="auto"/>
                <w:sz w:val="24"/>
                <w:szCs w:val="24"/>
                <w:highlight w:val="none"/>
                <w:lang w:bidi="ar"/>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lang w:val="en-US" w:eastAsia="zh-CN"/>
              </w:rPr>
              <w:t>合同签订</w:t>
            </w:r>
          </w:p>
        </w:tc>
        <w:tc>
          <w:tcPr>
            <w:tcW w:w="7110" w:type="dxa"/>
            <w:noWrap w:val="0"/>
            <w:vAlign w:val="center"/>
          </w:tcPr>
          <w:p w14:paraId="6B0B73B5">
            <w:pPr>
              <w:spacing w:line="400" w:lineRule="exact"/>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成交通知书发出之日起</w:t>
            </w:r>
            <w:r>
              <w:rPr>
                <w:rFonts w:hint="eastAsia" w:ascii="宋体" w:hAnsi="宋体" w:eastAsia="宋体" w:cs="宋体"/>
                <w:color w:val="auto"/>
                <w:kern w:val="0"/>
                <w:sz w:val="24"/>
                <w:szCs w:val="24"/>
                <w:highlight w:val="none"/>
                <w:lang w:val="en-US" w:eastAsia="zh-CN"/>
              </w:rPr>
              <w:t>30日</w:t>
            </w:r>
            <w:r>
              <w:rPr>
                <w:rFonts w:hint="eastAsia" w:ascii="宋体" w:hAnsi="宋体" w:eastAsia="宋体" w:cs="宋体"/>
                <w:color w:val="auto"/>
                <w:kern w:val="0"/>
                <w:sz w:val="24"/>
                <w:szCs w:val="24"/>
                <w:highlight w:val="none"/>
              </w:rPr>
              <w:t>内签订政府采购合同</w:t>
            </w:r>
            <w:r>
              <w:rPr>
                <w:rFonts w:hint="eastAsia" w:ascii="宋体" w:hAnsi="宋体" w:eastAsia="宋体" w:cs="宋体"/>
                <w:color w:val="auto"/>
                <w:kern w:val="0"/>
                <w:sz w:val="24"/>
                <w:szCs w:val="24"/>
                <w:highlight w:val="none"/>
                <w:lang w:eastAsia="zh-CN"/>
              </w:rPr>
              <w:t>；</w:t>
            </w:r>
          </w:p>
          <w:p w14:paraId="0AD957AA">
            <w:pPr>
              <w:spacing w:line="400" w:lineRule="exact"/>
              <w:jc w:val="left"/>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kern w:val="0"/>
                <w:sz w:val="24"/>
                <w:szCs w:val="24"/>
                <w:highlight w:val="none"/>
                <w:lang w:val="en-US" w:eastAsia="zh-CN"/>
              </w:rPr>
              <w:t>除因不可抗力或磋商文件认可的情形以外，成交供应商不与采购人签订合同的，成交供应商须承担相应的违法责任。</w:t>
            </w:r>
          </w:p>
        </w:tc>
      </w:tr>
    </w:tbl>
    <w:p w14:paraId="5D9B82A0">
      <w:pPr>
        <w:spacing w:line="360" w:lineRule="auto"/>
        <w:ind w:firstLine="120" w:firstLineChars="50"/>
        <w:rPr>
          <w:rFonts w:hint="eastAsia" w:ascii="宋体" w:hAnsi="宋体" w:eastAsia="宋体" w:cs="宋体"/>
          <w:b/>
          <w:color w:val="auto"/>
          <w:sz w:val="24"/>
          <w:szCs w:val="24"/>
          <w:highlight w:val="none"/>
        </w:rPr>
      </w:pPr>
    </w:p>
    <w:p w14:paraId="6EB11E08">
      <w:pPr>
        <w:pStyle w:val="7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p>
    <w:p w14:paraId="1FBC6A1D">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76"/>
      <w:bookmarkEnd w:id="77"/>
      <w:bookmarkStart w:id="87" w:name="第四部分"/>
      <w:r>
        <w:rPr>
          <w:rFonts w:hint="eastAsia" w:cs="仿宋_GB2312" w:asciiTheme="minorEastAsia" w:hAnsiTheme="minorEastAsia" w:eastAsiaTheme="minorEastAsia"/>
          <w:b/>
          <w:color w:val="auto"/>
          <w:sz w:val="36"/>
          <w:szCs w:val="36"/>
          <w:highlight w:val="none"/>
        </w:rPr>
        <w:t>评审方法及评审标准</w:t>
      </w:r>
    </w:p>
    <w:p w14:paraId="54F8B986">
      <w:pPr>
        <w:pStyle w:val="398"/>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1"/>
        <w:tblW w:w="57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307"/>
        <w:gridCol w:w="5889"/>
        <w:gridCol w:w="540"/>
        <w:gridCol w:w="1033"/>
      </w:tblGrid>
      <w:tr w14:paraId="3466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92" w:type="pct"/>
            <w:gridSpan w:val="3"/>
            <w:tcBorders>
              <w:top w:val="single" w:color="auto" w:sz="4" w:space="0"/>
              <w:left w:val="single" w:color="auto" w:sz="4" w:space="0"/>
              <w:bottom w:val="single" w:color="auto" w:sz="6" w:space="0"/>
              <w:right w:val="single" w:color="auto" w:sz="6" w:space="0"/>
              <w:tl2br w:val="single" w:color="auto" w:sz="4" w:space="0"/>
            </w:tcBorders>
            <w:noWrap w:val="0"/>
            <w:vAlign w:val="top"/>
          </w:tcPr>
          <w:p w14:paraId="5F12EA78">
            <w:pPr>
              <w:spacing w:line="360" w:lineRule="auto"/>
              <w:ind w:right="105"/>
              <w:jc w:val="righ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供应商</w:t>
            </w:r>
          </w:p>
          <w:p w14:paraId="032125EF">
            <w:pPr>
              <w:spacing w:line="360" w:lineRule="auto"/>
              <w:ind w:right="525" w:firstLine="210" w:firstLineChars="1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评分明细</w:t>
            </w:r>
          </w:p>
        </w:tc>
        <w:tc>
          <w:tcPr>
            <w:tcW w:w="277" w:type="pct"/>
            <w:tcBorders>
              <w:top w:val="single" w:color="auto" w:sz="4" w:space="0"/>
              <w:left w:val="single" w:color="auto" w:sz="6" w:space="0"/>
              <w:bottom w:val="single" w:color="auto" w:sz="6" w:space="0"/>
              <w:right w:val="single" w:color="auto" w:sz="4" w:space="0"/>
            </w:tcBorders>
            <w:noWrap w:val="0"/>
            <w:vAlign w:val="center"/>
          </w:tcPr>
          <w:p w14:paraId="1BEC833F">
            <w:pPr>
              <w:spacing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分值</w:t>
            </w:r>
          </w:p>
        </w:tc>
        <w:tc>
          <w:tcPr>
            <w:tcW w:w="530" w:type="pct"/>
            <w:tcBorders>
              <w:top w:val="single" w:color="auto" w:sz="4" w:space="0"/>
              <w:left w:val="single" w:color="auto" w:sz="6" w:space="0"/>
              <w:bottom w:val="single" w:color="auto" w:sz="6" w:space="0"/>
              <w:right w:val="single" w:color="auto" w:sz="4" w:space="0"/>
            </w:tcBorders>
            <w:noWrap w:val="0"/>
            <w:vAlign w:val="center"/>
          </w:tcPr>
          <w:p w14:paraId="7BA38B92">
            <w:pPr>
              <w:adjustRightInd/>
              <w:spacing w:line="360" w:lineRule="auto"/>
              <w:jc w:val="center"/>
              <w:rPr>
                <w:rFonts w:hint="eastAsia" w:ascii="宋体" w:hAnsi="宋体" w:eastAsia="宋体" w:cs="宋体"/>
                <w:b w:val="0"/>
                <w:bCs w:val="0"/>
                <w:snapToGrid w:val="0"/>
                <w:color w:val="auto"/>
                <w:spacing w:val="-4"/>
                <w:sz w:val="21"/>
                <w:szCs w:val="21"/>
                <w:highlight w:val="none"/>
              </w:rPr>
            </w:pPr>
            <w:r>
              <w:rPr>
                <w:rFonts w:hint="eastAsia" w:ascii="宋体" w:hAnsi="宋体" w:eastAsia="宋体" w:cs="宋体"/>
                <w:b w:val="0"/>
                <w:bCs w:val="0"/>
                <w:color w:val="auto"/>
                <w:sz w:val="21"/>
                <w:szCs w:val="21"/>
                <w:highlight w:val="none"/>
              </w:rPr>
              <w:t>主观分/客观分属性</w:t>
            </w:r>
          </w:p>
        </w:tc>
      </w:tr>
      <w:tr w14:paraId="35377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498" w:type="pct"/>
            <w:vMerge w:val="restart"/>
            <w:tcBorders>
              <w:top w:val="single" w:color="auto" w:sz="6" w:space="0"/>
              <w:left w:val="single" w:color="auto" w:sz="4" w:space="0"/>
              <w:right w:val="single" w:color="auto" w:sz="6" w:space="0"/>
            </w:tcBorders>
            <w:noWrap w:val="0"/>
            <w:vAlign w:val="center"/>
          </w:tcPr>
          <w:p w14:paraId="5131264F">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商务技术分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90分</w:t>
            </w:r>
            <w:r>
              <w:rPr>
                <w:rFonts w:hint="eastAsia" w:ascii="宋体" w:hAnsi="宋体" w:eastAsia="宋体" w:cs="宋体"/>
                <w:color w:val="auto"/>
                <w:sz w:val="21"/>
                <w:szCs w:val="21"/>
                <w:highlight w:val="none"/>
                <w:lang w:eastAsia="zh-CN"/>
              </w:rPr>
              <w:t>）</w:t>
            </w:r>
          </w:p>
        </w:tc>
        <w:tc>
          <w:tcPr>
            <w:tcW w:w="670" w:type="pct"/>
            <w:tcBorders>
              <w:left w:val="single" w:color="auto" w:sz="6" w:space="0"/>
              <w:right w:val="single" w:color="auto" w:sz="6" w:space="0"/>
            </w:tcBorders>
            <w:noWrap w:val="0"/>
            <w:vAlign w:val="center"/>
          </w:tcPr>
          <w:p w14:paraId="47327F6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项目业绩（1分）</w:t>
            </w:r>
          </w:p>
        </w:tc>
        <w:tc>
          <w:tcPr>
            <w:tcW w:w="3022" w:type="pct"/>
            <w:tcBorders>
              <w:top w:val="single" w:color="auto" w:sz="6" w:space="0"/>
              <w:left w:val="single" w:color="auto" w:sz="6" w:space="0"/>
              <w:right w:val="single" w:color="auto" w:sz="6" w:space="0"/>
            </w:tcBorders>
            <w:noWrap w:val="0"/>
            <w:vAlign w:val="center"/>
          </w:tcPr>
          <w:p w14:paraId="25BBCFA1">
            <w:pPr>
              <w:tabs>
                <w:tab w:val="left" w:pos="1330"/>
              </w:tabs>
              <w:autoSpaceDE w:val="0"/>
              <w:autoSpaceDN w:val="0"/>
              <w:spacing w:line="360" w:lineRule="auto"/>
              <w:ind w:hanging="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供应商202</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年1月1日至今（以合同签订时间为准）</w:t>
            </w:r>
            <w:r>
              <w:rPr>
                <w:rFonts w:hint="eastAsia" w:ascii="宋体" w:hAnsi="宋体" w:eastAsia="宋体" w:cs="宋体"/>
                <w:color w:val="auto"/>
                <w:kern w:val="0"/>
                <w:sz w:val="21"/>
                <w:szCs w:val="21"/>
                <w:highlight w:val="none"/>
              </w:rPr>
              <w:t>具有同类建设或</w:t>
            </w:r>
            <w:r>
              <w:rPr>
                <w:rFonts w:hint="eastAsia" w:ascii="宋体" w:hAnsi="宋体" w:eastAsia="宋体" w:cs="宋体"/>
                <w:color w:val="auto"/>
                <w:kern w:val="0"/>
                <w:sz w:val="21"/>
                <w:szCs w:val="21"/>
                <w:highlight w:val="none"/>
                <w:lang w:val="en-US" w:eastAsia="zh-CN"/>
              </w:rPr>
              <w:t>提供</w:t>
            </w:r>
            <w:r>
              <w:rPr>
                <w:rFonts w:hint="eastAsia" w:ascii="宋体" w:hAnsi="宋体" w:eastAsia="宋体" w:cs="宋体"/>
                <w:color w:val="auto"/>
                <w:kern w:val="0"/>
                <w:sz w:val="21"/>
                <w:szCs w:val="21"/>
                <w:highlight w:val="none"/>
              </w:rPr>
              <w:t>服务项目业绩</w:t>
            </w:r>
            <w:r>
              <w:rPr>
                <w:rFonts w:hint="eastAsia" w:ascii="宋体" w:hAnsi="宋体" w:eastAsia="宋体" w:cs="宋体"/>
                <w:color w:val="auto"/>
                <w:kern w:val="0"/>
                <w:sz w:val="21"/>
                <w:szCs w:val="21"/>
                <w:highlight w:val="none"/>
                <w:lang w:val="zh-CN"/>
              </w:rPr>
              <w:t>，每提供一个得</w:t>
            </w:r>
            <w:r>
              <w:rPr>
                <w:rFonts w:hint="eastAsia" w:ascii="宋体" w:hAnsi="宋体" w:eastAsia="宋体" w:cs="宋体"/>
                <w:color w:val="auto"/>
                <w:kern w:val="0"/>
                <w:sz w:val="21"/>
                <w:szCs w:val="21"/>
                <w:highlight w:val="none"/>
              </w:rPr>
              <w:t>0.5</w:t>
            </w:r>
            <w:r>
              <w:rPr>
                <w:rFonts w:hint="eastAsia" w:ascii="宋体" w:hAnsi="宋体" w:eastAsia="宋体" w:cs="宋体"/>
                <w:color w:val="auto"/>
                <w:kern w:val="0"/>
                <w:sz w:val="21"/>
                <w:szCs w:val="21"/>
                <w:highlight w:val="none"/>
                <w:lang w:val="zh-CN"/>
              </w:rPr>
              <w:t>分，最高得</w:t>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zh-CN"/>
              </w:rPr>
              <w:t>分。注：</w:t>
            </w:r>
            <w:r>
              <w:rPr>
                <w:rFonts w:hint="eastAsia" w:ascii="宋体" w:hAnsi="宋体" w:cs="宋体"/>
                <w:color w:val="auto"/>
                <w:kern w:val="0"/>
                <w:sz w:val="21"/>
                <w:szCs w:val="21"/>
                <w:highlight w:val="none"/>
                <w:lang w:val="en-US" w:eastAsia="zh-CN"/>
              </w:rPr>
              <w:t>磋商响应</w:t>
            </w:r>
            <w:r>
              <w:rPr>
                <w:rFonts w:hint="eastAsia" w:ascii="宋体" w:hAnsi="宋体" w:eastAsia="宋体" w:cs="宋体"/>
                <w:color w:val="auto"/>
                <w:kern w:val="0"/>
                <w:sz w:val="21"/>
                <w:szCs w:val="21"/>
                <w:highlight w:val="none"/>
                <w:lang w:val="zh-CN"/>
              </w:rPr>
              <w:t>文件中提供合同复印件加盖公章。</w:t>
            </w:r>
          </w:p>
        </w:tc>
        <w:tc>
          <w:tcPr>
            <w:tcW w:w="277" w:type="pct"/>
            <w:tcBorders>
              <w:top w:val="single" w:color="auto" w:sz="6" w:space="0"/>
              <w:left w:val="single" w:color="auto" w:sz="6" w:space="0"/>
              <w:right w:val="single" w:color="auto" w:sz="4" w:space="0"/>
            </w:tcBorders>
            <w:noWrap w:val="0"/>
            <w:vAlign w:val="center"/>
          </w:tcPr>
          <w:p w14:paraId="2F0ACD0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30" w:type="pct"/>
            <w:tcBorders>
              <w:top w:val="single" w:color="auto" w:sz="6" w:space="0"/>
              <w:left w:val="single" w:color="auto" w:sz="6" w:space="0"/>
              <w:bottom w:val="single" w:color="auto" w:sz="6" w:space="0"/>
              <w:right w:val="single" w:color="auto" w:sz="4" w:space="0"/>
            </w:tcBorders>
            <w:noWrap w:val="0"/>
            <w:vAlign w:val="center"/>
          </w:tcPr>
          <w:p w14:paraId="5FFBEA7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w:t>
            </w:r>
          </w:p>
          <w:p w14:paraId="2CFD5DA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w:t>
            </w:r>
          </w:p>
        </w:tc>
      </w:tr>
      <w:tr w14:paraId="38C9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8" w:type="pct"/>
            <w:vMerge w:val="continue"/>
            <w:tcBorders>
              <w:left w:val="single" w:color="auto" w:sz="4" w:space="0"/>
              <w:right w:val="single" w:color="auto" w:sz="6" w:space="0"/>
            </w:tcBorders>
            <w:noWrap w:val="0"/>
            <w:vAlign w:val="center"/>
          </w:tcPr>
          <w:p w14:paraId="64E9B1D2">
            <w:pPr>
              <w:spacing w:line="360" w:lineRule="auto"/>
              <w:jc w:val="center"/>
              <w:rPr>
                <w:rFonts w:hint="eastAsia" w:ascii="宋体" w:hAnsi="宋体" w:eastAsia="宋体" w:cs="宋体"/>
                <w:color w:val="auto"/>
                <w:sz w:val="21"/>
                <w:szCs w:val="21"/>
                <w:highlight w:val="none"/>
              </w:rPr>
            </w:pPr>
          </w:p>
        </w:tc>
        <w:tc>
          <w:tcPr>
            <w:tcW w:w="670" w:type="pct"/>
            <w:vMerge w:val="restart"/>
            <w:tcBorders>
              <w:left w:val="single" w:color="auto" w:sz="6" w:space="0"/>
              <w:right w:val="single" w:color="auto" w:sz="6" w:space="0"/>
            </w:tcBorders>
            <w:noWrap w:val="0"/>
            <w:vAlign w:val="center"/>
          </w:tcPr>
          <w:p w14:paraId="262F7A61">
            <w:pPr>
              <w:tabs>
                <w:tab w:val="left" w:pos="1330"/>
              </w:tabs>
              <w:autoSpaceDE w:val="0"/>
              <w:autoSpaceDN w:val="0"/>
              <w:spacing w:line="360" w:lineRule="auto"/>
              <w:ind w:hanging="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拟派项目团队人员（</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lang w:val="zh-CN"/>
              </w:rPr>
              <w:t>分）</w:t>
            </w:r>
          </w:p>
        </w:tc>
        <w:tc>
          <w:tcPr>
            <w:tcW w:w="3022" w:type="pct"/>
            <w:tcBorders>
              <w:top w:val="single" w:color="auto" w:sz="6" w:space="0"/>
              <w:left w:val="single" w:color="auto" w:sz="6" w:space="0"/>
              <w:bottom w:val="single" w:color="auto" w:sz="6" w:space="0"/>
              <w:right w:val="single" w:color="auto" w:sz="6" w:space="0"/>
            </w:tcBorders>
            <w:noWrap w:val="0"/>
            <w:vAlign w:val="center"/>
          </w:tcPr>
          <w:p w14:paraId="69FB6820">
            <w:pPr>
              <w:tabs>
                <w:tab w:val="left" w:pos="1330"/>
              </w:tabs>
              <w:autoSpaceDE w:val="0"/>
              <w:autoSpaceDN w:val="0"/>
              <w:spacing w:line="360" w:lineRule="auto"/>
              <w:ind w:hanging="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1.项目负责人</w:t>
            </w:r>
            <w:r>
              <w:rPr>
                <w:rFonts w:hint="eastAsia" w:ascii="宋体" w:hAnsi="宋体" w:eastAsia="宋体" w:cs="宋体"/>
                <w:color w:val="auto"/>
                <w:kern w:val="0"/>
                <w:sz w:val="21"/>
                <w:szCs w:val="21"/>
                <w:highlight w:val="none"/>
                <w:lang w:val="en-US" w:eastAsia="zh-CN"/>
              </w:rPr>
              <w:t>具有信息系统项目管理师</w:t>
            </w:r>
            <w:r>
              <w:rPr>
                <w:rFonts w:hint="eastAsia" w:ascii="宋体" w:hAnsi="宋体" w:eastAsia="宋体" w:cs="宋体"/>
                <w:color w:val="auto"/>
                <w:kern w:val="0"/>
                <w:sz w:val="21"/>
                <w:szCs w:val="21"/>
                <w:highlight w:val="none"/>
                <w:lang w:val="zh-CN"/>
              </w:rPr>
              <w:t>证书的得2分；</w:t>
            </w:r>
          </w:p>
          <w:p w14:paraId="176E4790">
            <w:pPr>
              <w:tabs>
                <w:tab w:val="left" w:pos="1330"/>
              </w:tabs>
              <w:autoSpaceDE w:val="0"/>
              <w:autoSpaceDN w:val="0"/>
              <w:spacing w:line="360" w:lineRule="auto"/>
              <w:ind w:hanging="6"/>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2.</w:t>
            </w:r>
            <w:r>
              <w:rPr>
                <w:rFonts w:hint="eastAsia" w:ascii="宋体" w:hAnsi="宋体" w:eastAsia="宋体" w:cs="宋体"/>
                <w:color w:val="auto"/>
                <w:sz w:val="21"/>
                <w:szCs w:val="21"/>
                <w:highlight w:val="none"/>
              </w:rPr>
              <w:t>项目团队成员（除项目负责人）</w:t>
            </w:r>
            <w:r>
              <w:rPr>
                <w:rFonts w:hint="eastAsia" w:ascii="宋体" w:hAnsi="宋体" w:cs="宋体"/>
                <w:color w:val="auto"/>
                <w:szCs w:val="21"/>
                <w:highlight w:val="none"/>
              </w:rPr>
              <w:t>具有全国计算机技术与软件专业技术资格（水平）考试中级及以上证书的每本得1分，每提供1本证书得1分，同一个人有多本证书的只能得1分，最多得2分。</w:t>
            </w:r>
          </w:p>
          <w:p w14:paraId="5D21677F">
            <w:pPr>
              <w:tabs>
                <w:tab w:val="left" w:pos="1330"/>
              </w:tabs>
              <w:autoSpaceDE w:val="0"/>
              <w:autoSpaceDN w:val="0"/>
              <w:spacing w:line="360" w:lineRule="auto"/>
              <w:ind w:hanging="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注：响应</w:t>
            </w:r>
            <w:r>
              <w:rPr>
                <w:rFonts w:hint="eastAsia" w:ascii="宋体" w:hAnsi="宋体" w:eastAsia="宋体" w:cs="宋体"/>
                <w:color w:val="auto"/>
                <w:kern w:val="0"/>
                <w:sz w:val="21"/>
                <w:szCs w:val="21"/>
                <w:highlight w:val="none"/>
                <w:lang w:val="zh-CN" w:eastAsia="zh-CN"/>
              </w:rPr>
              <w:t>文件中提供证书复印件</w:t>
            </w:r>
            <w:r>
              <w:rPr>
                <w:rFonts w:hint="eastAsia" w:ascii="宋体" w:hAnsi="宋体" w:eastAsia="宋体" w:cs="宋体"/>
                <w:color w:val="auto"/>
                <w:kern w:val="0"/>
                <w:sz w:val="21"/>
                <w:szCs w:val="21"/>
                <w:highlight w:val="none"/>
                <w:lang w:val="en-US" w:eastAsia="zh-CN"/>
              </w:rPr>
              <w:t>以及供应商为其缴纳的提交响应文件截止时间前三个月内任意一个月的</w:t>
            </w:r>
            <w:r>
              <w:rPr>
                <w:rFonts w:hint="eastAsia" w:ascii="宋体" w:hAnsi="宋体" w:cs="宋体"/>
                <w:color w:val="auto"/>
                <w:kern w:val="0"/>
                <w:sz w:val="21"/>
                <w:szCs w:val="21"/>
                <w:highlight w:val="none"/>
                <w:lang w:val="en-US" w:eastAsia="zh-CN"/>
              </w:rPr>
              <w:t>社保</w:t>
            </w:r>
            <w:r>
              <w:rPr>
                <w:rFonts w:hint="eastAsia" w:ascii="宋体" w:hAnsi="宋体" w:eastAsia="宋体" w:cs="宋体"/>
                <w:color w:val="auto"/>
                <w:kern w:val="0"/>
                <w:sz w:val="21"/>
                <w:szCs w:val="21"/>
                <w:highlight w:val="none"/>
                <w:lang w:val="en-US" w:eastAsia="zh-CN"/>
              </w:rPr>
              <w:t>证明材料。</w:t>
            </w:r>
          </w:p>
        </w:tc>
        <w:tc>
          <w:tcPr>
            <w:tcW w:w="277" w:type="pct"/>
            <w:tcBorders>
              <w:top w:val="single" w:color="auto" w:sz="6" w:space="0"/>
              <w:left w:val="single" w:color="auto" w:sz="6" w:space="0"/>
              <w:bottom w:val="single" w:color="auto" w:sz="6" w:space="0"/>
              <w:right w:val="single" w:color="auto" w:sz="4" w:space="0"/>
            </w:tcBorders>
            <w:noWrap w:val="0"/>
            <w:vAlign w:val="center"/>
          </w:tcPr>
          <w:p w14:paraId="22EFACE4">
            <w:pPr>
              <w:tabs>
                <w:tab w:val="left" w:pos="1330"/>
              </w:tabs>
              <w:autoSpaceDE w:val="0"/>
              <w:autoSpaceDN w:val="0"/>
              <w:spacing w:line="360" w:lineRule="auto"/>
              <w:ind w:hanging="6"/>
              <w:jc w:val="center"/>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en-US" w:eastAsia="zh-CN"/>
              </w:rPr>
              <w:t>4</w:t>
            </w:r>
          </w:p>
        </w:tc>
        <w:tc>
          <w:tcPr>
            <w:tcW w:w="530" w:type="pct"/>
            <w:tcBorders>
              <w:top w:val="single" w:color="auto" w:sz="6" w:space="0"/>
              <w:left w:val="single" w:color="auto" w:sz="6" w:space="0"/>
              <w:bottom w:val="single" w:color="auto" w:sz="6" w:space="0"/>
              <w:right w:val="single" w:color="auto" w:sz="4" w:space="0"/>
            </w:tcBorders>
            <w:noWrap w:val="0"/>
            <w:vAlign w:val="center"/>
          </w:tcPr>
          <w:p w14:paraId="6FD922F3">
            <w:pPr>
              <w:tabs>
                <w:tab w:val="left" w:pos="1330"/>
              </w:tabs>
              <w:autoSpaceDE w:val="0"/>
              <w:autoSpaceDN w:val="0"/>
              <w:spacing w:line="360" w:lineRule="auto"/>
              <w:ind w:hanging="6"/>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客观</w:t>
            </w:r>
          </w:p>
          <w:p w14:paraId="21914DF5">
            <w:pPr>
              <w:tabs>
                <w:tab w:val="left" w:pos="1330"/>
              </w:tabs>
              <w:autoSpaceDE w:val="0"/>
              <w:autoSpaceDN w:val="0"/>
              <w:spacing w:line="360" w:lineRule="auto"/>
              <w:ind w:hanging="6"/>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评审</w:t>
            </w:r>
          </w:p>
        </w:tc>
      </w:tr>
      <w:tr w14:paraId="2D548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pct"/>
            <w:vMerge w:val="continue"/>
            <w:tcBorders>
              <w:left w:val="single" w:color="auto" w:sz="4" w:space="0"/>
              <w:right w:val="single" w:color="auto" w:sz="6" w:space="0"/>
            </w:tcBorders>
            <w:noWrap w:val="0"/>
            <w:vAlign w:val="center"/>
          </w:tcPr>
          <w:p w14:paraId="78D3670E">
            <w:pPr>
              <w:spacing w:line="360" w:lineRule="auto"/>
              <w:jc w:val="center"/>
              <w:rPr>
                <w:rFonts w:hint="eastAsia" w:ascii="宋体" w:hAnsi="宋体" w:eastAsia="宋体" w:cs="宋体"/>
                <w:color w:val="auto"/>
                <w:sz w:val="21"/>
                <w:szCs w:val="21"/>
                <w:highlight w:val="none"/>
              </w:rPr>
            </w:pPr>
          </w:p>
        </w:tc>
        <w:tc>
          <w:tcPr>
            <w:tcW w:w="670" w:type="pct"/>
            <w:vMerge w:val="continue"/>
            <w:tcBorders>
              <w:left w:val="single" w:color="auto" w:sz="6" w:space="0"/>
              <w:right w:val="single" w:color="auto" w:sz="6" w:space="0"/>
            </w:tcBorders>
            <w:noWrap w:val="0"/>
            <w:vAlign w:val="center"/>
          </w:tcPr>
          <w:p w14:paraId="4E70C9BB">
            <w:pPr>
              <w:tabs>
                <w:tab w:val="left" w:pos="1330"/>
              </w:tabs>
              <w:autoSpaceDE w:val="0"/>
              <w:autoSpaceDN w:val="0"/>
              <w:spacing w:line="360" w:lineRule="auto"/>
              <w:ind w:hanging="6"/>
              <w:rPr>
                <w:rFonts w:hint="eastAsia" w:ascii="宋体" w:hAnsi="宋体" w:eastAsia="宋体" w:cs="宋体"/>
                <w:color w:val="auto"/>
                <w:kern w:val="0"/>
                <w:sz w:val="21"/>
                <w:szCs w:val="21"/>
                <w:highlight w:val="none"/>
                <w:lang w:val="zh-CN"/>
              </w:rPr>
            </w:pPr>
          </w:p>
        </w:tc>
        <w:tc>
          <w:tcPr>
            <w:tcW w:w="3022" w:type="pct"/>
            <w:tcBorders>
              <w:top w:val="single" w:color="auto" w:sz="6" w:space="0"/>
              <w:left w:val="single" w:color="auto" w:sz="6" w:space="0"/>
              <w:bottom w:val="single" w:color="auto" w:sz="6" w:space="0"/>
              <w:right w:val="single" w:color="auto" w:sz="6" w:space="0"/>
            </w:tcBorders>
            <w:noWrap w:val="0"/>
            <w:vAlign w:val="center"/>
          </w:tcPr>
          <w:p w14:paraId="2FA11D66">
            <w:pPr>
              <w:tabs>
                <w:tab w:val="left" w:pos="1330"/>
              </w:tabs>
              <w:autoSpaceDE w:val="0"/>
              <w:autoSpaceDN w:val="0"/>
              <w:spacing w:line="360" w:lineRule="auto"/>
              <w:ind w:hanging="6"/>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根据供应商提供的人员管理、保障方案进行评审，包括①人员管理方案；②人员管理制度；③人员考核制度；④人员奖惩制度；⑤人员保障方案；每符合一小项得1分，有所欠缺得0.5分，满分5分。</w:t>
            </w:r>
          </w:p>
        </w:tc>
        <w:tc>
          <w:tcPr>
            <w:tcW w:w="277" w:type="pct"/>
            <w:tcBorders>
              <w:top w:val="single" w:color="auto" w:sz="6" w:space="0"/>
              <w:left w:val="single" w:color="auto" w:sz="6" w:space="0"/>
              <w:bottom w:val="single" w:color="auto" w:sz="6" w:space="0"/>
              <w:right w:val="single" w:color="auto" w:sz="4" w:space="0"/>
            </w:tcBorders>
            <w:noWrap w:val="0"/>
            <w:vAlign w:val="center"/>
          </w:tcPr>
          <w:p w14:paraId="223C128E">
            <w:pPr>
              <w:tabs>
                <w:tab w:val="left" w:pos="1330"/>
              </w:tabs>
              <w:autoSpaceDE w:val="0"/>
              <w:autoSpaceDN w:val="0"/>
              <w:spacing w:line="360" w:lineRule="auto"/>
              <w:ind w:hanging="6"/>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5</w:t>
            </w:r>
          </w:p>
        </w:tc>
        <w:tc>
          <w:tcPr>
            <w:tcW w:w="530" w:type="pct"/>
            <w:tcBorders>
              <w:top w:val="single" w:color="auto" w:sz="6" w:space="0"/>
              <w:left w:val="single" w:color="auto" w:sz="6" w:space="0"/>
              <w:bottom w:val="single" w:color="auto" w:sz="6" w:space="0"/>
              <w:right w:val="single" w:color="auto" w:sz="4" w:space="0"/>
            </w:tcBorders>
            <w:noWrap w:val="0"/>
            <w:vAlign w:val="center"/>
          </w:tcPr>
          <w:p w14:paraId="2C46D1D8">
            <w:pPr>
              <w:tabs>
                <w:tab w:val="left" w:pos="1330"/>
              </w:tabs>
              <w:autoSpaceDE w:val="0"/>
              <w:autoSpaceDN w:val="0"/>
              <w:spacing w:line="360" w:lineRule="auto"/>
              <w:ind w:hanging="6"/>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主观</w:t>
            </w:r>
          </w:p>
          <w:p w14:paraId="351C7DD2">
            <w:pPr>
              <w:tabs>
                <w:tab w:val="left" w:pos="1330"/>
              </w:tabs>
              <w:autoSpaceDE w:val="0"/>
              <w:autoSpaceDN w:val="0"/>
              <w:spacing w:line="360" w:lineRule="auto"/>
              <w:ind w:hanging="6"/>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评审</w:t>
            </w:r>
          </w:p>
        </w:tc>
      </w:tr>
      <w:tr w14:paraId="6405D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8" w:type="pct"/>
            <w:vMerge w:val="continue"/>
            <w:tcBorders>
              <w:left w:val="single" w:color="auto" w:sz="4" w:space="0"/>
              <w:right w:val="single" w:color="auto" w:sz="6" w:space="0"/>
            </w:tcBorders>
            <w:noWrap w:val="0"/>
            <w:vAlign w:val="center"/>
          </w:tcPr>
          <w:p w14:paraId="69ED1F9E">
            <w:pPr>
              <w:spacing w:line="360" w:lineRule="auto"/>
              <w:jc w:val="center"/>
              <w:rPr>
                <w:rFonts w:hint="eastAsia" w:ascii="宋体" w:hAnsi="宋体" w:eastAsia="宋体" w:cs="宋体"/>
                <w:color w:val="auto"/>
                <w:sz w:val="21"/>
                <w:szCs w:val="21"/>
                <w:highlight w:val="none"/>
              </w:rPr>
            </w:pPr>
          </w:p>
        </w:tc>
        <w:tc>
          <w:tcPr>
            <w:tcW w:w="670" w:type="pct"/>
            <w:tcBorders>
              <w:left w:val="single" w:color="auto" w:sz="6" w:space="0"/>
              <w:right w:val="single" w:color="auto" w:sz="6" w:space="0"/>
            </w:tcBorders>
            <w:noWrap w:val="0"/>
            <w:vAlign w:val="center"/>
          </w:tcPr>
          <w:p w14:paraId="02CAE2CA">
            <w:pPr>
              <w:spacing w:line="36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提供服务配置设备的技术性能（20分</w:t>
            </w:r>
            <w:r>
              <w:rPr>
                <w:rFonts w:hint="eastAsia" w:ascii="宋体" w:hAnsi="宋体" w:eastAsia="宋体" w:cs="宋体"/>
                <w:color w:val="auto"/>
                <w:sz w:val="21"/>
                <w:szCs w:val="21"/>
                <w:highlight w:val="none"/>
                <w:lang w:val="en-US" w:eastAsia="zh-CN"/>
              </w:rPr>
              <w:t>）</w:t>
            </w:r>
          </w:p>
        </w:tc>
        <w:tc>
          <w:tcPr>
            <w:tcW w:w="3022" w:type="pct"/>
            <w:tcBorders>
              <w:top w:val="single" w:color="auto" w:sz="6" w:space="0"/>
              <w:left w:val="single" w:color="auto" w:sz="6" w:space="0"/>
              <w:bottom w:val="single" w:color="auto" w:sz="6" w:space="0"/>
              <w:right w:val="single" w:color="auto" w:sz="6" w:space="0"/>
            </w:tcBorders>
            <w:noWrap w:val="0"/>
            <w:vAlign w:val="center"/>
          </w:tcPr>
          <w:p w14:paraId="6D44E6E5">
            <w:pPr>
              <w:pStyle w:val="4"/>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left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根据磋商采购文件第四部分采购需求中“</w:t>
            </w:r>
            <w:r>
              <w:rPr>
                <w:rFonts w:hint="eastAsia" w:ascii="宋体" w:hAnsi="宋体" w:eastAsia="宋体" w:cs="宋体"/>
                <w:color w:val="auto"/>
                <w:sz w:val="21"/>
                <w:szCs w:val="21"/>
                <w:highlight w:val="none"/>
                <w:lang w:val="en-US" w:eastAsia="zh-CN"/>
              </w:rPr>
              <w:t xml:space="preserve">四 </w:t>
            </w:r>
            <w:bookmarkStart w:id="88" w:name="OLE_LINK4"/>
            <w:r>
              <w:rPr>
                <w:rFonts w:hint="eastAsia" w:ascii="宋体" w:hAnsi="宋体" w:eastAsia="宋体" w:cs="宋体"/>
                <w:color w:val="auto"/>
                <w:sz w:val="21"/>
                <w:szCs w:val="21"/>
                <w:highlight w:val="none"/>
                <w:lang w:val="en-US" w:eastAsia="zh-CN"/>
              </w:rPr>
              <w:t>采购服务</w:t>
            </w:r>
            <w:r>
              <w:rPr>
                <w:rFonts w:hint="eastAsia" w:ascii="宋体" w:hAnsi="宋体" w:cs="宋体"/>
                <w:color w:val="auto"/>
                <w:sz w:val="21"/>
                <w:szCs w:val="21"/>
                <w:highlight w:val="none"/>
                <w:lang w:val="en-US" w:eastAsia="zh-CN"/>
              </w:rPr>
              <w:t>所需</w:t>
            </w:r>
            <w:r>
              <w:rPr>
                <w:rFonts w:hint="eastAsia" w:ascii="宋体" w:hAnsi="宋体" w:eastAsia="宋体" w:cs="宋体"/>
                <w:color w:val="auto"/>
                <w:sz w:val="21"/>
                <w:szCs w:val="21"/>
                <w:highlight w:val="none"/>
                <w:lang w:val="en-US" w:eastAsia="zh-CN"/>
              </w:rPr>
              <w:t>配置设备清单</w:t>
            </w:r>
            <w:bookmarkEnd w:id="88"/>
            <w:r>
              <w:rPr>
                <w:rFonts w:hint="eastAsia" w:ascii="宋体" w:hAnsi="宋体" w:eastAsia="宋体" w:cs="宋体"/>
                <w:b w:val="0"/>
                <w:bCs w:val="0"/>
                <w:color w:val="auto"/>
                <w:kern w:val="2"/>
                <w:sz w:val="21"/>
                <w:szCs w:val="21"/>
                <w:highlight w:val="none"/>
                <w:lang w:val="en-US" w:eastAsia="zh-CN" w:bidi="ar-SA"/>
              </w:rPr>
              <w:t>”中技术参数响应情况的评审，技术参数每负偏离1条扣</w:t>
            </w:r>
            <w:r>
              <w:rPr>
                <w:rFonts w:hint="eastAsia" w:ascii="宋体" w:hAnsi="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en-US" w:eastAsia="zh-CN" w:bidi="ar-SA"/>
              </w:rPr>
              <w:t>分；扣至0分（或以下）时，其磋商响应文件作无效处理。</w:t>
            </w:r>
          </w:p>
        </w:tc>
        <w:tc>
          <w:tcPr>
            <w:tcW w:w="277" w:type="pct"/>
            <w:tcBorders>
              <w:top w:val="single" w:color="auto" w:sz="6" w:space="0"/>
              <w:left w:val="single" w:color="auto" w:sz="6" w:space="0"/>
              <w:bottom w:val="single" w:color="auto" w:sz="6" w:space="0"/>
              <w:right w:val="single" w:color="auto" w:sz="4" w:space="0"/>
            </w:tcBorders>
            <w:noWrap w:val="0"/>
            <w:vAlign w:val="center"/>
          </w:tcPr>
          <w:p w14:paraId="144FC0FE">
            <w:pPr>
              <w:widowControl/>
              <w:spacing w:line="300" w:lineRule="exact"/>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20</w:t>
            </w:r>
          </w:p>
        </w:tc>
        <w:tc>
          <w:tcPr>
            <w:tcW w:w="530" w:type="pct"/>
            <w:tcBorders>
              <w:top w:val="single" w:color="auto" w:sz="6" w:space="0"/>
              <w:left w:val="single" w:color="auto" w:sz="6" w:space="0"/>
              <w:bottom w:val="single" w:color="auto" w:sz="6" w:space="0"/>
              <w:right w:val="single" w:color="auto" w:sz="4" w:space="0"/>
            </w:tcBorders>
            <w:noWrap w:val="0"/>
            <w:vAlign w:val="center"/>
          </w:tcPr>
          <w:p w14:paraId="696B76AA">
            <w:pPr>
              <w:widowControl/>
              <w:spacing w:line="30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客观分</w:t>
            </w:r>
          </w:p>
        </w:tc>
      </w:tr>
      <w:tr w14:paraId="79A8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498" w:type="pct"/>
            <w:vMerge w:val="continue"/>
            <w:tcBorders>
              <w:left w:val="single" w:color="auto" w:sz="4" w:space="0"/>
              <w:right w:val="single" w:color="auto" w:sz="6" w:space="0"/>
            </w:tcBorders>
            <w:noWrap w:val="0"/>
            <w:vAlign w:val="center"/>
          </w:tcPr>
          <w:p w14:paraId="75797619">
            <w:pPr>
              <w:spacing w:line="360" w:lineRule="auto"/>
              <w:jc w:val="center"/>
              <w:rPr>
                <w:rFonts w:hint="eastAsia" w:ascii="宋体" w:hAnsi="宋体" w:eastAsia="宋体" w:cs="宋体"/>
                <w:color w:val="auto"/>
                <w:sz w:val="21"/>
                <w:szCs w:val="21"/>
                <w:highlight w:val="none"/>
              </w:rPr>
            </w:pPr>
          </w:p>
        </w:tc>
        <w:tc>
          <w:tcPr>
            <w:tcW w:w="670" w:type="pct"/>
            <w:vMerge w:val="restart"/>
            <w:tcBorders>
              <w:left w:val="single" w:color="auto" w:sz="6" w:space="0"/>
              <w:right w:val="single" w:color="auto" w:sz="6" w:space="0"/>
            </w:tcBorders>
            <w:noWrap w:val="0"/>
            <w:vAlign w:val="center"/>
          </w:tcPr>
          <w:p w14:paraId="1F7A40CC">
            <w:pP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方案（</w:t>
            </w:r>
            <w:r>
              <w:rPr>
                <w:rFonts w:hint="eastAsia" w:ascii="宋体" w:hAnsi="宋体" w:cs="宋体"/>
                <w:color w:val="auto"/>
                <w:sz w:val="21"/>
                <w:szCs w:val="21"/>
                <w:highlight w:val="none"/>
                <w:lang w:val="en-US" w:eastAsia="zh-CN"/>
              </w:rPr>
              <w:t>36</w:t>
            </w:r>
            <w:r>
              <w:rPr>
                <w:rFonts w:hint="eastAsia" w:ascii="宋体" w:hAnsi="宋体" w:eastAsia="宋体" w:cs="宋体"/>
                <w:color w:val="auto"/>
                <w:sz w:val="21"/>
                <w:szCs w:val="21"/>
                <w:highlight w:val="none"/>
                <w:lang w:val="en-US" w:eastAsia="zh-CN"/>
              </w:rPr>
              <w:t>分）</w:t>
            </w:r>
          </w:p>
        </w:tc>
        <w:tc>
          <w:tcPr>
            <w:tcW w:w="3022" w:type="pct"/>
            <w:tcBorders>
              <w:top w:val="single" w:color="auto" w:sz="6" w:space="0"/>
              <w:left w:val="single" w:color="auto" w:sz="6" w:space="0"/>
              <w:right w:val="single" w:color="auto" w:sz="6" w:space="0"/>
            </w:tcBorders>
            <w:noWrap w:val="0"/>
            <w:vAlign w:val="center"/>
          </w:tcPr>
          <w:p w14:paraId="69D0A84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w:t>
            </w:r>
            <w:r>
              <w:rPr>
                <w:rFonts w:hint="eastAsia" w:ascii="宋体" w:hAnsi="宋体" w:eastAsia="宋体" w:cs="宋体"/>
                <w:b/>
                <w:bCs/>
                <w:color w:val="auto"/>
                <w:sz w:val="21"/>
                <w:szCs w:val="21"/>
                <w:highlight w:val="none"/>
                <w:lang w:val="en-US" w:eastAsia="zh-CN"/>
              </w:rPr>
              <w:t>管理端-社区管控功能服务</w:t>
            </w:r>
            <w:r>
              <w:rPr>
                <w:rFonts w:hint="eastAsia" w:ascii="宋体" w:hAnsi="宋体" w:eastAsia="宋体" w:cs="宋体"/>
                <w:color w:val="auto"/>
                <w:sz w:val="21"/>
                <w:szCs w:val="21"/>
                <w:highlight w:val="none"/>
              </w:rPr>
              <w:t>方案进</w:t>
            </w:r>
            <w:r>
              <w:rPr>
                <w:rFonts w:hint="eastAsia" w:ascii="宋体" w:hAnsi="宋体" w:eastAsia="宋体" w:cs="宋体"/>
                <w:color w:val="auto"/>
                <w:kern w:val="0"/>
                <w:sz w:val="21"/>
                <w:szCs w:val="21"/>
                <w:highlight w:val="none"/>
              </w:rPr>
              <w:t>行评审：</w:t>
            </w:r>
            <w:r>
              <w:rPr>
                <w:rFonts w:hint="eastAsia" w:ascii="宋体" w:hAnsi="宋体" w:eastAsia="宋体" w:cs="宋体"/>
                <w:color w:val="auto"/>
                <w:kern w:val="0"/>
                <w:sz w:val="21"/>
                <w:szCs w:val="21"/>
                <w:highlight w:val="none"/>
                <w:lang w:val="en-US" w:eastAsia="zh-CN"/>
              </w:rPr>
              <w:t>包括</w:t>
            </w:r>
            <w:bookmarkStart w:id="89" w:name="OLE_LINK19"/>
            <w:r>
              <w:rPr>
                <w:rFonts w:hint="eastAsia" w:ascii="宋体" w:hAnsi="宋体" w:eastAsia="宋体" w:cs="宋体"/>
                <w:color w:val="auto"/>
                <w:kern w:val="0"/>
                <w:sz w:val="21"/>
                <w:szCs w:val="21"/>
                <w:highlight w:val="none"/>
                <w:lang w:val="en-US" w:eastAsia="zh-CN"/>
              </w:rPr>
              <w:t>①</w:t>
            </w:r>
            <w:bookmarkEnd w:id="89"/>
            <w:r>
              <w:rPr>
                <w:rFonts w:hint="eastAsia" w:ascii="宋体" w:hAnsi="宋体" w:eastAsia="宋体" w:cs="宋体"/>
                <w:color w:val="auto"/>
                <w:kern w:val="0"/>
                <w:sz w:val="21"/>
                <w:szCs w:val="21"/>
                <w:highlight w:val="none"/>
                <w:lang w:val="en-US" w:eastAsia="zh-CN"/>
              </w:rPr>
              <w:t>常落未登记人员 ；②外来人员；③涉毒人员；④社区矫正人员；⑤频繁夜归及涉赌人员等功能；每符合一小项得1分，有所欠缺得0.5分，满分5分。</w:t>
            </w:r>
          </w:p>
        </w:tc>
        <w:tc>
          <w:tcPr>
            <w:tcW w:w="277" w:type="pct"/>
            <w:tcBorders>
              <w:top w:val="single" w:color="auto" w:sz="6" w:space="0"/>
              <w:left w:val="single" w:color="auto" w:sz="6" w:space="0"/>
              <w:right w:val="single" w:color="auto" w:sz="4" w:space="0"/>
            </w:tcBorders>
            <w:noWrap w:val="0"/>
            <w:vAlign w:val="center"/>
          </w:tcPr>
          <w:p w14:paraId="1C2B095A">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530" w:type="pct"/>
            <w:tcBorders>
              <w:top w:val="single" w:color="auto" w:sz="6" w:space="0"/>
              <w:left w:val="single" w:color="auto" w:sz="6" w:space="0"/>
              <w:bottom w:val="single" w:color="auto" w:sz="6" w:space="0"/>
              <w:right w:val="single" w:color="auto" w:sz="4" w:space="0"/>
            </w:tcBorders>
            <w:noWrap w:val="0"/>
            <w:vAlign w:val="center"/>
          </w:tcPr>
          <w:p w14:paraId="2705830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w:t>
            </w:r>
          </w:p>
          <w:p w14:paraId="116293F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w:t>
            </w:r>
          </w:p>
        </w:tc>
      </w:tr>
      <w:tr w14:paraId="6DA0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8" w:type="pct"/>
            <w:vMerge w:val="continue"/>
            <w:tcBorders>
              <w:left w:val="single" w:color="auto" w:sz="4" w:space="0"/>
              <w:right w:val="single" w:color="auto" w:sz="6" w:space="0"/>
            </w:tcBorders>
            <w:noWrap w:val="0"/>
            <w:vAlign w:val="center"/>
          </w:tcPr>
          <w:p w14:paraId="2E0F3BE5">
            <w:pPr>
              <w:spacing w:line="360" w:lineRule="auto"/>
              <w:jc w:val="center"/>
              <w:rPr>
                <w:rFonts w:hint="eastAsia" w:ascii="宋体" w:hAnsi="宋体" w:eastAsia="宋体" w:cs="宋体"/>
                <w:color w:val="auto"/>
                <w:sz w:val="21"/>
                <w:szCs w:val="21"/>
                <w:highlight w:val="none"/>
              </w:rPr>
            </w:pPr>
          </w:p>
        </w:tc>
        <w:tc>
          <w:tcPr>
            <w:tcW w:w="670" w:type="pct"/>
            <w:vMerge w:val="continue"/>
            <w:tcBorders>
              <w:left w:val="single" w:color="auto" w:sz="6" w:space="0"/>
              <w:right w:val="single" w:color="auto" w:sz="6" w:space="0"/>
            </w:tcBorders>
            <w:noWrap w:val="0"/>
            <w:vAlign w:val="center"/>
          </w:tcPr>
          <w:p w14:paraId="0B6A3575">
            <w:pPr>
              <w:spacing w:line="360" w:lineRule="auto"/>
              <w:rPr>
                <w:rFonts w:hint="eastAsia" w:ascii="宋体" w:hAnsi="宋体" w:eastAsia="宋体" w:cs="宋体"/>
                <w:color w:val="auto"/>
                <w:sz w:val="21"/>
                <w:szCs w:val="21"/>
                <w:highlight w:val="none"/>
                <w:lang w:val="en-US" w:eastAsia="zh-CN"/>
              </w:rPr>
            </w:pPr>
          </w:p>
        </w:tc>
        <w:tc>
          <w:tcPr>
            <w:tcW w:w="3022" w:type="pct"/>
            <w:tcBorders>
              <w:top w:val="single" w:color="auto" w:sz="6" w:space="0"/>
              <w:left w:val="single" w:color="auto" w:sz="6" w:space="0"/>
              <w:bottom w:val="single" w:color="auto" w:sz="6" w:space="0"/>
              <w:right w:val="single" w:color="auto" w:sz="6" w:space="0"/>
            </w:tcBorders>
            <w:noWrap w:val="0"/>
            <w:vAlign w:val="center"/>
          </w:tcPr>
          <w:p w14:paraId="48C8659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w:t>
            </w:r>
            <w:r>
              <w:rPr>
                <w:rFonts w:hint="eastAsia" w:ascii="宋体" w:hAnsi="宋体" w:eastAsia="宋体" w:cs="宋体"/>
                <w:b/>
                <w:bCs/>
                <w:color w:val="auto"/>
                <w:sz w:val="21"/>
                <w:szCs w:val="21"/>
                <w:highlight w:val="none"/>
                <w:lang w:val="en-US" w:eastAsia="zh-CN"/>
              </w:rPr>
              <w:t>管理端－社区关怀功能服务</w:t>
            </w:r>
            <w:r>
              <w:rPr>
                <w:rFonts w:hint="eastAsia" w:ascii="宋体" w:hAnsi="宋体" w:eastAsia="宋体" w:cs="宋体"/>
                <w:color w:val="auto"/>
                <w:sz w:val="21"/>
                <w:szCs w:val="21"/>
                <w:highlight w:val="none"/>
              </w:rPr>
              <w:t>方案</w:t>
            </w:r>
            <w:r>
              <w:rPr>
                <w:rFonts w:hint="eastAsia" w:ascii="宋体" w:hAnsi="宋体" w:eastAsia="宋体" w:cs="宋体"/>
                <w:color w:val="auto"/>
                <w:kern w:val="0"/>
                <w:sz w:val="21"/>
                <w:szCs w:val="21"/>
                <w:highlight w:val="none"/>
              </w:rPr>
              <w:t>进行评审：</w:t>
            </w:r>
            <w:r>
              <w:rPr>
                <w:rFonts w:hint="eastAsia" w:ascii="宋体" w:hAnsi="宋体" w:eastAsia="宋体" w:cs="宋体"/>
                <w:color w:val="auto"/>
                <w:kern w:val="0"/>
                <w:sz w:val="21"/>
                <w:szCs w:val="21"/>
                <w:highlight w:val="none"/>
                <w:lang w:val="en-US" w:eastAsia="zh-CN"/>
              </w:rPr>
              <w:t>包括①精神病人管控；②独居老人管控；③信访人员管控等功能；每符合一小项得1分，有所欠缺得0.5分，满分3分。</w:t>
            </w:r>
          </w:p>
        </w:tc>
        <w:tc>
          <w:tcPr>
            <w:tcW w:w="277" w:type="pct"/>
            <w:tcBorders>
              <w:top w:val="single" w:color="auto" w:sz="6" w:space="0"/>
              <w:left w:val="single" w:color="auto" w:sz="6" w:space="0"/>
              <w:bottom w:val="single" w:color="auto" w:sz="6" w:space="0"/>
              <w:right w:val="single" w:color="auto" w:sz="4" w:space="0"/>
            </w:tcBorders>
            <w:noWrap w:val="0"/>
            <w:vAlign w:val="center"/>
          </w:tcPr>
          <w:p w14:paraId="7036C0ED">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530" w:type="pct"/>
            <w:tcBorders>
              <w:top w:val="single" w:color="auto" w:sz="6" w:space="0"/>
              <w:left w:val="single" w:color="auto" w:sz="6" w:space="0"/>
              <w:bottom w:val="single" w:color="auto" w:sz="6" w:space="0"/>
              <w:right w:val="single" w:color="auto" w:sz="4" w:space="0"/>
            </w:tcBorders>
            <w:noWrap w:val="0"/>
            <w:vAlign w:val="center"/>
          </w:tcPr>
          <w:p w14:paraId="21CF58B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w:t>
            </w:r>
          </w:p>
          <w:p w14:paraId="15B3D54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w:t>
            </w:r>
          </w:p>
        </w:tc>
      </w:tr>
      <w:tr w14:paraId="63607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8" w:type="pct"/>
            <w:vMerge w:val="continue"/>
            <w:tcBorders>
              <w:left w:val="single" w:color="auto" w:sz="4" w:space="0"/>
              <w:right w:val="single" w:color="auto" w:sz="6" w:space="0"/>
            </w:tcBorders>
            <w:noWrap w:val="0"/>
            <w:vAlign w:val="center"/>
          </w:tcPr>
          <w:p w14:paraId="4A82BA78">
            <w:pPr>
              <w:spacing w:line="360" w:lineRule="auto"/>
              <w:jc w:val="center"/>
              <w:rPr>
                <w:rFonts w:hint="eastAsia" w:ascii="宋体" w:hAnsi="宋体" w:eastAsia="宋体" w:cs="宋体"/>
                <w:color w:val="auto"/>
                <w:sz w:val="21"/>
                <w:szCs w:val="21"/>
                <w:highlight w:val="none"/>
              </w:rPr>
            </w:pPr>
          </w:p>
        </w:tc>
        <w:tc>
          <w:tcPr>
            <w:tcW w:w="670" w:type="pct"/>
            <w:vMerge w:val="continue"/>
            <w:tcBorders>
              <w:left w:val="single" w:color="auto" w:sz="6" w:space="0"/>
              <w:right w:val="single" w:color="auto" w:sz="6" w:space="0"/>
            </w:tcBorders>
            <w:noWrap w:val="0"/>
            <w:vAlign w:val="center"/>
          </w:tcPr>
          <w:p w14:paraId="512CDBE2">
            <w:pPr>
              <w:spacing w:line="360" w:lineRule="auto"/>
              <w:rPr>
                <w:rFonts w:hint="eastAsia" w:ascii="宋体" w:hAnsi="宋体" w:eastAsia="宋体" w:cs="宋体"/>
                <w:color w:val="auto"/>
                <w:sz w:val="21"/>
                <w:szCs w:val="21"/>
                <w:highlight w:val="none"/>
                <w:lang w:val="en-US" w:eastAsia="zh-CN"/>
              </w:rPr>
            </w:pPr>
          </w:p>
        </w:tc>
        <w:tc>
          <w:tcPr>
            <w:tcW w:w="3022" w:type="pct"/>
            <w:tcBorders>
              <w:top w:val="single" w:color="auto" w:sz="6" w:space="0"/>
              <w:left w:val="single" w:color="auto" w:sz="6" w:space="0"/>
              <w:bottom w:val="single" w:color="auto" w:sz="6" w:space="0"/>
              <w:right w:val="single" w:color="auto" w:sz="6" w:space="0"/>
            </w:tcBorders>
            <w:noWrap w:val="0"/>
            <w:vAlign w:val="center"/>
          </w:tcPr>
          <w:p w14:paraId="650551D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w:t>
            </w:r>
            <w:r>
              <w:rPr>
                <w:rFonts w:hint="eastAsia" w:ascii="宋体" w:hAnsi="宋体" w:eastAsia="宋体" w:cs="宋体"/>
                <w:b/>
                <w:bCs/>
                <w:color w:val="auto"/>
                <w:sz w:val="21"/>
                <w:szCs w:val="21"/>
                <w:highlight w:val="none"/>
                <w:lang w:val="en-US" w:eastAsia="zh-CN"/>
              </w:rPr>
              <w:t>管理端-人口管理功能服务</w:t>
            </w:r>
            <w:r>
              <w:rPr>
                <w:rFonts w:hint="eastAsia" w:ascii="宋体" w:hAnsi="宋体" w:eastAsia="宋体" w:cs="宋体"/>
                <w:color w:val="auto"/>
                <w:sz w:val="21"/>
                <w:szCs w:val="21"/>
                <w:highlight w:val="none"/>
              </w:rPr>
              <w:t>方案进</w:t>
            </w:r>
            <w:r>
              <w:rPr>
                <w:rFonts w:hint="eastAsia" w:ascii="宋体" w:hAnsi="宋体" w:eastAsia="宋体" w:cs="宋体"/>
                <w:color w:val="auto"/>
                <w:kern w:val="0"/>
                <w:sz w:val="21"/>
                <w:szCs w:val="21"/>
                <w:highlight w:val="none"/>
              </w:rPr>
              <w:t>行评审：</w:t>
            </w:r>
            <w:r>
              <w:rPr>
                <w:rFonts w:hint="eastAsia" w:ascii="宋体" w:hAnsi="宋体" w:eastAsia="宋体" w:cs="宋体"/>
                <w:color w:val="auto"/>
                <w:kern w:val="0"/>
                <w:sz w:val="21"/>
                <w:szCs w:val="21"/>
                <w:highlight w:val="none"/>
                <w:lang w:val="en-US" w:eastAsia="zh-CN"/>
              </w:rPr>
              <w:t>包括</w:t>
            </w:r>
            <w:r>
              <w:rPr>
                <w:rFonts w:hint="eastAsia" w:ascii="宋体" w:hAnsi="宋体" w:eastAsia="宋体" w:cs="宋体"/>
                <w:color w:val="auto"/>
                <w:sz w:val="21"/>
                <w:szCs w:val="21"/>
                <w:highlight w:val="none"/>
                <w:lang w:val="en-US" w:eastAsia="zh-CN"/>
              </w:rPr>
              <w:t>①实有人口管理 ；②人口标签库等功能；每符合一小项得1分，有所欠缺得0.5分，满分2分。</w:t>
            </w:r>
          </w:p>
        </w:tc>
        <w:tc>
          <w:tcPr>
            <w:tcW w:w="277" w:type="pct"/>
            <w:tcBorders>
              <w:top w:val="single" w:color="auto" w:sz="6" w:space="0"/>
              <w:left w:val="single" w:color="auto" w:sz="6" w:space="0"/>
              <w:bottom w:val="single" w:color="auto" w:sz="6" w:space="0"/>
              <w:right w:val="single" w:color="auto" w:sz="4" w:space="0"/>
            </w:tcBorders>
            <w:noWrap w:val="0"/>
            <w:vAlign w:val="center"/>
          </w:tcPr>
          <w:p w14:paraId="3C6267DE">
            <w:pPr>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30" w:type="pct"/>
            <w:tcBorders>
              <w:top w:val="single" w:color="auto" w:sz="6" w:space="0"/>
              <w:left w:val="single" w:color="auto" w:sz="6" w:space="0"/>
              <w:bottom w:val="single" w:color="auto" w:sz="6" w:space="0"/>
              <w:right w:val="single" w:color="auto" w:sz="4" w:space="0"/>
            </w:tcBorders>
            <w:noWrap w:val="0"/>
            <w:vAlign w:val="center"/>
          </w:tcPr>
          <w:p w14:paraId="03811D6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w:t>
            </w:r>
          </w:p>
          <w:p w14:paraId="5D70213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w:t>
            </w:r>
          </w:p>
        </w:tc>
      </w:tr>
      <w:tr w14:paraId="27B7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8" w:type="pct"/>
            <w:vMerge w:val="continue"/>
            <w:tcBorders>
              <w:left w:val="single" w:color="auto" w:sz="4" w:space="0"/>
              <w:right w:val="single" w:color="auto" w:sz="6" w:space="0"/>
            </w:tcBorders>
            <w:noWrap w:val="0"/>
            <w:vAlign w:val="center"/>
          </w:tcPr>
          <w:p w14:paraId="449231EF">
            <w:pPr>
              <w:spacing w:line="360" w:lineRule="auto"/>
              <w:jc w:val="center"/>
              <w:rPr>
                <w:rFonts w:hint="eastAsia" w:ascii="宋体" w:hAnsi="宋体" w:eastAsia="宋体" w:cs="宋体"/>
                <w:color w:val="auto"/>
                <w:sz w:val="21"/>
                <w:szCs w:val="21"/>
                <w:highlight w:val="none"/>
              </w:rPr>
            </w:pPr>
          </w:p>
        </w:tc>
        <w:tc>
          <w:tcPr>
            <w:tcW w:w="670" w:type="pct"/>
            <w:vMerge w:val="continue"/>
            <w:tcBorders>
              <w:left w:val="single" w:color="auto" w:sz="6" w:space="0"/>
              <w:right w:val="single" w:color="auto" w:sz="6" w:space="0"/>
            </w:tcBorders>
            <w:noWrap w:val="0"/>
            <w:vAlign w:val="center"/>
          </w:tcPr>
          <w:p w14:paraId="005A11E6">
            <w:pPr>
              <w:spacing w:line="360" w:lineRule="auto"/>
              <w:rPr>
                <w:rFonts w:hint="eastAsia" w:ascii="宋体" w:hAnsi="宋体" w:eastAsia="宋体" w:cs="宋体"/>
                <w:color w:val="auto"/>
                <w:sz w:val="21"/>
                <w:szCs w:val="21"/>
                <w:highlight w:val="none"/>
                <w:lang w:val="en-US" w:eastAsia="zh-CN"/>
              </w:rPr>
            </w:pPr>
          </w:p>
        </w:tc>
        <w:tc>
          <w:tcPr>
            <w:tcW w:w="3022" w:type="pct"/>
            <w:tcBorders>
              <w:top w:val="single" w:color="auto" w:sz="6" w:space="0"/>
              <w:left w:val="single" w:color="auto" w:sz="6" w:space="0"/>
              <w:bottom w:val="single" w:color="auto" w:sz="6" w:space="0"/>
              <w:right w:val="single" w:color="auto" w:sz="6" w:space="0"/>
            </w:tcBorders>
            <w:noWrap w:val="0"/>
            <w:vAlign w:val="center"/>
          </w:tcPr>
          <w:p w14:paraId="22CFC1D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w:t>
            </w:r>
            <w:r>
              <w:rPr>
                <w:rFonts w:hint="eastAsia" w:ascii="宋体" w:hAnsi="宋体" w:eastAsia="宋体" w:cs="宋体"/>
                <w:b/>
                <w:bCs/>
                <w:color w:val="auto"/>
                <w:sz w:val="21"/>
                <w:szCs w:val="21"/>
                <w:highlight w:val="none"/>
                <w:lang w:val="en-US" w:eastAsia="zh-CN"/>
              </w:rPr>
              <w:t>管理端-车辆管理功能服务</w:t>
            </w:r>
            <w:r>
              <w:rPr>
                <w:rFonts w:hint="eastAsia" w:ascii="宋体" w:hAnsi="宋体" w:eastAsia="宋体" w:cs="宋体"/>
                <w:color w:val="auto"/>
                <w:sz w:val="21"/>
                <w:szCs w:val="21"/>
                <w:highlight w:val="none"/>
              </w:rPr>
              <w:t>方案进</w:t>
            </w:r>
            <w:r>
              <w:rPr>
                <w:rFonts w:hint="eastAsia" w:ascii="宋体" w:hAnsi="宋体" w:eastAsia="宋体" w:cs="宋体"/>
                <w:color w:val="auto"/>
                <w:kern w:val="0"/>
                <w:sz w:val="21"/>
                <w:szCs w:val="21"/>
                <w:highlight w:val="none"/>
              </w:rPr>
              <w:t>行评审：</w:t>
            </w:r>
            <w:r>
              <w:rPr>
                <w:rFonts w:hint="eastAsia" w:ascii="宋体" w:hAnsi="宋体" w:eastAsia="宋体" w:cs="宋体"/>
                <w:color w:val="auto"/>
                <w:kern w:val="0"/>
                <w:sz w:val="21"/>
                <w:szCs w:val="21"/>
                <w:highlight w:val="none"/>
                <w:lang w:val="en-US" w:eastAsia="zh-CN"/>
              </w:rPr>
              <w:t>包括①车辆档案管理；②人车匹配管理等功能；每符合一小项得1分，有所欠缺得0.5分，满分2分。</w:t>
            </w:r>
          </w:p>
        </w:tc>
        <w:tc>
          <w:tcPr>
            <w:tcW w:w="277" w:type="pct"/>
            <w:tcBorders>
              <w:top w:val="single" w:color="auto" w:sz="6" w:space="0"/>
              <w:left w:val="single" w:color="auto" w:sz="6" w:space="0"/>
              <w:bottom w:val="single" w:color="auto" w:sz="6" w:space="0"/>
              <w:right w:val="single" w:color="auto" w:sz="4" w:space="0"/>
            </w:tcBorders>
            <w:noWrap w:val="0"/>
            <w:vAlign w:val="center"/>
          </w:tcPr>
          <w:p w14:paraId="455591C9">
            <w:pPr>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30" w:type="pct"/>
            <w:tcBorders>
              <w:top w:val="single" w:color="auto" w:sz="6" w:space="0"/>
              <w:left w:val="single" w:color="auto" w:sz="6" w:space="0"/>
              <w:bottom w:val="single" w:color="auto" w:sz="6" w:space="0"/>
              <w:right w:val="single" w:color="auto" w:sz="4" w:space="0"/>
            </w:tcBorders>
            <w:noWrap w:val="0"/>
            <w:vAlign w:val="center"/>
          </w:tcPr>
          <w:p w14:paraId="092E9CE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w:t>
            </w:r>
          </w:p>
          <w:p w14:paraId="36AF937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w:t>
            </w:r>
          </w:p>
        </w:tc>
      </w:tr>
      <w:tr w14:paraId="49AE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8" w:type="pct"/>
            <w:vMerge w:val="continue"/>
            <w:tcBorders>
              <w:left w:val="single" w:color="auto" w:sz="4" w:space="0"/>
              <w:right w:val="single" w:color="auto" w:sz="6" w:space="0"/>
            </w:tcBorders>
            <w:noWrap w:val="0"/>
            <w:vAlign w:val="center"/>
          </w:tcPr>
          <w:p w14:paraId="70B9E4E6">
            <w:pPr>
              <w:spacing w:line="360" w:lineRule="auto"/>
              <w:jc w:val="center"/>
              <w:rPr>
                <w:rFonts w:hint="eastAsia" w:ascii="宋体" w:hAnsi="宋体" w:eastAsia="宋体" w:cs="宋体"/>
                <w:color w:val="auto"/>
                <w:sz w:val="21"/>
                <w:szCs w:val="21"/>
                <w:highlight w:val="none"/>
              </w:rPr>
            </w:pPr>
          </w:p>
        </w:tc>
        <w:tc>
          <w:tcPr>
            <w:tcW w:w="670" w:type="pct"/>
            <w:vMerge w:val="continue"/>
            <w:tcBorders>
              <w:left w:val="single" w:color="auto" w:sz="6" w:space="0"/>
              <w:right w:val="single" w:color="auto" w:sz="6" w:space="0"/>
            </w:tcBorders>
            <w:noWrap w:val="0"/>
            <w:vAlign w:val="center"/>
          </w:tcPr>
          <w:p w14:paraId="34FD41E6">
            <w:pPr>
              <w:spacing w:line="360" w:lineRule="auto"/>
              <w:rPr>
                <w:rFonts w:hint="eastAsia" w:ascii="宋体" w:hAnsi="宋体" w:eastAsia="宋体" w:cs="宋体"/>
                <w:color w:val="auto"/>
                <w:sz w:val="21"/>
                <w:szCs w:val="21"/>
                <w:highlight w:val="none"/>
                <w:lang w:val="en-US" w:eastAsia="zh-CN"/>
              </w:rPr>
            </w:pPr>
          </w:p>
        </w:tc>
        <w:tc>
          <w:tcPr>
            <w:tcW w:w="3022" w:type="pct"/>
            <w:tcBorders>
              <w:top w:val="single" w:color="auto" w:sz="6" w:space="0"/>
              <w:left w:val="single" w:color="auto" w:sz="6" w:space="0"/>
              <w:bottom w:val="single" w:color="auto" w:sz="6" w:space="0"/>
              <w:right w:val="single" w:color="auto" w:sz="6" w:space="0"/>
            </w:tcBorders>
            <w:noWrap w:val="0"/>
            <w:vAlign w:val="center"/>
          </w:tcPr>
          <w:p w14:paraId="26BEA06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w:t>
            </w:r>
            <w:r>
              <w:rPr>
                <w:rFonts w:hint="eastAsia" w:ascii="宋体" w:hAnsi="宋体" w:eastAsia="宋体" w:cs="宋体"/>
                <w:b/>
                <w:bCs/>
                <w:color w:val="auto"/>
                <w:sz w:val="21"/>
                <w:szCs w:val="21"/>
                <w:highlight w:val="none"/>
                <w:lang w:val="en-US" w:eastAsia="zh-CN"/>
              </w:rPr>
              <w:t>管理端－车行系统功能服务</w:t>
            </w:r>
            <w:r>
              <w:rPr>
                <w:rFonts w:hint="eastAsia" w:ascii="宋体" w:hAnsi="宋体" w:eastAsia="宋体" w:cs="宋体"/>
                <w:color w:val="auto"/>
                <w:sz w:val="21"/>
                <w:szCs w:val="21"/>
                <w:highlight w:val="none"/>
              </w:rPr>
              <w:t>方案进</w:t>
            </w:r>
            <w:r>
              <w:rPr>
                <w:rFonts w:hint="eastAsia" w:ascii="宋体" w:hAnsi="宋体" w:eastAsia="宋体" w:cs="宋体"/>
                <w:color w:val="auto"/>
                <w:kern w:val="0"/>
                <w:sz w:val="21"/>
                <w:szCs w:val="21"/>
                <w:highlight w:val="none"/>
              </w:rPr>
              <w:t>行评审：</w:t>
            </w:r>
            <w:r>
              <w:rPr>
                <w:rFonts w:hint="eastAsia" w:ascii="宋体" w:hAnsi="宋体" w:eastAsia="宋体" w:cs="宋体"/>
                <w:color w:val="auto"/>
                <w:kern w:val="0"/>
                <w:sz w:val="21"/>
                <w:szCs w:val="21"/>
                <w:highlight w:val="none"/>
                <w:lang w:val="en-US" w:eastAsia="zh-CN"/>
              </w:rPr>
              <w:t>包括</w:t>
            </w:r>
            <w:bookmarkStart w:id="90" w:name="OLE_LINK21"/>
            <w:r>
              <w:rPr>
                <w:rFonts w:hint="eastAsia" w:ascii="宋体" w:hAnsi="宋体" w:eastAsia="宋体" w:cs="宋体"/>
                <w:color w:val="auto"/>
                <w:kern w:val="0"/>
                <w:sz w:val="21"/>
                <w:szCs w:val="21"/>
                <w:highlight w:val="none"/>
                <w:lang w:val="en-US" w:eastAsia="zh-CN"/>
              </w:rPr>
              <w:t>①车辆进场记录；②</w:t>
            </w:r>
            <w:bookmarkEnd w:id="90"/>
            <w:r>
              <w:rPr>
                <w:rFonts w:hint="eastAsia" w:ascii="宋体" w:hAnsi="宋体" w:eastAsia="宋体" w:cs="宋体"/>
                <w:color w:val="auto"/>
                <w:kern w:val="0"/>
                <w:sz w:val="21"/>
                <w:szCs w:val="21"/>
                <w:highlight w:val="none"/>
                <w:lang w:val="en-US" w:eastAsia="zh-CN"/>
              </w:rPr>
              <w:t>车辆出场记录；③车行态势分析等功能；每符合一小项得1分，有所欠缺得0.5分，满分3分。</w:t>
            </w:r>
          </w:p>
        </w:tc>
        <w:tc>
          <w:tcPr>
            <w:tcW w:w="277" w:type="pct"/>
            <w:tcBorders>
              <w:top w:val="single" w:color="auto" w:sz="6" w:space="0"/>
              <w:left w:val="single" w:color="auto" w:sz="6" w:space="0"/>
              <w:bottom w:val="single" w:color="auto" w:sz="6" w:space="0"/>
              <w:right w:val="single" w:color="auto" w:sz="4" w:space="0"/>
            </w:tcBorders>
            <w:noWrap w:val="0"/>
            <w:vAlign w:val="center"/>
          </w:tcPr>
          <w:p w14:paraId="2CFAD425">
            <w:pPr>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30" w:type="pct"/>
            <w:tcBorders>
              <w:top w:val="single" w:color="auto" w:sz="6" w:space="0"/>
              <w:left w:val="single" w:color="auto" w:sz="6" w:space="0"/>
              <w:bottom w:val="single" w:color="auto" w:sz="6" w:space="0"/>
              <w:right w:val="single" w:color="auto" w:sz="4" w:space="0"/>
            </w:tcBorders>
            <w:noWrap w:val="0"/>
            <w:vAlign w:val="center"/>
          </w:tcPr>
          <w:p w14:paraId="170624D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w:t>
            </w:r>
          </w:p>
          <w:p w14:paraId="225D40B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w:t>
            </w:r>
          </w:p>
        </w:tc>
      </w:tr>
      <w:tr w14:paraId="16DA2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8" w:type="pct"/>
            <w:vMerge w:val="continue"/>
            <w:tcBorders>
              <w:left w:val="single" w:color="auto" w:sz="4" w:space="0"/>
              <w:right w:val="single" w:color="auto" w:sz="6" w:space="0"/>
            </w:tcBorders>
            <w:noWrap w:val="0"/>
            <w:vAlign w:val="center"/>
          </w:tcPr>
          <w:p w14:paraId="09A8070D">
            <w:pPr>
              <w:spacing w:line="360" w:lineRule="auto"/>
              <w:jc w:val="center"/>
              <w:rPr>
                <w:rFonts w:hint="eastAsia" w:ascii="宋体" w:hAnsi="宋体" w:eastAsia="宋体" w:cs="宋体"/>
                <w:color w:val="auto"/>
                <w:sz w:val="21"/>
                <w:szCs w:val="21"/>
                <w:highlight w:val="none"/>
              </w:rPr>
            </w:pPr>
          </w:p>
        </w:tc>
        <w:tc>
          <w:tcPr>
            <w:tcW w:w="670" w:type="pct"/>
            <w:vMerge w:val="continue"/>
            <w:tcBorders>
              <w:left w:val="single" w:color="auto" w:sz="6" w:space="0"/>
              <w:right w:val="single" w:color="auto" w:sz="6" w:space="0"/>
            </w:tcBorders>
            <w:noWrap w:val="0"/>
            <w:vAlign w:val="center"/>
          </w:tcPr>
          <w:p w14:paraId="131B86C6">
            <w:pPr>
              <w:spacing w:line="360" w:lineRule="auto"/>
              <w:rPr>
                <w:rFonts w:hint="eastAsia" w:ascii="宋体" w:hAnsi="宋体" w:eastAsia="宋体" w:cs="宋体"/>
                <w:color w:val="auto"/>
                <w:sz w:val="21"/>
                <w:szCs w:val="21"/>
                <w:highlight w:val="none"/>
                <w:lang w:val="en-US" w:eastAsia="zh-CN"/>
              </w:rPr>
            </w:pPr>
          </w:p>
        </w:tc>
        <w:tc>
          <w:tcPr>
            <w:tcW w:w="3022" w:type="pct"/>
            <w:tcBorders>
              <w:top w:val="single" w:color="auto" w:sz="6" w:space="0"/>
              <w:left w:val="single" w:color="auto" w:sz="6" w:space="0"/>
              <w:bottom w:val="single" w:color="auto" w:sz="6" w:space="0"/>
              <w:right w:val="single" w:color="auto" w:sz="6" w:space="0"/>
            </w:tcBorders>
            <w:noWrap w:val="0"/>
            <w:vAlign w:val="center"/>
          </w:tcPr>
          <w:p w14:paraId="2CC156E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w:t>
            </w:r>
            <w:r>
              <w:rPr>
                <w:rFonts w:hint="eastAsia" w:ascii="宋体" w:hAnsi="宋体" w:eastAsia="宋体" w:cs="宋体"/>
                <w:b/>
                <w:bCs/>
                <w:color w:val="auto"/>
                <w:sz w:val="21"/>
                <w:szCs w:val="21"/>
                <w:highlight w:val="none"/>
                <w:lang w:val="en-US" w:eastAsia="zh-CN"/>
              </w:rPr>
              <w:t>管理端-人行系统</w:t>
            </w:r>
            <w:r>
              <w:rPr>
                <w:rFonts w:hint="eastAsia" w:ascii="宋体" w:hAnsi="宋体" w:eastAsia="宋体" w:cs="宋体"/>
                <w:color w:val="auto"/>
                <w:sz w:val="21"/>
                <w:szCs w:val="21"/>
                <w:highlight w:val="none"/>
                <w:lang w:val="en-US" w:eastAsia="zh-CN"/>
              </w:rPr>
              <w:t>功能服务</w:t>
            </w:r>
            <w:r>
              <w:rPr>
                <w:rFonts w:hint="eastAsia" w:ascii="宋体" w:hAnsi="宋体" w:eastAsia="宋体" w:cs="宋体"/>
                <w:color w:val="auto"/>
                <w:sz w:val="21"/>
                <w:szCs w:val="21"/>
                <w:highlight w:val="none"/>
              </w:rPr>
              <w:t>方案进</w:t>
            </w:r>
            <w:r>
              <w:rPr>
                <w:rFonts w:hint="eastAsia" w:ascii="宋体" w:hAnsi="宋体" w:eastAsia="宋体" w:cs="宋体"/>
                <w:color w:val="auto"/>
                <w:kern w:val="0"/>
                <w:sz w:val="21"/>
                <w:szCs w:val="21"/>
                <w:highlight w:val="none"/>
              </w:rPr>
              <w:t>行评审：</w:t>
            </w:r>
            <w:r>
              <w:rPr>
                <w:rFonts w:hint="eastAsia" w:ascii="宋体" w:hAnsi="宋体" w:eastAsia="宋体" w:cs="宋体"/>
                <w:color w:val="auto"/>
                <w:kern w:val="0"/>
                <w:sz w:val="21"/>
                <w:szCs w:val="21"/>
                <w:highlight w:val="none"/>
                <w:lang w:val="en-US" w:eastAsia="zh-CN"/>
              </w:rPr>
              <w:t>包括①大门出入记录；②单元门出入记录；</w:t>
            </w:r>
            <w:bookmarkStart w:id="91" w:name="OLE_LINK22"/>
            <w:r>
              <w:rPr>
                <w:rFonts w:hint="eastAsia" w:ascii="宋体" w:hAnsi="宋体" w:eastAsia="宋体" w:cs="宋体"/>
                <w:color w:val="auto"/>
                <w:kern w:val="0"/>
                <w:sz w:val="21"/>
                <w:szCs w:val="21"/>
                <w:highlight w:val="none"/>
                <w:lang w:val="en-US" w:eastAsia="zh-CN"/>
              </w:rPr>
              <w:t>③</w:t>
            </w:r>
            <w:bookmarkEnd w:id="91"/>
            <w:r>
              <w:rPr>
                <w:rFonts w:hint="eastAsia" w:ascii="宋体" w:hAnsi="宋体" w:eastAsia="宋体" w:cs="宋体"/>
                <w:color w:val="auto"/>
                <w:kern w:val="0"/>
                <w:sz w:val="21"/>
                <w:szCs w:val="21"/>
                <w:highlight w:val="none"/>
                <w:lang w:val="en-US" w:eastAsia="zh-CN"/>
              </w:rPr>
              <w:t>人行态势分析等功能；每符合一小项得1分，有所欠缺得0.5分，满分3分。</w:t>
            </w:r>
          </w:p>
        </w:tc>
        <w:tc>
          <w:tcPr>
            <w:tcW w:w="277" w:type="pct"/>
            <w:tcBorders>
              <w:top w:val="single" w:color="auto" w:sz="6" w:space="0"/>
              <w:left w:val="single" w:color="auto" w:sz="6" w:space="0"/>
              <w:bottom w:val="single" w:color="auto" w:sz="6" w:space="0"/>
              <w:right w:val="single" w:color="auto" w:sz="4" w:space="0"/>
            </w:tcBorders>
            <w:noWrap w:val="0"/>
            <w:vAlign w:val="center"/>
          </w:tcPr>
          <w:p w14:paraId="1D04F3F8">
            <w:pPr>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30" w:type="pct"/>
            <w:tcBorders>
              <w:top w:val="single" w:color="auto" w:sz="6" w:space="0"/>
              <w:left w:val="single" w:color="auto" w:sz="6" w:space="0"/>
              <w:bottom w:val="single" w:color="auto" w:sz="6" w:space="0"/>
              <w:right w:val="single" w:color="auto" w:sz="4" w:space="0"/>
            </w:tcBorders>
            <w:noWrap w:val="0"/>
            <w:vAlign w:val="center"/>
          </w:tcPr>
          <w:p w14:paraId="4D8A625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w:t>
            </w:r>
          </w:p>
          <w:p w14:paraId="0881E4C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w:t>
            </w:r>
          </w:p>
        </w:tc>
      </w:tr>
      <w:tr w14:paraId="197E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8" w:type="pct"/>
            <w:vMerge w:val="continue"/>
            <w:tcBorders>
              <w:left w:val="single" w:color="auto" w:sz="4" w:space="0"/>
              <w:right w:val="single" w:color="auto" w:sz="6" w:space="0"/>
            </w:tcBorders>
            <w:noWrap w:val="0"/>
            <w:vAlign w:val="center"/>
          </w:tcPr>
          <w:p w14:paraId="149379D5">
            <w:pPr>
              <w:spacing w:line="360" w:lineRule="auto"/>
              <w:jc w:val="center"/>
              <w:rPr>
                <w:rFonts w:hint="eastAsia" w:ascii="宋体" w:hAnsi="宋体" w:eastAsia="宋体" w:cs="宋体"/>
                <w:color w:val="auto"/>
                <w:sz w:val="21"/>
                <w:szCs w:val="21"/>
                <w:highlight w:val="none"/>
              </w:rPr>
            </w:pPr>
          </w:p>
        </w:tc>
        <w:tc>
          <w:tcPr>
            <w:tcW w:w="670" w:type="pct"/>
            <w:vMerge w:val="continue"/>
            <w:tcBorders>
              <w:left w:val="single" w:color="auto" w:sz="6" w:space="0"/>
              <w:right w:val="single" w:color="auto" w:sz="6" w:space="0"/>
            </w:tcBorders>
            <w:noWrap w:val="0"/>
            <w:vAlign w:val="center"/>
          </w:tcPr>
          <w:p w14:paraId="0A409A99">
            <w:pPr>
              <w:spacing w:line="360" w:lineRule="auto"/>
              <w:rPr>
                <w:rFonts w:hint="eastAsia" w:ascii="宋体" w:hAnsi="宋体" w:eastAsia="宋体" w:cs="宋体"/>
                <w:color w:val="auto"/>
                <w:sz w:val="21"/>
                <w:szCs w:val="21"/>
                <w:highlight w:val="none"/>
                <w:lang w:val="en-US" w:eastAsia="zh-CN"/>
              </w:rPr>
            </w:pPr>
          </w:p>
        </w:tc>
        <w:tc>
          <w:tcPr>
            <w:tcW w:w="3022" w:type="pct"/>
            <w:tcBorders>
              <w:top w:val="single" w:color="auto" w:sz="6" w:space="0"/>
              <w:left w:val="single" w:color="auto" w:sz="6" w:space="0"/>
              <w:bottom w:val="single" w:color="auto" w:sz="6" w:space="0"/>
              <w:right w:val="single" w:color="auto" w:sz="6" w:space="0"/>
            </w:tcBorders>
            <w:noWrap w:val="0"/>
            <w:vAlign w:val="center"/>
          </w:tcPr>
          <w:p w14:paraId="5C6278E1">
            <w:pPr>
              <w:spacing w:line="36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根据供应商提供</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bCs/>
                <w:color w:val="auto"/>
                <w:sz w:val="21"/>
                <w:szCs w:val="21"/>
                <w:highlight w:val="none"/>
                <w:lang w:val="en-US" w:eastAsia="zh-CN"/>
              </w:rPr>
              <w:t>管理端－模型</w:t>
            </w:r>
            <w:r>
              <w:rPr>
                <w:rFonts w:hint="eastAsia" w:ascii="宋体" w:hAnsi="宋体" w:eastAsia="宋体" w:cs="宋体"/>
                <w:color w:val="auto"/>
                <w:sz w:val="21"/>
                <w:szCs w:val="21"/>
                <w:highlight w:val="none"/>
              </w:rPr>
              <w:t>方案</w:t>
            </w:r>
            <w:r>
              <w:rPr>
                <w:rFonts w:hint="eastAsia" w:ascii="宋体" w:hAnsi="宋体" w:eastAsia="宋体" w:cs="宋体"/>
                <w:color w:val="auto"/>
                <w:kern w:val="0"/>
                <w:sz w:val="21"/>
                <w:szCs w:val="21"/>
                <w:highlight w:val="none"/>
              </w:rPr>
              <w:t>进行评审：</w:t>
            </w:r>
            <w:r>
              <w:rPr>
                <w:rFonts w:hint="eastAsia" w:ascii="宋体" w:hAnsi="宋体" w:eastAsia="宋体" w:cs="宋体"/>
                <w:color w:val="auto"/>
                <w:kern w:val="0"/>
                <w:sz w:val="21"/>
                <w:szCs w:val="21"/>
                <w:highlight w:val="none"/>
                <w:lang w:val="en-US" w:eastAsia="zh-CN"/>
              </w:rPr>
              <w:t>包括①常住人口研判模型；②暂住人口未登记研判模型；③小区人员异常进出研判模型</w:t>
            </w:r>
            <w:bookmarkStart w:id="92" w:name="OLE_LINK24"/>
            <w:r>
              <w:rPr>
                <w:rFonts w:hint="eastAsia" w:ascii="宋体" w:hAnsi="宋体" w:eastAsia="宋体" w:cs="宋体"/>
                <w:color w:val="auto"/>
                <w:kern w:val="0"/>
                <w:sz w:val="21"/>
                <w:szCs w:val="21"/>
                <w:highlight w:val="none"/>
                <w:lang w:val="en-US" w:eastAsia="zh-CN"/>
              </w:rPr>
              <w:t>；④出租房未登记研判及群租房分析模型、尾随进入研判模型及人员异常模型；</w:t>
            </w:r>
            <w:bookmarkEnd w:id="92"/>
            <w:r>
              <w:rPr>
                <w:rFonts w:hint="eastAsia" w:ascii="宋体" w:hAnsi="宋体" w:eastAsia="宋体" w:cs="宋体"/>
                <w:color w:val="auto"/>
                <w:kern w:val="0"/>
                <w:sz w:val="21"/>
                <w:szCs w:val="21"/>
                <w:highlight w:val="none"/>
                <w:lang w:val="en-US" w:eastAsia="zh-CN"/>
              </w:rPr>
              <w:t>每符合一小项得1分，有所欠缺得0.5分，满分</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分。</w:t>
            </w:r>
          </w:p>
        </w:tc>
        <w:tc>
          <w:tcPr>
            <w:tcW w:w="277" w:type="pct"/>
            <w:tcBorders>
              <w:top w:val="single" w:color="auto" w:sz="6" w:space="0"/>
              <w:left w:val="single" w:color="auto" w:sz="6" w:space="0"/>
              <w:bottom w:val="single" w:color="auto" w:sz="6" w:space="0"/>
              <w:right w:val="single" w:color="auto" w:sz="4" w:space="0"/>
            </w:tcBorders>
            <w:noWrap w:val="0"/>
            <w:vAlign w:val="center"/>
          </w:tcPr>
          <w:p w14:paraId="4EC217EE">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530" w:type="pct"/>
            <w:tcBorders>
              <w:top w:val="single" w:color="auto" w:sz="6" w:space="0"/>
              <w:left w:val="single" w:color="auto" w:sz="6" w:space="0"/>
              <w:bottom w:val="single" w:color="auto" w:sz="6" w:space="0"/>
              <w:right w:val="single" w:color="auto" w:sz="4" w:space="0"/>
            </w:tcBorders>
            <w:noWrap w:val="0"/>
            <w:vAlign w:val="center"/>
          </w:tcPr>
          <w:p w14:paraId="38164A3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w:t>
            </w:r>
          </w:p>
          <w:p w14:paraId="4322448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w:t>
            </w:r>
          </w:p>
        </w:tc>
      </w:tr>
      <w:tr w14:paraId="0566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8" w:type="pct"/>
            <w:vMerge w:val="continue"/>
            <w:tcBorders>
              <w:left w:val="single" w:color="auto" w:sz="4" w:space="0"/>
              <w:right w:val="single" w:color="auto" w:sz="6" w:space="0"/>
            </w:tcBorders>
            <w:noWrap w:val="0"/>
            <w:vAlign w:val="center"/>
          </w:tcPr>
          <w:p w14:paraId="7C200B28">
            <w:pPr>
              <w:spacing w:line="360" w:lineRule="auto"/>
              <w:jc w:val="center"/>
              <w:rPr>
                <w:rFonts w:hint="eastAsia" w:ascii="宋体" w:hAnsi="宋体" w:eastAsia="宋体" w:cs="宋体"/>
                <w:color w:val="auto"/>
                <w:sz w:val="21"/>
                <w:szCs w:val="21"/>
                <w:highlight w:val="none"/>
              </w:rPr>
            </w:pPr>
          </w:p>
        </w:tc>
        <w:tc>
          <w:tcPr>
            <w:tcW w:w="670" w:type="pct"/>
            <w:vMerge w:val="continue"/>
            <w:tcBorders>
              <w:left w:val="single" w:color="auto" w:sz="6" w:space="0"/>
              <w:right w:val="single" w:color="auto" w:sz="6" w:space="0"/>
            </w:tcBorders>
            <w:noWrap w:val="0"/>
            <w:vAlign w:val="center"/>
          </w:tcPr>
          <w:p w14:paraId="05DA651B">
            <w:pPr>
              <w:spacing w:line="360" w:lineRule="auto"/>
              <w:rPr>
                <w:rFonts w:hint="eastAsia" w:ascii="宋体" w:hAnsi="宋体" w:eastAsia="宋体" w:cs="宋体"/>
                <w:color w:val="auto"/>
                <w:sz w:val="21"/>
                <w:szCs w:val="21"/>
                <w:highlight w:val="none"/>
                <w:lang w:val="en-US" w:eastAsia="zh-CN"/>
              </w:rPr>
            </w:pPr>
          </w:p>
        </w:tc>
        <w:tc>
          <w:tcPr>
            <w:tcW w:w="3022" w:type="pct"/>
            <w:tcBorders>
              <w:top w:val="single" w:color="auto" w:sz="6" w:space="0"/>
              <w:left w:val="single" w:color="auto" w:sz="6" w:space="0"/>
              <w:bottom w:val="single" w:color="auto" w:sz="6" w:space="0"/>
              <w:right w:val="single" w:color="auto" w:sz="6" w:space="0"/>
            </w:tcBorders>
            <w:noWrap w:val="0"/>
            <w:vAlign w:val="center"/>
          </w:tcPr>
          <w:p w14:paraId="7218941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w:t>
            </w:r>
            <w:r>
              <w:rPr>
                <w:rFonts w:hint="eastAsia" w:ascii="宋体" w:hAnsi="宋体" w:eastAsia="宋体" w:cs="宋体"/>
                <w:b/>
                <w:bCs/>
                <w:color w:val="auto"/>
                <w:sz w:val="21"/>
                <w:szCs w:val="21"/>
                <w:highlight w:val="none"/>
                <w:lang w:val="en-US" w:eastAsia="zh-CN"/>
              </w:rPr>
              <w:t>警务通-数据展示</w:t>
            </w:r>
            <w:r>
              <w:rPr>
                <w:rFonts w:hint="eastAsia" w:ascii="宋体" w:hAnsi="宋体" w:cs="宋体"/>
                <w:color w:val="auto"/>
                <w:sz w:val="21"/>
                <w:szCs w:val="21"/>
                <w:highlight w:val="none"/>
                <w:lang w:val="en-US" w:eastAsia="zh-CN"/>
              </w:rPr>
              <w:t>功能</w:t>
            </w:r>
            <w:r>
              <w:rPr>
                <w:rFonts w:hint="eastAsia" w:ascii="宋体" w:hAnsi="宋体" w:eastAsia="宋体" w:cs="宋体"/>
                <w:color w:val="auto"/>
                <w:sz w:val="21"/>
                <w:szCs w:val="21"/>
                <w:highlight w:val="none"/>
              </w:rPr>
              <w:t>方案</w:t>
            </w:r>
            <w:r>
              <w:rPr>
                <w:rFonts w:hint="eastAsia" w:ascii="宋体" w:hAnsi="宋体" w:eastAsia="宋体" w:cs="宋体"/>
                <w:color w:val="auto"/>
                <w:kern w:val="0"/>
                <w:sz w:val="21"/>
                <w:szCs w:val="21"/>
                <w:highlight w:val="none"/>
              </w:rPr>
              <w:t>进行评审：</w:t>
            </w:r>
            <w:r>
              <w:rPr>
                <w:rFonts w:hint="eastAsia" w:ascii="宋体" w:hAnsi="宋体" w:eastAsia="宋体" w:cs="宋体"/>
                <w:color w:val="auto"/>
                <w:kern w:val="0"/>
                <w:sz w:val="21"/>
                <w:szCs w:val="21"/>
                <w:highlight w:val="none"/>
                <w:lang w:val="en-US" w:eastAsia="zh-CN"/>
              </w:rPr>
              <w:t>包括①待办事项；②告警信息；③分析等功能；每符合一小项得1分，有所欠缺得0.5分，满分3分。</w:t>
            </w:r>
          </w:p>
        </w:tc>
        <w:tc>
          <w:tcPr>
            <w:tcW w:w="277" w:type="pct"/>
            <w:tcBorders>
              <w:top w:val="single" w:color="auto" w:sz="6" w:space="0"/>
              <w:left w:val="single" w:color="auto" w:sz="6" w:space="0"/>
              <w:bottom w:val="single" w:color="auto" w:sz="6" w:space="0"/>
              <w:right w:val="single" w:color="auto" w:sz="4" w:space="0"/>
            </w:tcBorders>
            <w:noWrap w:val="0"/>
            <w:vAlign w:val="center"/>
          </w:tcPr>
          <w:p w14:paraId="75C6D21B">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p>
        </w:tc>
        <w:tc>
          <w:tcPr>
            <w:tcW w:w="530" w:type="pct"/>
            <w:tcBorders>
              <w:top w:val="single" w:color="auto" w:sz="6" w:space="0"/>
              <w:left w:val="single" w:color="auto" w:sz="6" w:space="0"/>
              <w:bottom w:val="single" w:color="auto" w:sz="6" w:space="0"/>
              <w:right w:val="single" w:color="auto" w:sz="4" w:space="0"/>
            </w:tcBorders>
            <w:noWrap w:val="0"/>
            <w:vAlign w:val="center"/>
          </w:tcPr>
          <w:p w14:paraId="7A04F2A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w:t>
            </w:r>
          </w:p>
          <w:p w14:paraId="4B25348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w:t>
            </w:r>
          </w:p>
        </w:tc>
      </w:tr>
      <w:tr w14:paraId="0409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8" w:type="pct"/>
            <w:vMerge w:val="continue"/>
            <w:tcBorders>
              <w:left w:val="single" w:color="auto" w:sz="4" w:space="0"/>
              <w:right w:val="single" w:color="auto" w:sz="6" w:space="0"/>
            </w:tcBorders>
            <w:noWrap w:val="0"/>
            <w:vAlign w:val="center"/>
          </w:tcPr>
          <w:p w14:paraId="005DC888">
            <w:pPr>
              <w:spacing w:line="360" w:lineRule="auto"/>
              <w:jc w:val="center"/>
              <w:rPr>
                <w:rFonts w:hint="eastAsia" w:ascii="宋体" w:hAnsi="宋体" w:eastAsia="宋体" w:cs="宋体"/>
                <w:color w:val="auto"/>
                <w:sz w:val="21"/>
                <w:szCs w:val="21"/>
                <w:highlight w:val="none"/>
              </w:rPr>
            </w:pPr>
            <w:bookmarkStart w:id="93" w:name="OLE_LINK25" w:colFirst="2" w:colLast="4"/>
            <w:bookmarkStart w:id="94" w:name="OLE_LINK23" w:colFirst="2" w:colLast="4"/>
          </w:p>
        </w:tc>
        <w:tc>
          <w:tcPr>
            <w:tcW w:w="670" w:type="pct"/>
            <w:vMerge w:val="continue"/>
            <w:tcBorders>
              <w:left w:val="single" w:color="auto" w:sz="6" w:space="0"/>
              <w:right w:val="single" w:color="auto" w:sz="6" w:space="0"/>
            </w:tcBorders>
            <w:noWrap w:val="0"/>
            <w:vAlign w:val="center"/>
          </w:tcPr>
          <w:p w14:paraId="0682FBA1">
            <w:pPr>
              <w:spacing w:line="360" w:lineRule="auto"/>
              <w:rPr>
                <w:rFonts w:hint="eastAsia" w:ascii="宋体" w:hAnsi="宋体" w:eastAsia="宋体" w:cs="宋体"/>
                <w:color w:val="auto"/>
                <w:sz w:val="21"/>
                <w:szCs w:val="21"/>
                <w:highlight w:val="none"/>
                <w:lang w:val="en-US" w:eastAsia="zh-CN"/>
              </w:rPr>
            </w:pPr>
          </w:p>
        </w:tc>
        <w:tc>
          <w:tcPr>
            <w:tcW w:w="3022" w:type="pct"/>
            <w:tcBorders>
              <w:top w:val="single" w:color="auto" w:sz="6" w:space="0"/>
              <w:left w:val="single" w:color="auto" w:sz="6" w:space="0"/>
              <w:bottom w:val="single" w:color="auto" w:sz="6" w:space="0"/>
              <w:right w:val="single" w:color="auto" w:sz="6" w:space="0"/>
            </w:tcBorders>
            <w:noWrap w:val="0"/>
            <w:vAlign w:val="center"/>
          </w:tcPr>
          <w:p w14:paraId="5FC90CA8">
            <w:pPr>
              <w:spacing w:line="36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根据供应商提供的</w:t>
            </w:r>
            <w:r>
              <w:rPr>
                <w:rFonts w:hint="eastAsia" w:ascii="宋体" w:hAnsi="宋体" w:eastAsia="宋体" w:cs="宋体"/>
                <w:b/>
                <w:bCs/>
                <w:color w:val="auto"/>
                <w:sz w:val="21"/>
                <w:szCs w:val="21"/>
                <w:highlight w:val="none"/>
                <w:lang w:val="en-US" w:eastAsia="zh-CN"/>
              </w:rPr>
              <w:t>警务通-人口管理功</w:t>
            </w:r>
            <w:r>
              <w:rPr>
                <w:rFonts w:hint="eastAsia" w:ascii="宋体" w:hAnsi="宋体" w:cs="宋体"/>
                <w:color w:val="auto"/>
                <w:sz w:val="21"/>
                <w:szCs w:val="21"/>
                <w:highlight w:val="none"/>
                <w:lang w:val="en-US" w:eastAsia="zh-CN"/>
              </w:rPr>
              <w:t>能</w:t>
            </w:r>
            <w:r>
              <w:rPr>
                <w:rFonts w:hint="eastAsia" w:ascii="宋体" w:hAnsi="宋体" w:eastAsia="宋体" w:cs="宋体"/>
                <w:color w:val="auto"/>
                <w:sz w:val="21"/>
                <w:szCs w:val="21"/>
                <w:highlight w:val="none"/>
              </w:rPr>
              <w:t>方案</w:t>
            </w:r>
            <w:r>
              <w:rPr>
                <w:rFonts w:hint="eastAsia" w:ascii="宋体" w:hAnsi="宋体" w:eastAsia="宋体" w:cs="宋体"/>
                <w:color w:val="auto"/>
                <w:kern w:val="0"/>
                <w:sz w:val="21"/>
                <w:szCs w:val="21"/>
                <w:highlight w:val="none"/>
              </w:rPr>
              <w:t>进行评审：</w:t>
            </w:r>
            <w:r>
              <w:rPr>
                <w:rFonts w:hint="eastAsia" w:ascii="宋体" w:hAnsi="宋体" w:eastAsia="宋体" w:cs="宋体"/>
                <w:color w:val="auto"/>
                <w:kern w:val="0"/>
                <w:sz w:val="21"/>
                <w:szCs w:val="21"/>
                <w:highlight w:val="none"/>
                <w:lang w:val="en-US" w:eastAsia="zh-CN"/>
              </w:rPr>
              <w:t>包括①常落未登记人口；②信访人口；③精神病人</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老年人关怀；④频繁夜归等功能；每符合一小项得1分，有所欠缺得0.5分，满分</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分。</w:t>
            </w:r>
          </w:p>
        </w:tc>
        <w:tc>
          <w:tcPr>
            <w:tcW w:w="277" w:type="pct"/>
            <w:tcBorders>
              <w:top w:val="single" w:color="auto" w:sz="6" w:space="0"/>
              <w:left w:val="single" w:color="auto" w:sz="6" w:space="0"/>
              <w:bottom w:val="single" w:color="auto" w:sz="6" w:space="0"/>
              <w:right w:val="single" w:color="auto" w:sz="4" w:space="0"/>
            </w:tcBorders>
            <w:noWrap w:val="0"/>
            <w:vAlign w:val="center"/>
          </w:tcPr>
          <w:p w14:paraId="29D2B914">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p>
        </w:tc>
        <w:tc>
          <w:tcPr>
            <w:tcW w:w="530" w:type="pct"/>
            <w:tcBorders>
              <w:top w:val="single" w:color="auto" w:sz="6" w:space="0"/>
              <w:left w:val="single" w:color="auto" w:sz="6" w:space="0"/>
              <w:bottom w:val="single" w:color="auto" w:sz="6" w:space="0"/>
              <w:right w:val="single" w:color="auto" w:sz="4" w:space="0"/>
            </w:tcBorders>
            <w:noWrap w:val="0"/>
            <w:vAlign w:val="center"/>
          </w:tcPr>
          <w:p w14:paraId="398A954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w:t>
            </w:r>
          </w:p>
          <w:p w14:paraId="02B42C04">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评审</w:t>
            </w:r>
          </w:p>
        </w:tc>
      </w:tr>
      <w:bookmarkEnd w:id="93"/>
      <w:tr w14:paraId="1EA1B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8" w:type="pct"/>
            <w:vMerge w:val="continue"/>
            <w:tcBorders>
              <w:left w:val="single" w:color="auto" w:sz="4" w:space="0"/>
              <w:right w:val="single" w:color="auto" w:sz="6" w:space="0"/>
            </w:tcBorders>
            <w:noWrap w:val="0"/>
            <w:vAlign w:val="center"/>
          </w:tcPr>
          <w:p w14:paraId="5F8D1D31">
            <w:pPr>
              <w:spacing w:line="360" w:lineRule="auto"/>
              <w:jc w:val="center"/>
              <w:rPr>
                <w:rFonts w:hint="eastAsia" w:ascii="宋体" w:hAnsi="宋体" w:eastAsia="宋体" w:cs="宋体"/>
                <w:color w:val="auto"/>
                <w:sz w:val="21"/>
                <w:szCs w:val="21"/>
                <w:highlight w:val="none"/>
              </w:rPr>
            </w:pPr>
          </w:p>
        </w:tc>
        <w:tc>
          <w:tcPr>
            <w:tcW w:w="670" w:type="pct"/>
            <w:vMerge w:val="continue"/>
            <w:tcBorders>
              <w:left w:val="single" w:color="auto" w:sz="6" w:space="0"/>
              <w:right w:val="single" w:color="auto" w:sz="6" w:space="0"/>
            </w:tcBorders>
            <w:noWrap w:val="0"/>
            <w:vAlign w:val="center"/>
          </w:tcPr>
          <w:p w14:paraId="505C4178">
            <w:pPr>
              <w:spacing w:line="360" w:lineRule="auto"/>
              <w:rPr>
                <w:rFonts w:hint="eastAsia" w:ascii="宋体" w:hAnsi="宋体" w:eastAsia="宋体" w:cs="宋体"/>
                <w:color w:val="auto"/>
                <w:sz w:val="21"/>
                <w:szCs w:val="21"/>
                <w:highlight w:val="none"/>
                <w:lang w:val="en-US" w:eastAsia="zh-CN"/>
              </w:rPr>
            </w:pPr>
          </w:p>
        </w:tc>
        <w:tc>
          <w:tcPr>
            <w:tcW w:w="3022" w:type="pct"/>
            <w:tcBorders>
              <w:top w:val="single" w:color="auto" w:sz="6" w:space="0"/>
              <w:left w:val="single" w:color="auto" w:sz="6" w:space="0"/>
              <w:bottom w:val="single" w:color="auto" w:sz="6" w:space="0"/>
              <w:right w:val="single" w:color="auto" w:sz="6" w:space="0"/>
            </w:tcBorders>
            <w:noWrap w:val="0"/>
            <w:vAlign w:val="center"/>
          </w:tcPr>
          <w:p w14:paraId="01B7BCA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w:t>
            </w:r>
            <w:r>
              <w:rPr>
                <w:rFonts w:hint="eastAsia" w:ascii="宋体" w:hAnsi="宋体" w:eastAsia="宋体" w:cs="宋体"/>
                <w:b/>
                <w:bCs/>
                <w:color w:val="auto"/>
                <w:sz w:val="21"/>
                <w:szCs w:val="21"/>
                <w:highlight w:val="none"/>
                <w:lang w:val="en-US" w:eastAsia="zh-CN"/>
              </w:rPr>
              <w:t>中间件数据服务平台</w:t>
            </w:r>
            <w:r>
              <w:rPr>
                <w:rFonts w:hint="eastAsia" w:ascii="宋体" w:hAnsi="宋体" w:eastAsia="宋体" w:cs="宋体"/>
                <w:b w:val="0"/>
                <w:bCs w:val="0"/>
                <w:color w:val="auto"/>
                <w:sz w:val="21"/>
                <w:szCs w:val="21"/>
                <w:highlight w:val="none"/>
                <w:lang w:val="en-US" w:eastAsia="zh-CN"/>
              </w:rPr>
              <w:t>功</w:t>
            </w:r>
            <w:r>
              <w:rPr>
                <w:rFonts w:hint="eastAsia" w:ascii="宋体" w:hAnsi="宋体" w:cs="宋体"/>
                <w:color w:val="auto"/>
                <w:sz w:val="21"/>
                <w:szCs w:val="21"/>
                <w:highlight w:val="none"/>
                <w:lang w:val="en-US" w:eastAsia="zh-CN"/>
              </w:rPr>
              <w:t>能</w:t>
            </w:r>
            <w:r>
              <w:rPr>
                <w:rFonts w:hint="eastAsia" w:ascii="宋体" w:hAnsi="宋体" w:eastAsia="宋体" w:cs="宋体"/>
                <w:color w:val="auto"/>
                <w:sz w:val="21"/>
                <w:szCs w:val="21"/>
                <w:highlight w:val="none"/>
              </w:rPr>
              <w:t>方案</w:t>
            </w:r>
            <w:r>
              <w:rPr>
                <w:rFonts w:hint="eastAsia" w:ascii="宋体" w:hAnsi="宋体" w:eastAsia="宋体" w:cs="宋体"/>
                <w:color w:val="auto"/>
                <w:kern w:val="0"/>
                <w:sz w:val="21"/>
                <w:szCs w:val="21"/>
                <w:highlight w:val="none"/>
              </w:rPr>
              <w:t>进行评审：</w:t>
            </w:r>
            <w:r>
              <w:rPr>
                <w:rFonts w:hint="eastAsia" w:ascii="宋体" w:hAnsi="宋体" w:eastAsia="宋体" w:cs="宋体"/>
                <w:color w:val="auto"/>
                <w:kern w:val="0"/>
                <w:sz w:val="21"/>
                <w:szCs w:val="21"/>
                <w:highlight w:val="none"/>
                <w:lang w:val="en-US" w:eastAsia="zh-CN"/>
              </w:rPr>
              <w:t>包括①社区</w:t>
            </w:r>
            <w:r>
              <w:rPr>
                <w:rFonts w:hint="eastAsia" w:ascii="宋体" w:hAnsi="宋体" w:cs="宋体"/>
                <w:color w:val="auto"/>
                <w:kern w:val="0"/>
                <w:sz w:val="21"/>
                <w:szCs w:val="21"/>
                <w:highlight w:val="none"/>
                <w:lang w:val="en-US" w:eastAsia="zh-CN"/>
              </w:rPr>
              <w:t>RL</w:t>
            </w:r>
            <w:r>
              <w:rPr>
                <w:rFonts w:hint="eastAsia" w:ascii="宋体" w:hAnsi="宋体" w:eastAsia="宋体" w:cs="宋体"/>
                <w:color w:val="auto"/>
                <w:kern w:val="0"/>
                <w:sz w:val="21"/>
                <w:szCs w:val="21"/>
                <w:highlight w:val="none"/>
                <w:lang w:val="en-US" w:eastAsia="zh-CN"/>
              </w:rPr>
              <w:t>底库同步；②社区视频监控；③门禁点位同步等服务；每符合一小项得1分，有所欠缺得0.5分，满分3分。</w:t>
            </w:r>
          </w:p>
        </w:tc>
        <w:tc>
          <w:tcPr>
            <w:tcW w:w="277" w:type="pct"/>
            <w:tcBorders>
              <w:top w:val="single" w:color="auto" w:sz="6" w:space="0"/>
              <w:left w:val="single" w:color="auto" w:sz="6" w:space="0"/>
              <w:bottom w:val="single" w:color="auto" w:sz="6" w:space="0"/>
              <w:right w:val="single" w:color="auto" w:sz="4" w:space="0"/>
            </w:tcBorders>
            <w:noWrap w:val="0"/>
            <w:vAlign w:val="center"/>
          </w:tcPr>
          <w:p w14:paraId="193A0498">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30" w:type="pct"/>
            <w:tcBorders>
              <w:top w:val="single" w:color="auto" w:sz="6" w:space="0"/>
              <w:left w:val="single" w:color="auto" w:sz="6" w:space="0"/>
              <w:bottom w:val="single" w:color="auto" w:sz="6" w:space="0"/>
              <w:right w:val="single" w:color="auto" w:sz="4" w:space="0"/>
            </w:tcBorders>
            <w:noWrap w:val="0"/>
            <w:vAlign w:val="center"/>
          </w:tcPr>
          <w:p w14:paraId="630E7CC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w:t>
            </w:r>
          </w:p>
          <w:p w14:paraId="42CE78F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w:t>
            </w:r>
          </w:p>
        </w:tc>
      </w:tr>
      <w:tr w14:paraId="6223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8" w:type="pct"/>
            <w:vMerge w:val="continue"/>
            <w:tcBorders>
              <w:left w:val="single" w:color="auto" w:sz="4" w:space="0"/>
              <w:right w:val="single" w:color="auto" w:sz="6" w:space="0"/>
            </w:tcBorders>
            <w:noWrap w:val="0"/>
            <w:vAlign w:val="center"/>
          </w:tcPr>
          <w:p w14:paraId="601EF24B">
            <w:pPr>
              <w:spacing w:line="360" w:lineRule="auto"/>
              <w:jc w:val="center"/>
              <w:rPr>
                <w:rFonts w:hint="eastAsia" w:ascii="宋体" w:hAnsi="宋体" w:eastAsia="宋体" w:cs="宋体"/>
                <w:color w:val="auto"/>
                <w:sz w:val="21"/>
                <w:szCs w:val="21"/>
                <w:highlight w:val="none"/>
              </w:rPr>
            </w:pPr>
          </w:p>
        </w:tc>
        <w:tc>
          <w:tcPr>
            <w:tcW w:w="670" w:type="pct"/>
            <w:vMerge w:val="continue"/>
            <w:tcBorders>
              <w:left w:val="single" w:color="auto" w:sz="6" w:space="0"/>
              <w:right w:val="single" w:color="auto" w:sz="6" w:space="0"/>
            </w:tcBorders>
            <w:noWrap w:val="0"/>
            <w:vAlign w:val="center"/>
          </w:tcPr>
          <w:p w14:paraId="1D093346">
            <w:pPr>
              <w:spacing w:line="360" w:lineRule="auto"/>
              <w:rPr>
                <w:rFonts w:hint="eastAsia" w:ascii="宋体" w:hAnsi="宋体" w:eastAsia="宋体" w:cs="宋体"/>
                <w:color w:val="auto"/>
                <w:sz w:val="21"/>
                <w:szCs w:val="21"/>
                <w:highlight w:val="none"/>
                <w:lang w:val="en-US" w:eastAsia="zh-CN"/>
              </w:rPr>
            </w:pPr>
          </w:p>
        </w:tc>
        <w:tc>
          <w:tcPr>
            <w:tcW w:w="3022" w:type="pct"/>
            <w:tcBorders>
              <w:top w:val="single" w:color="auto" w:sz="6" w:space="0"/>
              <w:left w:val="single" w:color="auto" w:sz="6" w:space="0"/>
              <w:bottom w:val="single" w:color="auto" w:sz="6" w:space="0"/>
              <w:right w:val="single" w:color="auto" w:sz="6" w:space="0"/>
            </w:tcBorders>
            <w:noWrap w:val="0"/>
            <w:vAlign w:val="center"/>
          </w:tcPr>
          <w:p w14:paraId="5FD8D18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w:t>
            </w:r>
            <w:r>
              <w:rPr>
                <w:rFonts w:hint="eastAsia" w:ascii="宋体" w:hAnsi="宋体" w:eastAsia="宋体" w:cs="宋体"/>
                <w:b/>
                <w:bCs/>
                <w:color w:val="auto"/>
                <w:sz w:val="21"/>
                <w:szCs w:val="21"/>
                <w:highlight w:val="none"/>
                <w:lang w:val="en-US" w:eastAsia="zh-CN"/>
              </w:rPr>
              <w:t>第三方对接</w:t>
            </w:r>
            <w:r>
              <w:rPr>
                <w:rFonts w:hint="eastAsia" w:ascii="宋体" w:hAnsi="宋体" w:eastAsia="宋体" w:cs="宋体"/>
                <w:b w:val="0"/>
                <w:bCs w:val="0"/>
                <w:color w:val="auto"/>
                <w:sz w:val="21"/>
                <w:szCs w:val="21"/>
                <w:highlight w:val="none"/>
                <w:lang w:val="en-US" w:eastAsia="zh-CN"/>
              </w:rPr>
              <w:t>功</w:t>
            </w:r>
            <w:r>
              <w:rPr>
                <w:rFonts w:hint="eastAsia" w:ascii="宋体" w:hAnsi="宋体" w:cs="宋体"/>
                <w:color w:val="auto"/>
                <w:sz w:val="21"/>
                <w:szCs w:val="21"/>
                <w:highlight w:val="none"/>
                <w:lang w:val="en-US" w:eastAsia="zh-CN"/>
              </w:rPr>
              <w:t>能</w:t>
            </w:r>
            <w:r>
              <w:rPr>
                <w:rFonts w:hint="eastAsia" w:ascii="宋体" w:hAnsi="宋体" w:eastAsia="宋体" w:cs="宋体"/>
                <w:color w:val="auto"/>
                <w:sz w:val="21"/>
                <w:szCs w:val="21"/>
                <w:highlight w:val="none"/>
              </w:rPr>
              <w:t>方案</w:t>
            </w:r>
            <w:r>
              <w:rPr>
                <w:rFonts w:hint="eastAsia" w:ascii="宋体" w:hAnsi="宋体" w:eastAsia="宋体" w:cs="宋体"/>
                <w:color w:val="auto"/>
                <w:kern w:val="0"/>
                <w:sz w:val="21"/>
                <w:szCs w:val="21"/>
                <w:highlight w:val="none"/>
              </w:rPr>
              <w:t>进行评审：</w:t>
            </w:r>
            <w:r>
              <w:rPr>
                <w:rFonts w:hint="eastAsia" w:ascii="宋体" w:hAnsi="宋体" w:eastAsia="宋体" w:cs="宋体"/>
                <w:color w:val="auto"/>
                <w:kern w:val="0"/>
                <w:sz w:val="21"/>
                <w:szCs w:val="21"/>
                <w:highlight w:val="none"/>
                <w:lang w:val="en-US" w:eastAsia="zh-CN"/>
              </w:rPr>
              <w:t>包括</w:t>
            </w:r>
            <w:r>
              <w:rPr>
                <w:rFonts w:hint="eastAsia" w:ascii="宋体" w:hAnsi="宋体" w:eastAsia="宋体" w:cs="宋体"/>
                <w:color w:val="auto"/>
                <w:sz w:val="21"/>
                <w:szCs w:val="21"/>
                <w:highlight w:val="none"/>
                <w:lang w:val="en-US" w:eastAsia="zh-CN"/>
              </w:rPr>
              <w:t>①完成常住人口信息；②暂住人口信息；③</w:t>
            </w:r>
            <w:r>
              <w:rPr>
                <w:rFonts w:hint="eastAsia" w:ascii="宋体" w:hAnsi="宋体" w:cs="宋体"/>
                <w:color w:val="auto"/>
                <w:sz w:val="21"/>
                <w:szCs w:val="21"/>
                <w:highlight w:val="none"/>
                <w:lang w:val="en-US" w:eastAsia="zh-CN"/>
              </w:rPr>
              <w:t>车辆行迹</w:t>
            </w:r>
            <w:r>
              <w:rPr>
                <w:rFonts w:hint="eastAsia" w:ascii="宋体" w:hAnsi="宋体" w:eastAsia="宋体" w:cs="宋体"/>
                <w:color w:val="auto"/>
                <w:sz w:val="21"/>
                <w:szCs w:val="21"/>
                <w:highlight w:val="none"/>
                <w:lang w:val="en-US" w:eastAsia="zh-CN"/>
              </w:rPr>
              <w:t>、人员轨迹；④人员关系、身份落地核查</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背景标签及人员档案等信息</w:t>
            </w:r>
            <w:r>
              <w:rPr>
                <w:rFonts w:hint="eastAsia" w:ascii="宋体" w:hAnsi="宋体" w:eastAsia="宋体" w:cs="宋体"/>
                <w:color w:val="auto"/>
                <w:kern w:val="0"/>
                <w:sz w:val="21"/>
                <w:szCs w:val="21"/>
                <w:highlight w:val="none"/>
                <w:lang w:val="en-US" w:eastAsia="zh-CN"/>
              </w:rPr>
              <w:t>；每符合一小项得1分，有所欠缺得0.5分，满分</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分。</w:t>
            </w:r>
          </w:p>
        </w:tc>
        <w:tc>
          <w:tcPr>
            <w:tcW w:w="277" w:type="pct"/>
            <w:tcBorders>
              <w:top w:val="single" w:color="auto" w:sz="6" w:space="0"/>
              <w:left w:val="single" w:color="auto" w:sz="6" w:space="0"/>
              <w:bottom w:val="single" w:color="auto" w:sz="6" w:space="0"/>
              <w:right w:val="single" w:color="auto" w:sz="4" w:space="0"/>
            </w:tcBorders>
            <w:noWrap w:val="0"/>
            <w:vAlign w:val="center"/>
          </w:tcPr>
          <w:p w14:paraId="6F0D3F41">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530" w:type="pct"/>
            <w:tcBorders>
              <w:top w:val="single" w:color="auto" w:sz="6" w:space="0"/>
              <w:left w:val="single" w:color="auto" w:sz="6" w:space="0"/>
              <w:bottom w:val="single" w:color="auto" w:sz="6" w:space="0"/>
              <w:right w:val="single" w:color="auto" w:sz="4" w:space="0"/>
            </w:tcBorders>
            <w:noWrap w:val="0"/>
            <w:vAlign w:val="center"/>
          </w:tcPr>
          <w:p w14:paraId="2289CF3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w:t>
            </w:r>
          </w:p>
          <w:p w14:paraId="3E1A101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w:t>
            </w:r>
          </w:p>
        </w:tc>
      </w:tr>
      <w:bookmarkEnd w:id="94"/>
      <w:tr w14:paraId="657D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98" w:type="pct"/>
            <w:vMerge w:val="continue"/>
            <w:tcBorders>
              <w:left w:val="single" w:color="auto" w:sz="4" w:space="0"/>
              <w:right w:val="single" w:color="auto" w:sz="6" w:space="0"/>
            </w:tcBorders>
            <w:noWrap w:val="0"/>
            <w:vAlign w:val="center"/>
          </w:tcPr>
          <w:p w14:paraId="708D74A3">
            <w:pPr>
              <w:spacing w:line="360" w:lineRule="auto"/>
              <w:jc w:val="center"/>
              <w:rPr>
                <w:rFonts w:hint="eastAsia" w:ascii="宋体" w:hAnsi="宋体" w:eastAsia="宋体" w:cs="宋体"/>
                <w:color w:val="auto"/>
                <w:sz w:val="21"/>
                <w:szCs w:val="21"/>
                <w:highlight w:val="none"/>
              </w:rPr>
            </w:pPr>
          </w:p>
        </w:tc>
        <w:tc>
          <w:tcPr>
            <w:tcW w:w="670" w:type="pct"/>
            <w:vMerge w:val="restart"/>
            <w:tcBorders>
              <w:left w:val="single" w:color="auto" w:sz="6" w:space="0"/>
              <w:right w:val="single" w:color="auto" w:sz="6" w:space="0"/>
            </w:tcBorders>
            <w:noWrap w:val="0"/>
            <w:vAlign w:val="center"/>
          </w:tcPr>
          <w:p w14:paraId="354C63B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服务保障方案（</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分）</w:t>
            </w:r>
          </w:p>
        </w:tc>
        <w:tc>
          <w:tcPr>
            <w:tcW w:w="3022" w:type="pct"/>
            <w:tcBorders>
              <w:top w:val="single" w:color="auto" w:sz="6" w:space="0"/>
              <w:left w:val="single" w:color="auto" w:sz="6" w:space="0"/>
              <w:bottom w:val="single" w:color="auto" w:sz="6" w:space="0"/>
              <w:right w:val="single" w:color="auto" w:sz="6" w:space="0"/>
            </w:tcBorders>
            <w:noWrap w:val="0"/>
            <w:vAlign w:val="center"/>
          </w:tcPr>
          <w:p w14:paraId="234F90E1">
            <w:pPr>
              <w:autoSpaceDE w:val="0"/>
              <w:autoSpaceDN w:val="0"/>
              <w:spacing w:line="360" w:lineRule="auto"/>
              <w:ind w:hanging="6"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w:t>
            </w:r>
            <w:r>
              <w:rPr>
                <w:rFonts w:hint="eastAsia" w:ascii="宋体" w:hAnsi="宋体" w:eastAsia="宋体" w:cs="宋体"/>
                <w:b/>
                <w:bCs/>
                <w:color w:val="auto"/>
                <w:sz w:val="21"/>
                <w:szCs w:val="21"/>
                <w:highlight w:val="none"/>
                <w:lang w:val="en-US" w:eastAsia="zh-CN"/>
              </w:rPr>
              <w:t>总体</w:t>
            </w:r>
            <w:r>
              <w:rPr>
                <w:rFonts w:hint="eastAsia" w:ascii="宋体" w:hAnsi="宋体" w:eastAsia="宋体" w:cs="宋体"/>
                <w:b/>
                <w:bCs/>
                <w:color w:val="auto"/>
                <w:kern w:val="0"/>
                <w:sz w:val="21"/>
                <w:szCs w:val="21"/>
                <w:highlight w:val="none"/>
                <w:lang w:val="en-US" w:eastAsia="zh-CN"/>
              </w:rPr>
              <w:t>维护服务</w:t>
            </w:r>
            <w:r>
              <w:rPr>
                <w:rFonts w:hint="eastAsia" w:ascii="宋体" w:hAnsi="宋体" w:eastAsia="宋体" w:cs="宋体"/>
                <w:color w:val="auto"/>
                <w:sz w:val="21"/>
                <w:szCs w:val="21"/>
                <w:highlight w:val="none"/>
              </w:rPr>
              <w:t>方案进行评审：</w:t>
            </w:r>
            <w:r>
              <w:rPr>
                <w:rFonts w:hint="eastAsia" w:ascii="宋体" w:hAnsi="宋体" w:eastAsia="宋体" w:cs="宋体"/>
                <w:color w:val="auto"/>
                <w:kern w:val="0"/>
                <w:sz w:val="21"/>
                <w:szCs w:val="21"/>
                <w:highlight w:val="none"/>
                <w:lang w:val="en-US" w:eastAsia="zh-CN"/>
              </w:rPr>
              <w:t>包括①服务概况；②服务内容；③服务流程；④服务目标和标准；⑤服务反馈和改进；每符合一小项得1分，有所欠缺得0.5分，满分5分。</w:t>
            </w:r>
          </w:p>
        </w:tc>
        <w:tc>
          <w:tcPr>
            <w:tcW w:w="277" w:type="pct"/>
            <w:tcBorders>
              <w:top w:val="single" w:color="auto" w:sz="6" w:space="0"/>
              <w:left w:val="single" w:color="auto" w:sz="6" w:space="0"/>
              <w:bottom w:val="single" w:color="auto" w:sz="6" w:space="0"/>
              <w:right w:val="single" w:color="auto" w:sz="4" w:space="0"/>
            </w:tcBorders>
            <w:noWrap w:val="0"/>
            <w:vAlign w:val="center"/>
          </w:tcPr>
          <w:p w14:paraId="4F693095">
            <w:pPr>
              <w:widowControl/>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530" w:type="pct"/>
            <w:tcBorders>
              <w:top w:val="single" w:color="auto" w:sz="6" w:space="0"/>
              <w:left w:val="single" w:color="auto" w:sz="6" w:space="0"/>
              <w:bottom w:val="single" w:color="auto" w:sz="6" w:space="0"/>
              <w:right w:val="single" w:color="auto" w:sz="4" w:space="0"/>
            </w:tcBorders>
            <w:noWrap w:val="0"/>
            <w:vAlign w:val="center"/>
          </w:tcPr>
          <w:p w14:paraId="6292DB6C">
            <w:pPr>
              <w:widowControl/>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w:t>
            </w:r>
          </w:p>
          <w:p w14:paraId="61FE748F">
            <w:pPr>
              <w:widowControl/>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w:t>
            </w:r>
          </w:p>
        </w:tc>
      </w:tr>
      <w:tr w14:paraId="04E35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98" w:type="pct"/>
            <w:vMerge w:val="continue"/>
            <w:tcBorders>
              <w:left w:val="single" w:color="auto" w:sz="4" w:space="0"/>
              <w:right w:val="single" w:color="auto" w:sz="6" w:space="0"/>
            </w:tcBorders>
            <w:noWrap w:val="0"/>
            <w:vAlign w:val="center"/>
          </w:tcPr>
          <w:p w14:paraId="115DAECA">
            <w:pPr>
              <w:spacing w:line="360" w:lineRule="auto"/>
              <w:jc w:val="center"/>
              <w:rPr>
                <w:rFonts w:hint="eastAsia" w:ascii="宋体" w:hAnsi="宋体" w:eastAsia="宋体" w:cs="宋体"/>
                <w:color w:val="auto"/>
                <w:sz w:val="21"/>
                <w:szCs w:val="21"/>
                <w:highlight w:val="none"/>
              </w:rPr>
            </w:pPr>
          </w:p>
        </w:tc>
        <w:tc>
          <w:tcPr>
            <w:tcW w:w="670" w:type="pct"/>
            <w:vMerge w:val="continue"/>
            <w:tcBorders>
              <w:left w:val="single" w:color="auto" w:sz="6" w:space="0"/>
              <w:right w:val="single" w:color="auto" w:sz="6" w:space="0"/>
            </w:tcBorders>
            <w:noWrap w:val="0"/>
            <w:vAlign w:val="center"/>
          </w:tcPr>
          <w:p w14:paraId="06500002">
            <w:pPr>
              <w:spacing w:line="360" w:lineRule="auto"/>
              <w:jc w:val="center"/>
              <w:rPr>
                <w:rFonts w:hint="eastAsia" w:ascii="宋体" w:hAnsi="宋体" w:eastAsia="宋体" w:cs="宋体"/>
                <w:color w:val="auto"/>
                <w:sz w:val="21"/>
                <w:szCs w:val="21"/>
                <w:highlight w:val="none"/>
              </w:rPr>
            </w:pPr>
          </w:p>
        </w:tc>
        <w:tc>
          <w:tcPr>
            <w:tcW w:w="3022" w:type="pct"/>
            <w:tcBorders>
              <w:top w:val="single" w:color="auto" w:sz="6" w:space="0"/>
              <w:left w:val="single" w:color="auto" w:sz="6" w:space="0"/>
              <w:bottom w:val="single" w:color="auto" w:sz="6" w:space="0"/>
              <w:right w:val="single" w:color="auto" w:sz="6" w:space="0"/>
            </w:tcBorders>
            <w:noWrap w:val="0"/>
            <w:vAlign w:val="center"/>
          </w:tcPr>
          <w:p w14:paraId="62CC23CB">
            <w:pPr>
              <w:autoSpaceDE w:val="0"/>
              <w:autoSpaceDN w:val="0"/>
              <w:spacing w:line="360" w:lineRule="auto"/>
              <w:ind w:hanging="6" w:firstLineChars="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根据供应商提供</w:t>
            </w:r>
            <w:r>
              <w:rPr>
                <w:rFonts w:hint="eastAsia" w:ascii="宋体" w:hAnsi="宋体" w:eastAsia="宋体" w:cs="宋体"/>
                <w:b/>
                <w:bCs/>
                <w:color w:val="auto"/>
                <w:sz w:val="21"/>
                <w:szCs w:val="21"/>
                <w:highlight w:val="none"/>
                <w:lang w:val="en-US" w:eastAsia="zh-CN"/>
              </w:rPr>
              <w:t>服务保障内容</w:t>
            </w:r>
            <w:r>
              <w:rPr>
                <w:rFonts w:hint="eastAsia" w:ascii="宋体" w:hAnsi="宋体" w:eastAsia="宋体" w:cs="宋体"/>
                <w:color w:val="auto"/>
                <w:sz w:val="21"/>
                <w:szCs w:val="21"/>
                <w:highlight w:val="none"/>
              </w:rPr>
              <w:t>方案进行评审：</w:t>
            </w:r>
            <w:r>
              <w:rPr>
                <w:rFonts w:hint="eastAsia" w:ascii="宋体" w:hAnsi="宋体" w:eastAsia="宋体" w:cs="宋体"/>
                <w:color w:val="auto"/>
                <w:kern w:val="0"/>
                <w:sz w:val="21"/>
                <w:szCs w:val="21"/>
                <w:highlight w:val="none"/>
                <w:lang w:val="en-US" w:eastAsia="zh-CN"/>
              </w:rPr>
              <w:t>包括①日常运作；②服务咨询；③日常巡检及保养</w:t>
            </w:r>
            <w:bookmarkStart w:id="95" w:name="OLE_LINK26"/>
            <w:r>
              <w:rPr>
                <w:rFonts w:hint="eastAsia" w:ascii="宋体" w:hAnsi="宋体" w:eastAsia="宋体" w:cs="宋体"/>
                <w:color w:val="auto"/>
                <w:kern w:val="0"/>
                <w:sz w:val="21"/>
                <w:szCs w:val="21"/>
                <w:highlight w:val="none"/>
                <w:lang w:val="en-US" w:eastAsia="zh-CN"/>
              </w:rPr>
              <w:t>；④故障修复；⑤重大活动保障服务及升级优化；每符合一小项得1分</w:t>
            </w:r>
            <w:bookmarkEnd w:id="95"/>
            <w:r>
              <w:rPr>
                <w:rFonts w:hint="eastAsia" w:ascii="宋体" w:hAnsi="宋体" w:eastAsia="宋体" w:cs="宋体"/>
                <w:color w:val="auto"/>
                <w:kern w:val="0"/>
                <w:sz w:val="21"/>
                <w:szCs w:val="21"/>
                <w:highlight w:val="none"/>
                <w:lang w:val="en-US" w:eastAsia="zh-CN"/>
              </w:rPr>
              <w:t>，有所欠缺得0.5分，满分5分。</w:t>
            </w:r>
          </w:p>
        </w:tc>
        <w:tc>
          <w:tcPr>
            <w:tcW w:w="277" w:type="pct"/>
            <w:tcBorders>
              <w:top w:val="single" w:color="auto" w:sz="6" w:space="0"/>
              <w:left w:val="single" w:color="auto" w:sz="6" w:space="0"/>
              <w:bottom w:val="single" w:color="auto" w:sz="6" w:space="0"/>
              <w:right w:val="single" w:color="auto" w:sz="4" w:space="0"/>
            </w:tcBorders>
            <w:noWrap w:val="0"/>
            <w:vAlign w:val="center"/>
          </w:tcPr>
          <w:p w14:paraId="783A1073">
            <w:pPr>
              <w:widowControl/>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5</w:t>
            </w:r>
          </w:p>
        </w:tc>
        <w:tc>
          <w:tcPr>
            <w:tcW w:w="530" w:type="pct"/>
            <w:tcBorders>
              <w:top w:val="single" w:color="auto" w:sz="6" w:space="0"/>
              <w:left w:val="single" w:color="auto" w:sz="6" w:space="0"/>
              <w:bottom w:val="single" w:color="auto" w:sz="6" w:space="0"/>
              <w:right w:val="single" w:color="auto" w:sz="4" w:space="0"/>
            </w:tcBorders>
            <w:noWrap w:val="0"/>
            <w:vAlign w:val="center"/>
          </w:tcPr>
          <w:p w14:paraId="09BCF18D">
            <w:pPr>
              <w:widowControl/>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w:t>
            </w:r>
          </w:p>
          <w:p w14:paraId="5BDDF9EC">
            <w:pPr>
              <w:widowControl/>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评审</w:t>
            </w:r>
          </w:p>
        </w:tc>
      </w:tr>
      <w:tr w14:paraId="240E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98" w:type="pct"/>
            <w:vMerge w:val="continue"/>
            <w:tcBorders>
              <w:left w:val="single" w:color="auto" w:sz="4" w:space="0"/>
              <w:right w:val="single" w:color="auto" w:sz="6" w:space="0"/>
            </w:tcBorders>
            <w:noWrap w:val="0"/>
            <w:vAlign w:val="center"/>
          </w:tcPr>
          <w:p w14:paraId="3E9005E1">
            <w:pPr>
              <w:spacing w:line="360" w:lineRule="auto"/>
              <w:jc w:val="center"/>
              <w:rPr>
                <w:rFonts w:hint="eastAsia" w:ascii="宋体" w:hAnsi="宋体" w:eastAsia="宋体" w:cs="宋体"/>
                <w:color w:val="auto"/>
                <w:sz w:val="21"/>
                <w:szCs w:val="21"/>
                <w:highlight w:val="none"/>
              </w:rPr>
            </w:pPr>
          </w:p>
        </w:tc>
        <w:tc>
          <w:tcPr>
            <w:tcW w:w="670" w:type="pct"/>
            <w:vMerge w:val="continue"/>
            <w:tcBorders>
              <w:left w:val="single" w:color="auto" w:sz="6" w:space="0"/>
              <w:right w:val="single" w:color="auto" w:sz="6" w:space="0"/>
            </w:tcBorders>
            <w:noWrap w:val="0"/>
            <w:vAlign w:val="center"/>
          </w:tcPr>
          <w:p w14:paraId="451B4DD0">
            <w:pPr>
              <w:spacing w:line="360" w:lineRule="auto"/>
              <w:jc w:val="center"/>
              <w:rPr>
                <w:rFonts w:hint="eastAsia" w:ascii="宋体" w:hAnsi="宋体" w:eastAsia="宋体" w:cs="宋体"/>
                <w:color w:val="auto"/>
                <w:sz w:val="21"/>
                <w:szCs w:val="21"/>
                <w:highlight w:val="none"/>
              </w:rPr>
            </w:pPr>
          </w:p>
        </w:tc>
        <w:tc>
          <w:tcPr>
            <w:tcW w:w="3022" w:type="pct"/>
            <w:tcBorders>
              <w:top w:val="single" w:color="auto" w:sz="6" w:space="0"/>
              <w:left w:val="single" w:color="auto" w:sz="6" w:space="0"/>
              <w:bottom w:val="single" w:color="auto" w:sz="6" w:space="0"/>
              <w:right w:val="single" w:color="auto" w:sz="6" w:space="0"/>
            </w:tcBorders>
            <w:noWrap w:val="0"/>
            <w:vAlign w:val="center"/>
          </w:tcPr>
          <w:p w14:paraId="0F576E5C">
            <w:pPr>
              <w:numPr>
                <w:ilvl w:val="0"/>
                <w:numId w:val="0"/>
              </w:numPr>
              <w:spacing w:line="360" w:lineRule="auto"/>
              <w:ind w:left="0" w:leftChars="0" w:firstLine="0" w:firstLineChars="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根据供应商提</w:t>
            </w:r>
            <w:r>
              <w:rPr>
                <w:rFonts w:hint="eastAsia" w:ascii="宋体" w:hAnsi="宋体" w:eastAsia="宋体" w:cs="宋体"/>
                <w:color w:val="auto"/>
                <w:kern w:val="0"/>
                <w:sz w:val="21"/>
                <w:szCs w:val="21"/>
                <w:highlight w:val="none"/>
                <w:lang w:val="en-US" w:eastAsia="zh-CN"/>
              </w:rPr>
              <w:t>供</w:t>
            </w:r>
            <w:r>
              <w:rPr>
                <w:rFonts w:hint="eastAsia" w:ascii="宋体" w:hAnsi="宋体" w:eastAsia="宋体" w:cs="宋体"/>
                <w:b/>
                <w:bCs/>
                <w:color w:val="auto"/>
                <w:kern w:val="0"/>
                <w:sz w:val="21"/>
                <w:szCs w:val="21"/>
                <w:highlight w:val="none"/>
                <w:lang w:val="en-US" w:eastAsia="zh-CN"/>
              </w:rPr>
              <w:t>服务保障机制和服务效能</w:t>
            </w:r>
            <w:r>
              <w:rPr>
                <w:rFonts w:hint="eastAsia" w:ascii="宋体" w:hAnsi="宋体" w:eastAsia="宋体" w:cs="宋体"/>
                <w:color w:val="auto"/>
                <w:kern w:val="0"/>
                <w:sz w:val="21"/>
                <w:szCs w:val="21"/>
                <w:highlight w:val="none"/>
                <w:lang w:val="en-US" w:eastAsia="zh-CN"/>
              </w:rPr>
              <w:t>要求方案进行评审；每符合一小项得1分，有所欠缺得0.5分，满分2分。</w:t>
            </w:r>
          </w:p>
        </w:tc>
        <w:tc>
          <w:tcPr>
            <w:tcW w:w="277" w:type="pct"/>
            <w:tcBorders>
              <w:top w:val="single" w:color="auto" w:sz="6" w:space="0"/>
              <w:left w:val="single" w:color="auto" w:sz="6" w:space="0"/>
              <w:bottom w:val="single" w:color="auto" w:sz="6" w:space="0"/>
              <w:right w:val="single" w:color="auto" w:sz="4" w:space="0"/>
            </w:tcBorders>
            <w:noWrap w:val="0"/>
            <w:vAlign w:val="center"/>
          </w:tcPr>
          <w:p w14:paraId="63779FF9">
            <w:pPr>
              <w:snapToGrid w:val="0"/>
              <w:spacing w:line="37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2</w:t>
            </w:r>
          </w:p>
        </w:tc>
        <w:tc>
          <w:tcPr>
            <w:tcW w:w="530" w:type="pct"/>
            <w:tcBorders>
              <w:top w:val="single" w:color="auto" w:sz="6" w:space="0"/>
              <w:left w:val="single" w:color="auto" w:sz="6" w:space="0"/>
              <w:bottom w:val="single" w:color="auto" w:sz="6" w:space="0"/>
              <w:right w:val="single" w:color="auto" w:sz="4" w:space="0"/>
            </w:tcBorders>
            <w:noWrap w:val="0"/>
            <w:vAlign w:val="center"/>
          </w:tcPr>
          <w:p w14:paraId="2D7726C6">
            <w:pPr>
              <w:widowControl/>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w:t>
            </w:r>
          </w:p>
          <w:p w14:paraId="7BF5864F">
            <w:pPr>
              <w:widowControl/>
              <w:spacing w:line="3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评审</w:t>
            </w:r>
          </w:p>
        </w:tc>
      </w:tr>
      <w:tr w14:paraId="0C297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498" w:type="pct"/>
            <w:vMerge w:val="continue"/>
            <w:tcBorders>
              <w:left w:val="single" w:color="auto" w:sz="4" w:space="0"/>
              <w:right w:val="single" w:color="auto" w:sz="6" w:space="0"/>
            </w:tcBorders>
            <w:noWrap w:val="0"/>
            <w:vAlign w:val="center"/>
          </w:tcPr>
          <w:p w14:paraId="771ED261">
            <w:pPr>
              <w:spacing w:line="360" w:lineRule="auto"/>
              <w:jc w:val="center"/>
              <w:rPr>
                <w:rFonts w:hint="eastAsia" w:ascii="宋体" w:hAnsi="宋体" w:eastAsia="宋体" w:cs="宋体"/>
                <w:color w:val="auto"/>
                <w:sz w:val="21"/>
                <w:szCs w:val="21"/>
                <w:highlight w:val="none"/>
              </w:rPr>
            </w:pPr>
          </w:p>
        </w:tc>
        <w:tc>
          <w:tcPr>
            <w:tcW w:w="670" w:type="pct"/>
            <w:vMerge w:val="continue"/>
            <w:tcBorders>
              <w:left w:val="single" w:color="auto" w:sz="6" w:space="0"/>
              <w:right w:val="single" w:color="auto" w:sz="6" w:space="0"/>
            </w:tcBorders>
            <w:noWrap w:val="0"/>
            <w:vAlign w:val="center"/>
          </w:tcPr>
          <w:p w14:paraId="5DBD0BC9">
            <w:pPr>
              <w:spacing w:line="360" w:lineRule="auto"/>
              <w:jc w:val="center"/>
              <w:rPr>
                <w:rFonts w:hint="eastAsia" w:ascii="宋体" w:hAnsi="宋体" w:eastAsia="宋体" w:cs="宋体"/>
                <w:color w:val="auto"/>
                <w:sz w:val="21"/>
                <w:szCs w:val="21"/>
                <w:highlight w:val="none"/>
              </w:rPr>
            </w:pPr>
          </w:p>
        </w:tc>
        <w:tc>
          <w:tcPr>
            <w:tcW w:w="3022" w:type="pct"/>
            <w:tcBorders>
              <w:top w:val="single" w:color="auto" w:sz="6" w:space="0"/>
              <w:left w:val="single" w:color="auto" w:sz="6" w:space="0"/>
              <w:bottom w:val="single" w:color="auto" w:sz="6" w:space="0"/>
              <w:right w:val="single" w:color="auto" w:sz="6" w:space="0"/>
            </w:tcBorders>
            <w:noWrap w:val="0"/>
            <w:vAlign w:val="center"/>
          </w:tcPr>
          <w:p w14:paraId="4ED5A665">
            <w:pPr>
              <w:autoSpaceDE w:val="0"/>
              <w:autoSpaceDN w:val="0"/>
              <w:spacing w:line="360" w:lineRule="auto"/>
              <w:ind w:hanging="6" w:firstLineChars="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根据供应商提供的</w:t>
            </w:r>
            <w:r>
              <w:rPr>
                <w:rFonts w:hint="eastAsia" w:ascii="宋体" w:hAnsi="宋体" w:eastAsia="宋体" w:cs="宋体"/>
                <w:b/>
                <w:bCs/>
                <w:color w:val="auto"/>
                <w:kern w:val="0"/>
                <w:sz w:val="21"/>
                <w:szCs w:val="21"/>
                <w:highlight w:val="none"/>
                <w:lang w:val="en-US" w:eastAsia="zh-CN"/>
              </w:rPr>
              <w:t>安全保障方案</w:t>
            </w:r>
            <w:r>
              <w:rPr>
                <w:rFonts w:hint="eastAsia" w:ascii="宋体" w:hAnsi="宋体" w:eastAsia="宋体" w:cs="宋体"/>
                <w:color w:val="auto"/>
                <w:kern w:val="0"/>
                <w:sz w:val="21"/>
                <w:szCs w:val="21"/>
                <w:highlight w:val="none"/>
                <w:lang w:val="en-US" w:eastAsia="zh-CN"/>
              </w:rPr>
              <w:t>进行评审，包括①基础设施安全网络安全；②系统安全</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数据安全；每符合一小项得1分，有所欠缺得0.5分，满分</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分。</w:t>
            </w:r>
          </w:p>
        </w:tc>
        <w:tc>
          <w:tcPr>
            <w:tcW w:w="277" w:type="pct"/>
            <w:tcBorders>
              <w:top w:val="single" w:color="auto" w:sz="6" w:space="0"/>
              <w:left w:val="single" w:color="auto" w:sz="6" w:space="0"/>
              <w:bottom w:val="single" w:color="auto" w:sz="6" w:space="0"/>
              <w:right w:val="single" w:color="auto" w:sz="4" w:space="0"/>
            </w:tcBorders>
            <w:noWrap w:val="0"/>
            <w:vAlign w:val="center"/>
          </w:tcPr>
          <w:p w14:paraId="623383C4">
            <w:pPr>
              <w:autoSpaceDE w:val="0"/>
              <w:autoSpaceDN w:val="0"/>
              <w:spacing w:line="360" w:lineRule="auto"/>
              <w:ind w:hanging="6" w:firstLineChars="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p>
        </w:tc>
        <w:tc>
          <w:tcPr>
            <w:tcW w:w="530" w:type="pct"/>
            <w:tcBorders>
              <w:top w:val="single" w:color="auto" w:sz="6" w:space="0"/>
              <w:left w:val="single" w:color="auto" w:sz="6" w:space="0"/>
              <w:bottom w:val="single" w:color="auto" w:sz="6" w:space="0"/>
              <w:right w:val="single" w:color="auto" w:sz="4" w:space="0"/>
            </w:tcBorders>
            <w:noWrap w:val="0"/>
            <w:vAlign w:val="center"/>
          </w:tcPr>
          <w:p w14:paraId="02507739">
            <w:pPr>
              <w:widowControl/>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w:t>
            </w:r>
          </w:p>
          <w:p w14:paraId="669440B9">
            <w:pPr>
              <w:widowControl/>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w:t>
            </w:r>
          </w:p>
        </w:tc>
      </w:tr>
      <w:tr w14:paraId="22E13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8" w:type="pct"/>
            <w:vMerge w:val="continue"/>
            <w:tcBorders>
              <w:left w:val="single" w:color="auto" w:sz="4" w:space="0"/>
              <w:right w:val="single" w:color="auto" w:sz="6" w:space="0"/>
            </w:tcBorders>
            <w:noWrap w:val="0"/>
            <w:vAlign w:val="center"/>
          </w:tcPr>
          <w:p w14:paraId="5B8BBC52">
            <w:pPr>
              <w:spacing w:line="360" w:lineRule="auto"/>
              <w:jc w:val="center"/>
              <w:rPr>
                <w:rFonts w:hint="eastAsia" w:ascii="宋体" w:hAnsi="宋体" w:eastAsia="宋体" w:cs="宋体"/>
                <w:color w:val="auto"/>
                <w:sz w:val="21"/>
                <w:szCs w:val="21"/>
                <w:highlight w:val="none"/>
              </w:rPr>
            </w:pPr>
          </w:p>
        </w:tc>
        <w:tc>
          <w:tcPr>
            <w:tcW w:w="1307" w:type="dxa"/>
            <w:tcBorders>
              <w:left w:val="single" w:color="auto" w:sz="6" w:space="0"/>
              <w:bottom w:val="single" w:color="auto" w:sz="6" w:space="0"/>
              <w:right w:val="single" w:color="auto" w:sz="6" w:space="0"/>
            </w:tcBorders>
            <w:noWrap w:val="0"/>
            <w:vAlign w:val="center"/>
          </w:tcPr>
          <w:p w14:paraId="39580E8A">
            <w:pPr>
              <w:autoSpaceDE w:val="0"/>
              <w:autoSpaceDN w:val="0"/>
              <w:spacing w:line="360" w:lineRule="auto"/>
              <w:ind w:hanging="6"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培训方案（2分）</w:t>
            </w:r>
          </w:p>
        </w:tc>
        <w:tc>
          <w:tcPr>
            <w:tcW w:w="5889" w:type="dxa"/>
            <w:tcBorders>
              <w:top w:val="single" w:color="auto" w:sz="6" w:space="0"/>
              <w:left w:val="single" w:color="auto" w:sz="6" w:space="0"/>
              <w:bottom w:val="single" w:color="auto" w:sz="6" w:space="0"/>
              <w:right w:val="single" w:color="auto" w:sz="6" w:space="0"/>
            </w:tcBorders>
            <w:noWrap w:val="0"/>
            <w:vAlign w:val="center"/>
          </w:tcPr>
          <w:p w14:paraId="5118BD7F">
            <w:pPr>
              <w:autoSpaceDE w:val="0"/>
              <w:autoSpaceDN w:val="0"/>
              <w:spacing w:line="360" w:lineRule="auto"/>
              <w:ind w:hanging="6" w:firstLineChars="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根据投标人提供的培训方案进行评审，包括①培训内容；②培训方式；每符合一小项得1分，有所欠缺得0.5分，满分2分。</w:t>
            </w:r>
          </w:p>
        </w:tc>
        <w:tc>
          <w:tcPr>
            <w:tcW w:w="540" w:type="dxa"/>
            <w:tcBorders>
              <w:top w:val="single" w:color="auto" w:sz="6" w:space="0"/>
              <w:left w:val="single" w:color="auto" w:sz="6" w:space="0"/>
              <w:bottom w:val="single" w:color="auto" w:sz="6" w:space="0"/>
              <w:right w:val="single" w:color="auto" w:sz="4" w:space="0"/>
            </w:tcBorders>
            <w:noWrap w:val="0"/>
            <w:vAlign w:val="center"/>
          </w:tcPr>
          <w:p w14:paraId="756C1BC4">
            <w:pPr>
              <w:widowControl/>
              <w:spacing w:line="30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2</w:t>
            </w:r>
          </w:p>
        </w:tc>
        <w:tc>
          <w:tcPr>
            <w:tcW w:w="1033" w:type="dxa"/>
            <w:tcBorders>
              <w:top w:val="single" w:color="auto" w:sz="6" w:space="0"/>
              <w:left w:val="single" w:color="auto" w:sz="6" w:space="0"/>
              <w:bottom w:val="single" w:color="auto" w:sz="6" w:space="0"/>
              <w:right w:val="single" w:color="auto" w:sz="4" w:space="0"/>
            </w:tcBorders>
            <w:noWrap w:val="0"/>
            <w:vAlign w:val="center"/>
          </w:tcPr>
          <w:p w14:paraId="7AB45879">
            <w:pPr>
              <w:widowControl/>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w:t>
            </w:r>
          </w:p>
          <w:p w14:paraId="4CCB2EDA">
            <w:pPr>
              <w:widowControl/>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w:t>
            </w:r>
          </w:p>
        </w:tc>
      </w:tr>
      <w:tr w14:paraId="553D6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8" w:type="pct"/>
            <w:vMerge w:val="continue"/>
            <w:tcBorders>
              <w:left w:val="single" w:color="auto" w:sz="4" w:space="0"/>
              <w:right w:val="single" w:color="auto" w:sz="6" w:space="0"/>
            </w:tcBorders>
            <w:noWrap w:val="0"/>
            <w:vAlign w:val="center"/>
          </w:tcPr>
          <w:p w14:paraId="322527D9">
            <w:pPr>
              <w:spacing w:line="360" w:lineRule="auto"/>
              <w:jc w:val="center"/>
              <w:rPr>
                <w:rFonts w:hint="eastAsia" w:ascii="宋体" w:hAnsi="宋体" w:eastAsia="宋体" w:cs="宋体"/>
                <w:color w:val="auto"/>
                <w:sz w:val="21"/>
                <w:szCs w:val="21"/>
                <w:highlight w:val="none"/>
              </w:rPr>
            </w:pPr>
          </w:p>
        </w:tc>
        <w:tc>
          <w:tcPr>
            <w:tcW w:w="1307" w:type="dxa"/>
            <w:tcBorders>
              <w:left w:val="single" w:color="auto" w:sz="6" w:space="0"/>
              <w:bottom w:val="single" w:color="auto" w:sz="6" w:space="0"/>
              <w:right w:val="single" w:color="auto" w:sz="6" w:space="0"/>
            </w:tcBorders>
            <w:noWrap w:val="0"/>
            <w:vAlign w:val="center"/>
          </w:tcPr>
          <w:p w14:paraId="3D84961F">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考核应对措施（2分）</w:t>
            </w:r>
          </w:p>
        </w:tc>
        <w:tc>
          <w:tcPr>
            <w:tcW w:w="5889" w:type="dxa"/>
            <w:tcBorders>
              <w:top w:val="single" w:color="auto" w:sz="6" w:space="0"/>
              <w:left w:val="single" w:color="auto" w:sz="6" w:space="0"/>
              <w:bottom w:val="single" w:color="auto" w:sz="6" w:space="0"/>
              <w:right w:val="single" w:color="auto" w:sz="6" w:space="0"/>
            </w:tcBorders>
            <w:noWrap w:val="0"/>
            <w:vAlign w:val="center"/>
          </w:tcPr>
          <w:p w14:paraId="430A29FA">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评委根据供应商的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文件，对其制定的</w:t>
            </w:r>
            <w:r>
              <w:rPr>
                <w:rFonts w:hint="eastAsia" w:ascii="宋体" w:hAnsi="宋体" w:eastAsia="宋体" w:cs="宋体"/>
                <w:color w:val="auto"/>
                <w:sz w:val="21"/>
                <w:szCs w:val="21"/>
                <w:highlight w:val="none"/>
                <w:lang w:val="en-US" w:eastAsia="zh-CN"/>
              </w:rPr>
              <w:t>考核应对措施评议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rPr>
              <w:t>包括①考核指标分析；②考核应对措施；每符合一小项得1分，有所欠缺得0.5分，满分</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分。</w:t>
            </w:r>
          </w:p>
        </w:tc>
        <w:tc>
          <w:tcPr>
            <w:tcW w:w="540" w:type="dxa"/>
            <w:tcBorders>
              <w:top w:val="single" w:color="auto" w:sz="6" w:space="0"/>
              <w:left w:val="single" w:color="auto" w:sz="6" w:space="0"/>
              <w:bottom w:val="single" w:color="auto" w:sz="6" w:space="0"/>
              <w:right w:val="single" w:color="auto" w:sz="4" w:space="0"/>
            </w:tcBorders>
            <w:noWrap w:val="0"/>
            <w:vAlign w:val="center"/>
          </w:tcPr>
          <w:p w14:paraId="6D817F9F">
            <w:pPr>
              <w:snapToGrid w:val="0"/>
              <w:spacing w:line="37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033" w:type="dxa"/>
            <w:tcBorders>
              <w:top w:val="single" w:color="auto" w:sz="6" w:space="0"/>
              <w:left w:val="single" w:color="auto" w:sz="6" w:space="0"/>
              <w:bottom w:val="single" w:color="auto" w:sz="6" w:space="0"/>
              <w:right w:val="single" w:color="auto" w:sz="4" w:space="0"/>
            </w:tcBorders>
            <w:noWrap w:val="0"/>
            <w:vAlign w:val="center"/>
          </w:tcPr>
          <w:p w14:paraId="1C0F72A5">
            <w:pPr>
              <w:widowControl/>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w:t>
            </w:r>
          </w:p>
          <w:p w14:paraId="43086E4E">
            <w:pPr>
              <w:widowControl/>
              <w:spacing w:line="3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w:t>
            </w:r>
          </w:p>
        </w:tc>
      </w:tr>
      <w:tr w14:paraId="1ED1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8" w:type="pct"/>
            <w:vMerge w:val="continue"/>
            <w:tcBorders>
              <w:left w:val="single" w:color="auto" w:sz="4" w:space="0"/>
              <w:right w:val="single" w:color="auto" w:sz="6" w:space="0"/>
            </w:tcBorders>
            <w:noWrap w:val="0"/>
            <w:vAlign w:val="center"/>
          </w:tcPr>
          <w:p w14:paraId="3DDA3D13">
            <w:pPr>
              <w:spacing w:line="360" w:lineRule="auto"/>
              <w:jc w:val="center"/>
              <w:rPr>
                <w:rFonts w:hint="eastAsia" w:ascii="宋体" w:hAnsi="宋体" w:eastAsia="宋体" w:cs="宋体"/>
                <w:color w:val="auto"/>
                <w:sz w:val="21"/>
                <w:szCs w:val="21"/>
                <w:highlight w:val="none"/>
              </w:rPr>
            </w:pPr>
          </w:p>
        </w:tc>
        <w:tc>
          <w:tcPr>
            <w:tcW w:w="1307" w:type="dxa"/>
            <w:tcBorders>
              <w:left w:val="single" w:color="auto" w:sz="6" w:space="0"/>
              <w:bottom w:val="single" w:color="auto" w:sz="6" w:space="0"/>
              <w:right w:val="single" w:color="auto" w:sz="6" w:space="0"/>
            </w:tcBorders>
            <w:noWrap w:val="0"/>
            <w:vAlign w:val="center"/>
          </w:tcPr>
          <w:p w14:paraId="422AA8BA">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突发事件预测及应急处理预案（</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5889" w:type="dxa"/>
            <w:tcBorders>
              <w:top w:val="single" w:color="auto" w:sz="6" w:space="0"/>
              <w:left w:val="single" w:color="auto" w:sz="6" w:space="0"/>
              <w:bottom w:val="single" w:color="auto" w:sz="6" w:space="0"/>
              <w:right w:val="single" w:color="auto" w:sz="6" w:space="0"/>
            </w:tcBorders>
            <w:noWrap w:val="0"/>
            <w:vAlign w:val="center"/>
          </w:tcPr>
          <w:p w14:paraId="3031F0D3">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根据供应商提供的可能存在的突发事件预测及应急处理预案进行评审：</w:t>
            </w:r>
            <w:r>
              <w:rPr>
                <w:rFonts w:hint="eastAsia" w:ascii="宋体" w:hAnsi="宋体" w:eastAsia="宋体" w:cs="宋体"/>
                <w:color w:val="auto"/>
                <w:sz w:val="21"/>
                <w:szCs w:val="21"/>
                <w:highlight w:val="none"/>
                <w:lang w:val="en-US" w:eastAsia="zh-CN"/>
              </w:rPr>
              <w:t>包括①突发事件预测分析；②应急处理方案；③应急处理承诺；每符合一小项得1分，有所欠缺得0.5分，满分</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w:t>
            </w:r>
          </w:p>
        </w:tc>
        <w:tc>
          <w:tcPr>
            <w:tcW w:w="540" w:type="dxa"/>
            <w:tcBorders>
              <w:top w:val="single" w:color="auto" w:sz="6" w:space="0"/>
              <w:left w:val="single" w:color="auto" w:sz="6" w:space="0"/>
              <w:bottom w:val="single" w:color="auto" w:sz="6" w:space="0"/>
              <w:right w:val="single" w:color="auto" w:sz="4" w:space="0"/>
            </w:tcBorders>
            <w:noWrap w:val="0"/>
            <w:vAlign w:val="center"/>
          </w:tcPr>
          <w:p w14:paraId="7CB5B322">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033" w:type="dxa"/>
            <w:tcBorders>
              <w:top w:val="single" w:color="auto" w:sz="6" w:space="0"/>
              <w:left w:val="single" w:color="auto" w:sz="6" w:space="0"/>
              <w:bottom w:val="single" w:color="auto" w:sz="6" w:space="0"/>
              <w:right w:val="single" w:color="auto" w:sz="4" w:space="0"/>
            </w:tcBorders>
            <w:noWrap w:val="0"/>
            <w:vAlign w:val="center"/>
          </w:tcPr>
          <w:p w14:paraId="02C0452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w:t>
            </w:r>
          </w:p>
          <w:p w14:paraId="565BCDF1">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评审</w:t>
            </w:r>
          </w:p>
        </w:tc>
      </w:tr>
      <w:tr w14:paraId="3A96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8" w:type="pct"/>
            <w:vMerge w:val="continue"/>
            <w:tcBorders>
              <w:left w:val="single" w:color="auto" w:sz="4" w:space="0"/>
              <w:right w:val="single" w:color="auto" w:sz="6" w:space="0"/>
            </w:tcBorders>
            <w:noWrap w:val="0"/>
            <w:vAlign w:val="center"/>
          </w:tcPr>
          <w:p w14:paraId="50AF9B1D">
            <w:pPr>
              <w:spacing w:line="360" w:lineRule="auto"/>
              <w:jc w:val="center"/>
              <w:rPr>
                <w:rFonts w:hint="eastAsia" w:ascii="宋体" w:hAnsi="宋体" w:eastAsia="宋体" w:cs="宋体"/>
                <w:color w:val="auto"/>
                <w:sz w:val="21"/>
                <w:szCs w:val="21"/>
                <w:highlight w:val="none"/>
              </w:rPr>
            </w:pPr>
          </w:p>
        </w:tc>
        <w:tc>
          <w:tcPr>
            <w:tcW w:w="1307" w:type="dxa"/>
            <w:tcBorders>
              <w:left w:val="single" w:color="auto" w:sz="6" w:space="0"/>
              <w:bottom w:val="single" w:color="auto" w:sz="6" w:space="0"/>
              <w:right w:val="single" w:color="auto" w:sz="6" w:space="0"/>
            </w:tcBorders>
            <w:noWrap w:val="0"/>
            <w:vAlign w:val="center"/>
          </w:tcPr>
          <w:p w14:paraId="25693FA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重难点分析及解决方案（</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5889" w:type="dxa"/>
            <w:tcBorders>
              <w:top w:val="single" w:color="auto" w:sz="6" w:space="0"/>
              <w:left w:val="single" w:color="auto" w:sz="6" w:space="0"/>
              <w:bottom w:val="single" w:color="auto" w:sz="6" w:space="0"/>
              <w:right w:val="single" w:color="auto" w:sz="6" w:space="0"/>
            </w:tcBorders>
            <w:noWrap w:val="0"/>
            <w:vAlign w:val="center"/>
          </w:tcPr>
          <w:p w14:paraId="715F1C1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根据投标人提供的重难点分析及解决方案进行评审，包括①项目重点分析；②项目难点分析；③解决方案；每符合一小项得1分，有所欠缺得0.5分，满分3分</w:t>
            </w:r>
            <w:r>
              <w:rPr>
                <w:rFonts w:hint="eastAsia" w:ascii="宋体" w:hAnsi="宋体" w:eastAsia="宋体" w:cs="宋体"/>
                <w:color w:val="auto"/>
                <w:sz w:val="21"/>
                <w:szCs w:val="21"/>
                <w:highlight w:val="none"/>
              </w:rPr>
              <w:t>。未提供的得0分。</w:t>
            </w:r>
          </w:p>
        </w:tc>
        <w:tc>
          <w:tcPr>
            <w:tcW w:w="540" w:type="dxa"/>
            <w:tcBorders>
              <w:top w:val="single" w:color="auto" w:sz="6" w:space="0"/>
              <w:left w:val="single" w:color="auto" w:sz="6" w:space="0"/>
              <w:bottom w:val="single" w:color="auto" w:sz="6" w:space="0"/>
              <w:right w:val="single" w:color="auto" w:sz="4" w:space="0"/>
            </w:tcBorders>
            <w:noWrap w:val="0"/>
            <w:vAlign w:val="center"/>
          </w:tcPr>
          <w:p w14:paraId="2AA5AF67">
            <w:pPr>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033" w:type="dxa"/>
            <w:tcBorders>
              <w:top w:val="single" w:color="auto" w:sz="6" w:space="0"/>
              <w:left w:val="single" w:color="auto" w:sz="6" w:space="0"/>
              <w:bottom w:val="single" w:color="auto" w:sz="6" w:space="0"/>
              <w:right w:val="single" w:color="auto" w:sz="4" w:space="0"/>
            </w:tcBorders>
            <w:noWrap w:val="0"/>
            <w:vAlign w:val="center"/>
          </w:tcPr>
          <w:p w14:paraId="2F0EF35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w:t>
            </w:r>
          </w:p>
          <w:p w14:paraId="7897C2DC">
            <w:pPr>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评审</w:t>
            </w:r>
          </w:p>
        </w:tc>
      </w:tr>
      <w:tr w14:paraId="6C36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8" w:type="pct"/>
            <w:tcBorders>
              <w:top w:val="single" w:color="auto" w:sz="6" w:space="0"/>
              <w:left w:val="single" w:color="auto" w:sz="4" w:space="0"/>
              <w:bottom w:val="single" w:color="auto" w:sz="6" w:space="0"/>
              <w:right w:val="single" w:color="auto" w:sz="6" w:space="0"/>
            </w:tcBorders>
            <w:noWrap w:val="0"/>
            <w:vAlign w:val="center"/>
          </w:tcPr>
          <w:p w14:paraId="5C61DCB3">
            <w:pPr>
              <w:spacing w:line="360" w:lineRule="auto"/>
              <w:rPr>
                <w:rFonts w:hint="eastAsia" w:ascii="宋体" w:hAnsi="宋体" w:eastAsia="宋体" w:cs="宋体"/>
                <w:color w:val="auto"/>
                <w:sz w:val="21"/>
                <w:szCs w:val="21"/>
                <w:highlight w:val="none"/>
                <w:lang w:val="en-US" w:eastAsia="zh-CN"/>
              </w:rPr>
            </w:pPr>
            <w:bookmarkStart w:id="96" w:name="OLE_LINK13" w:colFirst="0" w:colLast="3"/>
            <w:r>
              <w:rPr>
                <w:rFonts w:hint="eastAsia" w:ascii="宋体" w:hAnsi="宋体" w:eastAsia="宋体" w:cs="宋体"/>
                <w:color w:val="auto"/>
                <w:sz w:val="21"/>
                <w:szCs w:val="21"/>
                <w:highlight w:val="none"/>
                <w:lang w:val="en-US" w:eastAsia="zh-CN"/>
              </w:rPr>
              <w:t>价格分（10分）</w:t>
            </w:r>
          </w:p>
        </w:tc>
        <w:tc>
          <w:tcPr>
            <w:tcW w:w="3693" w:type="pct"/>
            <w:gridSpan w:val="2"/>
            <w:tcBorders>
              <w:top w:val="single" w:color="auto" w:sz="6" w:space="0"/>
              <w:left w:val="single" w:color="auto" w:sz="6" w:space="0"/>
              <w:right w:val="single" w:color="auto" w:sz="6" w:space="0"/>
            </w:tcBorders>
            <w:noWrap w:val="0"/>
            <w:vAlign w:val="center"/>
          </w:tcPr>
          <w:p w14:paraId="0E8634E0">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参与评审的价格=最后报价</w:t>
            </w:r>
          </w:p>
          <w:p w14:paraId="3ECFA7C3">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满足磋商采购文件要求且最低的参与评审的价格为磋商基准价，得10分；</w:t>
            </w:r>
          </w:p>
          <w:p w14:paraId="7AE52F3A">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其他供应商的价格得分计算公式如下：</w:t>
            </w:r>
          </w:p>
          <w:p w14:paraId="7915BA9F">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价格分=（磋商基准价/参与评审的价格）×10%×100</w:t>
            </w:r>
          </w:p>
        </w:tc>
        <w:tc>
          <w:tcPr>
            <w:tcW w:w="277" w:type="pct"/>
            <w:tcBorders>
              <w:top w:val="single" w:color="auto" w:sz="6" w:space="0"/>
              <w:left w:val="single" w:color="auto" w:sz="6" w:space="0"/>
              <w:bottom w:val="single" w:color="auto" w:sz="6" w:space="0"/>
              <w:right w:val="single" w:color="auto" w:sz="4" w:space="0"/>
            </w:tcBorders>
            <w:noWrap w:val="0"/>
            <w:vAlign w:val="center"/>
          </w:tcPr>
          <w:p w14:paraId="3DC94937">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530" w:type="pct"/>
            <w:tcBorders>
              <w:top w:val="single" w:color="auto" w:sz="6" w:space="0"/>
              <w:left w:val="single" w:color="auto" w:sz="6" w:space="0"/>
              <w:bottom w:val="single" w:color="auto" w:sz="6" w:space="0"/>
              <w:right w:val="single" w:color="auto" w:sz="4" w:space="0"/>
            </w:tcBorders>
            <w:noWrap w:val="0"/>
            <w:vAlign w:val="center"/>
          </w:tcPr>
          <w:p w14:paraId="0D0EEB2D">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w:t>
            </w:r>
          </w:p>
          <w:p w14:paraId="5CB009FC">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w:t>
            </w:r>
          </w:p>
        </w:tc>
      </w:tr>
      <w:bookmarkEnd w:id="96"/>
      <w:tr w14:paraId="7615A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92" w:type="pct"/>
            <w:gridSpan w:val="3"/>
            <w:tcBorders>
              <w:top w:val="single" w:color="auto" w:sz="6" w:space="0"/>
              <w:left w:val="single" w:color="auto" w:sz="4" w:space="0"/>
              <w:bottom w:val="single" w:color="auto" w:sz="6" w:space="0"/>
              <w:right w:val="single" w:color="auto" w:sz="6" w:space="0"/>
            </w:tcBorders>
            <w:noWrap w:val="0"/>
            <w:vAlign w:val="center"/>
          </w:tcPr>
          <w:p w14:paraId="5CB6F76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计</w:t>
            </w:r>
          </w:p>
        </w:tc>
        <w:tc>
          <w:tcPr>
            <w:tcW w:w="277" w:type="pct"/>
            <w:tcBorders>
              <w:top w:val="single" w:color="auto" w:sz="6" w:space="0"/>
              <w:left w:val="single" w:color="auto" w:sz="6" w:space="0"/>
              <w:bottom w:val="single" w:color="auto" w:sz="6" w:space="0"/>
              <w:right w:val="single" w:color="auto" w:sz="4" w:space="0"/>
            </w:tcBorders>
            <w:noWrap w:val="0"/>
            <w:vAlign w:val="center"/>
          </w:tcPr>
          <w:p w14:paraId="2E383A4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530" w:type="pct"/>
            <w:tcBorders>
              <w:top w:val="single" w:color="auto" w:sz="6" w:space="0"/>
              <w:left w:val="single" w:color="auto" w:sz="6" w:space="0"/>
              <w:bottom w:val="single" w:color="auto" w:sz="6" w:space="0"/>
              <w:right w:val="single" w:color="auto" w:sz="4" w:space="0"/>
            </w:tcBorders>
            <w:noWrap w:val="0"/>
            <w:vAlign w:val="center"/>
          </w:tcPr>
          <w:p w14:paraId="5815272D">
            <w:pPr>
              <w:spacing w:line="360" w:lineRule="auto"/>
              <w:jc w:val="center"/>
              <w:rPr>
                <w:rFonts w:hint="eastAsia" w:ascii="宋体" w:hAnsi="宋体" w:eastAsia="宋体" w:cs="宋体"/>
                <w:color w:val="auto"/>
                <w:sz w:val="21"/>
                <w:szCs w:val="21"/>
                <w:highlight w:val="none"/>
              </w:rPr>
            </w:pPr>
          </w:p>
        </w:tc>
      </w:tr>
    </w:tbl>
    <w:p w14:paraId="2B99C923">
      <w:pPr>
        <w:adjustRightInd/>
        <w:spacing w:line="360" w:lineRule="auto"/>
        <w:ind w:firstLine="482" w:firstLineChars="200"/>
        <w:rPr>
          <w:rFonts w:cs="Arial" w:asciiTheme="minorEastAsia" w:hAnsiTheme="minorEastAsia" w:eastAsiaTheme="minorEastAsia"/>
          <w:b/>
          <w:color w:val="auto"/>
          <w:kern w:val="0"/>
          <w:sz w:val="24"/>
          <w:highlight w:val="none"/>
        </w:rPr>
      </w:pPr>
    </w:p>
    <w:p w14:paraId="4F946E3F">
      <w:pP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br w:type="page"/>
      </w:r>
    </w:p>
    <w:p w14:paraId="5BA88D29">
      <w:pPr>
        <w:pStyle w:val="398"/>
        <w:spacing w:before="0"/>
        <w:ind w:firstLine="0" w:firstLineChars="0"/>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528AA1AF">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0DBB4C41">
      <w:pPr>
        <w:adjustRightInd/>
        <w:spacing w:line="360" w:lineRule="auto"/>
        <w:rPr>
          <w:rFonts w:cs="Arial" w:asciiTheme="minorEastAsia" w:hAnsiTheme="minorEastAsia" w:eastAsiaTheme="minorEastAsia"/>
          <w:color w:val="auto"/>
          <w:kern w:val="0"/>
          <w:sz w:val="24"/>
          <w:highlight w:val="none"/>
        </w:rPr>
      </w:pPr>
    </w:p>
    <w:p w14:paraId="0BD2C2BB">
      <w:pPr>
        <w:snapToGrid w:val="0"/>
        <w:spacing w:line="360" w:lineRule="auto"/>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44BBB731">
      <w:pPr>
        <w:pStyle w:val="398"/>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6A03E5EB">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08AD17FE">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67D81755">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2DAF8FB3">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1580C359">
      <w:pPr>
        <w:pStyle w:val="398"/>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4DA400AB">
      <w:pPr>
        <w:pStyle w:val="398"/>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0B4F6A9F">
      <w:pPr>
        <w:pStyle w:val="398"/>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517E179A">
      <w:pPr>
        <w:pStyle w:val="398"/>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0D32FDD5">
      <w:pPr>
        <w:pStyle w:val="398"/>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72CFD40F">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39097A6D">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46F0D515">
      <w:pPr>
        <w:pStyle w:val="398"/>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48DEF9E8">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0800756F">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2243E083">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4B0A2563">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38D815B1">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2A2CB4CB">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559E33EA">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586824C6">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00826294">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3BCF36FC">
      <w:pPr>
        <w:pStyle w:val="398"/>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1F46EA68">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463148B3">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6E3870AA">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4C1A1ACF">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2F7C6712">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6A18C87C">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1AA162AD">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1521EE35">
      <w:pPr>
        <w:pStyle w:val="398"/>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4F47517A">
      <w:pPr>
        <w:pStyle w:val="398"/>
        <w:spacing w:before="0"/>
        <w:ind w:firstLine="0" w:firstLineChars="0"/>
        <w:rPr>
          <w:rFonts w:asciiTheme="minorEastAsia" w:hAnsiTheme="minorEastAsia" w:eastAsiaTheme="minorEastAsia"/>
          <w:b/>
          <w:color w:val="auto"/>
          <w:highlight w:val="none"/>
        </w:rPr>
      </w:pPr>
    </w:p>
    <w:p w14:paraId="7A1C7036">
      <w:pPr>
        <w:pStyle w:val="398"/>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6FE50453">
      <w:pPr>
        <w:pStyle w:val="398"/>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2C22CCD8">
      <w:pPr>
        <w:pStyle w:val="398"/>
        <w:spacing w:before="0"/>
        <w:ind w:firstLine="0" w:firstLineChars="0"/>
        <w:rPr>
          <w:rFonts w:asciiTheme="minorEastAsia" w:hAnsiTheme="minorEastAsia" w:eastAsiaTheme="minorEastAsia"/>
          <w:b/>
          <w:color w:val="auto"/>
          <w:highlight w:val="none"/>
        </w:rPr>
      </w:pPr>
    </w:p>
    <w:p w14:paraId="110CBB82">
      <w:pPr>
        <w:pStyle w:val="398"/>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226496B8">
      <w:pPr>
        <w:pStyle w:val="398"/>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5CEF771B">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0D8F41E">
      <w:pPr>
        <w:pStyle w:val="398"/>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29EB6784">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39818D2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7306A92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6353A67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4EF5ED8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36227C9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6C3F233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24BC876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503BE69A">
      <w:pPr>
        <w:pStyle w:val="398"/>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308D34E0">
      <w:pPr>
        <w:pStyle w:val="24"/>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1FCE9C9B">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5A44AE6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03693D7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77C2CD4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7924844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5549D26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2541A9B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257F399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5492763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550568B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0281EDE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2038F45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472A2AB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6F41C16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3.14最后报价高于本项目采购预算或者单价最高限价的;</w:t>
      </w:r>
    </w:p>
    <w:p w14:paraId="5C7BB11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65BCEB4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3BB11C6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49B433D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7859228E">
      <w:pPr>
        <w:pStyle w:val="110"/>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5634F922">
      <w:pPr>
        <w:pStyle w:val="110"/>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2D6D521D">
      <w:pPr>
        <w:pStyle w:val="110"/>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3A601024">
      <w:pPr>
        <w:pStyle w:val="110"/>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052C5DDB">
      <w:pPr>
        <w:pStyle w:val="110"/>
        <w:numPr>
          <w:ilvl w:val="0"/>
          <w:numId w:val="13"/>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388B27F5">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638B345B">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41931227">
      <w:pPr>
        <w:pStyle w:val="110"/>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供应商直接或者间接从采购人或者采购代理机构处获得其他供应商的相关情况并修改其响应文件；</w:t>
      </w:r>
    </w:p>
    <w:p w14:paraId="74B00CCD">
      <w:pPr>
        <w:pStyle w:val="110"/>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供应商按照采购人或者采购代理机构的授意撤换、修改响应文件或者响应文件；</w:t>
      </w:r>
    </w:p>
    <w:p w14:paraId="644A1772">
      <w:pPr>
        <w:pStyle w:val="110"/>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供应商之间协商报价、技术方案等响应文件或者响应文件的实质性内容；</w:t>
      </w:r>
    </w:p>
    <w:p w14:paraId="577EAF32">
      <w:pPr>
        <w:pStyle w:val="110"/>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03B99269">
      <w:pPr>
        <w:pStyle w:val="110"/>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7F11F3EC">
      <w:pPr>
        <w:pStyle w:val="110"/>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1E402ACA">
      <w:pPr>
        <w:pStyle w:val="110"/>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供应商与采购人或者采购代理机构之间、供应商相互之间，为谋求特定供应商中标、成交或者排斥其他供应商的其他串通行为。</w:t>
      </w:r>
    </w:p>
    <w:p w14:paraId="19F001F8">
      <w:pPr>
        <w:pStyle w:val="110"/>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1B375321">
      <w:pPr>
        <w:pStyle w:val="110"/>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41451EB7">
      <w:pPr>
        <w:pStyle w:val="110"/>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1383A758">
      <w:pPr>
        <w:pStyle w:val="110"/>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64B95ED2">
      <w:pPr>
        <w:pStyle w:val="110"/>
        <w:numPr>
          <w:ilvl w:val="0"/>
          <w:numId w:val="14"/>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41C3CFE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22891811">
      <w:pPr>
        <w:pStyle w:val="410"/>
        <w:spacing w:line="360" w:lineRule="auto"/>
        <w:ind w:firstLine="460"/>
        <w:rPr>
          <w:color w:val="auto"/>
          <w:highlight w:val="none"/>
        </w:rPr>
      </w:pPr>
      <w:r>
        <w:rPr>
          <w:rFonts w:hint="eastAsia" w:ascii="宋体" w:hAnsi="宋体" w:cs="宋体"/>
          <w:color w:val="auto"/>
          <w:highlight w:val="none"/>
        </w:rPr>
        <w:t>3.21不同供应商的响应文件出自同一终端设备或在相同Internet主机分配地址（相同IP地址）网上报名投标的作无效标处理。</w:t>
      </w:r>
    </w:p>
    <w:p w14:paraId="0FF9224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3.22法律、法规、规章（适用本市的）及省级以上规范性文件（适用本市的）规定的其他无效情形。</w:t>
      </w:r>
    </w:p>
    <w:p w14:paraId="1AC22426">
      <w:pPr>
        <w:pStyle w:val="398"/>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49213CE7">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4A636AAB">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73B1CCD2">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2EA578BE">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2FC6D1D6">
      <w:pPr>
        <w:pStyle w:val="398"/>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4CA9B9F6">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26F88282">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426EAE20">
      <w:pPr>
        <w:pStyle w:val="398"/>
        <w:spacing w:before="0"/>
        <w:ind w:firstLine="0" w:firstLineChars="0"/>
        <w:rPr>
          <w:rFonts w:cs="仿宋_GB2312" w:asciiTheme="minorEastAsia" w:hAnsiTheme="minorEastAsia" w:eastAsiaTheme="minorEastAsia"/>
          <w:b/>
          <w:color w:val="auto"/>
          <w:highlight w:val="none"/>
        </w:rPr>
      </w:pPr>
    </w:p>
    <w:p w14:paraId="2BF5AD40">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3702E3B4">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2C2375C6">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06ECC46D">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027D7F7C">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第六部分</w:t>
      </w:r>
      <w:bookmarkEnd w:id="87"/>
      <w:r>
        <w:rPr>
          <w:rFonts w:hint="eastAsia" w:cs="仿宋_GB2312" w:asciiTheme="minorEastAsia" w:hAnsiTheme="minorEastAsia" w:eastAsiaTheme="minorEastAsia"/>
          <w:b/>
          <w:color w:val="auto"/>
          <w:sz w:val="36"/>
          <w:szCs w:val="36"/>
          <w:highlight w:val="none"/>
        </w:rPr>
        <w:t xml:space="preserve">  拟签订的合同文本</w:t>
      </w:r>
    </w:p>
    <w:p w14:paraId="50143CA9">
      <w:pPr>
        <w:pStyle w:val="32"/>
        <w:keepNext w:val="0"/>
        <w:keepLines w:val="0"/>
        <w:pageBreakBefore w:val="0"/>
        <w:widowControl w:val="0"/>
        <w:kinsoku/>
        <w:wordWrap/>
        <w:overflowPunct/>
        <w:topLinePunct w:val="0"/>
        <w:autoSpaceDE/>
        <w:autoSpaceDN/>
        <w:bidi w:val="0"/>
        <w:snapToGrid w:val="0"/>
        <w:spacing w:before="0" w:after="0" w:line="360" w:lineRule="auto"/>
        <w:ind w:right="0" w:rightChars="0"/>
        <w:jc w:val="center"/>
        <w:rPr>
          <w:rFonts w:hint="eastAsia" w:ascii="Arial" w:hAnsi="Arial" w:eastAsia="宋体"/>
          <w:b/>
          <w:color w:val="auto"/>
          <w:sz w:val="21"/>
          <w:szCs w:val="21"/>
          <w:highlight w:val="none"/>
        </w:rPr>
      </w:pPr>
      <w:bookmarkStart w:id="97" w:name="第五部分"/>
      <w:bookmarkStart w:id="98" w:name="_Toc86217003"/>
      <w:r>
        <w:rPr>
          <w:rFonts w:hint="eastAsia" w:ascii="Arial" w:hAnsi="Arial" w:eastAsia="宋体"/>
          <w:b/>
          <w:color w:val="auto"/>
          <w:sz w:val="21"/>
          <w:szCs w:val="21"/>
          <w:highlight w:val="none"/>
        </w:rPr>
        <w:t>（合同指引文本为参考文本，采购人和</w:t>
      </w:r>
      <w:r>
        <w:rPr>
          <w:rFonts w:hint="eastAsia" w:ascii="Arial" w:hAnsi="Arial" w:eastAsia="宋体"/>
          <w:b/>
          <w:color w:val="auto"/>
          <w:sz w:val="21"/>
          <w:szCs w:val="21"/>
          <w:highlight w:val="none"/>
          <w:lang w:val="en-US" w:eastAsia="zh-CN"/>
        </w:rPr>
        <w:t>成交供应商</w:t>
      </w:r>
      <w:r>
        <w:rPr>
          <w:rFonts w:hint="eastAsia" w:ascii="Arial" w:hAnsi="Arial" w:eastAsia="宋体"/>
          <w:b/>
          <w:color w:val="auto"/>
          <w:sz w:val="21"/>
          <w:szCs w:val="21"/>
          <w:highlight w:val="none"/>
        </w:rPr>
        <w:t>经过协商后签署最终合同）</w:t>
      </w:r>
    </w:p>
    <w:p w14:paraId="226B82F8">
      <w:pPr>
        <w:rPr>
          <w:rFonts w:ascii="宋体" w:hAnsi="宋体" w:cs="宋体"/>
          <w:b/>
          <w:color w:val="auto"/>
          <w:sz w:val="24"/>
          <w:highlight w:val="none"/>
        </w:rPr>
      </w:pPr>
    </w:p>
    <w:p w14:paraId="4359B9AA">
      <w:pPr>
        <w:pStyle w:val="57"/>
        <w:tabs>
          <w:tab w:val="left" w:pos="5040"/>
        </w:tabs>
        <w:overflowPunct w:val="0"/>
        <w:autoSpaceDE w:val="0"/>
        <w:autoSpaceDN w:val="0"/>
        <w:adjustRightInd w:val="0"/>
        <w:snapToGrid w:val="0"/>
        <w:spacing w:before="0" w:beforeAutospacing="0" w:after="0" w:afterAutospacing="0" w:line="360" w:lineRule="auto"/>
        <w:rPr>
          <w:rFonts w:hint="eastAsia" w:eastAsia="宋体"/>
          <w:color w:val="auto"/>
          <w:kern w:val="2"/>
          <w:sz w:val="24"/>
          <w:szCs w:val="24"/>
          <w:highlight w:val="none"/>
          <w:lang w:val="en-US" w:eastAsia="zh-CN"/>
        </w:rPr>
      </w:pPr>
      <w:r>
        <w:rPr>
          <w:rFonts w:hint="eastAsia"/>
          <w:color w:val="auto"/>
          <w:kern w:val="2"/>
          <w:sz w:val="24"/>
          <w:szCs w:val="24"/>
          <w:highlight w:val="none"/>
        </w:rPr>
        <w:t>项目名称：</w:t>
      </w:r>
      <w:r>
        <w:rPr>
          <w:rFonts w:hint="eastAsia"/>
          <w:color w:val="auto"/>
          <w:kern w:val="2"/>
          <w:sz w:val="24"/>
          <w:szCs w:val="24"/>
          <w:highlight w:val="none"/>
          <w:u w:val="single"/>
        </w:rPr>
        <w:t xml:space="preserve">  </w:t>
      </w:r>
      <w:r>
        <w:rPr>
          <w:rFonts w:hint="eastAsia"/>
          <w:color w:val="auto"/>
          <w:kern w:val="2"/>
          <w:sz w:val="24"/>
          <w:szCs w:val="24"/>
          <w:highlight w:val="none"/>
          <w:u w:val="single"/>
          <w:lang w:val="en-US" w:eastAsia="zh-CN"/>
        </w:rPr>
        <w:t xml:space="preserve">                 </w:t>
      </w:r>
      <w:r>
        <w:rPr>
          <w:rFonts w:hint="eastAsia"/>
          <w:color w:val="auto"/>
          <w:kern w:val="2"/>
          <w:sz w:val="24"/>
          <w:szCs w:val="24"/>
          <w:highlight w:val="none"/>
          <w:u w:val="single"/>
        </w:rPr>
        <w:t xml:space="preserve">   </w:t>
      </w:r>
    </w:p>
    <w:p w14:paraId="586F3A11">
      <w:pPr>
        <w:tabs>
          <w:tab w:val="left" w:pos="5040"/>
        </w:tabs>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甲方（购买方）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p>
    <w:p w14:paraId="262443D7">
      <w:pPr>
        <w:tabs>
          <w:tab w:val="left" w:pos="5040"/>
        </w:tabs>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乙方（</w:t>
      </w:r>
      <w:r>
        <w:rPr>
          <w:rFonts w:hint="eastAsia" w:ascii="宋体" w:hAnsi="宋体" w:cs="宋体"/>
          <w:color w:val="auto"/>
          <w:sz w:val="24"/>
          <w:szCs w:val="24"/>
          <w:highlight w:val="none"/>
          <w:lang w:val="en-US" w:eastAsia="zh-CN"/>
        </w:rPr>
        <w:t>服务方</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lang w:val="en-US" w:eastAsia="zh-CN"/>
        </w:rPr>
        <w:t xml:space="preserve">                    </w:t>
      </w:r>
    </w:p>
    <w:p w14:paraId="196B0282">
      <w:pPr>
        <w:widowControl/>
        <w:tabs>
          <w:tab w:val="left" w:pos="5040"/>
        </w:tabs>
        <w:spacing w:line="360" w:lineRule="auto"/>
        <w:jc w:val="left"/>
        <w:rPr>
          <w:rFonts w:hint="default"/>
          <w:color w:val="auto"/>
          <w:sz w:val="32"/>
          <w:szCs w:val="32"/>
          <w:highlight w:val="none"/>
          <w:lang w:val="en-US" w:eastAsia="zh-CN"/>
        </w:rPr>
      </w:pPr>
      <w:r>
        <w:rPr>
          <w:rFonts w:hint="eastAsia" w:ascii="宋体" w:hAnsi="宋体" w:cs="宋体"/>
          <w:color w:val="auto"/>
          <w:sz w:val="24"/>
          <w:szCs w:val="24"/>
          <w:highlight w:val="none"/>
        </w:rPr>
        <w:t>合同签订地点：</w:t>
      </w:r>
      <w:r>
        <w:rPr>
          <w:rFonts w:hint="eastAsia" w:ascii="宋体" w:hAnsi="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宁波市鄞州区</w:t>
      </w:r>
      <w:r>
        <w:rPr>
          <w:rFonts w:hint="eastAsia" w:ascii="宋体" w:hAnsi="宋体" w:cs="宋体"/>
          <w:color w:val="auto"/>
          <w:sz w:val="24"/>
          <w:szCs w:val="24"/>
          <w:highlight w:val="none"/>
          <w:u w:val="single"/>
          <w:lang w:val="en-US" w:eastAsia="zh-CN"/>
        </w:rPr>
        <w:t xml:space="preserve">       </w:t>
      </w:r>
    </w:p>
    <w:p w14:paraId="1E1C8BE9">
      <w:pPr>
        <w:tabs>
          <w:tab w:val="left" w:pos="5040"/>
        </w:tabs>
        <w:spacing w:line="360" w:lineRule="auto"/>
        <w:ind w:firstLine="48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根据《中华人民共和国民法典》等有关规定。为保证所购的服务质量，明确双方的权利义务，甲乙双方在平等、自愿、协商一致的基础上，就有关事宜达成如下协议：</w:t>
      </w:r>
    </w:p>
    <w:p w14:paraId="366F4439">
      <w:pPr>
        <w:keepNext w:val="0"/>
        <w:keepLines w:val="0"/>
        <w:pageBreakBefore w:val="0"/>
        <w:widowControl/>
        <w:numPr>
          <w:ilvl w:val="0"/>
          <w:numId w:val="15"/>
        </w:numPr>
        <w:tabs>
          <w:tab w:val="left" w:pos="5040"/>
        </w:tabs>
        <w:kinsoku/>
        <w:wordWrap/>
        <w:overflowPunct/>
        <w:topLinePunct w:val="0"/>
        <w:autoSpaceDE/>
        <w:autoSpaceDN/>
        <w:bidi w:val="0"/>
        <w:adjustRightInd/>
        <w:snapToGrid w:val="0"/>
        <w:spacing w:before="157" w:beforeLines="50" w:after="157" w:afterLines="50" w:line="360" w:lineRule="auto"/>
        <w:ind w:firstLine="482" w:firstLineChars="0"/>
        <w:jc w:val="left"/>
        <w:textAlignment w:val="auto"/>
        <w:rPr>
          <w:rFonts w:hint="eastAsia" w:ascii="Arial" w:hAnsi="Arial" w:eastAsia="宋体" w:cs="Times New Roman"/>
          <w:b/>
          <w:color w:val="auto"/>
          <w:kern w:val="2"/>
          <w:sz w:val="24"/>
          <w:szCs w:val="24"/>
          <w:highlight w:val="none"/>
          <w:lang w:val="en-US" w:eastAsia="zh-CN" w:bidi="ar-SA"/>
        </w:rPr>
      </w:pPr>
      <w:r>
        <w:rPr>
          <w:rFonts w:hint="eastAsia" w:ascii="Arial" w:hAnsi="Arial" w:eastAsia="宋体" w:cs="Times New Roman"/>
          <w:b/>
          <w:color w:val="auto"/>
          <w:kern w:val="2"/>
          <w:sz w:val="24"/>
          <w:szCs w:val="24"/>
          <w:highlight w:val="none"/>
          <w:lang w:val="en-US" w:eastAsia="zh-CN" w:bidi="ar-SA"/>
        </w:rPr>
        <w:t>购买服务的内容及期限</w:t>
      </w:r>
    </w:p>
    <w:p w14:paraId="3FFD9901">
      <w:pPr>
        <w:pStyle w:val="57"/>
        <w:keepNext w:val="0"/>
        <w:keepLines w:val="0"/>
        <w:pageBreakBefore w:val="0"/>
        <w:widowControl/>
        <w:numPr>
          <w:ilvl w:val="0"/>
          <w:numId w:val="0"/>
        </w:numPr>
        <w:suppressLineNumbers w:val="0"/>
        <w:tabs>
          <w:tab w:val="left" w:pos="5040"/>
        </w:tabs>
        <w:kinsoku/>
        <w:wordWrap/>
        <w:overflowPunct/>
        <w:topLinePunct w:val="0"/>
        <w:autoSpaceDE/>
        <w:autoSpaceDN/>
        <w:bidi w:val="0"/>
        <w:adjustRightInd/>
        <w:snapToGrid w:val="0"/>
        <w:spacing w:before="0" w:beforeAutospacing="0" w:after="0" w:afterAutospacing="0" w:line="360" w:lineRule="auto"/>
        <w:ind w:right="0" w:rightChars="0"/>
        <w:textAlignment w:val="auto"/>
        <w:rPr>
          <w:color w:val="auto"/>
          <w:sz w:val="24"/>
          <w:szCs w:val="24"/>
          <w:highlight w:val="none"/>
        </w:rPr>
      </w:pPr>
      <w:r>
        <w:rPr>
          <w:rFonts w:hint="eastAsia"/>
          <w:color w:val="auto"/>
          <w:sz w:val="24"/>
          <w:szCs w:val="24"/>
          <w:highlight w:val="none"/>
          <w:lang w:val="en-US" w:eastAsia="zh-CN"/>
        </w:rPr>
        <w:t>1.乙方按甲方需求提供相关信息技术服务</w:t>
      </w:r>
      <w:r>
        <w:rPr>
          <w:rFonts w:hint="eastAsia"/>
          <w:color w:val="auto"/>
          <w:sz w:val="24"/>
          <w:szCs w:val="24"/>
          <w:highlight w:val="none"/>
          <w:u w:val="single"/>
          <w:lang w:val="en-US" w:eastAsia="zh-CN"/>
        </w:rPr>
        <w:t xml:space="preserve"> ，具体内容件附件一。</w:t>
      </w:r>
    </w:p>
    <w:p w14:paraId="41E83D7E">
      <w:pPr>
        <w:pStyle w:val="57"/>
        <w:keepNext w:val="0"/>
        <w:keepLines w:val="0"/>
        <w:pageBreakBefore w:val="0"/>
        <w:widowControl/>
        <w:suppressLineNumbers w:val="0"/>
        <w:tabs>
          <w:tab w:val="left" w:pos="5040"/>
        </w:tabs>
        <w:kinsoku/>
        <w:wordWrap/>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Times New Roman"/>
          <w:color w:val="auto"/>
          <w:sz w:val="24"/>
          <w:szCs w:val="24"/>
          <w:highlight w:val="none"/>
          <w:u w:val="single"/>
          <w:lang w:val="en-US" w:eastAsia="zh-CN"/>
        </w:rPr>
      </w:pPr>
      <w:r>
        <w:rPr>
          <w:rFonts w:hint="eastAsia" w:ascii="宋体" w:hAnsi="宋体" w:eastAsia="宋体" w:cs="Times New Roman"/>
          <w:color w:val="auto"/>
          <w:sz w:val="24"/>
          <w:szCs w:val="24"/>
          <w:highlight w:val="none"/>
          <w:lang w:val="en-US" w:eastAsia="zh-CN"/>
        </w:rPr>
        <w:t>2.</w:t>
      </w:r>
      <w:r>
        <w:rPr>
          <w:color w:val="auto"/>
          <w:sz w:val="24"/>
          <w:szCs w:val="24"/>
          <w:highlight w:val="none"/>
        </w:rPr>
        <w:t>本合同项目下的服务期限为：</w:t>
      </w:r>
      <w:r>
        <w:rPr>
          <w:rFonts w:hint="eastAsia"/>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u w:val="single"/>
          <w:lang w:val="en-US" w:eastAsia="zh-CN"/>
        </w:rPr>
        <w:t>。</w:t>
      </w:r>
    </w:p>
    <w:p w14:paraId="30D1E352">
      <w:pPr>
        <w:pStyle w:val="57"/>
        <w:keepNext w:val="0"/>
        <w:keepLines w:val="0"/>
        <w:pageBreakBefore w:val="0"/>
        <w:widowControl/>
        <w:numPr>
          <w:ilvl w:val="0"/>
          <w:numId w:val="0"/>
        </w:numPr>
        <w:suppressLineNumbers w:val="0"/>
        <w:tabs>
          <w:tab w:val="left" w:pos="5040"/>
        </w:tabs>
        <w:kinsoku/>
        <w:wordWrap/>
        <w:overflowPunct/>
        <w:topLinePunct w:val="0"/>
        <w:autoSpaceDE/>
        <w:autoSpaceDN/>
        <w:bidi w:val="0"/>
        <w:adjustRightInd/>
        <w:snapToGrid w:val="0"/>
        <w:spacing w:before="0" w:beforeAutospacing="0" w:after="0" w:afterAutospacing="0" w:line="360" w:lineRule="auto"/>
        <w:ind w:right="0" w:rightChars="0"/>
        <w:textAlignment w:val="auto"/>
        <w:rPr>
          <w:color w:val="auto"/>
          <w:sz w:val="24"/>
          <w:szCs w:val="24"/>
          <w:highlight w:val="none"/>
        </w:rPr>
      </w:pPr>
      <w:r>
        <w:rPr>
          <w:rFonts w:hint="eastAsia"/>
          <w:color w:val="auto"/>
          <w:sz w:val="24"/>
          <w:szCs w:val="24"/>
          <w:highlight w:val="none"/>
          <w:lang w:val="en-US" w:eastAsia="zh-CN"/>
        </w:rPr>
        <w:t>3.</w:t>
      </w:r>
      <w:r>
        <w:rPr>
          <w:color w:val="auto"/>
          <w:sz w:val="24"/>
          <w:szCs w:val="24"/>
          <w:highlight w:val="none"/>
        </w:rPr>
        <w:t>服务地点：</w:t>
      </w:r>
      <w:r>
        <w:rPr>
          <w:rFonts w:hint="eastAsia"/>
          <w:color w:val="auto"/>
          <w:sz w:val="24"/>
          <w:szCs w:val="24"/>
          <w:highlight w:val="none"/>
          <w:u w:val="single"/>
          <w:lang w:val="en-US" w:eastAsia="zh-CN"/>
        </w:rPr>
        <w:t xml:space="preserve">         宁波市鄞州区           </w:t>
      </w:r>
      <w:r>
        <w:rPr>
          <w:color w:val="auto"/>
          <w:sz w:val="24"/>
          <w:szCs w:val="24"/>
          <w:highlight w:val="none"/>
        </w:rPr>
        <w:t>。</w:t>
      </w:r>
    </w:p>
    <w:p w14:paraId="203CE6A8">
      <w:pPr>
        <w:keepNext w:val="0"/>
        <w:keepLines w:val="0"/>
        <w:pageBreakBefore w:val="0"/>
        <w:widowControl/>
        <w:numPr>
          <w:ilvl w:val="0"/>
          <w:numId w:val="15"/>
        </w:numPr>
        <w:tabs>
          <w:tab w:val="left" w:pos="5040"/>
        </w:tabs>
        <w:kinsoku/>
        <w:wordWrap/>
        <w:overflowPunct/>
        <w:topLinePunct w:val="0"/>
        <w:autoSpaceDE/>
        <w:autoSpaceDN/>
        <w:bidi w:val="0"/>
        <w:adjustRightInd/>
        <w:snapToGrid w:val="0"/>
        <w:spacing w:before="157" w:beforeLines="50" w:after="157" w:afterLines="50" w:line="360" w:lineRule="auto"/>
        <w:ind w:firstLine="482" w:firstLineChars="0"/>
        <w:jc w:val="left"/>
        <w:textAlignment w:val="auto"/>
        <w:rPr>
          <w:rFonts w:hint="eastAsia" w:ascii="Arial" w:hAnsi="Arial" w:eastAsia="宋体" w:cs="Times New Roman"/>
          <w:b/>
          <w:color w:val="auto"/>
          <w:kern w:val="2"/>
          <w:sz w:val="24"/>
          <w:szCs w:val="24"/>
          <w:highlight w:val="none"/>
          <w:lang w:val="en-US" w:eastAsia="zh-CN" w:bidi="ar-SA"/>
        </w:rPr>
      </w:pPr>
      <w:r>
        <w:rPr>
          <w:rFonts w:hint="eastAsia" w:ascii="Arial" w:hAnsi="Arial" w:eastAsia="宋体" w:cs="Times New Roman"/>
          <w:b/>
          <w:color w:val="auto"/>
          <w:kern w:val="2"/>
          <w:sz w:val="24"/>
          <w:szCs w:val="24"/>
          <w:highlight w:val="none"/>
          <w:lang w:val="en-US" w:eastAsia="zh-CN" w:bidi="ar-SA"/>
        </w:rPr>
        <w:t>合同金额及付款方式</w:t>
      </w:r>
    </w:p>
    <w:p w14:paraId="4105168D">
      <w:pPr>
        <w:pStyle w:val="57"/>
        <w:keepNext w:val="0"/>
        <w:keepLines w:val="0"/>
        <w:pageBreakBefore w:val="0"/>
        <w:widowControl/>
        <w:suppressLineNumbers w:val="0"/>
        <w:tabs>
          <w:tab w:val="left" w:pos="5040"/>
        </w:tabs>
        <w:kinsoku/>
        <w:wordWrap/>
        <w:overflowPunct/>
        <w:topLinePunct w:val="0"/>
        <w:autoSpaceDE/>
        <w:autoSpaceDN/>
        <w:bidi w:val="0"/>
        <w:adjustRightInd/>
        <w:snapToGrid w:val="0"/>
        <w:spacing w:before="0" w:beforeAutospacing="0" w:after="0" w:afterAutospacing="0" w:line="360" w:lineRule="auto"/>
        <w:ind w:left="0" w:right="0"/>
        <w:textAlignment w:val="auto"/>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一、合同金额</w:t>
      </w:r>
    </w:p>
    <w:p w14:paraId="0E5BB0E8">
      <w:pPr>
        <w:tabs>
          <w:tab w:val="left" w:pos="5040"/>
        </w:tabs>
        <w:spacing w:line="360" w:lineRule="auto"/>
        <w:ind w:firstLine="48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本合同服务费总金额为人民币：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元），税率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%，不含税价¥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元。</w:t>
      </w:r>
    </w:p>
    <w:p w14:paraId="6A605D59">
      <w:pPr>
        <w:pStyle w:val="110"/>
        <w:tabs>
          <w:tab w:val="left" w:pos="5040"/>
        </w:tabs>
        <w:spacing w:line="360" w:lineRule="auto"/>
        <w:ind w:left="0" w:leftChars="0" w:firstLine="0" w:firstLineChars="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二、付款方式</w:t>
      </w:r>
    </w:p>
    <w:p w14:paraId="6BC7D54E">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1.本合同签署后7个工作日内，甲方向乙方支付总服务费的70%。</w:t>
      </w:r>
    </w:p>
    <w:p w14:paraId="6C4D17E6">
      <w:pPr>
        <w:pStyle w:val="110"/>
        <w:tabs>
          <w:tab w:val="left" w:pos="5040"/>
        </w:tabs>
        <w:spacing w:line="360" w:lineRule="auto"/>
        <w:ind w:firstLine="48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2.本合同项下的服务期满，甲方应根据服务考核情况向乙方支付服务费余款，累计考核扣款（含合同第七条第二点约定的</w:t>
      </w:r>
      <w:r>
        <w:rPr>
          <w:rFonts w:hint="eastAsia" w:ascii="宋体" w:hAnsi="宋体" w:eastAsia="宋体" w:cs="宋体"/>
          <w:color w:val="auto"/>
          <w:kern w:val="2"/>
          <w:sz w:val="24"/>
          <w:szCs w:val="24"/>
          <w:highlight w:val="none"/>
          <w:lang w:val="en-US" w:eastAsia="zh-CN" w:bidi="ar-SA"/>
        </w:rPr>
        <w:t>网络数据安全处罚</w:t>
      </w:r>
      <w:r>
        <w:rPr>
          <w:rFonts w:hint="eastAsia" w:ascii="宋体" w:hAnsi="宋体" w:eastAsia="宋体" w:cs="宋体"/>
          <w:color w:val="auto"/>
          <w:kern w:val="0"/>
          <w:sz w:val="24"/>
          <w:szCs w:val="24"/>
          <w:highlight w:val="none"/>
          <w:lang w:val="en-US" w:eastAsia="zh-CN" w:bidi="ar-SA"/>
        </w:rPr>
        <w:t>）不得超过当年运维服务费总额。</w:t>
      </w:r>
    </w:p>
    <w:p w14:paraId="458AEB19">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3.甲方在收到乙方开具的符合税务部门要求的增值税普通发票后，按照上述付款方式支付合同款项，乙方未及时提供符合税务部门要求的增值税普通发票的，甲方有权延迟付款且不承担逾期付款的违约责任。</w:t>
      </w:r>
    </w:p>
    <w:p w14:paraId="2141FDC3">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4.此项目发生的与本合同执行有关的一切税费均由乙方负担。</w:t>
      </w:r>
    </w:p>
    <w:p w14:paraId="2CEB5B5D">
      <w:pPr>
        <w:keepNext w:val="0"/>
        <w:keepLines w:val="0"/>
        <w:pageBreakBefore w:val="0"/>
        <w:widowControl/>
        <w:numPr>
          <w:ilvl w:val="0"/>
          <w:numId w:val="15"/>
        </w:numPr>
        <w:tabs>
          <w:tab w:val="left" w:pos="5040"/>
        </w:tabs>
        <w:kinsoku/>
        <w:wordWrap/>
        <w:overflowPunct/>
        <w:topLinePunct w:val="0"/>
        <w:autoSpaceDE/>
        <w:autoSpaceDN/>
        <w:bidi w:val="0"/>
        <w:adjustRightInd/>
        <w:snapToGrid w:val="0"/>
        <w:spacing w:before="157" w:beforeLines="50" w:after="157" w:afterLines="50" w:line="360" w:lineRule="auto"/>
        <w:ind w:firstLine="482" w:firstLineChars="0"/>
        <w:jc w:val="left"/>
        <w:textAlignment w:val="auto"/>
        <w:rPr>
          <w:rFonts w:hint="eastAsia" w:ascii="Arial" w:hAnsi="Arial" w:eastAsia="宋体" w:cs="Times New Roman"/>
          <w:b/>
          <w:color w:val="auto"/>
          <w:kern w:val="2"/>
          <w:sz w:val="24"/>
          <w:szCs w:val="24"/>
          <w:highlight w:val="none"/>
          <w:lang w:val="en-US" w:eastAsia="zh-CN" w:bidi="ar-SA"/>
        </w:rPr>
      </w:pPr>
      <w:r>
        <w:rPr>
          <w:rFonts w:hint="eastAsia" w:ascii="Arial" w:hAnsi="Arial" w:eastAsia="宋体" w:cs="Times New Roman"/>
          <w:b/>
          <w:color w:val="auto"/>
          <w:kern w:val="2"/>
          <w:sz w:val="24"/>
          <w:szCs w:val="24"/>
          <w:highlight w:val="none"/>
          <w:lang w:val="en-US" w:eastAsia="zh-CN" w:bidi="ar-SA"/>
        </w:rPr>
        <w:t>双方责任</w:t>
      </w:r>
    </w:p>
    <w:p w14:paraId="4E8C349B">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一、甲方责任</w:t>
      </w:r>
    </w:p>
    <w:p w14:paraId="1AAF8B99">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1．有责任按乙方要求提供便利的工作条件。</w:t>
      </w:r>
    </w:p>
    <w:p w14:paraId="318EFB5A">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2．甲方不得利用乙方提供的服务进行非法活动，必须遵循相关条例。因甲方使用乙方提供的服务引起的纠纷与乙方无关，由此为乙方带来的损失，乙方有权要求甲方赔偿。</w:t>
      </w:r>
    </w:p>
    <w:p w14:paraId="69200D63">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3.乙方为履行本合同所提供的各项资产，所有权归乙方所有，若服务期结束双方不再续签或合同提前终止的，甲方应于服务期结束或合同终止后15日内向乙方移交各项资产。</w:t>
      </w:r>
    </w:p>
    <w:p w14:paraId="2650C7DE">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甲方应妥善使用乙方提供服务时移交甲方使用的各项资产，确保资产完整性。在乙方移交甲方使用的各项资产发生毁损或丢失时，甲方应立即通知乙方。</w:t>
      </w:r>
    </w:p>
    <w:p w14:paraId="60B3964B">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如因甲方原因造成资产损毁或丢失为乙方带来损失，乙方有权要求甲方赔偿；未经乙方同意，甲方不得将相关资产进行处置或转让。</w:t>
      </w:r>
    </w:p>
    <w:p w14:paraId="56C65131">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4．按照合同的约定履行服务接受义务至服务期满。</w:t>
      </w:r>
    </w:p>
    <w:p w14:paraId="15F9512D">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二、乙方责任</w:t>
      </w:r>
    </w:p>
    <w:p w14:paraId="76EF16D2">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1．按合同规定的内容提供相应的技术服务及文档。</w:t>
      </w:r>
    </w:p>
    <w:p w14:paraId="6C2D5B25">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2．对甲方相关人员进行操作、使用等技术培训。</w:t>
      </w:r>
    </w:p>
    <w:p w14:paraId="3CF11B29">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3．乙方提供服务时移交甲方使用的各项资产出现运行故障时，应及时响应甲方的维护需求。</w:t>
      </w:r>
    </w:p>
    <w:p w14:paraId="32314FE7">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4．有责任协助甲方与相关第三方沟通。</w:t>
      </w:r>
    </w:p>
    <w:p w14:paraId="2D0C9116">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5．服务提供过程中产生的业务数据归甲方所有，乙方不得私自使用或泄露。</w:t>
      </w:r>
    </w:p>
    <w:p w14:paraId="6DB2E22F">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6．若甲方将来改用或增用第三方产品，乙方应提供必要的支持。</w:t>
      </w:r>
    </w:p>
    <w:p w14:paraId="31BA9734">
      <w:pPr>
        <w:keepNext w:val="0"/>
        <w:keepLines w:val="0"/>
        <w:pageBreakBefore w:val="0"/>
        <w:widowControl/>
        <w:numPr>
          <w:ilvl w:val="0"/>
          <w:numId w:val="15"/>
        </w:numPr>
        <w:tabs>
          <w:tab w:val="left" w:pos="5040"/>
        </w:tabs>
        <w:kinsoku/>
        <w:wordWrap/>
        <w:overflowPunct/>
        <w:topLinePunct w:val="0"/>
        <w:autoSpaceDE/>
        <w:autoSpaceDN/>
        <w:bidi w:val="0"/>
        <w:adjustRightInd/>
        <w:snapToGrid w:val="0"/>
        <w:spacing w:before="157" w:beforeLines="50" w:after="157" w:afterLines="50" w:line="360" w:lineRule="auto"/>
        <w:ind w:firstLine="482" w:firstLineChars="0"/>
        <w:jc w:val="left"/>
        <w:textAlignment w:val="auto"/>
        <w:rPr>
          <w:rFonts w:hint="eastAsia" w:ascii="Arial" w:hAnsi="Arial" w:eastAsia="宋体" w:cs="Times New Roman"/>
          <w:b/>
          <w:color w:val="auto"/>
          <w:kern w:val="2"/>
          <w:sz w:val="24"/>
          <w:szCs w:val="24"/>
          <w:highlight w:val="none"/>
          <w:lang w:val="en-US" w:eastAsia="zh-CN" w:bidi="ar-SA"/>
        </w:rPr>
      </w:pPr>
      <w:r>
        <w:rPr>
          <w:rFonts w:hint="eastAsia" w:ascii="Arial" w:hAnsi="Arial" w:eastAsia="宋体" w:cs="Times New Roman"/>
          <w:b/>
          <w:color w:val="auto"/>
          <w:kern w:val="2"/>
          <w:sz w:val="24"/>
          <w:szCs w:val="24"/>
          <w:highlight w:val="none"/>
          <w:lang w:val="en-US" w:eastAsia="zh-CN" w:bidi="ar-SA"/>
        </w:rPr>
        <w:t xml:space="preserve"> 服务质量保障</w:t>
      </w:r>
    </w:p>
    <w:p w14:paraId="15EB9CCA">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本合同项下的服务期间，乙方需满足甲方各项服务质量保障要求，详见附件二。</w:t>
      </w:r>
    </w:p>
    <w:p w14:paraId="6ABF7998">
      <w:pPr>
        <w:keepNext w:val="0"/>
        <w:keepLines w:val="0"/>
        <w:pageBreakBefore w:val="0"/>
        <w:widowControl/>
        <w:numPr>
          <w:ilvl w:val="0"/>
          <w:numId w:val="15"/>
        </w:numPr>
        <w:tabs>
          <w:tab w:val="left" w:pos="5040"/>
        </w:tabs>
        <w:kinsoku/>
        <w:wordWrap/>
        <w:overflowPunct/>
        <w:topLinePunct w:val="0"/>
        <w:autoSpaceDE/>
        <w:autoSpaceDN/>
        <w:bidi w:val="0"/>
        <w:adjustRightInd/>
        <w:snapToGrid w:val="0"/>
        <w:spacing w:before="157" w:beforeLines="50" w:after="157" w:afterLines="50" w:line="360" w:lineRule="auto"/>
        <w:ind w:firstLine="482" w:firstLineChars="0"/>
        <w:jc w:val="left"/>
        <w:textAlignment w:val="auto"/>
        <w:rPr>
          <w:rFonts w:hint="eastAsia" w:ascii="Arial" w:hAnsi="Arial" w:eastAsia="宋体" w:cs="Times New Roman"/>
          <w:b/>
          <w:color w:val="auto"/>
          <w:kern w:val="2"/>
          <w:sz w:val="24"/>
          <w:szCs w:val="24"/>
          <w:highlight w:val="none"/>
          <w:lang w:val="en-US" w:eastAsia="zh-CN" w:bidi="ar-SA"/>
        </w:rPr>
      </w:pPr>
      <w:r>
        <w:rPr>
          <w:rFonts w:hint="eastAsia" w:ascii="Arial" w:hAnsi="Arial" w:eastAsia="宋体" w:cs="Times New Roman"/>
          <w:b/>
          <w:color w:val="auto"/>
          <w:kern w:val="2"/>
          <w:sz w:val="24"/>
          <w:szCs w:val="24"/>
          <w:highlight w:val="none"/>
          <w:lang w:val="en-US" w:eastAsia="zh-CN" w:bidi="ar-SA"/>
        </w:rPr>
        <w:t xml:space="preserve"> 违约责任</w:t>
      </w:r>
    </w:p>
    <w:p w14:paraId="57AB5E1F">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1.乙方提供的服务不符合本合同规定的，甲方有权拒收，给甲方造成实际损失的，甲方有权要求乙方赔偿。</w:t>
      </w:r>
    </w:p>
    <w:p w14:paraId="54CABE80">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2.甲方无故拒收乙方提供的服务的，乙方有权解除本合同，并要求甲方支付合同总价20%的违约金，违约金不足以弥补损失的，乙方还有权继续追偿。</w:t>
      </w:r>
    </w:p>
    <w:p w14:paraId="21CC0DFE">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3.乙方因自身原因未能按本合同规定的服务时间提供服务，从逾期之日起每日按本合同总价</w:t>
      </w:r>
      <w:r>
        <w:rPr>
          <w:rFonts w:hint="eastAsia" w:ascii="宋体" w:hAnsi="宋体" w:eastAsia="宋体" w:cs="宋体"/>
          <w:color w:val="auto"/>
          <w:kern w:val="2"/>
          <w:sz w:val="24"/>
          <w:szCs w:val="24"/>
          <w:highlight w:val="none"/>
          <w:u w:val="single"/>
          <w:lang w:val="en-US" w:eastAsia="zh-CN" w:bidi="ar-SA"/>
        </w:rPr>
        <w:t>万分之五</w:t>
      </w:r>
      <w:r>
        <w:rPr>
          <w:rFonts w:hint="eastAsia" w:ascii="宋体" w:hAnsi="宋体" w:eastAsia="宋体" w:cs="宋体"/>
          <w:color w:val="auto"/>
          <w:kern w:val="2"/>
          <w:sz w:val="24"/>
          <w:szCs w:val="24"/>
          <w:highlight w:val="none"/>
          <w:lang w:val="en-US" w:eastAsia="zh-CN" w:bidi="ar-SA"/>
        </w:rPr>
        <w:t>的数额向甲方支付违约金，直至本服务周期内服务费扣完为止。</w:t>
      </w:r>
    </w:p>
    <w:p w14:paraId="71AE116A">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4.甲方无正当理由到期拒付服务款项的，则每日按逾期金额的</w:t>
      </w:r>
      <w:r>
        <w:rPr>
          <w:rFonts w:hint="eastAsia" w:ascii="宋体" w:hAnsi="宋体" w:eastAsia="宋体" w:cs="宋体"/>
          <w:color w:val="auto"/>
          <w:kern w:val="2"/>
          <w:sz w:val="24"/>
          <w:szCs w:val="24"/>
          <w:highlight w:val="none"/>
          <w:u w:val="single"/>
          <w:lang w:val="en-US" w:eastAsia="zh-CN" w:bidi="ar-SA"/>
        </w:rPr>
        <w:t>万分之五</w:t>
      </w:r>
      <w:r>
        <w:rPr>
          <w:rFonts w:hint="eastAsia" w:ascii="宋体" w:hAnsi="宋体" w:eastAsia="宋体" w:cs="宋体"/>
          <w:color w:val="auto"/>
          <w:kern w:val="2"/>
          <w:sz w:val="24"/>
          <w:szCs w:val="24"/>
          <w:highlight w:val="none"/>
          <w:lang w:val="en-US" w:eastAsia="zh-CN" w:bidi="ar-SA"/>
        </w:rPr>
        <w:t>向乙方偿付违约金。</w:t>
      </w:r>
    </w:p>
    <w:p w14:paraId="57A59B91">
      <w:pPr>
        <w:keepNext w:val="0"/>
        <w:keepLines w:val="0"/>
        <w:pageBreakBefore w:val="0"/>
        <w:widowControl/>
        <w:numPr>
          <w:ilvl w:val="0"/>
          <w:numId w:val="15"/>
        </w:numPr>
        <w:tabs>
          <w:tab w:val="left" w:pos="5040"/>
        </w:tabs>
        <w:kinsoku/>
        <w:wordWrap/>
        <w:overflowPunct/>
        <w:topLinePunct w:val="0"/>
        <w:autoSpaceDE/>
        <w:autoSpaceDN/>
        <w:bidi w:val="0"/>
        <w:adjustRightInd/>
        <w:snapToGrid w:val="0"/>
        <w:spacing w:before="157" w:beforeLines="50" w:after="157" w:afterLines="50" w:line="360" w:lineRule="auto"/>
        <w:ind w:firstLine="482" w:firstLineChars="0"/>
        <w:jc w:val="left"/>
        <w:textAlignment w:val="auto"/>
        <w:rPr>
          <w:rFonts w:hint="eastAsia" w:ascii="Arial" w:hAnsi="Arial" w:eastAsia="宋体" w:cs="Times New Roman"/>
          <w:b/>
          <w:color w:val="auto"/>
          <w:kern w:val="2"/>
          <w:sz w:val="24"/>
          <w:szCs w:val="24"/>
          <w:highlight w:val="none"/>
          <w:lang w:val="en-US" w:eastAsia="zh-CN" w:bidi="ar-SA"/>
        </w:rPr>
      </w:pPr>
      <w:r>
        <w:rPr>
          <w:rFonts w:hint="eastAsia" w:ascii="Arial" w:hAnsi="Arial" w:eastAsia="宋体" w:cs="Times New Roman"/>
          <w:b/>
          <w:color w:val="auto"/>
          <w:kern w:val="2"/>
          <w:sz w:val="24"/>
          <w:szCs w:val="24"/>
          <w:highlight w:val="none"/>
          <w:lang w:val="en-US" w:eastAsia="zh-CN" w:bidi="ar-SA"/>
        </w:rPr>
        <w:t>保密条款</w:t>
      </w:r>
    </w:p>
    <w:p w14:paraId="204E9252">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一、乙方及其参与本合同工作的有关人员应对在合同履行过程中甲方提供的文件资料以及其他尚未公开的有关信息承担保密义务，须签署保密协议，并采取相应的保密措施。乙方应承担的保密义务包括但不限于：</w:t>
      </w:r>
    </w:p>
    <w:p w14:paraId="4DB78691">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1.未经甲方同意，不得将甲方提供的文件资料和信息披露给任何第三方。</w:t>
      </w:r>
    </w:p>
    <w:p w14:paraId="7B601C19">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2.不得将甲方提供的文件资料和信息用于本合同以外的其他目的。</w:t>
      </w:r>
    </w:p>
    <w:p w14:paraId="32D75A23">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3.在本合同终止或解除后或甲方要求时，及时将甲方提供的文件资料和信息返还甲方，或按甲方要求做适当处理。</w:t>
      </w:r>
    </w:p>
    <w:p w14:paraId="5F930BBA">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4.合同终止后，本保密条款仍具有法律效力。</w:t>
      </w:r>
    </w:p>
    <w:p w14:paraId="4CD6A20C">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乙方违反保密义务的，应承担一切法律责任并赔偿甲方因此遭受的全部损失，包括但不限于诉讼费、律师费、公证费、调查取证费等。</w:t>
      </w:r>
    </w:p>
    <w:p w14:paraId="5D724EBB">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二、未经乙方同意，甲方不得将乙方交付的成果文件、技术资料向第三方转让或用于本合同以外的项目，如发生以上情况，乙方有权索赔。合同终止后，本保密条款仍具有法律效力。</w:t>
      </w:r>
    </w:p>
    <w:p w14:paraId="564FFE47">
      <w:pPr>
        <w:keepNext w:val="0"/>
        <w:keepLines w:val="0"/>
        <w:pageBreakBefore w:val="0"/>
        <w:widowControl/>
        <w:numPr>
          <w:ilvl w:val="0"/>
          <w:numId w:val="15"/>
        </w:numPr>
        <w:tabs>
          <w:tab w:val="left" w:pos="5040"/>
        </w:tabs>
        <w:kinsoku/>
        <w:wordWrap/>
        <w:overflowPunct/>
        <w:topLinePunct w:val="0"/>
        <w:autoSpaceDE/>
        <w:autoSpaceDN/>
        <w:bidi w:val="0"/>
        <w:adjustRightInd/>
        <w:snapToGrid w:val="0"/>
        <w:spacing w:before="157" w:beforeLines="50" w:after="157" w:afterLines="50" w:line="360" w:lineRule="auto"/>
        <w:ind w:firstLine="482" w:firstLineChars="0"/>
        <w:jc w:val="left"/>
        <w:textAlignment w:val="auto"/>
        <w:rPr>
          <w:rFonts w:hint="eastAsia" w:ascii="Arial" w:hAnsi="Arial" w:eastAsia="宋体" w:cs="Times New Roman"/>
          <w:b/>
          <w:color w:val="auto"/>
          <w:kern w:val="2"/>
          <w:sz w:val="24"/>
          <w:szCs w:val="24"/>
          <w:highlight w:val="none"/>
          <w:lang w:val="en-US" w:eastAsia="zh-CN" w:bidi="ar-SA"/>
        </w:rPr>
      </w:pPr>
      <w:r>
        <w:rPr>
          <w:rFonts w:hint="eastAsia" w:ascii="Arial" w:hAnsi="Arial" w:eastAsia="宋体" w:cs="Times New Roman"/>
          <w:b/>
          <w:color w:val="auto"/>
          <w:kern w:val="2"/>
          <w:sz w:val="24"/>
          <w:szCs w:val="24"/>
          <w:highlight w:val="none"/>
          <w:lang w:val="en-US" w:eastAsia="zh-CN" w:bidi="ar-SA"/>
        </w:rPr>
        <w:t>安全责任与处罚</w:t>
      </w:r>
    </w:p>
    <w:p w14:paraId="6F488057">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一、网络数据安全责任</w:t>
      </w:r>
    </w:p>
    <w:p w14:paraId="47EA6285">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1.乙方应按照《网络安全法》、《数据安全法》的要求，履行网络和数据安全保护义务。</w:t>
      </w:r>
    </w:p>
    <w:p w14:paraId="55B51F9C">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2.项目涉及乙方工作人员均需签订《保密承诺书》，且乙方应对项目涉及工作人员进行背景审查。</w:t>
      </w:r>
    </w:p>
    <w:p w14:paraId="430C2120">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3.乙方应当采取技术措施和其他必要措施，确保其网络和数据安全，防止信息泄露、毁损、丢失。在发生或者可能发生信息泄露、毁损、丢失的情况时，应当立即采取补救措施，并在第一时间告知甲方。</w:t>
      </w:r>
    </w:p>
    <w:p w14:paraId="23155095">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4.乙方应合理使用操作账号，严禁乙方存在多名工作人员共用操作账号的情形，同时操作账号应采用高强度的密码、并定期更新账号密码。</w:t>
      </w:r>
    </w:p>
    <w:p w14:paraId="32305749">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5.未经甲方允许，乙方不得对项目云资源私开端口，不得利用项目资源进行与该项目无关的工作，不得将政务网和互联网私自打通。</w:t>
      </w:r>
    </w:p>
    <w:p w14:paraId="195D7D48">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6.乙方应严格按照要求使用、处理、交换、共享数据资源。做好数据落地相应的数据保护工作，严格执行数据安全技术标准和安全管理措施，避免相关数据出现泄露、窃取、篡改的风险。</w:t>
      </w:r>
    </w:p>
    <w:p w14:paraId="41D4849F">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7.乙方应认真组织开展各项数据处理活动，查找项目数据安全隐患和漏洞，对薄弱环节和潜在威胁采取有力措施进行整改，避免和消除数据安全风险，履行数据安全保护义务。</w:t>
      </w:r>
    </w:p>
    <w:p w14:paraId="628B62E5">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乙方应加强网络和数据安全风险监测，制定数据安全应急预案，完善应急机制。发现数据安全缺陷、漏洞等风险时，立即采取补救措施：发生数据安全事件时，立即采取处置措施。确保第一时间检测发现，第一时间应急处置，第一时间向甲方报告。</w:t>
      </w:r>
    </w:p>
    <w:p w14:paraId="2265E927">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二、网络数据安全处罚</w:t>
      </w:r>
    </w:p>
    <w:p w14:paraId="49FD00FC">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1.由于乙方原因，受到国家级安全问题通报的，出现1次，每次扣除合同款3万元。</w:t>
      </w:r>
    </w:p>
    <w:p w14:paraId="46A4607D">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2.由于乙方原因，受到省级安全问题通报的，出现1次，每次扣除合同款2万元。</w:t>
      </w:r>
    </w:p>
    <w:p w14:paraId="78E04666">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3.由于乙方原因，受到市级安全问题通报的，出现1次，每次扣除合同款1万元。</w:t>
      </w:r>
    </w:p>
    <w:p w14:paraId="41A0C989">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4.乙方不及时处置安全事件、隐患的,每次扣除合同款1万元。</w:t>
      </w:r>
    </w:p>
    <w:p w14:paraId="2ABA5609">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5.收到国家、省、市通报后，乙方应及时解决并递交书面整改报告给甲方，若乙方未根据整改报告按期整改的，每次扣除合同款1万元。</w:t>
      </w:r>
    </w:p>
    <w:p w14:paraId="29F8F575">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以上扣除总额不超过合同总金额的10%。</w:t>
      </w:r>
    </w:p>
    <w:p w14:paraId="1F2DFD35">
      <w:pPr>
        <w:keepNext w:val="0"/>
        <w:keepLines w:val="0"/>
        <w:pageBreakBefore w:val="0"/>
        <w:widowControl/>
        <w:numPr>
          <w:ilvl w:val="0"/>
          <w:numId w:val="15"/>
        </w:numPr>
        <w:tabs>
          <w:tab w:val="left" w:pos="5040"/>
        </w:tabs>
        <w:kinsoku/>
        <w:wordWrap/>
        <w:overflowPunct/>
        <w:topLinePunct w:val="0"/>
        <w:autoSpaceDE/>
        <w:autoSpaceDN/>
        <w:bidi w:val="0"/>
        <w:adjustRightInd/>
        <w:snapToGrid w:val="0"/>
        <w:spacing w:before="157" w:beforeLines="50" w:after="157" w:afterLines="50" w:line="360" w:lineRule="auto"/>
        <w:ind w:firstLine="482" w:firstLineChars="0"/>
        <w:jc w:val="left"/>
        <w:textAlignment w:val="auto"/>
        <w:rPr>
          <w:rFonts w:hint="eastAsia" w:ascii="Arial" w:hAnsi="Arial" w:eastAsia="宋体" w:cs="Times New Roman"/>
          <w:b/>
          <w:color w:val="auto"/>
          <w:kern w:val="2"/>
          <w:sz w:val="24"/>
          <w:szCs w:val="24"/>
          <w:highlight w:val="none"/>
          <w:lang w:val="en-US" w:eastAsia="zh-CN" w:bidi="ar-SA"/>
        </w:rPr>
      </w:pPr>
      <w:r>
        <w:rPr>
          <w:rFonts w:hint="eastAsia" w:ascii="Arial" w:hAnsi="Arial" w:eastAsia="宋体" w:cs="Times New Roman"/>
          <w:b/>
          <w:color w:val="auto"/>
          <w:kern w:val="2"/>
          <w:sz w:val="24"/>
          <w:szCs w:val="24"/>
          <w:highlight w:val="none"/>
          <w:lang w:val="en-US" w:eastAsia="zh-CN" w:bidi="ar-SA"/>
        </w:rPr>
        <w:t>争议的解决</w:t>
      </w:r>
    </w:p>
    <w:p w14:paraId="26CBAD47">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双方在执行合同中所发生的一切争议，应通过协商解决。如协商不成，可向鄞州区人民法院起诉。</w:t>
      </w:r>
    </w:p>
    <w:p w14:paraId="198827B6">
      <w:pPr>
        <w:keepNext w:val="0"/>
        <w:keepLines w:val="0"/>
        <w:pageBreakBefore w:val="0"/>
        <w:widowControl/>
        <w:numPr>
          <w:ilvl w:val="0"/>
          <w:numId w:val="15"/>
        </w:numPr>
        <w:tabs>
          <w:tab w:val="left" w:pos="5040"/>
        </w:tabs>
        <w:kinsoku/>
        <w:wordWrap/>
        <w:overflowPunct/>
        <w:topLinePunct w:val="0"/>
        <w:autoSpaceDE/>
        <w:autoSpaceDN/>
        <w:bidi w:val="0"/>
        <w:adjustRightInd/>
        <w:snapToGrid w:val="0"/>
        <w:spacing w:before="157" w:beforeLines="50" w:after="157" w:afterLines="50" w:line="360" w:lineRule="auto"/>
        <w:ind w:firstLine="482" w:firstLineChars="0"/>
        <w:jc w:val="left"/>
        <w:textAlignment w:val="auto"/>
        <w:rPr>
          <w:rFonts w:hint="eastAsia" w:ascii="Arial" w:hAnsi="Arial" w:eastAsia="宋体" w:cs="Times New Roman"/>
          <w:b/>
          <w:color w:val="auto"/>
          <w:kern w:val="2"/>
          <w:sz w:val="24"/>
          <w:szCs w:val="24"/>
          <w:highlight w:val="none"/>
          <w:lang w:val="en-US" w:eastAsia="zh-CN" w:bidi="ar-SA"/>
        </w:rPr>
      </w:pPr>
      <w:r>
        <w:rPr>
          <w:rFonts w:hint="eastAsia" w:ascii="Arial" w:hAnsi="Arial" w:eastAsia="宋体" w:cs="Times New Roman"/>
          <w:b/>
          <w:color w:val="auto"/>
          <w:kern w:val="2"/>
          <w:sz w:val="24"/>
          <w:szCs w:val="24"/>
          <w:highlight w:val="none"/>
          <w:lang w:val="en-US" w:eastAsia="zh-CN" w:bidi="ar-SA"/>
        </w:rPr>
        <w:t>不可抗力</w:t>
      </w:r>
    </w:p>
    <w:p w14:paraId="7BDF7B60">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1．在合同有效期内，任何一方因不可抗力事件导致不能履行合同，则合同履行期可延长，其延长期与不可抗力影响期相同。</w:t>
      </w:r>
    </w:p>
    <w:p w14:paraId="15EF11BC">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2．不可抗力事件发生后，应立即通知对方，并寄送有关权威机构出具的证明。</w:t>
      </w:r>
    </w:p>
    <w:p w14:paraId="40825240">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3．不可抗力事件延续120天以上，双方应通过友好协商，确定是否继续履行合同。</w:t>
      </w:r>
    </w:p>
    <w:p w14:paraId="05D6E8B0">
      <w:pPr>
        <w:keepNext w:val="0"/>
        <w:keepLines w:val="0"/>
        <w:pageBreakBefore w:val="0"/>
        <w:widowControl/>
        <w:numPr>
          <w:ilvl w:val="0"/>
          <w:numId w:val="15"/>
        </w:numPr>
        <w:tabs>
          <w:tab w:val="left" w:pos="5040"/>
        </w:tabs>
        <w:kinsoku/>
        <w:wordWrap/>
        <w:overflowPunct/>
        <w:topLinePunct w:val="0"/>
        <w:autoSpaceDE/>
        <w:autoSpaceDN/>
        <w:bidi w:val="0"/>
        <w:adjustRightInd/>
        <w:snapToGrid w:val="0"/>
        <w:spacing w:before="157" w:beforeLines="50" w:after="157" w:afterLines="50" w:line="360" w:lineRule="auto"/>
        <w:ind w:firstLine="482" w:firstLineChars="0"/>
        <w:jc w:val="left"/>
        <w:textAlignment w:val="auto"/>
        <w:rPr>
          <w:rFonts w:hint="eastAsia" w:ascii="Arial" w:hAnsi="Arial" w:eastAsia="宋体" w:cs="Times New Roman"/>
          <w:b/>
          <w:color w:val="auto"/>
          <w:kern w:val="2"/>
          <w:sz w:val="24"/>
          <w:szCs w:val="24"/>
          <w:highlight w:val="none"/>
          <w:lang w:val="en-US" w:eastAsia="zh-CN" w:bidi="ar-SA"/>
        </w:rPr>
      </w:pPr>
      <w:r>
        <w:rPr>
          <w:rFonts w:hint="eastAsia" w:ascii="Arial" w:hAnsi="Arial" w:eastAsia="宋体" w:cs="Times New Roman"/>
          <w:b/>
          <w:color w:val="auto"/>
          <w:kern w:val="2"/>
          <w:sz w:val="24"/>
          <w:szCs w:val="24"/>
          <w:highlight w:val="none"/>
          <w:lang w:val="en-US" w:eastAsia="zh-CN" w:bidi="ar-SA"/>
        </w:rPr>
        <w:t>其它</w:t>
      </w:r>
    </w:p>
    <w:p w14:paraId="6794DA9F">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1.本合同所有附件均为合同的有效组成部分，与本合同具有同等法律效力。</w:t>
      </w:r>
    </w:p>
    <w:p w14:paraId="5B7F1AE3">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2.在执行本合同的过程中，所有经双方签署确认的文件（包括会议纪要、补充协议、往来信函）即成为本合同的有效组成部分。</w:t>
      </w:r>
    </w:p>
    <w:p w14:paraId="7D55C794">
      <w:pPr>
        <w:pStyle w:val="110"/>
        <w:tabs>
          <w:tab w:val="left" w:pos="5040"/>
        </w:tabs>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3.如一方地址、电话、传真号码有变更，应在变更当日内书面通知对方，否则应承担相应责任。</w:t>
      </w:r>
    </w:p>
    <w:p w14:paraId="79F4E9EC">
      <w:pPr>
        <w:keepNext w:val="0"/>
        <w:keepLines w:val="0"/>
        <w:pageBreakBefore w:val="0"/>
        <w:widowControl/>
        <w:numPr>
          <w:ilvl w:val="0"/>
          <w:numId w:val="15"/>
        </w:numPr>
        <w:tabs>
          <w:tab w:val="left" w:pos="5040"/>
        </w:tabs>
        <w:kinsoku/>
        <w:wordWrap/>
        <w:overflowPunct/>
        <w:topLinePunct w:val="0"/>
        <w:autoSpaceDE/>
        <w:autoSpaceDN/>
        <w:bidi w:val="0"/>
        <w:adjustRightInd/>
        <w:snapToGrid w:val="0"/>
        <w:spacing w:before="157" w:beforeLines="50" w:after="157" w:afterLines="50" w:line="360" w:lineRule="auto"/>
        <w:ind w:firstLine="482" w:firstLineChars="0"/>
        <w:jc w:val="left"/>
        <w:textAlignment w:val="auto"/>
        <w:rPr>
          <w:rFonts w:hint="eastAsia" w:ascii="Arial" w:hAnsi="Arial" w:eastAsia="宋体" w:cs="Times New Roman"/>
          <w:b/>
          <w:color w:val="auto"/>
          <w:kern w:val="2"/>
          <w:sz w:val="24"/>
          <w:szCs w:val="24"/>
          <w:highlight w:val="none"/>
          <w:lang w:val="en-US" w:eastAsia="zh-CN" w:bidi="ar-SA"/>
        </w:rPr>
      </w:pPr>
      <w:r>
        <w:rPr>
          <w:rFonts w:hint="eastAsia" w:ascii="Arial" w:hAnsi="Arial" w:eastAsia="宋体" w:cs="Times New Roman"/>
          <w:b/>
          <w:color w:val="auto"/>
          <w:kern w:val="2"/>
          <w:sz w:val="24"/>
          <w:szCs w:val="24"/>
          <w:highlight w:val="none"/>
          <w:lang w:val="en-US" w:eastAsia="zh-CN" w:bidi="ar-SA"/>
        </w:rPr>
        <w:t>合同生效</w:t>
      </w:r>
    </w:p>
    <w:p w14:paraId="04018F4A">
      <w:pPr>
        <w:pStyle w:val="110"/>
        <w:keepNext w:val="0"/>
        <w:keepLines w:val="0"/>
        <w:pageBreakBefore w:val="0"/>
        <w:widowControl/>
        <w:tabs>
          <w:tab w:val="left" w:pos="504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1.合同经双方法定代表人或授权委托代理人签字并加盖单位公章后生效。</w:t>
      </w:r>
    </w:p>
    <w:p w14:paraId="75225F29">
      <w:pPr>
        <w:pStyle w:val="110"/>
        <w:keepNext w:val="0"/>
        <w:keepLines w:val="0"/>
        <w:pageBreakBefore w:val="0"/>
        <w:widowControl/>
        <w:tabs>
          <w:tab w:val="left" w:pos="504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2.本合同未尽事宜，遵照《民法典》有关条文执行。</w:t>
      </w:r>
    </w:p>
    <w:p w14:paraId="06F01029">
      <w:pPr>
        <w:pStyle w:val="110"/>
        <w:keepNext w:val="0"/>
        <w:keepLines w:val="0"/>
        <w:pageBreakBefore w:val="0"/>
        <w:widowControl/>
        <w:tabs>
          <w:tab w:val="left" w:pos="504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3.本合同一式肆份，甲乙双方各执贰份，具有同等法律效力。</w:t>
      </w:r>
    </w:p>
    <w:p w14:paraId="33841A5A">
      <w:pPr>
        <w:pStyle w:val="32"/>
        <w:tabs>
          <w:tab w:val="left" w:pos="5040"/>
        </w:tabs>
        <w:snapToGrid w:val="0"/>
        <w:spacing w:before="120" w:after="120" w:line="360" w:lineRule="auto"/>
        <w:ind w:left="420" w:hanging="480" w:hangingChars="200"/>
        <w:rPr>
          <w:rFonts w:hint="eastAsia" w:ascii="宋体" w:hAnsi="宋体" w:eastAsia="宋体" w:cs="宋体"/>
          <w:color w:val="auto"/>
          <w:sz w:val="24"/>
          <w:szCs w:val="24"/>
          <w:highlight w:val="none"/>
        </w:rPr>
      </w:pPr>
    </w:p>
    <w:p w14:paraId="38DC830A">
      <w:pPr>
        <w:pStyle w:val="32"/>
        <w:tabs>
          <w:tab w:val="left" w:pos="5040"/>
        </w:tabs>
        <w:snapToGrid w:val="0"/>
        <w:spacing w:before="120" w:after="12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                                   乙方： </w:t>
      </w:r>
    </w:p>
    <w:p w14:paraId="2366FA9A">
      <w:pPr>
        <w:pStyle w:val="32"/>
        <w:tabs>
          <w:tab w:val="left" w:pos="5040"/>
        </w:tabs>
        <w:snapToGrid w:val="0"/>
        <w:spacing w:before="120" w:after="12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地址： </w:t>
      </w:r>
    </w:p>
    <w:p w14:paraId="6CDF1BF2">
      <w:pPr>
        <w:pStyle w:val="32"/>
        <w:tabs>
          <w:tab w:val="left" w:pos="5040"/>
        </w:tabs>
        <w:snapToGrid w:val="0"/>
        <w:spacing w:before="120" w:after="12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                   法定代表人或授权代表：</w:t>
      </w:r>
    </w:p>
    <w:p w14:paraId="5F4A86A1">
      <w:pPr>
        <w:pStyle w:val="32"/>
        <w:tabs>
          <w:tab w:val="left" w:pos="3528"/>
          <w:tab w:val="left" w:pos="5040"/>
        </w:tabs>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签订日期：      年   月   日             </w:t>
      </w:r>
      <w:r>
        <w:rPr>
          <w:rFonts w:hint="eastAsia" w:ascii="宋体" w:hAnsi="宋体" w:eastAsia="宋体" w:cs="宋体"/>
          <w:color w:val="auto"/>
          <w:sz w:val="24"/>
          <w:szCs w:val="24"/>
          <w:highlight w:val="none"/>
          <w:lang w:val="en-US" w:eastAsia="zh-CN"/>
        </w:rPr>
        <w:t>签</w:t>
      </w:r>
      <w:r>
        <w:rPr>
          <w:rFonts w:hint="eastAsia" w:ascii="宋体" w:hAnsi="宋体" w:eastAsia="宋体" w:cs="宋体"/>
          <w:color w:val="auto"/>
          <w:sz w:val="24"/>
          <w:szCs w:val="24"/>
          <w:highlight w:val="none"/>
        </w:rPr>
        <w:t>订日期：      年   月   日</w:t>
      </w:r>
    </w:p>
    <w:p w14:paraId="4CACCD1A">
      <w:pPr>
        <w:pStyle w:val="24"/>
        <w:spacing w:line="460" w:lineRule="exact"/>
        <w:ind w:firstLine="0" w:firstLineChars="0"/>
        <w:rPr>
          <w:rFonts w:hint="eastAsia" w:ascii="宋体" w:hAnsi="宋体" w:eastAsia="宋体" w:cs="宋体"/>
          <w:color w:val="auto"/>
          <w:highlight w:val="none"/>
        </w:rPr>
      </w:pPr>
    </w:p>
    <w:p w14:paraId="6C068B86">
      <w:pPr>
        <w:pStyle w:val="24"/>
        <w:spacing w:line="46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见证方（盖章）：宁波中基国际招标有限公司</w:t>
      </w:r>
    </w:p>
    <w:p w14:paraId="12AED5FC">
      <w:pPr>
        <w:pStyle w:val="24"/>
        <w:spacing w:line="460" w:lineRule="exact"/>
        <w:rPr>
          <w:rFonts w:hint="eastAsia" w:ascii="宋体" w:hAnsi="宋体" w:eastAsia="宋体" w:cs="宋体"/>
          <w:color w:val="auto"/>
          <w:highlight w:val="none"/>
        </w:rPr>
      </w:pPr>
    </w:p>
    <w:p w14:paraId="10A20B25">
      <w:pPr>
        <w:pStyle w:val="24"/>
        <w:spacing w:line="460" w:lineRule="exact"/>
        <w:rPr>
          <w:rFonts w:hint="eastAsia" w:ascii="宋体" w:hAnsi="宋体" w:eastAsia="宋体" w:cs="宋体"/>
          <w:color w:val="auto"/>
          <w:highlight w:val="none"/>
        </w:rPr>
      </w:pPr>
    </w:p>
    <w:p w14:paraId="606A5767">
      <w:pPr>
        <w:pStyle w:val="24"/>
        <w:spacing w:line="46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重要提醒：</w:t>
      </w:r>
    </w:p>
    <w:p w14:paraId="4C859ADA">
      <w:pPr>
        <w:pStyle w:val="24"/>
        <w:spacing w:line="460" w:lineRule="exact"/>
        <w:rPr>
          <w:rFonts w:hint="eastAsia" w:ascii="宋体" w:hAnsi="宋体" w:eastAsia="宋体" w:cs="宋体"/>
          <w:color w:val="auto"/>
          <w:highlight w:val="none"/>
        </w:rPr>
      </w:pPr>
      <w:r>
        <w:rPr>
          <w:rFonts w:hint="eastAsia" w:ascii="宋体" w:hAnsi="宋体" w:eastAsia="宋体" w:cs="宋体"/>
          <w:color w:val="auto"/>
          <w:highlight w:val="none"/>
        </w:rPr>
        <w:t>根据鄞州区政府采购要求，本招标项目的合同经甲、乙双方签名盖章后，还须经招标代理公司盖章见证（非鉴证），请勿忘！</w:t>
      </w:r>
    </w:p>
    <w:p w14:paraId="0B04E077">
      <w:pPr>
        <w:rPr>
          <w:rFonts w:hint="eastAsia" w:ascii="宋体" w:hAnsi="宋体" w:eastAsia="宋体" w:cs="宋体"/>
          <w:b/>
          <w:color w:val="auto"/>
          <w:sz w:val="24"/>
          <w:highlight w:val="none"/>
        </w:rPr>
      </w:pPr>
    </w:p>
    <w:p w14:paraId="1B2813E1">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50C5EB15">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97"/>
      <w:r>
        <w:rPr>
          <w:rFonts w:hint="eastAsia" w:cs="仿宋_GB2312" w:asciiTheme="minorEastAsia" w:hAnsiTheme="minorEastAsia" w:eastAsiaTheme="minorEastAsia"/>
          <w:b/>
          <w:color w:val="auto"/>
          <w:sz w:val="36"/>
          <w:szCs w:val="20"/>
          <w:highlight w:val="none"/>
        </w:rPr>
        <w:t xml:space="preserve">  </w:t>
      </w:r>
      <w:bookmarkEnd w:id="98"/>
      <w:r>
        <w:rPr>
          <w:rFonts w:hint="eastAsia" w:cs="仿宋_GB2312" w:asciiTheme="minorEastAsia" w:hAnsiTheme="minorEastAsia" w:eastAsiaTheme="minorEastAsia"/>
          <w:b/>
          <w:color w:val="auto"/>
          <w:sz w:val="36"/>
          <w:szCs w:val="20"/>
          <w:highlight w:val="none"/>
        </w:rPr>
        <w:t>应提交的有关格式范例</w:t>
      </w:r>
    </w:p>
    <w:p w14:paraId="5985E656">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73D3AD7F">
      <w:pPr>
        <w:spacing w:line="360" w:lineRule="auto"/>
        <w:jc w:val="center"/>
        <w:rPr>
          <w:rFonts w:ascii="宋体" w:hAnsi="宋体" w:cs="宋体"/>
          <w:b/>
          <w:color w:val="auto"/>
          <w:kern w:val="0"/>
          <w:sz w:val="36"/>
          <w:szCs w:val="36"/>
          <w:highlight w:val="none"/>
        </w:rPr>
      </w:pPr>
      <w:bookmarkStart w:id="99" w:name="_Toc114750267"/>
      <w:bookmarkStart w:id="100" w:name="_Toc100644419"/>
      <w:r>
        <w:rPr>
          <w:rFonts w:hint="eastAsia" w:ascii="宋体" w:hAnsi="宋体" w:cs="宋体"/>
          <w:b/>
          <w:color w:val="auto"/>
          <w:kern w:val="0"/>
          <w:sz w:val="36"/>
          <w:szCs w:val="36"/>
          <w:highlight w:val="none"/>
        </w:rPr>
        <w:t>资格文件部分</w:t>
      </w:r>
      <w:bookmarkEnd w:id="99"/>
      <w:bookmarkEnd w:id="100"/>
    </w:p>
    <w:p w14:paraId="67D7B583">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1793473E">
      <w:pPr>
        <w:pStyle w:val="32"/>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………………………………（页码）</w:t>
      </w:r>
      <w:r>
        <w:rPr>
          <w:rFonts w:hint="eastAsia" w:cs="宋体" w:asciiTheme="minorEastAsia" w:hAnsiTheme="minorEastAsia" w:eastAsiaTheme="minorEastAsia"/>
          <w:color w:val="auto"/>
          <w:sz w:val="24"/>
          <w:highlight w:val="none"/>
        </w:rPr>
        <w:t>；</w:t>
      </w:r>
    </w:p>
    <w:p w14:paraId="027F41B4">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提供有效的营业执照副本（或事业法人登记证副本或其他登记证明材料）原件扫描件或者电子营业执照加盖供应商公章；响应供应商如果有名称变更的，应提供由行政主管部门出具的变更证明文件……………………………（页码）；</w:t>
      </w:r>
    </w:p>
    <w:p w14:paraId="635A5E14">
      <w:pPr>
        <w:snapToGrid w:val="0"/>
        <w:spacing w:line="360" w:lineRule="auto"/>
        <w:ind w:firstLine="480" w:firstLineChars="200"/>
        <w:jc w:val="left"/>
        <w:rPr>
          <w:rFonts w:hint="eastAsia" w:ascii="宋体" w:hAnsi="宋体" w:eastAsia="宋体" w:cs="宋体"/>
          <w:color w:val="auto"/>
          <w:sz w:val="24"/>
          <w:highlight w:val="none"/>
          <w:lang w:eastAsia="zh-CN"/>
        </w:rPr>
      </w:pPr>
      <w:bookmarkStart w:id="101" w:name="OLE_LINK14"/>
      <w:r>
        <w:rPr>
          <w:rFonts w:hint="eastAsia" w:ascii="宋体" w:hAnsi="宋体" w:cs="宋体"/>
          <w:color w:val="auto"/>
          <w:sz w:val="24"/>
          <w:highlight w:val="none"/>
        </w:rPr>
        <w:t>（3）</w:t>
      </w:r>
      <w:bookmarkStart w:id="102" w:name="OLE_LINK6"/>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lang w:val="en-US" w:eastAsia="zh-CN"/>
        </w:rPr>
        <w:t>不适用</w:t>
      </w:r>
      <w:r>
        <w:rPr>
          <w:rFonts w:hint="eastAsia" w:cs="仿宋_GB2312" w:asciiTheme="minorEastAsia" w:hAnsiTheme="minorEastAsia" w:eastAsiaTheme="minorEastAsia"/>
          <w:color w:val="auto"/>
          <w:sz w:val="24"/>
          <w:highlight w:val="none"/>
        </w:rPr>
        <w:t>）</w:t>
      </w:r>
      <w:r>
        <w:rPr>
          <w:rFonts w:hint="eastAsia" w:ascii="宋体" w:hAnsi="宋体" w:cs="宋体"/>
          <w:color w:val="auto"/>
          <w:sz w:val="24"/>
          <w:highlight w:val="none"/>
        </w:rPr>
        <w:t>………………………………………………（页码）</w:t>
      </w:r>
      <w:bookmarkEnd w:id="102"/>
      <w:r>
        <w:rPr>
          <w:rFonts w:hint="eastAsia" w:ascii="宋体" w:hAnsi="宋体" w:cs="宋体"/>
          <w:color w:val="auto"/>
          <w:sz w:val="24"/>
          <w:highlight w:val="none"/>
          <w:lang w:eastAsia="zh-CN"/>
        </w:rPr>
        <w:t>；</w:t>
      </w:r>
    </w:p>
    <w:p w14:paraId="3D6C52B7">
      <w:pPr>
        <w:snapToGrid w:val="0"/>
        <w:spacing w:line="360" w:lineRule="auto"/>
        <w:ind w:firstLine="480" w:firstLineChars="200"/>
        <w:jc w:val="left"/>
        <w:rPr>
          <w:rFonts w:hint="eastAsia" w:ascii="宋体" w:hAnsi="宋体" w:eastAsia="宋体" w:cs="宋体"/>
          <w:color w:val="auto"/>
          <w:sz w:val="24"/>
          <w:highlight w:val="none"/>
          <w:lang w:eastAsia="zh-CN"/>
        </w:rPr>
      </w:pPr>
      <w:bookmarkStart w:id="103" w:name="OLE_LINK7"/>
      <w:r>
        <w:rPr>
          <w:rFonts w:hint="eastAsia" w:ascii="宋体" w:hAnsi="宋体" w:cs="宋体" w:eastAsiaTheme="minorEastAsia"/>
          <w:color w:val="auto"/>
          <w:sz w:val="24"/>
          <w:highlight w:val="none"/>
          <w:lang w:eastAsia="zh-CN"/>
        </w:rPr>
        <w:t>（</w:t>
      </w:r>
      <w:r>
        <w:rPr>
          <w:rFonts w:hint="eastAsia" w:ascii="宋体" w:hAnsi="宋体" w:cs="宋体" w:eastAsiaTheme="minorEastAsia"/>
          <w:color w:val="auto"/>
          <w:sz w:val="24"/>
          <w:highlight w:val="none"/>
          <w:lang w:val="en-US" w:eastAsia="zh-CN"/>
        </w:rPr>
        <w:t>4</w:t>
      </w:r>
      <w:r>
        <w:rPr>
          <w:rFonts w:hint="eastAsia" w:ascii="宋体" w:hAnsi="宋体" w:cs="宋体" w:eastAsiaTheme="minorEastAsia"/>
          <w:color w:val="auto"/>
          <w:sz w:val="24"/>
          <w:highlight w:val="none"/>
          <w:lang w:eastAsia="zh-CN"/>
        </w:rPr>
        <w:t>）</w:t>
      </w:r>
      <w:r>
        <w:rPr>
          <w:rFonts w:hint="eastAsia" w:asciiTheme="minorEastAsia" w:hAnsiTheme="minorEastAsia" w:eastAsiaTheme="minorEastAsia"/>
          <w:color w:val="auto"/>
          <w:sz w:val="24"/>
          <w:highlight w:val="none"/>
        </w:rPr>
        <w:t>中小企业声明函</w:t>
      </w:r>
      <w:r>
        <w:rPr>
          <w:rFonts w:hint="eastAsia" w:ascii="宋体" w:hAnsi="宋体" w:cs="宋体"/>
          <w:color w:val="auto"/>
          <w:sz w:val="24"/>
          <w:highlight w:val="none"/>
        </w:rPr>
        <w:t>……………………………</w:t>
      </w:r>
      <w:r>
        <w:rPr>
          <w:rFonts w:hint="eastAsia" w:ascii="宋体" w:hAnsi="宋体" w:eastAsia="宋体" w:cs="宋体"/>
          <w:color w:val="auto"/>
          <w:sz w:val="24"/>
          <w:highlight w:val="none"/>
        </w:rPr>
        <w:t>……</w:t>
      </w:r>
      <w:r>
        <w:rPr>
          <w:rFonts w:hint="eastAsia" w:ascii="宋体" w:hAnsi="宋体" w:cs="宋体"/>
          <w:color w:val="auto"/>
          <w:sz w:val="24"/>
          <w:highlight w:val="none"/>
        </w:rPr>
        <w:t>…………………（页码）</w:t>
      </w:r>
      <w:bookmarkEnd w:id="103"/>
      <w:r>
        <w:rPr>
          <w:rFonts w:hint="eastAsia" w:ascii="宋体" w:hAnsi="宋体" w:cs="宋体"/>
          <w:color w:val="auto"/>
          <w:sz w:val="24"/>
          <w:highlight w:val="none"/>
          <w:lang w:eastAsia="zh-CN"/>
        </w:rPr>
        <w:t>；</w:t>
      </w:r>
    </w:p>
    <w:p w14:paraId="7E48DEE6">
      <w:pPr>
        <w:snapToGrid w:val="0"/>
        <w:spacing w:line="360" w:lineRule="auto"/>
        <w:ind w:firstLine="480" w:firstLineChars="200"/>
        <w:jc w:val="left"/>
        <w:rPr>
          <w:rFonts w:hint="eastAsia" w:ascii="宋体" w:hAnsi="宋体" w:eastAsia="宋体" w:cs="宋体"/>
          <w:color w:val="auto"/>
          <w:sz w:val="24"/>
          <w:highlight w:val="none"/>
          <w:lang w:eastAsia="zh-CN"/>
        </w:rPr>
      </w:pP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5</w:t>
      </w:r>
      <w:r>
        <w:rPr>
          <w:rFonts w:hint="eastAsia" w:cs="仿宋_GB2312"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sz w:val="24"/>
          <w:highlight w:val="none"/>
        </w:rPr>
        <w:t>供应商为监狱企业的证明文件：省级以上监狱管理局、戒毒管理局（含新</w:t>
      </w:r>
      <w:r>
        <w:rPr>
          <w:rFonts w:hint="eastAsia" w:ascii="宋体" w:hAnsi="宋体" w:eastAsia="宋体" w:cs="宋体"/>
          <w:color w:val="auto"/>
          <w:sz w:val="24"/>
          <w:highlight w:val="none"/>
        </w:rPr>
        <w:t>疆生产建设兵团）出具………………</w:t>
      </w:r>
      <w:bookmarkStart w:id="104" w:name="OLE_LINK8"/>
      <w:r>
        <w:rPr>
          <w:rFonts w:hint="eastAsia" w:ascii="宋体" w:hAnsi="宋体" w:eastAsia="宋体" w:cs="宋体"/>
          <w:color w:val="auto"/>
          <w:sz w:val="24"/>
          <w:highlight w:val="none"/>
        </w:rPr>
        <w:t>……</w:t>
      </w:r>
      <w:bookmarkEnd w:id="104"/>
      <w:r>
        <w:rPr>
          <w:rFonts w:hint="eastAsia" w:ascii="宋体" w:hAnsi="宋体" w:eastAsia="宋体" w:cs="宋体"/>
          <w:color w:val="auto"/>
          <w:sz w:val="24"/>
          <w:highlight w:val="none"/>
        </w:rPr>
        <w:t>………………………………（页码）</w:t>
      </w:r>
      <w:r>
        <w:rPr>
          <w:rFonts w:hint="eastAsia" w:ascii="宋体" w:hAnsi="宋体" w:eastAsia="宋体" w:cs="宋体"/>
          <w:color w:val="auto"/>
          <w:sz w:val="24"/>
          <w:highlight w:val="none"/>
          <w:lang w:eastAsia="zh-CN"/>
        </w:rPr>
        <w:t>；</w:t>
      </w:r>
    </w:p>
    <w:p w14:paraId="595F51AA">
      <w:pPr>
        <w:snapToGrid w:val="0"/>
        <w:spacing w:line="360" w:lineRule="auto"/>
        <w:ind w:firstLine="480" w:firstLineChars="200"/>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w:t>
      </w:r>
      <w:r>
        <w:rPr>
          <w:rFonts w:hint="eastAsia" w:asciiTheme="minorEastAsia" w:hAnsiTheme="minorEastAsia" w:eastAsiaTheme="minorEastAsia"/>
          <w:color w:val="auto"/>
          <w:sz w:val="24"/>
          <w:highlight w:val="none"/>
        </w:rPr>
        <w:t>残疾人福利性单位声明函</w:t>
      </w:r>
      <w:r>
        <w:rPr>
          <w:rFonts w:hint="eastAsia" w:ascii="宋体" w:hAnsi="宋体" w:eastAsia="宋体" w:cs="宋体"/>
          <w:color w:val="auto"/>
          <w:sz w:val="24"/>
          <w:highlight w:val="none"/>
        </w:rPr>
        <w:t>……………………………………（页码）</w:t>
      </w:r>
      <w:r>
        <w:rPr>
          <w:rFonts w:hint="eastAsia" w:ascii="宋体" w:hAnsi="宋体" w:cs="宋体"/>
          <w:color w:val="auto"/>
          <w:sz w:val="24"/>
          <w:highlight w:val="none"/>
          <w:lang w:eastAsia="zh-CN"/>
        </w:rPr>
        <w:t>。</w:t>
      </w:r>
    </w:p>
    <w:bookmarkEnd w:id="101"/>
    <w:p w14:paraId="0D79BF6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54ECC005">
      <w:pPr>
        <w:spacing w:line="360" w:lineRule="auto"/>
        <w:rPr>
          <w:rFonts w:cs="仿宋_GB2312" w:asciiTheme="minorEastAsia" w:hAnsiTheme="minorEastAsia" w:eastAsiaTheme="minorEastAsia"/>
          <w:color w:val="auto"/>
          <w:sz w:val="18"/>
          <w:szCs w:val="18"/>
          <w:highlight w:val="none"/>
        </w:rPr>
      </w:pPr>
      <w:r>
        <w:rPr>
          <w:rFonts w:hint="eastAsia" w:cs="仿宋_GB2312" w:asciiTheme="minorEastAsia" w:hAnsiTheme="minorEastAsia" w:eastAsiaTheme="minorEastAsia"/>
          <w:color w:val="auto"/>
          <w:sz w:val="36"/>
          <w:szCs w:val="36"/>
          <w:highlight w:val="none"/>
        </w:rPr>
        <w:br w:type="page"/>
      </w:r>
    </w:p>
    <w:p w14:paraId="4A7235A3">
      <w:pPr>
        <w:snapToGrid w:val="0"/>
        <w:spacing w:line="480" w:lineRule="auto"/>
        <w:ind w:right="480"/>
        <w:jc w:val="center"/>
        <w:rPr>
          <w:rFonts w:cs="宋体" w:asciiTheme="minorEastAsia" w:hAnsiTheme="minorEastAsia" w:eastAsiaTheme="minorEastAsia"/>
          <w:b/>
          <w:color w:val="auto"/>
          <w:kern w:val="0"/>
          <w:sz w:val="30"/>
          <w:szCs w:val="30"/>
          <w:highlight w:val="none"/>
        </w:rPr>
      </w:pPr>
      <w:r>
        <w:rPr>
          <w:rFonts w:hint="eastAsia" w:cs="仿宋_GB2312" w:asciiTheme="minorEastAsia" w:hAnsiTheme="minorEastAsia" w:eastAsiaTheme="minorEastAsia"/>
          <w:b/>
          <w:color w:val="auto"/>
          <w:kern w:val="0"/>
          <w:sz w:val="30"/>
          <w:szCs w:val="30"/>
          <w:highlight w:val="none"/>
        </w:rPr>
        <w:t>一</w:t>
      </w:r>
      <w:r>
        <w:rPr>
          <w:rFonts w:hint="eastAsia" w:cs="仿宋_GB2312" w:asciiTheme="minorEastAsia" w:hAnsiTheme="minorEastAsia" w:eastAsiaTheme="minorEastAsia"/>
          <w:b/>
          <w:color w:val="auto"/>
          <w:kern w:val="0"/>
          <w:sz w:val="30"/>
          <w:szCs w:val="30"/>
          <w:highlight w:val="none"/>
          <w:lang w:val="zh-CN"/>
        </w:rPr>
        <w:t>、</w:t>
      </w:r>
      <w:r>
        <w:rPr>
          <w:rFonts w:hint="eastAsia" w:cs="宋体" w:asciiTheme="minorEastAsia" w:hAnsiTheme="minorEastAsia" w:eastAsiaTheme="minorEastAsia"/>
          <w:b/>
          <w:color w:val="auto"/>
          <w:kern w:val="0"/>
          <w:sz w:val="30"/>
          <w:szCs w:val="30"/>
          <w:highlight w:val="none"/>
        </w:rPr>
        <w:t>符合参加政府采购活动应当具备的一般条件的承诺函</w:t>
      </w:r>
    </w:p>
    <w:p w14:paraId="787A8DCF">
      <w:pPr>
        <w:snapToGrid w:val="0"/>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zh-CN" w:eastAsia="zh-CN"/>
        </w:rPr>
        <w:t>宁波市公安局鄞州分局</w:t>
      </w:r>
      <w:r>
        <w:rPr>
          <w:rFonts w:hint="eastAsia" w:cs="仿宋_GB2312" w:asciiTheme="minorEastAsia" w:hAnsiTheme="minorEastAsia" w:eastAsiaTheme="minorEastAsia"/>
          <w:color w:val="auto"/>
          <w:sz w:val="24"/>
          <w:highlight w:val="none"/>
        </w:rPr>
        <w:t>、宁波中基国际招标有限公司：</w:t>
      </w:r>
    </w:p>
    <w:p w14:paraId="6649F21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asciiTheme="minorEastAsia" w:hAnsiTheme="minorEastAsia" w:eastAsiaTheme="minorEastAsia"/>
          <w:color w:val="auto"/>
          <w:sz w:val="24"/>
          <w:highlight w:val="none"/>
          <w:lang w:val="zh-CN" w:eastAsia="zh-CN"/>
        </w:rPr>
        <w:t>鄞州区公安分局智安小区感知及联网服务采购项目</w:t>
      </w:r>
      <w:r>
        <w:rPr>
          <w:rFonts w:hint="eastAsia" w:cs="仿宋_GB2312" w:asciiTheme="minorEastAsia" w:hAnsiTheme="minorEastAsia" w:eastAsiaTheme="minorEastAsia"/>
          <w:color w:val="auto"/>
          <w:kern w:val="0"/>
          <w:sz w:val="24"/>
          <w:highlight w:val="none"/>
          <w:lang w:val="zh-CN"/>
        </w:rPr>
        <w:t>【项目编号：CBNB-20242362G】</w:t>
      </w:r>
      <w:r>
        <w:rPr>
          <w:rFonts w:hint="eastAsia" w:cs="宋体" w:asciiTheme="minorEastAsia" w:hAnsiTheme="minorEastAsia" w:eastAsiaTheme="minorEastAsia"/>
          <w:color w:val="auto"/>
          <w:sz w:val="24"/>
          <w:highlight w:val="none"/>
        </w:rPr>
        <w:t>政府采购活动，郑重承诺：</w:t>
      </w:r>
    </w:p>
    <w:p w14:paraId="6745FCC7">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69480371">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0C196C6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627752D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4FE589E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7BC33AC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3BBD1D79">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35AF71F9">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（二）未被信用中国（www.creditchina.gov.cn)、中国政府采购网（www.ccgp.gov.cn）列入失信被执行人、重大税收违法失信主体、政府采购严重违法失信行为记录名单。</w:t>
      </w:r>
    </w:p>
    <w:p w14:paraId="35A6CA39">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556E7BBC">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2E98618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6EF87682">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1490AD30">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17EB8A7F">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6E604114">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1EA4BEDF">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二、提供有效的营业执照副本（或事业法人登记证副本或其他登记证明材料）原件扫描件或者电子营业执照加盖供应商公章；响应供应商如果有名称变更的，应提供由行政主管部门出具的变更证明文件；</w:t>
      </w:r>
    </w:p>
    <w:p w14:paraId="035731D8">
      <w:pP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br w:type="page"/>
      </w:r>
    </w:p>
    <w:p w14:paraId="100B629A">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三、联合协议（</w:t>
      </w:r>
      <w:r>
        <w:rPr>
          <w:rFonts w:hint="eastAsia" w:cs="仿宋_GB2312" w:asciiTheme="minorEastAsia" w:hAnsiTheme="minorEastAsia" w:eastAsiaTheme="minorEastAsia"/>
          <w:b/>
          <w:color w:val="auto"/>
          <w:sz w:val="32"/>
          <w:szCs w:val="32"/>
          <w:highlight w:val="none"/>
          <w:lang w:val="en-US" w:eastAsia="zh-CN"/>
        </w:rPr>
        <w:t>不适用</w:t>
      </w:r>
      <w:r>
        <w:rPr>
          <w:rFonts w:hint="eastAsia" w:cs="仿宋_GB2312" w:asciiTheme="minorEastAsia" w:hAnsiTheme="minorEastAsia" w:eastAsiaTheme="minorEastAsia"/>
          <w:b/>
          <w:color w:val="auto"/>
          <w:sz w:val="32"/>
          <w:szCs w:val="32"/>
          <w:highlight w:val="none"/>
        </w:rPr>
        <w:t>）</w:t>
      </w:r>
    </w:p>
    <w:p w14:paraId="2DC26D9F">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15B9360D">
      <w:pPr>
        <w:snapToGrid w:val="0"/>
        <w:spacing w:line="360" w:lineRule="auto"/>
        <w:ind w:firstLine="576"/>
        <w:rPr>
          <w:rFonts w:hint="eastAsia" w:asciiTheme="minorEastAsia" w:hAnsiTheme="minorEastAsia" w:eastAsiaTheme="minorEastAsia"/>
          <w:color w:val="auto"/>
          <w:sz w:val="24"/>
          <w:highlight w:val="none"/>
          <w:lang w:val="zh-CN" w:eastAsia="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asciiTheme="minorEastAsia" w:hAnsiTheme="minorEastAsia" w:eastAsiaTheme="minorEastAsia"/>
          <w:color w:val="auto"/>
          <w:sz w:val="24"/>
          <w:highlight w:val="none"/>
          <w:lang w:val="zh-CN" w:eastAsia="zh-CN"/>
        </w:rPr>
        <w:t>鄞州区公安分局智安小区感知及联网服务采购项目</w:t>
      </w:r>
      <w:r>
        <w:rPr>
          <w:rFonts w:hint="eastAsia" w:cs="仿宋_GB2312" w:asciiTheme="minorEastAsia" w:hAnsiTheme="minorEastAsia" w:eastAsiaTheme="minorEastAsia"/>
          <w:color w:val="auto"/>
          <w:kern w:val="0"/>
          <w:sz w:val="24"/>
          <w:highlight w:val="none"/>
          <w:lang w:val="zh-CN"/>
        </w:rPr>
        <w:t>【项目编号：</w:t>
      </w:r>
      <w:bookmarkStart w:id="105" w:name="OLE_LINK33"/>
      <w:r>
        <w:rPr>
          <w:rFonts w:hint="eastAsia" w:asciiTheme="minorEastAsia" w:hAnsiTheme="minorEastAsia" w:eastAsiaTheme="minorEastAsia"/>
          <w:color w:val="auto"/>
          <w:sz w:val="24"/>
          <w:highlight w:val="none"/>
          <w:lang w:val="zh-CN" w:eastAsia="zh-CN"/>
        </w:rPr>
        <w:t>CBNB-2024</w:t>
      </w:r>
      <w:r>
        <w:rPr>
          <w:rFonts w:hint="eastAsia" w:asciiTheme="minorEastAsia" w:hAnsiTheme="minorEastAsia" w:eastAsiaTheme="minorEastAsia"/>
          <w:color w:val="auto"/>
          <w:sz w:val="24"/>
          <w:highlight w:val="none"/>
          <w:lang w:val="en-US" w:eastAsia="zh-CN"/>
        </w:rPr>
        <w:t>2452</w:t>
      </w:r>
      <w:r>
        <w:rPr>
          <w:rFonts w:hint="eastAsia" w:asciiTheme="minorEastAsia" w:hAnsiTheme="minorEastAsia" w:eastAsiaTheme="minorEastAsia"/>
          <w:color w:val="auto"/>
          <w:sz w:val="24"/>
          <w:highlight w:val="none"/>
          <w:lang w:val="zh-CN" w:eastAsia="zh-CN"/>
        </w:rPr>
        <w:t>G</w:t>
      </w:r>
      <w:bookmarkEnd w:id="105"/>
      <w:r>
        <w:rPr>
          <w:rFonts w:hint="eastAsia" w:asciiTheme="minorEastAsia" w:hAnsiTheme="minorEastAsia" w:eastAsiaTheme="minorEastAsia"/>
          <w:color w:val="auto"/>
          <w:sz w:val="24"/>
          <w:highlight w:val="none"/>
          <w:lang w:val="zh-CN" w:eastAsia="zh-CN"/>
        </w:rPr>
        <w:t xml:space="preserve">】响应。 </w:t>
      </w:r>
    </w:p>
    <w:p w14:paraId="7B84574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416F258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1589061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47E8445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63F1A28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69BAAC6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0BD5E66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2746E2CE">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106"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106"/>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107"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107"/>
      <w:r>
        <w:rPr>
          <w:rFonts w:hint="eastAsia" w:cs="宋体" w:asciiTheme="minorEastAsia" w:hAnsiTheme="minorEastAsia" w:eastAsiaTheme="minorEastAsia"/>
          <w:b/>
          <w:color w:val="auto"/>
          <w:kern w:val="0"/>
          <w:sz w:val="24"/>
          <w:highlight w:val="none"/>
          <w:lang w:val="zh-CN"/>
        </w:rPr>
        <w:t>）</w:t>
      </w:r>
    </w:p>
    <w:p w14:paraId="0E439F46">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108"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108"/>
    </w:p>
    <w:p w14:paraId="0872C06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544DEE2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6E2F6E0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517A9BD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2BB6611D">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6BB8E467">
      <w:pPr>
        <w:snapToGrid w:val="0"/>
        <w:spacing w:line="360" w:lineRule="auto"/>
        <w:ind w:firstLine="4320" w:firstLineChars="18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287517DE">
      <w:pPr>
        <w:snapToGrid w:val="0"/>
        <w:spacing w:line="360" w:lineRule="auto"/>
        <w:ind w:firstLine="4320" w:firstLineChars="18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7B2DA1F0">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3307946A">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3D1AFCFC">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2CE69AB0">
      <w:pP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br w:type="page"/>
      </w:r>
    </w:p>
    <w:p w14:paraId="581E6BE5">
      <w:pPr>
        <w:widowControl/>
        <w:adjustRightInd/>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二、商务技术文件部分</w:t>
      </w:r>
    </w:p>
    <w:p w14:paraId="3C2A1AF9">
      <w:pPr>
        <w:spacing w:line="360" w:lineRule="auto"/>
        <w:jc w:val="center"/>
        <w:rPr>
          <w:rFonts w:cs="仿宋_GB2312" w:asciiTheme="minorEastAsia" w:hAnsiTheme="minorEastAsia" w:eastAsiaTheme="minorEastAsia"/>
          <w:b/>
          <w:color w:val="auto"/>
          <w:kern w:val="0"/>
          <w:sz w:val="36"/>
          <w:szCs w:val="36"/>
          <w:highlight w:val="none"/>
        </w:rPr>
      </w:pPr>
    </w:p>
    <w:p w14:paraId="3E484719">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2E7393CE">
      <w:pPr>
        <w:pStyle w:val="32"/>
        <w:numPr>
          <w:ilvl w:val="0"/>
          <w:numId w:val="16"/>
        </w:num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评分索引表………………………………………</w:t>
      </w:r>
      <w:r>
        <w:rPr>
          <w:rFonts w:hint="eastAsia" w:hAnsi="宋体" w:cs="宋体"/>
          <w:color w:val="auto"/>
          <w:sz w:val="24"/>
          <w:highlight w:val="none"/>
        </w:rPr>
        <w:t>………………</w:t>
      </w:r>
      <w:r>
        <w:rPr>
          <w:rFonts w:hint="eastAsia" w:asciiTheme="minorEastAsia" w:hAnsiTheme="minorEastAsia" w:eastAsiaTheme="minorEastAsia"/>
          <w:color w:val="auto"/>
          <w:sz w:val="24"/>
          <w:highlight w:val="none"/>
        </w:rPr>
        <w:t>（页码）；</w:t>
      </w:r>
    </w:p>
    <w:p w14:paraId="6C2D5025">
      <w:pPr>
        <w:pStyle w:val="32"/>
        <w:numPr>
          <w:ilvl w:val="0"/>
          <w:numId w:val="16"/>
        </w:num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响应函………………………………………</w:t>
      </w:r>
      <w:r>
        <w:rPr>
          <w:rFonts w:hint="eastAsia" w:hAnsi="宋体" w:cs="宋体"/>
          <w:color w:val="auto"/>
          <w:sz w:val="24"/>
          <w:highlight w:val="none"/>
        </w:rPr>
        <w:t>……………………</w:t>
      </w:r>
      <w:r>
        <w:rPr>
          <w:rFonts w:hint="eastAsia" w:asciiTheme="minorEastAsia" w:hAnsiTheme="minorEastAsia" w:eastAsiaTheme="minorEastAsia"/>
          <w:color w:val="auto"/>
          <w:sz w:val="24"/>
          <w:highlight w:val="none"/>
        </w:rPr>
        <w:t>（页码）；</w:t>
      </w:r>
    </w:p>
    <w:p w14:paraId="208E4752">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授权委托书或法定代表人（单位负责人、自然人本人）身份证明………………………………………………………………………………（页码）；</w:t>
      </w:r>
    </w:p>
    <w:p w14:paraId="0330635D">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4）</w:t>
      </w:r>
      <w:r>
        <w:rPr>
          <w:rFonts w:hint="eastAsia" w:hAnsi="宋体" w:cs="宋体" w:eastAsiaTheme="minorEastAsia"/>
          <w:color w:val="auto"/>
          <w:sz w:val="24"/>
          <w:highlight w:val="none"/>
        </w:rPr>
        <w:t>供应商</w:t>
      </w:r>
      <w:r>
        <w:rPr>
          <w:rFonts w:hint="eastAsia" w:hAnsi="宋体" w:cs="宋体"/>
          <w:color w:val="auto"/>
          <w:sz w:val="24"/>
          <w:highlight w:val="none"/>
        </w:rPr>
        <w:t>基本情况表…………………………………………………（页码）</w:t>
      </w:r>
      <w:r>
        <w:rPr>
          <w:rFonts w:hint="eastAsia" w:cs="仿宋_GB2312" w:asciiTheme="minorEastAsia" w:hAnsiTheme="minorEastAsia" w:eastAsiaTheme="minorEastAsia"/>
          <w:color w:val="auto"/>
          <w:kern w:val="0"/>
          <w:sz w:val="24"/>
          <w:highlight w:val="none"/>
          <w:lang w:val="zh-CN"/>
        </w:rPr>
        <w:t>；</w:t>
      </w:r>
    </w:p>
    <w:p w14:paraId="1C276DFD">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（5）商务技术条款响应（偏离）表</w:t>
      </w:r>
      <w:r>
        <w:rPr>
          <w:rFonts w:hint="eastAsia" w:hAnsi="宋体" w:cs="宋体"/>
          <w:color w:val="auto"/>
          <w:sz w:val="24"/>
          <w:highlight w:val="none"/>
        </w:rPr>
        <w:t>……………………………………（页码）</w:t>
      </w:r>
      <w:r>
        <w:rPr>
          <w:rFonts w:hint="eastAsia" w:asciiTheme="minorEastAsia" w:hAnsiTheme="minorEastAsia" w:eastAsiaTheme="minorEastAsia"/>
          <w:color w:val="auto"/>
          <w:sz w:val="24"/>
          <w:highlight w:val="none"/>
        </w:rPr>
        <w:t>；</w:t>
      </w:r>
    </w:p>
    <w:p w14:paraId="213A8BA6">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hint="eastAsia" w:cs="宋体" w:asciiTheme="minorEastAsia" w:hAnsiTheme="minorEastAsia" w:eastAsiaTheme="minorEastAsia"/>
          <w:color w:val="auto"/>
          <w:kern w:val="0"/>
          <w:sz w:val="24"/>
          <w:highlight w:val="none"/>
        </w:rPr>
        <w:t>同类项目业绩（格式见第七部分）</w:t>
      </w:r>
      <w:r>
        <w:rPr>
          <w:rFonts w:hint="eastAsia" w:hAnsi="宋体" w:cs="宋体"/>
          <w:color w:val="auto"/>
          <w:sz w:val="24"/>
          <w:highlight w:val="none"/>
        </w:rPr>
        <w:t>………………………………（页码）</w:t>
      </w:r>
      <w:r>
        <w:rPr>
          <w:rFonts w:hint="eastAsia" w:asciiTheme="minorEastAsia" w:hAnsiTheme="minorEastAsia" w:eastAsiaTheme="minorEastAsia"/>
          <w:color w:val="auto"/>
          <w:sz w:val="24"/>
          <w:highlight w:val="none"/>
        </w:rPr>
        <w:t>；</w:t>
      </w:r>
    </w:p>
    <w:p w14:paraId="6A7FC3B2">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hint="eastAsia" w:ascii="宋体" w:hAnsi="宋体" w:eastAsia="宋体" w:cs="宋体"/>
          <w:color w:val="auto"/>
          <w:sz w:val="24"/>
          <w:szCs w:val="24"/>
          <w:highlight w:val="none"/>
          <w:lang w:val="en-US" w:eastAsia="zh-CN"/>
        </w:rPr>
        <w:t>信息系统项目管理师</w:t>
      </w:r>
      <w:r>
        <w:rPr>
          <w:rFonts w:hint="eastAsia" w:ascii="宋体" w:hAnsi="宋体" w:eastAsia="宋体" w:cs="宋体"/>
          <w:color w:val="auto"/>
          <w:sz w:val="24"/>
          <w:szCs w:val="24"/>
          <w:highlight w:val="none"/>
        </w:rPr>
        <w:t>证书</w:t>
      </w:r>
      <w:r>
        <w:rPr>
          <w:rFonts w:hint="eastAsia" w:hAnsi="宋体" w:cs="宋体"/>
          <w:color w:val="auto"/>
          <w:sz w:val="24"/>
          <w:szCs w:val="24"/>
          <w:highlight w:val="none"/>
          <w:lang w:val="en-US" w:eastAsia="zh-CN"/>
        </w:rPr>
        <w:t>复印件</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加盖公章</w:t>
      </w:r>
      <w:r>
        <w:rPr>
          <w:rFonts w:hint="eastAsia" w:hAnsi="宋体" w:cs="宋体"/>
          <w:color w:val="auto"/>
          <w:sz w:val="24"/>
          <w:szCs w:val="24"/>
          <w:highlight w:val="none"/>
          <w:lang w:eastAsia="zh-CN"/>
        </w:rPr>
        <w:t>）</w:t>
      </w:r>
      <w:r>
        <w:rPr>
          <w:rFonts w:hint="eastAsia" w:hAnsi="宋体" w:cs="宋体"/>
          <w:color w:val="auto"/>
          <w:sz w:val="24"/>
          <w:highlight w:val="none"/>
        </w:rPr>
        <w:t>…………………（页码）</w:t>
      </w:r>
      <w:r>
        <w:rPr>
          <w:rFonts w:hint="eastAsia" w:asciiTheme="minorEastAsia" w:hAnsiTheme="minorEastAsia" w:eastAsiaTheme="minorEastAsia"/>
          <w:color w:val="auto"/>
          <w:sz w:val="24"/>
          <w:highlight w:val="none"/>
        </w:rPr>
        <w:t>；</w:t>
      </w:r>
    </w:p>
    <w:p w14:paraId="5B5213B7">
      <w:pPr>
        <w:pStyle w:val="32"/>
        <w:spacing w:line="360" w:lineRule="auto"/>
        <w:ind w:firstLine="480" w:firstLineChars="20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8</w:t>
      </w: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lang w:val="en-US" w:eastAsia="zh-CN"/>
        </w:rPr>
        <w:t xml:space="preserve"> </w:t>
      </w:r>
      <w:r>
        <w:rPr>
          <w:rFonts w:hint="eastAsia" w:ascii="宋体" w:hAnsi="宋体" w:eastAsia="宋体" w:cs="宋体"/>
          <w:color w:val="auto"/>
          <w:sz w:val="24"/>
          <w:szCs w:val="24"/>
          <w:highlight w:val="none"/>
        </w:rPr>
        <w:t>数据库系统工程师</w:t>
      </w:r>
      <w:r>
        <w:rPr>
          <w:rFonts w:hint="eastAsia" w:hAnsi="宋体" w:cs="宋体"/>
          <w:color w:val="auto"/>
          <w:sz w:val="24"/>
          <w:szCs w:val="24"/>
          <w:highlight w:val="none"/>
          <w:lang w:val="en-US" w:eastAsia="zh-CN"/>
        </w:rPr>
        <w:t>复印件</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加盖公章</w:t>
      </w:r>
      <w:r>
        <w:rPr>
          <w:rFonts w:hint="eastAsia" w:hAnsi="宋体" w:cs="宋体"/>
          <w:color w:val="auto"/>
          <w:sz w:val="24"/>
          <w:szCs w:val="24"/>
          <w:highlight w:val="none"/>
          <w:lang w:eastAsia="zh-CN"/>
        </w:rPr>
        <w:t>）</w:t>
      </w:r>
      <w:r>
        <w:rPr>
          <w:rFonts w:hint="eastAsia" w:hAnsi="宋体" w:cs="宋体"/>
          <w:color w:val="auto"/>
          <w:sz w:val="24"/>
          <w:highlight w:val="none"/>
        </w:rPr>
        <w:t>…………………………（页码）</w:t>
      </w:r>
      <w:r>
        <w:rPr>
          <w:rFonts w:hint="eastAsia" w:asciiTheme="minorEastAsia" w:hAnsiTheme="minorEastAsia" w:eastAsiaTheme="minorEastAsia"/>
          <w:color w:val="auto"/>
          <w:sz w:val="24"/>
          <w:highlight w:val="none"/>
        </w:rPr>
        <w:t>；</w:t>
      </w:r>
    </w:p>
    <w:p w14:paraId="29BD9C55">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en-US" w:eastAsia="zh-CN"/>
        </w:rPr>
        <w:t>人员管理、保障方案</w:t>
      </w:r>
      <w:r>
        <w:rPr>
          <w:rFonts w:hint="eastAsia" w:hAnsi="宋体" w:cs="宋体"/>
          <w:color w:val="auto"/>
          <w:sz w:val="24"/>
          <w:highlight w:val="none"/>
        </w:rPr>
        <w:t>………………………………………………（页码）</w:t>
      </w:r>
      <w:r>
        <w:rPr>
          <w:rFonts w:hint="eastAsia" w:asciiTheme="minorEastAsia" w:hAnsiTheme="minorEastAsia" w:eastAsiaTheme="minorEastAsia"/>
          <w:color w:val="auto"/>
          <w:sz w:val="24"/>
          <w:highlight w:val="none"/>
        </w:rPr>
        <w:t>；</w:t>
      </w:r>
    </w:p>
    <w:p w14:paraId="4CD3BB08">
      <w:pPr>
        <w:pStyle w:val="32"/>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（10）</w:t>
      </w:r>
      <w:r>
        <w:rPr>
          <w:rFonts w:hint="eastAsia" w:ascii="宋体" w:hAnsi="宋体" w:eastAsia="宋体" w:cs="宋体"/>
          <w:color w:val="auto"/>
          <w:sz w:val="24"/>
          <w:highlight w:val="none"/>
          <w:lang w:val="en-US" w:eastAsia="zh-CN"/>
        </w:rPr>
        <w:t>项目实施进度计划</w:t>
      </w:r>
      <w:r>
        <w:rPr>
          <w:rFonts w:hint="eastAsia" w:hAnsi="宋体" w:cs="宋体"/>
          <w:color w:val="auto"/>
          <w:sz w:val="24"/>
          <w:highlight w:val="none"/>
        </w:rPr>
        <w:t>………………………………………………（页码）</w:t>
      </w:r>
      <w:r>
        <w:rPr>
          <w:rFonts w:hint="eastAsia" w:asciiTheme="minorEastAsia" w:hAnsiTheme="minorEastAsia" w:eastAsiaTheme="minorEastAsia"/>
          <w:color w:val="auto"/>
          <w:sz w:val="24"/>
          <w:highlight w:val="none"/>
        </w:rPr>
        <w:t>；</w:t>
      </w:r>
    </w:p>
    <w:p w14:paraId="66E24DEE">
      <w:pPr>
        <w:pStyle w:val="32"/>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val="zh-CN"/>
        </w:rPr>
        <w:t>）</w:t>
      </w:r>
      <w:r>
        <w:rPr>
          <w:rFonts w:hint="eastAsia" w:hAnsi="宋体" w:cs="宋体"/>
          <w:color w:val="auto"/>
          <w:sz w:val="24"/>
          <w:highlight w:val="none"/>
          <w:lang w:val="en-US" w:eastAsia="zh-CN"/>
        </w:rPr>
        <w:t>项目</w:t>
      </w:r>
      <w:r>
        <w:rPr>
          <w:rFonts w:hint="eastAsia" w:ascii="宋体" w:hAnsi="宋体" w:eastAsia="宋体" w:cs="宋体"/>
          <w:color w:val="auto"/>
          <w:sz w:val="24"/>
          <w:highlight w:val="none"/>
          <w:lang w:val="zh-CN"/>
        </w:rPr>
        <w:t>服务方案</w:t>
      </w:r>
      <w:r>
        <w:rPr>
          <w:rFonts w:hint="eastAsia" w:hAnsi="宋体" w:cs="宋体"/>
          <w:color w:val="auto"/>
          <w:sz w:val="24"/>
          <w:highlight w:val="none"/>
        </w:rPr>
        <w:t>……………………………………………………（页码）</w:t>
      </w:r>
      <w:r>
        <w:rPr>
          <w:rFonts w:hint="eastAsia" w:asciiTheme="minorEastAsia" w:hAnsiTheme="minorEastAsia" w:eastAsiaTheme="minorEastAsia"/>
          <w:color w:val="auto"/>
          <w:sz w:val="24"/>
          <w:highlight w:val="none"/>
        </w:rPr>
        <w:t>；</w:t>
      </w:r>
    </w:p>
    <w:p w14:paraId="046C5B49">
      <w:pPr>
        <w:pStyle w:val="32"/>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12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服务保障方案</w:t>
      </w:r>
      <w:r>
        <w:rPr>
          <w:rFonts w:hint="eastAsia" w:hAnsi="宋体" w:cs="宋体"/>
          <w:color w:val="auto"/>
          <w:sz w:val="24"/>
          <w:highlight w:val="none"/>
        </w:rPr>
        <w:t>……………………………………………………（页码）</w:t>
      </w:r>
      <w:r>
        <w:rPr>
          <w:rFonts w:hint="eastAsia" w:asciiTheme="minorEastAsia" w:hAnsiTheme="minorEastAsia" w:eastAsiaTheme="minorEastAsia"/>
          <w:color w:val="auto"/>
          <w:sz w:val="24"/>
          <w:highlight w:val="none"/>
        </w:rPr>
        <w:t>；</w:t>
      </w:r>
    </w:p>
    <w:p w14:paraId="2CC364B6">
      <w:pPr>
        <w:pStyle w:val="32"/>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（13）培训方案</w:t>
      </w:r>
      <w:r>
        <w:rPr>
          <w:rFonts w:hint="eastAsia" w:hAnsi="宋体" w:cs="宋体"/>
          <w:color w:val="auto"/>
          <w:sz w:val="24"/>
          <w:highlight w:val="none"/>
        </w:rPr>
        <w:t>…………………………………………………………（页码）</w:t>
      </w:r>
      <w:r>
        <w:rPr>
          <w:rFonts w:hint="eastAsia" w:asciiTheme="minorEastAsia" w:hAnsiTheme="minorEastAsia" w:eastAsiaTheme="minorEastAsia"/>
          <w:color w:val="auto"/>
          <w:sz w:val="24"/>
          <w:highlight w:val="none"/>
        </w:rPr>
        <w:t>；</w:t>
      </w:r>
    </w:p>
    <w:p w14:paraId="7A7DAEC6">
      <w:pPr>
        <w:pStyle w:val="32"/>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14）</w:t>
      </w:r>
      <w:r>
        <w:rPr>
          <w:rFonts w:hint="eastAsia" w:ascii="宋体" w:hAnsi="宋体" w:eastAsia="宋体" w:cs="宋体"/>
          <w:color w:val="auto"/>
          <w:sz w:val="24"/>
          <w:highlight w:val="none"/>
          <w:lang w:val="en-US" w:eastAsia="zh-CN"/>
        </w:rPr>
        <w:t>考核应对措施</w:t>
      </w:r>
      <w:r>
        <w:rPr>
          <w:rFonts w:hint="eastAsia" w:hAnsi="宋体" w:cs="宋体"/>
          <w:color w:val="auto"/>
          <w:sz w:val="24"/>
          <w:highlight w:val="none"/>
        </w:rPr>
        <w:t>……………………………………………………（页码）</w:t>
      </w:r>
      <w:r>
        <w:rPr>
          <w:rFonts w:hint="eastAsia" w:asciiTheme="minorEastAsia" w:hAnsiTheme="minorEastAsia" w:eastAsiaTheme="minorEastAsia"/>
          <w:color w:val="auto"/>
          <w:sz w:val="24"/>
          <w:highlight w:val="none"/>
        </w:rPr>
        <w:t>；</w:t>
      </w:r>
    </w:p>
    <w:p w14:paraId="75F083FD">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突发事件预测及应急处理预案</w:t>
      </w:r>
      <w:r>
        <w:rPr>
          <w:rFonts w:hint="eastAsia" w:hAnsi="宋体" w:cs="宋体"/>
          <w:color w:val="auto"/>
          <w:sz w:val="24"/>
          <w:highlight w:val="none"/>
        </w:rPr>
        <w:t>…………………………………（页码）</w:t>
      </w:r>
      <w:r>
        <w:rPr>
          <w:rFonts w:hint="eastAsia" w:asciiTheme="minorEastAsia" w:hAnsiTheme="minorEastAsia" w:eastAsiaTheme="minorEastAsia"/>
          <w:color w:val="auto"/>
          <w:sz w:val="24"/>
          <w:highlight w:val="none"/>
        </w:rPr>
        <w:t>；</w:t>
      </w:r>
    </w:p>
    <w:p w14:paraId="4D1DE7F8">
      <w:pPr>
        <w:pStyle w:val="32"/>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）重难点分析及解决方案</w:t>
      </w:r>
      <w:r>
        <w:rPr>
          <w:rFonts w:hint="eastAsia" w:hAnsi="宋体" w:cs="宋体"/>
          <w:color w:val="auto"/>
          <w:sz w:val="24"/>
          <w:highlight w:val="none"/>
        </w:rPr>
        <w:t>…………………………………………（页码）</w:t>
      </w:r>
      <w:r>
        <w:rPr>
          <w:rFonts w:hint="eastAsia" w:asciiTheme="minorEastAsia" w:hAnsiTheme="minorEastAsia" w:eastAsiaTheme="minorEastAsia"/>
          <w:color w:val="auto"/>
          <w:sz w:val="24"/>
          <w:highlight w:val="none"/>
        </w:rPr>
        <w:t>；</w:t>
      </w:r>
    </w:p>
    <w:p w14:paraId="668718B6">
      <w:pPr>
        <w:pStyle w:val="32"/>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r>
        <w:rPr>
          <w:rFonts w:hint="eastAsia" w:hAnsi="宋体" w:cs="宋体"/>
          <w:color w:val="auto"/>
          <w:sz w:val="24"/>
          <w:highlight w:val="none"/>
        </w:rPr>
        <w:t>……………（页码）</w:t>
      </w:r>
      <w:r>
        <w:rPr>
          <w:rFonts w:hint="eastAsia" w:cs="仿宋_GB2312" w:asciiTheme="minorEastAsia" w:hAnsiTheme="minorEastAsia" w:eastAsiaTheme="minorEastAsia"/>
          <w:color w:val="auto"/>
          <w:kern w:val="0"/>
          <w:sz w:val="24"/>
          <w:szCs w:val="24"/>
          <w:highlight w:val="none"/>
          <w:lang w:val="zh-CN"/>
        </w:rPr>
        <w:t>。</w:t>
      </w:r>
    </w:p>
    <w:p w14:paraId="78E64F30">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p>
    <w:p w14:paraId="27476422">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35BF6766">
      <w:pPr>
        <w:pStyle w:val="32"/>
        <w:spacing w:line="360" w:lineRule="auto"/>
        <w:ind w:firstLine="480" w:firstLineChars="200"/>
        <w:rPr>
          <w:rFonts w:cs="仿宋_GB2312" w:asciiTheme="minorEastAsia" w:hAnsiTheme="minorEastAsia" w:eastAsiaTheme="minorEastAsia"/>
          <w:color w:val="auto"/>
          <w:kern w:val="0"/>
          <w:sz w:val="24"/>
          <w:szCs w:val="24"/>
          <w:highlight w:val="none"/>
          <w:lang w:val="zh-CN"/>
        </w:rPr>
      </w:pPr>
    </w:p>
    <w:p w14:paraId="26C5A151">
      <w:pP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br w:type="page"/>
      </w:r>
    </w:p>
    <w:p w14:paraId="7872CB19">
      <w:pPr>
        <w:pStyle w:val="120"/>
        <w:keepNext w:val="0"/>
        <w:pageBreakBefore w:val="0"/>
        <w:tabs>
          <w:tab w:val="clear" w:pos="720"/>
        </w:tabs>
        <w:snapToGrid w:val="0"/>
        <w:spacing w:before="120" w:after="120"/>
        <w:outlineLvl w:val="9"/>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一、评分索引表</w:t>
      </w:r>
    </w:p>
    <w:p w14:paraId="5CE381C1">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评分索引表</w:t>
      </w:r>
    </w:p>
    <w:tbl>
      <w:tblPr>
        <w:tblStyle w:val="61"/>
        <w:tblW w:w="0" w:type="auto"/>
        <w:jc w:val="center"/>
        <w:tblLayout w:type="fixed"/>
        <w:tblCellMar>
          <w:top w:w="0" w:type="dxa"/>
          <w:left w:w="108" w:type="dxa"/>
          <w:bottom w:w="0" w:type="dxa"/>
          <w:right w:w="108" w:type="dxa"/>
        </w:tblCellMar>
      </w:tblPr>
      <w:tblGrid>
        <w:gridCol w:w="740"/>
        <w:gridCol w:w="4220"/>
        <w:gridCol w:w="1245"/>
        <w:gridCol w:w="1230"/>
        <w:gridCol w:w="1220"/>
      </w:tblGrid>
      <w:tr w14:paraId="75B1B91D">
        <w:tblPrEx>
          <w:tblCellMar>
            <w:top w:w="0" w:type="dxa"/>
            <w:left w:w="108" w:type="dxa"/>
            <w:bottom w:w="0" w:type="dxa"/>
            <w:right w:w="108" w:type="dxa"/>
          </w:tblCellMar>
        </w:tblPrEx>
        <w:trPr>
          <w:trHeight w:val="59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5FB9509">
            <w:pPr>
              <w:jc w:val="center"/>
              <w:rPr>
                <w:rFonts w:ascii="宋体" w:hAnsi="宋体" w:cs="宋体"/>
                <w:color w:val="auto"/>
                <w:highlight w:val="none"/>
              </w:rPr>
            </w:pPr>
            <w:r>
              <w:rPr>
                <w:rFonts w:hint="eastAsia" w:ascii="宋体" w:hAnsi="宋体" w:cs="宋体"/>
                <w:color w:val="auto"/>
                <w:highlight w:val="none"/>
                <w:lang w:bidi="ar"/>
              </w:rPr>
              <w:t>序号</w:t>
            </w:r>
          </w:p>
        </w:tc>
        <w:tc>
          <w:tcPr>
            <w:tcW w:w="4220" w:type="dxa"/>
            <w:tcBorders>
              <w:top w:val="single" w:color="auto" w:sz="4" w:space="0"/>
              <w:left w:val="single" w:color="auto" w:sz="4" w:space="0"/>
              <w:bottom w:val="single" w:color="auto" w:sz="4" w:space="0"/>
              <w:right w:val="single" w:color="auto" w:sz="4" w:space="0"/>
            </w:tcBorders>
            <w:vAlign w:val="center"/>
          </w:tcPr>
          <w:p w14:paraId="08298D7A">
            <w:pPr>
              <w:jc w:val="center"/>
              <w:rPr>
                <w:rFonts w:ascii="宋体" w:hAnsi="宋体" w:cs="宋体"/>
                <w:color w:val="auto"/>
                <w:highlight w:val="none"/>
              </w:rPr>
            </w:pPr>
            <w:r>
              <w:rPr>
                <w:rFonts w:hint="eastAsia" w:ascii="宋体" w:hAnsi="宋体" w:cs="宋体"/>
                <w:color w:val="auto"/>
                <w:highlight w:val="none"/>
                <w:lang w:bidi="ar"/>
              </w:rPr>
              <w:t>评审内容</w:t>
            </w:r>
          </w:p>
        </w:tc>
        <w:tc>
          <w:tcPr>
            <w:tcW w:w="1245" w:type="dxa"/>
            <w:tcBorders>
              <w:top w:val="single" w:color="auto" w:sz="4" w:space="0"/>
              <w:left w:val="nil"/>
              <w:bottom w:val="single" w:color="auto" w:sz="4" w:space="0"/>
              <w:right w:val="single" w:color="auto" w:sz="4" w:space="0"/>
            </w:tcBorders>
            <w:vAlign w:val="center"/>
          </w:tcPr>
          <w:p w14:paraId="4771EE6F">
            <w:pPr>
              <w:jc w:val="center"/>
              <w:rPr>
                <w:rFonts w:ascii="宋体" w:hAnsi="宋体" w:cs="宋体"/>
                <w:color w:val="auto"/>
                <w:highlight w:val="none"/>
              </w:rPr>
            </w:pPr>
            <w:r>
              <w:rPr>
                <w:rFonts w:hint="eastAsia" w:ascii="宋体" w:hAnsi="宋体" w:cs="宋体"/>
                <w:color w:val="auto"/>
                <w:highlight w:val="none"/>
                <w:lang w:bidi="ar"/>
              </w:rPr>
              <w:t>自评分</w:t>
            </w:r>
          </w:p>
        </w:tc>
        <w:tc>
          <w:tcPr>
            <w:tcW w:w="1230" w:type="dxa"/>
            <w:tcBorders>
              <w:top w:val="single" w:color="auto" w:sz="4" w:space="0"/>
              <w:left w:val="nil"/>
              <w:bottom w:val="single" w:color="auto" w:sz="4" w:space="0"/>
              <w:right w:val="single" w:color="auto" w:sz="4" w:space="0"/>
            </w:tcBorders>
            <w:vAlign w:val="center"/>
          </w:tcPr>
          <w:p w14:paraId="0D998838">
            <w:pPr>
              <w:jc w:val="center"/>
              <w:rPr>
                <w:rFonts w:ascii="宋体" w:hAnsi="宋体" w:cs="宋体"/>
                <w:color w:val="auto"/>
                <w:highlight w:val="none"/>
              </w:rPr>
            </w:pPr>
            <w:r>
              <w:rPr>
                <w:rFonts w:hint="eastAsia" w:ascii="宋体" w:hAnsi="宋体" w:cs="宋体"/>
                <w:color w:val="auto"/>
                <w:highlight w:val="none"/>
                <w:lang w:bidi="ar"/>
              </w:rPr>
              <w:t>说明</w:t>
            </w:r>
          </w:p>
        </w:tc>
        <w:tc>
          <w:tcPr>
            <w:tcW w:w="1220" w:type="dxa"/>
            <w:tcBorders>
              <w:top w:val="single" w:color="auto" w:sz="4" w:space="0"/>
              <w:left w:val="nil"/>
              <w:bottom w:val="single" w:color="auto" w:sz="4" w:space="0"/>
              <w:right w:val="single" w:color="auto" w:sz="4" w:space="0"/>
            </w:tcBorders>
            <w:vAlign w:val="center"/>
          </w:tcPr>
          <w:p w14:paraId="1CBDB15D">
            <w:pPr>
              <w:jc w:val="center"/>
              <w:rPr>
                <w:rFonts w:ascii="宋体" w:hAnsi="宋体" w:cs="宋体"/>
                <w:color w:val="auto"/>
                <w:highlight w:val="none"/>
              </w:rPr>
            </w:pPr>
            <w:r>
              <w:rPr>
                <w:rFonts w:hint="eastAsia" w:ascii="宋体" w:hAnsi="宋体" w:cs="宋体"/>
                <w:color w:val="auto"/>
                <w:highlight w:val="none"/>
                <w:lang w:bidi="ar"/>
              </w:rPr>
              <w:t>证明文件</w:t>
            </w:r>
          </w:p>
        </w:tc>
      </w:tr>
      <w:tr w14:paraId="51A8FF57">
        <w:tblPrEx>
          <w:tblCellMar>
            <w:top w:w="0" w:type="dxa"/>
            <w:left w:w="108" w:type="dxa"/>
            <w:bottom w:w="0" w:type="dxa"/>
            <w:right w:w="108" w:type="dxa"/>
          </w:tblCellMar>
        </w:tblPrEx>
        <w:trPr>
          <w:trHeight w:val="593" w:hRule="atLeast"/>
          <w:jc w:val="center"/>
        </w:trPr>
        <w:tc>
          <w:tcPr>
            <w:tcW w:w="740" w:type="dxa"/>
            <w:tcBorders>
              <w:top w:val="nil"/>
              <w:left w:val="single" w:color="auto" w:sz="4" w:space="0"/>
              <w:bottom w:val="single" w:color="auto" w:sz="4" w:space="0"/>
              <w:right w:val="single" w:color="auto" w:sz="4" w:space="0"/>
            </w:tcBorders>
            <w:vAlign w:val="center"/>
          </w:tcPr>
          <w:p w14:paraId="48F8A0EB">
            <w:pPr>
              <w:rPr>
                <w:rFonts w:ascii="宋体" w:hAnsi="宋体" w:cs="宋体"/>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1C195587">
            <w:pPr>
              <w:rPr>
                <w:rFonts w:ascii="宋体" w:hAnsi="宋体" w:cs="宋体"/>
                <w:color w:val="auto"/>
                <w:highlight w:val="none"/>
              </w:rPr>
            </w:pPr>
          </w:p>
        </w:tc>
        <w:tc>
          <w:tcPr>
            <w:tcW w:w="1245" w:type="dxa"/>
            <w:tcBorders>
              <w:top w:val="nil"/>
              <w:left w:val="nil"/>
              <w:bottom w:val="single" w:color="auto" w:sz="4" w:space="0"/>
              <w:right w:val="single" w:color="auto" w:sz="4" w:space="0"/>
            </w:tcBorders>
            <w:vAlign w:val="center"/>
          </w:tcPr>
          <w:p w14:paraId="4D1BD00B">
            <w:pPr>
              <w:jc w:val="center"/>
              <w:rPr>
                <w:rFonts w:ascii="宋体" w:hAnsi="宋体" w:cs="宋体"/>
                <w:color w:val="auto"/>
                <w:highlight w:val="none"/>
              </w:rPr>
            </w:pPr>
          </w:p>
        </w:tc>
        <w:tc>
          <w:tcPr>
            <w:tcW w:w="1230" w:type="dxa"/>
            <w:tcBorders>
              <w:top w:val="nil"/>
              <w:left w:val="nil"/>
              <w:bottom w:val="single" w:color="auto" w:sz="4" w:space="0"/>
              <w:right w:val="single" w:color="auto" w:sz="4" w:space="0"/>
            </w:tcBorders>
            <w:vAlign w:val="center"/>
          </w:tcPr>
          <w:p w14:paraId="267824F6">
            <w:pPr>
              <w:jc w:val="center"/>
              <w:rPr>
                <w:rFonts w:ascii="宋体" w:hAnsi="宋体" w:cs="宋体"/>
                <w:color w:val="auto"/>
                <w:highlight w:val="none"/>
              </w:rPr>
            </w:pPr>
          </w:p>
        </w:tc>
        <w:tc>
          <w:tcPr>
            <w:tcW w:w="1220" w:type="dxa"/>
            <w:tcBorders>
              <w:top w:val="nil"/>
              <w:left w:val="nil"/>
              <w:bottom w:val="single" w:color="auto" w:sz="4" w:space="0"/>
              <w:right w:val="single" w:color="auto" w:sz="4" w:space="0"/>
            </w:tcBorders>
            <w:vAlign w:val="center"/>
          </w:tcPr>
          <w:p w14:paraId="464DB3EC">
            <w:pPr>
              <w:jc w:val="center"/>
              <w:rPr>
                <w:rFonts w:ascii="宋体" w:hAnsi="宋体" w:cs="宋体"/>
                <w:color w:val="auto"/>
                <w:highlight w:val="none"/>
              </w:rPr>
            </w:pPr>
            <w:r>
              <w:rPr>
                <w:rFonts w:hint="eastAsia" w:ascii="宋体" w:hAnsi="宋体" w:cs="宋体"/>
                <w:color w:val="auto"/>
                <w:highlight w:val="none"/>
                <w:lang w:bidi="ar"/>
              </w:rPr>
              <w:t>见（  ）页</w:t>
            </w:r>
          </w:p>
        </w:tc>
      </w:tr>
      <w:tr w14:paraId="3BE5E5C7">
        <w:tblPrEx>
          <w:tblCellMar>
            <w:top w:w="0" w:type="dxa"/>
            <w:left w:w="108" w:type="dxa"/>
            <w:bottom w:w="0" w:type="dxa"/>
            <w:right w:w="108" w:type="dxa"/>
          </w:tblCellMar>
        </w:tblPrEx>
        <w:trPr>
          <w:trHeight w:val="613" w:hRule="atLeast"/>
          <w:jc w:val="center"/>
        </w:trPr>
        <w:tc>
          <w:tcPr>
            <w:tcW w:w="740" w:type="dxa"/>
            <w:tcBorders>
              <w:top w:val="nil"/>
              <w:left w:val="single" w:color="auto" w:sz="4" w:space="0"/>
              <w:bottom w:val="single" w:color="auto" w:sz="4" w:space="0"/>
              <w:right w:val="single" w:color="auto" w:sz="4" w:space="0"/>
            </w:tcBorders>
            <w:vAlign w:val="center"/>
          </w:tcPr>
          <w:p w14:paraId="63605167">
            <w:pPr>
              <w:rPr>
                <w:rFonts w:ascii="宋体" w:hAnsi="宋体" w:cs="宋体"/>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460F7A6C">
            <w:pPr>
              <w:rPr>
                <w:rFonts w:ascii="宋体" w:hAnsi="宋体" w:cs="宋体"/>
                <w:color w:val="auto"/>
                <w:highlight w:val="none"/>
              </w:rPr>
            </w:pPr>
          </w:p>
        </w:tc>
        <w:tc>
          <w:tcPr>
            <w:tcW w:w="1245" w:type="dxa"/>
            <w:tcBorders>
              <w:top w:val="nil"/>
              <w:left w:val="nil"/>
              <w:bottom w:val="single" w:color="auto" w:sz="4" w:space="0"/>
              <w:right w:val="single" w:color="auto" w:sz="4" w:space="0"/>
            </w:tcBorders>
            <w:vAlign w:val="center"/>
          </w:tcPr>
          <w:p w14:paraId="1303FEAF">
            <w:pPr>
              <w:jc w:val="center"/>
              <w:rPr>
                <w:rFonts w:ascii="宋体" w:hAnsi="宋体" w:cs="宋体"/>
                <w:color w:val="auto"/>
                <w:highlight w:val="none"/>
              </w:rPr>
            </w:pPr>
          </w:p>
        </w:tc>
        <w:tc>
          <w:tcPr>
            <w:tcW w:w="1230" w:type="dxa"/>
            <w:tcBorders>
              <w:top w:val="nil"/>
              <w:left w:val="nil"/>
              <w:bottom w:val="single" w:color="auto" w:sz="4" w:space="0"/>
              <w:right w:val="single" w:color="auto" w:sz="4" w:space="0"/>
            </w:tcBorders>
            <w:vAlign w:val="center"/>
          </w:tcPr>
          <w:p w14:paraId="20862B35">
            <w:pPr>
              <w:jc w:val="center"/>
              <w:rPr>
                <w:rFonts w:ascii="宋体" w:hAnsi="宋体" w:cs="宋体"/>
                <w:color w:val="auto"/>
                <w:highlight w:val="none"/>
              </w:rPr>
            </w:pPr>
          </w:p>
        </w:tc>
        <w:tc>
          <w:tcPr>
            <w:tcW w:w="1220" w:type="dxa"/>
            <w:tcBorders>
              <w:top w:val="nil"/>
              <w:left w:val="nil"/>
              <w:bottom w:val="single" w:color="auto" w:sz="4" w:space="0"/>
              <w:right w:val="single" w:color="auto" w:sz="4" w:space="0"/>
            </w:tcBorders>
            <w:vAlign w:val="center"/>
          </w:tcPr>
          <w:p w14:paraId="481F3A03">
            <w:pPr>
              <w:jc w:val="center"/>
              <w:rPr>
                <w:rFonts w:ascii="宋体" w:hAnsi="宋体" w:cs="宋体"/>
                <w:color w:val="auto"/>
                <w:highlight w:val="none"/>
              </w:rPr>
            </w:pPr>
            <w:r>
              <w:rPr>
                <w:rFonts w:hint="eastAsia" w:ascii="宋体" w:hAnsi="宋体" w:cs="宋体"/>
                <w:color w:val="auto"/>
                <w:highlight w:val="none"/>
                <w:lang w:bidi="ar"/>
              </w:rPr>
              <w:t>见（  ）页</w:t>
            </w:r>
          </w:p>
        </w:tc>
      </w:tr>
      <w:tr w14:paraId="00673DF0">
        <w:tblPrEx>
          <w:tblCellMar>
            <w:top w:w="0" w:type="dxa"/>
            <w:left w:w="108" w:type="dxa"/>
            <w:bottom w:w="0" w:type="dxa"/>
            <w:right w:w="108" w:type="dxa"/>
          </w:tblCellMar>
        </w:tblPrEx>
        <w:trPr>
          <w:trHeight w:val="520" w:hRule="atLeast"/>
          <w:jc w:val="center"/>
        </w:trPr>
        <w:tc>
          <w:tcPr>
            <w:tcW w:w="740" w:type="dxa"/>
            <w:tcBorders>
              <w:top w:val="nil"/>
              <w:left w:val="single" w:color="auto" w:sz="4" w:space="0"/>
              <w:bottom w:val="single" w:color="auto" w:sz="4" w:space="0"/>
              <w:right w:val="single" w:color="auto" w:sz="4" w:space="0"/>
            </w:tcBorders>
            <w:vAlign w:val="center"/>
          </w:tcPr>
          <w:p w14:paraId="60857744">
            <w:pPr>
              <w:rPr>
                <w:rFonts w:ascii="宋体" w:hAnsi="宋体" w:cs="宋体"/>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1BC98E6A">
            <w:pPr>
              <w:rPr>
                <w:rFonts w:ascii="宋体" w:hAnsi="宋体" w:cs="宋体"/>
                <w:color w:val="auto"/>
                <w:highlight w:val="none"/>
              </w:rPr>
            </w:pPr>
          </w:p>
        </w:tc>
        <w:tc>
          <w:tcPr>
            <w:tcW w:w="1245" w:type="dxa"/>
            <w:tcBorders>
              <w:top w:val="nil"/>
              <w:left w:val="nil"/>
              <w:bottom w:val="single" w:color="auto" w:sz="4" w:space="0"/>
              <w:right w:val="single" w:color="auto" w:sz="4" w:space="0"/>
            </w:tcBorders>
            <w:vAlign w:val="center"/>
          </w:tcPr>
          <w:p w14:paraId="3C7D33CD">
            <w:pPr>
              <w:jc w:val="center"/>
              <w:rPr>
                <w:rFonts w:ascii="宋体" w:hAnsi="宋体" w:cs="宋体"/>
                <w:color w:val="auto"/>
                <w:highlight w:val="none"/>
              </w:rPr>
            </w:pPr>
          </w:p>
        </w:tc>
        <w:tc>
          <w:tcPr>
            <w:tcW w:w="1230" w:type="dxa"/>
            <w:tcBorders>
              <w:top w:val="nil"/>
              <w:left w:val="nil"/>
              <w:bottom w:val="single" w:color="auto" w:sz="4" w:space="0"/>
              <w:right w:val="single" w:color="auto" w:sz="4" w:space="0"/>
            </w:tcBorders>
            <w:vAlign w:val="center"/>
          </w:tcPr>
          <w:p w14:paraId="6014F00B">
            <w:pPr>
              <w:jc w:val="center"/>
              <w:rPr>
                <w:rFonts w:ascii="宋体" w:hAnsi="宋体" w:cs="宋体"/>
                <w:color w:val="auto"/>
                <w:highlight w:val="none"/>
              </w:rPr>
            </w:pPr>
          </w:p>
        </w:tc>
        <w:tc>
          <w:tcPr>
            <w:tcW w:w="1220" w:type="dxa"/>
            <w:tcBorders>
              <w:top w:val="nil"/>
              <w:left w:val="nil"/>
              <w:bottom w:val="single" w:color="auto" w:sz="4" w:space="0"/>
              <w:right w:val="single" w:color="auto" w:sz="4" w:space="0"/>
            </w:tcBorders>
            <w:vAlign w:val="center"/>
          </w:tcPr>
          <w:p w14:paraId="440E0BC2">
            <w:pPr>
              <w:jc w:val="center"/>
              <w:rPr>
                <w:rFonts w:ascii="宋体" w:hAnsi="宋体" w:cs="宋体"/>
                <w:color w:val="auto"/>
                <w:highlight w:val="none"/>
              </w:rPr>
            </w:pPr>
            <w:r>
              <w:rPr>
                <w:rFonts w:hint="eastAsia" w:ascii="宋体" w:hAnsi="宋体" w:cs="宋体"/>
                <w:color w:val="auto"/>
                <w:highlight w:val="none"/>
                <w:lang w:bidi="ar"/>
              </w:rPr>
              <w:t>见（  ）页</w:t>
            </w:r>
          </w:p>
        </w:tc>
      </w:tr>
      <w:tr w14:paraId="3A1368A7">
        <w:tblPrEx>
          <w:tblCellMar>
            <w:top w:w="0" w:type="dxa"/>
            <w:left w:w="108" w:type="dxa"/>
            <w:bottom w:w="0" w:type="dxa"/>
            <w:right w:w="108" w:type="dxa"/>
          </w:tblCellMar>
        </w:tblPrEx>
        <w:trPr>
          <w:trHeight w:val="531" w:hRule="atLeast"/>
          <w:jc w:val="center"/>
        </w:trPr>
        <w:tc>
          <w:tcPr>
            <w:tcW w:w="740" w:type="dxa"/>
            <w:tcBorders>
              <w:top w:val="nil"/>
              <w:left w:val="single" w:color="auto" w:sz="4" w:space="0"/>
              <w:bottom w:val="single" w:color="auto" w:sz="4" w:space="0"/>
              <w:right w:val="single" w:color="auto" w:sz="4" w:space="0"/>
            </w:tcBorders>
            <w:vAlign w:val="center"/>
          </w:tcPr>
          <w:p w14:paraId="4B4E728E">
            <w:pPr>
              <w:rPr>
                <w:rFonts w:ascii="宋体" w:hAnsi="宋体" w:cs="宋体"/>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307044BB">
            <w:pPr>
              <w:rPr>
                <w:rFonts w:ascii="宋体" w:hAnsi="宋体" w:cs="宋体"/>
                <w:color w:val="auto"/>
                <w:highlight w:val="none"/>
              </w:rPr>
            </w:pPr>
          </w:p>
        </w:tc>
        <w:tc>
          <w:tcPr>
            <w:tcW w:w="1245" w:type="dxa"/>
            <w:tcBorders>
              <w:top w:val="nil"/>
              <w:left w:val="nil"/>
              <w:bottom w:val="single" w:color="auto" w:sz="4" w:space="0"/>
              <w:right w:val="single" w:color="auto" w:sz="4" w:space="0"/>
            </w:tcBorders>
            <w:vAlign w:val="center"/>
          </w:tcPr>
          <w:p w14:paraId="71D7ADD9">
            <w:pPr>
              <w:jc w:val="center"/>
              <w:rPr>
                <w:rFonts w:ascii="宋体" w:hAnsi="宋体" w:cs="宋体"/>
                <w:color w:val="auto"/>
                <w:highlight w:val="none"/>
              </w:rPr>
            </w:pPr>
          </w:p>
        </w:tc>
        <w:tc>
          <w:tcPr>
            <w:tcW w:w="1230" w:type="dxa"/>
            <w:tcBorders>
              <w:top w:val="nil"/>
              <w:left w:val="nil"/>
              <w:bottom w:val="single" w:color="auto" w:sz="4" w:space="0"/>
              <w:right w:val="single" w:color="auto" w:sz="4" w:space="0"/>
            </w:tcBorders>
            <w:vAlign w:val="center"/>
          </w:tcPr>
          <w:p w14:paraId="6BC1E6F3">
            <w:pPr>
              <w:jc w:val="center"/>
              <w:rPr>
                <w:rFonts w:ascii="宋体" w:hAnsi="宋体" w:cs="宋体"/>
                <w:color w:val="auto"/>
                <w:highlight w:val="none"/>
              </w:rPr>
            </w:pPr>
          </w:p>
        </w:tc>
        <w:tc>
          <w:tcPr>
            <w:tcW w:w="1220" w:type="dxa"/>
            <w:tcBorders>
              <w:top w:val="nil"/>
              <w:left w:val="nil"/>
              <w:bottom w:val="single" w:color="auto" w:sz="4" w:space="0"/>
              <w:right w:val="single" w:color="auto" w:sz="4" w:space="0"/>
            </w:tcBorders>
            <w:vAlign w:val="center"/>
          </w:tcPr>
          <w:p w14:paraId="6E122FAD">
            <w:pPr>
              <w:jc w:val="center"/>
              <w:rPr>
                <w:rFonts w:ascii="宋体" w:hAnsi="宋体" w:cs="宋体"/>
                <w:color w:val="auto"/>
                <w:highlight w:val="none"/>
              </w:rPr>
            </w:pPr>
            <w:r>
              <w:rPr>
                <w:rFonts w:hint="eastAsia" w:ascii="宋体" w:hAnsi="宋体" w:cs="宋体"/>
                <w:color w:val="auto"/>
                <w:highlight w:val="none"/>
                <w:lang w:bidi="ar"/>
              </w:rPr>
              <w:t>见（  ）页</w:t>
            </w:r>
          </w:p>
        </w:tc>
      </w:tr>
      <w:tr w14:paraId="50546DC1">
        <w:tblPrEx>
          <w:tblCellMar>
            <w:top w:w="0" w:type="dxa"/>
            <w:left w:w="108" w:type="dxa"/>
            <w:bottom w:w="0" w:type="dxa"/>
            <w:right w:w="108" w:type="dxa"/>
          </w:tblCellMar>
        </w:tblPrEx>
        <w:trPr>
          <w:trHeight w:val="60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39AA6B6">
            <w:pPr>
              <w:rPr>
                <w:rFonts w:ascii="宋体" w:hAnsi="宋体" w:cs="宋体"/>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53771605">
            <w:pPr>
              <w:rPr>
                <w:rFonts w:ascii="宋体" w:hAnsi="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6FD5063A">
            <w:pPr>
              <w:jc w:val="center"/>
              <w:rPr>
                <w:rFonts w:ascii="宋体" w:hAnsi="宋体" w:cs="宋体"/>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7EB2944C">
            <w:pPr>
              <w:jc w:val="center"/>
              <w:rPr>
                <w:rFonts w:ascii="宋体" w:hAnsi="宋体" w:cs="宋体"/>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5D31ADCE">
            <w:pPr>
              <w:jc w:val="center"/>
              <w:rPr>
                <w:rFonts w:ascii="宋体" w:hAnsi="宋体" w:cs="宋体"/>
                <w:color w:val="auto"/>
                <w:highlight w:val="none"/>
              </w:rPr>
            </w:pPr>
            <w:r>
              <w:rPr>
                <w:rFonts w:hint="eastAsia" w:ascii="宋体" w:hAnsi="宋体" w:cs="宋体"/>
                <w:color w:val="auto"/>
                <w:highlight w:val="none"/>
                <w:lang w:bidi="ar"/>
              </w:rPr>
              <w:t>见（  ）页</w:t>
            </w:r>
          </w:p>
        </w:tc>
      </w:tr>
      <w:tr w14:paraId="18C54A07">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4379180">
            <w:pPr>
              <w:rPr>
                <w:rFonts w:ascii="宋体" w:hAnsi="宋体" w:cs="宋体"/>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7B4F6BD4">
            <w:pPr>
              <w:rPr>
                <w:rFonts w:ascii="宋体" w:hAnsi="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5958C096">
            <w:pPr>
              <w:jc w:val="center"/>
              <w:rPr>
                <w:rFonts w:ascii="宋体" w:hAnsi="宋体" w:cs="宋体"/>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07D995EE">
            <w:pPr>
              <w:jc w:val="center"/>
              <w:rPr>
                <w:rFonts w:ascii="宋体" w:hAnsi="宋体" w:cs="宋体"/>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2870245F">
            <w:pPr>
              <w:jc w:val="center"/>
              <w:rPr>
                <w:rFonts w:ascii="宋体" w:hAnsi="宋体" w:cs="宋体"/>
                <w:color w:val="auto"/>
                <w:highlight w:val="none"/>
              </w:rPr>
            </w:pPr>
            <w:r>
              <w:rPr>
                <w:rFonts w:hint="eastAsia" w:ascii="宋体" w:hAnsi="宋体" w:cs="宋体"/>
                <w:color w:val="auto"/>
                <w:highlight w:val="none"/>
                <w:lang w:bidi="ar"/>
              </w:rPr>
              <w:t>见（  ）页</w:t>
            </w:r>
          </w:p>
        </w:tc>
      </w:tr>
      <w:tr w14:paraId="2D78A5C6">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C5D1E88">
            <w:pPr>
              <w:rPr>
                <w:rFonts w:ascii="宋体" w:hAnsi="宋体" w:cs="宋体"/>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28AF131F">
            <w:pPr>
              <w:rPr>
                <w:rFonts w:ascii="宋体" w:hAnsi="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4E735CE7">
            <w:pPr>
              <w:jc w:val="center"/>
              <w:rPr>
                <w:rFonts w:ascii="宋体" w:hAnsi="宋体" w:cs="宋体"/>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56A7B1CD">
            <w:pPr>
              <w:jc w:val="center"/>
              <w:rPr>
                <w:rFonts w:ascii="宋体" w:hAnsi="宋体" w:cs="宋体"/>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56E9BA65">
            <w:pPr>
              <w:jc w:val="center"/>
              <w:rPr>
                <w:rFonts w:ascii="宋体" w:hAnsi="宋体" w:cs="宋体"/>
                <w:color w:val="auto"/>
                <w:highlight w:val="none"/>
              </w:rPr>
            </w:pPr>
            <w:r>
              <w:rPr>
                <w:rFonts w:hint="eastAsia" w:ascii="宋体" w:hAnsi="宋体" w:cs="宋体"/>
                <w:color w:val="auto"/>
                <w:highlight w:val="none"/>
                <w:lang w:bidi="ar"/>
              </w:rPr>
              <w:t>见（  ）页</w:t>
            </w:r>
          </w:p>
        </w:tc>
      </w:tr>
      <w:tr w14:paraId="1B282BB9">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E1A3C43">
            <w:pPr>
              <w:rPr>
                <w:rFonts w:ascii="宋体" w:hAnsi="宋体" w:cs="宋体"/>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0410C271">
            <w:pPr>
              <w:rPr>
                <w:rFonts w:ascii="宋体" w:hAnsi="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230ADCBC">
            <w:pPr>
              <w:jc w:val="center"/>
              <w:rPr>
                <w:rFonts w:ascii="宋体" w:hAnsi="宋体" w:cs="宋体"/>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7DB3877D">
            <w:pPr>
              <w:jc w:val="center"/>
              <w:rPr>
                <w:rFonts w:ascii="宋体" w:hAnsi="宋体" w:cs="宋体"/>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19295169">
            <w:pPr>
              <w:jc w:val="center"/>
              <w:rPr>
                <w:rFonts w:ascii="宋体" w:hAnsi="宋体" w:cs="宋体"/>
                <w:color w:val="auto"/>
                <w:highlight w:val="none"/>
              </w:rPr>
            </w:pPr>
            <w:r>
              <w:rPr>
                <w:rFonts w:hint="eastAsia" w:ascii="宋体" w:hAnsi="宋体" w:cs="宋体"/>
                <w:color w:val="auto"/>
                <w:highlight w:val="none"/>
                <w:lang w:bidi="ar"/>
              </w:rPr>
              <w:t>见（  ）页</w:t>
            </w:r>
          </w:p>
        </w:tc>
      </w:tr>
      <w:tr w14:paraId="16A5FDB9">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6577734">
            <w:pPr>
              <w:rPr>
                <w:rFonts w:ascii="宋体" w:hAnsi="宋体" w:cs="宋体"/>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1672878D">
            <w:pPr>
              <w:rPr>
                <w:rFonts w:ascii="宋体" w:hAnsi="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3E36E417">
            <w:pPr>
              <w:jc w:val="center"/>
              <w:rPr>
                <w:rFonts w:ascii="宋体" w:hAnsi="宋体" w:cs="宋体"/>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0526D803">
            <w:pPr>
              <w:jc w:val="center"/>
              <w:rPr>
                <w:rFonts w:ascii="宋体" w:hAnsi="宋体" w:cs="宋体"/>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2B7FD7EA">
            <w:pPr>
              <w:jc w:val="center"/>
              <w:rPr>
                <w:rFonts w:ascii="宋体" w:hAnsi="宋体" w:cs="宋体"/>
                <w:color w:val="auto"/>
                <w:highlight w:val="none"/>
              </w:rPr>
            </w:pPr>
            <w:r>
              <w:rPr>
                <w:rFonts w:hint="eastAsia" w:ascii="宋体" w:hAnsi="宋体" w:cs="宋体"/>
                <w:color w:val="auto"/>
                <w:highlight w:val="none"/>
                <w:lang w:bidi="ar"/>
              </w:rPr>
              <w:t>见（  ）页</w:t>
            </w:r>
          </w:p>
        </w:tc>
      </w:tr>
      <w:tr w14:paraId="5D15F72D">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E668D8D">
            <w:pPr>
              <w:rPr>
                <w:rFonts w:ascii="宋体" w:hAnsi="宋体" w:cs="宋体"/>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47FC7739">
            <w:pPr>
              <w:rPr>
                <w:rFonts w:ascii="宋体" w:hAnsi="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0B69F919">
            <w:pPr>
              <w:jc w:val="center"/>
              <w:rPr>
                <w:rFonts w:ascii="宋体" w:hAnsi="宋体" w:cs="宋体"/>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6A7292E7">
            <w:pPr>
              <w:jc w:val="center"/>
              <w:rPr>
                <w:rFonts w:ascii="宋体" w:hAnsi="宋体" w:cs="宋体"/>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4440C298">
            <w:pPr>
              <w:jc w:val="center"/>
              <w:rPr>
                <w:rFonts w:ascii="宋体" w:hAnsi="宋体" w:cs="宋体"/>
                <w:color w:val="auto"/>
                <w:highlight w:val="none"/>
              </w:rPr>
            </w:pPr>
            <w:r>
              <w:rPr>
                <w:rFonts w:hint="eastAsia" w:ascii="宋体" w:hAnsi="宋体" w:cs="宋体"/>
                <w:color w:val="auto"/>
                <w:highlight w:val="none"/>
                <w:lang w:bidi="ar"/>
              </w:rPr>
              <w:t>见（  ）页</w:t>
            </w:r>
          </w:p>
        </w:tc>
      </w:tr>
      <w:tr w14:paraId="3839D129">
        <w:tblPrEx>
          <w:tblCellMar>
            <w:top w:w="0" w:type="dxa"/>
            <w:left w:w="108" w:type="dxa"/>
            <w:bottom w:w="0" w:type="dxa"/>
            <w:right w:w="108" w:type="dxa"/>
          </w:tblCellMar>
        </w:tblPrEx>
        <w:trPr>
          <w:trHeight w:val="60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3A3ADCE">
            <w:pPr>
              <w:rPr>
                <w:rFonts w:ascii="宋体" w:hAnsi="宋体" w:cs="宋体"/>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53395D85">
            <w:pPr>
              <w:rPr>
                <w:rFonts w:ascii="宋体" w:hAnsi="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4D919B6E">
            <w:pPr>
              <w:jc w:val="center"/>
              <w:rPr>
                <w:rFonts w:ascii="宋体" w:hAnsi="宋体" w:cs="宋体"/>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1DFCE8A3">
            <w:pPr>
              <w:jc w:val="center"/>
              <w:rPr>
                <w:rFonts w:ascii="宋体" w:hAnsi="宋体" w:cs="宋体"/>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66821D9C">
            <w:pPr>
              <w:jc w:val="center"/>
              <w:rPr>
                <w:rFonts w:ascii="宋体" w:hAnsi="宋体" w:cs="宋体"/>
                <w:color w:val="auto"/>
                <w:highlight w:val="none"/>
              </w:rPr>
            </w:pPr>
            <w:r>
              <w:rPr>
                <w:rFonts w:hint="eastAsia" w:ascii="宋体" w:hAnsi="宋体" w:cs="宋体"/>
                <w:color w:val="auto"/>
                <w:highlight w:val="none"/>
                <w:lang w:bidi="ar"/>
              </w:rPr>
              <w:t>见（  ）页</w:t>
            </w:r>
          </w:p>
        </w:tc>
      </w:tr>
      <w:tr w14:paraId="17A7417E">
        <w:tblPrEx>
          <w:tblCellMar>
            <w:top w:w="0" w:type="dxa"/>
            <w:left w:w="108" w:type="dxa"/>
            <w:bottom w:w="0" w:type="dxa"/>
            <w:right w:w="108" w:type="dxa"/>
          </w:tblCellMar>
        </w:tblPrEx>
        <w:trPr>
          <w:trHeight w:val="75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D38130C">
            <w:pPr>
              <w:rPr>
                <w:rFonts w:ascii="宋体" w:hAnsi="宋体" w:cs="宋体"/>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62DF37B0">
            <w:pPr>
              <w:rPr>
                <w:rFonts w:ascii="宋体" w:hAnsi="宋体" w:cs="宋体"/>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1E01117A">
            <w:pPr>
              <w:jc w:val="center"/>
              <w:rPr>
                <w:rFonts w:ascii="宋体" w:hAnsi="宋体" w:cs="宋体"/>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1B0DA981">
            <w:pPr>
              <w:jc w:val="center"/>
              <w:rPr>
                <w:rFonts w:ascii="宋体" w:hAnsi="宋体" w:cs="宋体"/>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3B52E83F">
            <w:pPr>
              <w:jc w:val="center"/>
              <w:rPr>
                <w:rFonts w:ascii="宋体" w:hAnsi="宋体" w:cs="宋体"/>
                <w:color w:val="auto"/>
                <w:highlight w:val="none"/>
              </w:rPr>
            </w:pPr>
            <w:r>
              <w:rPr>
                <w:rFonts w:hint="eastAsia" w:ascii="宋体" w:hAnsi="宋体" w:cs="宋体"/>
                <w:color w:val="auto"/>
                <w:highlight w:val="none"/>
                <w:lang w:bidi="ar"/>
              </w:rPr>
              <w:t>见（  ）页</w:t>
            </w:r>
          </w:p>
        </w:tc>
      </w:tr>
    </w:tbl>
    <w:p w14:paraId="3A64CFD6">
      <w:pPr>
        <w:spacing w:line="400" w:lineRule="exact"/>
        <w:rPr>
          <w:rFonts w:ascii="宋体" w:hAnsi="宋体" w:cs="宋体"/>
          <w:b/>
          <w:color w:val="auto"/>
          <w:highlight w:val="none"/>
        </w:rPr>
      </w:pPr>
      <w:r>
        <w:rPr>
          <w:rFonts w:hint="eastAsia" w:ascii="宋体" w:hAnsi="宋体" w:cs="宋体"/>
          <w:b/>
          <w:color w:val="auto"/>
          <w:highlight w:val="none"/>
          <w:lang w:bidi="ar"/>
        </w:rPr>
        <w:t>根据评分标准逐条填写（价格部分除外）</w:t>
      </w:r>
    </w:p>
    <w:p w14:paraId="1B4CC929">
      <w:pPr>
        <w:widowControl/>
        <w:jc w:val="left"/>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14:paraId="228DC751">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二、响应</w:t>
      </w:r>
      <w:r>
        <w:rPr>
          <w:rFonts w:hint="eastAsia" w:cs="仿宋_GB2312" w:asciiTheme="minorEastAsia" w:hAnsiTheme="minorEastAsia" w:eastAsiaTheme="minorEastAsia"/>
          <w:b/>
          <w:color w:val="auto"/>
          <w:sz w:val="32"/>
          <w:szCs w:val="32"/>
          <w:highlight w:val="none"/>
        </w:rPr>
        <w:t>函</w:t>
      </w:r>
    </w:p>
    <w:p w14:paraId="473BD6CA">
      <w:pPr>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zh-CN" w:eastAsia="zh-CN"/>
        </w:rPr>
        <w:t>宁波市公安局鄞州分局</w:t>
      </w:r>
      <w:r>
        <w:rPr>
          <w:rFonts w:hint="eastAsia" w:cs="仿宋_GB2312" w:asciiTheme="minorEastAsia" w:hAnsiTheme="minorEastAsia" w:eastAsiaTheme="minorEastAsia"/>
          <w:color w:val="auto"/>
          <w:sz w:val="24"/>
          <w:highlight w:val="none"/>
        </w:rPr>
        <w:t>、宁波中基国际招标有限公司：</w:t>
      </w:r>
    </w:p>
    <w:p w14:paraId="101E880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asciiTheme="minorEastAsia" w:hAnsiTheme="minorEastAsia" w:eastAsiaTheme="minorEastAsia"/>
          <w:color w:val="auto"/>
          <w:sz w:val="24"/>
          <w:highlight w:val="none"/>
          <w:lang w:val="zh-CN" w:eastAsia="zh-CN"/>
        </w:rPr>
        <w:t>鄞州区公安分局智安小区感知及联网服务采购项目</w:t>
      </w:r>
      <w:r>
        <w:rPr>
          <w:rFonts w:hint="eastAsia" w:cs="仿宋_GB2312" w:asciiTheme="minorEastAsia" w:hAnsiTheme="minorEastAsia" w:eastAsiaTheme="minorEastAsia"/>
          <w:color w:val="auto"/>
          <w:kern w:val="0"/>
          <w:sz w:val="24"/>
          <w:highlight w:val="none"/>
          <w:lang w:val="zh-CN"/>
        </w:rPr>
        <w:t>【</w:t>
      </w:r>
      <w:bookmarkStart w:id="109" w:name="OLE_LINK31"/>
      <w:r>
        <w:rPr>
          <w:rFonts w:hint="eastAsia" w:cs="仿宋_GB2312" w:asciiTheme="minorEastAsia" w:hAnsiTheme="minorEastAsia" w:eastAsiaTheme="minorEastAsia"/>
          <w:color w:val="auto"/>
          <w:kern w:val="0"/>
          <w:sz w:val="24"/>
          <w:highlight w:val="none"/>
          <w:lang w:val="zh-CN"/>
        </w:rPr>
        <w:t>项目编号：</w:t>
      </w:r>
      <w:r>
        <w:rPr>
          <w:rFonts w:hint="eastAsia" w:asciiTheme="minorEastAsia" w:hAnsiTheme="minorEastAsia" w:eastAsiaTheme="minorEastAsia"/>
          <w:color w:val="auto"/>
          <w:sz w:val="24"/>
          <w:highlight w:val="none"/>
          <w:lang w:val="zh-CN" w:eastAsia="zh-CN"/>
        </w:rPr>
        <w:t>CBNB-2024</w:t>
      </w:r>
      <w:r>
        <w:rPr>
          <w:rFonts w:hint="eastAsia" w:asciiTheme="minorEastAsia" w:hAnsiTheme="minorEastAsia" w:eastAsiaTheme="minorEastAsia"/>
          <w:color w:val="auto"/>
          <w:sz w:val="24"/>
          <w:highlight w:val="none"/>
          <w:lang w:val="en-US" w:eastAsia="zh-CN"/>
        </w:rPr>
        <w:t>2452</w:t>
      </w:r>
      <w:r>
        <w:rPr>
          <w:rFonts w:hint="eastAsia" w:asciiTheme="minorEastAsia" w:hAnsiTheme="minorEastAsia" w:eastAsiaTheme="minorEastAsia"/>
          <w:color w:val="auto"/>
          <w:sz w:val="24"/>
          <w:highlight w:val="none"/>
          <w:lang w:val="zh-CN" w:eastAsia="zh-CN"/>
        </w:rPr>
        <w:t>G</w:t>
      </w:r>
      <w:bookmarkEnd w:id="109"/>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sz w:val="24"/>
          <w:highlight w:val="none"/>
        </w:rPr>
        <w:t>的有关活动，并对此项目进行响应。为此：</w:t>
      </w:r>
    </w:p>
    <w:p w14:paraId="26BE7BF9">
      <w:pPr>
        <w:pStyle w:val="110"/>
        <w:numPr>
          <w:ilvl w:val="0"/>
          <w:numId w:val="17"/>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50A25A46">
      <w:pPr>
        <w:numPr>
          <w:ilvl w:val="0"/>
          <w:numId w:val="17"/>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708B2084">
      <w:pPr>
        <w:numPr>
          <w:ilvl w:val="0"/>
          <w:numId w:val="17"/>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537E3758">
      <w:pPr>
        <w:numPr>
          <w:ilvl w:val="0"/>
          <w:numId w:val="17"/>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15EEBEAE">
      <w:pPr>
        <w:numPr>
          <w:ilvl w:val="0"/>
          <w:numId w:val="17"/>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6536546F">
      <w:pPr>
        <w:numPr>
          <w:ilvl w:val="0"/>
          <w:numId w:val="17"/>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6F29317D">
      <w:pPr>
        <w:numPr>
          <w:ilvl w:val="0"/>
          <w:numId w:val="17"/>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299E2751">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419065A0">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63C6C0C8">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14:paraId="7F9E18D6">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14:paraId="56338BEE">
      <w:pPr>
        <w:numPr>
          <w:ilvl w:val="0"/>
          <w:numId w:val="17"/>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2AB06B58">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247424CF">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429BCB9C">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5D89F672">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7A2356C7">
      <w:pPr>
        <w:autoSpaceDE w:val="0"/>
        <w:autoSpaceDN w:val="0"/>
        <w:spacing w:line="360" w:lineRule="auto"/>
        <w:rPr>
          <w:rFonts w:cs="仿宋_GB2312" w:asciiTheme="minorEastAsia" w:hAnsiTheme="minorEastAsia" w:eastAsiaTheme="minorEastAsia"/>
          <w:color w:val="auto"/>
          <w:kern w:val="0"/>
          <w:sz w:val="24"/>
          <w:highlight w:val="none"/>
        </w:rPr>
      </w:pPr>
    </w:p>
    <w:p w14:paraId="1A673025">
      <w:pPr>
        <w:pStyle w:val="120"/>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462134E9">
      <w:pPr>
        <w:spacing w:line="360" w:lineRule="auto"/>
        <w:rPr>
          <w:rFonts w:cs="仿宋_GB2312" w:asciiTheme="minorEastAsia" w:hAnsiTheme="minorEastAsia" w:eastAsiaTheme="minorEastAsia"/>
          <w:color w:val="auto"/>
          <w:sz w:val="24"/>
          <w:highlight w:val="none"/>
        </w:rPr>
      </w:pPr>
    </w:p>
    <w:p w14:paraId="56EF63B5">
      <w:pPr>
        <w:widowControl/>
        <w:jc w:val="left"/>
        <w:rPr>
          <w:rFonts w:cs="仿宋_GB2312" w:asciiTheme="minorEastAsia" w:hAnsiTheme="minorEastAsia" w:eastAsiaTheme="minorEastAsia"/>
          <w:b/>
          <w:color w:val="auto"/>
          <w:kern w:val="0"/>
          <w:sz w:val="32"/>
          <w:szCs w:val="32"/>
          <w:highlight w:val="none"/>
          <w:lang w:val="en-US"/>
        </w:rPr>
      </w:pPr>
      <w:r>
        <w:rPr>
          <w:rFonts w:cs="仿宋_GB2312" w:asciiTheme="minorEastAsia" w:hAnsiTheme="minorEastAsia" w:eastAsiaTheme="minorEastAsia"/>
          <w:b/>
          <w:color w:val="auto"/>
          <w:kern w:val="0"/>
          <w:sz w:val="32"/>
          <w:szCs w:val="32"/>
          <w:highlight w:val="none"/>
          <w:lang w:val="en-US"/>
        </w:rPr>
        <w:br w:type="page"/>
      </w:r>
    </w:p>
    <w:p w14:paraId="2462A223">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rPr>
        <w:t>三</w:t>
      </w:r>
      <w:r>
        <w:rPr>
          <w:rFonts w:hint="eastAsia" w:cs="仿宋_GB2312" w:asciiTheme="minorEastAsia" w:hAnsiTheme="minorEastAsia" w:eastAsiaTheme="minorEastAsia"/>
          <w:b/>
          <w:color w:val="auto"/>
          <w:kern w:val="0"/>
          <w:sz w:val="32"/>
          <w:szCs w:val="32"/>
          <w:highlight w:val="none"/>
          <w:lang w:val="zh-CN"/>
        </w:rPr>
        <w:t>、法人授权书</w:t>
      </w:r>
    </w:p>
    <w:p w14:paraId="65B97B89">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val="zh-CN" w:eastAsia="zh-CN"/>
        </w:rPr>
        <w:t>宁波市公安局鄞州分局</w:t>
      </w:r>
      <w:r>
        <w:rPr>
          <w:rFonts w:hint="eastAsia" w:cs="仿宋_GB2312" w:asciiTheme="minorEastAsia" w:hAnsiTheme="minorEastAsia" w:eastAsiaTheme="minorEastAsia"/>
          <w:color w:val="auto"/>
          <w:sz w:val="24"/>
          <w:highlight w:val="none"/>
        </w:rPr>
        <w:t>、宁波中基国际招标有限公司</w:t>
      </w:r>
      <w:r>
        <w:rPr>
          <w:rFonts w:hint="eastAsia" w:cs="仿宋_GB2312" w:asciiTheme="minorEastAsia" w:hAnsiTheme="minorEastAsia" w:eastAsiaTheme="minorEastAsia"/>
          <w:color w:val="auto"/>
          <w:kern w:val="0"/>
          <w:sz w:val="24"/>
          <w:highlight w:val="none"/>
          <w:lang w:val="zh-CN"/>
        </w:rPr>
        <w:t>：</w:t>
      </w:r>
    </w:p>
    <w:p w14:paraId="485D5890">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asciiTheme="minorEastAsia" w:hAnsiTheme="minorEastAsia" w:eastAsiaTheme="minorEastAsia"/>
          <w:color w:val="auto"/>
          <w:sz w:val="24"/>
          <w:highlight w:val="none"/>
          <w:lang w:val="zh-CN" w:eastAsia="zh-CN"/>
        </w:rPr>
        <w:t>鄞州区公安分局智安小区感知及联网服务采购项目</w:t>
      </w:r>
      <w:r>
        <w:rPr>
          <w:rFonts w:hint="eastAsia" w:cs="仿宋_GB2312" w:asciiTheme="minorEastAsia" w:hAnsiTheme="minorEastAsia" w:eastAsiaTheme="minorEastAsia"/>
          <w:color w:val="auto"/>
          <w:kern w:val="0"/>
          <w:sz w:val="24"/>
          <w:highlight w:val="none"/>
          <w:lang w:val="zh-CN"/>
        </w:rPr>
        <w:t>【项目编号：</w:t>
      </w:r>
      <w:r>
        <w:rPr>
          <w:rFonts w:hint="eastAsia" w:asciiTheme="minorEastAsia" w:hAnsiTheme="minorEastAsia" w:eastAsiaTheme="minorEastAsia"/>
          <w:color w:val="auto"/>
          <w:sz w:val="24"/>
          <w:highlight w:val="none"/>
          <w:lang w:val="zh-CN" w:eastAsia="zh-CN"/>
        </w:rPr>
        <w:t>CBNB-2024</w:t>
      </w:r>
      <w:r>
        <w:rPr>
          <w:rFonts w:hint="eastAsia" w:asciiTheme="minorEastAsia" w:hAnsiTheme="minorEastAsia" w:eastAsiaTheme="minorEastAsia"/>
          <w:color w:val="auto"/>
          <w:sz w:val="24"/>
          <w:highlight w:val="none"/>
          <w:lang w:val="en-US" w:eastAsia="zh-CN"/>
        </w:rPr>
        <w:t>2452</w:t>
      </w:r>
      <w:r>
        <w:rPr>
          <w:rFonts w:hint="eastAsia" w:asciiTheme="minorEastAsia" w:hAnsiTheme="minorEastAsia" w:eastAsiaTheme="minorEastAsia"/>
          <w:color w:val="auto"/>
          <w:sz w:val="24"/>
          <w:highlight w:val="none"/>
          <w:lang w:val="zh-CN" w:eastAsia="zh-CN"/>
        </w:rPr>
        <w:t>G</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160DDCB2">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05D5FC3C">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6B0648DB">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260B1519">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00AC771F">
      <w:pPr>
        <w:snapToGrid w:val="0"/>
        <w:spacing w:line="360" w:lineRule="auto"/>
        <w:rPr>
          <w:rFonts w:cs="仿宋_GB2312" w:asciiTheme="minorEastAsia" w:hAnsiTheme="minorEastAsia" w:eastAsiaTheme="minorEastAsia"/>
          <w:color w:val="auto"/>
          <w:kern w:val="0"/>
          <w:sz w:val="24"/>
          <w:highlight w:val="none"/>
          <w:lang w:val="zh-CN"/>
        </w:rPr>
      </w:pPr>
    </w:p>
    <w:p w14:paraId="6E3E2392">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34DAFB21">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5971E6D2">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1E9CB9BF">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val="zh-CN" w:eastAsia="zh-CN"/>
        </w:rPr>
        <w:t>宁波市公安局鄞州分局</w:t>
      </w:r>
      <w:r>
        <w:rPr>
          <w:rFonts w:hint="eastAsia" w:cs="仿宋_GB2312" w:asciiTheme="minorEastAsia" w:hAnsiTheme="minorEastAsia" w:eastAsiaTheme="minorEastAsia"/>
          <w:color w:val="auto"/>
          <w:sz w:val="24"/>
          <w:highlight w:val="none"/>
        </w:rPr>
        <w:t>、宁波中基国际招标有限公司</w:t>
      </w:r>
      <w:r>
        <w:rPr>
          <w:rFonts w:hint="eastAsia" w:cs="仿宋_GB2312" w:asciiTheme="minorEastAsia" w:hAnsiTheme="minorEastAsia" w:eastAsiaTheme="minorEastAsia"/>
          <w:color w:val="auto"/>
          <w:kern w:val="0"/>
          <w:sz w:val="24"/>
          <w:highlight w:val="none"/>
          <w:lang w:val="zh-CN"/>
        </w:rPr>
        <w:t>：</w:t>
      </w:r>
    </w:p>
    <w:p w14:paraId="7F80EFBB">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asciiTheme="minorEastAsia" w:hAnsiTheme="minorEastAsia" w:eastAsiaTheme="minorEastAsia"/>
          <w:color w:val="auto"/>
          <w:sz w:val="24"/>
          <w:highlight w:val="none"/>
          <w:lang w:val="zh-CN" w:eastAsia="zh-CN"/>
        </w:rPr>
        <w:t>鄞州区公安分局智安小区感知及联网服务采购项目</w:t>
      </w:r>
      <w:r>
        <w:rPr>
          <w:rFonts w:hint="eastAsia" w:cs="仿宋_GB2312" w:asciiTheme="minorEastAsia" w:hAnsiTheme="minorEastAsia" w:eastAsiaTheme="minorEastAsia"/>
          <w:color w:val="auto"/>
          <w:kern w:val="0"/>
          <w:sz w:val="24"/>
          <w:highlight w:val="none"/>
          <w:lang w:val="zh-CN"/>
        </w:rPr>
        <w:t>【项目编号：</w:t>
      </w:r>
      <w:r>
        <w:rPr>
          <w:rFonts w:hint="eastAsia" w:asciiTheme="minorEastAsia" w:hAnsiTheme="minorEastAsia" w:eastAsiaTheme="minorEastAsia"/>
          <w:color w:val="auto"/>
          <w:sz w:val="24"/>
          <w:highlight w:val="none"/>
          <w:lang w:val="zh-CN" w:eastAsia="zh-CN"/>
        </w:rPr>
        <w:t>CBNB-2024</w:t>
      </w:r>
      <w:r>
        <w:rPr>
          <w:rFonts w:hint="eastAsia" w:asciiTheme="minorEastAsia" w:hAnsiTheme="minorEastAsia" w:eastAsiaTheme="minorEastAsia"/>
          <w:color w:val="auto"/>
          <w:sz w:val="24"/>
          <w:highlight w:val="none"/>
          <w:lang w:val="en-US" w:eastAsia="zh-CN"/>
        </w:rPr>
        <w:t>2452</w:t>
      </w:r>
      <w:r>
        <w:rPr>
          <w:rFonts w:hint="eastAsia" w:asciiTheme="minorEastAsia" w:hAnsiTheme="minorEastAsia" w:eastAsiaTheme="minorEastAsia"/>
          <w:color w:val="auto"/>
          <w:sz w:val="24"/>
          <w:highlight w:val="none"/>
          <w:lang w:val="zh-CN" w:eastAsia="zh-CN"/>
        </w:rPr>
        <w:t>G</w:t>
      </w:r>
      <w:r>
        <w:rPr>
          <w:rFonts w:hint="eastAsia" w:cs="仿宋_GB2312" w:asciiTheme="minorEastAsia" w:hAnsiTheme="minorEastAsia" w:eastAsiaTheme="minorEastAsia"/>
          <w:color w:val="auto"/>
          <w:kern w:val="0"/>
          <w:sz w:val="24"/>
          <w:highlight w:val="none"/>
          <w:lang w:val="zh-CN"/>
        </w:rPr>
        <w:t>】政府采购响应的一切事项，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7CDA97D8">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46CFB413">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6483D0A7">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1C0E819D">
      <w:pPr>
        <w:snapToGrid w:val="0"/>
        <w:spacing w:line="360" w:lineRule="auto"/>
        <w:ind w:firstLine="4800" w:firstLineChars="20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A18974D">
      <w:pPr>
        <w:snapToGrid w:val="0"/>
        <w:spacing w:line="360" w:lineRule="auto"/>
        <w:ind w:firstLine="4800" w:firstLineChars="20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DE67A21">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444263CC">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0561EDE8">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09D4F1A7">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2DB556DA">
      <w:pPr>
        <w:pStyle w:val="624"/>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F8E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025B0710">
            <w:pPr>
              <w:pStyle w:val="624"/>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3C5286C9">
            <w:pPr>
              <w:pStyle w:val="624"/>
              <w:spacing w:line="360" w:lineRule="auto"/>
              <w:rPr>
                <w:rFonts w:asciiTheme="minorEastAsia" w:hAnsiTheme="minorEastAsia" w:eastAsiaTheme="minorEastAsia"/>
                <w:bCs/>
                <w:color w:val="auto"/>
                <w:sz w:val="24"/>
                <w:highlight w:val="none"/>
              </w:rPr>
            </w:pPr>
          </w:p>
        </w:tc>
      </w:tr>
    </w:tbl>
    <w:p w14:paraId="4E53208C">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6B6BD9C2">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3B1C8504">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11C0780E">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5E26E782">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0002983B">
      <w:pPr>
        <w:pStyle w:val="120"/>
        <w:keepNext w:val="0"/>
        <w:pageBreakBefore w:val="0"/>
        <w:tabs>
          <w:tab w:val="clear" w:pos="720"/>
        </w:tabs>
        <w:snapToGrid w:val="0"/>
        <w:spacing w:before="120" w:after="120"/>
        <w:outlineLvl w:val="9"/>
        <w:rPr>
          <w:rFonts w:ascii="宋体" w:hAnsi="宋体" w:eastAsia="宋体" w:cs="宋体"/>
          <w:color w:val="auto"/>
          <w:kern w:val="2"/>
          <w:sz w:val="28"/>
          <w:szCs w:val="28"/>
          <w:highlight w:val="none"/>
          <w:lang w:val="zh-CN"/>
        </w:rPr>
      </w:pPr>
      <w:r>
        <w:rPr>
          <w:rFonts w:hint="eastAsia" w:ascii="宋体" w:hAnsi="宋体" w:eastAsia="宋体" w:cs="宋体"/>
          <w:color w:val="auto"/>
          <w:kern w:val="2"/>
          <w:sz w:val="28"/>
          <w:szCs w:val="28"/>
          <w:highlight w:val="none"/>
        </w:rPr>
        <w:t>四、供应商基本情况表</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974"/>
        <w:gridCol w:w="309"/>
        <w:gridCol w:w="1352"/>
        <w:gridCol w:w="1012"/>
        <w:gridCol w:w="349"/>
        <w:gridCol w:w="1074"/>
        <w:gridCol w:w="179"/>
        <w:gridCol w:w="352"/>
        <w:gridCol w:w="285"/>
        <w:gridCol w:w="1416"/>
      </w:tblGrid>
      <w:tr w14:paraId="7AB3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Borders>
              <w:top w:val="single" w:color="auto" w:sz="4" w:space="0"/>
              <w:left w:val="single" w:color="auto" w:sz="4" w:space="0"/>
              <w:bottom w:val="single" w:color="auto" w:sz="4" w:space="0"/>
              <w:right w:val="single" w:color="auto" w:sz="4" w:space="0"/>
            </w:tcBorders>
            <w:vAlign w:val="center"/>
          </w:tcPr>
          <w:p w14:paraId="357CC910">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供应商名称</w:t>
            </w:r>
          </w:p>
        </w:tc>
        <w:tc>
          <w:tcPr>
            <w:tcW w:w="7302" w:type="dxa"/>
            <w:gridSpan w:val="10"/>
            <w:tcBorders>
              <w:top w:val="single" w:color="auto" w:sz="4" w:space="0"/>
              <w:left w:val="single" w:color="auto" w:sz="4" w:space="0"/>
              <w:bottom w:val="single" w:color="auto" w:sz="4" w:space="0"/>
              <w:right w:val="single" w:color="auto" w:sz="4" w:space="0"/>
            </w:tcBorders>
            <w:vAlign w:val="center"/>
          </w:tcPr>
          <w:p w14:paraId="7139EECF">
            <w:pPr>
              <w:spacing w:line="360" w:lineRule="auto"/>
              <w:jc w:val="center"/>
              <w:rPr>
                <w:rFonts w:ascii="宋体" w:hAnsi="宋体" w:cs="宋体"/>
                <w:color w:val="auto"/>
                <w:sz w:val="24"/>
                <w:highlight w:val="none"/>
              </w:rPr>
            </w:pPr>
          </w:p>
        </w:tc>
      </w:tr>
      <w:tr w14:paraId="4C93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Borders>
              <w:top w:val="single" w:color="auto" w:sz="4" w:space="0"/>
              <w:left w:val="single" w:color="auto" w:sz="4" w:space="0"/>
              <w:bottom w:val="single" w:color="auto" w:sz="4" w:space="0"/>
              <w:right w:val="single" w:color="auto" w:sz="4" w:space="0"/>
            </w:tcBorders>
            <w:vAlign w:val="center"/>
          </w:tcPr>
          <w:p w14:paraId="55B79FE4">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注册地址</w:t>
            </w:r>
          </w:p>
        </w:tc>
        <w:tc>
          <w:tcPr>
            <w:tcW w:w="3647" w:type="dxa"/>
            <w:gridSpan w:val="4"/>
            <w:tcBorders>
              <w:top w:val="single" w:color="auto" w:sz="4" w:space="0"/>
              <w:left w:val="single" w:color="auto" w:sz="4" w:space="0"/>
              <w:bottom w:val="single" w:color="auto" w:sz="4" w:space="0"/>
              <w:right w:val="single" w:color="auto" w:sz="4" w:space="0"/>
            </w:tcBorders>
            <w:vAlign w:val="center"/>
          </w:tcPr>
          <w:p w14:paraId="743C4A47">
            <w:pPr>
              <w:spacing w:line="360" w:lineRule="auto"/>
              <w:jc w:val="center"/>
              <w:rPr>
                <w:rFonts w:ascii="宋体" w:hAnsi="宋体" w:cs="宋体"/>
                <w:color w:val="auto"/>
                <w:sz w:val="24"/>
                <w:highlight w:val="none"/>
              </w:rPr>
            </w:pPr>
          </w:p>
        </w:tc>
        <w:tc>
          <w:tcPr>
            <w:tcW w:w="1602" w:type="dxa"/>
            <w:gridSpan w:val="3"/>
            <w:tcBorders>
              <w:top w:val="single" w:color="auto" w:sz="4" w:space="0"/>
              <w:left w:val="single" w:color="auto" w:sz="4" w:space="0"/>
              <w:bottom w:val="single" w:color="auto" w:sz="4" w:space="0"/>
              <w:right w:val="single" w:color="auto" w:sz="4" w:space="0"/>
            </w:tcBorders>
            <w:vAlign w:val="center"/>
          </w:tcPr>
          <w:p w14:paraId="54FCF827">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邮政编码</w:t>
            </w:r>
          </w:p>
        </w:tc>
        <w:tc>
          <w:tcPr>
            <w:tcW w:w="2053" w:type="dxa"/>
            <w:gridSpan w:val="3"/>
            <w:tcBorders>
              <w:top w:val="single" w:color="auto" w:sz="4" w:space="0"/>
              <w:left w:val="single" w:color="auto" w:sz="4" w:space="0"/>
              <w:bottom w:val="single" w:color="auto" w:sz="4" w:space="0"/>
              <w:right w:val="single" w:color="auto" w:sz="4" w:space="0"/>
            </w:tcBorders>
            <w:vAlign w:val="center"/>
          </w:tcPr>
          <w:p w14:paraId="44B661DA">
            <w:pPr>
              <w:spacing w:line="360" w:lineRule="auto"/>
              <w:jc w:val="center"/>
              <w:rPr>
                <w:rFonts w:ascii="宋体" w:hAnsi="宋体" w:cs="宋体"/>
                <w:color w:val="auto"/>
                <w:sz w:val="24"/>
                <w:highlight w:val="none"/>
              </w:rPr>
            </w:pPr>
          </w:p>
        </w:tc>
      </w:tr>
      <w:tr w14:paraId="4546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vMerge w:val="restart"/>
            <w:tcBorders>
              <w:top w:val="single" w:color="auto" w:sz="4" w:space="0"/>
              <w:left w:val="single" w:color="auto" w:sz="4" w:space="0"/>
              <w:bottom w:val="single" w:color="auto" w:sz="4" w:space="0"/>
              <w:right w:val="single" w:color="auto" w:sz="4" w:space="0"/>
            </w:tcBorders>
            <w:vAlign w:val="center"/>
          </w:tcPr>
          <w:p w14:paraId="13F54E2D">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联系方式</w:t>
            </w:r>
          </w:p>
        </w:tc>
        <w:tc>
          <w:tcPr>
            <w:tcW w:w="1283" w:type="dxa"/>
            <w:gridSpan w:val="2"/>
            <w:tcBorders>
              <w:top w:val="single" w:color="auto" w:sz="4" w:space="0"/>
              <w:left w:val="single" w:color="auto" w:sz="4" w:space="0"/>
              <w:bottom w:val="single" w:color="auto" w:sz="4" w:space="0"/>
              <w:right w:val="single" w:color="auto" w:sz="4" w:space="0"/>
            </w:tcBorders>
            <w:vAlign w:val="center"/>
          </w:tcPr>
          <w:p w14:paraId="60EEF92C">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联系人</w:t>
            </w:r>
          </w:p>
        </w:tc>
        <w:tc>
          <w:tcPr>
            <w:tcW w:w="2364" w:type="dxa"/>
            <w:gridSpan w:val="2"/>
            <w:tcBorders>
              <w:top w:val="single" w:color="auto" w:sz="4" w:space="0"/>
              <w:left w:val="single" w:color="auto" w:sz="4" w:space="0"/>
              <w:bottom w:val="single" w:color="auto" w:sz="4" w:space="0"/>
              <w:right w:val="single" w:color="auto" w:sz="4" w:space="0"/>
            </w:tcBorders>
            <w:vAlign w:val="center"/>
          </w:tcPr>
          <w:p w14:paraId="7435796A">
            <w:pPr>
              <w:spacing w:line="360" w:lineRule="auto"/>
              <w:jc w:val="center"/>
              <w:rPr>
                <w:rFonts w:ascii="宋体" w:hAnsi="宋体" w:cs="宋体"/>
                <w:color w:val="auto"/>
                <w:sz w:val="24"/>
                <w:highlight w:val="none"/>
              </w:rPr>
            </w:pPr>
          </w:p>
        </w:tc>
        <w:tc>
          <w:tcPr>
            <w:tcW w:w="1602" w:type="dxa"/>
            <w:gridSpan w:val="3"/>
            <w:tcBorders>
              <w:top w:val="single" w:color="auto" w:sz="4" w:space="0"/>
              <w:left w:val="single" w:color="auto" w:sz="4" w:space="0"/>
              <w:bottom w:val="single" w:color="auto" w:sz="4" w:space="0"/>
              <w:right w:val="single" w:color="auto" w:sz="4" w:space="0"/>
            </w:tcBorders>
            <w:vAlign w:val="center"/>
          </w:tcPr>
          <w:p w14:paraId="746B33B9">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电话</w:t>
            </w:r>
          </w:p>
        </w:tc>
        <w:tc>
          <w:tcPr>
            <w:tcW w:w="2053" w:type="dxa"/>
            <w:gridSpan w:val="3"/>
            <w:tcBorders>
              <w:top w:val="single" w:color="auto" w:sz="4" w:space="0"/>
              <w:left w:val="single" w:color="auto" w:sz="4" w:space="0"/>
              <w:bottom w:val="single" w:color="auto" w:sz="4" w:space="0"/>
              <w:right w:val="single" w:color="auto" w:sz="4" w:space="0"/>
            </w:tcBorders>
            <w:vAlign w:val="center"/>
          </w:tcPr>
          <w:p w14:paraId="0B928092">
            <w:pPr>
              <w:spacing w:line="360" w:lineRule="auto"/>
              <w:jc w:val="center"/>
              <w:rPr>
                <w:rFonts w:ascii="宋体" w:hAnsi="宋体" w:cs="宋体"/>
                <w:color w:val="auto"/>
                <w:sz w:val="24"/>
                <w:highlight w:val="none"/>
              </w:rPr>
            </w:pPr>
          </w:p>
        </w:tc>
      </w:tr>
      <w:tr w14:paraId="787FE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vMerge w:val="continue"/>
            <w:tcBorders>
              <w:top w:val="single" w:color="auto" w:sz="4" w:space="0"/>
              <w:left w:val="single" w:color="auto" w:sz="4" w:space="0"/>
              <w:bottom w:val="single" w:color="auto" w:sz="4" w:space="0"/>
              <w:right w:val="single" w:color="auto" w:sz="4" w:space="0"/>
            </w:tcBorders>
            <w:vAlign w:val="center"/>
          </w:tcPr>
          <w:p w14:paraId="424DBCDB">
            <w:pPr>
              <w:rPr>
                <w:rFonts w:ascii="宋体" w:hAnsi="宋体" w:cs="宋体"/>
                <w:color w:val="auto"/>
                <w:sz w:val="24"/>
                <w:highlight w:val="none"/>
              </w:rPr>
            </w:pPr>
          </w:p>
        </w:tc>
        <w:tc>
          <w:tcPr>
            <w:tcW w:w="1283" w:type="dxa"/>
            <w:gridSpan w:val="2"/>
            <w:tcBorders>
              <w:top w:val="single" w:color="auto" w:sz="4" w:space="0"/>
              <w:left w:val="single" w:color="auto" w:sz="4" w:space="0"/>
              <w:bottom w:val="single" w:color="auto" w:sz="4" w:space="0"/>
              <w:right w:val="single" w:color="auto" w:sz="4" w:space="0"/>
            </w:tcBorders>
            <w:vAlign w:val="center"/>
          </w:tcPr>
          <w:p w14:paraId="28958039">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传真</w:t>
            </w:r>
          </w:p>
        </w:tc>
        <w:tc>
          <w:tcPr>
            <w:tcW w:w="2364" w:type="dxa"/>
            <w:gridSpan w:val="2"/>
            <w:tcBorders>
              <w:top w:val="single" w:color="auto" w:sz="4" w:space="0"/>
              <w:left w:val="single" w:color="auto" w:sz="4" w:space="0"/>
              <w:bottom w:val="single" w:color="auto" w:sz="4" w:space="0"/>
              <w:right w:val="single" w:color="auto" w:sz="4" w:space="0"/>
            </w:tcBorders>
            <w:vAlign w:val="center"/>
          </w:tcPr>
          <w:p w14:paraId="38775388">
            <w:pPr>
              <w:spacing w:line="360" w:lineRule="auto"/>
              <w:jc w:val="center"/>
              <w:rPr>
                <w:rFonts w:ascii="宋体" w:hAnsi="宋体" w:cs="宋体"/>
                <w:color w:val="auto"/>
                <w:sz w:val="24"/>
                <w:highlight w:val="none"/>
              </w:rPr>
            </w:pPr>
          </w:p>
        </w:tc>
        <w:tc>
          <w:tcPr>
            <w:tcW w:w="1602" w:type="dxa"/>
            <w:gridSpan w:val="3"/>
            <w:tcBorders>
              <w:top w:val="single" w:color="auto" w:sz="4" w:space="0"/>
              <w:left w:val="single" w:color="auto" w:sz="4" w:space="0"/>
              <w:bottom w:val="single" w:color="auto" w:sz="4" w:space="0"/>
              <w:right w:val="single" w:color="auto" w:sz="4" w:space="0"/>
            </w:tcBorders>
            <w:vAlign w:val="center"/>
          </w:tcPr>
          <w:p w14:paraId="4B703983">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网址</w:t>
            </w:r>
          </w:p>
        </w:tc>
        <w:tc>
          <w:tcPr>
            <w:tcW w:w="2053" w:type="dxa"/>
            <w:gridSpan w:val="3"/>
            <w:tcBorders>
              <w:top w:val="single" w:color="auto" w:sz="4" w:space="0"/>
              <w:left w:val="single" w:color="auto" w:sz="4" w:space="0"/>
              <w:bottom w:val="single" w:color="auto" w:sz="4" w:space="0"/>
              <w:right w:val="single" w:color="auto" w:sz="4" w:space="0"/>
            </w:tcBorders>
            <w:vAlign w:val="center"/>
          </w:tcPr>
          <w:p w14:paraId="13D38765">
            <w:pPr>
              <w:spacing w:line="360" w:lineRule="auto"/>
              <w:jc w:val="center"/>
              <w:rPr>
                <w:rFonts w:ascii="宋体" w:hAnsi="宋体" w:cs="宋体"/>
                <w:color w:val="auto"/>
                <w:sz w:val="24"/>
                <w:highlight w:val="none"/>
              </w:rPr>
            </w:pPr>
          </w:p>
        </w:tc>
      </w:tr>
      <w:tr w14:paraId="752C1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Borders>
              <w:top w:val="single" w:color="auto" w:sz="4" w:space="0"/>
              <w:left w:val="single" w:color="auto" w:sz="4" w:space="0"/>
              <w:bottom w:val="single" w:color="auto" w:sz="4" w:space="0"/>
              <w:right w:val="single" w:color="auto" w:sz="4" w:space="0"/>
            </w:tcBorders>
            <w:vAlign w:val="center"/>
          </w:tcPr>
          <w:p w14:paraId="0CF1F879">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组织结构</w:t>
            </w:r>
          </w:p>
        </w:tc>
        <w:tc>
          <w:tcPr>
            <w:tcW w:w="7302" w:type="dxa"/>
            <w:gridSpan w:val="10"/>
            <w:tcBorders>
              <w:top w:val="single" w:color="auto" w:sz="4" w:space="0"/>
              <w:left w:val="single" w:color="auto" w:sz="4" w:space="0"/>
              <w:bottom w:val="single" w:color="auto" w:sz="4" w:space="0"/>
              <w:right w:val="single" w:color="auto" w:sz="4" w:space="0"/>
            </w:tcBorders>
            <w:vAlign w:val="center"/>
          </w:tcPr>
          <w:p w14:paraId="03716B58">
            <w:pPr>
              <w:spacing w:line="360" w:lineRule="auto"/>
              <w:jc w:val="center"/>
              <w:rPr>
                <w:rFonts w:ascii="宋体" w:hAnsi="宋体" w:cs="宋体"/>
                <w:color w:val="auto"/>
                <w:sz w:val="24"/>
                <w:highlight w:val="none"/>
              </w:rPr>
            </w:pPr>
          </w:p>
        </w:tc>
      </w:tr>
      <w:tr w14:paraId="53C1D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Borders>
              <w:top w:val="single" w:color="auto" w:sz="4" w:space="0"/>
              <w:left w:val="single" w:color="auto" w:sz="4" w:space="0"/>
              <w:bottom w:val="single" w:color="auto" w:sz="4" w:space="0"/>
              <w:right w:val="single" w:color="auto" w:sz="4" w:space="0"/>
            </w:tcBorders>
            <w:vAlign w:val="center"/>
          </w:tcPr>
          <w:p w14:paraId="50AEE8F7">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法定代表人</w:t>
            </w:r>
          </w:p>
        </w:tc>
        <w:tc>
          <w:tcPr>
            <w:tcW w:w="974" w:type="dxa"/>
            <w:tcBorders>
              <w:top w:val="single" w:color="auto" w:sz="4" w:space="0"/>
              <w:left w:val="single" w:color="auto" w:sz="4" w:space="0"/>
              <w:bottom w:val="single" w:color="auto" w:sz="4" w:space="0"/>
              <w:right w:val="single" w:color="auto" w:sz="4" w:space="0"/>
            </w:tcBorders>
            <w:vAlign w:val="center"/>
          </w:tcPr>
          <w:p w14:paraId="23E82562">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姓名</w:t>
            </w:r>
          </w:p>
        </w:tc>
        <w:tc>
          <w:tcPr>
            <w:tcW w:w="1661" w:type="dxa"/>
            <w:gridSpan w:val="2"/>
            <w:tcBorders>
              <w:top w:val="single" w:color="auto" w:sz="4" w:space="0"/>
              <w:left w:val="single" w:color="auto" w:sz="4" w:space="0"/>
              <w:bottom w:val="single" w:color="auto" w:sz="4" w:space="0"/>
              <w:right w:val="single" w:color="auto" w:sz="4" w:space="0"/>
            </w:tcBorders>
            <w:vAlign w:val="center"/>
          </w:tcPr>
          <w:p w14:paraId="64E86C1F">
            <w:pPr>
              <w:spacing w:line="360" w:lineRule="auto"/>
              <w:jc w:val="center"/>
              <w:rPr>
                <w:rFonts w:ascii="宋体" w:hAnsi="宋体" w:cs="宋体"/>
                <w:color w:val="auto"/>
                <w:sz w:val="24"/>
                <w:highlight w:val="none"/>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280078AE">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技术职称</w:t>
            </w:r>
          </w:p>
        </w:tc>
        <w:tc>
          <w:tcPr>
            <w:tcW w:w="1074" w:type="dxa"/>
            <w:tcBorders>
              <w:top w:val="single" w:color="auto" w:sz="4" w:space="0"/>
              <w:left w:val="single" w:color="auto" w:sz="4" w:space="0"/>
              <w:bottom w:val="single" w:color="auto" w:sz="4" w:space="0"/>
              <w:right w:val="single" w:color="auto" w:sz="4" w:space="0"/>
            </w:tcBorders>
            <w:vAlign w:val="center"/>
          </w:tcPr>
          <w:p w14:paraId="117A336D">
            <w:pPr>
              <w:spacing w:line="360" w:lineRule="auto"/>
              <w:jc w:val="center"/>
              <w:rPr>
                <w:rFonts w:ascii="宋体" w:hAnsi="宋体" w:cs="宋体"/>
                <w:color w:val="auto"/>
                <w:sz w:val="24"/>
                <w:highlight w:val="none"/>
              </w:rPr>
            </w:pPr>
          </w:p>
        </w:tc>
        <w:tc>
          <w:tcPr>
            <w:tcW w:w="816" w:type="dxa"/>
            <w:gridSpan w:val="3"/>
            <w:tcBorders>
              <w:top w:val="single" w:color="auto" w:sz="4" w:space="0"/>
              <w:left w:val="single" w:color="auto" w:sz="4" w:space="0"/>
              <w:bottom w:val="single" w:color="auto" w:sz="4" w:space="0"/>
              <w:right w:val="single" w:color="auto" w:sz="4" w:space="0"/>
            </w:tcBorders>
            <w:vAlign w:val="center"/>
          </w:tcPr>
          <w:p w14:paraId="0305EAB4">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电话</w:t>
            </w:r>
          </w:p>
        </w:tc>
        <w:tc>
          <w:tcPr>
            <w:tcW w:w="1416" w:type="dxa"/>
            <w:tcBorders>
              <w:top w:val="single" w:color="auto" w:sz="4" w:space="0"/>
              <w:left w:val="single" w:color="auto" w:sz="4" w:space="0"/>
              <w:bottom w:val="single" w:color="auto" w:sz="4" w:space="0"/>
              <w:right w:val="single" w:color="auto" w:sz="4" w:space="0"/>
            </w:tcBorders>
            <w:vAlign w:val="center"/>
          </w:tcPr>
          <w:p w14:paraId="7D91DD09">
            <w:pPr>
              <w:spacing w:line="360" w:lineRule="auto"/>
              <w:jc w:val="center"/>
              <w:rPr>
                <w:rFonts w:ascii="宋体" w:hAnsi="宋体" w:cs="宋体"/>
                <w:color w:val="auto"/>
                <w:sz w:val="24"/>
                <w:highlight w:val="none"/>
              </w:rPr>
            </w:pPr>
          </w:p>
        </w:tc>
      </w:tr>
      <w:tr w14:paraId="1232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Borders>
              <w:top w:val="single" w:color="auto" w:sz="4" w:space="0"/>
              <w:left w:val="single" w:color="auto" w:sz="4" w:space="0"/>
              <w:bottom w:val="single" w:color="auto" w:sz="4" w:space="0"/>
              <w:right w:val="single" w:color="auto" w:sz="4" w:space="0"/>
            </w:tcBorders>
            <w:vAlign w:val="center"/>
          </w:tcPr>
          <w:p w14:paraId="55165DCC">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技术负责人</w:t>
            </w:r>
          </w:p>
        </w:tc>
        <w:tc>
          <w:tcPr>
            <w:tcW w:w="974" w:type="dxa"/>
            <w:tcBorders>
              <w:top w:val="single" w:color="auto" w:sz="4" w:space="0"/>
              <w:left w:val="single" w:color="auto" w:sz="4" w:space="0"/>
              <w:bottom w:val="single" w:color="auto" w:sz="4" w:space="0"/>
              <w:right w:val="single" w:color="auto" w:sz="4" w:space="0"/>
            </w:tcBorders>
            <w:vAlign w:val="center"/>
          </w:tcPr>
          <w:p w14:paraId="3DE0C0E0">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姓名</w:t>
            </w:r>
          </w:p>
        </w:tc>
        <w:tc>
          <w:tcPr>
            <w:tcW w:w="1661" w:type="dxa"/>
            <w:gridSpan w:val="2"/>
            <w:tcBorders>
              <w:top w:val="single" w:color="auto" w:sz="4" w:space="0"/>
              <w:left w:val="single" w:color="auto" w:sz="4" w:space="0"/>
              <w:bottom w:val="single" w:color="auto" w:sz="4" w:space="0"/>
              <w:right w:val="single" w:color="auto" w:sz="4" w:space="0"/>
            </w:tcBorders>
            <w:vAlign w:val="center"/>
          </w:tcPr>
          <w:p w14:paraId="6375CE94">
            <w:pPr>
              <w:spacing w:line="360" w:lineRule="auto"/>
              <w:jc w:val="center"/>
              <w:rPr>
                <w:rFonts w:ascii="宋体" w:hAnsi="宋体" w:cs="宋体"/>
                <w:color w:val="auto"/>
                <w:sz w:val="24"/>
                <w:highlight w:val="none"/>
              </w:rPr>
            </w:pPr>
          </w:p>
        </w:tc>
        <w:tc>
          <w:tcPr>
            <w:tcW w:w="1361" w:type="dxa"/>
            <w:gridSpan w:val="2"/>
            <w:tcBorders>
              <w:top w:val="single" w:color="auto" w:sz="4" w:space="0"/>
              <w:left w:val="single" w:color="auto" w:sz="4" w:space="0"/>
              <w:bottom w:val="single" w:color="auto" w:sz="4" w:space="0"/>
              <w:right w:val="single" w:color="auto" w:sz="4" w:space="0"/>
            </w:tcBorders>
            <w:vAlign w:val="center"/>
          </w:tcPr>
          <w:p w14:paraId="021EAC31">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技术职称</w:t>
            </w:r>
          </w:p>
        </w:tc>
        <w:tc>
          <w:tcPr>
            <w:tcW w:w="1074" w:type="dxa"/>
            <w:tcBorders>
              <w:top w:val="single" w:color="auto" w:sz="4" w:space="0"/>
              <w:left w:val="single" w:color="auto" w:sz="4" w:space="0"/>
              <w:bottom w:val="single" w:color="auto" w:sz="4" w:space="0"/>
              <w:right w:val="single" w:color="auto" w:sz="4" w:space="0"/>
            </w:tcBorders>
            <w:vAlign w:val="center"/>
          </w:tcPr>
          <w:p w14:paraId="2B10CA07">
            <w:pPr>
              <w:spacing w:line="360" w:lineRule="auto"/>
              <w:jc w:val="center"/>
              <w:rPr>
                <w:rFonts w:ascii="宋体" w:hAnsi="宋体" w:cs="宋体"/>
                <w:color w:val="auto"/>
                <w:sz w:val="24"/>
                <w:highlight w:val="none"/>
              </w:rPr>
            </w:pPr>
          </w:p>
        </w:tc>
        <w:tc>
          <w:tcPr>
            <w:tcW w:w="816" w:type="dxa"/>
            <w:gridSpan w:val="3"/>
            <w:tcBorders>
              <w:top w:val="single" w:color="auto" w:sz="4" w:space="0"/>
              <w:left w:val="single" w:color="auto" w:sz="4" w:space="0"/>
              <w:bottom w:val="single" w:color="auto" w:sz="4" w:space="0"/>
              <w:right w:val="single" w:color="auto" w:sz="4" w:space="0"/>
            </w:tcBorders>
            <w:vAlign w:val="center"/>
          </w:tcPr>
          <w:p w14:paraId="205B1841">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电话</w:t>
            </w:r>
          </w:p>
        </w:tc>
        <w:tc>
          <w:tcPr>
            <w:tcW w:w="1416" w:type="dxa"/>
            <w:tcBorders>
              <w:top w:val="single" w:color="auto" w:sz="4" w:space="0"/>
              <w:left w:val="single" w:color="auto" w:sz="4" w:space="0"/>
              <w:bottom w:val="single" w:color="auto" w:sz="4" w:space="0"/>
              <w:right w:val="single" w:color="auto" w:sz="4" w:space="0"/>
            </w:tcBorders>
            <w:vAlign w:val="center"/>
          </w:tcPr>
          <w:p w14:paraId="0F3587C6">
            <w:pPr>
              <w:spacing w:line="360" w:lineRule="auto"/>
              <w:jc w:val="center"/>
              <w:rPr>
                <w:rFonts w:ascii="宋体" w:hAnsi="宋体" w:cs="宋体"/>
                <w:color w:val="auto"/>
                <w:sz w:val="24"/>
                <w:highlight w:val="none"/>
              </w:rPr>
            </w:pPr>
          </w:p>
        </w:tc>
      </w:tr>
      <w:tr w14:paraId="2306C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Borders>
              <w:top w:val="single" w:color="auto" w:sz="4" w:space="0"/>
              <w:left w:val="single" w:color="auto" w:sz="4" w:space="0"/>
              <w:bottom w:val="single" w:color="auto" w:sz="4" w:space="0"/>
              <w:right w:val="single" w:color="auto" w:sz="4" w:space="0"/>
            </w:tcBorders>
            <w:vAlign w:val="center"/>
          </w:tcPr>
          <w:p w14:paraId="34034A96">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成立时间</w:t>
            </w:r>
          </w:p>
        </w:tc>
        <w:tc>
          <w:tcPr>
            <w:tcW w:w="2635" w:type="dxa"/>
            <w:gridSpan w:val="3"/>
            <w:tcBorders>
              <w:top w:val="single" w:color="auto" w:sz="4" w:space="0"/>
              <w:left w:val="single" w:color="auto" w:sz="4" w:space="0"/>
              <w:bottom w:val="single" w:color="auto" w:sz="4" w:space="0"/>
              <w:right w:val="single" w:color="auto" w:sz="4" w:space="0"/>
            </w:tcBorders>
            <w:vAlign w:val="center"/>
          </w:tcPr>
          <w:p w14:paraId="42623228">
            <w:pPr>
              <w:spacing w:line="360" w:lineRule="auto"/>
              <w:jc w:val="center"/>
              <w:rPr>
                <w:rFonts w:ascii="宋体" w:hAnsi="宋体" w:cs="宋体"/>
                <w:color w:val="auto"/>
                <w:sz w:val="24"/>
                <w:highlight w:val="none"/>
              </w:rPr>
            </w:pPr>
          </w:p>
        </w:tc>
        <w:tc>
          <w:tcPr>
            <w:tcW w:w="4667" w:type="dxa"/>
            <w:gridSpan w:val="7"/>
            <w:tcBorders>
              <w:top w:val="single" w:color="auto" w:sz="4" w:space="0"/>
              <w:left w:val="single" w:color="auto" w:sz="4" w:space="0"/>
              <w:bottom w:val="single" w:color="auto" w:sz="4" w:space="0"/>
              <w:right w:val="single" w:color="auto" w:sz="4" w:space="0"/>
            </w:tcBorders>
            <w:vAlign w:val="center"/>
          </w:tcPr>
          <w:p w14:paraId="7878463D">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员工总人数：</w:t>
            </w:r>
          </w:p>
        </w:tc>
      </w:tr>
      <w:tr w14:paraId="3CA16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Borders>
              <w:top w:val="single" w:color="auto" w:sz="4" w:space="0"/>
              <w:left w:val="single" w:color="auto" w:sz="4" w:space="0"/>
              <w:bottom w:val="single" w:color="auto" w:sz="4" w:space="0"/>
              <w:right w:val="single" w:color="auto" w:sz="4" w:space="0"/>
            </w:tcBorders>
            <w:vAlign w:val="center"/>
          </w:tcPr>
          <w:p w14:paraId="1DFAD502">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企业资质等级</w:t>
            </w:r>
          </w:p>
        </w:tc>
        <w:tc>
          <w:tcPr>
            <w:tcW w:w="2635" w:type="dxa"/>
            <w:gridSpan w:val="3"/>
            <w:tcBorders>
              <w:top w:val="single" w:color="auto" w:sz="4" w:space="0"/>
              <w:left w:val="single" w:color="auto" w:sz="4" w:space="0"/>
              <w:bottom w:val="single" w:color="auto" w:sz="4" w:space="0"/>
              <w:right w:val="single" w:color="auto" w:sz="4" w:space="0"/>
            </w:tcBorders>
            <w:vAlign w:val="center"/>
          </w:tcPr>
          <w:p w14:paraId="6E811C79">
            <w:pPr>
              <w:spacing w:line="360" w:lineRule="auto"/>
              <w:jc w:val="center"/>
              <w:rPr>
                <w:rFonts w:ascii="宋体" w:hAnsi="宋体" w:cs="宋体"/>
                <w:color w:val="auto"/>
                <w:sz w:val="24"/>
                <w:highlight w:val="none"/>
              </w:rPr>
            </w:pPr>
          </w:p>
        </w:tc>
        <w:tc>
          <w:tcPr>
            <w:tcW w:w="1012" w:type="dxa"/>
            <w:vMerge w:val="restart"/>
            <w:tcBorders>
              <w:top w:val="single" w:color="auto" w:sz="4" w:space="0"/>
              <w:left w:val="single" w:color="auto" w:sz="4" w:space="0"/>
              <w:bottom w:val="single" w:color="auto" w:sz="4" w:space="0"/>
              <w:right w:val="single" w:color="auto" w:sz="4" w:space="0"/>
            </w:tcBorders>
            <w:vAlign w:val="center"/>
          </w:tcPr>
          <w:p w14:paraId="450DBB41">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其中</w:t>
            </w:r>
          </w:p>
        </w:tc>
        <w:tc>
          <w:tcPr>
            <w:tcW w:w="1954" w:type="dxa"/>
            <w:gridSpan w:val="4"/>
            <w:tcBorders>
              <w:top w:val="single" w:color="auto" w:sz="4" w:space="0"/>
              <w:left w:val="single" w:color="auto" w:sz="4" w:space="0"/>
              <w:bottom w:val="single" w:color="auto" w:sz="4" w:space="0"/>
              <w:right w:val="single" w:color="auto" w:sz="4" w:space="0"/>
            </w:tcBorders>
            <w:vAlign w:val="center"/>
          </w:tcPr>
          <w:p w14:paraId="59A2ABC9">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高级职称人员</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65BE49B">
            <w:pPr>
              <w:spacing w:line="360" w:lineRule="auto"/>
              <w:jc w:val="center"/>
              <w:rPr>
                <w:rFonts w:ascii="宋体" w:hAnsi="宋体" w:cs="宋体"/>
                <w:color w:val="auto"/>
                <w:sz w:val="24"/>
                <w:highlight w:val="none"/>
              </w:rPr>
            </w:pPr>
          </w:p>
        </w:tc>
      </w:tr>
      <w:tr w14:paraId="1A061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Borders>
              <w:top w:val="single" w:color="auto" w:sz="4" w:space="0"/>
              <w:left w:val="single" w:color="auto" w:sz="4" w:space="0"/>
              <w:bottom w:val="single" w:color="auto" w:sz="4" w:space="0"/>
              <w:right w:val="single" w:color="auto" w:sz="4" w:space="0"/>
            </w:tcBorders>
            <w:vAlign w:val="center"/>
          </w:tcPr>
          <w:p w14:paraId="75853BAE">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营业执照号</w:t>
            </w:r>
          </w:p>
        </w:tc>
        <w:tc>
          <w:tcPr>
            <w:tcW w:w="2635" w:type="dxa"/>
            <w:gridSpan w:val="3"/>
            <w:tcBorders>
              <w:top w:val="single" w:color="auto" w:sz="4" w:space="0"/>
              <w:left w:val="single" w:color="auto" w:sz="4" w:space="0"/>
              <w:bottom w:val="single" w:color="auto" w:sz="4" w:space="0"/>
              <w:right w:val="single" w:color="auto" w:sz="4" w:space="0"/>
            </w:tcBorders>
            <w:vAlign w:val="center"/>
          </w:tcPr>
          <w:p w14:paraId="506E23CF">
            <w:pPr>
              <w:spacing w:line="360" w:lineRule="auto"/>
              <w:jc w:val="center"/>
              <w:rPr>
                <w:rFonts w:ascii="宋体" w:hAnsi="宋体" w:cs="宋体"/>
                <w:color w:val="auto"/>
                <w:sz w:val="24"/>
                <w:highlight w:val="none"/>
              </w:rPr>
            </w:pPr>
          </w:p>
        </w:tc>
        <w:tc>
          <w:tcPr>
            <w:tcW w:w="1012" w:type="dxa"/>
            <w:vMerge w:val="continue"/>
            <w:tcBorders>
              <w:top w:val="single" w:color="auto" w:sz="4" w:space="0"/>
              <w:left w:val="single" w:color="auto" w:sz="4" w:space="0"/>
              <w:bottom w:val="single" w:color="auto" w:sz="4" w:space="0"/>
              <w:right w:val="single" w:color="auto" w:sz="4" w:space="0"/>
            </w:tcBorders>
            <w:vAlign w:val="center"/>
          </w:tcPr>
          <w:p w14:paraId="7B8CA057">
            <w:pPr>
              <w:rPr>
                <w:rFonts w:ascii="宋体" w:hAnsi="宋体" w:cs="宋体"/>
                <w:color w:val="auto"/>
                <w:sz w:val="24"/>
                <w:highlight w:val="none"/>
              </w:rPr>
            </w:pPr>
          </w:p>
        </w:tc>
        <w:tc>
          <w:tcPr>
            <w:tcW w:w="1954" w:type="dxa"/>
            <w:gridSpan w:val="4"/>
            <w:tcBorders>
              <w:top w:val="single" w:color="auto" w:sz="4" w:space="0"/>
              <w:left w:val="single" w:color="auto" w:sz="4" w:space="0"/>
              <w:bottom w:val="single" w:color="auto" w:sz="4" w:space="0"/>
              <w:right w:val="single" w:color="auto" w:sz="4" w:space="0"/>
            </w:tcBorders>
            <w:vAlign w:val="center"/>
          </w:tcPr>
          <w:p w14:paraId="0743D465">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中级职称人员</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35CF5F9">
            <w:pPr>
              <w:spacing w:line="360" w:lineRule="auto"/>
              <w:jc w:val="center"/>
              <w:rPr>
                <w:rFonts w:ascii="宋体" w:hAnsi="宋体" w:cs="宋体"/>
                <w:color w:val="auto"/>
                <w:sz w:val="24"/>
                <w:highlight w:val="none"/>
              </w:rPr>
            </w:pPr>
          </w:p>
        </w:tc>
      </w:tr>
      <w:tr w14:paraId="7EADB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Borders>
              <w:top w:val="single" w:color="auto" w:sz="4" w:space="0"/>
              <w:left w:val="single" w:color="auto" w:sz="4" w:space="0"/>
              <w:bottom w:val="single" w:color="auto" w:sz="4" w:space="0"/>
              <w:right w:val="single" w:color="auto" w:sz="4" w:space="0"/>
            </w:tcBorders>
            <w:vAlign w:val="center"/>
          </w:tcPr>
          <w:p w14:paraId="6D410ED1">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注册资金</w:t>
            </w:r>
          </w:p>
        </w:tc>
        <w:tc>
          <w:tcPr>
            <w:tcW w:w="2635" w:type="dxa"/>
            <w:gridSpan w:val="3"/>
            <w:tcBorders>
              <w:top w:val="single" w:color="auto" w:sz="4" w:space="0"/>
              <w:left w:val="single" w:color="auto" w:sz="4" w:space="0"/>
              <w:bottom w:val="single" w:color="auto" w:sz="4" w:space="0"/>
              <w:right w:val="single" w:color="auto" w:sz="4" w:space="0"/>
            </w:tcBorders>
            <w:vAlign w:val="center"/>
          </w:tcPr>
          <w:p w14:paraId="11298631">
            <w:pPr>
              <w:spacing w:line="360" w:lineRule="auto"/>
              <w:jc w:val="center"/>
              <w:rPr>
                <w:rFonts w:ascii="宋体" w:hAnsi="宋体" w:cs="宋体"/>
                <w:color w:val="auto"/>
                <w:sz w:val="24"/>
                <w:highlight w:val="none"/>
              </w:rPr>
            </w:pPr>
          </w:p>
        </w:tc>
        <w:tc>
          <w:tcPr>
            <w:tcW w:w="1012" w:type="dxa"/>
            <w:vMerge w:val="continue"/>
            <w:tcBorders>
              <w:top w:val="single" w:color="auto" w:sz="4" w:space="0"/>
              <w:left w:val="single" w:color="auto" w:sz="4" w:space="0"/>
              <w:bottom w:val="single" w:color="auto" w:sz="4" w:space="0"/>
              <w:right w:val="single" w:color="auto" w:sz="4" w:space="0"/>
            </w:tcBorders>
            <w:vAlign w:val="center"/>
          </w:tcPr>
          <w:p w14:paraId="3A090641">
            <w:pPr>
              <w:rPr>
                <w:rFonts w:ascii="宋体" w:hAnsi="宋体" w:cs="宋体"/>
                <w:color w:val="auto"/>
                <w:sz w:val="24"/>
                <w:highlight w:val="none"/>
              </w:rPr>
            </w:pPr>
          </w:p>
        </w:tc>
        <w:tc>
          <w:tcPr>
            <w:tcW w:w="1954" w:type="dxa"/>
            <w:gridSpan w:val="4"/>
            <w:tcBorders>
              <w:top w:val="single" w:color="auto" w:sz="4" w:space="0"/>
              <w:left w:val="single" w:color="auto" w:sz="4" w:space="0"/>
              <w:bottom w:val="single" w:color="auto" w:sz="4" w:space="0"/>
              <w:right w:val="single" w:color="auto" w:sz="4" w:space="0"/>
            </w:tcBorders>
            <w:vAlign w:val="center"/>
          </w:tcPr>
          <w:p w14:paraId="55030B42">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初级职称人员</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7263644">
            <w:pPr>
              <w:spacing w:line="360" w:lineRule="auto"/>
              <w:jc w:val="center"/>
              <w:rPr>
                <w:rFonts w:ascii="宋体" w:hAnsi="宋体" w:cs="宋体"/>
                <w:color w:val="auto"/>
                <w:sz w:val="24"/>
                <w:highlight w:val="none"/>
              </w:rPr>
            </w:pPr>
          </w:p>
        </w:tc>
      </w:tr>
      <w:tr w14:paraId="6403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Borders>
              <w:top w:val="single" w:color="auto" w:sz="4" w:space="0"/>
              <w:left w:val="single" w:color="auto" w:sz="4" w:space="0"/>
              <w:bottom w:val="single" w:color="auto" w:sz="4" w:space="0"/>
              <w:right w:val="single" w:color="auto" w:sz="4" w:space="0"/>
            </w:tcBorders>
            <w:vAlign w:val="center"/>
          </w:tcPr>
          <w:p w14:paraId="75CD224C">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开户银行</w:t>
            </w:r>
          </w:p>
        </w:tc>
        <w:tc>
          <w:tcPr>
            <w:tcW w:w="2635" w:type="dxa"/>
            <w:gridSpan w:val="3"/>
            <w:tcBorders>
              <w:top w:val="single" w:color="auto" w:sz="4" w:space="0"/>
              <w:left w:val="single" w:color="auto" w:sz="4" w:space="0"/>
              <w:bottom w:val="single" w:color="auto" w:sz="4" w:space="0"/>
              <w:right w:val="single" w:color="auto" w:sz="4" w:space="0"/>
            </w:tcBorders>
            <w:vAlign w:val="center"/>
          </w:tcPr>
          <w:p w14:paraId="50152C78">
            <w:pPr>
              <w:spacing w:line="360" w:lineRule="auto"/>
              <w:jc w:val="center"/>
              <w:rPr>
                <w:rFonts w:ascii="宋体" w:hAnsi="宋体" w:cs="宋体"/>
                <w:color w:val="auto"/>
                <w:sz w:val="24"/>
                <w:highlight w:val="none"/>
              </w:rPr>
            </w:pPr>
          </w:p>
        </w:tc>
        <w:tc>
          <w:tcPr>
            <w:tcW w:w="1012" w:type="dxa"/>
            <w:vMerge w:val="continue"/>
            <w:tcBorders>
              <w:top w:val="single" w:color="auto" w:sz="4" w:space="0"/>
              <w:left w:val="single" w:color="auto" w:sz="4" w:space="0"/>
              <w:bottom w:val="single" w:color="auto" w:sz="4" w:space="0"/>
              <w:right w:val="single" w:color="auto" w:sz="4" w:space="0"/>
            </w:tcBorders>
            <w:vAlign w:val="center"/>
          </w:tcPr>
          <w:p w14:paraId="5EFA80AC">
            <w:pPr>
              <w:rPr>
                <w:rFonts w:ascii="宋体" w:hAnsi="宋体" w:cs="宋体"/>
                <w:color w:val="auto"/>
                <w:sz w:val="24"/>
                <w:highlight w:val="none"/>
              </w:rPr>
            </w:pPr>
          </w:p>
        </w:tc>
        <w:tc>
          <w:tcPr>
            <w:tcW w:w="1954" w:type="dxa"/>
            <w:gridSpan w:val="4"/>
            <w:tcBorders>
              <w:top w:val="single" w:color="auto" w:sz="4" w:space="0"/>
              <w:left w:val="single" w:color="auto" w:sz="4" w:space="0"/>
              <w:bottom w:val="single" w:color="auto" w:sz="4" w:space="0"/>
              <w:right w:val="single" w:color="auto" w:sz="4" w:space="0"/>
            </w:tcBorders>
            <w:vAlign w:val="center"/>
          </w:tcPr>
          <w:p w14:paraId="1F71F4A2">
            <w:pPr>
              <w:spacing w:line="360" w:lineRule="auto"/>
              <w:jc w:val="center"/>
              <w:rPr>
                <w:rFonts w:ascii="宋体" w:hAnsi="宋体" w:cs="宋体"/>
                <w:color w:val="auto"/>
                <w:sz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E09EF22">
            <w:pPr>
              <w:spacing w:line="360" w:lineRule="auto"/>
              <w:jc w:val="center"/>
              <w:rPr>
                <w:rFonts w:ascii="宋体" w:hAnsi="宋体" w:cs="宋体"/>
                <w:color w:val="auto"/>
                <w:sz w:val="24"/>
                <w:highlight w:val="none"/>
              </w:rPr>
            </w:pPr>
          </w:p>
        </w:tc>
      </w:tr>
      <w:tr w14:paraId="70408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Borders>
              <w:top w:val="single" w:color="auto" w:sz="4" w:space="0"/>
              <w:left w:val="single" w:color="auto" w:sz="4" w:space="0"/>
              <w:bottom w:val="single" w:color="auto" w:sz="4" w:space="0"/>
              <w:right w:val="single" w:color="auto" w:sz="4" w:space="0"/>
            </w:tcBorders>
            <w:vAlign w:val="center"/>
          </w:tcPr>
          <w:p w14:paraId="48D830F5">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账号</w:t>
            </w:r>
          </w:p>
        </w:tc>
        <w:tc>
          <w:tcPr>
            <w:tcW w:w="2635" w:type="dxa"/>
            <w:gridSpan w:val="3"/>
            <w:tcBorders>
              <w:top w:val="single" w:color="auto" w:sz="4" w:space="0"/>
              <w:left w:val="single" w:color="auto" w:sz="4" w:space="0"/>
              <w:bottom w:val="single" w:color="auto" w:sz="4" w:space="0"/>
              <w:right w:val="single" w:color="auto" w:sz="4" w:space="0"/>
            </w:tcBorders>
            <w:vAlign w:val="center"/>
          </w:tcPr>
          <w:p w14:paraId="076FE26B">
            <w:pPr>
              <w:spacing w:line="360" w:lineRule="auto"/>
              <w:jc w:val="center"/>
              <w:rPr>
                <w:rFonts w:ascii="宋体" w:hAnsi="宋体" w:cs="宋体"/>
                <w:color w:val="auto"/>
                <w:sz w:val="24"/>
                <w:highlight w:val="none"/>
              </w:rPr>
            </w:pPr>
          </w:p>
        </w:tc>
        <w:tc>
          <w:tcPr>
            <w:tcW w:w="1012" w:type="dxa"/>
            <w:vMerge w:val="continue"/>
            <w:tcBorders>
              <w:top w:val="single" w:color="auto" w:sz="4" w:space="0"/>
              <w:left w:val="single" w:color="auto" w:sz="4" w:space="0"/>
              <w:bottom w:val="single" w:color="auto" w:sz="4" w:space="0"/>
              <w:right w:val="single" w:color="auto" w:sz="4" w:space="0"/>
            </w:tcBorders>
            <w:vAlign w:val="center"/>
          </w:tcPr>
          <w:p w14:paraId="3314C55E">
            <w:pPr>
              <w:rPr>
                <w:rFonts w:ascii="宋体" w:hAnsi="宋体" w:cs="宋体"/>
                <w:color w:val="auto"/>
                <w:sz w:val="24"/>
                <w:highlight w:val="none"/>
              </w:rPr>
            </w:pPr>
          </w:p>
        </w:tc>
        <w:tc>
          <w:tcPr>
            <w:tcW w:w="1954" w:type="dxa"/>
            <w:gridSpan w:val="4"/>
            <w:tcBorders>
              <w:top w:val="single" w:color="auto" w:sz="4" w:space="0"/>
              <w:left w:val="single" w:color="auto" w:sz="4" w:space="0"/>
              <w:bottom w:val="single" w:color="auto" w:sz="4" w:space="0"/>
              <w:right w:val="single" w:color="auto" w:sz="4" w:space="0"/>
            </w:tcBorders>
            <w:vAlign w:val="center"/>
          </w:tcPr>
          <w:p w14:paraId="631DA051">
            <w:pPr>
              <w:spacing w:line="360" w:lineRule="auto"/>
              <w:jc w:val="center"/>
              <w:rPr>
                <w:rFonts w:ascii="宋体" w:hAnsi="宋体" w:cs="宋体"/>
                <w:color w:val="auto"/>
                <w:sz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9C04854">
            <w:pPr>
              <w:spacing w:line="360" w:lineRule="auto"/>
              <w:jc w:val="center"/>
              <w:rPr>
                <w:rFonts w:ascii="宋体" w:hAnsi="宋体" w:cs="宋体"/>
                <w:color w:val="auto"/>
                <w:sz w:val="24"/>
                <w:highlight w:val="none"/>
              </w:rPr>
            </w:pPr>
          </w:p>
        </w:tc>
      </w:tr>
      <w:tr w14:paraId="6E37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9" w:hRule="atLeast"/>
          <w:jc w:val="center"/>
        </w:trPr>
        <w:tc>
          <w:tcPr>
            <w:tcW w:w="1771" w:type="dxa"/>
            <w:tcBorders>
              <w:top w:val="single" w:color="auto" w:sz="4" w:space="0"/>
              <w:left w:val="single" w:color="auto" w:sz="4" w:space="0"/>
              <w:bottom w:val="single" w:color="auto" w:sz="4" w:space="0"/>
              <w:right w:val="single" w:color="auto" w:sz="4" w:space="0"/>
            </w:tcBorders>
            <w:vAlign w:val="center"/>
          </w:tcPr>
          <w:p w14:paraId="3F293156">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经营范围</w:t>
            </w:r>
          </w:p>
        </w:tc>
        <w:tc>
          <w:tcPr>
            <w:tcW w:w="7302" w:type="dxa"/>
            <w:gridSpan w:val="10"/>
            <w:tcBorders>
              <w:top w:val="single" w:color="auto" w:sz="4" w:space="0"/>
              <w:left w:val="single" w:color="auto" w:sz="4" w:space="0"/>
              <w:bottom w:val="single" w:color="auto" w:sz="4" w:space="0"/>
              <w:right w:val="single" w:color="auto" w:sz="4" w:space="0"/>
            </w:tcBorders>
            <w:vAlign w:val="center"/>
          </w:tcPr>
          <w:p w14:paraId="1CA99DF3">
            <w:pPr>
              <w:spacing w:line="360" w:lineRule="auto"/>
              <w:rPr>
                <w:rFonts w:ascii="宋体" w:hAnsi="宋体" w:cs="宋体"/>
                <w:color w:val="auto"/>
                <w:sz w:val="24"/>
                <w:highlight w:val="none"/>
              </w:rPr>
            </w:pPr>
          </w:p>
        </w:tc>
      </w:tr>
      <w:tr w14:paraId="3D7D6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771" w:type="dxa"/>
            <w:tcBorders>
              <w:top w:val="single" w:color="auto" w:sz="4" w:space="0"/>
              <w:left w:val="single" w:color="auto" w:sz="4" w:space="0"/>
              <w:bottom w:val="single" w:color="auto" w:sz="4" w:space="0"/>
              <w:right w:val="single" w:color="auto" w:sz="4" w:space="0"/>
            </w:tcBorders>
            <w:vAlign w:val="center"/>
          </w:tcPr>
          <w:p w14:paraId="68F85F56">
            <w:pPr>
              <w:spacing w:line="360" w:lineRule="auto"/>
              <w:jc w:val="center"/>
              <w:rPr>
                <w:rFonts w:ascii="宋体" w:hAnsi="宋体" w:cs="宋体"/>
                <w:color w:val="auto"/>
                <w:sz w:val="24"/>
                <w:highlight w:val="none"/>
              </w:rPr>
            </w:pPr>
            <w:r>
              <w:rPr>
                <w:rFonts w:hint="eastAsia" w:ascii="宋体" w:hAnsi="宋体" w:cs="宋体"/>
                <w:color w:val="auto"/>
                <w:sz w:val="24"/>
                <w:highlight w:val="none"/>
                <w:lang w:bidi="ar"/>
              </w:rPr>
              <w:t>备注</w:t>
            </w:r>
          </w:p>
        </w:tc>
        <w:tc>
          <w:tcPr>
            <w:tcW w:w="7302" w:type="dxa"/>
            <w:gridSpan w:val="10"/>
            <w:tcBorders>
              <w:top w:val="single" w:color="auto" w:sz="4" w:space="0"/>
              <w:left w:val="single" w:color="auto" w:sz="4" w:space="0"/>
              <w:bottom w:val="single" w:color="auto" w:sz="4" w:space="0"/>
              <w:right w:val="single" w:color="auto" w:sz="4" w:space="0"/>
            </w:tcBorders>
            <w:vAlign w:val="center"/>
          </w:tcPr>
          <w:p w14:paraId="3E2003B2">
            <w:pPr>
              <w:spacing w:line="360" w:lineRule="auto"/>
              <w:jc w:val="center"/>
              <w:rPr>
                <w:rFonts w:ascii="宋体" w:hAnsi="宋体" w:cs="宋体"/>
                <w:color w:val="auto"/>
                <w:sz w:val="24"/>
                <w:highlight w:val="none"/>
              </w:rPr>
            </w:pPr>
          </w:p>
        </w:tc>
      </w:tr>
    </w:tbl>
    <w:p w14:paraId="408470FF">
      <w:pPr>
        <w:spacing w:line="360" w:lineRule="auto"/>
        <w:jc w:val="center"/>
        <w:rPr>
          <w:rFonts w:cs="仿宋_GB2312" w:asciiTheme="minorEastAsia" w:hAnsiTheme="minorEastAsia" w:eastAsiaTheme="minorEastAsia"/>
          <w:b/>
          <w:color w:val="auto"/>
          <w:sz w:val="30"/>
          <w:szCs w:val="30"/>
          <w:highlight w:val="none"/>
        </w:rPr>
      </w:pPr>
    </w:p>
    <w:p w14:paraId="063E0F21">
      <w:pPr>
        <w:jc w:val="left"/>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14:paraId="7A10EE25">
      <w:pPr>
        <w:numPr>
          <w:ilvl w:val="0"/>
          <w:numId w:val="18"/>
        </w:numPr>
        <w:spacing w:line="360" w:lineRule="auto"/>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商务技术条款响应（偏离）表</w:t>
      </w:r>
    </w:p>
    <w:tbl>
      <w:tblPr>
        <w:tblStyle w:val="61"/>
        <w:tblpPr w:leftFromText="180" w:rightFromText="180" w:vertAnchor="text" w:horzAnchor="page" w:tblpX="1517" w:tblpY="354"/>
        <w:tblW w:w="919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83"/>
        <w:gridCol w:w="2750"/>
        <w:gridCol w:w="3438"/>
        <w:gridCol w:w="1726"/>
      </w:tblGrid>
      <w:tr w14:paraId="08B60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1283" w:type="dxa"/>
            <w:vAlign w:val="center"/>
          </w:tcPr>
          <w:p w14:paraId="2AD96C95">
            <w:pPr>
              <w:snapToGrid w:val="0"/>
              <w:jc w:val="center"/>
              <w:rPr>
                <w:rFonts w:ascii="宋体" w:hAnsi="宋体" w:cs="宋体"/>
                <w:color w:val="auto"/>
                <w:spacing w:val="20"/>
                <w:sz w:val="24"/>
                <w:highlight w:val="none"/>
              </w:rPr>
            </w:pPr>
            <w:r>
              <w:rPr>
                <w:rFonts w:hint="eastAsia" w:ascii="宋体" w:hAnsi="宋体" w:cs="宋体"/>
                <w:color w:val="auto"/>
                <w:spacing w:val="20"/>
                <w:sz w:val="24"/>
                <w:highlight w:val="none"/>
              </w:rPr>
              <w:t>序号</w:t>
            </w:r>
          </w:p>
        </w:tc>
        <w:tc>
          <w:tcPr>
            <w:tcW w:w="2750" w:type="dxa"/>
            <w:vAlign w:val="center"/>
          </w:tcPr>
          <w:p w14:paraId="518A0CB3">
            <w:pPr>
              <w:snapToGrid w:val="0"/>
              <w:jc w:val="center"/>
              <w:rPr>
                <w:rFonts w:ascii="宋体" w:hAnsi="宋体" w:cs="宋体"/>
                <w:color w:val="auto"/>
                <w:spacing w:val="20"/>
                <w:sz w:val="24"/>
                <w:highlight w:val="none"/>
              </w:rPr>
            </w:pPr>
            <w:r>
              <w:rPr>
                <w:rFonts w:hint="eastAsia" w:ascii="宋体" w:hAnsi="宋体" w:cs="宋体"/>
                <w:color w:val="auto"/>
                <w:spacing w:val="20"/>
                <w:sz w:val="24"/>
                <w:highlight w:val="none"/>
              </w:rPr>
              <w:t>采购文件要求</w:t>
            </w:r>
          </w:p>
        </w:tc>
        <w:tc>
          <w:tcPr>
            <w:tcW w:w="3438" w:type="dxa"/>
            <w:vAlign w:val="center"/>
          </w:tcPr>
          <w:p w14:paraId="5A703764">
            <w:pPr>
              <w:snapToGrid w:val="0"/>
              <w:jc w:val="center"/>
              <w:rPr>
                <w:rFonts w:ascii="宋体" w:hAnsi="宋体" w:cs="宋体"/>
                <w:color w:val="auto"/>
                <w:spacing w:val="20"/>
                <w:sz w:val="24"/>
                <w:highlight w:val="none"/>
              </w:rPr>
            </w:pPr>
            <w:r>
              <w:rPr>
                <w:rFonts w:hint="eastAsia" w:ascii="宋体" w:hAnsi="宋体" w:cs="宋体"/>
                <w:color w:val="auto"/>
                <w:spacing w:val="20"/>
                <w:sz w:val="24"/>
                <w:highlight w:val="none"/>
              </w:rPr>
              <w:t>响应内容</w:t>
            </w:r>
          </w:p>
        </w:tc>
        <w:tc>
          <w:tcPr>
            <w:tcW w:w="1726" w:type="dxa"/>
            <w:vAlign w:val="center"/>
          </w:tcPr>
          <w:p w14:paraId="120F236B">
            <w:pPr>
              <w:snapToGrid w:val="0"/>
              <w:jc w:val="center"/>
              <w:rPr>
                <w:rFonts w:ascii="宋体" w:hAnsi="宋体" w:cs="宋体"/>
                <w:color w:val="auto"/>
                <w:spacing w:val="20"/>
                <w:sz w:val="24"/>
                <w:highlight w:val="none"/>
              </w:rPr>
            </w:pPr>
            <w:r>
              <w:rPr>
                <w:rFonts w:hint="eastAsia" w:ascii="宋体" w:hAnsi="宋体" w:cs="宋体"/>
                <w:color w:val="auto"/>
                <w:spacing w:val="20"/>
                <w:sz w:val="24"/>
                <w:highlight w:val="none"/>
              </w:rPr>
              <w:t>偏离说明</w:t>
            </w:r>
          </w:p>
        </w:tc>
      </w:tr>
      <w:tr w14:paraId="543CA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1283" w:type="dxa"/>
            <w:vAlign w:val="center"/>
          </w:tcPr>
          <w:p w14:paraId="039012B9">
            <w:pPr>
              <w:snapToGrid w:val="0"/>
              <w:jc w:val="center"/>
              <w:rPr>
                <w:rFonts w:ascii="宋体" w:hAnsi="宋体" w:cs="宋体"/>
                <w:color w:val="auto"/>
                <w:spacing w:val="20"/>
                <w:sz w:val="24"/>
                <w:highlight w:val="none"/>
              </w:rPr>
            </w:pPr>
            <w:r>
              <w:rPr>
                <w:rFonts w:hint="eastAsia" w:ascii="宋体" w:hAnsi="宋体" w:cs="宋体"/>
                <w:color w:val="auto"/>
                <w:spacing w:val="20"/>
                <w:sz w:val="24"/>
                <w:highlight w:val="none"/>
              </w:rPr>
              <w:t>1</w:t>
            </w:r>
          </w:p>
        </w:tc>
        <w:tc>
          <w:tcPr>
            <w:tcW w:w="2750" w:type="dxa"/>
            <w:vAlign w:val="center"/>
          </w:tcPr>
          <w:p w14:paraId="24354E4B">
            <w:pPr>
              <w:snapToGrid w:val="0"/>
              <w:jc w:val="center"/>
              <w:rPr>
                <w:rFonts w:ascii="宋体" w:hAnsi="宋体" w:cs="宋体"/>
                <w:color w:val="auto"/>
                <w:spacing w:val="20"/>
                <w:sz w:val="24"/>
                <w:highlight w:val="none"/>
              </w:rPr>
            </w:pPr>
          </w:p>
        </w:tc>
        <w:tc>
          <w:tcPr>
            <w:tcW w:w="3438" w:type="dxa"/>
            <w:vAlign w:val="center"/>
          </w:tcPr>
          <w:p w14:paraId="1517A991">
            <w:pPr>
              <w:snapToGrid w:val="0"/>
              <w:jc w:val="center"/>
              <w:rPr>
                <w:rFonts w:ascii="宋体" w:hAnsi="宋体" w:cs="宋体"/>
                <w:color w:val="auto"/>
                <w:spacing w:val="20"/>
                <w:sz w:val="24"/>
                <w:highlight w:val="none"/>
              </w:rPr>
            </w:pPr>
          </w:p>
        </w:tc>
        <w:tc>
          <w:tcPr>
            <w:tcW w:w="1726" w:type="dxa"/>
            <w:vAlign w:val="center"/>
          </w:tcPr>
          <w:p w14:paraId="0B9C4373">
            <w:pPr>
              <w:snapToGrid w:val="0"/>
              <w:jc w:val="center"/>
              <w:rPr>
                <w:rFonts w:ascii="宋体" w:hAnsi="宋体" w:cs="宋体"/>
                <w:color w:val="auto"/>
                <w:spacing w:val="20"/>
                <w:sz w:val="24"/>
                <w:highlight w:val="none"/>
              </w:rPr>
            </w:pPr>
          </w:p>
        </w:tc>
      </w:tr>
      <w:tr w14:paraId="3C395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1283" w:type="dxa"/>
            <w:vAlign w:val="center"/>
          </w:tcPr>
          <w:p w14:paraId="16129423">
            <w:pPr>
              <w:snapToGrid w:val="0"/>
              <w:jc w:val="center"/>
              <w:rPr>
                <w:rFonts w:ascii="宋体" w:hAnsi="宋体" w:cs="宋体"/>
                <w:color w:val="auto"/>
                <w:spacing w:val="20"/>
                <w:sz w:val="24"/>
                <w:highlight w:val="none"/>
              </w:rPr>
            </w:pPr>
            <w:r>
              <w:rPr>
                <w:rFonts w:hint="eastAsia" w:ascii="宋体" w:hAnsi="宋体" w:cs="宋体"/>
                <w:color w:val="auto"/>
                <w:spacing w:val="20"/>
                <w:sz w:val="24"/>
                <w:highlight w:val="none"/>
              </w:rPr>
              <w:t>2</w:t>
            </w:r>
          </w:p>
        </w:tc>
        <w:tc>
          <w:tcPr>
            <w:tcW w:w="2750" w:type="dxa"/>
            <w:vAlign w:val="center"/>
          </w:tcPr>
          <w:p w14:paraId="38205A1D">
            <w:pPr>
              <w:snapToGrid w:val="0"/>
              <w:jc w:val="center"/>
              <w:rPr>
                <w:rFonts w:ascii="宋体" w:hAnsi="宋体" w:cs="宋体"/>
                <w:color w:val="auto"/>
                <w:spacing w:val="20"/>
                <w:sz w:val="24"/>
                <w:highlight w:val="none"/>
              </w:rPr>
            </w:pPr>
          </w:p>
        </w:tc>
        <w:tc>
          <w:tcPr>
            <w:tcW w:w="3438" w:type="dxa"/>
            <w:vAlign w:val="center"/>
          </w:tcPr>
          <w:p w14:paraId="38C4F55C">
            <w:pPr>
              <w:snapToGrid w:val="0"/>
              <w:jc w:val="center"/>
              <w:rPr>
                <w:rFonts w:ascii="宋体" w:hAnsi="宋体" w:cs="宋体"/>
                <w:color w:val="auto"/>
                <w:spacing w:val="20"/>
                <w:sz w:val="24"/>
                <w:highlight w:val="none"/>
              </w:rPr>
            </w:pPr>
          </w:p>
        </w:tc>
        <w:tc>
          <w:tcPr>
            <w:tcW w:w="1726" w:type="dxa"/>
            <w:vAlign w:val="center"/>
          </w:tcPr>
          <w:p w14:paraId="4DFFDF17">
            <w:pPr>
              <w:snapToGrid w:val="0"/>
              <w:jc w:val="center"/>
              <w:rPr>
                <w:rFonts w:ascii="宋体" w:hAnsi="宋体" w:cs="宋体"/>
                <w:color w:val="auto"/>
                <w:spacing w:val="20"/>
                <w:sz w:val="24"/>
                <w:highlight w:val="none"/>
              </w:rPr>
            </w:pPr>
          </w:p>
        </w:tc>
      </w:tr>
      <w:tr w14:paraId="41A19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1283" w:type="dxa"/>
            <w:vAlign w:val="center"/>
          </w:tcPr>
          <w:p w14:paraId="277A0B80">
            <w:pPr>
              <w:snapToGrid w:val="0"/>
              <w:jc w:val="center"/>
              <w:rPr>
                <w:rFonts w:ascii="宋体" w:hAnsi="宋体" w:cs="宋体"/>
                <w:color w:val="auto"/>
                <w:spacing w:val="20"/>
                <w:sz w:val="24"/>
                <w:highlight w:val="none"/>
              </w:rPr>
            </w:pPr>
            <w:r>
              <w:rPr>
                <w:rFonts w:hint="eastAsia" w:ascii="宋体" w:hAnsi="宋体" w:cs="宋体"/>
                <w:color w:val="auto"/>
                <w:spacing w:val="20"/>
                <w:sz w:val="24"/>
                <w:highlight w:val="none"/>
              </w:rPr>
              <w:t>3</w:t>
            </w:r>
          </w:p>
        </w:tc>
        <w:tc>
          <w:tcPr>
            <w:tcW w:w="2750" w:type="dxa"/>
            <w:vAlign w:val="center"/>
          </w:tcPr>
          <w:p w14:paraId="081054C8">
            <w:pPr>
              <w:snapToGrid w:val="0"/>
              <w:jc w:val="center"/>
              <w:rPr>
                <w:rFonts w:ascii="宋体" w:hAnsi="宋体" w:cs="宋体"/>
                <w:color w:val="auto"/>
                <w:spacing w:val="20"/>
                <w:sz w:val="24"/>
                <w:highlight w:val="none"/>
              </w:rPr>
            </w:pPr>
          </w:p>
        </w:tc>
        <w:tc>
          <w:tcPr>
            <w:tcW w:w="3438" w:type="dxa"/>
            <w:vAlign w:val="center"/>
          </w:tcPr>
          <w:p w14:paraId="00A6988A">
            <w:pPr>
              <w:snapToGrid w:val="0"/>
              <w:jc w:val="center"/>
              <w:rPr>
                <w:rFonts w:ascii="宋体" w:hAnsi="宋体" w:cs="宋体"/>
                <w:color w:val="auto"/>
                <w:spacing w:val="20"/>
                <w:sz w:val="24"/>
                <w:highlight w:val="none"/>
              </w:rPr>
            </w:pPr>
          </w:p>
        </w:tc>
        <w:tc>
          <w:tcPr>
            <w:tcW w:w="1726" w:type="dxa"/>
            <w:vAlign w:val="center"/>
          </w:tcPr>
          <w:p w14:paraId="0D70AF4E">
            <w:pPr>
              <w:snapToGrid w:val="0"/>
              <w:jc w:val="center"/>
              <w:rPr>
                <w:rFonts w:ascii="宋体" w:hAnsi="宋体" w:cs="宋体"/>
                <w:color w:val="auto"/>
                <w:spacing w:val="20"/>
                <w:sz w:val="24"/>
                <w:highlight w:val="none"/>
              </w:rPr>
            </w:pPr>
          </w:p>
        </w:tc>
      </w:tr>
      <w:tr w14:paraId="26E96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5" w:hRule="atLeast"/>
        </w:trPr>
        <w:tc>
          <w:tcPr>
            <w:tcW w:w="1283" w:type="dxa"/>
            <w:vAlign w:val="center"/>
          </w:tcPr>
          <w:p w14:paraId="0AD72009">
            <w:pPr>
              <w:snapToGrid w:val="0"/>
              <w:jc w:val="center"/>
              <w:rPr>
                <w:rFonts w:ascii="宋体" w:hAnsi="宋体" w:cs="宋体"/>
                <w:color w:val="auto"/>
                <w:spacing w:val="20"/>
                <w:sz w:val="24"/>
                <w:highlight w:val="none"/>
              </w:rPr>
            </w:pPr>
            <w:r>
              <w:rPr>
                <w:rFonts w:hint="eastAsia" w:ascii="宋体" w:hAnsi="宋体" w:cs="宋体"/>
                <w:color w:val="auto"/>
                <w:spacing w:val="20"/>
                <w:sz w:val="24"/>
                <w:highlight w:val="none"/>
              </w:rPr>
              <w:t>4</w:t>
            </w:r>
          </w:p>
        </w:tc>
        <w:tc>
          <w:tcPr>
            <w:tcW w:w="2750" w:type="dxa"/>
            <w:vAlign w:val="center"/>
          </w:tcPr>
          <w:p w14:paraId="503C11DB">
            <w:pPr>
              <w:snapToGrid w:val="0"/>
              <w:jc w:val="center"/>
              <w:rPr>
                <w:rFonts w:ascii="宋体" w:hAnsi="宋体" w:cs="宋体"/>
                <w:color w:val="auto"/>
                <w:spacing w:val="20"/>
                <w:sz w:val="24"/>
                <w:highlight w:val="none"/>
              </w:rPr>
            </w:pPr>
          </w:p>
        </w:tc>
        <w:tc>
          <w:tcPr>
            <w:tcW w:w="3438" w:type="dxa"/>
            <w:vAlign w:val="center"/>
          </w:tcPr>
          <w:p w14:paraId="474C9622">
            <w:pPr>
              <w:snapToGrid w:val="0"/>
              <w:jc w:val="center"/>
              <w:rPr>
                <w:rFonts w:ascii="宋体" w:hAnsi="宋体" w:cs="宋体"/>
                <w:color w:val="auto"/>
                <w:spacing w:val="20"/>
                <w:sz w:val="24"/>
                <w:highlight w:val="none"/>
              </w:rPr>
            </w:pPr>
          </w:p>
        </w:tc>
        <w:tc>
          <w:tcPr>
            <w:tcW w:w="1726" w:type="dxa"/>
            <w:vAlign w:val="center"/>
          </w:tcPr>
          <w:p w14:paraId="6057D806">
            <w:pPr>
              <w:snapToGrid w:val="0"/>
              <w:jc w:val="center"/>
              <w:rPr>
                <w:rFonts w:ascii="宋体" w:hAnsi="宋体" w:cs="宋体"/>
                <w:color w:val="auto"/>
                <w:spacing w:val="20"/>
                <w:sz w:val="24"/>
                <w:highlight w:val="none"/>
              </w:rPr>
            </w:pPr>
          </w:p>
        </w:tc>
      </w:tr>
      <w:tr w14:paraId="7B943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5" w:hRule="atLeast"/>
        </w:trPr>
        <w:tc>
          <w:tcPr>
            <w:tcW w:w="1283" w:type="dxa"/>
            <w:vAlign w:val="center"/>
          </w:tcPr>
          <w:p w14:paraId="37927462">
            <w:pPr>
              <w:snapToGrid w:val="0"/>
              <w:jc w:val="center"/>
              <w:rPr>
                <w:rFonts w:ascii="宋体" w:hAnsi="宋体" w:cs="宋体"/>
                <w:color w:val="auto"/>
                <w:spacing w:val="20"/>
                <w:sz w:val="24"/>
                <w:highlight w:val="none"/>
              </w:rPr>
            </w:pPr>
            <w:r>
              <w:rPr>
                <w:rFonts w:hint="eastAsia" w:ascii="宋体" w:hAnsi="宋体" w:cs="宋体"/>
                <w:color w:val="auto"/>
                <w:kern w:val="0"/>
                <w:sz w:val="24"/>
                <w:highlight w:val="none"/>
              </w:rPr>
              <w:t>……</w:t>
            </w:r>
          </w:p>
        </w:tc>
        <w:tc>
          <w:tcPr>
            <w:tcW w:w="2750" w:type="dxa"/>
            <w:vAlign w:val="center"/>
          </w:tcPr>
          <w:p w14:paraId="1C2D946C">
            <w:pPr>
              <w:snapToGrid w:val="0"/>
              <w:jc w:val="center"/>
              <w:rPr>
                <w:rFonts w:ascii="宋体" w:hAnsi="宋体" w:cs="宋体"/>
                <w:color w:val="auto"/>
                <w:spacing w:val="20"/>
                <w:sz w:val="24"/>
                <w:highlight w:val="none"/>
              </w:rPr>
            </w:pPr>
          </w:p>
        </w:tc>
        <w:tc>
          <w:tcPr>
            <w:tcW w:w="3438" w:type="dxa"/>
            <w:vAlign w:val="center"/>
          </w:tcPr>
          <w:p w14:paraId="11FD51FF">
            <w:pPr>
              <w:snapToGrid w:val="0"/>
              <w:jc w:val="center"/>
              <w:rPr>
                <w:rFonts w:ascii="宋体" w:hAnsi="宋体" w:cs="宋体"/>
                <w:color w:val="auto"/>
                <w:spacing w:val="20"/>
                <w:sz w:val="24"/>
                <w:highlight w:val="none"/>
              </w:rPr>
            </w:pPr>
          </w:p>
        </w:tc>
        <w:tc>
          <w:tcPr>
            <w:tcW w:w="1726" w:type="dxa"/>
            <w:vAlign w:val="center"/>
          </w:tcPr>
          <w:p w14:paraId="51369611">
            <w:pPr>
              <w:snapToGrid w:val="0"/>
              <w:jc w:val="center"/>
              <w:rPr>
                <w:rFonts w:ascii="宋体" w:hAnsi="宋体" w:cs="宋体"/>
                <w:color w:val="auto"/>
                <w:spacing w:val="20"/>
                <w:sz w:val="24"/>
                <w:highlight w:val="none"/>
              </w:rPr>
            </w:pPr>
          </w:p>
        </w:tc>
      </w:tr>
    </w:tbl>
    <w:p w14:paraId="6DFA3AEB">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注：1.供应商按照《第四部分 采购需求》中各项要求（包含技术需求及商务、其他要求）逐条响应，在本表中如实填写响应内容(有技术参数的提供响应的技术参数)，未按要求填写的，有可能作负偏离处理。</w:t>
      </w:r>
    </w:p>
    <w:p w14:paraId="649A2B8D">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2.偏离说明是指对采购文件要求存在不同之处的解释说明。偏离系指：正偏离（高于采购需求）、负偏离（低于采购需求）、无偏离（满足采购需求）。</w:t>
      </w:r>
    </w:p>
    <w:p w14:paraId="26E28099">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3.技术指标若有要求供应商提供相应佐证材料的，供应商未提供相应佐证材料或者供应商的响应承诺与其佐证材料不一致的，评审小组会将以不利于供应商的内容为准进行评审（负偏离）。</w:t>
      </w:r>
    </w:p>
    <w:p w14:paraId="45727135">
      <w:pPr>
        <w:spacing w:line="360" w:lineRule="auto"/>
        <w:jc w:val="center"/>
        <w:rPr>
          <w:rFonts w:cs="仿宋_GB2312" w:asciiTheme="minorEastAsia" w:hAnsiTheme="minorEastAsia" w:eastAsiaTheme="minorEastAsia"/>
          <w:b/>
          <w:color w:val="auto"/>
          <w:kern w:val="0"/>
          <w:sz w:val="32"/>
          <w:szCs w:val="32"/>
          <w:highlight w:val="none"/>
        </w:rPr>
      </w:pPr>
    </w:p>
    <w:p w14:paraId="4FCBB415">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222515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7404C277">
      <w:pPr>
        <w:spacing w:line="360" w:lineRule="auto"/>
        <w:ind w:left="315"/>
        <w:rPr>
          <w:rFonts w:cs="仿宋_GB2312" w:asciiTheme="minorEastAsia" w:hAnsiTheme="minorEastAsia" w:eastAsiaTheme="minorEastAsia"/>
          <w:b/>
          <w:color w:val="auto"/>
          <w:kern w:val="0"/>
          <w:sz w:val="32"/>
          <w:szCs w:val="32"/>
          <w:highlight w:val="none"/>
        </w:rPr>
      </w:pPr>
    </w:p>
    <w:p w14:paraId="3B711281">
      <w:pPr>
        <w:numPr>
          <w:ilvl w:val="0"/>
          <w:numId w:val="18"/>
        </w:numPr>
        <w:spacing w:line="360" w:lineRule="auto"/>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eastAsia="zh-CN"/>
        </w:rPr>
        <w:t>认证证书</w:t>
      </w:r>
      <w:r>
        <w:rPr>
          <w:rFonts w:hint="eastAsia" w:cs="仿宋_GB2312" w:asciiTheme="minorEastAsia" w:hAnsiTheme="minorEastAsia" w:eastAsiaTheme="minorEastAsia"/>
          <w:b/>
          <w:color w:val="auto"/>
          <w:kern w:val="0"/>
          <w:sz w:val="32"/>
          <w:szCs w:val="32"/>
          <w:highlight w:val="none"/>
        </w:rPr>
        <w:t>（如果有）</w:t>
      </w:r>
    </w:p>
    <w:p w14:paraId="7ACEFC49">
      <w:pPr>
        <w:rPr>
          <w:color w:val="auto"/>
          <w:highlight w:val="none"/>
        </w:rPr>
      </w:pPr>
      <w:r>
        <w:rPr>
          <w:color w:val="auto"/>
          <w:highlight w:val="none"/>
        </w:rPr>
        <w:br w:type="page"/>
      </w:r>
    </w:p>
    <w:p w14:paraId="10DA7A6C">
      <w:pPr>
        <w:pStyle w:val="76"/>
        <w:spacing w:before="240"/>
        <w:rPr>
          <w:color w:val="auto"/>
          <w:highlight w:val="none"/>
        </w:rPr>
      </w:pPr>
    </w:p>
    <w:p w14:paraId="2493E75B">
      <w:pPr>
        <w:numPr>
          <w:ilvl w:val="0"/>
          <w:numId w:val="18"/>
        </w:numPr>
        <w:spacing w:line="360" w:lineRule="auto"/>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同类项目业绩</w:t>
      </w:r>
    </w:p>
    <w:tbl>
      <w:tblPr>
        <w:tblStyle w:val="61"/>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817"/>
        <w:gridCol w:w="1215"/>
        <w:gridCol w:w="1215"/>
        <w:gridCol w:w="1669"/>
        <w:gridCol w:w="1904"/>
      </w:tblGrid>
      <w:tr w14:paraId="6FEA9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58" w:type="dxa"/>
            <w:vAlign w:val="center"/>
          </w:tcPr>
          <w:p w14:paraId="082BCCBD">
            <w:pPr>
              <w:tabs>
                <w:tab w:val="left" w:pos="3165"/>
              </w:tabs>
              <w:jc w:val="center"/>
              <w:rPr>
                <w:rFonts w:hAnsi="宋体" w:cs="宋体"/>
                <w:b/>
                <w:bCs/>
                <w:color w:val="auto"/>
                <w:highlight w:val="none"/>
              </w:rPr>
            </w:pPr>
            <w:r>
              <w:rPr>
                <w:rFonts w:hint="eastAsia" w:hAnsi="宋体" w:cs="宋体"/>
                <w:b/>
                <w:bCs/>
                <w:color w:val="auto"/>
                <w:highlight w:val="none"/>
              </w:rPr>
              <w:t>序号</w:t>
            </w:r>
          </w:p>
        </w:tc>
        <w:tc>
          <w:tcPr>
            <w:tcW w:w="1817" w:type="dxa"/>
            <w:vAlign w:val="center"/>
          </w:tcPr>
          <w:p w14:paraId="2FF3864B">
            <w:pPr>
              <w:tabs>
                <w:tab w:val="left" w:pos="3165"/>
              </w:tabs>
              <w:jc w:val="center"/>
              <w:rPr>
                <w:rFonts w:hAnsi="宋体" w:cs="宋体"/>
                <w:b/>
                <w:bCs/>
                <w:color w:val="auto"/>
                <w:highlight w:val="none"/>
              </w:rPr>
            </w:pPr>
            <w:r>
              <w:rPr>
                <w:rFonts w:hint="eastAsia" w:hAnsi="宋体" w:cs="宋体"/>
                <w:b/>
                <w:bCs/>
                <w:color w:val="auto"/>
                <w:highlight w:val="none"/>
              </w:rPr>
              <w:t>项目名称</w:t>
            </w:r>
          </w:p>
        </w:tc>
        <w:tc>
          <w:tcPr>
            <w:tcW w:w="1215" w:type="dxa"/>
            <w:vAlign w:val="center"/>
          </w:tcPr>
          <w:p w14:paraId="1576E035">
            <w:pPr>
              <w:tabs>
                <w:tab w:val="left" w:pos="3165"/>
              </w:tabs>
              <w:jc w:val="center"/>
              <w:rPr>
                <w:rFonts w:hAnsi="宋体" w:cs="宋体"/>
                <w:b/>
                <w:bCs/>
                <w:color w:val="auto"/>
                <w:highlight w:val="none"/>
              </w:rPr>
            </w:pPr>
            <w:r>
              <w:rPr>
                <w:rFonts w:hint="eastAsia" w:hAnsi="宋体" w:cs="宋体"/>
                <w:b/>
                <w:bCs/>
                <w:color w:val="auto"/>
                <w:highlight w:val="none"/>
              </w:rPr>
              <w:t>业主单位</w:t>
            </w:r>
          </w:p>
        </w:tc>
        <w:tc>
          <w:tcPr>
            <w:tcW w:w="1215" w:type="dxa"/>
            <w:vAlign w:val="center"/>
          </w:tcPr>
          <w:p w14:paraId="65E1D3E3">
            <w:pPr>
              <w:tabs>
                <w:tab w:val="left" w:pos="3165"/>
              </w:tabs>
              <w:jc w:val="center"/>
              <w:rPr>
                <w:rFonts w:hAnsi="宋体" w:cs="宋体"/>
                <w:b/>
                <w:bCs/>
                <w:color w:val="auto"/>
                <w:highlight w:val="none"/>
              </w:rPr>
            </w:pPr>
            <w:r>
              <w:rPr>
                <w:rFonts w:hint="eastAsia" w:hAnsi="宋体" w:cs="宋体"/>
                <w:b/>
                <w:bCs/>
                <w:color w:val="auto"/>
                <w:highlight w:val="none"/>
              </w:rPr>
              <w:t>合同金额</w:t>
            </w:r>
          </w:p>
        </w:tc>
        <w:tc>
          <w:tcPr>
            <w:tcW w:w="1669" w:type="dxa"/>
            <w:vAlign w:val="center"/>
          </w:tcPr>
          <w:p w14:paraId="72B0790F">
            <w:pPr>
              <w:tabs>
                <w:tab w:val="left" w:pos="3165"/>
              </w:tabs>
              <w:jc w:val="center"/>
              <w:rPr>
                <w:rFonts w:hAnsi="宋体" w:cs="宋体"/>
                <w:b/>
                <w:bCs/>
                <w:color w:val="auto"/>
                <w:highlight w:val="none"/>
              </w:rPr>
            </w:pPr>
            <w:r>
              <w:rPr>
                <w:rFonts w:hint="eastAsia" w:hAnsi="宋体" w:cs="宋体"/>
                <w:b/>
                <w:bCs/>
                <w:color w:val="auto"/>
                <w:highlight w:val="none"/>
              </w:rPr>
              <w:t>合同签订日期</w:t>
            </w:r>
          </w:p>
        </w:tc>
        <w:tc>
          <w:tcPr>
            <w:tcW w:w="1904" w:type="dxa"/>
            <w:vAlign w:val="center"/>
          </w:tcPr>
          <w:p w14:paraId="4A23E4F4">
            <w:pPr>
              <w:tabs>
                <w:tab w:val="left" w:pos="3165"/>
              </w:tabs>
              <w:jc w:val="center"/>
              <w:rPr>
                <w:rFonts w:hAnsi="宋体" w:cs="宋体"/>
                <w:b/>
                <w:bCs/>
                <w:color w:val="auto"/>
                <w:highlight w:val="none"/>
              </w:rPr>
            </w:pPr>
            <w:r>
              <w:rPr>
                <w:rFonts w:hint="eastAsia" w:hAnsi="宋体" w:cs="宋体"/>
                <w:b/>
                <w:bCs/>
                <w:color w:val="auto"/>
                <w:highlight w:val="none"/>
              </w:rPr>
              <w:t>联系人/电话</w:t>
            </w:r>
          </w:p>
        </w:tc>
      </w:tr>
      <w:tr w14:paraId="4BD78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58" w:type="dxa"/>
          </w:tcPr>
          <w:p w14:paraId="1927FCC2">
            <w:pPr>
              <w:tabs>
                <w:tab w:val="left" w:pos="3165"/>
              </w:tabs>
              <w:ind w:firstLine="420"/>
              <w:rPr>
                <w:rFonts w:hAnsi="宋体" w:cs="宋体"/>
                <w:color w:val="auto"/>
                <w:highlight w:val="none"/>
              </w:rPr>
            </w:pPr>
          </w:p>
        </w:tc>
        <w:tc>
          <w:tcPr>
            <w:tcW w:w="1817" w:type="dxa"/>
          </w:tcPr>
          <w:p w14:paraId="5C81EAB4">
            <w:pPr>
              <w:tabs>
                <w:tab w:val="left" w:pos="3165"/>
              </w:tabs>
              <w:ind w:firstLine="420"/>
              <w:rPr>
                <w:rFonts w:hAnsi="宋体" w:cs="宋体"/>
                <w:color w:val="auto"/>
                <w:highlight w:val="none"/>
              </w:rPr>
            </w:pPr>
          </w:p>
        </w:tc>
        <w:tc>
          <w:tcPr>
            <w:tcW w:w="1215" w:type="dxa"/>
          </w:tcPr>
          <w:p w14:paraId="74D84B24">
            <w:pPr>
              <w:tabs>
                <w:tab w:val="left" w:pos="3165"/>
              </w:tabs>
              <w:ind w:firstLine="420"/>
              <w:rPr>
                <w:rFonts w:hAnsi="宋体" w:cs="宋体"/>
                <w:color w:val="auto"/>
                <w:highlight w:val="none"/>
              </w:rPr>
            </w:pPr>
          </w:p>
        </w:tc>
        <w:tc>
          <w:tcPr>
            <w:tcW w:w="1215" w:type="dxa"/>
          </w:tcPr>
          <w:p w14:paraId="4E6F9FA3">
            <w:pPr>
              <w:tabs>
                <w:tab w:val="left" w:pos="3165"/>
              </w:tabs>
              <w:ind w:firstLine="420"/>
              <w:rPr>
                <w:rFonts w:hAnsi="宋体" w:cs="宋体"/>
                <w:color w:val="auto"/>
                <w:highlight w:val="none"/>
              </w:rPr>
            </w:pPr>
          </w:p>
        </w:tc>
        <w:tc>
          <w:tcPr>
            <w:tcW w:w="1669" w:type="dxa"/>
          </w:tcPr>
          <w:p w14:paraId="3ED05E66">
            <w:pPr>
              <w:tabs>
                <w:tab w:val="left" w:pos="3165"/>
              </w:tabs>
              <w:ind w:firstLine="420"/>
              <w:rPr>
                <w:rFonts w:hAnsi="宋体" w:cs="宋体"/>
                <w:color w:val="auto"/>
                <w:highlight w:val="none"/>
              </w:rPr>
            </w:pPr>
          </w:p>
        </w:tc>
        <w:tc>
          <w:tcPr>
            <w:tcW w:w="1904" w:type="dxa"/>
          </w:tcPr>
          <w:p w14:paraId="71C0CABE">
            <w:pPr>
              <w:tabs>
                <w:tab w:val="left" w:pos="3165"/>
              </w:tabs>
              <w:ind w:firstLine="420"/>
              <w:rPr>
                <w:rFonts w:hAnsi="宋体" w:cs="宋体"/>
                <w:color w:val="auto"/>
                <w:highlight w:val="none"/>
              </w:rPr>
            </w:pPr>
          </w:p>
        </w:tc>
      </w:tr>
      <w:tr w14:paraId="3FF54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58" w:type="dxa"/>
          </w:tcPr>
          <w:p w14:paraId="6D76201D">
            <w:pPr>
              <w:tabs>
                <w:tab w:val="left" w:pos="3165"/>
              </w:tabs>
              <w:ind w:firstLine="420"/>
              <w:rPr>
                <w:rFonts w:hAnsi="宋体" w:cs="宋体"/>
                <w:color w:val="auto"/>
                <w:highlight w:val="none"/>
              </w:rPr>
            </w:pPr>
          </w:p>
        </w:tc>
        <w:tc>
          <w:tcPr>
            <w:tcW w:w="1817" w:type="dxa"/>
          </w:tcPr>
          <w:p w14:paraId="504283EA">
            <w:pPr>
              <w:tabs>
                <w:tab w:val="left" w:pos="3165"/>
              </w:tabs>
              <w:ind w:firstLine="420"/>
              <w:rPr>
                <w:rFonts w:hAnsi="宋体" w:cs="宋体"/>
                <w:color w:val="auto"/>
                <w:highlight w:val="none"/>
              </w:rPr>
            </w:pPr>
          </w:p>
        </w:tc>
        <w:tc>
          <w:tcPr>
            <w:tcW w:w="1215" w:type="dxa"/>
          </w:tcPr>
          <w:p w14:paraId="399C034C">
            <w:pPr>
              <w:tabs>
                <w:tab w:val="left" w:pos="3165"/>
              </w:tabs>
              <w:ind w:firstLine="420"/>
              <w:rPr>
                <w:rFonts w:hAnsi="宋体" w:cs="宋体"/>
                <w:color w:val="auto"/>
                <w:highlight w:val="none"/>
              </w:rPr>
            </w:pPr>
          </w:p>
        </w:tc>
        <w:tc>
          <w:tcPr>
            <w:tcW w:w="1215" w:type="dxa"/>
          </w:tcPr>
          <w:p w14:paraId="01E521CA">
            <w:pPr>
              <w:tabs>
                <w:tab w:val="left" w:pos="3165"/>
              </w:tabs>
              <w:ind w:firstLine="420"/>
              <w:rPr>
                <w:rFonts w:hAnsi="宋体" w:cs="宋体"/>
                <w:color w:val="auto"/>
                <w:highlight w:val="none"/>
              </w:rPr>
            </w:pPr>
          </w:p>
        </w:tc>
        <w:tc>
          <w:tcPr>
            <w:tcW w:w="1669" w:type="dxa"/>
          </w:tcPr>
          <w:p w14:paraId="7C413566">
            <w:pPr>
              <w:tabs>
                <w:tab w:val="left" w:pos="3165"/>
              </w:tabs>
              <w:ind w:firstLine="420"/>
              <w:rPr>
                <w:rFonts w:hAnsi="宋体" w:cs="宋体"/>
                <w:color w:val="auto"/>
                <w:highlight w:val="none"/>
              </w:rPr>
            </w:pPr>
          </w:p>
        </w:tc>
        <w:tc>
          <w:tcPr>
            <w:tcW w:w="1904" w:type="dxa"/>
          </w:tcPr>
          <w:p w14:paraId="2ACA9CE3">
            <w:pPr>
              <w:tabs>
                <w:tab w:val="left" w:pos="3165"/>
              </w:tabs>
              <w:ind w:firstLine="420"/>
              <w:rPr>
                <w:rFonts w:hAnsi="宋体" w:cs="宋体"/>
                <w:color w:val="auto"/>
                <w:highlight w:val="none"/>
              </w:rPr>
            </w:pPr>
          </w:p>
        </w:tc>
      </w:tr>
      <w:tr w14:paraId="306A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58" w:type="dxa"/>
          </w:tcPr>
          <w:p w14:paraId="1C5C726D">
            <w:pPr>
              <w:tabs>
                <w:tab w:val="left" w:pos="3165"/>
              </w:tabs>
              <w:ind w:firstLine="420"/>
              <w:rPr>
                <w:rFonts w:hAnsi="宋体" w:cs="宋体"/>
                <w:color w:val="auto"/>
                <w:highlight w:val="none"/>
              </w:rPr>
            </w:pPr>
          </w:p>
        </w:tc>
        <w:tc>
          <w:tcPr>
            <w:tcW w:w="1817" w:type="dxa"/>
          </w:tcPr>
          <w:p w14:paraId="1BF0222E">
            <w:pPr>
              <w:tabs>
                <w:tab w:val="left" w:pos="3165"/>
              </w:tabs>
              <w:ind w:firstLine="420"/>
              <w:rPr>
                <w:rFonts w:hAnsi="宋体" w:cs="宋体"/>
                <w:color w:val="auto"/>
                <w:highlight w:val="none"/>
              </w:rPr>
            </w:pPr>
          </w:p>
        </w:tc>
        <w:tc>
          <w:tcPr>
            <w:tcW w:w="1215" w:type="dxa"/>
          </w:tcPr>
          <w:p w14:paraId="136048EB">
            <w:pPr>
              <w:tabs>
                <w:tab w:val="left" w:pos="3165"/>
              </w:tabs>
              <w:ind w:firstLine="420"/>
              <w:rPr>
                <w:rFonts w:hAnsi="宋体" w:cs="宋体"/>
                <w:color w:val="auto"/>
                <w:highlight w:val="none"/>
              </w:rPr>
            </w:pPr>
          </w:p>
        </w:tc>
        <w:tc>
          <w:tcPr>
            <w:tcW w:w="1215" w:type="dxa"/>
          </w:tcPr>
          <w:p w14:paraId="5EAB18AB">
            <w:pPr>
              <w:tabs>
                <w:tab w:val="left" w:pos="3165"/>
              </w:tabs>
              <w:ind w:firstLine="420"/>
              <w:rPr>
                <w:rFonts w:hAnsi="宋体" w:cs="宋体"/>
                <w:color w:val="auto"/>
                <w:highlight w:val="none"/>
              </w:rPr>
            </w:pPr>
          </w:p>
        </w:tc>
        <w:tc>
          <w:tcPr>
            <w:tcW w:w="1669" w:type="dxa"/>
          </w:tcPr>
          <w:p w14:paraId="3BCBB0D1">
            <w:pPr>
              <w:tabs>
                <w:tab w:val="left" w:pos="3165"/>
              </w:tabs>
              <w:ind w:firstLine="420"/>
              <w:rPr>
                <w:rFonts w:hAnsi="宋体" w:cs="宋体"/>
                <w:color w:val="auto"/>
                <w:highlight w:val="none"/>
              </w:rPr>
            </w:pPr>
          </w:p>
        </w:tc>
        <w:tc>
          <w:tcPr>
            <w:tcW w:w="1904" w:type="dxa"/>
          </w:tcPr>
          <w:p w14:paraId="10A84C99">
            <w:pPr>
              <w:tabs>
                <w:tab w:val="left" w:pos="3165"/>
              </w:tabs>
              <w:ind w:firstLine="420"/>
              <w:rPr>
                <w:rFonts w:hAnsi="宋体" w:cs="宋体"/>
                <w:color w:val="auto"/>
                <w:highlight w:val="none"/>
              </w:rPr>
            </w:pPr>
          </w:p>
        </w:tc>
      </w:tr>
      <w:tr w14:paraId="3C359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58" w:type="dxa"/>
          </w:tcPr>
          <w:p w14:paraId="1F584C7F">
            <w:pPr>
              <w:tabs>
                <w:tab w:val="left" w:pos="3165"/>
              </w:tabs>
              <w:ind w:firstLine="420"/>
              <w:rPr>
                <w:rFonts w:hAnsi="宋体" w:cs="宋体"/>
                <w:color w:val="auto"/>
                <w:highlight w:val="none"/>
              </w:rPr>
            </w:pPr>
          </w:p>
        </w:tc>
        <w:tc>
          <w:tcPr>
            <w:tcW w:w="1817" w:type="dxa"/>
          </w:tcPr>
          <w:p w14:paraId="61473D0E">
            <w:pPr>
              <w:tabs>
                <w:tab w:val="left" w:pos="3165"/>
              </w:tabs>
              <w:ind w:firstLine="420"/>
              <w:rPr>
                <w:rFonts w:hAnsi="宋体" w:cs="宋体"/>
                <w:color w:val="auto"/>
                <w:highlight w:val="none"/>
              </w:rPr>
            </w:pPr>
          </w:p>
        </w:tc>
        <w:tc>
          <w:tcPr>
            <w:tcW w:w="1215" w:type="dxa"/>
          </w:tcPr>
          <w:p w14:paraId="1E6E1456">
            <w:pPr>
              <w:tabs>
                <w:tab w:val="left" w:pos="3165"/>
              </w:tabs>
              <w:ind w:firstLine="420"/>
              <w:rPr>
                <w:rFonts w:hAnsi="宋体" w:cs="宋体"/>
                <w:color w:val="auto"/>
                <w:highlight w:val="none"/>
              </w:rPr>
            </w:pPr>
          </w:p>
        </w:tc>
        <w:tc>
          <w:tcPr>
            <w:tcW w:w="1215" w:type="dxa"/>
          </w:tcPr>
          <w:p w14:paraId="117645E4">
            <w:pPr>
              <w:tabs>
                <w:tab w:val="left" w:pos="3165"/>
              </w:tabs>
              <w:ind w:firstLine="420"/>
              <w:rPr>
                <w:rFonts w:hAnsi="宋体" w:cs="宋体"/>
                <w:color w:val="auto"/>
                <w:highlight w:val="none"/>
              </w:rPr>
            </w:pPr>
          </w:p>
        </w:tc>
        <w:tc>
          <w:tcPr>
            <w:tcW w:w="1669" w:type="dxa"/>
          </w:tcPr>
          <w:p w14:paraId="76DD1FD5">
            <w:pPr>
              <w:tabs>
                <w:tab w:val="left" w:pos="3165"/>
              </w:tabs>
              <w:ind w:firstLine="420"/>
              <w:rPr>
                <w:rFonts w:hAnsi="宋体" w:cs="宋体"/>
                <w:color w:val="auto"/>
                <w:highlight w:val="none"/>
              </w:rPr>
            </w:pPr>
          </w:p>
        </w:tc>
        <w:tc>
          <w:tcPr>
            <w:tcW w:w="1904" w:type="dxa"/>
          </w:tcPr>
          <w:p w14:paraId="56925DA0">
            <w:pPr>
              <w:tabs>
                <w:tab w:val="left" w:pos="3165"/>
              </w:tabs>
              <w:ind w:firstLine="420"/>
              <w:rPr>
                <w:rFonts w:hAnsi="宋体" w:cs="宋体"/>
                <w:color w:val="auto"/>
                <w:highlight w:val="none"/>
              </w:rPr>
            </w:pPr>
          </w:p>
        </w:tc>
      </w:tr>
      <w:tr w14:paraId="5C22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58" w:type="dxa"/>
          </w:tcPr>
          <w:p w14:paraId="06F5C203">
            <w:pPr>
              <w:tabs>
                <w:tab w:val="left" w:pos="3165"/>
              </w:tabs>
              <w:ind w:firstLine="420"/>
              <w:rPr>
                <w:rFonts w:hAnsi="宋体" w:cs="宋体"/>
                <w:color w:val="auto"/>
                <w:highlight w:val="none"/>
              </w:rPr>
            </w:pPr>
          </w:p>
        </w:tc>
        <w:tc>
          <w:tcPr>
            <w:tcW w:w="1817" w:type="dxa"/>
          </w:tcPr>
          <w:p w14:paraId="5E216690">
            <w:pPr>
              <w:tabs>
                <w:tab w:val="left" w:pos="3165"/>
              </w:tabs>
              <w:ind w:firstLine="420"/>
              <w:rPr>
                <w:rFonts w:hAnsi="宋体" w:cs="宋体"/>
                <w:color w:val="auto"/>
                <w:highlight w:val="none"/>
              </w:rPr>
            </w:pPr>
          </w:p>
        </w:tc>
        <w:tc>
          <w:tcPr>
            <w:tcW w:w="1215" w:type="dxa"/>
          </w:tcPr>
          <w:p w14:paraId="30089D79">
            <w:pPr>
              <w:tabs>
                <w:tab w:val="left" w:pos="3165"/>
              </w:tabs>
              <w:ind w:firstLine="420"/>
              <w:rPr>
                <w:rFonts w:hAnsi="宋体" w:cs="宋体"/>
                <w:color w:val="auto"/>
                <w:highlight w:val="none"/>
              </w:rPr>
            </w:pPr>
          </w:p>
        </w:tc>
        <w:tc>
          <w:tcPr>
            <w:tcW w:w="1215" w:type="dxa"/>
          </w:tcPr>
          <w:p w14:paraId="5D914B54">
            <w:pPr>
              <w:tabs>
                <w:tab w:val="left" w:pos="3165"/>
              </w:tabs>
              <w:ind w:firstLine="420"/>
              <w:rPr>
                <w:rFonts w:hAnsi="宋体" w:cs="宋体"/>
                <w:color w:val="auto"/>
                <w:highlight w:val="none"/>
              </w:rPr>
            </w:pPr>
          </w:p>
        </w:tc>
        <w:tc>
          <w:tcPr>
            <w:tcW w:w="1669" w:type="dxa"/>
          </w:tcPr>
          <w:p w14:paraId="2908A45C">
            <w:pPr>
              <w:tabs>
                <w:tab w:val="left" w:pos="3165"/>
              </w:tabs>
              <w:ind w:firstLine="420"/>
              <w:rPr>
                <w:rFonts w:hAnsi="宋体" w:cs="宋体"/>
                <w:color w:val="auto"/>
                <w:highlight w:val="none"/>
              </w:rPr>
            </w:pPr>
          </w:p>
        </w:tc>
        <w:tc>
          <w:tcPr>
            <w:tcW w:w="1904" w:type="dxa"/>
          </w:tcPr>
          <w:p w14:paraId="3530A9F7">
            <w:pPr>
              <w:tabs>
                <w:tab w:val="left" w:pos="3165"/>
              </w:tabs>
              <w:ind w:firstLine="420"/>
              <w:rPr>
                <w:rFonts w:hAnsi="宋体" w:cs="宋体"/>
                <w:color w:val="auto"/>
                <w:highlight w:val="none"/>
              </w:rPr>
            </w:pPr>
          </w:p>
        </w:tc>
      </w:tr>
      <w:tr w14:paraId="5BCF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58" w:type="dxa"/>
          </w:tcPr>
          <w:p w14:paraId="0609C7D7">
            <w:pPr>
              <w:tabs>
                <w:tab w:val="left" w:pos="3165"/>
              </w:tabs>
              <w:ind w:firstLine="420"/>
              <w:rPr>
                <w:rFonts w:hAnsi="宋体" w:cs="宋体"/>
                <w:color w:val="auto"/>
                <w:highlight w:val="none"/>
              </w:rPr>
            </w:pPr>
          </w:p>
        </w:tc>
        <w:tc>
          <w:tcPr>
            <w:tcW w:w="1817" w:type="dxa"/>
          </w:tcPr>
          <w:p w14:paraId="1F166939">
            <w:pPr>
              <w:tabs>
                <w:tab w:val="left" w:pos="3165"/>
              </w:tabs>
              <w:ind w:firstLine="420"/>
              <w:rPr>
                <w:rFonts w:hAnsi="宋体" w:cs="宋体"/>
                <w:color w:val="auto"/>
                <w:highlight w:val="none"/>
              </w:rPr>
            </w:pPr>
          </w:p>
        </w:tc>
        <w:tc>
          <w:tcPr>
            <w:tcW w:w="1215" w:type="dxa"/>
          </w:tcPr>
          <w:p w14:paraId="7218FCDD">
            <w:pPr>
              <w:tabs>
                <w:tab w:val="left" w:pos="3165"/>
              </w:tabs>
              <w:ind w:firstLine="420"/>
              <w:rPr>
                <w:rFonts w:hAnsi="宋体" w:cs="宋体"/>
                <w:color w:val="auto"/>
                <w:highlight w:val="none"/>
              </w:rPr>
            </w:pPr>
          </w:p>
        </w:tc>
        <w:tc>
          <w:tcPr>
            <w:tcW w:w="1215" w:type="dxa"/>
          </w:tcPr>
          <w:p w14:paraId="5884689F">
            <w:pPr>
              <w:tabs>
                <w:tab w:val="left" w:pos="3165"/>
              </w:tabs>
              <w:ind w:firstLine="420"/>
              <w:rPr>
                <w:rFonts w:hAnsi="宋体" w:cs="宋体"/>
                <w:color w:val="auto"/>
                <w:highlight w:val="none"/>
              </w:rPr>
            </w:pPr>
          </w:p>
        </w:tc>
        <w:tc>
          <w:tcPr>
            <w:tcW w:w="1669" w:type="dxa"/>
          </w:tcPr>
          <w:p w14:paraId="7297DD6E">
            <w:pPr>
              <w:tabs>
                <w:tab w:val="left" w:pos="3165"/>
              </w:tabs>
              <w:ind w:firstLine="420"/>
              <w:rPr>
                <w:rFonts w:hAnsi="宋体" w:cs="宋体"/>
                <w:color w:val="auto"/>
                <w:highlight w:val="none"/>
              </w:rPr>
            </w:pPr>
          </w:p>
        </w:tc>
        <w:tc>
          <w:tcPr>
            <w:tcW w:w="1904" w:type="dxa"/>
          </w:tcPr>
          <w:p w14:paraId="641E4506">
            <w:pPr>
              <w:tabs>
                <w:tab w:val="left" w:pos="3165"/>
              </w:tabs>
              <w:ind w:firstLine="420"/>
              <w:rPr>
                <w:rFonts w:hAnsi="宋体" w:cs="宋体"/>
                <w:color w:val="auto"/>
                <w:highlight w:val="none"/>
              </w:rPr>
            </w:pPr>
          </w:p>
        </w:tc>
      </w:tr>
      <w:tr w14:paraId="7F494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58" w:type="dxa"/>
          </w:tcPr>
          <w:p w14:paraId="74E68EE9">
            <w:pPr>
              <w:tabs>
                <w:tab w:val="left" w:pos="3165"/>
              </w:tabs>
              <w:ind w:firstLine="420"/>
              <w:rPr>
                <w:rFonts w:hAnsi="宋体" w:cs="宋体"/>
                <w:color w:val="auto"/>
                <w:highlight w:val="none"/>
              </w:rPr>
            </w:pPr>
          </w:p>
        </w:tc>
        <w:tc>
          <w:tcPr>
            <w:tcW w:w="1817" w:type="dxa"/>
          </w:tcPr>
          <w:p w14:paraId="20069F61">
            <w:pPr>
              <w:tabs>
                <w:tab w:val="left" w:pos="3165"/>
              </w:tabs>
              <w:ind w:firstLine="420"/>
              <w:rPr>
                <w:rFonts w:hAnsi="宋体" w:cs="宋体"/>
                <w:color w:val="auto"/>
                <w:highlight w:val="none"/>
              </w:rPr>
            </w:pPr>
          </w:p>
        </w:tc>
        <w:tc>
          <w:tcPr>
            <w:tcW w:w="1215" w:type="dxa"/>
          </w:tcPr>
          <w:p w14:paraId="3D88710F">
            <w:pPr>
              <w:tabs>
                <w:tab w:val="left" w:pos="3165"/>
              </w:tabs>
              <w:ind w:firstLine="420"/>
              <w:rPr>
                <w:rFonts w:hAnsi="宋体" w:cs="宋体"/>
                <w:color w:val="auto"/>
                <w:highlight w:val="none"/>
              </w:rPr>
            </w:pPr>
          </w:p>
        </w:tc>
        <w:tc>
          <w:tcPr>
            <w:tcW w:w="1215" w:type="dxa"/>
          </w:tcPr>
          <w:p w14:paraId="2DF3A18A">
            <w:pPr>
              <w:tabs>
                <w:tab w:val="left" w:pos="3165"/>
              </w:tabs>
              <w:ind w:firstLine="420"/>
              <w:rPr>
                <w:rFonts w:hAnsi="宋体" w:cs="宋体"/>
                <w:color w:val="auto"/>
                <w:highlight w:val="none"/>
              </w:rPr>
            </w:pPr>
          </w:p>
        </w:tc>
        <w:tc>
          <w:tcPr>
            <w:tcW w:w="1669" w:type="dxa"/>
          </w:tcPr>
          <w:p w14:paraId="55D8513E">
            <w:pPr>
              <w:tabs>
                <w:tab w:val="left" w:pos="3165"/>
              </w:tabs>
              <w:ind w:firstLine="420"/>
              <w:rPr>
                <w:rFonts w:hAnsi="宋体" w:cs="宋体"/>
                <w:color w:val="auto"/>
                <w:highlight w:val="none"/>
              </w:rPr>
            </w:pPr>
          </w:p>
        </w:tc>
        <w:tc>
          <w:tcPr>
            <w:tcW w:w="1904" w:type="dxa"/>
          </w:tcPr>
          <w:p w14:paraId="2064A920">
            <w:pPr>
              <w:tabs>
                <w:tab w:val="left" w:pos="3165"/>
              </w:tabs>
              <w:ind w:firstLine="420"/>
              <w:rPr>
                <w:rFonts w:hAnsi="宋体" w:cs="宋体"/>
                <w:color w:val="auto"/>
                <w:highlight w:val="none"/>
              </w:rPr>
            </w:pPr>
          </w:p>
        </w:tc>
      </w:tr>
      <w:tr w14:paraId="133F7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58" w:type="dxa"/>
          </w:tcPr>
          <w:p w14:paraId="206CD92A">
            <w:pPr>
              <w:tabs>
                <w:tab w:val="left" w:pos="3165"/>
              </w:tabs>
              <w:ind w:firstLine="420"/>
              <w:rPr>
                <w:rFonts w:hAnsi="宋体" w:cs="宋体"/>
                <w:color w:val="auto"/>
                <w:highlight w:val="none"/>
              </w:rPr>
            </w:pPr>
          </w:p>
        </w:tc>
        <w:tc>
          <w:tcPr>
            <w:tcW w:w="1817" w:type="dxa"/>
          </w:tcPr>
          <w:p w14:paraId="2F66F0C3">
            <w:pPr>
              <w:tabs>
                <w:tab w:val="left" w:pos="3165"/>
              </w:tabs>
              <w:ind w:firstLine="420"/>
              <w:rPr>
                <w:rFonts w:hAnsi="宋体" w:cs="宋体"/>
                <w:color w:val="auto"/>
                <w:highlight w:val="none"/>
              </w:rPr>
            </w:pPr>
          </w:p>
        </w:tc>
        <w:tc>
          <w:tcPr>
            <w:tcW w:w="1215" w:type="dxa"/>
          </w:tcPr>
          <w:p w14:paraId="1676A54B">
            <w:pPr>
              <w:tabs>
                <w:tab w:val="left" w:pos="3165"/>
              </w:tabs>
              <w:ind w:firstLine="420"/>
              <w:rPr>
                <w:rFonts w:hAnsi="宋体" w:cs="宋体"/>
                <w:color w:val="auto"/>
                <w:highlight w:val="none"/>
              </w:rPr>
            </w:pPr>
          </w:p>
        </w:tc>
        <w:tc>
          <w:tcPr>
            <w:tcW w:w="1215" w:type="dxa"/>
          </w:tcPr>
          <w:p w14:paraId="3AD781F3">
            <w:pPr>
              <w:tabs>
                <w:tab w:val="left" w:pos="3165"/>
              </w:tabs>
              <w:ind w:firstLine="420"/>
              <w:rPr>
                <w:rFonts w:hAnsi="宋体" w:cs="宋体"/>
                <w:color w:val="auto"/>
                <w:highlight w:val="none"/>
              </w:rPr>
            </w:pPr>
          </w:p>
        </w:tc>
        <w:tc>
          <w:tcPr>
            <w:tcW w:w="1669" w:type="dxa"/>
          </w:tcPr>
          <w:p w14:paraId="4A1B4930">
            <w:pPr>
              <w:tabs>
                <w:tab w:val="left" w:pos="3165"/>
              </w:tabs>
              <w:ind w:firstLine="420"/>
              <w:rPr>
                <w:rFonts w:hAnsi="宋体" w:cs="宋体"/>
                <w:color w:val="auto"/>
                <w:highlight w:val="none"/>
              </w:rPr>
            </w:pPr>
          </w:p>
        </w:tc>
        <w:tc>
          <w:tcPr>
            <w:tcW w:w="1904" w:type="dxa"/>
          </w:tcPr>
          <w:p w14:paraId="6E5D7562">
            <w:pPr>
              <w:tabs>
                <w:tab w:val="left" w:pos="3165"/>
              </w:tabs>
              <w:ind w:firstLine="420"/>
              <w:rPr>
                <w:rFonts w:hAnsi="宋体" w:cs="宋体"/>
                <w:color w:val="auto"/>
                <w:highlight w:val="none"/>
              </w:rPr>
            </w:pPr>
          </w:p>
        </w:tc>
      </w:tr>
      <w:tr w14:paraId="1E50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58" w:type="dxa"/>
          </w:tcPr>
          <w:p w14:paraId="11417B1A">
            <w:pPr>
              <w:tabs>
                <w:tab w:val="left" w:pos="3165"/>
              </w:tabs>
              <w:ind w:firstLine="420"/>
              <w:rPr>
                <w:rFonts w:hAnsi="宋体" w:cs="宋体"/>
                <w:color w:val="auto"/>
                <w:highlight w:val="none"/>
              </w:rPr>
            </w:pPr>
          </w:p>
        </w:tc>
        <w:tc>
          <w:tcPr>
            <w:tcW w:w="1817" w:type="dxa"/>
          </w:tcPr>
          <w:p w14:paraId="78F6A0DB">
            <w:pPr>
              <w:tabs>
                <w:tab w:val="left" w:pos="3165"/>
              </w:tabs>
              <w:ind w:firstLine="420"/>
              <w:rPr>
                <w:rFonts w:hAnsi="宋体" w:cs="宋体"/>
                <w:color w:val="auto"/>
                <w:highlight w:val="none"/>
              </w:rPr>
            </w:pPr>
          </w:p>
        </w:tc>
        <w:tc>
          <w:tcPr>
            <w:tcW w:w="1215" w:type="dxa"/>
          </w:tcPr>
          <w:p w14:paraId="4B25B474">
            <w:pPr>
              <w:tabs>
                <w:tab w:val="left" w:pos="3165"/>
              </w:tabs>
              <w:ind w:firstLine="420"/>
              <w:rPr>
                <w:rFonts w:hAnsi="宋体" w:cs="宋体"/>
                <w:color w:val="auto"/>
                <w:highlight w:val="none"/>
              </w:rPr>
            </w:pPr>
          </w:p>
        </w:tc>
        <w:tc>
          <w:tcPr>
            <w:tcW w:w="1215" w:type="dxa"/>
          </w:tcPr>
          <w:p w14:paraId="6367D60D">
            <w:pPr>
              <w:tabs>
                <w:tab w:val="left" w:pos="3165"/>
              </w:tabs>
              <w:ind w:firstLine="420"/>
              <w:rPr>
                <w:rFonts w:hAnsi="宋体" w:cs="宋体"/>
                <w:color w:val="auto"/>
                <w:highlight w:val="none"/>
              </w:rPr>
            </w:pPr>
          </w:p>
        </w:tc>
        <w:tc>
          <w:tcPr>
            <w:tcW w:w="1669" w:type="dxa"/>
          </w:tcPr>
          <w:p w14:paraId="6C7DD42C">
            <w:pPr>
              <w:tabs>
                <w:tab w:val="left" w:pos="3165"/>
              </w:tabs>
              <w:ind w:firstLine="420"/>
              <w:rPr>
                <w:rFonts w:hAnsi="宋体" w:cs="宋体"/>
                <w:color w:val="auto"/>
                <w:highlight w:val="none"/>
              </w:rPr>
            </w:pPr>
          </w:p>
        </w:tc>
        <w:tc>
          <w:tcPr>
            <w:tcW w:w="1904" w:type="dxa"/>
          </w:tcPr>
          <w:p w14:paraId="62492D0F">
            <w:pPr>
              <w:tabs>
                <w:tab w:val="left" w:pos="3165"/>
              </w:tabs>
              <w:ind w:firstLine="420"/>
              <w:rPr>
                <w:rFonts w:hAnsi="宋体" w:cs="宋体"/>
                <w:color w:val="auto"/>
                <w:highlight w:val="none"/>
              </w:rPr>
            </w:pPr>
          </w:p>
        </w:tc>
      </w:tr>
      <w:tr w14:paraId="28666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58" w:type="dxa"/>
          </w:tcPr>
          <w:p w14:paraId="1ED58784">
            <w:pPr>
              <w:tabs>
                <w:tab w:val="left" w:pos="3165"/>
              </w:tabs>
              <w:ind w:firstLine="420"/>
              <w:rPr>
                <w:rFonts w:hAnsi="宋体" w:cs="宋体"/>
                <w:color w:val="auto"/>
                <w:highlight w:val="none"/>
              </w:rPr>
            </w:pPr>
          </w:p>
        </w:tc>
        <w:tc>
          <w:tcPr>
            <w:tcW w:w="1817" w:type="dxa"/>
          </w:tcPr>
          <w:p w14:paraId="400193AB">
            <w:pPr>
              <w:tabs>
                <w:tab w:val="left" w:pos="3165"/>
              </w:tabs>
              <w:ind w:firstLine="420"/>
              <w:rPr>
                <w:rFonts w:hAnsi="宋体" w:cs="宋体"/>
                <w:color w:val="auto"/>
                <w:highlight w:val="none"/>
              </w:rPr>
            </w:pPr>
          </w:p>
        </w:tc>
        <w:tc>
          <w:tcPr>
            <w:tcW w:w="1215" w:type="dxa"/>
          </w:tcPr>
          <w:p w14:paraId="1BDF9D69">
            <w:pPr>
              <w:tabs>
                <w:tab w:val="left" w:pos="3165"/>
              </w:tabs>
              <w:ind w:firstLine="420"/>
              <w:rPr>
                <w:rFonts w:hAnsi="宋体" w:cs="宋体"/>
                <w:color w:val="auto"/>
                <w:highlight w:val="none"/>
              </w:rPr>
            </w:pPr>
          </w:p>
        </w:tc>
        <w:tc>
          <w:tcPr>
            <w:tcW w:w="1215" w:type="dxa"/>
          </w:tcPr>
          <w:p w14:paraId="1141325B">
            <w:pPr>
              <w:tabs>
                <w:tab w:val="left" w:pos="3165"/>
              </w:tabs>
              <w:ind w:firstLine="420"/>
              <w:rPr>
                <w:rFonts w:hAnsi="宋体" w:cs="宋体"/>
                <w:color w:val="auto"/>
                <w:highlight w:val="none"/>
              </w:rPr>
            </w:pPr>
          </w:p>
        </w:tc>
        <w:tc>
          <w:tcPr>
            <w:tcW w:w="1669" w:type="dxa"/>
          </w:tcPr>
          <w:p w14:paraId="05636315">
            <w:pPr>
              <w:tabs>
                <w:tab w:val="left" w:pos="3165"/>
              </w:tabs>
              <w:ind w:firstLine="420"/>
              <w:rPr>
                <w:rFonts w:hAnsi="宋体" w:cs="宋体"/>
                <w:color w:val="auto"/>
                <w:highlight w:val="none"/>
              </w:rPr>
            </w:pPr>
          </w:p>
        </w:tc>
        <w:tc>
          <w:tcPr>
            <w:tcW w:w="1904" w:type="dxa"/>
          </w:tcPr>
          <w:p w14:paraId="2288273B">
            <w:pPr>
              <w:tabs>
                <w:tab w:val="left" w:pos="3165"/>
              </w:tabs>
              <w:ind w:firstLine="420"/>
              <w:rPr>
                <w:rFonts w:hAnsi="宋体" w:cs="宋体"/>
                <w:color w:val="auto"/>
                <w:highlight w:val="none"/>
              </w:rPr>
            </w:pPr>
          </w:p>
        </w:tc>
      </w:tr>
      <w:tr w14:paraId="24D6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58" w:type="dxa"/>
          </w:tcPr>
          <w:p w14:paraId="572277A6">
            <w:pPr>
              <w:tabs>
                <w:tab w:val="left" w:pos="3165"/>
              </w:tabs>
              <w:ind w:firstLine="420"/>
              <w:rPr>
                <w:rFonts w:hAnsi="宋体" w:cs="宋体"/>
                <w:color w:val="auto"/>
                <w:highlight w:val="none"/>
              </w:rPr>
            </w:pPr>
          </w:p>
        </w:tc>
        <w:tc>
          <w:tcPr>
            <w:tcW w:w="1817" w:type="dxa"/>
          </w:tcPr>
          <w:p w14:paraId="4B3E22E8">
            <w:pPr>
              <w:tabs>
                <w:tab w:val="left" w:pos="3165"/>
              </w:tabs>
              <w:ind w:firstLine="420"/>
              <w:rPr>
                <w:rFonts w:hAnsi="宋体" w:cs="宋体"/>
                <w:color w:val="auto"/>
                <w:highlight w:val="none"/>
              </w:rPr>
            </w:pPr>
          </w:p>
        </w:tc>
        <w:tc>
          <w:tcPr>
            <w:tcW w:w="1215" w:type="dxa"/>
          </w:tcPr>
          <w:p w14:paraId="6806DAA4">
            <w:pPr>
              <w:tabs>
                <w:tab w:val="left" w:pos="3165"/>
              </w:tabs>
              <w:ind w:firstLine="420"/>
              <w:rPr>
                <w:rFonts w:hAnsi="宋体" w:cs="宋体"/>
                <w:color w:val="auto"/>
                <w:highlight w:val="none"/>
              </w:rPr>
            </w:pPr>
          </w:p>
        </w:tc>
        <w:tc>
          <w:tcPr>
            <w:tcW w:w="1215" w:type="dxa"/>
          </w:tcPr>
          <w:p w14:paraId="06943835">
            <w:pPr>
              <w:tabs>
                <w:tab w:val="left" w:pos="3165"/>
              </w:tabs>
              <w:ind w:firstLine="420"/>
              <w:rPr>
                <w:rFonts w:hAnsi="宋体" w:cs="宋体"/>
                <w:color w:val="auto"/>
                <w:highlight w:val="none"/>
              </w:rPr>
            </w:pPr>
          </w:p>
        </w:tc>
        <w:tc>
          <w:tcPr>
            <w:tcW w:w="1669" w:type="dxa"/>
          </w:tcPr>
          <w:p w14:paraId="5FBA248B">
            <w:pPr>
              <w:tabs>
                <w:tab w:val="left" w:pos="3165"/>
              </w:tabs>
              <w:ind w:firstLine="420"/>
              <w:rPr>
                <w:rFonts w:hAnsi="宋体" w:cs="宋体"/>
                <w:color w:val="auto"/>
                <w:highlight w:val="none"/>
              </w:rPr>
            </w:pPr>
          </w:p>
        </w:tc>
        <w:tc>
          <w:tcPr>
            <w:tcW w:w="1904" w:type="dxa"/>
          </w:tcPr>
          <w:p w14:paraId="01612A66">
            <w:pPr>
              <w:tabs>
                <w:tab w:val="left" w:pos="3165"/>
              </w:tabs>
              <w:ind w:firstLine="420"/>
              <w:rPr>
                <w:rFonts w:hAnsi="宋体" w:cs="宋体"/>
                <w:color w:val="auto"/>
                <w:highlight w:val="none"/>
              </w:rPr>
            </w:pPr>
          </w:p>
        </w:tc>
      </w:tr>
    </w:tbl>
    <w:p w14:paraId="70F54FED">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注：供应商可按上述的格式自行编制，须随表提交相应的合同（协议）复印件并注明所在文件页码。</w:t>
      </w:r>
    </w:p>
    <w:p w14:paraId="05DBA6E0">
      <w:pPr>
        <w:autoSpaceDE w:val="0"/>
        <w:autoSpaceDN w:val="0"/>
        <w:spacing w:line="360" w:lineRule="auto"/>
        <w:rPr>
          <w:rFonts w:cs="仿宋_GB2312" w:asciiTheme="minorEastAsia" w:hAnsiTheme="minorEastAsia" w:eastAsiaTheme="minorEastAsia"/>
          <w:color w:val="auto"/>
          <w:sz w:val="24"/>
          <w:highlight w:val="none"/>
        </w:rPr>
      </w:pPr>
    </w:p>
    <w:p w14:paraId="7D96B8A6">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67E02124">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052D0CA1">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D08B30B">
      <w:pPr>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B4CB430">
      <w:pPr>
        <w:pStyle w:val="76"/>
        <w:spacing w:before="240"/>
        <w:rPr>
          <w:rFonts w:cs="仿宋_GB2312" w:asciiTheme="minorEastAsia" w:hAnsiTheme="minorEastAsia" w:eastAsiaTheme="minorEastAsia"/>
          <w:color w:val="auto"/>
          <w:kern w:val="0"/>
          <w:sz w:val="24"/>
          <w:highlight w:val="none"/>
        </w:rPr>
      </w:pPr>
    </w:p>
    <w:p w14:paraId="4EA4E428">
      <w:pPr>
        <w:rPr>
          <w:rFonts w:cs="仿宋_GB2312" w:asciiTheme="minorEastAsia" w:hAnsiTheme="minorEastAsia" w:eastAsiaTheme="minorEastAsia"/>
          <w:color w:val="auto"/>
          <w:kern w:val="0"/>
          <w:sz w:val="24"/>
          <w:highlight w:val="none"/>
        </w:rPr>
      </w:pPr>
    </w:p>
    <w:p w14:paraId="049959C4">
      <w:pPr>
        <w:rPr>
          <w:color w:val="auto"/>
          <w:highlight w:val="none"/>
        </w:rPr>
      </w:pPr>
    </w:p>
    <w:p w14:paraId="33441DA3">
      <w:pPr>
        <w:pStyle w:val="76"/>
        <w:spacing w:before="240"/>
        <w:rPr>
          <w:color w:val="auto"/>
          <w:highlight w:val="none"/>
        </w:rPr>
      </w:pPr>
    </w:p>
    <w:p w14:paraId="0FEAB45E">
      <w:pPr>
        <w:numPr>
          <w:ilvl w:val="0"/>
          <w:numId w:val="18"/>
        </w:num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供应商认为需要的其他技术文件或说明（如果有）</w:t>
      </w:r>
    </w:p>
    <w:p w14:paraId="0D92A894">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27060B13">
      <w:pPr>
        <w:spacing w:line="360" w:lineRule="auto"/>
        <w:rPr>
          <w:rFonts w:cs="仿宋_GB2312" w:asciiTheme="minorEastAsia" w:hAnsiTheme="minorEastAsia" w:eastAsiaTheme="minorEastAsia"/>
          <w:color w:val="auto"/>
          <w:sz w:val="24"/>
          <w:highlight w:val="none"/>
        </w:rPr>
      </w:pPr>
    </w:p>
    <w:p w14:paraId="559E6EE7">
      <w:pPr>
        <w:spacing w:line="360" w:lineRule="auto"/>
        <w:jc w:val="center"/>
        <w:rPr>
          <w:rFonts w:ascii="宋体" w:hAnsi="宋体" w:cs="宋体"/>
          <w:b/>
          <w:color w:val="auto"/>
          <w:kern w:val="0"/>
          <w:sz w:val="36"/>
          <w:szCs w:val="36"/>
          <w:highlight w:val="none"/>
        </w:rPr>
        <w:sectPr>
          <w:headerReference r:id="rId11" w:type="first"/>
          <w:footerReference r:id="rId13" w:type="first"/>
          <w:headerReference r:id="rId10"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8FD4D07">
      <w:pPr>
        <w:pStyle w:val="76"/>
        <w:spacing w:before="240"/>
        <w:rPr>
          <w:color w:val="auto"/>
          <w:highlight w:val="none"/>
        </w:rPr>
      </w:pPr>
    </w:p>
    <w:p w14:paraId="1B5F550D">
      <w:pPr>
        <w:widowControl/>
        <w:adjustRightInd/>
        <w:jc w:val="center"/>
        <w:rPr>
          <w:rFonts w:cs="仿宋_GB2312" w:asciiTheme="minorEastAsia" w:hAnsiTheme="minorEastAsia" w:eastAsiaTheme="minorEastAsia"/>
          <w:b/>
          <w:color w:val="auto"/>
          <w:kern w:val="0"/>
          <w:sz w:val="32"/>
          <w:szCs w:val="32"/>
          <w:highlight w:val="none"/>
        </w:rPr>
      </w:pPr>
    </w:p>
    <w:p w14:paraId="6498BA55">
      <w:pPr>
        <w:widowControl/>
        <w:adjustRightInd/>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三、报价文件部分</w:t>
      </w:r>
    </w:p>
    <w:p w14:paraId="3997F45C">
      <w:pPr>
        <w:spacing w:line="360" w:lineRule="auto"/>
        <w:jc w:val="center"/>
        <w:rPr>
          <w:rFonts w:cs="仿宋_GB2312" w:asciiTheme="minorEastAsia" w:hAnsiTheme="minorEastAsia" w:eastAsiaTheme="minorEastAsia"/>
          <w:b/>
          <w:color w:val="auto"/>
          <w:kern w:val="0"/>
          <w:sz w:val="36"/>
          <w:szCs w:val="36"/>
          <w:highlight w:val="none"/>
        </w:rPr>
      </w:pPr>
    </w:p>
    <w:p w14:paraId="751E0BB8">
      <w:pPr>
        <w:widowControl/>
        <w:adjustRightInd/>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目录</w:t>
      </w:r>
    </w:p>
    <w:p w14:paraId="559CCB1F">
      <w:pPr>
        <w:spacing w:line="360" w:lineRule="auto"/>
        <w:ind w:firstLine="480" w:firstLineChars="200"/>
        <w:rPr>
          <w:rFonts w:ascii="宋体" w:hAnsi="宋体" w:cs="宋体"/>
          <w:color w:val="auto"/>
          <w:sz w:val="24"/>
          <w:highlight w:val="none"/>
        </w:rPr>
      </w:pPr>
    </w:p>
    <w:p w14:paraId="27A482DC">
      <w:pPr>
        <w:pStyle w:val="32"/>
        <w:numPr>
          <w:ilvl w:val="0"/>
          <w:numId w:val="19"/>
        </w:numPr>
        <w:spacing w:line="360" w:lineRule="auto"/>
        <w:ind w:left="479" w:leftChars="228"/>
        <w:rPr>
          <w:rFonts w:asciiTheme="minorEastAsia" w:hAnsiTheme="minorEastAsia" w:eastAsiaTheme="minorEastAsia"/>
          <w:color w:val="auto"/>
          <w:sz w:val="24"/>
          <w:szCs w:val="24"/>
          <w:highlight w:val="none"/>
        </w:rPr>
      </w:pPr>
      <w:r>
        <w:rPr>
          <w:rFonts w:hint="eastAsia" w:hAnsi="宋体" w:cs="宋体"/>
          <w:color w:val="auto"/>
          <w:sz w:val="24"/>
          <w:szCs w:val="24"/>
          <w:highlight w:val="none"/>
        </w:rPr>
        <w:t>初次报价一览表……………………………………………………（页码）（2）</w:t>
      </w:r>
      <w:r>
        <w:rPr>
          <w:rFonts w:hint="eastAsia" w:asciiTheme="minorEastAsia" w:hAnsiTheme="minorEastAsia" w:eastAsiaTheme="minorEastAsia"/>
          <w:color w:val="auto"/>
          <w:sz w:val="24"/>
          <w:szCs w:val="24"/>
          <w:highlight w:val="none"/>
        </w:rPr>
        <w:t>报价明细表</w:t>
      </w:r>
      <w:r>
        <w:rPr>
          <w:rFonts w:hint="eastAsia" w:hAnsi="宋体" w:cs="宋体"/>
          <w:color w:val="auto"/>
          <w:sz w:val="24"/>
          <w:szCs w:val="24"/>
          <w:highlight w:val="none"/>
        </w:rPr>
        <w:t>…………………………………………………………（页码）</w:t>
      </w:r>
    </w:p>
    <w:p w14:paraId="3BC2EFC9">
      <w:pPr>
        <w:snapToGrid w:val="0"/>
        <w:spacing w:line="360" w:lineRule="auto"/>
        <w:ind w:left="479" w:leftChars="228" w:firstLine="0" w:firstLineChars="0"/>
        <w:rPr>
          <w:rFonts w:ascii="宋体" w:hAnsi="宋体" w:cs="宋体"/>
          <w:color w:val="auto"/>
          <w:sz w:val="24"/>
          <w:highlight w:val="none"/>
        </w:rPr>
      </w:pPr>
      <w:r>
        <w:rPr>
          <w:rFonts w:hint="eastAsia" w:ascii="宋体" w:hAnsi="宋体" w:cs="宋体"/>
          <w:color w:val="auto"/>
          <w:sz w:val="24"/>
          <w:highlight w:val="none"/>
        </w:rPr>
        <w:t>（3）其他资料…………………………………………………………（页码）</w:t>
      </w:r>
    </w:p>
    <w:p w14:paraId="1A5610FF">
      <w:pPr>
        <w:spacing w:line="360" w:lineRule="auto"/>
        <w:rPr>
          <w:rFonts w:cs="仿宋_GB2312" w:asciiTheme="minorEastAsia" w:hAnsiTheme="minorEastAsia" w:eastAsiaTheme="minorEastAsia"/>
          <w:b/>
          <w:bCs/>
          <w:color w:val="auto"/>
          <w:spacing w:val="-6"/>
          <w:sz w:val="24"/>
          <w:highlight w:val="none"/>
        </w:rPr>
      </w:pPr>
      <w:r>
        <w:rPr>
          <w:rFonts w:hint="eastAsia" w:cs="仿宋_GB2312" w:asciiTheme="minorEastAsia" w:hAnsiTheme="minorEastAsia" w:eastAsiaTheme="minorEastAsia"/>
          <w:b/>
          <w:bCs/>
          <w:color w:val="auto"/>
          <w:spacing w:val="-6"/>
          <w:sz w:val="24"/>
          <w:highlight w:val="none"/>
        </w:rPr>
        <w:t>注：以上目录是编制供应商响应文件的基本格式要求，各供应商可根据自身情况进一步细化。</w:t>
      </w:r>
    </w:p>
    <w:p w14:paraId="7E507567">
      <w:pPr>
        <w:spacing w:line="360" w:lineRule="auto"/>
        <w:jc w:val="center"/>
        <w:rPr>
          <w:rFonts w:cs="仿宋_GB2312" w:asciiTheme="minorEastAsia" w:hAnsiTheme="minorEastAsia" w:eastAsiaTheme="minorEastAsia"/>
          <w:b/>
          <w:bCs/>
          <w:color w:val="auto"/>
          <w:sz w:val="32"/>
          <w:szCs w:val="32"/>
          <w:highlight w:val="none"/>
        </w:rPr>
      </w:pPr>
    </w:p>
    <w:p w14:paraId="21DBA6D2">
      <w:pPr>
        <w:spacing w:line="360" w:lineRule="auto"/>
        <w:jc w:val="center"/>
        <w:rPr>
          <w:rFonts w:cs="仿宋_GB2312" w:asciiTheme="minorEastAsia" w:hAnsiTheme="minorEastAsia" w:eastAsiaTheme="minorEastAsia"/>
          <w:b/>
          <w:bCs/>
          <w:color w:val="auto"/>
          <w:sz w:val="32"/>
          <w:szCs w:val="32"/>
          <w:highlight w:val="none"/>
        </w:rPr>
      </w:pPr>
    </w:p>
    <w:p w14:paraId="1C2E89C8">
      <w:pPr>
        <w:spacing w:line="360" w:lineRule="auto"/>
        <w:jc w:val="center"/>
        <w:rPr>
          <w:rFonts w:cs="仿宋_GB2312" w:asciiTheme="minorEastAsia" w:hAnsiTheme="minorEastAsia" w:eastAsiaTheme="minorEastAsia"/>
          <w:b/>
          <w:bCs/>
          <w:color w:val="auto"/>
          <w:sz w:val="32"/>
          <w:szCs w:val="32"/>
          <w:highlight w:val="none"/>
        </w:rPr>
      </w:pPr>
    </w:p>
    <w:p w14:paraId="457C0335">
      <w:pPr>
        <w:spacing w:line="360" w:lineRule="auto"/>
        <w:jc w:val="center"/>
        <w:rPr>
          <w:rFonts w:cs="仿宋_GB2312" w:asciiTheme="minorEastAsia" w:hAnsiTheme="minorEastAsia" w:eastAsiaTheme="minorEastAsia"/>
          <w:b/>
          <w:bCs/>
          <w:color w:val="auto"/>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B8F856E">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一、初次报价一览表</w:t>
      </w:r>
    </w:p>
    <w:p w14:paraId="36ABC71E">
      <w:pPr>
        <w:pStyle w:val="32"/>
        <w:rPr>
          <w:color w:val="auto"/>
          <w:highlight w:val="none"/>
        </w:rPr>
      </w:pPr>
    </w:p>
    <w:p w14:paraId="4A3F3140">
      <w:pPr>
        <w:snapToGrid w:val="0"/>
        <w:spacing w:before="50" w:after="50"/>
        <w:ind w:lef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tbl>
      <w:tblPr>
        <w:tblStyle w:val="61"/>
        <w:tblW w:w="511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3"/>
        <w:gridCol w:w="2533"/>
        <w:gridCol w:w="2939"/>
      </w:tblGrid>
      <w:tr w14:paraId="24B7E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860" w:type="pct"/>
            <w:tcBorders>
              <w:top w:val="single" w:color="auto" w:sz="4" w:space="0"/>
              <w:left w:val="single" w:color="auto" w:sz="4" w:space="0"/>
              <w:bottom w:val="single" w:color="auto" w:sz="4" w:space="0"/>
              <w:right w:val="single" w:color="auto" w:sz="4" w:space="0"/>
            </w:tcBorders>
            <w:vAlign w:val="center"/>
          </w:tcPr>
          <w:p w14:paraId="3978869D">
            <w:pPr>
              <w:pStyle w:val="24"/>
              <w:spacing w:line="400" w:lineRule="exact"/>
              <w:ind w:firstLine="0" w:firstLineChars="0"/>
              <w:jc w:val="center"/>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标项名称</w:t>
            </w:r>
          </w:p>
        </w:tc>
        <w:tc>
          <w:tcPr>
            <w:tcW w:w="1453" w:type="pct"/>
            <w:tcBorders>
              <w:top w:val="single" w:color="auto" w:sz="4" w:space="0"/>
              <w:left w:val="single" w:color="auto" w:sz="4" w:space="0"/>
              <w:bottom w:val="single" w:color="auto" w:sz="4" w:space="0"/>
              <w:right w:val="single" w:color="auto" w:sz="4" w:space="0"/>
            </w:tcBorders>
            <w:vAlign w:val="center"/>
          </w:tcPr>
          <w:p w14:paraId="16B6D51C">
            <w:pPr>
              <w:pStyle w:val="24"/>
              <w:spacing w:line="400" w:lineRule="exact"/>
              <w:ind w:left="525" w:hanging="525" w:hangingChars="218"/>
              <w:jc w:val="center"/>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初次报价（元</w:t>
            </w:r>
            <w:r>
              <w:rPr>
                <w:rFonts w:hint="eastAsia" w:asciiTheme="minorEastAsia" w:hAnsiTheme="minorEastAsia" w:eastAsiaTheme="minorEastAsia" w:cstheme="minorEastAsia"/>
                <w:b/>
                <w:bCs/>
                <w:color w:val="auto"/>
                <w:highlight w:val="none"/>
                <w:lang w:val="en-US" w:eastAsia="zh-CN"/>
              </w:rPr>
              <w:t>/年</w:t>
            </w:r>
            <w:r>
              <w:rPr>
                <w:rFonts w:hint="eastAsia" w:asciiTheme="minorEastAsia" w:hAnsiTheme="minorEastAsia" w:eastAsiaTheme="minorEastAsia" w:cstheme="minorEastAsia"/>
                <w:b/>
                <w:bCs/>
                <w:color w:val="auto"/>
                <w:highlight w:val="none"/>
              </w:rPr>
              <w:t>）</w:t>
            </w:r>
          </w:p>
        </w:tc>
        <w:tc>
          <w:tcPr>
            <w:tcW w:w="1686" w:type="pct"/>
            <w:tcBorders>
              <w:top w:val="single" w:color="auto" w:sz="4" w:space="0"/>
              <w:left w:val="single" w:color="auto" w:sz="4" w:space="0"/>
              <w:bottom w:val="single" w:color="auto" w:sz="4" w:space="0"/>
              <w:right w:val="single" w:color="auto" w:sz="4" w:space="0"/>
            </w:tcBorders>
            <w:vAlign w:val="center"/>
          </w:tcPr>
          <w:p w14:paraId="3988B760">
            <w:pPr>
              <w:pStyle w:val="24"/>
              <w:spacing w:line="400" w:lineRule="exact"/>
              <w:ind w:left="525" w:hanging="525" w:hangingChars="218"/>
              <w:jc w:val="center"/>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初次报价（</w:t>
            </w:r>
            <w:r>
              <w:rPr>
                <w:rFonts w:hint="eastAsia" w:asciiTheme="minorEastAsia" w:hAnsiTheme="minorEastAsia" w:eastAsiaTheme="minorEastAsia" w:cstheme="minorEastAsia"/>
                <w:b/>
                <w:bCs/>
                <w:color w:val="auto"/>
                <w:highlight w:val="none"/>
                <w:lang w:val="en-US" w:eastAsia="zh-CN"/>
              </w:rPr>
              <w:t>元/三年</w:t>
            </w:r>
            <w:r>
              <w:rPr>
                <w:rFonts w:hint="eastAsia" w:asciiTheme="minorEastAsia" w:hAnsiTheme="minorEastAsia" w:eastAsiaTheme="minorEastAsia" w:cstheme="minorEastAsia"/>
                <w:b/>
                <w:bCs/>
                <w:color w:val="auto"/>
                <w:highlight w:val="none"/>
              </w:rPr>
              <w:t>）</w:t>
            </w:r>
          </w:p>
        </w:tc>
      </w:tr>
      <w:tr w14:paraId="4FC4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1860" w:type="pct"/>
            <w:tcBorders>
              <w:top w:val="single" w:color="auto" w:sz="4" w:space="0"/>
              <w:left w:val="single" w:color="auto" w:sz="4" w:space="0"/>
              <w:bottom w:val="single" w:color="auto" w:sz="4" w:space="0"/>
              <w:right w:val="single" w:color="auto" w:sz="4" w:space="0"/>
            </w:tcBorders>
            <w:vAlign w:val="center"/>
          </w:tcPr>
          <w:p w14:paraId="27C1FC1A">
            <w:pPr>
              <w:jc w:val="center"/>
              <w:rPr>
                <w:rFonts w:asciiTheme="minorEastAsia" w:hAnsiTheme="minorEastAsia" w:eastAsiaTheme="minorEastAsia" w:cstheme="minorEastAsia"/>
                <w:color w:val="auto"/>
                <w:sz w:val="24"/>
                <w:highlight w:val="none"/>
              </w:rPr>
            </w:pPr>
          </w:p>
        </w:tc>
        <w:tc>
          <w:tcPr>
            <w:tcW w:w="1453" w:type="pct"/>
            <w:tcBorders>
              <w:top w:val="single" w:color="auto" w:sz="4" w:space="0"/>
              <w:left w:val="single" w:color="auto" w:sz="4" w:space="0"/>
              <w:bottom w:val="single" w:color="auto" w:sz="4" w:space="0"/>
              <w:right w:val="single" w:color="auto" w:sz="4" w:space="0"/>
            </w:tcBorders>
            <w:vAlign w:val="center"/>
          </w:tcPr>
          <w:p w14:paraId="530ECF8B">
            <w:pPr>
              <w:pStyle w:val="2"/>
              <w:spacing w:line="400" w:lineRule="exact"/>
              <w:ind w:firstLine="0"/>
              <w:jc w:val="center"/>
              <w:rPr>
                <w:rFonts w:hint="eastAsia" w:asciiTheme="minorEastAsia" w:hAnsiTheme="minorEastAsia" w:eastAsiaTheme="minorEastAsia" w:cstheme="minorEastAsia"/>
                <w:color w:val="auto"/>
                <w:szCs w:val="24"/>
                <w:highlight w:val="none"/>
                <w:lang w:val="en-US" w:eastAsia="zh-CN"/>
              </w:rPr>
            </w:pPr>
          </w:p>
        </w:tc>
        <w:tc>
          <w:tcPr>
            <w:tcW w:w="1686" w:type="pct"/>
            <w:tcBorders>
              <w:top w:val="single" w:color="auto" w:sz="4" w:space="0"/>
              <w:left w:val="single" w:color="auto" w:sz="4" w:space="0"/>
              <w:bottom w:val="single" w:color="auto" w:sz="4" w:space="0"/>
              <w:right w:val="single" w:color="auto" w:sz="4" w:space="0"/>
            </w:tcBorders>
            <w:vAlign w:val="center"/>
          </w:tcPr>
          <w:p w14:paraId="28C3C4D8">
            <w:pPr>
              <w:pStyle w:val="2"/>
              <w:spacing w:line="400" w:lineRule="exact"/>
              <w:ind w:firstLine="0"/>
              <w:jc w:val="center"/>
              <w:rPr>
                <w:rFonts w:asciiTheme="minorEastAsia" w:hAnsiTheme="minorEastAsia" w:eastAsiaTheme="minorEastAsia" w:cstheme="minorEastAsia"/>
                <w:color w:val="auto"/>
                <w:szCs w:val="24"/>
                <w:highlight w:val="none"/>
                <w:lang w:val="en-US"/>
              </w:rPr>
            </w:pPr>
          </w:p>
        </w:tc>
      </w:tr>
    </w:tbl>
    <w:p w14:paraId="2B70649E">
      <w:pPr>
        <w:snapToGrid w:val="0"/>
        <w:spacing w:before="50" w:after="50" w:line="360" w:lineRule="auto"/>
        <w:ind w:left="420" w:left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 1、报价一经涂改，应在涂改处加盖供应商电子签名，否则其投标作无效标处理。</w:t>
      </w:r>
    </w:p>
    <w:p w14:paraId="64E9F343">
      <w:pPr>
        <w:autoSpaceDE w:val="0"/>
        <w:autoSpaceDN w:val="0"/>
        <w:spacing w:line="360" w:lineRule="auto"/>
        <w:ind w:firstLine="4560" w:firstLineChars="1900"/>
        <w:rPr>
          <w:rFonts w:asciiTheme="minorEastAsia" w:hAnsiTheme="minorEastAsia" w:eastAsiaTheme="minorEastAsia" w:cstheme="minorEastAsia"/>
          <w:color w:val="auto"/>
          <w:kern w:val="0"/>
          <w:sz w:val="24"/>
          <w:highlight w:val="none"/>
        </w:rPr>
      </w:pPr>
    </w:p>
    <w:p w14:paraId="64512998">
      <w:pPr>
        <w:autoSpaceDE w:val="0"/>
        <w:autoSpaceDN w:val="0"/>
        <w:spacing w:line="360" w:lineRule="auto"/>
        <w:ind w:firstLine="4560" w:firstLineChars="19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w:t>
      </w:r>
      <w:r>
        <w:rPr>
          <w:rFonts w:hint="eastAsia" w:asciiTheme="minorEastAsia" w:hAnsiTheme="minorEastAsia" w:eastAsiaTheme="minorEastAsia" w:cstheme="minorEastAsia"/>
          <w:color w:val="auto"/>
          <w:kern w:val="0"/>
          <w:sz w:val="24"/>
          <w:highlight w:val="none"/>
          <w:lang w:val="zh-CN"/>
        </w:rPr>
        <w:t>电子签名</w:t>
      </w:r>
      <w:r>
        <w:rPr>
          <w:rFonts w:hint="eastAsia" w:asciiTheme="minorEastAsia" w:hAnsiTheme="minorEastAsia" w:eastAsiaTheme="minorEastAsia" w:cstheme="minorEastAsia"/>
          <w:color w:val="auto"/>
          <w:kern w:val="0"/>
          <w:sz w:val="24"/>
          <w:highlight w:val="none"/>
        </w:rPr>
        <w:t xml:space="preserve">）：                       </w:t>
      </w:r>
    </w:p>
    <w:p w14:paraId="7FD9B642">
      <w:pPr>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日期：  年  月   日</w:t>
      </w:r>
    </w:p>
    <w:p w14:paraId="319707B7">
      <w:pPr>
        <w:pStyle w:val="3"/>
        <w:rPr>
          <w:rFonts w:asciiTheme="minorEastAsia" w:hAnsiTheme="minorEastAsia" w:eastAsiaTheme="minorEastAsia" w:cstheme="minorEastAsia"/>
          <w:color w:val="auto"/>
          <w:szCs w:val="24"/>
          <w:highlight w:val="none"/>
          <w:lang w:val="en-US"/>
        </w:rPr>
      </w:pPr>
    </w:p>
    <w:p w14:paraId="425AC557">
      <w:pPr>
        <w:spacing w:line="360" w:lineRule="auto"/>
        <w:ind w:right="-874" w:rightChars="-416"/>
        <w:rPr>
          <w:rFonts w:asciiTheme="minorEastAsia" w:hAnsiTheme="minorEastAsia" w:eastAsiaTheme="minorEastAsia" w:cstheme="minorEastAsia"/>
          <w:color w:val="auto"/>
          <w:sz w:val="24"/>
          <w:highlight w:val="none"/>
        </w:rPr>
      </w:pPr>
    </w:p>
    <w:p w14:paraId="7FDB3CE0">
      <w:pPr>
        <w:spacing w:line="360" w:lineRule="auto"/>
        <w:jc w:val="center"/>
        <w:rPr>
          <w:rFonts w:cs="仿宋_GB2312" w:asciiTheme="minorEastAsia" w:hAnsiTheme="minorEastAsia" w:eastAsiaTheme="minorEastAsia"/>
          <w:b/>
          <w:bCs/>
          <w:color w:val="auto"/>
          <w:sz w:val="32"/>
          <w:szCs w:val="32"/>
          <w:highlight w:val="none"/>
        </w:rPr>
        <w:sectPr>
          <w:headerReference r:id="rId15" w:type="first"/>
          <w:footerReference r:id="rId17" w:type="first"/>
          <w:headerReference r:id="rId14" w:type="default"/>
          <w:footerReference r:id="rId1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91EA5B6">
      <w:pPr>
        <w:spacing w:line="360" w:lineRule="auto"/>
        <w:jc w:val="center"/>
        <w:rPr>
          <w:rFonts w:cs="仿宋_GB2312" w:asciiTheme="minorEastAsia" w:hAnsiTheme="minorEastAsia" w:eastAsiaTheme="minorEastAsia"/>
          <w:b/>
          <w:bCs/>
          <w:color w:val="auto"/>
          <w:sz w:val="32"/>
          <w:szCs w:val="32"/>
          <w:highlight w:val="none"/>
        </w:rPr>
      </w:pPr>
      <w:bookmarkStart w:id="110" w:name="_Toc8239"/>
      <w:r>
        <w:rPr>
          <w:rFonts w:hint="eastAsia" w:cs="仿宋_GB2312" w:asciiTheme="minorEastAsia" w:hAnsiTheme="minorEastAsia" w:eastAsiaTheme="minorEastAsia"/>
          <w:b/>
          <w:bCs/>
          <w:color w:val="auto"/>
          <w:sz w:val="32"/>
          <w:szCs w:val="32"/>
          <w:highlight w:val="none"/>
        </w:rPr>
        <w:t>二、报价明细表</w:t>
      </w:r>
    </w:p>
    <w:p w14:paraId="4AA1A29F">
      <w:pPr>
        <w:pStyle w:val="158"/>
        <w:ind w:firstLine="0"/>
        <w:jc w:val="both"/>
        <w:rPr>
          <w:rFonts w:hAnsi="宋体" w:cs="宋体"/>
          <w:b/>
          <w:bCs/>
          <w:color w:val="auto"/>
          <w:szCs w:val="24"/>
          <w:highlight w:val="none"/>
        </w:rPr>
      </w:pP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tbl>
      <w:tblPr>
        <w:tblStyle w:val="61"/>
        <w:tblW w:w="899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633"/>
        <w:gridCol w:w="1545"/>
        <w:gridCol w:w="1320"/>
        <w:gridCol w:w="1353"/>
        <w:gridCol w:w="1257"/>
      </w:tblGrid>
      <w:tr w14:paraId="40C5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87" w:type="dxa"/>
            <w:shd w:val="clear" w:color="auto" w:fill="auto"/>
            <w:vAlign w:val="center"/>
          </w:tcPr>
          <w:p w14:paraId="0E9B0928">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序号</w:t>
            </w:r>
          </w:p>
        </w:tc>
        <w:tc>
          <w:tcPr>
            <w:tcW w:w="2633" w:type="dxa"/>
            <w:shd w:val="clear" w:color="auto" w:fill="auto"/>
            <w:vAlign w:val="center"/>
          </w:tcPr>
          <w:p w14:paraId="319EE4B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服务内容</w:t>
            </w:r>
          </w:p>
        </w:tc>
        <w:tc>
          <w:tcPr>
            <w:tcW w:w="1545" w:type="dxa"/>
            <w:shd w:val="clear" w:color="auto" w:fill="auto"/>
            <w:vAlign w:val="center"/>
          </w:tcPr>
          <w:p w14:paraId="3D4D81C0">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数量/单位</w:t>
            </w:r>
          </w:p>
        </w:tc>
        <w:tc>
          <w:tcPr>
            <w:tcW w:w="1320" w:type="dxa"/>
            <w:shd w:val="clear" w:color="auto" w:fill="auto"/>
            <w:vAlign w:val="center"/>
          </w:tcPr>
          <w:p w14:paraId="7A2681A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单价（元）</w:t>
            </w:r>
          </w:p>
        </w:tc>
        <w:tc>
          <w:tcPr>
            <w:tcW w:w="1353" w:type="dxa"/>
            <w:shd w:val="clear" w:color="auto" w:fill="auto"/>
            <w:vAlign w:val="center"/>
          </w:tcPr>
          <w:p w14:paraId="153E2FE4">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总价（元）</w:t>
            </w:r>
          </w:p>
        </w:tc>
        <w:tc>
          <w:tcPr>
            <w:tcW w:w="1257" w:type="dxa"/>
            <w:shd w:val="clear" w:color="auto" w:fill="auto"/>
            <w:vAlign w:val="center"/>
          </w:tcPr>
          <w:p w14:paraId="23F5460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备注</w:t>
            </w:r>
          </w:p>
        </w:tc>
      </w:tr>
      <w:tr w14:paraId="2E46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87" w:type="dxa"/>
            <w:shd w:val="clear" w:color="auto" w:fill="auto"/>
            <w:vAlign w:val="center"/>
          </w:tcPr>
          <w:p w14:paraId="3D86C73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2633" w:type="dxa"/>
            <w:shd w:val="clear" w:color="auto" w:fill="auto"/>
            <w:vAlign w:val="center"/>
          </w:tcPr>
          <w:p w14:paraId="77724607">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使用服务费</w:t>
            </w:r>
          </w:p>
          <w:p w14:paraId="561768B5">
            <w:pPr>
              <w:widowControl/>
              <w:jc w:val="left"/>
              <w:textAlignment w:val="center"/>
              <w:rPr>
                <w:rFonts w:hint="eastAsia" w:ascii="宋体" w:hAnsi="宋体" w:eastAsia="宋体" w:cs="宋体"/>
                <w:color w:val="auto"/>
                <w:sz w:val="24"/>
                <w:szCs w:val="24"/>
                <w:highlight w:val="none"/>
              </w:rPr>
            </w:pPr>
          </w:p>
        </w:tc>
        <w:tc>
          <w:tcPr>
            <w:tcW w:w="1545" w:type="dxa"/>
            <w:shd w:val="clear" w:color="auto" w:fill="auto"/>
            <w:vAlign w:val="center"/>
          </w:tcPr>
          <w:p w14:paraId="31878BB3">
            <w:pPr>
              <w:widowControl/>
              <w:jc w:val="center"/>
              <w:textAlignment w:val="center"/>
              <w:rPr>
                <w:rFonts w:hint="eastAsia" w:ascii="宋体" w:hAnsi="宋体" w:eastAsia="宋体" w:cs="宋体"/>
                <w:color w:val="auto"/>
                <w:sz w:val="24"/>
                <w:szCs w:val="24"/>
                <w:highlight w:val="none"/>
              </w:rPr>
            </w:pPr>
          </w:p>
        </w:tc>
        <w:tc>
          <w:tcPr>
            <w:tcW w:w="1320" w:type="dxa"/>
            <w:shd w:val="clear" w:color="auto" w:fill="auto"/>
            <w:vAlign w:val="center"/>
          </w:tcPr>
          <w:p w14:paraId="23983027">
            <w:pPr>
              <w:widowControl/>
              <w:jc w:val="center"/>
              <w:textAlignment w:val="center"/>
              <w:rPr>
                <w:rFonts w:hint="eastAsia" w:ascii="宋体" w:hAnsi="宋体" w:eastAsia="宋体" w:cs="宋体"/>
                <w:color w:val="auto"/>
                <w:sz w:val="24"/>
                <w:szCs w:val="24"/>
                <w:highlight w:val="none"/>
              </w:rPr>
            </w:pPr>
          </w:p>
        </w:tc>
        <w:tc>
          <w:tcPr>
            <w:tcW w:w="1353" w:type="dxa"/>
            <w:shd w:val="clear" w:color="auto" w:fill="auto"/>
            <w:vAlign w:val="center"/>
          </w:tcPr>
          <w:p w14:paraId="0B65B859">
            <w:pPr>
              <w:widowControl/>
              <w:jc w:val="center"/>
              <w:textAlignment w:val="center"/>
              <w:rPr>
                <w:rFonts w:hint="eastAsia" w:ascii="宋体" w:hAnsi="宋体" w:eastAsia="宋体" w:cs="宋体"/>
                <w:color w:val="auto"/>
                <w:sz w:val="24"/>
                <w:szCs w:val="24"/>
                <w:highlight w:val="none"/>
              </w:rPr>
            </w:pPr>
          </w:p>
        </w:tc>
        <w:tc>
          <w:tcPr>
            <w:tcW w:w="1257" w:type="dxa"/>
            <w:shd w:val="clear" w:color="auto" w:fill="auto"/>
            <w:vAlign w:val="center"/>
          </w:tcPr>
          <w:p w14:paraId="63588C52">
            <w:pPr>
              <w:widowControl/>
              <w:jc w:val="center"/>
              <w:textAlignment w:val="center"/>
              <w:rPr>
                <w:rFonts w:hint="eastAsia" w:ascii="宋体" w:hAnsi="宋体" w:eastAsia="宋体" w:cs="宋体"/>
                <w:color w:val="auto"/>
                <w:sz w:val="24"/>
                <w:szCs w:val="24"/>
                <w:highlight w:val="none"/>
              </w:rPr>
            </w:pPr>
          </w:p>
        </w:tc>
      </w:tr>
      <w:tr w14:paraId="0B5A8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87" w:type="dxa"/>
            <w:shd w:val="clear" w:color="auto" w:fill="auto"/>
            <w:vAlign w:val="center"/>
          </w:tcPr>
          <w:p w14:paraId="5107B60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2633" w:type="dxa"/>
            <w:shd w:val="clear" w:color="auto" w:fill="auto"/>
            <w:vAlign w:val="center"/>
          </w:tcPr>
          <w:p w14:paraId="7787BCD0">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运维服务费</w:t>
            </w:r>
          </w:p>
          <w:p w14:paraId="7B4B4F8D">
            <w:pPr>
              <w:widowControl/>
              <w:jc w:val="left"/>
              <w:textAlignment w:val="center"/>
              <w:rPr>
                <w:rFonts w:hint="eastAsia" w:ascii="宋体" w:hAnsi="宋体" w:eastAsia="宋体" w:cs="宋体"/>
                <w:color w:val="auto"/>
                <w:sz w:val="24"/>
                <w:szCs w:val="24"/>
                <w:highlight w:val="none"/>
              </w:rPr>
            </w:pPr>
          </w:p>
        </w:tc>
        <w:tc>
          <w:tcPr>
            <w:tcW w:w="1545" w:type="dxa"/>
            <w:shd w:val="clear" w:color="auto" w:fill="auto"/>
            <w:vAlign w:val="center"/>
          </w:tcPr>
          <w:p w14:paraId="1AD333A4">
            <w:pPr>
              <w:widowControl/>
              <w:jc w:val="center"/>
              <w:textAlignment w:val="center"/>
              <w:rPr>
                <w:rFonts w:hint="eastAsia" w:ascii="宋体" w:hAnsi="宋体" w:eastAsia="宋体" w:cs="宋体"/>
                <w:color w:val="auto"/>
                <w:sz w:val="24"/>
                <w:szCs w:val="24"/>
                <w:highlight w:val="none"/>
              </w:rPr>
            </w:pPr>
          </w:p>
        </w:tc>
        <w:tc>
          <w:tcPr>
            <w:tcW w:w="1320" w:type="dxa"/>
            <w:shd w:val="clear" w:color="auto" w:fill="auto"/>
            <w:vAlign w:val="center"/>
          </w:tcPr>
          <w:p w14:paraId="03E7E837">
            <w:pPr>
              <w:widowControl/>
              <w:jc w:val="center"/>
              <w:textAlignment w:val="center"/>
              <w:rPr>
                <w:rFonts w:hint="eastAsia" w:ascii="宋体" w:hAnsi="宋体" w:eastAsia="宋体" w:cs="宋体"/>
                <w:color w:val="auto"/>
                <w:sz w:val="24"/>
                <w:szCs w:val="24"/>
                <w:highlight w:val="none"/>
              </w:rPr>
            </w:pPr>
          </w:p>
        </w:tc>
        <w:tc>
          <w:tcPr>
            <w:tcW w:w="1353" w:type="dxa"/>
            <w:shd w:val="clear" w:color="auto" w:fill="auto"/>
            <w:vAlign w:val="center"/>
          </w:tcPr>
          <w:p w14:paraId="2E21B2DB">
            <w:pPr>
              <w:widowControl/>
              <w:jc w:val="center"/>
              <w:textAlignment w:val="center"/>
              <w:rPr>
                <w:rFonts w:hint="eastAsia" w:ascii="宋体" w:hAnsi="宋体" w:eastAsia="宋体" w:cs="宋体"/>
                <w:color w:val="auto"/>
                <w:sz w:val="24"/>
                <w:szCs w:val="24"/>
                <w:highlight w:val="none"/>
              </w:rPr>
            </w:pPr>
          </w:p>
        </w:tc>
        <w:tc>
          <w:tcPr>
            <w:tcW w:w="1257" w:type="dxa"/>
            <w:shd w:val="clear" w:color="auto" w:fill="auto"/>
            <w:vAlign w:val="center"/>
          </w:tcPr>
          <w:p w14:paraId="1E95EF38">
            <w:pPr>
              <w:widowControl/>
              <w:jc w:val="center"/>
              <w:textAlignment w:val="center"/>
              <w:rPr>
                <w:rFonts w:hint="eastAsia" w:ascii="宋体" w:hAnsi="宋体" w:eastAsia="宋体" w:cs="宋体"/>
                <w:color w:val="auto"/>
                <w:sz w:val="24"/>
                <w:szCs w:val="24"/>
                <w:highlight w:val="none"/>
              </w:rPr>
            </w:pPr>
          </w:p>
        </w:tc>
      </w:tr>
      <w:tr w14:paraId="2867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87" w:type="dxa"/>
            <w:shd w:val="clear" w:color="auto" w:fill="auto"/>
            <w:vAlign w:val="center"/>
          </w:tcPr>
          <w:p w14:paraId="5D164BC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2633" w:type="dxa"/>
            <w:shd w:val="clear" w:color="auto" w:fill="auto"/>
            <w:vAlign w:val="center"/>
          </w:tcPr>
          <w:p w14:paraId="6B7261F3">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链路费</w:t>
            </w:r>
          </w:p>
        </w:tc>
        <w:tc>
          <w:tcPr>
            <w:tcW w:w="1545" w:type="dxa"/>
            <w:shd w:val="clear" w:color="auto" w:fill="auto"/>
            <w:vAlign w:val="center"/>
          </w:tcPr>
          <w:p w14:paraId="413C0FF0">
            <w:pPr>
              <w:widowControl/>
              <w:jc w:val="center"/>
              <w:textAlignment w:val="center"/>
              <w:rPr>
                <w:rFonts w:hint="eastAsia" w:ascii="宋体" w:hAnsi="宋体" w:eastAsia="宋体" w:cs="宋体"/>
                <w:color w:val="auto"/>
                <w:sz w:val="24"/>
                <w:szCs w:val="24"/>
                <w:highlight w:val="none"/>
              </w:rPr>
            </w:pPr>
          </w:p>
        </w:tc>
        <w:tc>
          <w:tcPr>
            <w:tcW w:w="1320" w:type="dxa"/>
            <w:shd w:val="clear" w:color="auto" w:fill="auto"/>
            <w:vAlign w:val="center"/>
          </w:tcPr>
          <w:p w14:paraId="7882B97E">
            <w:pPr>
              <w:widowControl/>
              <w:jc w:val="center"/>
              <w:textAlignment w:val="center"/>
              <w:rPr>
                <w:rFonts w:hint="eastAsia" w:ascii="宋体" w:hAnsi="宋体" w:eastAsia="宋体" w:cs="宋体"/>
                <w:color w:val="auto"/>
                <w:sz w:val="24"/>
                <w:szCs w:val="24"/>
                <w:highlight w:val="none"/>
              </w:rPr>
            </w:pPr>
          </w:p>
        </w:tc>
        <w:tc>
          <w:tcPr>
            <w:tcW w:w="1353" w:type="dxa"/>
            <w:shd w:val="clear" w:color="auto" w:fill="auto"/>
            <w:vAlign w:val="center"/>
          </w:tcPr>
          <w:p w14:paraId="11BB6EB7">
            <w:pPr>
              <w:widowControl/>
              <w:jc w:val="center"/>
              <w:textAlignment w:val="center"/>
              <w:rPr>
                <w:rFonts w:hint="eastAsia" w:ascii="宋体" w:hAnsi="宋体" w:eastAsia="宋体" w:cs="宋体"/>
                <w:color w:val="auto"/>
                <w:sz w:val="24"/>
                <w:szCs w:val="24"/>
                <w:highlight w:val="none"/>
              </w:rPr>
            </w:pPr>
          </w:p>
        </w:tc>
        <w:tc>
          <w:tcPr>
            <w:tcW w:w="1257" w:type="dxa"/>
            <w:shd w:val="clear" w:color="auto" w:fill="auto"/>
            <w:vAlign w:val="center"/>
          </w:tcPr>
          <w:p w14:paraId="3C3BF644">
            <w:pPr>
              <w:widowControl/>
              <w:jc w:val="center"/>
              <w:textAlignment w:val="center"/>
              <w:rPr>
                <w:rFonts w:hint="eastAsia" w:ascii="宋体" w:hAnsi="宋体" w:eastAsia="宋体" w:cs="宋体"/>
                <w:color w:val="auto"/>
                <w:sz w:val="24"/>
                <w:szCs w:val="24"/>
                <w:highlight w:val="none"/>
              </w:rPr>
            </w:pPr>
          </w:p>
        </w:tc>
      </w:tr>
      <w:tr w14:paraId="1C742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87" w:type="dxa"/>
            <w:shd w:val="clear" w:color="auto" w:fill="auto"/>
            <w:vAlign w:val="center"/>
          </w:tcPr>
          <w:p w14:paraId="3A01F209">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2633" w:type="dxa"/>
            <w:shd w:val="clear" w:color="auto" w:fill="auto"/>
            <w:vAlign w:val="center"/>
          </w:tcPr>
          <w:p w14:paraId="3ED2EB05">
            <w:pPr>
              <w:widowControl/>
              <w:jc w:val="left"/>
              <w:textAlignment w:val="center"/>
              <w:rPr>
                <w:rFonts w:hint="eastAsia" w:ascii="宋体" w:hAnsi="宋体" w:eastAsia="宋体" w:cs="宋体"/>
                <w:color w:val="auto"/>
                <w:sz w:val="24"/>
                <w:szCs w:val="24"/>
                <w:highlight w:val="none"/>
                <w:lang w:val="en-US" w:eastAsia="zh-CN"/>
              </w:rPr>
            </w:pPr>
          </w:p>
        </w:tc>
        <w:tc>
          <w:tcPr>
            <w:tcW w:w="1545" w:type="dxa"/>
            <w:shd w:val="clear" w:color="auto" w:fill="auto"/>
            <w:vAlign w:val="center"/>
          </w:tcPr>
          <w:p w14:paraId="736C9748">
            <w:pPr>
              <w:widowControl/>
              <w:jc w:val="center"/>
              <w:textAlignment w:val="center"/>
              <w:rPr>
                <w:rFonts w:hint="eastAsia" w:ascii="宋体" w:hAnsi="宋体" w:eastAsia="宋体" w:cs="宋体"/>
                <w:color w:val="auto"/>
                <w:sz w:val="24"/>
                <w:szCs w:val="24"/>
                <w:highlight w:val="none"/>
              </w:rPr>
            </w:pPr>
          </w:p>
        </w:tc>
        <w:tc>
          <w:tcPr>
            <w:tcW w:w="1320" w:type="dxa"/>
            <w:shd w:val="clear" w:color="auto" w:fill="auto"/>
            <w:vAlign w:val="center"/>
          </w:tcPr>
          <w:p w14:paraId="3D10EF7F">
            <w:pPr>
              <w:widowControl/>
              <w:jc w:val="center"/>
              <w:textAlignment w:val="center"/>
              <w:rPr>
                <w:rFonts w:hint="eastAsia" w:ascii="宋体" w:hAnsi="宋体" w:eastAsia="宋体" w:cs="宋体"/>
                <w:color w:val="auto"/>
                <w:sz w:val="24"/>
                <w:szCs w:val="24"/>
                <w:highlight w:val="none"/>
              </w:rPr>
            </w:pPr>
          </w:p>
        </w:tc>
        <w:tc>
          <w:tcPr>
            <w:tcW w:w="1353" w:type="dxa"/>
            <w:shd w:val="clear" w:color="auto" w:fill="auto"/>
            <w:vAlign w:val="center"/>
          </w:tcPr>
          <w:p w14:paraId="1859847F">
            <w:pPr>
              <w:widowControl/>
              <w:jc w:val="center"/>
              <w:textAlignment w:val="center"/>
              <w:rPr>
                <w:rFonts w:hint="eastAsia" w:ascii="宋体" w:hAnsi="宋体" w:eastAsia="宋体" w:cs="宋体"/>
                <w:color w:val="auto"/>
                <w:sz w:val="24"/>
                <w:szCs w:val="24"/>
                <w:highlight w:val="none"/>
              </w:rPr>
            </w:pPr>
          </w:p>
        </w:tc>
        <w:tc>
          <w:tcPr>
            <w:tcW w:w="1257" w:type="dxa"/>
            <w:shd w:val="clear" w:color="auto" w:fill="auto"/>
            <w:vAlign w:val="center"/>
          </w:tcPr>
          <w:p w14:paraId="7B27E51E">
            <w:pPr>
              <w:widowControl/>
              <w:jc w:val="center"/>
              <w:textAlignment w:val="center"/>
              <w:rPr>
                <w:rFonts w:hint="eastAsia" w:ascii="宋体" w:hAnsi="宋体" w:eastAsia="宋体" w:cs="宋体"/>
                <w:color w:val="auto"/>
                <w:sz w:val="24"/>
                <w:szCs w:val="24"/>
                <w:highlight w:val="none"/>
              </w:rPr>
            </w:pPr>
          </w:p>
        </w:tc>
      </w:tr>
      <w:tr w14:paraId="6AFD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87" w:type="dxa"/>
            <w:shd w:val="clear" w:color="auto" w:fill="auto"/>
            <w:vAlign w:val="center"/>
          </w:tcPr>
          <w:p w14:paraId="723F7E7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2633" w:type="dxa"/>
            <w:shd w:val="clear" w:color="auto" w:fill="auto"/>
            <w:vAlign w:val="center"/>
          </w:tcPr>
          <w:p w14:paraId="2A711012">
            <w:pPr>
              <w:widowControl/>
              <w:jc w:val="left"/>
              <w:textAlignment w:val="center"/>
              <w:rPr>
                <w:rFonts w:hint="eastAsia" w:ascii="宋体" w:hAnsi="宋体" w:eastAsia="宋体" w:cs="宋体"/>
                <w:color w:val="auto"/>
                <w:sz w:val="24"/>
                <w:szCs w:val="24"/>
                <w:highlight w:val="none"/>
                <w:lang w:val="en-US" w:eastAsia="zh-CN"/>
              </w:rPr>
            </w:pPr>
          </w:p>
        </w:tc>
        <w:tc>
          <w:tcPr>
            <w:tcW w:w="1545" w:type="dxa"/>
            <w:shd w:val="clear" w:color="auto" w:fill="auto"/>
            <w:vAlign w:val="center"/>
          </w:tcPr>
          <w:p w14:paraId="2F4A7E43">
            <w:pPr>
              <w:widowControl/>
              <w:jc w:val="center"/>
              <w:textAlignment w:val="center"/>
              <w:rPr>
                <w:rFonts w:hint="eastAsia" w:ascii="宋体" w:hAnsi="宋体" w:eastAsia="宋体" w:cs="宋体"/>
                <w:color w:val="auto"/>
                <w:sz w:val="24"/>
                <w:szCs w:val="24"/>
                <w:highlight w:val="none"/>
              </w:rPr>
            </w:pPr>
          </w:p>
        </w:tc>
        <w:tc>
          <w:tcPr>
            <w:tcW w:w="1320" w:type="dxa"/>
            <w:shd w:val="clear" w:color="auto" w:fill="auto"/>
            <w:vAlign w:val="center"/>
          </w:tcPr>
          <w:p w14:paraId="1AE72E57">
            <w:pPr>
              <w:widowControl/>
              <w:jc w:val="center"/>
              <w:textAlignment w:val="center"/>
              <w:rPr>
                <w:rFonts w:hint="eastAsia" w:ascii="宋体" w:hAnsi="宋体" w:eastAsia="宋体" w:cs="宋体"/>
                <w:color w:val="auto"/>
                <w:sz w:val="24"/>
                <w:szCs w:val="24"/>
                <w:highlight w:val="none"/>
              </w:rPr>
            </w:pPr>
          </w:p>
        </w:tc>
        <w:tc>
          <w:tcPr>
            <w:tcW w:w="1353" w:type="dxa"/>
            <w:shd w:val="clear" w:color="auto" w:fill="auto"/>
            <w:vAlign w:val="center"/>
          </w:tcPr>
          <w:p w14:paraId="7946E088">
            <w:pPr>
              <w:widowControl/>
              <w:jc w:val="center"/>
              <w:textAlignment w:val="center"/>
              <w:rPr>
                <w:rFonts w:hint="eastAsia" w:ascii="宋体" w:hAnsi="宋体" w:eastAsia="宋体" w:cs="宋体"/>
                <w:color w:val="auto"/>
                <w:sz w:val="24"/>
                <w:szCs w:val="24"/>
                <w:highlight w:val="none"/>
              </w:rPr>
            </w:pPr>
          </w:p>
        </w:tc>
        <w:tc>
          <w:tcPr>
            <w:tcW w:w="1257" w:type="dxa"/>
            <w:shd w:val="clear" w:color="auto" w:fill="auto"/>
            <w:vAlign w:val="center"/>
          </w:tcPr>
          <w:p w14:paraId="7C44DF4C">
            <w:pPr>
              <w:widowControl/>
              <w:jc w:val="center"/>
              <w:textAlignment w:val="center"/>
              <w:rPr>
                <w:rFonts w:hint="eastAsia" w:ascii="宋体" w:hAnsi="宋体" w:eastAsia="宋体" w:cs="宋体"/>
                <w:color w:val="auto"/>
                <w:sz w:val="24"/>
                <w:szCs w:val="24"/>
                <w:highlight w:val="none"/>
              </w:rPr>
            </w:pPr>
          </w:p>
        </w:tc>
      </w:tr>
      <w:tr w14:paraId="4C541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87" w:type="dxa"/>
            <w:shd w:val="clear" w:color="auto" w:fill="auto"/>
            <w:vAlign w:val="center"/>
          </w:tcPr>
          <w:p w14:paraId="46CA87A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w:t>
            </w:r>
          </w:p>
        </w:tc>
        <w:tc>
          <w:tcPr>
            <w:tcW w:w="2633" w:type="dxa"/>
            <w:shd w:val="clear" w:color="auto" w:fill="auto"/>
            <w:vAlign w:val="center"/>
          </w:tcPr>
          <w:p w14:paraId="67BB38F3">
            <w:pPr>
              <w:widowControl/>
              <w:jc w:val="left"/>
              <w:textAlignment w:val="center"/>
              <w:rPr>
                <w:rFonts w:hint="eastAsia" w:ascii="宋体" w:hAnsi="宋体" w:eastAsia="宋体" w:cs="宋体"/>
                <w:color w:val="auto"/>
                <w:sz w:val="24"/>
                <w:szCs w:val="24"/>
                <w:highlight w:val="none"/>
                <w:lang w:val="en-US" w:eastAsia="zh-CN"/>
              </w:rPr>
            </w:pPr>
          </w:p>
        </w:tc>
        <w:tc>
          <w:tcPr>
            <w:tcW w:w="1545" w:type="dxa"/>
            <w:shd w:val="clear" w:color="auto" w:fill="auto"/>
            <w:vAlign w:val="center"/>
          </w:tcPr>
          <w:p w14:paraId="1F404FB6">
            <w:pPr>
              <w:widowControl/>
              <w:jc w:val="center"/>
              <w:textAlignment w:val="center"/>
              <w:rPr>
                <w:rFonts w:hint="eastAsia" w:ascii="宋体" w:hAnsi="宋体" w:eastAsia="宋体" w:cs="宋体"/>
                <w:color w:val="auto"/>
                <w:sz w:val="24"/>
                <w:szCs w:val="24"/>
                <w:highlight w:val="none"/>
              </w:rPr>
            </w:pPr>
          </w:p>
        </w:tc>
        <w:tc>
          <w:tcPr>
            <w:tcW w:w="1320" w:type="dxa"/>
            <w:shd w:val="clear" w:color="auto" w:fill="auto"/>
            <w:vAlign w:val="center"/>
          </w:tcPr>
          <w:p w14:paraId="3FB76C1F">
            <w:pPr>
              <w:widowControl/>
              <w:jc w:val="center"/>
              <w:textAlignment w:val="center"/>
              <w:rPr>
                <w:rFonts w:hint="eastAsia" w:ascii="宋体" w:hAnsi="宋体" w:eastAsia="宋体" w:cs="宋体"/>
                <w:color w:val="auto"/>
                <w:sz w:val="24"/>
                <w:szCs w:val="24"/>
                <w:highlight w:val="none"/>
              </w:rPr>
            </w:pPr>
          </w:p>
        </w:tc>
        <w:tc>
          <w:tcPr>
            <w:tcW w:w="1353" w:type="dxa"/>
            <w:shd w:val="clear" w:color="auto" w:fill="auto"/>
            <w:vAlign w:val="center"/>
          </w:tcPr>
          <w:p w14:paraId="4CACBC02">
            <w:pPr>
              <w:widowControl/>
              <w:jc w:val="center"/>
              <w:textAlignment w:val="center"/>
              <w:rPr>
                <w:rFonts w:hint="eastAsia" w:ascii="宋体" w:hAnsi="宋体" w:eastAsia="宋体" w:cs="宋体"/>
                <w:color w:val="auto"/>
                <w:sz w:val="24"/>
                <w:szCs w:val="24"/>
                <w:highlight w:val="none"/>
              </w:rPr>
            </w:pPr>
          </w:p>
        </w:tc>
        <w:tc>
          <w:tcPr>
            <w:tcW w:w="1257" w:type="dxa"/>
            <w:shd w:val="clear" w:color="auto" w:fill="auto"/>
            <w:vAlign w:val="center"/>
          </w:tcPr>
          <w:p w14:paraId="4C4ABAD1">
            <w:pPr>
              <w:widowControl/>
              <w:jc w:val="center"/>
              <w:textAlignment w:val="center"/>
              <w:rPr>
                <w:rFonts w:hint="eastAsia" w:ascii="宋体" w:hAnsi="宋体" w:eastAsia="宋体" w:cs="宋体"/>
                <w:color w:val="auto"/>
                <w:sz w:val="24"/>
                <w:szCs w:val="24"/>
                <w:highlight w:val="none"/>
              </w:rPr>
            </w:pPr>
          </w:p>
        </w:tc>
      </w:tr>
      <w:tr w14:paraId="1B4C5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87" w:type="dxa"/>
            <w:shd w:val="clear" w:color="auto" w:fill="auto"/>
            <w:vAlign w:val="center"/>
          </w:tcPr>
          <w:p w14:paraId="035AE787">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w:t>
            </w:r>
          </w:p>
        </w:tc>
        <w:tc>
          <w:tcPr>
            <w:tcW w:w="2633" w:type="dxa"/>
            <w:shd w:val="clear" w:color="auto" w:fill="auto"/>
            <w:vAlign w:val="center"/>
          </w:tcPr>
          <w:p w14:paraId="74E11FBB">
            <w:pPr>
              <w:widowControl/>
              <w:jc w:val="left"/>
              <w:textAlignment w:val="center"/>
              <w:rPr>
                <w:rFonts w:hint="eastAsia" w:ascii="宋体" w:hAnsi="宋体" w:eastAsia="宋体" w:cs="宋体"/>
                <w:color w:val="auto"/>
                <w:sz w:val="24"/>
                <w:szCs w:val="24"/>
                <w:highlight w:val="none"/>
              </w:rPr>
            </w:pPr>
          </w:p>
        </w:tc>
        <w:tc>
          <w:tcPr>
            <w:tcW w:w="1545" w:type="dxa"/>
            <w:shd w:val="clear" w:color="auto" w:fill="auto"/>
            <w:vAlign w:val="center"/>
          </w:tcPr>
          <w:p w14:paraId="1F40CDB2">
            <w:pPr>
              <w:widowControl/>
              <w:jc w:val="center"/>
              <w:textAlignment w:val="center"/>
              <w:rPr>
                <w:rFonts w:hint="eastAsia" w:ascii="宋体" w:hAnsi="宋体" w:eastAsia="宋体" w:cs="宋体"/>
                <w:color w:val="auto"/>
                <w:sz w:val="24"/>
                <w:szCs w:val="24"/>
                <w:highlight w:val="none"/>
              </w:rPr>
            </w:pPr>
          </w:p>
        </w:tc>
        <w:tc>
          <w:tcPr>
            <w:tcW w:w="1320" w:type="dxa"/>
            <w:shd w:val="clear" w:color="auto" w:fill="auto"/>
            <w:vAlign w:val="center"/>
          </w:tcPr>
          <w:p w14:paraId="5360C5EF">
            <w:pPr>
              <w:widowControl/>
              <w:jc w:val="center"/>
              <w:textAlignment w:val="center"/>
              <w:rPr>
                <w:rFonts w:hint="eastAsia" w:ascii="宋体" w:hAnsi="宋体" w:eastAsia="宋体" w:cs="宋体"/>
                <w:color w:val="auto"/>
                <w:sz w:val="24"/>
                <w:szCs w:val="24"/>
                <w:highlight w:val="none"/>
              </w:rPr>
            </w:pPr>
          </w:p>
        </w:tc>
        <w:tc>
          <w:tcPr>
            <w:tcW w:w="1353" w:type="dxa"/>
            <w:shd w:val="clear" w:color="auto" w:fill="auto"/>
            <w:vAlign w:val="center"/>
          </w:tcPr>
          <w:p w14:paraId="3933DF71">
            <w:pPr>
              <w:widowControl/>
              <w:jc w:val="center"/>
              <w:textAlignment w:val="center"/>
              <w:rPr>
                <w:rFonts w:hint="eastAsia" w:ascii="宋体" w:hAnsi="宋体" w:eastAsia="宋体" w:cs="宋体"/>
                <w:color w:val="auto"/>
                <w:sz w:val="24"/>
                <w:szCs w:val="24"/>
                <w:highlight w:val="none"/>
              </w:rPr>
            </w:pPr>
          </w:p>
        </w:tc>
        <w:tc>
          <w:tcPr>
            <w:tcW w:w="1257" w:type="dxa"/>
            <w:shd w:val="clear" w:color="auto" w:fill="auto"/>
            <w:vAlign w:val="center"/>
          </w:tcPr>
          <w:p w14:paraId="53965000">
            <w:pPr>
              <w:widowControl/>
              <w:jc w:val="center"/>
              <w:textAlignment w:val="center"/>
              <w:rPr>
                <w:rFonts w:hint="eastAsia" w:ascii="宋体" w:hAnsi="宋体" w:eastAsia="宋体" w:cs="宋体"/>
                <w:color w:val="auto"/>
                <w:sz w:val="24"/>
                <w:szCs w:val="24"/>
                <w:highlight w:val="none"/>
              </w:rPr>
            </w:pPr>
          </w:p>
        </w:tc>
      </w:tr>
      <w:tr w14:paraId="0049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87" w:type="dxa"/>
            <w:shd w:val="clear" w:color="auto" w:fill="auto"/>
            <w:vAlign w:val="center"/>
          </w:tcPr>
          <w:p w14:paraId="208BA24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w:t>
            </w:r>
          </w:p>
        </w:tc>
        <w:tc>
          <w:tcPr>
            <w:tcW w:w="2633" w:type="dxa"/>
            <w:shd w:val="clear" w:color="auto" w:fill="auto"/>
            <w:vAlign w:val="center"/>
          </w:tcPr>
          <w:p w14:paraId="08DA20AD">
            <w:pPr>
              <w:widowControl/>
              <w:jc w:val="left"/>
              <w:textAlignment w:val="center"/>
              <w:rPr>
                <w:rFonts w:hint="eastAsia" w:ascii="宋体" w:hAnsi="宋体" w:eastAsia="宋体" w:cs="宋体"/>
                <w:color w:val="auto"/>
                <w:sz w:val="24"/>
                <w:szCs w:val="24"/>
                <w:highlight w:val="none"/>
              </w:rPr>
            </w:pPr>
          </w:p>
        </w:tc>
        <w:tc>
          <w:tcPr>
            <w:tcW w:w="1545" w:type="dxa"/>
            <w:shd w:val="clear" w:color="auto" w:fill="auto"/>
            <w:vAlign w:val="center"/>
          </w:tcPr>
          <w:p w14:paraId="187308FB">
            <w:pPr>
              <w:widowControl/>
              <w:jc w:val="center"/>
              <w:textAlignment w:val="center"/>
              <w:rPr>
                <w:rFonts w:hint="eastAsia" w:ascii="宋体" w:hAnsi="宋体" w:eastAsia="宋体" w:cs="宋体"/>
                <w:color w:val="auto"/>
                <w:sz w:val="24"/>
                <w:szCs w:val="24"/>
                <w:highlight w:val="none"/>
              </w:rPr>
            </w:pPr>
          </w:p>
        </w:tc>
        <w:tc>
          <w:tcPr>
            <w:tcW w:w="1320" w:type="dxa"/>
            <w:shd w:val="clear" w:color="auto" w:fill="auto"/>
            <w:vAlign w:val="center"/>
          </w:tcPr>
          <w:p w14:paraId="13F2D928">
            <w:pPr>
              <w:widowControl/>
              <w:jc w:val="center"/>
              <w:textAlignment w:val="center"/>
              <w:rPr>
                <w:rFonts w:hint="eastAsia" w:ascii="宋体" w:hAnsi="宋体" w:eastAsia="宋体" w:cs="宋体"/>
                <w:color w:val="auto"/>
                <w:sz w:val="24"/>
                <w:szCs w:val="24"/>
                <w:highlight w:val="none"/>
              </w:rPr>
            </w:pPr>
          </w:p>
        </w:tc>
        <w:tc>
          <w:tcPr>
            <w:tcW w:w="1353" w:type="dxa"/>
            <w:shd w:val="clear" w:color="auto" w:fill="auto"/>
            <w:vAlign w:val="center"/>
          </w:tcPr>
          <w:p w14:paraId="3583CEDB">
            <w:pPr>
              <w:widowControl/>
              <w:jc w:val="center"/>
              <w:textAlignment w:val="center"/>
              <w:rPr>
                <w:rFonts w:hint="eastAsia" w:ascii="宋体" w:hAnsi="宋体" w:eastAsia="宋体" w:cs="宋体"/>
                <w:color w:val="auto"/>
                <w:sz w:val="24"/>
                <w:szCs w:val="24"/>
                <w:highlight w:val="none"/>
              </w:rPr>
            </w:pPr>
          </w:p>
        </w:tc>
        <w:tc>
          <w:tcPr>
            <w:tcW w:w="1257" w:type="dxa"/>
            <w:shd w:val="clear" w:color="auto" w:fill="auto"/>
            <w:vAlign w:val="center"/>
          </w:tcPr>
          <w:p w14:paraId="0C47B9E4">
            <w:pPr>
              <w:widowControl/>
              <w:jc w:val="center"/>
              <w:textAlignment w:val="center"/>
              <w:rPr>
                <w:rFonts w:hint="eastAsia" w:ascii="宋体" w:hAnsi="宋体" w:eastAsia="宋体" w:cs="宋体"/>
                <w:color w:val="auto"/>
                <w:sz w:val="24"/>
                <w:szCs w:val="24"/>
                <w:highlight w:val="none"/>
              </w:rPr>
            </w:pPr>
          </w:p>
        </w:tc>
      </w:tr>
      <w:tr w14:paraId="6A8F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6385" w:type="dxa"/>
            <w:gridSpan w:val="4"/>
            <w:shd w:val="clear" w:color="auto" w:fill="auto"/>
            <w:noWrap/>
            <w:vAlign w:val="center"/>
          </w:tcPr>
          <w:p w14:paraId="3CE981A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合计</w:t>
            </w:r>
            <w:r>
              <w:rPr>
                <w:rFonts w:hint="eastAsia" w:ascii="宋体" w:hAnsi="宋体" w:eastAsia="宋体" w:cs="宋体"/>
                <w:color w:val="auto"/>
                <w:sz w:val="24"/>
                <w:szCs w:val="24"/>
                <w:highlight w:val="none"/>
              </w:rPr>
              <w:t>（元）</w:t>
            </w:r>
          </w:p>
        </w:tc>
        <w:tc>
          <w:tcPr>
            <w:tcW w:w="2610" w:type="dxa"/>
            <w:gridSpan w:val="2"/>
            <w:shd w:val="clear" w:color="auto" w:fill="auto"/>
            <w:vAlign w:val="center"/>
          </w:tcPr>
          <w:p w14:paraId="73465E48">
            <w:pPr>
              <w:rPr>
                <w:rFonts w:hint="eastAsia" w:ascii="宋体" w:hAnsi="宋体" w:eastAsia="宋体" w:cs="宋体"/>
                <w:color w:val="auto"/>
                <w:sz w:val="24"/>
                <w:szCs w:val="24"/>
                <w:highlight w:val="none"/>
              </w:rPr>
            </w:pPr>
          </w:p>
        </w:tc>
      </w:tr>
    </w:tbl>
    <w:p w14:paraId="53699C40">
      <w:pPr>
        <w:pStyle w:val="158"/>
        <w:ind w:firstLine="0"/>
        <w:jc w:val="center"/>
        <w:rPr>
          <w:rFonts w:hAnsi="宋体" w:cs="宋体"/>
          <w:b/>
          <w:bCs/>
          <w:color w:val="auto"/>
          <w:szCs w:val="24"/>
          <w:highlight w:val="none"/>
        </w:rPr>
      </w:pPr>
    </w:p>
    <w:p w14:paraId="15A68F4D">
      <w:pPr>
        <w:pStyle w:val="158"/>
        <w:ind w:firstLine="0"/>
        <w:jc w:val="center"/>
        <w:rPr>
          <w:rFonts w:hAnsi="宋体" w:cs="宋体"/>
          <w:b/>
          <w:bCs/>
          <w:color w:val="auto"/>
          <w:szCs w:val="24"/>
          <w:highlight w:val="none"/>
        </w:rPr>
      </w:pPr>
      <w:r>
        <w:rPr>
          <w:rFonts w:hint="eastAsia"/>
          <w:color w:val="auto"/>
          <w:szCs w:val="21"/>
          <w:highlight w:val="none"/>
          <w:lang w:val="en-US" w:eastAsia="zh-CN"/>
        </w:rPr>
        <w:t>备注：</w:t>
      </w:r>
      <w:r>
        <w:rPr>
          <w:rFonts w:hint="eastAsia"/>
          <w:color w:val="auto"/>
          <w:szCs w:val="21"/>
          <w:highlight w:val="none"/>
          <w:lang w:val="zh-CN"/>
        </w:rPr>
        <w:t>投标人认为应当说明而本表中无相应栏目的，请在自行增加栏目加以说明。</w:t>
      </w:r>
    </w:p>
    <w:p w14:paraId="448F7A58">
      <w:pPr>
        <w:pStyle w:val="158"/>
        <w:ind w:firstLine="0"/>
        <w:jc w:val="center"/>
        <w:rPr>
          <w:rFonts w:hAnsi="宋体" w:cs="宋体"/>
          <w:b/>
          <w:bCs/>
          <w:color w:val="auto"/>
          <w:szCs w:val="24"/>
          <w:highlight w:val="none"/>
        </w:rPr>
      </w:pPr>
    </w:p>
    <w:p w14:paraId="5D282496">
      <w:pPr>
        <w:autoSpaceDE w:val="0"/>
        <w:autoSpaceDN w:val="0"/>
        <w:spacing w:line="360" w:lineRule="auto"/>
        <w:ind w:firstLine="4560" w:firstLineChars="19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供应商名称（</w:t>
      </w:r>
      <w:r>
        <w:rPr>
          <w:rFonts w:hint="eastAsia" w:asciiTheme="minorEastAsia" w:hAnsiTheme="minorEastAsia" w:eastAsiaTheme="minorEastAsia" w:cstheme="minorEastAsia"/>
          <w:color w:val="auto"/>
          <w:kern w:val="0"/>
          <w:sz w:val="24"/>
          <w:highlight w:val="none"/>
          <w:lang w:val="zh-CN"/>
        </w:rPr>
        <w:t>电子签名</w:t>
      </w:r>
      <w:r>
        <w:rPr>
          <w:rFonts w:hint="eastAsia" w:asciiTheme="minorEastAsia" w:hAnsiTheme="minorEastAsia" w:eastAsiaTheme="minorEastAsia" w:cstheme="minorEastAsia"/>
          <w:color w:val="auto"/>
          <w:kern w:val="0"/>
          <w:sz w:val="24"/>
          <w:highlight w:val="none"/>
        </w:rPr>
        <w:t xml:space="preserve">）：                       </w:t>
      </w:r>
    </w:p>
    <w:p w14:paraId="4E1222C6">
      <w:pPr>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日期：  年  月   日</w:t>
      </w:r>
    </w:p>
    <w:p w14:paraId="0DDCB21E">
      <w:pPr>
        <w:spacing w:line="360" w:lineRule="auto"/>
        <w:jc w:val="center"/>
        <w:rPr>
          <w:rFonts w:cs="仿宋_GB2312" w:asciiTheme="minorEastAsia" w:hAnsiTheme="minorEastAsia" w:eastAsiaTheme="minorEastAsia"/>
          <w:b/>
          <w:bCs/>
          <w:color w:val="auto"/>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4CEFED2">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三、中小企业声明函</w:t>
      </w:r>
      <w:bookmarkEnd w:id="110"/>
    </w:p>
    <w:p w14:paraId="40F2B04B">
      <w:pPr>
        <w:adjustRightInd/>
        <w:spacing w:line="360" w:lineRule="auto"/>
        <w:jc w:val="center"/>
        <w:outlineLvl w:val="0"/>
        <w:rPr>
          <w:rFonts w:cs="仿宋_GB2312" w:asciiTheme="minorEastAsia" w:hAnsiTheme="minorEastAsia" w:eastAsiaTheme="minorEastAsia"/>
          <w:b/>
          <w:color w:val="auto"/>
          <w:sz w:val="30"/>
          <w:szCs w:val="30"/>
          <w:highlight w:val="none"/>
        </w:rPr>
      </w:pPr>
      <w:r>
        <w:rPr>
          <w:rFonts w:hint="eastAsia" w:cs="仿宋_GB2312" w:asciiTheme="minorEastAsia" w:hAnsiTheme="minorEastAsia" w:eastAsiaTheme="minorEastAsia"/>
          <w:b/>
          <w:color w:val="auto"/>
          <w:sz w:val="30"/>
          <w:szCs w:val="30"/>
          <w:highlight w:val="none"/>
        </w:rPr>
        <w:t>中小企业声明函（服务）</w:t>
      </w:r>
    </w:p>
    <w:p w14:paraId="24820F0B">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仿宋_GB2312" w:asciiTheme="minorEastAsia" w:hAnsiTheme="minorEastAsia" w:eastAsiaTheme="minorEastAsia"/>
          <w:color w:val="auto"/>
          <w:sz w:val="24"/>
          <w:highlight w:val="none"/>
          <w:u w:val="single"/>
          <w:lang w:val="zh-CN" w:eastAsia="zh-CN"/>
        </w:rPr>
        <w:t>宁波市公安局鄞州分局</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val="zh-CN" w:eastAsia="zh-CN"/>
        </w:rPr>
        <w:t>鄞州区公安分局智安小区感知及联网服务采购项目</w:t>
      </w:r>
      <w:r>
        <w:rPr>
          <w:rFonts w:hint="eastAsia"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426A3FD">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1. </w:t>
      </w:r>
      <w:r>
        <w:rPr>
          <w:rFonts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zh-CN" w:eastAsia="zh-CN"/>
        </w:rPr>
        <w:t>鄞州区公安分局智安小区感知及联网服务采购项目</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，属于</w:t>
      </w:r>
      <w:r>
        <w:rPr>
          <w:rFonts w:hint="eastAsia" w:cs="宋体" w:asciiTheme="minorEastAsia" w:hAnsiTheme="minorEastAsia" w:eastAsiaTheme="minorEastAsia"/>
          <w:color w:val="auto"/>
          <w:sz w:val="24"/>
          <w:highlight w:val="none"/>
          <w:u w:val="single"/>
        </w:rPr>
        <w:t>软件和信息技术服务业</w:t>
      </w:r>
      <w:r>
        <w:rPr>
          <w:rFonts w:hint="eastAsia" w:cs="宋体" w:asciiTheme="minorEastAsia" w:hAnsiTheme="minorEastAsia" w:eastAsiaTheme="minorEastAsia"/>
          <w:color w:val="auto"/>
          <w:sz w:val="24"/>
          <w:highlight w:val="none"/>
        </w:rPr>
        <w:t xml:space="preserve">；承建（承接）企业为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34A8EA2E">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4690483C">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6BB26361">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4E38E7A5">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69F60FAC">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75673EDD">
      <w:pPr>
        <w:spacing w:line="360" w:lineRule="auto"/>
        <w:ind w:right="420"/>
        <w:rPr>
          <w:rFonts w:cs="宋体" w:asciiTheme="minorEastAsia" w:hAnsiTheme="minorEastAsia" w:eastAsiaTheme="minorEastAsia"/>
          <w:color w:val="auto"/>
          <w:sz w:val="24"/>
          <w:highlight w:val="none"/>
        </w:rPr>
      </w:pPr>
    </w:p>
    <w:p w14:paraId="4CF56B8F">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1FDB2913">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8A8FB70">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1E59C39">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AE45EF3">
      <w:pPr>
        <w:spacing w:line="360" w:lineRule="auto"/>
        <w:ind w:right="420"/>
        <w:rPr>
          <w:rFonts w:cs="宋体" w:asciiTheme="minorEastAsia" w:hAnsiTheme="minorEastAsia" w:eastAsiaTheme="minorEastAsia"/>
          <w:color w:val="auto"/>
          <w:sz w:val="24"/>
          <w:highlight w:val="none"/>
        </w:rPr>
      </w:pPr>
    </w:p>
    <w:p w14:paraId="029C5822">
      <w:pP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br w:type="page"/>
      </w:r>
    </w:p>
    <w:p w14:paraId="18068584">
      <w:pPr>
        <w:spacing w:line="360" w:lineRule="auto"/>
        <w:ind w:right="420" w:firstLine="2409" w:firstLineChars="1000"/>
        <w:rPr>
          <w:rFonts w:ascii="宋体" w:hAnsi="宋体" w:cs="宋体"/>
          <w:b/>
          <w:color w:val="auto"/>
          <w:kern w:val="0"/>
          <w:sz w:val="24"/>
          <w:highlight w:val="none"/>
        </w:rPr>
      </w:pPr>
    </w:p>
    <w:p w14:paraId="6A6A80F5">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四、供应商为监狱企业的证明文件：省级以上监狱管理局、戒毒管理局（含新疆生产建设兵团）（如是，请提供）</w:t>
      </w:r>
    </w:p>
    <w:p w14:paraId="008EC857">
      <w:pPr>
        <w:pStyle w:val="158"/>
        <w:ind w:firstLine="0"/>
        <w:jc w:val="both"/>
        <w:rPr>
          <w:rFonts w:hAnsi="宋体" w:cs="宋体"/>
          <w:b/>
          <w:bCs/>
          <w:color w:val="auto"/>
          <w:szCs w:val="24"/>
          <w:highlight w:val="none"/>
        </w:rPr>
      </w:pPr>
    </w:p>
    <w:p w14:paraId="218C2119">
      <w:pPr>
        <w:widowControl/>
        <w:spacing w:line="360" w:lineRule="auto"/>
        <w:ind w:firstLine="120" w:firstLineChars="50"/>
        <w:jc w:val="center"/>
        <w:rPr>
          <w:rFonts w:ascii="宋体" w:hAnsi="宋体" w:cs="宋体"/>
          <w:b/>
          <w:color w:val="auto"/>
          <w:sz w:val="24"/>
          <w:highlight w:val="none"/>
        </w:rPr>
      </w:pPr>
    </w:p>
    <w:p w14:paraId="188350B9">
      <w:pPr>
        <w:widowControl/>
        <w:spacing w:line="360" w:lineRule="auto"/>
        <w:ind w:firstLine="120" w:firstLineChars="50"/>
        <w:jc w:val="center"/>
        <w:rPr>
          <w:rFonts w:ascii="宋体" w:hAnsi="宋体" w:cs="宋体"/>
          <w:b/>
          <w:color w:val="auto"/>
          <w:sz w:val="24"/>
          <w:highlight w:val="none"/>
        </w:rPr>
      </w:pPr>
    </w:p>
    <w:p w14:paraId="19C4DF41">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五、残疾人福利性单位声明函（如是，请提供）</w:t>
      </w:r>
    </w:p>
    <w:p w14:paraId="413DAFEB">
      <w:pPr>
        <w:widowControl/>
        <w:spacing w:line="360" w:lineRule="auto"/>
        <w:ind w:firstLine="120" w:firstLineChars="50"/>
        <w:jc w:val="center"/>
        <w:rPr>
          <w:rFonts w:ascii="宋体" w:hAnsi="宋体" w:cs="宋体"/>
          <w:b/>
          <w:color w:val="auto"/>
          <w:sz w:val="24"/>
          <w:highlight w:val="none"/>
        </w:rPr>
      </w:pPr>
    </w:p>
    <w:p w14:paraId="4BAB5D67">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0B08E300">
      <w:pPr>
        <w:spacing w:line="360" w:lineRule="auto"/>
        <w:rPr>
          <w:rFonts w:asciiTheme="minorEastAsia" w:hAnsiTheme="minorEastAsia" w:eastAsiaTheme="minorEastAsia"/>
          <w:b/>
          <w:color w:val="auto"/>
          <w:spacing w:val="6"/>
          <w:sz w:val="30"/>
          <w:szCs w:val="30"/>
          <w:highlight w:val="none"/>
        </w:rPr>
      </w:pPr>
    </w:p>
    <w:p w14:paraId="2AE038ED">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val="zh-CN" w:eastAsia="zh-CN"/>
        </w:rPr>
        <w:t>宁波市公安局鄞州分局</w:t>
      </w:r>
      <w:r>
        <w:rPr>
          <w:rFonts w:hint="eastAsia" w:cs="仿宋_GB2312" w:asciiTheme="minorEastAsia" w:hAnsiTheme="minorEastAsia" w:eastAsiaTheme="minorEastAsia"/>
          <w:color w:val="auto"/>
          <w:sz w:val="24"/>
          <w:highlight w:val="none"/>
          <w:u w:val="single"/>
          <w:lang w:val="en-US" w:eastAsia="zh-CN"/>
        </w:rPr>
        <w:t xml:space="preserve"> </w:t>
      </w:r>
      <w:r>
        <w:rPr>
          <w:rFonts w:hint="eastAsia" w:cs="仿宋_GB2312" w:asciiTheme="minorEastAsia" w:hAnsiTheme="minorEastAsia" w:eastAsiaTheme="minorEastAsia"/>
          <w:color w:val="auto"/>
          <w:sz w:val="24"/>
          <w:highlight w:val="none"/>
        </w:rPr>
        <w:t>单位的</w:t>
      </w:r>
      <w:r>
        <w:rPr>
          <w:rFonts w:cs="宋体"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val="zh-CN" w:eastAsia="zh-CN"/>
        </w:rPr>
        <w:t>鄞州区公安分局智安小区感知及联网服务采购项目</w:t>
      </w:r>
      <w:r>
        <w:rPr>
          <w:rFonts w:hint="eastAsia" w:asciiTheme="minorEastAsia" w:hAnsiTheme="minorEastAsia" w:eastAsiaTheme="minorEastAsia"/>
          <w:color w:val="auto"/>
          <w:sz w:val="24"/>
          <w:highlight w:val="none"/>
          <w:u w:val="single"/>
          <w:lang w:val="en-US" w:eastAsia="zh-CN"/>
        </w:rPr>
        <w:t xml:space="preserve"> </w:t>
      </w:r>
      <w:r>
        <w:rPr>
          <w:rFonts w:hint="eastAsia" w:cs="仿宋_GB2312" w:asciiTheme="minorEastAsia" w:hAnsiTheme="minorEastAsia" w:eastAsia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14:paraId="2F594EC7">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7DDBF6D6">
      <w:pPr>
        <w:spacing w:line="360" w:lineRule="auto"/>
        <w:ind w:firstLine="480" w:firstLineChars="200"/>
        <w:rPr>
          <w:rFonts w:cs="仿宋_GB2312" w:asciiTheme="minorEastAsia" w:hAnsiTheme="minorEastAsia" w:eastAsiaTheme="minorEastAsia"/>
          <w:color w:val="auto"/>
          <w:sz w:val="24"/>
          <w:highlight w:val="none"/>
        </w:rPr>
      </w:pPr>
    </w:p>
    <w:p w14:paraId="6E81327F">
      <w:pPr>
        <w:spacing w:line="360" w:lineRule="auto"/>
        <w:ind w:firstLine="480" w:firstLineChars="200"/>
        <w:rPr>
          <w:rFonts w:cs="仿宋_GB2312" w:asciiTheme="minorEastAsia" w:hAnsiTheme="minorEastAsia" w:eastAsiaTheme="minorEastAsia"/>
          <w:color w:val="auto"/>
          <w:sz w:val="24"/>
          <w:highlight w:val="none"/>
        </w:rPr>
      </w:pPr>
    </w:p>
    <w:p w14:paraId="0A19991E">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1E7A6407">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19CDBD9F">
      <w:pPr>
        <w:spacing w:line="360" w:lineRule="auto"/>
        <w:ind w:right="420" w:firstLine="2409" w:firstLineChars="1000"/>
        <w:rPr>
          <w:rFonts w:ascii="宋体" w:hAnsi="宋体" w:cs="宋体"/>
          <w:b/>
          <w:color w:val="auto"/>
          <w:kern w:val="0"/>
          <w:sz w:val="24"/>
          <w:highlight w:val="none"/>
        </w:rPr>
      </w:pPr>
    </w:p>
    <w:p w14:paraId="639396F6">
      <w:pPr>
        <w:spacing w:line="360" w:lineRule="auto"/>
        <w:ind w:right="420" w:firstLine="2409" w:firstLineChars="1000"/>
        <w:rPr>
          <w:rFonts w:ascii="宋体" w:hAnsi="宋体" w:cs="宋体"/>
          <w:b/>
          <w:color w:val="auto"/>
          <w:kern w:val="0"/>
          <w:sz w:val="24"/>
          <w:highlight w:val="none"/>
        </w:rPr>
      </w:pPr>
    </w:p>
    <w:p w14:paraId="428FB019">
      <w:pPr>
        <w:spacing w:line="360" w:lineRule="auto"/>
        <w:ind w:right="420" w:firstLine="2409" w:firstLineChars="1000"/>
        <w:rPr>
          <w:rFonts w:ascii="宋体" w:hAnsi="宋体" w:cs="宋体"/>
          <w:b/>
          <w:color w:val="auto"/>
          <w:kern w:val="0"/>
          <w:sz w:val="24"/>
          <w:highlight w:val="none"/>
        </w:rPr>
      </w:pPr>
    </w:p>
    <w:p w14:paraId="41591512">
      <w:pPr>
        <w:spacing w:line="360" w:lineRule="auto"/>
        <w:jc w:val="center"/>
        <w:rPr>
          <w:rFonts w:cs="仿宋_GB2312" w:asciiTheme="minorEastAsia" w:hAnsiTheme="minorEastAsia" w:eastAsiaTheme="minorEastAsia"/>
          <w:b/>
          <w:bCs/>
          <w:color w:val="auto"/>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5CE53CF">
      <w:pPr>
        <w:widowControl/>
        <w:spacing w:line="360" w:lineRule="auto"/>
        <w:rPr>
          <w:rFonts w:ascii="宋体" w:hAnsi="宋体" w:cs="宋体"/>
          <w:b/>
          <w:color w:val="auto"/>
          <w:szCs w:val="21"/>
          <w:highlight w:val="none"/>
        </w:rPr>
      </w:pPr>
      <w:r>
        <w:rPr>
          <w:rFonts w:hint="eastAsia" w:ascii="宋体" w:hAnsi="宋体" w:cs="宋体"/>
          <w:b/>
          <w:color w:val="auto"/>
          <w:szCs w:val="21"/>
          <w:highlight w:val="none"/>
        </w:rPr>
        <w:t>附件一</w:t>
      </w:r>
    </w:p>
    <w:p w14:paraId="4A309F11">
      <w:pPr>
        <w:pStyle w:val="57"/>
        <w:spacing w:before="0" w:beforeAutospacing="0" w:after="0" w:afterAutospacing="0" w:line="360" w:lineRule="auto"/>
        <w:jc w:val="center"/>
        <w:rPr>
          <w:rFonts w:cs="宋体"/>
          <w:color w:val="auto"/>
          <w:highlight w:val="none"/>
        </w:rPr>
      </w:pPr>
      <w:r>
        <w:rPr>
          <w:rFonts w:hint="eastAsia" w:cs="宋体"/>
          <w:b/>
          <w:bCs/>
          <w:color w:val="auto"/>
          <w:kern w:val="2"/>
          <w:highlight w:val="none"/>
        </w:rPr>
        <w:t>加强政府采购售后服务、质量管理须知</w:t>
      </w:r>
    </w:p>
    <w:p w14:paraId="2BE4648B">
      <w:pPr>
        <w:pStyle w:val="57"/>
        <w:spacing w:before="0" w:beforeAutospacing="0" w:after="0" w:afterAutospacing="0" w:line="360" w:lineRule="auto"/>
        <w:rPr>
          <w:rFonts w:cs="宋体"/>
          <w:bCs/>
          <w:color w:val="auto"/>
          <w:kern w:val="2"/>
          <w:sz w:val="21"/>
          <w:szCs w:val="21"/>
          <w:highlight w:val="none"/>
        </w:rPr>
      </w:pPr>
    </w:p>
    <w:p w14:paraId="1CF94675">
      <w:pPr>
        <w:pStyle w:val="57"/>
        <w:spacing w:before="0" w:beforeAutospacing="0" w:after="0" w:afterAutospacing="0" w:line="360" w:lineRule="auto"/>
        <w:rPr>
          <w:rFonts w:cs="宋体"/>
          <w:bCs/>
          <w:color w:val="auto"/>
          <w:kern w:val="2"/>
          <w:highlight w:val="none"/>
        </w:rPr>
      </w:pPr>
      <w:r>
        <w:rPr>
          <w:rFonts w:hint="eastAsia" w:cs="宋体"/>
          <w:bCs/>
          <w:color w:val="auto"/>
          <w:kern w:val="2"/>
          <w:highlight w:val="none"/>
        </w:rPr>
        <w:t>本招标文件就有关政府采购合同履行、质量及服务事项告知如下：</w:t>
      </w:r>
    </w:p>
    <w:p w14:paraId="1CA1442B">
      <w:pPr>
        <w:pStyle w:val="57"/>
        <w:spacing w:before="0" w:beforeAutospacing="0" w:after="0" w:afterAutospacing="0" w:line="360" w:lineRule="auto"/>
        <w:ind w:firstLine="480" w:firstLineChars="200"/>
        <w:rPr>
          <w:rFonts w:cs="宋体"/>
          <w:bCs/>
          <w:color w:val="auto"/>
          <w:kern w:val="2"/>
          <w:highlight w:val="none"/>
        </w:rPr>
      </w:pPr>
      <w:r>
        <w:rPr>
          <w:rFonts w:hint="eastAsia" w:cs="宋体"/>
          <w:bCs/>
          <w:color w:val="auto"/>
          <w:kern w:val="2"/>
          <w:highlight w:val="none"/>
        </w:rPr>
        <w:t>一、 政府采购售后服务联系须知</w:t>
      </w:r>
    </w:p>
    <w:p w14:paraId="544DD382">
      <w:pPr>
        <w:pStyle w:val="57"/>
        <w:spacing w:before="0" w:beforeAutospacing="0" w:after="0" w:afterAutospacing="0" w:line="360" w:lineRule="auto"/>
        <w:ind w:firstLine="480" w:firstLineChars="200"/>
        <w:rPr>
          <w:rFonts w:cs="宋体"/>
          <w:bCs/>
          <w:color w:val="auto"/>
          <w:kern w:val="2"/>
          <w:highlight w:val="none"/>
        </w:rPr>
      </w:pPr>
      <w:r>
        <w:rPr>
          <w:rFonts w:hint="eastAsia" w:cs="宋体"/>
          <w:bCs/>
          <w:color w:val="auto"/>
          <w:kern w:val="2"/>
          <w:highlight w:val="none"/>
        </w:rPr>
        <w:t xml:space="preserve">    《鄞州区政府采购售后服务联系单》由鄞州区财政局采购办按统一格式制作，中标或成交供应商向招标机构领取、填写并粘贴在设备醒目位置（不适合粘贴的除外），工程和服务项目由采购人和供应商协商解决，保证采购人在遇到售后服务问题时能及时便利与供应商联系。</w:t>
      </w:r>
    </w:p>
    <w:p w14:paraId="17AA670D">
      <w:pPr>
        <w:pStyle w:val="57"/>
        <w:spacing w:before="0" w:beforeAutospacing="0" w:after="0" w:afterAutospacing="0" w:line="360" w:lineRule="auto"/>
        <w:ind w:firstLine="480" w:firstLineChars="200"/>
        <w:rPr>
          <w:rFonts w:cs="宋体"/>
          <w:bCs/>
          <w:color w:val="auto"/>
          <w:kern w:val="2"/>
          <w:highlight w:val="none"/>
        </w:rPr>
      </w:pPr>
      <w:r>
        <w:rPr>
          <w:rFonts w:hint="eastAsia" w:cs="宋体"/>
          <w:bCs/>
          <w:color w:val="auto"/>
          <w:kern w:val="2"/>
          <w:highlight w:val="none"/>
        </w:rPr>
        <w:t xml:space="preserve">二、政府采购质量跟踪和检查须知   </w:t>
      </w:r>
    </w:p>
    <w:p w14:paraId="4E6783FD">
      <w:pPr>
        <w:pStyle w:val="57"/>
        <w:spacing w:before="0" w:beforeAutospacing="0" w:after="0" w:afterAutospacing="0" w:line="360" w:lineRule="auto"/>
        <w:ind w:firstLine="480" w:firstLineChars="200"/>
        <w:rPr>
          <w:rFonts w:cs="宋体"/>
          <w:bCs/>
          <w:color w:val="auto"/>
          <w:kern w:val="2"/>
          <w:highlight w:val="none"/>
        </w:rPr>
      </w:pPr>
      <w:r>
        <w:rPr>
          <w:rFonts w:hint="eastAsia" w:cs="宋体"/>
          <w:bCs/>
          <w:color w:val="auto"/>
          <w:kern w:val="2"/>
          <w:highlight w:val="none"/>
        </w:rPr>
        <w:t>鄞州区财政局采购办将根据不定期检查的情况或采购人填写的《鄞州区政府采购质量、服务存在问题反馈表》的反馈情况，聘请质量监督部门、政府采购专家和有关单位鉴定供货（服务）质量，检查是否符合和满足招标文件的要求和配置，有否存在以次充好、弄虚作假、售后服务工作不到位、不负责任或故意推诿、拖延等情节。供应商应自觉接受并积极配合政府采购产品质量监督检查，如实反映情况。</w:t>
      </w:r>
    </w:p>
    <w:p w14:paraId="09ACBA46">
      <w:pPr>
        <w:pStyle w:val="57"/>
        <w:spacing w:before="0" w:beforeAutospacing="0" w:after="0" w:afterAutospacing="0" w:line="360" w:lineRule="auto"/>
        <w:ind w:firstLine="480" w:firstLineChars="200"/>
        <w:rPr>
          <w:rFonts w:cs="宋体"/>
          <w:bCs/>
          <w:color w:val="auto"/>
          <w:kern w:val="2"/>
          <w:highlight w:val="none"/>
        </w:rPr>
      </w:pPr>
      <w:r>
        <w:rPr>
          <w:rFonts w:hint="eastAsia" w:cs="宋体"/>
          <w:bCs/>
          <w:color w:val="auto"/>
          <w:kern w:val="2"/>
          <w:highlight w:val="none"/>
        </w:rPr>
        <w:t xml:space="preserve">    三、供应商监督管理须知</w:t>
      </w:r>
    </w:p>
    <w:p w14:paraId="395078F2">
      <w:pPr>
        <w:pStyle w:val="57"/>
        <w:spacing w:before="0" w:beforeAutospacing="0" w:after="0" w:afterAutospacing="0" w:line="360" w:lineRule="auto"/>
        <w:ind w:firstLine="480" w:firstLineChars="200"/>
        <w:rPr>
          <w:rFonts w:cs="宋体"/>
          <w:bCs/>
          <w:color w:val="auto"/>
          <w:kern w:val="2"/>
          <w:highlight w:val="none"/>
        </w:rPr>
      </w:pPr>
      <w:r>
        <w:rPr>
          <w:rFonts w:hint="eastAsia" w:cs="宋体"/>
          <w:bCs/>
          <w:color w:val="auto"/>
          <w:kern w:val="2"/>
          <w:highlight w:val="none"/>
        </w:rPr>
        <w:t xml:space="preserve">   1.对不按规定在政府采购货物上粘贴售后服务联系单（不适合粘贴的除外）的供应商，第一次发现的由监管部门予以书面警告并责令改正；第二次发现的作为该供应商下次参加投标时的评分依据之一；</w:t>
      </w:r>
    </w:p>
    <w:p w14:paraId="15C972FF">
      <w:pPr>
        <w:pStyle w:val="57"/>
        <w:spacing w:before="0" w:beforeAutospacing="0" w:after="0" w:afterAutospacing="0" w:line="360" w:lineRule="auto"/>
        <w:ind w:firstLine="480" w:firstLineChars="200"/>
        <w:rPr>
          <w:rFonts w:cs="宋体"/>
          <w:bCs/>
          <w:color w:val="auto"/>
          <w:kern w:val="2"/>
          <w:highlight w:val="none"/>
        </w:rPr>
      </w:pPr>
      <w:r>
        <w:rPr>
          <w:rFonts w:hint="eastAsia" w:cs="宋体"/>
          <w:bCs/>
          <w:color w:val="auto"/>
          <w:kern w:val="2"/>
          <w:highlight w:val="none"/>
        </w:rPr>
        <w:t>2.对不按招标文件、投标承诺及政府采购合同要求供货，偷工减料或降低供货质量的供应商，一经查实，即列入不良行为记录名单，第一次发现且合同额在人民币50万元以下的在一年内禁止参加鄞州区政府采购活动；第一次发现且合同额在人民币50万元（含）以上的在两年内禁止参加鄞州区政府采购活动；第二次发现且合同额在人民币50万元以下的在两年内禁止参加鄞州区政府采购活动；第二次发现且合同额在人民币50万元（含）以上的在三年内禁止参加鄞州区政府采购活动。拒不改正的除由采购人按有关法规要求供应商按招标文件、投标承诺及政府采购合同要求供货外，将无限期禁止参加鄞州区政府采购活动。</w:t>
      </w:r>
    </w:p>
    <w:p w14:paraId="2B17F40B">
      <w:pPr>
        <w:pStyle w:val="57"/>
        <w:spacing w:before="0" w:beforeAutospacing="0" w:after="0" w:afterAutospacing="0" w:line="360" w:lineRule="auto"/>
        <w:ind w:firstLine="480" w:firstLineChars="200"/>
        <w:rPr>
          <w:rFonts w:cs="宋体"/>
          <w:bCs/>
          <w:color w:val="auto"/>
          <w:kern w:val="2"/>
          <w:highlight w:val="none"/>
        </w:rPr>
      </w:pPr>
      <w:r>
        <w:rPr>
          <w:rFonts w:hint="eastAsia" w:cs="宋体"/>
          <w:bCs/>
          <w:color w:val="auto"/>
          <w:kern w:val="2"/>
          <w:highlight w:val="none"/>
        </w:rPr>
        <w:t>3.对不按招标文件、投标承诺及政府采购合同要求向采购人提供完整的售后服务，对采购人的工作造成影响的供应商，经查实，第一次发现的由监管部门予以书面警告并责令改正，并作为该供应商下次参加投标时的评分依据之一；第二次发现的即由监管部门列入不良行为记录名单，两年内禁止参加鄞州区政府采购活动。拒不改正的除由采购人按有关法规要求供应商按招标文件、投标承诺及政府采购合同要求提供完整的售后服务外，将无限期禁止参加鄞州区政府采购活动。</w:t>
      </w:r>
    </w:p>
    <w:p w14:paraId="7A9589A7">
      <w:pPr>
        <w:pStyle w:val="57"/>
        <w:spacing w:before="0" w:beforeAutospacing="0" w:after="0" w:afterAutospacing="0" w:line="360" w:lineRule="auto"/>
        <w:ind w:firstLine="480" w:firstLineChars="200"/>
        <w:rPr>
          <w:rFonts w:cs="宋体"/>
          <w:bCs/>
          <w:color w:val="auto"/>
          <w:kern w:val="2"/>
          <w:highlight w:val="none"/>
        </w:rPr>
      </w:pPr>
      <w:r>
        <w:rPr>
          <w:rFonts w:hint="eastAsia" w:cs="宋体"/>
          <w:bCs/>
          <w:color w:val="auto"/>
          <w:kern w:val="2"/>
          <w:highlight w:val="none"/>
        </w:rPr>
        <w:t>4.对不按招标文件、投标承诺及政府采购合同要求供货造成人身、财产损害的，应当承担民事赔偿责任；构成犯罪的，移送司法部门依法追究其刑事责任。</w:t>
      </w:r>
    </w:p>
    <w:p w14:paraId="32AE06D3">
      <w:pPr>
        <w:pStyle w:val="57"/>
        <w:spacing w:before="0" w:beforeAutospacing="0" w:after="0" w:afterAutospacing="0" w:line="360" w:lineRule="auto"/>
        <w:ind w:firstLine="480" w:firstLineChars="200"/>
        <w:rPr>
          <w:rFonts w:cs="宋体"/>
          <w:bCs/>
          <w:color w:val="auto"/>
          <w:kern w:val="2"/>
          <w:highlight w:val="none"/>
        </w:rPr>
      </w:pPr>
    </w:p>
    <w:p w14:paraId="7ECA4AFE">
      <w:pPr>
        <w:rPr>
          <w:rFonts w:ascii="宋体" w:hAnsi="宋体" w:cs="宋体"/>
          <w:b/>
          <w:bCs/>
          <w:color w:val="auto"/>
          <w:sz w:val="24"/>
          <w:highlight w:val="none"/>
        </w:rPr>
      </w:pPr>
      <w:bookmarkStart w:id="111" w:name="_Toc10059"/>
      <w:r>
        <w:rPr>
          <w:rFonts w:hint="eastAsia" w:ascii="宋体" w:hAnsi="宋体" w:cs="宋体"/>
          <w:b/>
          <w:bCs/>
          <w:color w:val="auto"/>
          <w:sz w:val="24"/>
          <w:highlight w:val="none"/>
        </w:rPr>
        <w:br w:type="page"/>
      </w:r>
    </w:p>
    <w:p w14:paraId="5396655F">
      <w:pPr>
        <w:pStyle w:val="57"/>
        <w:spacing w:before="0" w:beforeAutospacing="0" w:after="0" w:afterAutospacing="0" w:line="360" w:lineRule="auto"/>
        <w:outlineLvl w:val="0"/>
        <w:rPr>
          <w:rFonts w:cs="宋体"/>
          <w:b/>
          <w:bCs/>
          <w:color w:val="auto"/>
          <w:kern w:val="2"/>
          <w:highlight w:val="none"/>
        </w:rPr>
      </w:pPr>
      <w:r>
        <w:rPr>
          <w:rFonts w:hint="eastAsia" w:cs="宋体"/>
          <w:b/>
          <w:bCs/>
          <w:color w:val="auto"/>
          <w:kern w:val="2"/>
          <w:highlight w:val="none"/>
        </w:rPr>
        <w:t>附件二</w:t>
      </w:r>
      <w:bookmarkEnd w:id="111"/>
    </w:p>
    <w:p w14:paraId="0CD43411">
      <w:pPr>
        <w:pStyle w:val="57"/>
        <w:spacing w:before="0" w:beforeAutospacing="0" w:after="0" w:afterAutospacing="0" w:line="360" w:lineRule="auto"/>
        <w:jc w:val="center"/>
        <w:outlineLvl w:val="0"/>
        <w:rPr>
          <w:rFonts w:cs="宋体"/>
          <w:b/>
          <w:color w:val="auto"/>
          <w:highlight w:val="none"/>
        </w:rPr>
      </w:pPr>
      <w:bookmarkStart w:id="112" w:name="_Toc21938"/>
      <w:r>
        <w:rPr>
          <w:rFonts w:hint="eastAsia" w:cs="宋体"/>
          <w:b/>
          <w:bCs/>
          <w:color w:val="auto"/>
          <w:kern w:val="2"/>
          <w:highlight w:val="none"/>
        </w:rPr>
        <w:t>特 别 告 知 函</w:t>
      </w:r>
      <w:bookmarkEnd w:id="112"/>
    </w:p>
    <w:p w14:paraId="1586B766">
      <w:pPr>
        <w:pStyle w:val="57"/>
        <w:spacing w:before="0" w:beforeAutospacing="0" w:after="0" w:afterAutospacing="0" w:line="360" w:lineRule="auto"/>
        <w:ind w:firstLine="480" w:firstLineChars="200"/>
        <w:rPr>
          <w:rFonts w:cs="宋体"/>
          <w:bCs/>
          <w:color w:val="auto"/>
          <w:kern w:val="2"/>
          <w:highlight w:val="none"/>
        </w:rPr>
      </w:pPr>
      <w:r>
        <w:rPr>
          <w:rFonts w:hint="eastAsia" w:cs="宋体"/>
          <w:bCs/>
          <w:color w:val="auto"/>
          <w:kern w:val="2"/>
          <w:highlight w:val="none"/>
        </w:rPr>
        <w:t>各供应商：</w:t>
      </w:r>
    </w:p>
    <w:p w14:paraId="2DE880E2">
      <w:pPr>
        <w:pStyle w:val="57"/>
        <w:spacing w:before="0" w:beforeAutospacing="0" w:after="0" w:afterAutospacing="0" w:line="360" w:lineRule="auto"/>
        <w:ind w:left="359" w:leftChars="171" w:firstLine="600" w:firstLineChars="250"/>
        <w:rPr>
          <w:rFonts w:cs="宋体"/>
          <w:bCs/>
          <w:color w:val="auto"/>
          <w:kern w:val="2"/>
          <w:highlight w:val="none"/>
        </w:rPr>
      </w:pPr>
      <w:r>
        <w:rPr>
          <w:rFonts w:hint="eastAsia" w:cs="宋体"/>
          <w:bCs/>
          <w:color w:val="auto"/>
          <w:kern w:val="2"/>
          <w:highlight w:val="none"/>
        </w:rPr>
        <w:t>根据《关于进一步加强政府采购检测验收工作的意见》（鄞财［2009］1号）文件精神和国家、省有关部门等相关规定，我区自2009年11月开始对单项预算10万元以上货物类采购项目统一由区质量技术监督检测中心进行验收（标准额以下的货物类采购个别项目也视情况实行），来进一步规范加强政府采购的供货验收文件。</w:t>
      </w:r>
    </w:p>
    <w:p w14:paraId="3C6D3CD3">
      <w:pPr>
        <w:pStyle w:val="57"/>
        <w:spacing w:before="0" w:beforeAutospacing="0" w:after="0" w:afterAutospacing="0" w:line="360" w:lineRule="auto"/>
        <w:ind w:left="359" w:leftChars="171" w:firstLine="120" w:firstLineChars="50"/>
        <w:rPr>
          <w:rFonts w:cs="宋体"/>
          <w:bCs/>
          <w:color w:val="auto"/>
          <w:kern w:val="2"/>
          <w:highlight w:val="none"/>
        </w:rPr>
      </w:pPr>
      <w:r>
        <w:rPr>
          <w:rFonts w:hint="eastAsia" w:cs="宋体"/>
          <w:bCs/>
          <w:color w:val="auto"/>
          <w:kern w:val="2"/>
          <w:highlight w:val="none"/>
        </w:rPr>
        <w:t xml:space="preserve">   对验收中发现不按采购文件、响应承诺及政府采购合同要求供货的供应商，将给予列入不良行为记录名单和1至3年内禁止参加鄞州区政府采购活动的处罚，拒不改正的除按有关法规处理外，将无限期禁止其参加鄞州区政府采购活动，同时将处罚结果上网进行公示。</w:t>
      </w:r>
    </w:p>
    <w:p w14:paraId="7DE60432">
      <w:pPr>
        <w:pStyle w:val="57"/>
        <w:spacing w:before="0" w:beforeAutospacing="0" w:after="0" w:afterAutospacing="0" w:line="360" w:lineRule="auto"/>
        <w:ind w:left="359" w:leftChars="171" w:firstLine="480" w:firstLineChars="200"/>
        <w:rPr>
          <w:rFonts w:cs="宋体"/>
          <w:bCs/>
          <w:color w:val="auto"/>
          <w:kern w:val="2"/>
          <w:highlight w:val="none"/>
        </w:rPr>
      </w:pPr>
      <w:r>
        <w:rPr>
          <w:rFonts w:hint="eastAsia" w:cs="宋体"/>
          <w:bCs/>
          <w:color w:val="auto"/>
          <w:kern w:val="2"/>
          <w:highlight w:val="none"/>
        </w:rPr>
        <w:t>因此希望各供应商必严格按采购文件要求计算响应报价并保证供货质量，否则将被严肃处理，得不偿失。特此告知。</w:t>
      </w:r>
    </w:p>
    <w:p w14:paraId="6CF05778">
      <w:pPr>
        <w:spacing w:line="360" w:lineRule="auto"/>
        <w:rPr>
          <w:rFonts w:ascii="宋体" w:hAnsi="宋体" w:cs="宋体"/>
          <w:bCs/>
          <w:color w:val="auto"/>
          <w:sz w:val="24"/>
          <w:highlight w:val="none"/>
        </w:rPr>
      </w:pPr>
    </w:p>
    <w:p w14:paraId="34D64968">
      <w:pPr>
        <w:spacing w:line="360" w:lineRule="auto"/>
        <w:ind w:right="320"/>
        <w:jc w:val="right"/>
        <w:rPr>
          <w:rFonts w:ascii="宋体" w:hAnsi="宋体" w:cs="宋体"/>
          <w:bCs/>
          <w:color w:val="auto"/>
          <w:sz w:val="24"/>
          <w:highlight w:val="none"/>
        </w:rPr>
      </w:pPr>
      <w:r>
        <w:rPr>
          <w:rFonts w:hint="eastAsia" w:ascii="宋体" w:hAnsi="宋体" w:cs="宋体"/>
          <w:bCs/>
          <w:color w:val="auto"/>
          <w:sz w:val="24"/>
          <w:highlight w:val="none"/>
        </w:rPr>
        <w:t>鄞州区政府采购管理办公室</w:t>
      </w:r>
    </w:p>
    <w:p w14:paraId="04747106">
      <w:pPr>
        <w:spacing w:line="360" w:lineRule="auto"/>
        <w:rPr>
          <w:rFonts w:ascii="宋体" w:hAnsi="宋体" w:cs="宋体"/>
          <w:bCs/>
          <w:color w:val="auto"/>
          <w:sz w:val="24"/>
          <w:highlight w:val="none"/>
        </w:rPr>
      </w:pPr>
    </w:p>
    <w:p w14:paraId="65E27CAF">
      <w:pPr>
        <w:rPr>
          <w:rFonts w:ascii="宋体" w:hAnsi="宋体" w:cs="宋体"/>
          <w:b/>
          <w:bCs/>
          <w:color w:val="auto"/>
          <w:sz w:val="24"/>
          <w:highlight w:val="none"/>
        </w:rPr>
      </w:pPr>
      <w:r>
        <w:rPr>
          <w:rFonts w:hint="eastAsia" w:ascii="宋体" w:hAnsi="宋体" w:cs="宋体"/>
          <w:b/>
          <w:bCs/>
          <w:color w:val="auto"/>
          <w:sz w:val="24"/>
          <w:highlight w:val="none"/>
        </w:rPr>
        <w:br w:type="page"/>
      </w:r>
    </w:p>
    <w:p w14:paraId="0EF35C10">
      <w:pPr>
        <w:pStyle w:val="57"/>
        <w:spacing w:before="0" w:beforeAutospacing="0" w:after="0" w:afterAutospacing="0" w:line="360" w:lineRule="auto"/>
        <w:outlineLvl w:val="0"/>
        <w:rPr>
          <w:rFonts w:cs="宋体"/>
          <w:b/>
          <w:bCs/>
          <w:color w:val="auto"/>
          <w:kern w:val="2"/>
          <w:sz w:val="21"/>
          <w:szCs w:val="21"/>
          <w:highlight w:val="none"/>
        </w:rPr>
      </w:pPr>
      <w:r>
        <w:rPr>
          <w:rFonts w:hint="eastAsia" w:cs="宋体"/>
          <w:b/>
          <w:bCs/>
          <w:color w:val="auto"/>
          <w:kern w:val="2"/>
          <w:sz w:val="21"/>
          <w:szCs w:val="21"/>
          <w:highlight w:val="none"/>
        </w:rPr>
        <w:t>附件三</w:t>
      </w:r>
    </w:p>
    <w:p w14:paraId="751BDCB8">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《政府采购现场活动确认书》</w:t>
      </w:r>
    </w:p>
    <w:p w14:paraId="0D274182">
      <w:pPr>
        <w:snapToGrid w:val="0"/>
        <w:spacing w:line="360" w:lineRule="auto"/>
        <w:rPr>
          <w:rFonts w:ascii="宋体" w:hAnsi="宋体" w:cs="宋体"/>
          <w:bCs/>
          <w:color w:val="auto"/>
          <w:sz w:val="22"/>
          <w:szCs w:val="22"/>
          <w:highlight w:val="none"/>
        </w:rPr>
      </w:pPr>
      <w:r>
        <w:rPr>
          <w:rFonts w:hint="eastAsia" w:ascii="宋体" w:hAnsi="宋体" w:cs="宋体"/>
          <w:color w:val="auto"/>
          <w:sz w:val="22"/>
          <w:szCs w:val="22"/>
          <w:highlight w:val="none"/>
        </w:rPr>
        <w:t>宁波中基国际招标有限公司：</w:t>
      </w:r>
    </w:p>
    <w:p w14:paraId="189E3C4F">
      <w:pPr>
        <w:snapToGrid w:val="0"/>
        <w:spacing w:line="360" w:lineRule="auto"/>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本人</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（授权代表姓名），经由</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（单位）</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（法定代表人姓名）合法授权参加</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（编号：</w:t>
      </w:r>
      <w:r>
        <w:rPr>
          <w:rFonts w:hint="eastAsia" w:ascii="宋体" w:hAnsi="宋体" w:cs="宋体"/>
          <w:color w:val="auto"/>
          <w:sz w:val="22"/>
          <w:szCs w:val="22"/>
          <w:highlight w:val="none"/>
          <w:u w:val="single"/>
        </w:rPr>
        <w:t xml:space="preserve">                  </w:t>
      </w:r>
      <w:r>
        <w:rPr>
          <w:rFonts w:hint="eastAsia" w:ascii="宋体" w:hAnsi="宋体" w:cs="宋体"/>
          <w:color w:val="auto"/>
          <w:spacing w:val="6"/>
          <w:sz w:val="22"/>
          <w:szCs w:val="22"/>
          <w:highlight w:val="none"/>
        </w:rPr>
        <w:t xml:space="preserve">）政府采购活动，经与本单位法人代表（负责人）联系确认，现就有关公平竞争事项郑重声明如下： </w:t>
      </w:r>
    </w:p>
    <w:p w14:paraId="05892209">
      <w:pPr>
        <w:widowControl/>
        <w:numPr>
          <w:ilvl w:val="0"/>
          <w:numId w:val="20"/>
        </w:numPr>
        <w:snapToGrid w:val="0"/>
        <w:spacing w:line="360" w:lineRule="auto"/>
        <w:ind w:firstLine="415" w:firstLineChars="189"/>
        <w:rPr>
          <w:rFonts w:ascii="宋体" w:hAnsi="宋体" w:cs="宋体"/>
          <w:color w:val="auto"/>
          <w:sz w:val="22"/>
          <w:szCs w:val="22"/>
          <w:highlight w:val="none"/>
        </w:rPr>
      </w:pPr>
      <w:r>
        <w:rPr>
          <w:rFonts w:hint="eastAsia" w:ascii="宋体" w:hAnsi="宋体" w:cs="宋体"/>
          <w:color w:val="auto"/>
          <w:sz w:val="22"/>
          <w:szCs w:val="22"/>
          <w:highlight w:val="none"/>
        </w:rPr>
        <w:t>本单位与采购人之间 □不存在利害关系 □存在下列利害关系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318D54D0">
      <w:pPr>
        <w:widowControl/>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  A.投资关系    B.行政隶属关系    C.业务指导关系</w:t>
      </w:r>
    </w:p>
    <w:p w14:paraId="2E02E6D8">
      <w:pPr>
        <w:widowControl/>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  D.其他可能影响采购公正的利害关系（如有，请如实说明）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5822EAC7">
      <w:pPr>
        <w:widowControl/>
        <w:numPr>
          <w:ilvl w:val="0"/>
          <w:numId w:val="20"/>
        </w:numPr>
        <w:snapToGrid w:val="0"/>
        <w:spacing w:line="360" w:lineRule="auto"/>
        <w:ind w:firstLine="415" w:firstLineChars="189"/>
        <w:rPr>
          <w:rFonts w:ascii="宋体" w:hAnsi="宋体" w:cs="宋体"/>
          <w:color w:val="auto"/>
          <w:sz w:val="22"/>
          <w:szCs w:val="22"/>
          <w:highlight w:val="none"/>
        </w:rPr>
      </w:pPr>
      <w:r>
        <w:rPr>
          <w:rFonts w:hint="eastAsia" w:ascii="宋体" w:hAnsi="宋体" w:cs="宋体"/>
          <w:color w:val="auto"/>
          <w:sz w:val="22"/>
          <w:szCs w:val="22"/>
          <w:highlight w:val="none"/>
        </w:rPr>
        <w:t xml:space="preserve">现已清楚知道参加本项目采购活动的其他所有供应商名称，本单位 □与其他所有供应商之间均不存在利害关系 □与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（供应商名称）之间存在下列利害关系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0D3071F6">
      <w:pPr>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  A.法定代表人或负责人或实际控制人是同一人</w:t>
      </w:r>
    </w:p>
    <w:p w14:paraId="279228AB">
      <w:pPr>
        <w:snapToGrid w:val="0"/>
        <w:spacing w:line="360" w:lineRule="auto"/>
        <w:ind w:firstLine="440" w:firstLineChars="200"/>
        <w:rPr>
          <w:rFonts w:ascii="宋体" w:hAnsi="宋体" w:cs="宋体"/>
          <w:color w:val="auto"/>
          <w:spacing w:val="6"/>
          <w:sz w:val="22"/>
          <w:szCs w:val="22"/>
          <w:highlight w:val="none"/>
        </w:rPr>
      </w:pPr>
      <w:r>
        <w:rPr>
          <w:rFonts w:hint="eastAsia" w:ascii="宋体" w:hAnsi="宋体" w:cs="宋体"/>
          <w:color w:val="auto"/>
          <w:sz w:val="22"/>
          <w:szCs w:val="22"/>
          <w:highlight w:val="none"/>
        </w:rPr>
        <w:t xml:space="preserve">  B.法定代表人或负责人或实际控制人是夫妻关系</w:t>
      </w:r>
    </w:p>
    <w:p w14:paraId="4D793A40">
      <w:pPr>
        <w:snapToGrid w:val="0"/>
        <w:spacing w:line="360" w:lineRule="auto"/>
        <w:ind w:firstLine="440" w:firstLineChars="200"/>
        <w:rPr>
          <w:rFonts w:ascii="宋体" w:hAnsi="宋体" w:cs="宋体"/>
          <w:color w:val="auto"/>
          <w:spacing w:val="6"/>
          <w:sz w:val="22"/>
          <w:szCs w:val="22"/>
          <w:highlight w:val="none"/>
        </w:rPr>
      </w:pPr>
      <w:r>
        <w:rPr>
          <w:rFonts w:hint="eastAsia" w:ascii="宋体" w:hAnsi="宋体" w:cs="宋体"/>
          <w:color w:val="auto"/>
          <w:sz w:val="22"/>
          <w:szCs w:val="22"/>
          <w:highlight w:val="none"/>
        </w:rPr>
        <w:t xml:space="preserve">  C.法定代表人或负责人或实际控制人是直系血亲关系</w:t>
      </w:r>
    </w:p>
    <w:p w14:paraId="478548B9">
      <w:pPr>
        <w:snapToGrid w:val="0"/>
        <w:spacing w:line="360" w:lineRule="auto"/>
        <w:ind w:firstLine="440" w:firstLineChars="200"/>
        <w:rPr>
          <w:rFonts w:ascii="宋体" w:hAnsi="宋体" w:cs="宋体"/>
          <w:color w:val="auto"/>
          <w:spacing w:val="6"/>
          <w:sz w:val="22"/>
          <w:szCs w:val="22"/>
          <w:highlight w:val="none"/>
        </w:rPr>
      </w:pPr>
      <w:r>
        <w:rPr>
          <w:rFonts w:hint="eastAsia" w:ascii="宋体" w:hAnsi="宋体" w:cs="宋体"/>
          <w:color w:val="auto"/>
          <w:sz w:val="22"/>
          <w:szCs w:val="22"/>
          <w:highlight w:val="none"/>
        </w:rPr>
        <w:t xml:space="preserve">  D.法定代表人或负责人或实际控制人存在三代以内旁系血亲关系</w:t>
      </w:r>
    </w:p>
    <w:p w14:paraId="2DFBE612">
      <w:pPr>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  E.法定代表人或负责人或实际控制人存在近姻亲关系</w:t>
      </w:r>
    </w:p>
    <w:p w14:paraId="799B08B5">
      <w:pPr>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  F.法定代表人或负责人或实际控制人存在股份控制或实际控制关系</w:t>
      </w:r>
    </w:p>
    <w:p w14:paraId="02622866">
      <w:pPr>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  G.存在共同直接或间接投资设立子公司、联营企业和合营企业情况</w:t>
      </w:r>
    </w:p>
    <w:p w14:paraId="24F46162">
      <w:pPr>
        <w:snapToGrid w:val="0"/>
        <w:spacing w:line="360" w:lineRule="auto"/>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  H.存在分级代理或代销关系、同一生产制造商关系、管理关系、重要业务（占主营业务收入50%以上）或重要财务往来关系（如融资）等其他实质性控制关系</w:t>
      </w:r>
    </w:p>
    <w:p w14:paraId="38AFE202">
      <w:pPr>
        <w:snapToGrid w:val="0"/>
        <w:spacing w:line="360" w:lineRule="auto"/>
        <w:ind w:firstLine="440" w:firstLineChars="200"/>
        <w:rPr>
          <w:rFonts w:ascii="宋体" w:hAnsi="宋体" w:cs="宋体"/>
          <w:color w:val="auto"/>
          <w:spacing w:val="6"/>
          <w:sz w:val="22"/>
          <w:szCs w:val="22"/>
          <w:highlight w:val="none"/>
        </w:rPr>
      </w:pPr>
      <w:r>
        <w:rPr>
          <w:rFonts w:hint="eastAsia" w:ascii="宋体" w:hAnsi="宋体" w:cs="宋体"/>
          <w:color w:val="auto"/>
          <w:sz w:val="22"/>
          <w:szCs w:val="22"/>
          <w:highlight w:val="none"/>
        </w:rPr>
        <w:t xml:space="preserve">  I.其他利害关系情况</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p>
    <w:p w14:paraId="1634F438">
      <w:pPr>
        <w:widowControl/>
        <w:numPr>
          <w:ilvl w:val="0"/>
          <w:numId w:val="21"/>
        </w:numPr>
        <w:snapToGrid w:val="0"/>
        <w:spacing w:line="360" w:lineRule="auto"/>
        <w:ind w:firstLine="415" w:firstLineChars="189"/>
        <w:rPr>
          <w:rFonts w:ascii="宋体" w:hAnsi="宋体" w:cs="宋体"/>
          <w:color w:val="auto"/>
          <w:sz w:val="22"/>
          <w:szCs w:val="22"/>
          <w:highlight w:val="none"/>
        </w:rPr>
      </w:pPr>
      <w:r>
        <w:rPr>
          <w:rFonts w:hint="eastAsia" w:ascii="宋体" w:hAnsi="宋体" w:cs="宋体"/>
          <w:color w:val="auto"/>
          <w:sz w:val="22"/>
          <w:szCs w:val="22"/>
          <w:highlight w:val="none"/>
        </w:rPr>
        <w:t>现已清楚知道并严格遵守政府采购法律法规和现场纪律。</w:t>
      </w:r>
    </w:p>
    <w:p w14:paraId="4BFA1FEC">
      <w:pPr>
        <w:widowControl/>
        <w:numPr>
          <w:ilvl w:val="0"/>
          <w:numId w:val="21"/>
        </w:numPr>
        <w:snapToGrid w:val="0"/>
        <w:spacing w:line="360" w:lineRule="auto"/>
        <w:ind w:firstLine="415" w:firstLineChars="189"/>
        <w:rPr>
          <w:rFonts w:ascii="宋体" w:hAnsi="宋体" w:cs="宋体"/>
          <w:color w:val="auto"/>
          <w:sz w:val="22"/>
          <w:szCs w:val="22"/>
          <w:highlight w:val="none"/>
        </w:rPr>
      </w:pPr>
      <w:r>
        <w:rPr>
          <w:rFonts w:hint="eastAsia" w:ascii="宋体" w:hAnsi="宋体" w:cs="宋体"/>
          <w:color w:val="auto"/>
          <w:sz w:val="22"/>
          <w:szCs w:val="22"/>
          <w:highlight w:val="none"/>
        </w:rPr>
        <w:t>我发现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供应商之间存在或可能存在上述第二条第</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项利害关系。</w:t>
      </w:r>
    </w:p>
    <w:p w14:paraId="1EE0C098">
      <w:pPr>
        <w:pStyle w:val="636"/>
        <w:snapToGrid w:val="0"/>
        <w:spacing w:line="360" w:lineRule="auto"/>
        <w:ind w:firstLine="440" w:firstLineChars="200"/>
        <w:rPr>
          <w:rFonts w:ascii="宋体" w:hAnsi="宋体" w:eastAsia="宋体" w:cs="宋体"/>
          <w:color w:val="auto"/>
          <w:sz w:val="22"/>
          <w:szCs w:val="22"/>
          <w:highlight w:val="none"/>
        </w:rPr>
      </w:pPr>
    </w:p>
    <w:p w14:paraId="7A040251">
      <w:pPr>
        <w:pStyle w:val="636"/>
        <w:snapToGrid w:val="0"/>
        <w:spacing w:line="360" w:lineRule="auto"/>
        <w:ind w:firstLine="1430" w:firstLineChars="650"/>
        <w:jc w:val="righ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（供应商代表签名）：</w:t>
      </w:r>
    </w:p>
    <w:p w14:paraId="7246F23B">
      <w:pPr>
        <w:spacing w:line="360" w:lineRule="auto"/>
        <w:ind w:firstLine="1381" w:firstLineChars="628"/>
        <w:jc w:val="right"/>
        <w:rPr>
          <w:rFonts w:ascii="宋体" w:hAnsi="宋体" w:cs="宋体"/>
          <w:color w:val="auto"/>
          <w:sz w:val="22"/>
          <w:szCs w:val="22"/>
          <w:highlight w:val="none"/>
        </w:rPr>
      </w:pPr>
      <w:r>
        <w:rPr>
          <w:rFonts w:hint="eastAsia" w:ascii="宋体" w:hAnsi="宋体" w:cs="宋体"/>
          <w:color w:val="auto"/>
          <w:sz w:val="22"/>
          <w:szCs w:val="22"/>
          <w:highlight w:val="none"/>
        </w:rPr>
        <w:t>年   月   日</w:t>
      </w:r>
    </w:p>
    <w:p w14:paraId="397CD34A">
      <w:pPr>
        <w:spacing w:line="360" w:lineRule="auto"/>
        <w:ind w:firstLine="431" w:firstLineChars="195"/>
        <w:rPr>
          <w:rFonts w:ascii="宋体" w:hAnsi="宋体" w:cs="宋体"/>
          <w:b/>
          <w:color w:val="auto"/>
          <w:sz w:val="22"/>
          <w:szCs w:val="22"/>
          <w:highlight w:val="none"/>
        </w:rPr>
      </w:pPr>
      <w:r>
        <w:rPr>
          <w:rFonts w:hint="eastAsia" w:ascii="宋体" w:hAnsi="宋体" w:cs="宋体"/>
          <w:b/>
          <w:color w:val="auto"/>
          <w:sz w:val="22"/>
          <w:szCs w:val="22"/>
          <w:highlight w:val="none"/>
        </w:rPr>
        <w:t>注：（1）供应商解密响应文件及获知其他供应商信息进行如实声明并盖章或授权代表签名后，以扫描件形式通过邮件方式发送至邮箱：1115194121@qq.com。</w:t>
      </w:r>
    </w:p>
    <w:p w14:paraId="04A92644">
      <w:pPr>
        <w:spacing w:line="360" w:lineRule="auto"/>
        <w:ind w:firstLine="431" w:firstLineChars="195"/>
        <w:rPr>
          <w:rFonts w:ascii="宋体" w:hAnsi="宋体" w:cs="宋体"/>
          <w:b/>
          <w:color w:val="auto"/>
          <w:sz w:val="22"/>
          <w:szCs w:val="22"/>
          <w:highlight w:val="none"/>
        </w:rPr>
      </w:pPr>
      <w:r>
        <w:rPr>
          <w:rFonts w:hint="eastAsia" w:ascii="宋体" w:hAnsi="宋体" w:cs="宋体"/>
          <w:b/>
          <w:color w:val="auto"/>
          <w:sz w:val="22"/>
          <w:szCs w:val="22"/>
          <w:highlight w:val="none"/>
        </w:rPr>
        <w:t>（2）在电子响应文件解密后供应商可看到所参与标项的供应商名称，在确认与采购人和其他供应商不</w:t>
      </w:r>
      <w:r>
        <w:rPr>
          <w:rFonts w:hint="eastAsia" w:ascii="宋体" w:hAnsi="宋体" w:cs="宋体"/>
          <w:b/>
          <w:color w:val="auto"/>
          <w:sz w:val="22"/>
          <w:szCs w:val="22"/>
          <w:highlight w:val="none"/>
          <w:lang w:val="en-US" w:eastAsia="zh-CN"/>
        </w:rPr>
        <w:t>存在</w:t>
      </w:r>
      <w:r>
        <w:rPr>
          <w:rFonts w:hint="eastAsia" w:ascii="宋体" w:hAnsi="宋体" w:cs="宋体"/>
          <w:b/>
          <w:color w:val="auto"/>
          <w:sz w:val="22"/>
          <w:szCs w:val="22"/>
          <w:highlight w:val="none"/>
        </w:rPr>
        <w:t>声明书中所列利害关系的情况下，请在一中的“□不存在利害关系”打钩，二中的“□与其他所有供应商之间均不存在利害关系”打钩，四中的2个下划线用斜杠“/”划掉。</w:t>
      </w:r>
    </w:p>
    <w:p w14:paraId="47EF3A31">
      <w:pPr>
        <w:spacing w:line="360" w:lineRule="auto"/>
        <w:ind w:firstLine="431" w:firstLineChars="195"/>
        <w:rPr>
          <w:color w:val="auto"/>
          <w:highlight w:val="none"/>
        </w:rPr>
      </w:pPr>
      <w:r>
        <w:rPr>
          <w:rFonts w:hint="eastAsia" w:ascii="宋体" w:hAnsi="宋体" w:cs="宋体"/>
          <w:b/>
          <w:color w:val="auto"/>
          <w:sz w:val="22"/>
          <w:szCs w:val="22"/>
          <w:highlight w:val="none"/>
        </w:rPr>
        <w:t>（3）此声明书非响应文件的组成内容，无需编入响应文件中。</w:t>
      </w:r>
    </w:p>
    <w:bookmarkEnd w:id="113"/>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1F00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68C44">
    <w:pPr>
      <w:pStyle w:val="38"/>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26509">
                          <w:pPr>
                            <w:pStyle w:val="38"/>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4926509">
                    <w:pPr>
                      <w:pStyle w:val="38"/>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F0D72">
    <w:pPr>
      <w:pStyle w:val="38"/>
      <w:framePr w:wrap="around" w:vAnchor="text" w:hAnchor="margin" w:xAlign="right" w:y="1"/>
      <w:rPr>
        <w:rStyle w:val="65"/>
      </w:rPr>
    </w:pPr>
    <w:r>
      <w:fldChar w:fldCharType="begin"/>
    </w:r>
    <w:r>
      <w:rPr>
        <w:rStyle w:val="65"/>
      </w:rPr>
      <w:instrText xml:space="preserve">PAGE  </w:instrText>
    </w:r>
    <w:r>
      <w:fldChar w:fldCharType="end"/>
    </w:r>
  </w:p>
  <w:p w14:paraId="472B3174">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7EC1C">
    <w:pPr>
      <w:pStyle w:val="38"/>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D3486">
                          <w:pPr>
                            <w:pStyle w:val="38"/>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7AD3486">
                    <w:pPr>
                      <w:pStyle w:val="38"/>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EDEB5">
    <w:pPr>
      <w:pStyle w:val="38"/>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12D1F">
                          <w:pPr>
                            <w:pStyle w:val="38"/>
                            <w:jc w:val="center"/>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5012D1F">
                    <w:pPr>
                      <w:pStyle w:val="38"/>
                      <w:jc w:val="center"/>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p w14:paraId="349B419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D53E0">
    <w:pPr>
      <w:pStyle w:val="38"/>
      <w:jc w:val="center"/>
      <w:rPr>
        <w:rFonts w:ascii="仿宋_GB2312" w:eastAsia="仿宋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442219">
                          <w:pPr>
                            <w:pStyle w:val="38"/>
                            <w:jc w:val="center"/>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8442219">
                    <w:pPr>
                      <w:pStyle w:val="38"/>
                      <w:jc w:val="center"/>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55E40">
    <w:pPr>
      <w:pStyle w:val="38"/>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AC221">
                          <w:pPr>
                            <w:pStyle w:val="38"/>
                            <w:jc w:val="center"/>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9EAC221">
                    <w:pPr>
                      <w:pStyle w:val="38"/>
                      <w:jc w:val="center"/>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56741">
    <w:pPr>
      <w:pStyle w:val="38"/>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3FEC89">
                          <w:pPr>
                            <w:pStyle w:val="38"/>
                            <w:jc w:val="center"/>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A3FEC89">
                    <w:pPr>
                      <w:pStyle w:val="38"/>
                      <w:jc w:val="center"/>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B2CC1">
    <w:pPr>
      <w:pStyle w:val="38"/>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AFCDDE">
                          <w:pPr>
                            <w:pStyle w:val="38"/>
                            <w:jc w:val="center"/>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0AFCDDE">
                    <w:pPr>
                      <w:pStyle w:val="38"/>
                      <w:jc w:val="center"/>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C0A6C">
    <w:pPr>
      <w:pStyle w:val="58"/>
      <w:jc w:val="both"/>
      <w:rPr>
        <w:rFonts w:ascii="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5EF51">
    <w:pPr>
      <w:pStyle w:val="40"/>
      <w:pBdr>
        <w:bottom w:val="none" w:color="auto" w:sz="0" w:space="1"/>
      </w:pBdr>
      <w:jc w:val="both"/>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2E775">
    <w:pPr>
      <w:pStyle w:val="40"/>
      <w:pBdr>
        <w:bottom w:val="none" w:color="auto" w:sz="0" w:space="1"/>
      </w:pBdr>
      <w:jc w:val="right"/>
      <w:rPr>
        <w:rFonts w:ascii="仿宋_GB2312" w:eastAsia="仿宋_GB2312"/>
        <w:b/>
        <w:i/>
        <w:u w:val="single"/>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984DF">
    <w:pPr>
      <w:pStyle w:val="40"/>
      <w:pBdr>
        <w:bottom w:val="none" w:color="auto" w:sz="0" w:space="1"/>
      </w:pBdr>
      <w:jc w:val="right"/>
      <w:rPr>
        <w:rFonts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1A2D3">
    <w:pPr>
      <w:pStyle w:val="40"/>
      <w:pBdr>
        <w:bottom w:val="none" w:color="auto" w:sz="0" w:space="1"/>
      </w:pBdr>
      <w:jc w:val="both"/>
      <w:rPr>
        <w:rFonts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22E74">
    <w:pPr>
      <w:pStyle w:val="40"/>
      <w:jc w:val="right"/>
      <w:rPr>
        <w:rFonts w:eastAsia="仿宋_GB2312"/>
      </w:rPr>
    </w:pPr>
    <w:r>
      <w:rPr>
        <w:rFonts w:hint="eastAsia" w:eastAsia="仿宋_GB2312"/>
        <w:i/>
        <w:iCs/>
      </w:rPr>
      <w:t>政府采购竞争性磋商文件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713A9">
    <w:pPr>
      <w:pStyle w:val="40"/>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835C4"/>
    <w:multiLevelType w:val="singleLevel"/>
    <w:tmpl w:val="906835C4"/>
    <w:lvl w:ilvl="0" w:tentative="0">
      <w:start w:val="1"/>
      <w:numFmt w:val="decimal"/>
      <w:suff w:val="nothing"/>
      <w:lvlText w:val="（%1）"/>
      <w:lvlJc w:val="left"/>
    </w:lvl>
  </w:abstractNum>
  <w:abstractNum w:abstractNumId="1">
    <w:nsid w:val="A1B6AF39"/>
    <w:multiLevelType w:val="singleLevel"/>
    <w:tmpl w:val="A1B6AF39"/>
    <w:lvl w:ilvl="0" w:tentative="0">
      <w:start w:val="1"/>
      <w:numFmt w:val="chineseCounting"/>
      <w:suff w:val="nothing"/>
      <w:lvlText w:val="%1、"/>
      <w:lvlJc w:val="left"/>
      <w:rPr>
        <w:rFonts w:hint="eastAsia"/>
      </w:rPr>
    </w:lvl>
  </w:abstractNum>
  <w:abstractNum w:abstractNumId="2">
    <w:nsid w:val="AB1F4348"/>
    <w:multiLevelType w:val="singleLevel"/>
    <w:tmpl w:val="AB1F4348"/>
    <w:lvl w:ilvl="0" w:tentative="0">
      <w:start w:val="1"/>
      <w:numFmt w:val="decimal"/>
      <w:suff w:val="nothing"/>
      <w:lvlText w:val="（%1）"/>
      <w:lvlJc w:val="left"/>
    </w:lvl>
  </w:abstractNum>
  <w:abstractNum w:abstractNumId="3">
    <w:nsid w:val="BBC1B578"/>
    <w:multiLevelType w:val="singleLevel"/>
    <w:tmpl w:val="BBC1B578"/>
    <w:lvl w:ilvl="0" w:tentative="0">
      <w:start w:val="1"/>
      <w:numFmt w:val="chineseCounting"/>
      <w:suff w:val="space"/>
      <w:lvlText w:val="第%1条"/>
      <w:lvlJc w:val="left"/>
      <w:rPr>
        <w:rFonts w:hint="eastAsia"/>
      </w:rPr>
    </w:lvl>
  </w:abstractNum>
  <w:abstractNum w:abstractNumId="4">
    <w:nsid w:val="C60875A9"/>
    <w:multiLevelType w:val="singleLevel"/>
    <w:tmpl w:val="C60875A9"/>
    <w:lvl w:ilvl="0" w:tentative="0">
      <w:start w:val="1"/>
      <w:numFmt w:val="decimal"/>
      <w:suff w:val="nothing"/>
      <w:lvlText w:val="（%1）"/>
      <w:lvlJc w:val="left"/>
    </w:lvl>
  </w:abstractNum>
  <w:abstractNum w:abstractNumId="5">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6">
    <w:nsid w:val="00000007"/>
    <w:multiLevelType w:val="multilevel"/>
    <w:tmpl w:val="00000007"/>
    <w:lvl w:ilvl="0" w:tentative="0">
      <w:start w:val="1"/>
      <w:numFmt w:val="bullet"/>
      <w:pStyle w:val="106"/>
      <w:lvlText w:val=""/>
      <w:lvlJc w:val="left"/>
      <w:pPr>
        <w:tabs>
          <w:tab w:val="left" w:pos="840"/>
        </w:tabs>
        <w:ind w:left="840" w:hanging="420"/>
      </w:pPr>
      <w:rPr>
        <w:rFonts w:hint="default" w:ascii="Wingdings" w:hAnsi="Wingdings"/>
      </w:rPr>
    </w:lvl>
    <w:lvl w:ilvl="1" w:tentative="0">
      <w:start w:val="1"/>
      <w:numFmt w:val="bullet"/>
      <w:pStyle w:val="89"/>
      <w:lvlText w:val=""/>
      <w:lvlJc w:val="left"/>
      <w:pPr>
        <w:tabs>
          <w:tab w:val="left" w:pos="1260"/>
        </w:tabs>
        <w:ind w:left="1260" w:hanging="420"/>
      </w:pPr>
      <w:rPr>
        <w:rFonts w:hint="default" w:ascii="Wingdings" w:hAnsi="Wingdings"/>
      </w:rPr>
    </w:lvl>
    <w:lvl w:ilvl="2" w:tentative="0">
      <w:start w:val="1"/>
      <w:numFmt w:val="bullet"/>
      <w:pStyle w:val="345"/>
      <w:lvlText w:val=""/>
      <w:lvlJc w:val="left"/>
      <w:pPr>
        <w:tabs>
          <w:tab w:val="left" w:pos="1680"/>
        </w:tabs>
        <w:ind w:left="1680" w:hanging="420"/>
      </w:pPr>
      <w:rPr>
        <w:rFonts w:hint="default" w:ascii="Wingdings" w:hAnsi="Wingdings"/>
      </w:rPr>
    </w:lvl>
    <w:lvl w:ilvl="3" w:tentative="0">
      <w:start w:val="1"/>
      <w:numFmt w:val="bullet"/>
      <w:pStyle w:val="178"/>
      <w:lvlText w:val=""/>
      <w:lvlJc w:val="left"/>
      <w:pPr>
        <w:tabs>
          <w:tab w:val="left" w:pos="2100"/>
        </w:tabs>
        <w:ind w:left="2100" w:hanging="420"/>
      </w:pPr>
      <w:rPr>
        <w:rFonts w:hint="default" w:ascii="Wingdings" w:hAnsi="Wingdings"/>
      </w:rPr>
    </w:lvl>
    <w:lvl w:ilvl="4" w:tentative="0">
      <w:start w:val="1"/>
      <w:numFmt w:val="bullet"/>
      <w:pStyle w:val="414"/>
      <w:lvlText w:val=""/>
      <w:lvlJc w:val="left"/>
      <w:pPr>
        <w:tabs>
          <w:tab w:val="left" w:pos="2520"/>
        </w:tabs>
        <w:ind w:left="2520" w:hanging="420"/>
      </w:pPr>
      <w:rPr>
        <w:rFonts w:hint="default" w:ascii="Wingdings" w:hAnsi="Wingdings"/>
      </w:rPr>
    </w:lvl>
    <w:lvl w:ilvl="5" w:tentative="0">
      <w:start w:val="1"/>
      <w:numFmt w:val="bullet"/>
      <w:pStyle w:val="176"/>
      <w:lvlText w:val=""/>
      <w:lvlJc w:val="left"/>
      <w:pPr>
        <w:tabs>
          <w:tab w:val="left" w:pos="2940"/>
        </w:tabs>
        <w:ind w:left="2940" w:hanging="420"/>
      </w:pPr>
      <w:rPr>
        <w:rFonts w:hint="default" w:ascii="Wingdings" w:hAnsi="Wingdings"/>
      </w:rPr>
    </w:lvl>
    <w:lvl w:ilvl="6" w:tentative="0">
      <w:start w:val="1"/>
      <w:numFmt w:val="bullet"/>
      <w:pStyle w:val="403"/>
      <w:lvlText w:val=""/>
      <w:lvlJc w:val="left"/>
      <w:pPr>
        <w:tabs>
          <w:tab w:val="left" w:pos="3360"/>
        </w:tabs>
        <w:ind w:left="3360" w:hanging="420"/>
      </w:pPr>
      <w:rPr>
        <w:rFonts w:hint="default" w:ascii="Wingdings" w:hAnsi="Wingdings"/>
      </w:rPr>
    </w:lvl>
    <w:lvl w:ilvl="7" w:tentative="0">
      <w:start w:val="1"/>
      <w:numFmt w:val="bullet"/>
      <w:pStyle w:val="283"/>
      <w:lvlText w:val=""/>
      <w:lvlJc w:val="left"/>
      <w:pPr>
        <w:tabs>
          <w:tab w:val="left" w:pos="3780"/>
        </w:tabs>
        <w:ind w:left="3780" w:hanging="420"/>
      </w:pPr>
      <w:rPr>
        <w:rFonts w:hint="default" w:ascii="Wingdings" w:hAnsi="Wingdings"/>
      </w:rPr>
    </w:lvl>
    <w:lvl w:ilvl="8" w:tentative="0">
      <w:start w:val="1"/>
      <w:numFmt w:val="bullet"/>
      <w:pStyle w:val="376"/>
      <w:lvlText w:val=""/>
      <w:lvlJc w:val="left"/>
      <w:pPr>
        <w:tabs>
          <w:tab w:val="left" w:pos="4200"/>
        </w:tabs>
        <w:ind w:left="4200" w:hanging="420"/>
      </w:pPr>
      <w:rPr>
        <w:rFonts w:hint="default" w:ascii="Wingdings" w:hAnsi="Wingdings"/>
      </w:rPr>
    </w:lvl>
  </w:abstractNum>
  <w:abstractNum w:abstractNumId="7">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
    <w:nsid w:val="0A760F1C"/>
    <w:multiLevelType w:val="multilevel"/>
    <w:tmpl w:val="0A760F1C"/>
    <w:lvl w:ilvl="0" w:tentative="0">
      <w:start w:val="1"/>
      <w:numFmt w:val="decimal"/>
      <w:suff w:val="space"/>
      <w:lvlText w:val="第%1章"/>
      <w:lvlJc w:val="center"/>
      <w:pPr>
        <w:ind w:left="0" w:firstLine="288"/>
      </w:pPr>
      <w:rPr>
        <w:rFonts w:hint="eastAsia" w:ascii="黑体" w:hAnsi="黑体" w:eastAsia="黑体"/>
        <w:sz w:val="36"/>
      </w:rPr>
    </w:lvl>
    <w:lvl w:ilvl="1" w:tentative="0">
      <w:start w:val="1"/>
      <w:numFmt w:val="decimal"/>
      <w:pStyle w:val="640"/>
      <w:suff w:val="space"/>
      <w:lvlText w:val="%1.%2"/>
      <w:lvlJc w:val="left"/>
      <w:pPr>
        <w:ind w:left="0" w:firstLine="0"/>
      </w:pPr>
      <w:rPr>
        <w:rFonts w:hint="eastAsia" w:ascii="黑体" w:hAnsi="黑体" w:eastAsia="黑体"/>
        <w:sz w:val="30"/>
      </w:rPr>
    </w:lvl>
    <w:lvl w:ilvl="2" w:tentative="0">
      <w:start w:val="1"/>
      <w:numFmt w:val="decimal"/>
      <w:pStyle w:val="641"/>
      <w:suff w:val="space"/>
      <w:lvlText w:val="%1.%2.%3"/>
      <w:lvlJc w:val="left"/>
      <w:pPr>
        <w:ind w:left="0" w:firstLine="0"/>
      </w:pPr>
      <w:rPr>
        <w:rFonts w:hint="eastAsia" w:ascii="黑体" w:hAnsi="黑体" w:eastAsia="黑体"/>
        <w:sz w:val="28"/>
      </w:rPr>
    </w:lvl>
    <w:lvl w:ilvl="3" w:tentative="0">
      <w:start w:val="1"/>
      <w:numFmt w:val="decimal"/>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9">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10">
    <w:nsid w:val="19D1A4B7"/>
    <w:multiLevelType w:val="singleLevel"/>
    <w:tmpl w:val="19D1A4B7"/>
    <w:lvl w:ilvl="0" w:tentative="0">
      <w:start w:val="4"/>
      <w:numFmt w:val="decimal"/>
      <w:lvlText w:val="%1."/>
      <w:lvlJc w:val="left"/>
      <w:pPr>
        <w:tabs>
          <w:tab w:val="left" w:pos="312"/>
        </w:tabs>
      </w:pPr>
    </w:lvl>
  </w:abstractNum>
  <w:abstractNum w:abstractNumId="11">
    <w:nsid w:val="2DD04321"/>
    <w:multiLevelType w:val="multilevel"/>
    <w:tmpl w:val="2DD0432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3">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4">
    <w:nsid w:val="5300AB3C"/>
    <w:multiLevelType w:val="singleLevel"/>
    <w:tmpl w:val="5300AB3C"/>
    <w:lvl w:ilvl="0" w:tentative="0">
      <w:start w:val="5"/>
      <w:numFmt w:val="chineseCounting"/>
      <w:suff w:val="nothing"/>
      <w:lvlText w:val="%1、"/>
      <w:lvlJc w:val="left"/>
      <w:pPr>
        <w:ind w:left="315" w:firstLine="0"/>
      </w:pPr>
      <w:rPr>
        <w:rFonts w:hint="eastAsia"/>
      </w:rPr>
    </w:lvl>
  </w:abstractNum>
  <w:abstractNum w:abstractNumId="15">
    <w:nsid w:val="54F403B5"/>
    <w:multiLevelType w:val="singleLevel"/>
    <w:tmpl w:val="54F403B5"/>
    <w:lvl w:ilvl="0" w:tentative="0">
      <w:start w:val="1"/>
      <w:numFmt w:val="chineseCounting"/>
      <w:suff w:val="nothing"/>
      <w:lvlText w:val="%1、"/>
      <w:lvlJc w:val="left"/>
    </w:lvl>
  </w:abstractNum>
  <w:abstractNum w:abstractNumId="16">
    <w:nsid w:val="557FD3DA"/>
    <w:multiLevelType w:val="singleLevel"/>
    <w:tmpl w:val="557FD3DA"/>
    <w:lvl w:ilvl="0" w:tentative="0">
      <w:start w:val="3"/>
      <w:numFmt w:val="chineseCounting"/>
      <w:suff w:val="nothing"/>
      <w:lvlText w:val="%1、"/>
      <w:lvlJc w:val="left"/>
    </w:lvl>
  </w:abstractNum>
  <w:abstractNum w:abstractNumId="17">
    <w:nsid w:val="578B3BD2"/>
    <w:multiLevelType w:val="multilevel"/>
    <w:tmpl w:val="578B3BD2"/>
    <w:lvl w:ilvl="0" w:tentative="0">
      <w:start w:val="1"/>
      <w:numFmt w:val="decimal"/>
      <w:pStyle w:val="417"/>
      <w:lvlText w:val="%1"/>
      <w:lvlJc w:val="left"/>
      <w:pPr>
        <w:tabs>
          <w:tab w:val="left" w:pos="480"/>
        </w:tabs>
        <w:ind w:left="480" w:hanging="480"/>
      </w:pPr>
      <w:rPr>
        <w:rFonts w:hint="eastAsia"/>
        <w:sz w:val="44"/>
        <w:szCs w:val="44"/>
      </w:rPr>
    </w:lvl>
    <w:lvl w:ilvl="1" w:tentative="0">
      <w:start w:val="1"/>
      <w:numFmt w:val="decimal"/>
      <w:pStyle w:val="338"/>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6"/>
      <w:lvlText w:val="%1.%2.%3.%4.%5"/>
      <w:lvlJc w:val="left"/>
      <w:pPr>
        <w:tabs>
          <w:tab w:val="left" w:pos="1080"/>
        </w:tabs>
        <w:ind w:left="1080" w:hanging="1080"/>
      </w:pPr>
      <w:rPr>
        <w:rFonts w:hint="default"/>
      </w:rPr>
    </w:lvl>
    <w:lvl w:ilvl="5" w:tentative="0">
      <w:start w:val="1"/>
      <w:numFmt w:val="decimal"/>
      <w:pStyle w:val="220"/>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9">
    <w:nsid w:val="73596DCC"/>
    <w:multiLevelType w:val="multilevel"/>
    <w:tmpl w:val="73596DCC"/>
    <w:lvl w:ilvl="0" w:tentative="0">
      <w:start w:val="1"/>
      <w:numFmt w:val="bullet"/>
      <w:pStyle w:val="32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9"/>
  </w:num>
  <w:num w:numId="2">
    <w:abstractNumId w:val="7"/>
  </w:num>
  <w:num w:numId="3">
    <w:abstractNumId w:val="5"/>
  </w:num>
  <w:num w:numId="4">
    <w:abstractNumId w:val="6"/>
  </w:num>
  <w:num w:numId="5">
    <w:abstractNumId w:val="17"/>
  </w:num>
  <w:num w:numId="6">
    <w:abstractNumId w:val="19"/>
  </w:num>
  <w:num w:numId="7">
    <w:abstractNumId w:val="8"/>
  </w:num>
  <w:num w:numId="8">
    <w:abstractNumId w:val="10"/>
  </w:num>
  <w:num w:numId="9">
    <w:abstractNumId w:val="20"/>
  </w:num>
  <w:num w:numId="10">
    <w:abstractNumId w:val="4"/>
  </w:num>
  <w:num w:numId="11">
    <w:abstractNumId w:val="1"/>
  </w:num>
  <w:num w:numId="12">
    <w:abstractNumId w:val="11"/>
  </w:num>
  <w:num w:numId="13">
    <w:abstractNumId w:val="12"/>
  </w:num>
  <w:num w:numId="14">
    <w:abstractNumId w:val="18"/>
  </w:num>
  <w:num w:numId="15">
    <w:abstractNumId w:val="3"/>
  </w:num>
  <w:num w:numId="16">
    <w:abstractNumId w:val="2"/>
  </w:num>
  <w:num w:numId="17">
    <w:abstractNumId w:val="13"/>
  </w:num>
  <w:num w:numId="18">
    <w:abstractNumId w:val="14"/>
  </w:num>
  <w:num w:numId="19">
    <w:abstractNumId w:val="0"/>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3ZDI3ZjYwNGUxNTMzM2NhMGMxZGJhNmMwMTkzNzUifQ=="/>
    <w:docVar w:name="KSO_WPS_MARK_KEY" w:val="d032a95b-93f8-4d3c-b90f-31d70e315394"/>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6D08"/>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D6AC6"/>
    <w:rsid w:val="001E1ABC"/>
    <w:rsid w:val="001E2488"/>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0F42"/>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40B"/>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44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1427"/>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796"/>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3439"/>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048C"/>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1D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19F"/>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26D1"/>
    <w:rsid w:val="009E38D1"/>
    <w:rsid w:val="009E5701"/>
    <w:rsid w:val="009E5711"/>
    <w:rsid w:val="009E6249"/>
    <w:rsid w:val="009E6D26"/>
    <w:rsid w:val="009E758E"/>
    <w:rsid w:val="009E7A4C"/>
    <w:rsid w:val="009E7D6B"/>
    <w:rsid w:val="009F1109"/>
    <w:rsid w:val="009F2EDB"/>
    <w:rsid w:val="009F2F52"/>
    <w:rsid w:val="009F3435"/>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019"/>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41D0"/>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565D"/>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5DE8"/>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01E5"/>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4389"/>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340F2C"/>
    <w:rsid w:val="01D37272"/>
    <w:rsid w:val="02555ED9"/>
    <w:rsid w:val="026E0506"/>
    <w:rsid w:val="029A6E6A"/>
    <w:rsid w:val="02DA0C0E"/>
    <w:rsid w:val="03047232"/>
    <w:rsid w:val="033C7F09"/>
    <w:rsid w:val="03A74512"/>
    <w:rsid w:val="03DD35E4"/>
    <w:rsid w:val="03E015B8"/>
    <w:rsid w:val="041B4D48"/>
    <w:rsid w:val="044E12DF"/>
    <w:rsid w:val="04E32FDC"/>
    <w:rsid w:val="051C2849"/>
    <w:rsid w:val="05411C71"/>
    <w:rsid w:val="05663FD6"/>
    <w:rsid w:val="05854222"/>
    <w:rsid w:val="05B41F41"/>
    <w:rsid w:val="05E56F9D"/>
    <w:rsid w:val="06073228"/>
    <w:rsid w:val="065A6178"/>
    <w:rsid w:val="06AF36FF"/>
    <w:rsid w:val="0721368A"/>
    <w:rsid w:val="072F59A8"/>
    <w:rsid w:val="07374315"/>
    <w:rsid w:val="075562B7"/>
    <w:rsid w:val="07F6164B"/>
    <w:rsid w:val="081D5D10"/>
    <w:rsid w:val="082C51BD"/>
    <w:rsid w:val="083762B0"/>
    <w:rsid w:val="083A059E"/>
    <w:rsid w:val="086329D2"/>
    <w:rsid w:val="087A1B7A"/>
    <w:rsid w:val="08BD274B"/>
    <w:rsid w:val="08DD5E0F"/>
    <w:rsid w:val="09572F13"/>
    <w:rsid w:val="096B2097"/>
    <w:rsid w:val="0A00735D"/>
    <w:rsid w:val="0A08184F"/>
    <w:rsid w:val="0A5B7E63"/>
    <w:rsid w:val="0A616D4B"/>
    <w:rsid w:val="0A642B2B"/>
    <w:rsid w:val="0B672904"/>
    <w:rsid w:val="0B9A65DD"/>
    <w:rsid w:val="0BC3149D"/>
    <w:rsid w:val="0BE84A53"/>
    <w:rsid w:val="0C2219BD"/>
    <w:rsid w:val="0C831ECE"/>
    <w:rsid w:val="0C87121B"/>
    <w:rsid w:val="0CB5366B"/>
    <w:rsid w:val="0D136DC4"/>
    <w:rsid w:val="0D4C1170"/>
    <w:rsid w:val="0D853554"/>
    <w:rsid w:val="0DF702FE"/>
    <w:rsid w:val="0E140D02"/>
    <w:rsid w:val="0E3F698B"/>
    <w:rsid w:val="0E647B5A"/>
    <w:rsid w:val="0E701649"/>
    <w:rsid w:val="0E8F05F8"/>
    <w:rsid w:val="0ED7326D"/>
    <w:rsid w:val="0F06542C"/>
    <w:rsid w:val="0F21508F"/>
    <w:rsid w:val="0F335287"/>
    <w:rsid w:val="0F816ACD"/>
    <w:rsid w:val="0FB94501"/>
    <w:rsid w:val="0FCF5F6A"/>
    <w:rsid w:val="0FE60171"/>
    <w:rsid w:val="10040778"/>
    <w:rsid w:val="10511153"/>
    <w:rsid w:val="10B047CF"/>
    <w:rsid w:val="10DD0E16"/>
    <w:rsid w:val="10FC16EA"/>
    <w:rsid w:val="1172701D"/>
    <w:rsid w:val="11755C50"/>
    <w:rsid w:val="118963A1"/>
    <w:rsid w:val="11F41592"/>
    <w:rsid w:val="12051BD0"/>
    <w:rsid w:val="121B50A8"/>
    <w:rsid w:val="127723A9"/>
    <w:rsid w:val="12A762DD"/>
    <w:rsid w:val="12E52F9E"/>
    <w:rsid w:val="13072A44"/>
    <w:rsid w:val="137739C4"/>
    <w:rsid w:val="13D92766"/>
    <w:rsid w:val="13F97BA9"/>
    <w:rsid w:val="13FE668C"/>
    <w:rsid w:val="145044FA"/>
    <w:rsid w:val="145B51A4"/>
    <w:rsid w:val="14AD1A5F"/>
    <w:rsid w:val="14BB5EB3"/>
    <w:rsid w:val="14DB226E"/>
    <w:rsid w:val="14F5146C"/>
    <w:rsid w:val="16152672"/>
    <w:rsid w:val="162B4968"/>
    <w:rsid w:val="168416B6"/>
    <w:rsid w:val="16861FDA"/>
    <w:rsid w:val="16CD4648"/>
    <w:rsid w:val="1734452C"/>
    <w:rsid w:val="17385300"/>
    <w:rsid w:val="1768461C"/>
    <w:rsid w:val="17BE03D3"/>
    <w:rsid w:val="186742B0"/>
    <w:rsid w:val="18A24263"/>
    <w:rsid w:val="18D953BD"/>
    <w:rsid w:val="18E70654"/>
    <w:rsid w:val="197F6F1E"/>
    <w:rsid w:val="19A15D46"/>
    <w:rsid w:val="1A070908"/>
    <w:rsid w:val="1A580C11"/>
    <w:rsid w:val="1A5F461C"/>
    <w:rsid w:val="1AB57476"/>
    <w:rsid w:val="1AD35B0C"/>
    <w:rsid w:val="1B2A271F"/>
    <w:rsid w:val="1B4A2F21"/>
    <w:rsid w:val="1B4B18E3"/>
    <w:rsid w:val="1B890139"/>
    <w:rsid w:val="1CC715D6"/>
    <w:rsid w:val="1CC730D8"/>
    <w:rsid w:val="1CDC64CA"/>
    <w:rsid w:val="1CFF2E33"/>
    <w:rsid w:val="1D0437E0"/>
    <w:rsid w:val="1D266CE1"/>
    <w:rsid w:val="1D3963AF"/>
    <w:rsid w:val="1D8B5C5C"/>
    <w:rsid w:val="1E2B384A"/>
    <w:rsid w:val="1E714A66"/>
    <w:rsid w:val="1E8C2760"/>
    <w:rsid w:val="1EA77665"/>
    <w:rsid w:val="1ED94CD3"/>
    <w:rsid w:val="1F057687"/>
    <w:rsid w:val="1F732F0E"/>
    <w:rsid w:val="1F7A7F4E"/>
    <w:rsid w:val="1F7B0539"/>
    <w:rsid w:val="1FE868A9"/>
    <w:rsid w:val="1FF35910"/>
    <w:rsid w:val="20584FC3"/>
    <w:rsid w:val="20713A86"/>
    <w:rsid w:val="20784910"/>
    <w:rsid w:val="20E82165"/>
    <w:rsid w:val="211E26D6"/>
    <w:rsid w:val="21256F79"/>
    <w:rsid w:val="21283D08"/>
    <w:rsid w:val="21AE4866"/>
    <w:rsid w:val="21DC5877"/>
    <w:rsid w:val="220A681D"/>
    <w:rsid w:val="221040FE"/>
    <w:rsid w:val="223730D4"/>
    <w:rsid w:val="231D4771"/>
    <w:rsid w:val="23925541"/>
    <w:rsid w:val="248C1C53"/>
    <w:rsid w:val="24E201A6"/>
    <w:rsid w:val="254E6001"/>
    <w:rsid w:val="25B440B3"/>
    <w:rsid w:val="25E0409D"/>
    <w:rsid w:val="25EF4144"/>
    <w:rsid w:val="264F55DA"/>
    <w:rsid w:val="26A62B79"/>
    <w:rsid w:val="26DE19AD"/>
    <w:rsid w:val="26F647E0"/>
    <w:rsid w:val="275B7F64"/>
    <w:rsid w:val="27A209C9"/>
    <w:rsid w:val="27D81A8C"/>
    <w:rsid w:val="28094EEC"/>
    <w:rsid w:val="289B2FBB"/>
    <w:rsid w:val="28A5329E"/>
    <w:rsid w:val="29064D6B"/>
    <w:rsid w:val="290C07F0"/>
    <w:rsid w:val="29334083"/>
    <w:rsid w:val="29353EA4"/>
    <w:rsid w:val="29605113"/>
    <w:rsid w:val="29A6314F"/>
    <w:rsid w:val="29E65B65"/>
    <w:rsid w:val="2A685EFA"/>
    <w:rsid w:val="2A9E4C9A"/>
    <w:rsid w:val="2AA1365A"/>
    <w:rsid w:val="2AC1011E"/>
    <w:rsid w:val="2AC97147"/>
    <w:rsid w:val="2AD76456"/>
    <w:rsid w:val="2B817AE7"/>
    <w:rsid w:val="2B900F4A"/>
    <w:rsid w:val="2BA02310"/>
    <w:rsid w:val="2C581F9E"/>
    <w:rsid w:val="2C6426F1"/>
    <w:rsid w:val="2CE77338"/>
    <w:rsid w:val="2D020EA0"/>
    <w:rsid w:val="2D110468"/>
    <w:rsid w:val="2D273F6A"/>
    <w:rsid w:val="2DBE36F7"/>
    <w:rsid w:val="2DD15014"/>
    <w:rsid w:val="2DDF5E3D"/>
    <w:rsid w:val="2DE47157"/>
    <w:rsid w:val="2EBE3FF0"/>
    <w:rsid w:val="2EF7599D"/>
    <w:rsid w:val="2F9A484E"/>
    <w:rsid w:val="2FCC27F9"/>
    <w:rsid w:val="2FD25781"/>
    <w:rsid w:val="301466BF"/>
    <w:rsid w:val="318C47DF"/>
    <w:rsid w:val="319C6071"/>
    <w:rsid w:val="31EE2E91"/>
    <w:rsid w:val="3255145A"/>
    <w:rsid w:val="32DB72BE"/>
    <w:rsid w:val="32FD4A2E"/>
    <w:rsid w:val="33226177"/>
    <w:rsid w:val="334F2054"/>
    <w:rsid w:val="33833DA5"/>
    <w:rsid w:val="33882E9B"/>
    <w:rsid w:val="33DA08E7"/>
    <w:rsid w:val="33FD65C9"/>
    <w:rsid w:val="341C48E8"/>
    <w:rsid w:val="341F5077"/>
    <w:rsid w:val="342E63AB"/>
    <w:rsid w:val="34317936"/>
    <w:rsid w:val="345D260B"/>
    <w:rsid w:val="3489014F"/>
    <w:rsid w:val="3491429F"/>
    <w:rsid w:val="349E57AE"/>
    <w:rsid w:val="3566572C"/>
    <w:rsid w:val="357247AA"/>
    <w:rsid w:val="360B4516"/>
    <w:rsid w:val="365302AE"/>
    <w:rsid w:val="3679013B"/>
    <w:rsid w:val="36BE4581"/>
    <w:rsid w:val="3743283D"/>
    <w:rsid w:val="379A16BD"/>
    <w:rsid w:val="37DB7102"/>
    <w:rsid w:val="37F142D2"/>
    <w:rsid w:val="37F717C5"/>
    <w:rsid w:val="3844049E"/>
    <w:rsid w:val="38C420A7"/>
    <w:rsid w:val="38E45923"/>
    <w:rsid w:val="39215805"/>
    <w:rsid w:val="392657E8"/>
    <w:rsid w:val="394F0B0C"/>
    <w:rsid w:val="398752B2"/>
    <w:rsid w:val="39A13F14"/>
    <w:rsid w:val="39BD1573"/>
    <w:rsid w:val="39D742A1"/>
    <w:rsid w:val="3A085004"/>
    <w:rsid w:val="3A695A43"/>
    <w:rsid w:val="3BE85E41"/>
    <w:rsid w:val="3C061EBA"/>
    <w:rsid w:val="3C1361CC"/>
    <w:rsid w:val="3C5F759A"/>
    <w:rsid w:val="3C6B3734"/>
    <w:rsid w:val="3CA76AC4"/>
    <w:rsid w:val="3D09356D"/>
    <w:rsid w:val="3D207424"/>
    <w:rsid w:val="3D5C78D4"/>
    <w:rsid w:val="3D8C2AB2"/>
    <w:rsid w:val="3DFF04CC"/>
    <w:rsid w:val="3E2E7EDF"/>
    <w:rsid w:val="3EBE05AD"/>
    <w:rsid w:val="3EF31F58"/>
    <w:rsid w:val="3F1955BD"/>
    <w:rsid w:val="3F7B238A"/>
    <w:rsid w:val="3F7B3C92"/>
    <w:rsid w:val="3FF35E0E"/>
    <w:rsid w:val="3FFF72A6"/>
    <w:rsid w:val="40115C15"/>
    <w:rsid w:val="40160BCB"/>
    <w:rsid w:val="405A435B"/>
    <w:rsid w:val="40716F07"/>
    <w:rsid w:val="40FA18BA"/>
    <w:rsid w:val="410C362B"/>
    <w:rsid w:val="41265D6F"/>
    <w:rsid w:val="41894A07"/>
    <w:rsid w:val="41B810BD"/>
    <w:rsid w:val="421541F8"/>
    <w:rsid w:val="429C133A"/>
    <w:rsid w:val="42D40595"/>
    <w:rsid w:val="42E1381E"/>
    <w:rsid w:val="43520606"/>
    <w:rsid w:val="43C3709C"/>
    <w:rsid w:val="43F002E7"/>
    <w:rsid w:val="43FB717C"/>
    <w:rsid w:val="447300EE"/>
    <w:rsid w:val="451E447A"/>
    <w:rsid w:val="45345B76"/>
    <w:rsid w:val="456B4422"/>
    <w:rsid w:val="45ED7124"/>
    <w:rsid w:val="45F420B3"/>
    <w:rsid w:val="45FC3543"/>
    <w:rsid w:val="462A3FE2"/>
    <w:rsid w:val="46402B8B"/>
    <w:rsid w:val="46411D26"/>
    <w:rsid w:val="469C4093"/>
    <w:rsid w:val="472467E8"/>
    <w:rsid w:val="47307808"/>
    <w:rsid w:val="473E1CEF"/>
    <w:rsid w:val="47512BBC"/>
    <w:rsid w:val="476E221E"/>
    <w:rsid w:val="47750031"/>
    <w:rsid w:val="480D50FD"/>
    <w:rsid w:val="486F747C"/>
    <w:rsid w:val="489E7D07"/>
    <w:rsid w:val="48DF2FCB"/>
    <w:rsid w:val="49764039"/>
    <w:rsid w:val="499E45FC"/>
    <w:rsid w:val="4A117704"/>
    <w:rsid w:val="4A160883"/>
    <w:rsid w:val="4A9B0B8B"/>
    <w:rsid w:val="4B704BF6"/>
    <w:rsid w:val="4B8C78B9"/>
    <w:rsid w:val="4BAB2412"/>
    <w:rsid w:val="4BEE392E"/>
    <w:rsid w:val="4C124497"/>
    <w:rsid w:val="4C464366"/>
    <w:rsid w:val="4C4C58CD"/>
    <w:rsid w:val="4C8853A9"/>
    <w:rsid w:val="4CDF5732"/>
    <w:rsid w:val="4D004F2F"/>
    <w:rsid w:val="4D592622"/>
    <w:rsid w:val="4D861CF6"/>
    <w:rsid w:val="4DC8085E"/>
    <w:rsid w:val="4E0C2050"/>
    <w:rsid w:val="4E110BAB"/>
    <w:rsid w:val="4E3960DB"/>
    <w:rsid w:val="4E54487E"/>
    <w:rsid w:val="4E8E1906"/>
    <w:rsid w:val="4EEE3181"/>
    <w:rsid w:val="4F134B35"/>
    <w:rsid w:val="4FC621FB"/>
    <w:rsid w:val="4FE30DC1"/>
    <w:rsid w:val="500E5946"/>
    <w:rsid w:val="50ED078A"/>
    <w:rsid w:val="512428A6"/>
    <w:rsid w:val="512B2F53"/>
    <w:rsid w:val="512D6CA6"/>
    <w:rsid w:val="51800850"/>
    <w:rsid w:val="51A0432A"/>
    <w:rsid w:val="51D266DD"/>
    <w:rsid w:val="520470F0"/>
    <w:rsid w:val="520E24F1"/>
    <w:rsid w:val="525A1D1D"/>
    <w:rsid w:val="527140E5"/>
    <w:rsid w:val="5292508F"/>
    <w:rsid w:val="52A96B6F"/>
    <w:rsid w:val="54232D0E"/>
    <w:rsid w:val="54A35137"/>
    <w:rsid w:val="550764A4"/>
    <w:rsid w:val="551926E0"/>
    <w:rsid w:val="5552317F"/>
    <w:rsid w:val="55590826"/>
    <w:rsid w:val="55757499"/>
    <w:rsid w:val="557E77AB"/>
    <w:rsid w:val="55D343BA"/>
    <w:rsid w:val="55E22177"/>
    <w:rsid w:val="55E22755"/>
    <w:rsid w:val="5606092B"/>
    <w:rsid w:val="561279B9"/>
    <w:rsid w:val="561D7848"/>
    <w:rsid w:val="564F7A92"/>
    <w:rsid w:val="56515F3B"/>
    <w:rsid w:val="56D51968"/>
    <w:rsid w:val="57212FAC"/>
    <w:rsid w:val="572B71CA"/>
    <w:rsid w:val="57533656"/>
    <w:rsid w:val="57622473"/>
    <w:rsid w:val="57826F9A"/>
    <w:rsid w:val="579F6FEE"/>
    <w:rsid w:val="58923B5B"/>
    <w:rsid w:val="58AE4F0C"/>
    <w:rsid w:val="590A0142"/>
    <w:rsid w:val="590D09EF"/>
    <w:rsid w:val="59A3011F"/>
    <w:rsid w:val="59BA7C09"/>
    <w:rsid w:val="59E6535B"/>
    <w:rsid w:val="5A2A7C7B"/>
    <w:rsid w:val="5A492DA3"/>
    <w:rsid w:val="5AAF2D34"/>
    <w:rsid w:val="5AF54CD9"/>
    <w:rsid w:val="5B5155CB"/>
    <w:rsid w:val="5B59594D"/>
    <w:rsid w:val="5B7F2FEA"/>
    <w:rsid w:val="5BF74317"/>
    <w:rsid w:val="5BFB00CD"/>
    <w:rsid w:val="5C80234E"/>
    <w:rsid w:val="5CB402B5"/>
    <w:rsid w:val="5CF03729"/>
    <w:rsid w:val="5D6D7DD8"/>
    <w:rsid w:val="5D8142AD"/>
    <w:rsid w:val="5DD1193F"/>
    <w:rsid w:val="5DD5494D"/>
    <w:rsid w:val="5DD838EB"/>
    <w:rsid w:val="5DF50456"/>
    <w:rsid w:val="5E1229F9"/>
    <w:rsid w:val="5E1929B8"/>
    <w:rsid w:val="5E2552C4"/>
    <w:rsid w:val="5E261785"/>
    <w:rsid w:val="5F2A050E"/>
    <w:rsid w:val="5F563A58"/>
    <w:rsid w:val="5F750405"/>
    <w:rsid w:val="5F92321B"/>
    <w:rsid w:val="5FCC5339"/>
    <w:rsid w:val="5FE70807"/>
    <w:rsid w:val="60214AC3"/>
    <w:rsid w:val="605E50CE"/>
    <w:rsid w:val="60771CEC"/>
    <w:rsid w:val="60BF2C01"/>
    <w:rsid w:val="60E53485"/>
    <w:rsid w:val="61054A27"/>
    <w:rsid w:val="610712C2"/>
    <w:rsid w:val="611D2366"/>
    <w:rsid w:val="617002C1"/>
    <w:rsid w:val="61DD47F0"/>
    <w:rsid w:val="621C2EF3"/>
    <w:rsid w:val="627933A7"/>
    <w:rsid w:val="62885958"/>
    <w:rsid w:val="62CD314B"/>
    <w:rsid w:val="62F614A1"/>
    <w:rsid w:val="632B47CD"/>
    <w:rsid w:val="636F56D3"/>
    <w:rsid w:val="63842E4C"/>
    <w:rsid w:val="63A9066C"/>
    <w:rsid w:val="63CC705F"/>
    <w:rsid w:val="64177A6E"/>
    <w:rsid w:val="64471332"/>
    <w:rsid w:val="645A5BAC"/>
    <w:rsid w:val="645B38E5"/>
    <w:rsid w:val="64CE2EAA"/>
    <w:rsid w:val="65102E3B"/>
    <w:rsid w:val="651C2609"/>
    <w:rsid w:val="656363C7"/>
    <w:rsid w:val="656653BF"/>
    <w:rsid w:val="658314DA"/>
    <w:rsid w:val="65BF01FD"/>
    <w:rsid w:val="65FC2D84"/>
    <w:rsid w:val="66145AFF"/>
    <w:rsid w:val="662E75B1"/>
    <w:rsid w:val="66342C2E"/>
    <w:rsid w:val="663E784C"/>
    <w:rsid w:val="664D7777"/>
    <w:rsid w:val="66E74BF8"/>
    <w:rsid w:val="672A7DA1"/>
    <w:rsid w:val="676631D4"/>
    <w:rsid w:val="67A240D1"/>
    <w:rsid w:val="67C0773E"/>
    <w:rsid w:val="685867EC"/>
    <w:rsid w:val="68A505E1"/>
    <w:rsid w:val="68F8162B"/>
    <w:rsid w:val="693B7D53"/>
    <w:rsid w:val="69C04704"/>
    <w:rsid w:val="69D93AF2"/>
    <w:rsid w:val="6A265138"/>
    <w:rsid w:val="6A676DB6"/>
    <w:rsid w:val="6A831851"/>
    <w:rsid w:val="6AA2635C"/>
    <w:rsid w:val="6AB53F9C"/>
    <w:rsid w:val="6B1967C5"/>
    <w:rsid w:val="6B7026D6"/>
    <w:rsid w:val="6BC27BE3"/>
    <w:rsid w:val="6BD06E45"/>
    <w:rsid w:val="6C5A7FFE"/>
    <w:rsid w:val="6C5C6920"/>
    <w:rsid w:val="6C5E57D7"/>
    <w:rsid w:val="6C7F5258"/>
    <w:rsid w:val="6C896767"/>
    <w:rsid w:val="6CAE4CE7"/>
    <w:rsid w:val="6CD70C74"/>
    <w:rsid w:val="6CD96F0E"/>
    <w:rsid w:val="6D360A02"/>
    <w:rsid w:val="6E0E1EE1"/>
    <w:rsid w:val="6E6F38F9"/>
    <w:rsid w:val="6E8E12EF"/>
    <w:rsid w:val="6EB74327"/>
    <w:rsid w:val="6F095ED0"/>
    <w:rsid w:val="6F1467D2"/>
    <w:rsid w:val="6F3D3E33"/>
    <w:rsid w:val="6F5C254F"/>
    <w:rsid w:val="6FA146DD"/>
    <w:rsid w:val="6FAB6244"/>
    <w:rsid w:val="6FE9185C"/>
    <w:rsid w:val="70265128"/>
    <w:rsid w:val="70B84386"/>
    <w:rsid w:val="716B31A7"/>
    <w:rsid w:val="71D43752"/>
    <w:rsid w:val="72273D81"/>
    <w:rsid w:val="722C7278"/>
    <w:rsid w:val="722F68CA"/>
    <w:rsid w:val="72846D31"/>
    <w:rsid w:val="72A9188C"/>
    <w:rsid w:val="731D2A29"/>
    <w:rsid w:val="733E2423"/>
    <w:rsid w:val="73677C34"/>
    <w:rsid w:val="73AF3F96"/>
    <w:rsid w:val="73DD6243"/>
    <w:rsid w:val="749C4185"/>
    <w:rsid w:val="74A5075E"/>
    <w:rsid w:val="74B3733F"/>
    <w:rsid w:val="751D45A8"/>
    <w:rsid w:val="75291A94"/>
    <w:rsid w:val="7544268D"/>
    <w:rsid w:val="75DA2C18"/>
    <w:rsid w:val="760D2A7F"/>
    <w:rsid w:val="76793BFD"/>
    <w:rsid w:val="76832D41"/>
    <w:rsid w:val="76D41CF9"/>
    <w:rsid w:val="770305EA"/>
    <w:rsid w:val="775319EF"/>
    <w:rsid w:val="775A6197"/>
    <w:rsid w:val="78E018DC"/>
    <w:rsid w:val="7907005A"/>
    <w:rsid w:val="790F1C77"/>
    <w:rsid w:val="797D4244"/>
    <w:rsid w:val="798B797D"/>
    <w:rsid w:val="7A232CD0"/>
    <w:rsid w:val="7A67303B"/>
    <w:rsid w:val="7AAB1D04"/>
    <w:rsid w:val="7AAF73E7"/>
    <w:rsid w:val="7ABA4368"/>
    <w:rsid w:val="7AC202DC"/>
    <w:rsid w:val="7AC92660"/>
    <w:rsid w:val="7AF1443C"/>
    <w:rsid w:val="7AF342B0"/>
    <w:rsid w:val="7B1E6D01"/>
    <w:rsid w:val="7B1F7A92"/>
    <w:rsid w:val="7B22088A"/>
    <w:rsid w:val="7B2526C0"/>
    <w:rsid w:val="7B257FFD"/>
    <w:rsid w:val="7B34036D"/>
    <w:rsid w:val="7B806C5B"/>
    <w:rsid w:val="7BF74FFF"/>
    <w:rsid w:val="7C2B1DA5"/>
    <w:rsid w:val="7C9E771C"/>
    <w:rsid w:val="7CE42970"/>
    <w:rsid w:val="7DDC070D"/>
    <w:rsid w:val="7DF4317E"/>
    <w:rsid w:val="7E251E62"/>
    <w:rsid w:val="7E331A2E"/>
    <w:rsid w:val="7E472A4A"/>
    <w:rsid w:val="7E64308B"/>
    <w:rsid w:val="7E743D3F"/>
    <w:rsid w:val="7E982A8F"/>
    <w:rsid w:val="7EA76A27"/>
    <w:rsid w:val="7EB15093"/>
    <w:rsid w:val="7EBB5FA0"/>
    <w:rsid w:val="7ED401E9"/>
    <w:rsid w:val="7F7A3B39"/>
    <w:rsid w:val="7FDB3BED"/>
    <w:rsid w:val="7FE55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53"/>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603"/>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7"/>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6"/>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5"/>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5"/>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23"/>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549"/>
    <w:qFormat/>
    <w:uiPriority w:val="0"/>
    <w:pPr>
      <w:ind w:firstLine="420"/>
    </w:pPr>
    <w:rPr>
      <w:szCs w:val="20"/>
    </w:rPr>
  </w:style>
  <w:style w:type="paragraph" w:styleId="3">
    <w:name w:val="Body Text"/>
    <w:basedOn w:val="1"/>
    <w:next w:val="2"/>
    <w:link w:val="516"/>
    <w:qFormat/>
    <w:uiPriority w:val="0"/>
    <w:pPr>
      <w:autoSpaceDE w:val="0"/>
      <w:autoSpaceDN w:val="0"/>
      <w:spacing w:line="360" w:lineRule="auto"/>
    </w:pPr>
    <w:rPr>
      <w:rFonts w:ascii="宋体"/>
      <w:sz w:val="24"/>
      <w:szCs w:val="21"/>
      <w:lang w:val="zh-CN"/>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617"/>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semiHidden/>
    <w:qFormat/>
    <w:uiPriority w:val="0"/>
    <w:pPr>
      <w:shd w:val="clear" w:color="auto" w:fill="000080"/>
    </w:pPr>
  </w:style>
  <w:style w:type="paragraph" w:styleId="21">
    <w:name w:val="annotation text"/>
    <w:basedOn w:val="1"/>
    <w:link w:val="618"/>
    <w:qFormat/>
    <w:uiPriority w:val="99"/>
    <w:pPr>
      <w:jc w:val="left"/>
    </w:pPr>
  </w:style>
  <w:style w:type="paragraph" w:styleId="22">
    <w:name w:val="Salutation"/>
    <w:basedOn w:val="1"/>
    <w:next w:val="1"/>
    <w:link w:val="486"/>
    <w:qFormat/>
    <w:uiPriority w:val="0"/>
    <w:rPr>
      <w:rFonts w:ascii="仿宋_GB2312" w:eastAsia="仿宋_GB2312"/>
      <w:sz w:val="28"/>
      <w:szCs w:val="20"/>
    </w:rPr>
  </w:style>
  <w:style w:type="paragraph" w:styleId="23">
    <w:name w:val="Body Text 3"/>
    <w:basedOn w:val="1"/>
    <w:link w:val="585"/>
    <w:qFormat/>
    <w:uiPriority w:val="0"/>
    <w:pPr>
      <w:jc w:val="center"/>
    </w:pPr>
    <w:rPr>
      <w:szCs w:val="20"/>
    </w:rPr>
  </w:style>
  <w:style w:type="paragraph" w:styleId="24">
    <w:name w:val="Body Text Indent"/>
    <w:basedOn w:val="1"/>
    <w:next w:val="17"/>
    <w:link w:val="479"/>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5"/>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493"/>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602"/>
    <w:qFormat/>
    <w:uiPriority w:val="0"/>
    <w:pPr>
      <w:ind w:left="100" w:leftChars="2500"/>
    </w:pPr>
    <w:rPr>
      <w:rFonts w:ascii="宋体"/>
      <w:sz w:val="24"/>
      <w:szCs w:val="21"/>
      <w:lang w:val="zh-CN"/>
    </w:rPr>
  </w:style>
  <w:style w:type="paragraph" w:styleId="36">
    <w:name w:val="Body Text Indent 2"/>
    <w:basedOn w:val="1"/>
    <w:link w:val="507"/>
    <w:qFormat/>
    <w:uiPriority w:val="0"/>
    <w:pPr>
      <w:spacing w:line="360" w:lineRule="auto"/>
      <w:ind w:firstLine="601"/>
      <w:textAlignment w:val="baseline"/>
    </w:pPr>
    <w:rPr>
      <w:rFonts w:ascii="宋体"/>
      <w:kern w:val="0"/>
      <w:sz w:val="28"/>
      <w:szCs w:val="20"/>
    </w:rPr>
  </w:style>
  <w:style w:type="paragraph" w:styleId="37">
    <w:name w:val="Balloon Text"/>
    <w:basedOn w:val="1"/>
    <w:link w:val="619"/>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envelope return"/>
    <w:basedOn w:val="1"/>
    <w:qFormat/>
    <w:uiPriority w:val="0"/>
    <w:pPr>
      <w:snapToGrid w:val="0"/>
    </w:pPr>
    <w:rPr>
      <w:rFonts w:ascii="Arial" w:hAnsi="Arial"/>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9"/>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9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7"/>
    <w:link w:val="477"/>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9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semiHidden/>
    <w:qFormat/>
    <w:uiPriority w:val="0"/>
    <w:rPr>
      <w:b/>
      <w:bCs/>
    </w:rPr>
  </w:style>
  <w:style w:type="paragraph" w:styleId="60">
    <w:name w:val="Body Text First Indent 2"/>
    <w:basedOn w:val="24"/>
    <w:next w:val="1"/>
    <w:link w:val="506"/>
    <w:qFormat/>
    <w:uiPriority w:val="0"/>
    <w:pPr>
      <w:adjustRightInd/>
      <w:spacing w:after="120" w:line="240" w:lineRule="auto"/>
      <w:ind w:left="420" w:leftChars="200" w:firstLine="210"/>
    </w:pPr>
    <w:rPr>
      <w:sz w:val="21"/>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3">
    <w:name w:val="段落文字"/>
    <w:basedOn w:val="1"/>
    <w:qFormat/>
    <w:uiPriority w:val="0"/>
    <w:pPr>
      <w:spacing w:line="360" w:lineRule="auto"/>
      <w:ind w:firstLine="200" w:firstLineChars="200"/>
    </w:pPr>
    <w:rPr>
      <w:rFonts w:eastAsia="仿宋_GB2312"/>
      <w:sz w:val="28"/>
    </w:rPr>
  </w:style>
  <w:style w:type="paragraph" w:customStyle="1" w:styleId="74">
    <w:name w:val="正文1"/>
    <w:basedOn w:val="31"/>
    <w:qFormat/>
    <w:uiPriority w:val="0"/>
    <w:pPr>
      <w:spacing w:line="318" w:lineRule="atLeast"/>
      <w:ind w:left="369" w:firstLine="369"/>
      <w:textAlignment w:val="baseline"/>
    </w:pPr>
    <w:rPr>
      <w:rFonts w:ascii="宋体"/>
      <w:szCs w:val="20"/>
    </w:rPr>
  </w:style>
  <w:style w:type="paragraph" w:customStyle="1" w:styleId="75">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样式3"/>
    <w:basedOn w:val="32"/>
    <w:next w:val="1"/>
    <w:qFormat/>
    <w:uiPriority w:val="0"/>
    <w:pPr>
      <w:tabs>
        <w:tab w:val="left" w:pos="2790"/>
        <w:tab w:val="left" w:pos="4230"/>
      </w:tabs>
      <w:spacing w:before="312" w:beforeLines="100"/>
      <w:jc w:val="left"/>
    </w:pPr>
  </w:style>
  <w:style w:type="paragraph" w:customStyle="1" w:styleId="77">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9">
    <w:name w:val="冯"/>
    <w:basedOn w:val="1"/>
    <w:link w:val="520"/>
    <w:qFormat/>
    <w:uiPriority w:val="0"/>
    <w:pPr>
      <w:widowControl/>
      <w:adjustRightInd/>
      <w:spacing w:line="360" w:lineRule="auto"/>
      <w:ind w:firstLine="480" w:firstLineChars="200"/>
    </w:pPr>
    <w:rPr>
      <w:rFonts w:ascii="宋体" w:hAnsi="宋体"/>
      <w:color w:val="000000"/>
      <w:kern w:val="0"/>
      <w:sz w:val="24"/>
    </w:rPr>
  </w:style>
  <w:style w:type="paragraph" w:customStyle="1" w:styleId="8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1">
    <w:name w:val="P1"/>
    <w:basedOn w:val="1"/>
    <w:qFormat/>
    <w:uiPriority w:val="0"/>
    <w:pPr>
      <w:adjustRightInd/>
      <w:spacing w:line="288" w:lineRule="auto"/>
      <w:ind w:firstLine="425" w:firstLineChars="200"/>
    </w:pPr>
  </w:style>
  <w:style w:type="paragraph" w:customStyle="1" w:styleId="82">
    <w:name w:val="Char1 Char Char Char"/>
    <w:basedOn w:val="1"/>
    <w:qFormat/>
    <w:uiPriority w:val="0"/>
    <w:rPr>
      <w:rFonts w:ascii="Tahoma" w:hAnsi="Tahoma"/>
      <w:sz w:val="24"/>
      <w:szCs w:val="20"/>
    </w:rPr>
  </w:style>
  <w:style w:type="paragraph" w:customStyle="1" w:styleId="8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7">
    <w:name w:val="样式7"/>
    <w:basedOn w:val="88"/>
    <w:next w:val="1"/>
    <w:qFormat/>
    <w:uiPriority w:val="0"/>
    <w:pPr>
      <w:spacing w:after="156" w:afterLines="50"/>
      <w:jc w:val="left"/>
      <w:outlineLvl w:val="3"/>
    </w:pPr>
    <w:rPr>
      <w:sz w:val="24"/>
      <w:szCs w:val="24"/>
    </w:rPr>
  </w:style>
  <w:style w:type="paragraph" w:customStyle="1" w:styleId="8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9">
    <w:name w:val="Bulleted List"/>
    <w:basedOn w:val="1"/>
    <w:qFormat/>
    <w:uiPriority w:val="0"/>
    <w:pPr>
      <w:numPr>
        <w:ilvl w:val="1"/>
        <w:numId w:val="4"/>
      </w:numPr>
      <w:adjustRightInd/>
    </w:pPr>
  </w:style>
  <w:style w:type="paragraph" w:customStyle="1" w:styleId="90">
    <w:name w:val="Char3"/>
    <w:basedOn w:val="1"/>
    <w:qFormat/>
    <w:uiPriority w:val="0"/>
    <w:pPr>
      <w:adjustRightInd/>
    </w:pPr>
    <w:rPr>
      <w:rFonts w:ascii="仿宋_GB2312" w:eastAsia="仿宋_GB2312"/>
      <w:b/>
      <w:sz w:val="32"/>
      <w:szCs w:val="32"/>
    </w:rPr>
  </w:style>
  <w:style w:type="paragraph" w:customStyle="1" w:styleId="91">
    <w:name w:val="Char Char1 Char Char Char Char Char Char"/>
    <w:basedOn w:val="1"/>
    <w:qFormat/>
    <w:uiPriority w:val="0"/>
    <w:rPr>
      <w:rFonts w:ascii="仿宋_GB2312" w:eastAsia="仿宋_GB2312"/>
      <w:b/>
      <w:sz w:val="32"/>
      <w:szCs w:val="20"/>
    </w:rPr>
  </w:style>
  <w:style w:type="paragraph" w:customStyle="1" w:styleId="92">
    <w:name w:val="文本正文 Char"/>
    <w:basedOn w:val="1"/>
    <w:qFormat/>
    <w:uiPriority w:val="0"/>
    <w:pPr>
      <w:spacing w:line="360" w:lineRule="auto"/>
      <w:ind w:firstLine="200" w:firstLineChars="200"/>
    </w:pPr>
    <w:rPr>
      <w:kern w:val="0"/>
      <w:sz w:val="24"/>
      <w:szCs w:val="20"/>
    </w:rPr>
  </w:style>
  <w:style w:type="paragraph" w:customStyle="1" w:styleId="9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8">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9">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2">
    <w:name w:val="Char1"/>
    <w:basedOn w:val="1"/>
    <w:qFormat/>
    <w:uiPriority w:val="0"/>
    <w:rPr>
      <w:rFonts w:ascii="仿宋_GB2312" w:eastAsia="仿宋_GB2312"/>
      <w:b/>
      <w:sz w:val="32"/>
      <w:szCs w:val="32"/>
    </w:rPr>
  </w:style>
  <w:style w:type="paragraph" w:customStyle="1" w:styleId="103">
    <w:name w:val="CM14"/>
    <w:basedOn w:val="104"/>
    <w:next w:val="104"/>
    <w:qFormat/>
    <w:uiPriority w:val="0"/>
    <w:pPr>
      <w:spacing w:after="68"/>
    </w:pPr>
    <w:rPr>
      <w:rFonts w:ascii="FHLHE E+ Futura Bk" w:eastAsia="FHLHE E+ Futura Bk" w:cs="Times New Roman"/>
      <w:color w:val="auto"/>
    </w:rPr>
  </w:style>
  <w:style w:type="paragraph" w:customStyle="1" w:styleId="104">
    <w:name w:val="Default"/>
    <w:link w:val="6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5">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106">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9">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10">
    <w:name w:val="List Paragraph"/>
    <w:basedOn w:val="1"/>
    <w:qFormat/>
    <w:uiPriority w:val="0"/>
    <w:pPr>
      <w:spacing w:line="360" w:lineRule="auto"/>
      <w:ind w:firstLine="200" w:firstLineChars="200"/>
    </w:pPr>
    <w:rPr>
      <w:rFonts w:eastAsia="楷体_GB2312" w:cs="Lucida Sans"/>
      <w:sz w:val="24"/>
    </w:rPr>
  </w:style>
  <w:style w:type="paragraph" w:customStyle="1" w:styleId="11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2">
    <w:name w:val="Char2 Char Char Char"/>
    <w:basedOn w:val="1"/>
    <w:qFormat/>
    <w:uiPriority w:val="0"/>
    <w:rPr>
      <w:rFonts w:ascii="仿宋_GB2312" w:eastAsia="仿宋_GB2312"/>
      <w:b/>
      <w:sz w:val="32"/>
      <w:szCs w:val="32"/>
    </w:rPr>
  </w:style>
  <w:style w:type="paragraph" w:customStyle="1" w:styleId="1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5">
    <w:name w:val="Char Char Char"/>
    <w:basedOn w:val="1"/>
    <w:qFormat/>
    <w:uiPriority w:val="0"/>
    <w:rPr>
      <w:rFonts w:ascii="Tahoma" w:hAnsi="Tahoma"/>
      <w:sz w:val="24"/>
      <w:szCs w:val="20"/>
    </w:rPr>
  </w:style>
  <w:style w:type="paragraph" w:customStyle="1" w:styleId="11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8">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2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1">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4">
    <w:name w:val="FA正文"/>
    <w:basedOn w:val="1"/>
    <w:qFormat/>
    <w:uiPriority w:val="0"/>
    <w:pPr>
      <w:spacing w:line="360" w:lineRule="auto"/>
      <w:ind w:firstLine="480" w:firstLineChars="200"/>
    </w:pPr>
    <w:rPr>
      <w:rFonts w:hAnsi="宋体"/>
      <w:sz w:val="24"/>
      <w:szCs w:val="20"/>
    </w:rPr>
  </w:style>
  <w:style w:type="paragraph" w:customStyle="1" w:styleId="125">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6">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7">
    <w:name w:val="有符号正文"/>
    <w:basedOn w:val="1"/>
    <w:qFormat/>
    <w:uiPriority w:val="0"/>
    <w:pPr>
      <w:adjustRightInd/>
      <w:spacing w:line="400" w:lineRule="exact"/>
      <w:ind w:firstLine="200" w:firstLineChars="200"/>
    </w:pPr>
    <w:rPr>
      <w:rFonts w:ascii="Arial" w:hAnsi="Arial"/>
    </w:rPr>
  </w:style>
  <w:style w:type="paragraph" w:customStyle="1" w:styleId="1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9">
    <w:name w:val="默认段落字体 Para Char"/>
    <w:basedOn w:val="1"/>
    <w:qFormat/>
    <w:uiPriority w:val="0"/>
    <w:rPr>
      <w:rFonts w:ascii="Tahoma" w:hAnsi="Tahoma"/>
      <w:sz w:val="24"/>
      <w:szCs w:val="20"/>
    </w:rPr>
  </w:style>
  <w:style w:type="paragraph" w:customStyle="1" w:styleId="130">
    <w:name w:val="Char1 Char Char Char2"/>
    <w:basedOn w:val="1"/>
    <w:qFormat/>
    <w:uiPriority w:val="0"/>
    <w:pPr>
      <w:adjustRightInd/>
      <w:ind w:firstLine="200" w:firstLineChars="200"/>
    </w:pPr>
    <w:rPr>
      <w:rFonts w:ascii="Tahoma" w:hAnsi="Tahoma"/>
      <w:sz w:val="24"/>
      <w:szCs w:val="20"/>
    </w:rPr>
  </w:style>
  <w:style w:type="paragraph" w:customStyle="1" w:styleId="13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3">
    <w:name w:val="注释"/>
    <w:basedOn w:val="1"/>
    <w:qFormat/>
    <w:uiPriority w:val="0"/>
    <w:pPr>
      <w:adjustRightInd/>
      <w:spacing w:line="360" w:lineRule="auto"/>
      <w:ind w:firstLine="480"/>
    </w:pPr>
    <w:rPr>
      <w:sz w:val="24"/>
    </w:rPr>
  </w:style>
  <w:style w:type="paragraph" w:customStyle="1" w:styleId="1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5">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6">
    <w:name w:val="trademark"/>
    <w:qFormat/>
    <w:uiPriority w:val="0"/>
    <w:pPr>
      <w:spacing w:after="60"/>
    </w:pPr>
    <w:rPr>
      <w:rFonts w:ascii="Futura Bk" w:hAnsi="Futura Bk" w:eastAsia="宋体" w:cs="Times New Roman"/>
      <w:sz w:val="15"/>
      <w:lang w:val="en-US" w:eastAsia="en-US" w:bidi="ar-SA"/>
    </w:rPr>
  </w:style>
  <w:style w:type="paragraph" w:customStyle="1" w:styleId="13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8">
    <w:name w:val="EB_表格"/>
    <w:basedOn w:val="1"/>
    <w:qFormat/>
    <w:uiPriority w:val="0"/>
    <w:pPr>
      <w:adjustRightInd/>
      <w:spacing w:line="300" w:lineRule="auto"/>
      <w:jc w:val="center"/>
    </w:pPr>
  </w:style>
  <w:style w:type="paragraph" w:customStyle="1" w:styleId="139">
    <w:name w:val="Char Char Char1 Char"/>
    <w:basedOn w:val="1"/>
    <w:qFormat/>
    <w:uiPriority w:val="0"/>
    <w:rPr>
      <w:szCs w:val="20"/>
    </w:rPr>
  </w:style>
  <w:style w:type="paragraph" w:customStyle="1" w:styleId="1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2">
    <w:name w:val="章标题"/>
    <w:next w:val="1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5">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7">
    <w:name w:val="表文字"/>
    <w:qFormat/>
    <w:uiPriority w:val="0"/>
    <w:rPr>
      <w:rFonts w:ascii="宋体" w:hAnsi="Times New Roman" w:eastAsia="宋体" w:cs="Times New Roman"/>
      <w:kern w:val="2"/>
      <w:lang w:val="en-US" w:eastAsia="zh-CN" w:bidi="ar-SA"/>
    </w:rPr>
  </w:style>
  <w:style w:type="paragraph" w:customStyle="1" w:styleId="14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1">
    <w:name w:val="列表内容"/>
    <w:basedOn w:val="1"/>
    <w:next w:val="1"/>
    <w:qFormat/>
    <w:uiPriority w:val="0"/>
    <w:pPr>
      <w:widowControl/>
      <w:tabs>
        <w:tab w:val="left" w:pos="840"/>
      </w:tabs>
      <w:ind w:left="840" w:hanging="420"/>
      <w:jc w:val="left"/>
    </w:pPr>
    <w:rPr>
      <w:kern w:val="0"/>
      <w:sz w:val="18"/>
    </w:rPr>
  </w:style>
  <w:style w:type="paragraph" w:customStyle="1" w:styleId="15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4">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5">
    <w:name w:val="Char2 Char Char"/>
    <w:basedOn w:val="1"/>
    <w:qFormat/>
    <w:uiPriority w:val="0"/>
    <w:pPr>
      <w:adjustRightInd/>
    </w:pPr>
    <w:rPr>
      <w:rFonts w:ascii="Tahoma" w:hAnsi="Tahoma"/>
      <w:sz w:val="24"/>
      <w:szCs w:val="20"/>
    </w:rPr>
  </w:style>
  <w:style w:type="paragraph" w:customStyle="1" w:styleId="15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60">
    <w:name w:val="Char Char1 Char Char Char"/>
    <w:basedOn w:val="1"/>
    <w:qFormat/>
    <w:uiPriority w:val="0"/>
    <w:rPr>
      <w:rFonts w:ascii="仿宋_GB2312" w:eastAsia="仿宋_GB2312"/>
      <w:b/>
      <w:sz w:val="32"/>
      <w:szCs w:val="20"/>
    </w:rPr>
  </w:style>
  <w:style w:type="paragraph" w:customStyle="1" w:styleId="16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2">
    <w:name w:val="WW-正文文字缩进 2"/>
    <w:basedOn w:val="1"/>
    <w:qFormat/>
    <w:uiPriority w:val="0"/>
    <w:pPr>
      <w:suppressAutoHyphens/>
      <w:adjustRightInd/>
      <w:ind w:firstLine="420"/>
    </w:pPr>
    <w:rPr>
      <w:kern w:val="1"/>
      <w:szCs w:val="20"/>
    </w:rPr>
  </w:style>
  <w:style w:type="paragraph" w:customStyle="1" w:styleId="16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5">
    <w:name w:val="默认段落字体 Para Char Char Char Char"/>
    <w:basedOn w:val="1"/>
    <w:qFormat/>
    <w:uiPriority w:val="0"/>
    <w:pPr>
      <w:spacing w:line="360" w:lineRule="auto"/>
    </w:pPr>
    <w:rPr>
      <w:szCs w:val="20"/>
    </w:rPr>
  </w:style>
  <w:style w:type="paragraph" w:customStyle="1" w:styleId="166">
    <w:name w:val="Char Char11 Char Char Char"/>
    <w:basedOn w:val="1"/>
    <w:qFormat/>
    <w:uiPriority w:val="0"/>
    <w:pPr>
      <w:spacing w:line="360" w:lineRule="auto"/>
    </w:pPr>
    <w:rPr>
      <w:szCs w:val="20"/>
    </w:rPr>
  </w:style>
  <w:style w:type="paragraph" w:customStyle="1" w:styleId="16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9">
    <w:name w:val="左对齐表格文字"/>
    <w:basedOn w:val="1"/>
    <w:qFormat/>
    <w:uiPriority w:val="0"/>
    <w:pPr>
      <w:adjustRightInd/>
      <w:ind w:firstLine="200" w:firstLineChars="200"/>
      <w:jc w:val="right"/>
    </w:pPr>
  </w:style>
  <w:style w:type="paragraph" w:customStyle="1" w:styleId="170">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3">
    <w:name w:val="无间隔1"/>
    <w:link w:val="535"/>
    <w:qFormat/>
    <w:uiPriority w:val="1"/>
    <w:rPr>
      <w:rFonts w:ascii="Calibri" w:hAnsi="Calibri" w:eastAsia="宋体" w:cs="Times New Roman"/>
      <w:sz w:val="22"/>
      <w:szCs w:val="22"/>
      <w:lang w:val="en-US" w:eastAsia="zh-CN" w:bidi="ar-SA"/>
    </w:rPr>
  </w:style>
  <w:style w:type="paragraph" w:customStyle="1" w:styleId="174">
    <w:name w:val="样式 样式 标题 4h4H4Fab-4T5Ref Heading 1rh1Heading sqlsect 1.2.3.... +..."/>
    <w:basedOn w:val="175"/>
    <w:link w:val="613"/>
    <w:qFormat/>
    <w:uiPriority w:val="0"/>
    <w:pPr>
      <w:tabs>
        <w:tab w:val="left" w:pos="2356"/>
      </w:tabs>
    </w:pPr>
  </w:style>
  <w:style w:type="paragraph" w:customStyle="1" w:styleId="175">
    <w:name w:val="样式 标题 4h4H4Fab-4T5Ref Heading 1rh1Heading sqlsect 1.2.3...."/>
    <w:basedOn w:val="7"/>
    <w:link w:val="563"/>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6">
    <w:name w:val="四级条标题"/>
    <w:basedOn w:val="177"/>
    <w:next w:val="143"/>
    <w:qFormat/>
    <w:uiPriority w:val="0"/>
    <w:pPr>
      <w:numPr>
        <w:ilvl w:val="5"/>
        <w:numId w:val="4"/>
      </w:numPr>
      <w:tabs>
        <w:tab w:val="left" w:pos="1680"/>
        <w:tab w:val="left" w:pos="2100"/>
        <w:tab w:val="left" w:pos="2520"/>
      </w:tabs>
      <w:outlineLvl w:val="5"/>
    </w:pPr>
  </w:style>
  <w:style w:type="paragraph" w:customStyle="1" w:styleId="177">
    <w:name w:val="三级条标题"/>
    <w:basedOn w:val="178"/>
    <w:next w:val="143"/>
    <w:qFormat/>
    <w:uiPriority w:val="0"/>
    <w:pPr>
      <w:numPr>
        <w:ilvl w:val="0"/>
        <w:numId w:val="0"/>
      </w:numPr>
      <w:tabs>
        <w:tab w:val="left" w:pos="1680"/>
        <w:tab w:val="left" w:pos="2100"/>
        <w:tab w:val="left" w:pos="2520"/>
      </w:tabs>
      <w:ind w:left="2520" w:hanging="420"/>
      <w:outlineLvl w:val="4"/>
    </w:pPr>
  </w:style>
  <w:style w:type="paragraph" w:customStyle="1" w:styleId="178">
    <w:name w:val="二级条标题"/>
    <w:basedOn w:val="179"/>
    <w:next w:val="143"/>
    <w:qFormat/>
    <w:uiPriority w:val="0"/>
    <w:pPr>
      <w:numPr>
        <w:ilvl w:val="3"/>
        <w:numId w:val="4"/>
      </w:numPr>
      <w:tabs>
        <w:tab w:val="left" w:pos="1680"/>
      </w:tabs>
      <w:ind w:left="0"/>
      <w:outlineLvl w:val="3"/>
    </w:pPr>
  </w:style>
  <w:style w:type="paragraph" w:customStyle="1" w:styleId="179">
    <w:name w:val="一级条标题"/>
    <w:basedOn w:val="142"/>
    <w:next w:val="143"/>
    <w:qFormat/>
    <w:uiPriority w:val="0"/>
    <w:pPr>
      <w:tabs>
        <w:tab w:val="left" w:pos="1680"/>
        <w:tab w:val="clear" w:pos="1260"/>
      </w:tabs>
      <w:spacing w:before="0" w:beforeLines="0" w:after="0" w:afterLines="0"/>
      <w:ind w:left="1680"/>
      <w:outlineLvl w:val="2"/>
    </w:pPr>
  </w:style>
  <w:style w:type="paragraph" w:customStyle="1" w:styleId="18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1">
    <w:name w:val="标准小四"/>
    <w:basedOn w:val="1"/>
    <w:qFormat/>
    <w:uiPriority w:val="0"/>
    <w:pPr>
      <w:spacing w:line="360" w:lineRule="auto"/>
      <w:ind w:firstLine="480" w:firstLineChars="200"/>
    </w:pPr>
    <w:rPr>
      <w:rFonts w:ascii="Arial" w:hAnsi="Arial"/>
      <w:sz w:val="24"/>
      <w:szCs w:val="21"/>
    </w:rPr>
  </w:style>
  <w:style w:type="paragraph" w:customStyle="1" w:styleId="182">
    <w:name w:val="表格"/>
    <w:basedOn w:val="1"/>
    <w:qFormat/>
    <w:uiPriority w:val="0"/>
    <w:pPr>
      <w:snapToGrid w:val="0"/>
      <w:ind w:firstLine="42" w:firstLineChars="21"/>
    </w:pPr>
    <w:rPr>
      <w:rFonts w:ascii="宋体" w:hAnsi="宋体"/>
      <w:kern w:val="0"/>
      <w:sz w:val="20"/>
      <w:szCs w:val="20"/>
    </w:rPr>
  </w:style>
  <w:style w:type="paragraph" w:customStyle="1" w:styleId="18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6">
    <w:name w:val="封面公司名"/>
    <w:qFormat/>
    <w:uiPriority w:val="0"/>
    <w:pPr>
      <w:jc w:val="center"/>
    </w:pPr>
    <w:rPr>
      <w:rFonts w:ascii="Arial" w:hAnsi="Arial" w:eastAsia="楷体_GB2312" w:cs="宋体"/>
      <w:bCs/>
      <w:kern w:val="2"/>
      <w:sz w:val="28"/>
      <w:lang w:val="en-US" w:eastAsia="zh-CN" w:bidi="ar-SA"/>
    </w:rPr>
  </w:style>
  <w:style w:type="paragraph" w:customStyle="1" w:styleId="187">
    <w:name w:val="Char2 Char Char Char1"/>
    <w:basedOn w:val="1"/>
    <w:qFormat/>
    <w:uiPriority w:val="0"/>
    <w:rPr>
      <w:rFonts w:ascii="仿宋_GB2312" w:eastAsia="仿宋_GB2312"/>
      <w:b/>
      <w:sz w:val="32"/>
      <w:szCs w:val="32"/>
    </w:rPr>
  </w:style>
  <w:style w:type="paragraph" w:customStyle="1" w:styleId="1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9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1">
    <w:name w:val="Char2"/>
    <w:basedOn w:val="1"/>
    <w:qFormat/>
    <w:uiPriority w:val="0"/>
    <w:rPr>
      <w:rFonts w:ascii="仿宋_GB2312" w:eastAsia="仿宋_GB2312"/>
      <w:b/>
      <w:sz w:val="32"/>
      <w:szCs w:val="32"/>
    </w:rPr>
  </w:style>
  <w:style w:type="paragraph" w:customStyle="1" w:styleId="19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3">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5">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6">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7">
    <w:name w:val="Char Char4 Char Char"/>
    <w:basedOn w:val="1"/>
    <w:qFormat/>
    <w:uiPriority w:val="0"/>
    <w:pPr>
      <w:widowControl/>
      <w:adjustRightInd/>
      <w:spacing w:after="160" w:line="240" w:lineRule="exact"/>
      <w:jc w:val="left"/>
    </w:pPr>
  </w:style>
  <w:style w:type="paragraph" w:customStyle="1" w:styleId="198">
    <w:name w:val="Char2 Char Char1"/>
    <w:basedOn w:val="1"/>
    <w:qFormat/>
    <w:uiPriority w:val="0"/>
    <w:pPr>
      <w:adjustRightInd/>
    </w:pPr>
    <w:rPr>
      <w:rFonts w:ascii="Tahoma" w:hAnsi="Tahoma"/>
      <w:sz w:val="24"/>
      <w:szCs w:val="20"/>
    </w:rPr>
  </w:style>
  <w:style w:type="paragraph" w:customStyle="1" w:styleId="199">
    <w:name w:val="默认段落字体 Para Char Char Char Char Char Char Char"/>
    <w:basedOn w:val="1"/>
    <w:qFormat/>
    <w:uiPriority w:val="0"/>
    <w:rPr>
      <w:rFonts w:eastAsia="仿宋_GB2312"/>
      <w:sz w:val="28"/>
      <w:szCs w:val="20"/>
    </w:rPr>
  </w:style>
  <w:style w:type="paragraph" w:customStyle="1" w:styleId="20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1">
    <w:name w:val="正文21"/>
    <w:basedOn w:val="1"/>
    <w:qFormat/>
    <w:uiPriority w:val="0"/>
    <w:pPr>
      <w:adjustRightInd/>
      <w:spacing w:before="156" w:line="360" w:lineRule="auto"/>
      <w:ind w:firstLine="510" w:firstLineChars="200"/>
    </w:pPr>
    <w:rPr>
      <w:sz w:val="24"/>
      <w:szCs w:val="20"/>
    </w:rPr>
  </w:style>
  <w:style w:type="paragraph" w:customStyle="1" w:styleId="202">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20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4">
    <w:name w:val="标题五"/>
    <w:basedOn w:val="1"/>
    <w:qFormat/>
    <w:uiPriority w:val="0"/>
    <w:pPr>
      <w:adjustRightInd/>
      <w:spacing w:before="156" w:beforeLines="50" w:line="360" w:lineRule="auto"/>
    </w:pPr>
    <w:rPr>
      <w:b/>
      <w:sz w:val="24"/>
    </w:rPr>
  </w:style>
  <w:style w:type="paragraph" w:customStyle="1" w:styleId="205">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6">
    <w:name w:val="Char Char11"/>
    <w:basedOn w:val="1"/>
    <w:qFormat/>
    <w:uiPriority w:val="0"/>
    <w:pPr>
      <w:spacing w:line="360" w:lineRule="auto"/>
    </w:pPr>
    <w:rPr>
      <w:szCs w:val="20"/>
    </w:rPr>
  </w:style>
  <w:style w:type="paragraph" w:customStyle="1" w:styleId="20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8">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9">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1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Char Char1 Char Char Char1"/>
    <w:basedOn w:val="1"/>
    <w:qFormat/>
    <w:uiPriority w:val="0"/>
    <w:rPr>
      <w:rFonts w:ascii="仿宋_GB2312" w:eastAsia="仿宋_GB2312"/>
      <w:b/>
      <w:sz w:val="32"/>
      <w:szCs w:val="32"/>
    </w:rPr>
  </w:style>
  <w:style w:type="paragraph" w:customStyle="1" w:styleId="214">
    <w:name w:val="样式 标题 4PIM 4H4h4bulletblbbH41H42H43H44H45H46H47H48...1"/>
    <w:basedOn w:val="7"/>
    <w:qFormat/>
    <w:uiPriority w:val="0"/>
    <w:pPr>
      <w:widowControl/>
      <w:jc w:val="left"/>
    </w:pPr>
    <w:rPr>
      <w:rFonts w:cs="宋体"/>
      <w:sz w:val="24"/>
      <w:szCs w:val="20"/>
    </w:rPr>
  </w:style>
  <w:style w:type="paragraph" w:customStyle="1" w:styleId="21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6">
    <w:name w:val="表格标题2"/>
    <w:basedOn w:val="217"/>
    <w:qFormat/>
    <w:uiPriority w:val="0"/>
    <w:rPr>
      <w:b/>
    </w:rPr>
  </w:style>
  <w:style w:type="paragraph" w:customStyle="1" w:styleId="217">
    <w:name w:val="表格内文"/>
    <w:basedOn w:val="1"/>
    <w:qFormat/>
    <w:uiPriority w:val="0"/>
    <w:pPr>
      <w:adjustRightInd/>
      <w:spacing w:line="360" w:lineRule="auto"/>
    </w:pPr>
    <w:rPr>
      <w:rFonts w:ascii="宋体" w:hAnsi="宋体" w:cs="宋体"/>
      <w:color w:val="000000"/>
      <w:szCs w:val="20"/>
    </w:rPr>
  </w:style>
  <w:style w:type="paragraph" w:customStyle="1" w:styleId="218">
    <w:name w:val="Char Char Char Char Char Char Char"/>
    <w:basedOn w:val="1"/>
    <w:qFormat/>
    <w:uiPriority w:val="0"/>
    <w:rPr>
      <w:rFonts w:ascii="仿宋_GB2312" w:eastAsia="仿宋_GB2312"/>
      <w:b/>
      <w:sz w:val="32"/>
      <w:szCs w:val="32"/>
    </w:rPr>
  </w:style>
  <w:style w:type="paragraph" w:customStyle="1" w:styleId="21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20">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2">
    <w:name w:val="列出段落2"/>
    <w:basedOn w:val="1"/>
    <w:qFormat/>
    <w:uiPriority w:val="0"/>
    <w:pPr>
      <w:adjustRightInd/>
      <w:ind w:firstLine="420" w:firstLineChars="200"/>
    </w:pPr>
    <w:rPr>
      <w:rFonts w:ascii="宋体" w:hAnsi="宋体"/>
      <w:sz w:val="24"/>
    </w:rPr>
  </w:style>
  <w:style w:type="paragraph" w:customStyle="1" w:styleId="22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4">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6">
    <w:name w:val="正文 首行缩进:  2 字符 Char"/>
    <w:basedOn w:val="1"/>
    <w:qFormat/>
    <w:uiPriority w:val="0"/>
    <w:pPr>
      <w:adjustRightInd/>
      <w:spacing w:line="360" w:lineRule="auto"/>
      <w:ind w:firstLine="480"/>
    </w:pPr>
    <w:rPr>
      <w:rFonts w:cs="宋体"/>
      <w:sz w:val="24"/>
      <w:szCs w:val="20"/>
    </w:rPr>
  </w:style>
  <w:style w:type="paragraph" w:customStyle="1" w:styleId="2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8">
    <w:name w:val="Table Text"/>
    <w:basedOn w:val="1"/>
    <w:qFormat/>
    <w:uiPriority w:val="0"/>
    <w:pPr>
      <w:widowControl/>
      <w:spacing w:before="60" w:after="60"/>
      <w:jc w:val="left"/>
    </w:pPr>
    <w:rPr>
      <w:kern w:val="0"/>
      <w:sz w:val="24"/>
    </w:rPr>
  </w:style>
  <w:style w:type="paragraph" w:customStyle="1" w:styleId="22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3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1">
    <w:name w:val="Char Char Char Char Char Char Char Char Char Char"/>
    <w:basedOn w:val="1"/>
    <w:qFormat/>
    <w:uiPriority w:val="0"/>
    <w:rPr>
      <w:rFonts w:ascii="仿宋_GB2312" w:eastAsia="仿宋_GB2312"/>
      <w:b/>
      <w:sz w:val="32"/>
      <w:szCs w:val="32"/>
    </w:rPr>
  </w:style>
  <w:style w:type="paragraph" w:customStyle="1" w:styleId="23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3">
    <w:name w:val="正文文字表格居中"/>
    <w:basedOn w:val="1"/>
    <w:next w:val="55"/>
    <w:qFormat/>
    <w:uiPriority w:val="0"/>
    <w:pPr>
      <w:snapToGrid w:val="0"/>
      <w:spacing w:line="360" w:lineRule="auto"/>
    </w:pPr>
    <w:rPr>
      <w:rFonts w:ascii="宋体"/>
      <w:b/>
      <w:sz w:val="24"/>
      <w:szCs w:val="20"/>
    </w:rPr>
  </w:style>
  <w:style w:type="paragraph" w:customStyle="1" w:styleId="234">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8">
    <w:name w:val="Char"/>
    <w:basedOn w:val="1"/>
    <w:qFormat/>
    <w:uiPriority w:val="0"/>
    <w:rPr>
      <w:rFonts w:ascii="仿宋_GB2312" w:eastAsia="仿宋_GB2312"/>
      <w:b/>
      <w:sz w:val="32"/>
      <w:szCs w:val="32"/>
    </w:rPr>
  </w:style>
  <w:style w:type="paragraph" w:customStyle="1" w:styleId="239">
    <w:name w:val="冯广丽"/>
    <w:basedOn w:val="1"/>
    <w:link w:val="476"/>
    <w:qFormat/>
    <w:uiPriority w:val="0"/>
    <w:pPr>
      <w:adjustRightInd/>
      <w:spacing w:line="360" w:lineRule="auto"/>
      <w:ind w:firstLine="480" w:firstLineChars="200"/>
    </w:pPr>
    <w:rPr>
      <w:rFonts w:ascii="宋体" w:hAnsi="宋体"/>
      <w:sz w:val="24"/>
      <w:szCs w:val="22"/>
    </w:rPr>
  </w:style>
  <w:style w:type="paragraph" w:customStyle="1" w:styleId="24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41">
    <w:name w:val="Char31"/>
    <w:basedOn w:val="1"/>
    <w:qFormat/>
    <w:uiPriority w:val="0"/>
    <w:pPr>
      <w:adjustRightInd/>
      <w:ind w:firstLine="200" w:firstLineChars="200"/>
    </w:pPr>
    <w:rPr>
      <w:rFonts w:ascii="Tahoma" w:hAnsi="Tahoma"/>
      <w:sz w:val="24"/>
      <w:szCs w:val="20"/>
    </w:rPr>
  </w:style>
  <w:style w:type="paragraph" w:customStyle="1" w:styleId="242">
    <w:name w:val="Char Char11 Char Char Char1"/>
    <w:basedOn w:val="1"/>
    <w:qFormat/>
    <w:uiPriority w:val="0"/>
    <w:pPr>
      <w:spacing w:line="360" w:lineRule="auto"/>
    </w:pPr>
    <w:rPr>
      <w:szCs w:val="20"/>
    </w:rPr>
  </w:style>
  <w:style w:type="paragraph" w:customStyle="1" w:styleId="24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4">
    <w:name w:val="_Style 236"/>
    <w:qFormat/>
    <w:uiPriority w:val="0"/>
    <w:rPr>
      <w:rFonts w:ascii="Times New Roman" w:hAnsi="Times New Roman" w:eastAsia="宋体" w:cs="Times New Roman"/>
      <w:kern w:val="2"/>
      <w:sz w:val="21"/>
      <w:lang w:val="en-US" w:eastAsia="zh-CN" w:bidi="ar-SA"/>
    </w:rPr>
  </w:style>
  <w:style w:type="paragraph" w:customStyle="1" w:styleId="2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7">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50">
    <w:name w:val="文章标题"/>
    <w:next w:val="18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51">
    <w:name w:val="4"/>
    <w:basedOn w:val="1"/>
    <w:next w:val="36"/>
    <w:qFormat/>
    <w:uiPriority w:val="0"/>
    <w:pPr>
      <w:spacing w:after="120" w:line="480" w:lineRule="auto"/>
      <w:ind w:left="420" w:leftChars="200"/>
    </w:pPr>
    <w:rPr>
      <w:sz w:val="24"/>
      <w:szCs w:val="20"/>
    </w:rPr>
  </w:style>
  <w:style w:type="paragraph" w:customStyle="1" w:styleId="25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3">
    <w:name w:val="Char Char Char Char Char Char Char Char Char Char Char1 Char"/>
    <w:basedOn w:val="1"/>
    <w:qFormat/>
    <w:uiPriority w:val="0"/>
    <w:pPr>
      <w:adjustRightInd/>
    </w:pPr>
    <w:rPr>
      <w:rFonts w:ascii="Tahoma" w:hAnsi="Tahoma"/>
      <w:sz w:val="24"/>
    </w:rPr>
  </w:style>
  <w:style w:type="paragraph" w:customStyle="1" w:styleId="25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5">
    <w:name w:val="标书表格字体格式"/>
    <w:next w:val="159"/>
    <w:qFormat/>
    <w:uiPriority w:val="0"/>
    <w:rPr>
      <w:rFonts w:ascii="Times New Roman" w:hAnsi="Times New Roman" w:eastAsia="宋体" w:cs="Times New Roman"/>
      <w:kern w:val="2"/>
      <w:sz w:val="21"/>
      <w:szCs w:val="24"/>
      <w:lang w:val="en-US" w:eastAsia="zh-CN" w:bidi="ar-SA"/>
    </w:rPr>
  </w:style>
  <w:style w:type="paragraph" w:customStyle="1" w:styleId="25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8">
    <w:name w:val="正文11"/>
    <w:basedOn w:val="31"/>
    <w:qFormat/>
    <w:uiPriority w:val="0"/>
    <w:pPr>
      <w:ind w:left="0" w:leftChars="0" w:firstLine="480" w:firstLineChars="200"/>
    </w:pPr>
    <w:rPr>
      <w:rFonts w:ascii="仿宋_GB2312" w:hAnsi="Courier New" w:eastAsia="仿宋_GB2312"/>
      <w:kern w:val="28"/>
      <w:sz w:val="24"/>
    </w:rPr>
  </w:style>
  <w:style w:type="paragraph" w:customStyle="1" w:styleId="259">
    <w:name w:val="带编号样式"/>
    <w:basedOn w:val="92"/>
    <w:qFormat/>
    <w:uiPriority w:val="0"/>
    <w:pPr>
      <w:tabs>
        <w:tab w:val="left" w:pos="840"/>
      </w:tabs>
      <w:snapToGrid w:val="0"/>
      <w:ind w:left="840" w:firstLine="0" w:firstLineChars="0"/>
    </w:pPr>
    <w:rPr>
      <w:rFonts w:ascii="仿宋_GB2312" w:eastAsia="仿宋_GB2312"/>
      <w:color w:val="000000"/>
    </w:rPr>
  </w:style>
  <w:style w:type="paragraph" w:customStyle="1" w:styleId="260">
    <w:name w:val="正文文字 2"/>
    <w:basedOn w:val="104"/>
    <w:next w:val="104"/>
    <w:qFormat/>
    <w:uiPriority w:val="0"/>
    <w:rPr>
      <w:rFonts w:ascii="宋体" w:eastAsia="宋体" w:cs="Times New Roman"/>
      <w:color w:val="auto"/>
    </w:rPr>
  </w:style>
  <w:style w:type="paragraph" w:customStyle="1" w:styleId="26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2">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63">
    <w:name w:val="Char5"/>
    <w:basedOn w:val="1"/>
    <w:qFormat/>
    <w:uiPriority w:val="0"/>
    <w:rPr>
      <w:rFonts w:ascii="仿宋_GB2312" w:eastAsia="仿宋_GB2312"/>
      <w:b/>
      <w:sz w:val="32"/>
      <w:szCs w:val="32"/>
    </w:rPr>
  </w:style>
  <w:style w:type="paragraph" w:customStyle="1" w:styleId="26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6">
    <w:name w:val="Item List"/>
    <w:link w:val="48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9">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1">
    <w:name w:val="Char Char1 Char Char Char Char Char Char1"/>
    <w:basedOn w:val="1"/>
    <w:qFormat/>
    <w:uiPriority w:val="0"/>
    <w:rPr>
      <w:rFonts w:ascii="仿宋_GB2312" w:eastAsia="仿宋_GB2312"/>
      <w:b/>
      <w:sz w:val="32"/>
      <w:szCs w:val="20"/>
    </w:rPr>
  </w:style>
  <w:style w:type="paragraph" w:customStyle="1" w:styleId="272">
    <w:name w:val="Char Char Char Char Char Char Char Char Char Char Char Char1 Char"/>
    <w:basedOn w:val="1"/>
    <w:qFormat/>
    <w:uiPriority w:val="0"/>
    <w:rPr>
      <w:rFonts w:ascii="Tahoma" w:hAnsi="Tahoma" w:cs="仿宋_GB2312"/>
      <w:sz w:val="24"/>
      <w:szCs w:val="20"/>
    </w:rPr>
  </w:style>
  <w:style w:type="paragraph" w:customStyle="1" w:styleId="27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7">
    <w:name w:val="样式 正文文本缩进 + 段前: 2 字符"/>
    <w:basedOn w:val="1"/>
    <w:qFormat/>
    <w:uiPriority w:val="0"/>
    <w:pPr>
      <w:adjustRightInd/>
      <w:ind w:left="420" w:leftChars="200"/>
      <w:jc w:val="left"/>
    </w:pPr>
    <w:rPr>
      <w:sz w:val="28"/>
      <w:szCs w:val="20"/>
      <w:lang w:eastAsia="zh-TW"/>
    </w:rPr>
  </w:style>
  <w:style w:type="paragraph" w:customStyle="1" w:styleId="278">
    <w:name w:val="Char1 Char Char Char3"/>
    <w:basedOn w:val="1"/>
    <w:qFormat/>
    <w:uiPriority w:val="0"/>
    <w:pPr>
      <w:adjustRightInd/>
      <w:ind w:firstLine="200" w:firstLineChars="200"/>
    </w:pPr>
    <w:rPr>
      <w:rFonts w:ascii="Tahoma" w:hAnsi="Tahoma"/>
      <w:sz w:val="24"/>
      <w:szCs w:val="20"/>
    </w:rPr>
  </w:style>
  <w:style w:type="paragraph" w:customStyle="1" w:styleId="279">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80">
    <w:name w:val="Char Char Char Char Char Char Char Char Char Char Char Char1 Char1"/>
    <w:basedOn w:val="1"/>
    <w:qFormat/>
    <w:uiPriority w:val="0"/>
    <w:rPr>
      <w:rFonts w:ascii="Tahoma" w:hAnsi="Tahoma" w:cs="仿宋_GB2312"/>
      <w:sz w:val="24"/>
      <w:szCs w:val="20"/>
    </w:rPr>
  </w:style>
  <w:style w:type="paragraph" w:customStyle="1" w:styleId="281">
    <w:name w:val="Char Char1 Char1"/>
    <w:basedOn w:val="1"/>
    <w:qFormat/>
    <w:uiPriority w:val="0"/>
    <w:rPr>
      <w:rFonts w:ascii="仿宋_GB2312" w:eastAsia="仿宋_GB2312"/>
      <w:b/>
      <w:sz w:val="32"/>
      <w:szCs w:val="32"/>
    </w:rPr>
  </w:style>
  <w:style w:type="paragraph" w:customStyle="1" w:styleId="282">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3">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4">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5">
    <w:name w:val="Char Char1"/>
    <w:basedOn w:val="1"/>
    <w:qFormat/>
    <w:uiPriority w:val="0"/>
    <w:pPr>
      <w:widowControl/>
      <w:spacing w:after="160" w:line="240" w:lineRule="exact"/>
      <w:jc w:val="left"/>
    </w:pPr>
    <w:rPr>
      <w:rFonts w:eastAsia="仿宋_GB2312"/>
      <w:sz w:val="28"/>
    </w:rPr>
  </w:style>
  <w:style w:type="paragraph" w:customStyle="1" w:styleId="286">
    <w:name w:val="单元格居中"/>
    <w:basedOn w:val="1"/>
    <w:qFormat/>
    <w:uiPriority w:val="0"/>
    <w:pPr>
      <w:adjustRightInd/>
      <w:spacing w:line="360" w:lineRule="auto"/>
      <w:jc w:val="center"/>
    </w:pPr>
    <w:rPr>
      <w:sz w:val="24"/>
    </w:rPr>
  </w:style>
  <w:style w:type="paragraph" w:customStyle="1" w:styleId="287">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8">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90">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2">
    <w:name w:val="MM Empty"/>
    <w:basedOn w:val="1"/>
    <w:qFormat/>
    <w:uiPriority w:val="0"/>
    <w:pPr>
      <w:adjustRightInd/>
    </w:pPr>
  </w:style>
  <w:style w:type="paragraph" w:customStyle="1" w:styleId="293">
    <w:name w:val="文档正文"/>
    <w:basedOn w:val="1"/>
    <w:qFormat/>
    <w:uiPriority w:val="0"/>
    <w:pPr>
      <w:spacing w:line="480" w:lineRule="atLeast"/>
      <w:ind w:firstLine="567"/>
      <w:textAlignment w:val="baseline"/>
    </w:pPr>
    <w:rPr>
      <w:kern w:val="0"/>
      <w:sz w:val="24"/>
      <w:szCs w:val="20"/>
    </w:rPr>
  </w:style>
  <w:style w:type="paragraph" w:customStyle="1" w:styleId="29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5">
    <w:name w:val="Char Char1 Char Char1 Char Char1"/>
    <w:basedOn w:val="1"/>
    <w:qFormat/>
    <w:uiPriority w:val="0"/>
    <w:pPr>
      <w:tabs>
        <w:tab w:val="left" w:pos="840"/>
      </w:tabs>
      <w:ind w:left="840" w:hanging="420"/>
    </w:pPr>
    <w:rPr>
      <w:rFonts w:ascii="Tahoma" w:hAnsi="Tahoma"/>
      <w:sz w:val="24"/>
    </w:rPr>
  </w:style>
  <w:style w:type="paragraph" w:customStyle="1" w:styleId="296">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7">
    <w:name w:val="Char Char Char Char Char Char Char Char Char Char1"/>
    <w:basedOn w:val="1"/>
    <w:qFormat/>
    <w:uiPriority w:val="0"/>
    <w:rPr>
      <w:rFonts w:ascii="仿宋_GB2312" w:eastAsia="仿宋_GB2312"/>
      <w:b/>
      <w:sz w:val="32"/>
      <w:szCs w:val="32"/>
    </w:rPr>
  </w:style>
  <w:style w:type="paragraph" w:customStyle="1" w:styleId="298">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9">
    <w:name w:val="默认段落字体 Para Char Char Char1 Char"/>
    <w:basedOn w:val="1"/>
    <w:qFormat/>
    <w:uiPriority w:val="0"/>
    <w:pPr>
      <w:spacing w:line="240" w:lineRule="atLeast"/>
      <w:ind w:left="420" w:firstLine="420"/>
    </w:pPr>
    <w:rPr>
      <w:sz w:val="24"/>
    </w:rPr>
  </w:style>
  <w:style w:type="paragraph" w:styleId="30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2">
    <w:name w:val="Char1 Char Char Char5"/>
    <w:basedOn w:val="1"/>
    <w:qFormat/>
    <w:uiPriority w:val="0"/>
    <w:pPr>
      <w:adjustRightInd/>
      <w:ind w:firstLine="200" w:firstLineChars="200"/>
    </w:pPr>
    <w:rPr>
      <w:rFonts w:ascii="Tahoma" w:hAnsi="Tahoma"/>
      <w:sz w:val="24"/>
      <w:szCs w:val="20"/>
    </w:rPr>
  </w:style>
  <w:style w:type="paragraph" w:customStyle="1" w:styleId="303">
    <w:name w:val="Char Char Char Char Char Char Char1"/>
    <w:basedOn w:val="1"/>
    <w:qFormat/>
    <w:uiPriority w:val="0"/>
    <w:rPr>
      <w:rFonts w:ascii="仿宋_GB2312" w:eastAsia="仿宋_GB2312"/>
      <w:b/>
      <w:sz w:val="32"/>
      <w:szCs w:val="32"/>
    </w:rPr>
  </w:style>
  <w:style w:type="paragraph" w:customStyle="1" w:styleId="30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5">
    <w:name w:val="正文表标题"/>
    <w:next w:val="1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7">
    <w:name w:val="四号　首行缩进"/>
    <w:basedOn w:val="1"/>
    <w:qFormat/>
    <w:uiPriority w:val="0"/>
    <w:pPr>
      <w:adjustRightInd/>
      <w:spacing w:line="360" w:lineRule="auto"/>
    </w:pPr>
    <w:rPr>
      <w:rFonts w:ascii="宋体" w:hAnsi="宋体"/>
      <w:szCs w:val="20"/>
    </w:rPr>
  </w:style>
  <w:style w:type="paragraph" w:customStyle="1" w:styleId="30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0">
    <w:name w:val="首行缩进"/>
    <w:basedOn w:val="1"/>
    <w:qFormat/>
    <w:uiPriority w:val="0"/>
    <w:pPr>
      <w:spacing w:line="360" w:lineRule="auto"/>
      <w:ind w:firstLine="480" w:firstLineChars="200"/>
    </w:pPr>
    <w:rPr>
      <w:rFonts w:ascii="宋体"/>
      <w:sz w:val="24"/>
      <w:szCs w:val="20"/>
    </w:rPr>
  </w:style>
  <w:style w:type="paragraph" w:customStyle="1" w:styleId="311">
    <w:name w:val="Char1 Char Char Char1"/>
    <w:basedOn w:val="1"/>
    <w:qFormat/>
    <w:uiPriority w:val="0"/>
    <w:pPr>
      <w:adjustRightInd/>
      <w:ind w:firstLine="200" w:firstLineChars="200"/>
    </w:pPr>
    <w:rPr>
      <w:rFonts w:ascii="Tahoma" w:hAnsi="Tahoma"/>
      <w:sz w:val="24"/>
      <w:szCs w:val="20"/>
    </w:rPr>
  </w:style>
  <w:style w:type="paragraph" w:customStyle="1" w:styleId="312">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样式 样式2 + 左侧:  1 字符 右侧:  1 字符"/>
    <w:basedOn w:val="8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7">
    <w:name w:val="哈哈正文"/>
    <w:basedOn w:val="1"/>
    <w:link w:val="501"/>
    <w:qFormat/>
    <w:uiPriority w:val="0"/>
    <w:pPr>
      <w:adjustRightInd/>
      <w:spacing w:line="360" w:lineRule="auto"/>
      <w:ind w:firstLine="200" w:firstLineChars="200"/>
    </w:pPr>
    <w:rPr>
      <w:rFonts w:ascii="宋体" w:hAnsi="宋体"/>
      <w:sz w:val="24"/>
      <w:szCs w:val="20"/>
    </w:rPr>
  </w:style>
  <w:style w:type="paragraph" w:customStyle="1" w:styleId="318">
    <w:name w:val="List Paragraph1"/>
    <w:basedOn w:val="1"/>
    <w:qFormat/>
    <w:uiPriority w:val="34"/>
    <w:pPr>
      <w:spacing w:line="360" w:lineRule="auto"/>
      <w:ind w:firstLine="200" w:firstLineChars="200"/>
    </w:pPr>
    <w:rPr>
      <w:rFonts w:eastAsia="楷体_GB2312" w:cs="Lucida Sans"/>
      <w:sz w:val="24"/>
    </w:rPr>
  </w:style>
  <w:style w:type="paragraph" w:customStyle="1" w:styleId="31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2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2">
    <w:name w:val="Char Char11 Char Char Char Char Char Char Char Char Char1"/>
    <w:basedOn w:val="1"/>
    <w:qFormat/>
    <w:uiPriority w:val="0"/>
    <w:pPr>
      <w:spacing w:line="360" w:lineRule="auto"/>
    </w:pPr>
    <w:rPr>
      <w:szCs w:val="20"/>
    </w:rPr>
  </w:style>
  <w:style w:type="paragraph" w:customStyle="1" w:styleId="323">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4">
    <w:name w:val="正文 项目2"/>
    <w:basedOn w:val="325"/>
    <w:qFormat/>
    <w:uiPriority w:val="0"/>
    <w:pPr>
      <w:numPr>
        <w:ilvl w:val="0"/>
        <w:numId w:val="6"/>
      </w:numPr>
      <w:tabs>
        <w:tab w:val="left" w:pos="840"/>
      </w:tabs>
      <w:spacing w:after="0"/>
    </w:pPr>
  </w:style>
  <w:style w:type="paragraph" w:customStyle="1" w:styleId="32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6">
    <w:name w:val="Char Char Char1 Char1"/>
    <w:basedOn w:val="1"/>
    <w:qFormat/>
    <w:uiPriority w:val="0"/>
    <w:rPr>
      <w:szCs w:val="20"/>
    </w:rPr>
  </w:style>
  <w:style w:type="paragraph" w:customStyle="1" w:styleId="32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9">
    <w:name w:val="封面"/>
    <w:basedOn w:val="1"/>
    <w:qFormat/>
    <w:uiPriority w:val="0"/>
    <w:pPr>
      <w:spacing w:line="360" w:lineRule="atLeast"/>
      <w:jc w:val="right"/>
      <w:textAlignment w:val="baseline"/>
    </w:pPr>
    <w:rPr>
      <w:rFonts w:ascii="Symbol" w:hAnsi="Symbol"/>
      <w:kern w:val="0"/>
      <w:szCs w:val="20"/>
    </w:rPr>
  </w:style>
  <w:style w:type="paragraph" w:customStyle="1" w:styleId="330">
    <w:name w:val="正文（缩进2汉字）"/>
    <w:basedOn w:val="1"/>
    <w:link w:val="59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1">
    <w:name w:val="数字标题3"/>
    <w:basedOn w:val="6"/>
    <w:next w:val="1"/>
    <w:qFormat/>
    <w:uiPriority w:val="0"/>
    <w:pPr>
      <w:numPr>
        <w:numId w:val="0"/>
      </w:numPr>
      <w:spacing w:line="240" w:lineRule="auto"/>
    </w:pPr>
    <w:rPr>
      <w:sz w:val="28"/>
      <w:szCs w:val="28"/>
    </w:rPr>
  </w:style>
  <w:style w:type="paragraph" w:customStyle="1" w:styleId="3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4">
    <w:name w:val="正文（首行缩进2字符）"/>
    <w:basedOn w:val="1"/>
    <w:qFormat/>
    <w:uiPriority w:val="0"/>
    <w:pPr>
      <w:adjustRightInd/>
      <w:spacing w:line="360" w:lineRule="auto"/>
      <w:ind w:firstLine="480" w:firstLineChars="200"/>
    </w:pPr>
    <w:rPr>
      <w:sz w:val="24"/>
      <w:szCs w:val="20"/>
    </w:rPr>
  </w:style>
  <w:style w:type="paragraph" w:customStyle="1" w:styleId="33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6">
    <w:name w:val="正文段"/>
    <w:basedOn w:val="1"/>
    <w:qFormat/>
    <w:uiPriority w:val="0"/>
    <w:pPr>
      <w:widowControl/>
      <w:snapToGrid w:val="0"/>
      <w:spacing w:after="156" w:afterLines="50"/>
      <w:ind w:firstLine="200" w:firstLineChars="200"/>
    </w:pPr>
    <w:rPr>
      <w:kern w:val="0"/>
      <w:sz w:val="24"/>
      <w:szCs w:val="20"/>
    </w:rPr>
  </w:style>
  <w:style w:type="paragraph" w:customStyle="1" w:styleId="33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8">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9">
    <w:name w:val="彩色列表 - 强调文字颜色 11"/>
    <w:basedOn w:val="1"/>
    <w:qFormat/>
    <w:uiPriority w:val="0"/>
    <w:pPr>
      <w:adjustRightInd/>
      <w:ind w:firstLine="420" w:firstLineChars="200"/>
    </w:pPr>
    <w:rPr>
      <w:rFonts w:ascii="Calibri" w:hAnsi="Calibri"/>
      <w:szCs w:val="22"/>
    </w:rPr>
  </w:style>
  <w:style w:type="paragraph" w:customStyle="1" w:styleId="340">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2">
    <w:name w:val="样式1 + (中宋体"/>
    <w:basedOn w:val="16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3">
    <w:name w:val="仿宋正文"/>
    <w:basedOn w:val="1"/>
    <w:link w:val="466"/>
    <w:qFormat/>
    <w:uiPriority w:val="0"/>
    <w:pPr>
      <w:adjustRightInd/>
      <w:spacing w:line="360" w:lineRule="auto"/>
      <w:ind w:firstLine="480" w:firstLineChars="200"/>
    </w:pPr>
    <w:rPr>
      <w:rFonts w:ascii="仿宋_GB2312" w:eastAsia="仿宋_GB2312"/>
      <w:sz w:val="24"/>
      <w:szCs w:val="20"/>
    </w:rPr>
  </w:style>
  <w:style w:type="paragraph" w:customStyle="1" w:styleId="344">
    <w:name w:val="正文（标题三）"/>
    <w:basedOn w:val="1"/>
    <w:qFormat/>
    <w:uiPriority w:val="0"/>
    <w:pPr>
      <w:spacing w:line="360" w:lineRule="auto"/>
      <w:ind w:firstLine="200" w:firstLineChars="200"/>
    </w:pPr>
    <w:rPr>
      <w:sz w:val="24"/>
    </w:rPr>
  </w:style>
  <w:style w:type="paragraph" w:customStyle="1" w:styleId="345">
    <w:name w:val="MM Topic 3"/>
    <w:basedOn w:val="6"/>
    <w:qFormat/>
    <w:uiPriority w:val="0"/>
    <w:pPr>
      <w:numPr>
        <w:numId w:val="4"/>
      </w:numPr>
      <w:tabs>
        <w:tab w:val="left" w:pos="840"/>
        <w:tab w:val="left" w:pos="1680"/>
        <w:tab w:val="clear" w:pos="900"/>
      </w:tabs>
      <w:adjustRightInd/>
    </w:pPr>
  </w:style>
  <w:style w:type="paragraph" w:customStyle="1" w:styleId="34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7">
    <w:name w:val="图中文字"/>
    <w:basedOn w:val="1"/>
    <w:qFormat/>
    <w:uiPriority w:val="0"/>
    <w:pPr>
      <w:snapToGrid w:val="0"/>
      <w:spacing w:line="0" w:lineRule="atLeast"/>
      <w:ind w:firstLine="200" w:firstLineChars="200"/>
      <w:jc w:val="center"/>
    </w:pPr>
    <w:rPr>
      <w:sz w:val="24"/>
      <w:szCs w:val="20"/>
    </w:rPr>
  </w:style>
  <w:style w:type="paragraph" w:customStyle="1" w:styleId="348">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9">
    <w:name w:val="Char21"/>
    <w:basedOn w:val="1"/>
    <w:qFormat/>
    <w:uiPriority w:val="0"/>
    <w:pPr>
      <w:adjustRightInd/>
      <w:ind w:firstLine="200" w:firstLineChars="200"/>
    </w:pPr>
    <w:rPr>
      <w:rFonts w:ascii="仿宋_GB2312" w:eastAsia="仿宋_GB2312"/>
      <w:b/>
      <w:sz w:val="32"/>
      <w:szCs w:val="32"/>
    </w:rPr>
  </w:style>
  <w:style w:type="paragraph" w:customStyle="1" w:styleId="35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1">
    <w:name w:val="标题4-dyf"/>
    <w:basedOn w:val="7"/>
    <w:link w:val="556"/>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2">
    <w:name w:val="Char1 Char Char Char4"/>
    <w:basedOn w:val="1"/>
    <w:qFormat/>
    <w:uiPriority w:val="0"/>
    <w:pPr>
      <w:adjustRightInd/>
      <w:ind w:firstLine="200" w:firstLineChars="200"/>
    </w:pPr>
    <w:rPr>
      <w:rFonts w:ascii="Tahoma" w:hAnsi="Tahoma"/>
      <w:sz w:val="24"/>
      <w:szCs w:val="20"/>
    </w:rPr>
  </w:style>
  <w:style w:type="paragraph" w:customStyle="1" w:styleId="353">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5">
    <w:name w:val="Char23"/>
    <w:basedOn w:val="1"/>
    <w:qFormat/>
    <w:uiPriority w:val="0"/>
    <w:rPr>
      <w:rFonts w:ascii="仿宋_GB2312" w:eastAsia="仿宋_GB2312"/>
      <w:b/>
      <w:sz w:val="32"/>
      <w:szCs w:val="32"/>
    </w:rPr>
  </w:style>
  <w:style w:type="paragraph" w:customStyle="1" w:styleId="35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9">
    <w:name w:val="此正文"/>
    <w:basedOn w:val="1"/>
    <w:link w:val="444"/>
    <w:qFormat/>
    <w:uiPriority w:val="0"/>
    <w:pPr>
      <w:adjustRightInd/>
      <w:spacing w:line="360" w:lineRule="auto"/>
      <w:ind w:firstLine="200" w:firstLineChars="200"/>
    </w:pPr>
    <w:rPr>
      <w:sz w:val="24"/>
    </w:rPr>
  </w:style>
  <w:style w:type="paragraph" w:customStyle="1" w:styleId="3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2">
    <w:name w:val="Char3 Char Char Char"/>
    <w:basedOn w:val="1"/>
    <w:qFormat/>
    <w:uiPriority w:val="0"/>
    <w:pPr>
      <w:widowControl/>
      <w:adjustRightInd/>
      <w:spacing w:after="160" w:line="240" w:lineRule="exact"/>
      <w:jc w:val="left"/>
    </w:pPr>
    <w:rPr>
      <w:szCs w:val="20"/>
    </w:rPr>
  </w:style>
  <w:style w:type="paragraph" w:customStyle="1" w:styleId="36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4">
    <w:name w:val="Normal0"/>
    <w:qFormat/>
    <w:uiPriority w:val="0"/>
    <w:rPr>
      <w:rFonts w:ascii="Times New Roman" w:hAnsi="Times New Roman" w:eastAsia="宋体" w:cs="Times New Roman"/>
      <w:lang w:val="en-US" w:eastAsia="en-US" w:bidi="ar-SA"/>
    </w:rPr>
  </w:style>
  <w:style w:type="paragraph" w:customStyle="1" w:styleId="36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6">
    <w:name w:val="a1"/>
    <w:basedOn w:val="1"/>
    <w:qFormat/>
    <w:uiPriority w:val="0"/>
    <w:pPr>
      <w:widowControl/>
      <w:spacing w:line="300" w:lineRule="atLeast"/>
      <w:jc w:val="left"/>
    </w:pPr>
    <w:rPr>
      <w:rFonts w:ascii="宋体" w:hAnsi="宋体"/>
      <w:kern w:val="0"/>
      <w:sz w:val="18"/>
      <w:szCs w:val="20"/>
    </w:rPr>
  </w:style>
  <w:style w:type="paragraph" w:customStyle="1" w:styleId="36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9">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70">
    <w:name w:val="Thf"/>
    <w:basedOn w:val="95"/>
    <w:qFormat/>
    <w:uiPriority w:val="0"/>
    <w:pPr>
      <w:ind w:left="0"/>
    </w:pPr>
  </w:style>
  <w:style w:type="paragraph" w:customStyle="1" w:styleId="371">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5">
    <w:name w:val="_Style 12"/>
    <w:basedOn w:val="20"/>
    <w:qFormat/>
    <w:uiPriority w:val="0"/>
    <w:pPr>
      <w:snapToGrid w:val="0"/>
      <w:spacing w:line="360" w:lineRule="auto"/>
    </w:pPr>
  </w:style>
  <w:style w:type="paragraph" w:customStyle="1" w:styleId="376">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8">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9">
    <w:name w:val="Char Char"/>
    <w:basedOn w:val="1"/>
    <w:qFormat/>
    <w:uiPriority w:val="0"/>
    <w:pPr>
      <w:spacing w:line="360" w:lineRule="auto"/>
    </w:pPr>
    <w:rPr>
      <w:rFonts w:ascii="Tahoma" w:hAnsi="Tahoma"/>
      <w:sz w:val="24"/>
      <w:szCs w:val="20"/>
    </w:rPr>
  </w:style>
  <w:style w:type="paragraph" w:customStyle="1" w:styleId="380">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1">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2">
    <w:name w:val="彩色列表 - 强调文字颜色 12"/>
    <w:basedOn w:val="1"/>
    <w:qFormat/>
    <w:uiPriority w:val="0"/>
    <w:pPr>
      <w:adjustRightInd/>
      <w:ind w:firstLine="420" w:firstLineChars="200"/>
    </w:pPr>
    <w:rPr>
      <w:rFonts w:ascii="Calibri" w:hAnsi="Calibri"/>
      <w:szCs w:val="22"/>
    </w:rPr>
  </w:style>
  <w:style w:type="paragraph" w:customStyle="1" w:styleId="38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4">
    <w:name w:val="Char19"/>
    <w:basedOn w:val="1"/>
    <w:qFormat/>
    <w:uiPriority w:val="0"/>
    <w:pPr>
      <w:adjustRightInd/>
    </w:pPr>
    <w:rPr>
      <w:szCs w:val="20"/>
    </w:rPr>
  </w:style>
  <w:style w:type="paragraph" w:customStyle="1" w:styleId="385">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38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8">
    <w:name w:val="表格（小）"/>
    <w:basedOn w:val="1"/>
    <w:qFormat/>
    <w:uiPriority w:val="0"/>
    <w:pPr>
      <w:adjustRightInd/>
      <w:snapToGrid w:val="0"/>
      <w:spacing w:line="300" w:lineRule="auto"/>
    </w:pPr>
    <w:rPr>
      <w:rFonts w:eastAsia="仿宋"/>
      <w:szCs w:val="21"/>
    </w:rPr>
  </w:style>
  <w:style w:type="paragraph" w:customStyle="1" w:styleId="38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3">
    <w:name w:val="Char Char Char Char2"/>
    <w:basedOn w:val="1"/>
    <w:qFormat/>
    <w:uiPriority w:val="0"/>
    <w:rPr>
      <w:rFonts w:ascii="Tahoma" w:hAnsi="Tahoma"/>
      <w:sz w:val="24"/>
      <w:szCs w:val="20"/>
    </w:rPr>
  </w:style>
  <w:style w:type="paragraph" w:customStyle="1" w:styleId="394">
    <w:name w:val="p0"/>
    <w:basedOn w:val="1"/>
    <w:qFormat/>
    <w:uiPriority w:val="0"/>
    <w:pPr>
      <w:widowControl/>
      <w:adjustRightInd/>
    </w:pPr>
    <w:rPr>
      <w:kern w:val="0"/>
      <w:szCs w:val="21"/>
    </w:rPr>
  </w:style>
  <w:style w:type="paragraph" w:customStyle="1" w:styleId="39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7">
    <w:name w:val="默认段落样式"/>
    <w:basedOn w:val="398"/>
    <w:qFormat/>
    <w:uiPriority w:val="0"/>
    <w:pPr>
      <w:spacing w:before="0"/>
      <w:ind w:firstLine="480"/>
      <w:outlineLvl w:val="2"/>
    </w:pPr>
    <w:rPr>
      <w:rFonts w:ascii="仿宋_GB2312" w:hAnsi="宋体" w:eastAsia="仿宋_GB2312"/>
      <w:color w:val="000000"/>
      <w:szCs w:val="24"/>
    </w:rPr>
  </w:style>
  <w:style w:type="paragraph" w:customStyle="1" w:styleId="398">
    <w:name w:val="正文2"/>
    <w:basedOn w:val="1"/>
    <w:link w:val="451"/>
    <w:qFormat/>
    <w:uiPriority w:val="0"/>
    <w:pPr>
      <w:spacing w:before="156" w:line="360" w:lineRule="auto"/>
      <w:ind w:firstLine="510" w:firstLineChars="200"/>
    </w:pPr>
    <w:rPr>
      <w:sz w:val="24"/>
      <w:szCs w:val="20"/>
    </w:rPr>
  </w:style>
  <w:style w:type="paragraph" w:customStyle="1" w:styleId="39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2">
    <w:name w:val="bullet"/>
    <w:basedOn w:val="1"/>
    <w:qFormat/>
    <w:uiPriority w:val="0"/>
    <w:pPr>
      <w:tabs>
        <w:tab w:val="left" w:pos="840"/>
      </w:tabs>
      <w:adjustRightInd/>
      <w:ind w:left="840" w:hanging="420"/>
    </w:pPr>
  </w:style>
  <w:style w:type="paragraph" w:customStyle="1" w:styleId="403">
    <w:name w:val="五级条标题"/>
    <w:basedOn w:val="176"/>
    <w:next w:val="143"/>
    <w:qFormat/>
    <w:uiPriority w:val="0"/>
    <w:pPr>
      <w:numPr>
        <w:ilvl w:val="6"/>
      </w:numPr>
      <w:tabs>
        <w:tab w:val="clear" w:pos="2940"/>
      </w:tabs>
      <w:outlineLvl w:val="6"/>
    </w:pPr>
  </w:style>
  <w:style w:type="paragraph" w:customStyle="1" w:styleId="404">
    <w:name w:val="Char Char Char Char Char Char Char Char"/>
    <w:basedOn w:val="1"/>
    <w:qFormat/>
    <w:uiPriority w:val="0"/>
    <w:pPr>
      <w:tabs>
        <w:tab w:val="left" w:pos="360"/>
      </w:tabs>
    </w:pPr>
    <w:rPr>
      <w:sz w:val="24"/>
      <w:szCs w:val="20"/>
    </w:rPr>
  </w:style>
  <w:style w:type="paragraph" w:customStyle="1" w:styleId="40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6">
    <w:name w:val="数字标题5"/>
    <w:basedOn w:val="8"/>
    <w:next w:val="1"/>
    <w:qFormat/>
    <w:uiPriority w:val="0"/>
    <w:pPr>
      <w:numPr>
        <w:numId w:val="5"/>
      </w:numPr>
      <w:tabs>
        <w:tab w:val="left" w:pos="480"/>
        <w:tab w:val="left" w:pos="1080"/>
        <w:tab w:val="clear" w:pos="1008"/>
      </w:tabs>
    </w:pPr>
  </w:style>
  <w:style w:type="paragraph" w:customStyle="1" w:styleId="40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8">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10">
    <w:name w:val="表格文字"/>
    <w:basedOn w:val="1"/>
    <w:next w:val="3"/>
    <w:qFormat/>
    <w:uiPriority w:val="0"/>
    <w:pPr>
      <w:adjustRightInd/>
      <w:ind w:firstLine="200" w:firstLineChars="200"/>
    </w:pPr>
    <w:rPr>
      <w:rFonts w:ascii="Arial" w:hAnsi="Arial"/>
      <w:spacing w:val="-5"/>
      <w:kern w:val="0"/>
      <w:sz w:val="24"/>
      <w:szCs w:val="20"/>
    </w:rPr>
  </w:style>
  <w:style w:type="paragraph" w:customStyle="1" w:styleId="411">
    <w:name w:val="0"/>
    <w:basedOn w:val="1"/>
    <w:qFormat/>
    <w:uiPriority w:val="0"/>
    <w:pPr>
      <w:widowControl/>
    </w:pPr>
    <w:rPr>
      <w:kern w:val="0"/>
      <w:sz w:val="24"/>
      <w:szCs w:val="20"/>
    </w:rPr>
  </w:style>
  <w:style w:type="paragraph" w:customStyle="1" w:styleId="412">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3">
    <w:name w:val="b11_01b"/>
    <w:basedOn w:val="1"/>
    <w:next w:val="1"/>
    <w:link w:val="55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4">
    <w:name w:val="MM Topic 5"/>
    <w:basedOn w:val="8"/>
    <w:qFormat/>
    <w:uiPriority w:val="0"/>
    <w:pPr>
      <w:numPr>
        <w:numId w:val="4"/>
      </w:numPr>
      <w:tabs>
        <w:tab w:val="left" w:pos="840"/>
        <w:tab w:val="left" w:pos="2520"/>
        <w:tab w:val="clear" w:pos="1008"/>
      </w:tabs>
      <w:adjustRightInd/>
    </w:pPr>
  </w:style>
  <w:style w:type="paragraph" w:customStyle="1" w:styleId="415">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7">
    <w:name w:val="数字标题1"/>
    <w:basedOn w:val="4"/>
    <w:next w:val="1"/>
    <w:qFormat/>
    <w:uiPriority w:val="0"/>
    <w:pPr>
      <w:numPr>
        <w:numId w:val="5"/>
      </w:numPr>
      <w:tabs>
        <w:tab w:val="left" w:pos="480"/>
        <w:tab w:val="clear" w:pos="432"/>
      </w:tabs>
    </w:pPr>
  </w:style>
  <w:style w:type="paragraph" w:customStyle="1" w:styleId="418">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9">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2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5">
    <w:name w:val="MM Topic 1"/>
    <w:basedOn w:val="4"/>
    <w:qFormat/>
    <w:uiPriority w:val="0"/>
    <w:pPr>
      <w:numPr>
        <w:numId w:val="0"/>
      </w:numPr>
      <w:tabs>
        <w:tab w:val="left" w:pos="840"/>
        <w:tab w:val="clear" w:pos="432"/>
      </w:tabs>
      <w:adjustRightInd/>
      <w:ind w:left="840" w:hanging="420"/>
    </w:pPr>
  </w:style>
  <w:style w:type="paragraph" w:customStyle="1" w:styleId="426">
    <w:name w:val="Char Char Char Char Char Char Char Char1"/>
    <w:basedOn w:val="1"/>
    <w:qFormat/>
    <w:uiPriority w:val="0"/>
    <w:pPr>
      <w:tabs>
        <w:tab w:val="left" w:pos="360"/>
      </w:tabs>
    </w:pPr>
    <w:rPr>
      <w:sz w:val="24"/>
      <w:szCs w:val="20"/>
    </w:rPr>
  </w:style>
  <w:style w:type="paragraph" w:customStyle="1" w:styleId="42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8">
    <w:name w:val="Char3 Char Char Char1"/>
    <w:basedOn w:val="1"/>
    <w:qFormat/>
    <w:uiPriority w:val="0"/>
    <w:pPr>
      <w:widowControl/>
      <w:adjustRightInd/>
      <w:spacing w:after="160" w:line="240" w:lineRule="exact"/>
      <w:jc w:val="left"/>
    </w:pPr>
    <w:rPr>
      <w:szCs w:val="20"/>
    </w:rPr>
  </w:style>
  <w:style w:type="paragraph" w:customStyle="1" w:styleId="429">
    <w:name w:val="Char Char12"/>
    <w:basedOn w:val="1"/>
    <w:qFormat/>
    <w:uiPriority w:val="0"/>
    <w:pPr>
      <w:widowControl/>
      <w:spacing w:after="160" w:line="240" w:lineRule="exact"/>
      <w:jc w:val="left"/>
    </w:pPr>
    <w:rPr>
      <w:rFonts w:eastAsia="仿宋_GB2312"/>
      <w:sz w:val="28"/>
    </w:rPr>
  </w:style>
  <w:style w:type="paragraph" w:customStyle="1" w:styleId="43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2">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3">
    <w:name w:val="单元格左对齐"/>
    <w:basedOn w:val="1"/>
    <w:qFormat/>
    <w:uiPriority w:val="0"/>
    <w:pPr>
      <w:adjustRightInd/>
      <w:spacing w:line="360" w:lineRule="auto"/>
    </w:pPr>
    <w:rPr>
      <w:sz w:val="24"/>
    </w:rPr>
  </w:style>
  <w:style w:type="paragraph" w:customStyle="1" w:styleId="43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6">
    <w:name w:val="正文文本 Char"/>
    <w:qFormat/>
    <w:uiPriority w:val="0"/>
    <w:rPr>
      <w:rFonts w:eastAsia="宋体"/>
      <w:kern w:val="2"/>
      <w:sz w:val="24"/>
      <w:szCs w:val="24"/>
      <w:lang w:val="en-US" w:eastAsia="zh-CN" w:bidi="ar-SA"/>
    </w:rPr>
  </w:style>
  <w:style w:type="character" w:customStyle="1" w:styleId="437">
    <w:name w:val="myp1111"/>
    <w:qFormat/>
    <w:uiPriority w:val="0"/>
    <w:rPr>
      <w:rFonts w:hint="default" w:ascii="ˎ̥" w:hAnsi="ˎ̥"/>
      <w:color w:val="000000"/>
      <w:sz w:val="20"/>
      <w:szCs w:val="20"/>
      <w:u w:val="none"/>
    </w:rPr>
  </w:style>
  <w:style w:type="character" w:customStyle="1" w:styleId="438">
    <w:name w:val="mdeck"/>
    <w:qFormat/>
    <w:uiPriority w:val="0"/>
    <w:rPr>
      <w:rFonts w:ascii="仿宋_GB2312" w:eastAsia="微软雅黑"/>
      <w:b/>
      <w:kern w:val="2"/>
      <w:sz w:val="32"/>
      <w:szCs w:val="32"/>
      <w:lang w:val="en-US" w:eastAsia="zh-CN" w:bidi="ar-SA"/>
    </w:rPr>
  </w:style>
  <w:style w:type="character" w:customStyle="1" w:styleId="439">
    <w:name w:val="签名 字符"/>
    <w:link w:val="41"/>
    <w:qFormat/>
    <w:uiPriority w:val="0"/>
    <w:rPr>
      <w:rFonts w:eastAsia="仿宋_GB2312"/>
      <w:sz w:val="24"/>
    </w:rPr>
  </w:style>
  <w:style w:type="character" w:customStyle="1" w:styleId="440">
    <w:name w:val="tw4winMark"/>
    <w:qFormat/>
    <w:uiPriority w:val="0"/>
    <w:rPr>
      <w:rFonts w:ascii="Courier New" w:hAnsi="Courier New" w:cs="Courier New"/>
      <w:vanish/>
      <w:color w:val="800080"/>
      <w:sz w:val="24"/>
      <w:szCs w:val="24"/>
      <w:vertAlign w:val="subscript"/>
    </w:rPr>
  </w:style>
  <w:style w:type="character" w:customStyle="1" w:styleId="441">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2">
    <w:name w:val="Balloon Text Char"/>
    <w:semiHidden/>
    <w:qFormat/>
    <w:locked/>
    <w:uiPriority w:val="0"/>
    <w:rPr>
      <w:rFonts w:eastAsia="宋体"/>
      <w:kern w:val="2"/>
      <w:sz w:val="18"/>
      <w:szCs w:val="18"/>
      <w:lang w:val="en-US" w:eastAsia="zh-CN" w:bidi="ar-SA"/>
    </w:rPr>
  </w:style>
  <w:style w:type="character" w:customStyle="1" w:styleId="443">
    <w:name w:val="正文非缩进 Char"/>
    <w:qFormat/>
    <w:uiPriority w:val="0"/>
    <w:rPr>
      <w:rFonts w:ascii="宋体" w:eastAsia="宋体"/>
      <w:snapToGrid w:val="0"/>
      <w:color w:val="000000"/>
      <w:kern w:val="28"/>
      <w:sz w:val="28"/>
      <w:lang w:val="en-US" w:eastAsia="zh-CN" w:bidi="ar-SA"/>
    </w:rPr>
  </w:style>
  <w:style w:type="character" w:customStyle="1" w:styleId="444">
    <w:name w:val="此正文 Char"/>
    <w:link w:val="359"/>
    <w:qFormat/>
    <w:uiPriority w:val="0"/>
    <w:rPr>
      <w:kern w:val="2"/>
      <w:sz w:val="24"/>
      <w:szCs w:val="24"/>
    </w:rPr>
  </w:style>
  <w:style w:type="character" w:customStyle="1" w:styleId="445">
    <w:name w:val="Ò³Ã¼ Char Char"/>
    <w:qFormat/>
    <w:uiPriority w:val="0"/>
    <w:rPr>
      <w:rFonts w:eastAsia="宋体"/>
      <w:kern w:val="2"/>
      <w:sz w:val="18"/>
      <w:lang w:val="en-US" w:eastAsia="zh-CN" w:bidi="ar-SA"/>
    </w:rPr>
  </w:style>
  <w:style w:type="character" w:customStyle="1" w:styleId="446">
    <w:name w:val="style91"/>
    <w:qFormat/>
    <w:uiPriority w:val="0"/>
    <w:rPr>
      <w:color w:val="333333"/>
    </w:rPr>
  </w:style>
  <w:style w:type="character" w:customStyle="1" w:styleId="447">
    <w:name w:val="标书1 Char"/>
    <w:qFormat/>
    <w:uiPriority w:val="0"/>
    <w:rPr>
      <w:rFonts w:eastAsia="宋体"/>
      <w:b/>
      <w:bCs/>
      <w:kern w:val="44"/>
      <w:sz w:val="44"/>
      <w:szCs w:val="44"/>
      <w:lang w:val="en-US" w:eastAsia="zh-CN" w:bidi="ar-SA"/>
    </w:rPr>
  </w:style>
  <w:style w:type="character" w:customStyle="1" w:styleId="448">
    <w:name w:val="ca-131"/>
    <w:qFormat/>
    <w:uiPriority w:val="0"/>
    <w:rPr>
      <w:rFonts w:hint="eastAsia" w:ascii="仿宋_GB2312" w:eastAsia="仿宋_GB2312"/>
      <w:b/>
      <w:bCs/>
      <w:color w:val="000000"/>
      <w:spacing w:val="-20"/>
      <w:sz w:val="24"/>
      <w:szCs w:val="24"/>
    </w:rPr>
  </w:style>
  <w:style w:type="character" w:customStyle="1" w:styleId="449">
    <w:name w:val="标书正文格式 Char"/>
    <w:qFormat/>
    <w:uiPriority w:val="0"/>
    <w:rPr>
      <w:rFonts w:eastAsia="楷体_GB2312"/>
      <w:kern w:val="2"/>
      <w:sz w:val="24"/>
      <w:szCs w:val="24"/>
      <w:lang w:bidi="ar-SA"/>
    </w:rPr>
  </w:style>
  <w:style w:type="character" w:customStyle="1" w:styleId="450">
    <w:name w:val="Char Char6"/>
    <w:qFormat/>
    <w:uiPriority w:val="0"/>
    <w:rPr>
      <w:rFonts w:eastAsia="宋体"/>
      <w:kern w:val="2"/>
      <w:sz w:val="21"/>
      <w:szCs w:val="24"/>
      <w:lang w:val="en-US" w:eastAsia="zh-CN" w:bidi="ar-SA"/>
    </w:rPr>
  </w:style>
  <w:style w:type="character" w:customStyle="1" w:styleId="451">
    <w:name w:val="正文2 Char Char"/>
    <w:link w:val="398"/>
    <w:qFormat/>
    <w:uiPriority w:val="0"/>
    <w:rPr>
      <w:rFonts w:eastAsia="宋体"/>
      <w:kern w:val="2"/>
      <w:sz w:val="24"/>
      <w:lang w:val="en-US" w:eastAsia="zh-CN" w:bidi="ar-SA"/>
    </w:rPr>
  </w:style>
  <w:style w:type="character" w:customStyle="1" w:styleId="452">
    <w:name w:val="content"/>
    <w:qFormat/>
    <w:uiPriority w:val="0"/>
  </w:style>
  <w:style w:type="character" w:customStyle="1" w:styleId="453">
    <w:name w:val="正文文本 2 Char"/>
    <w:qFormat/>
    <w:uiPriority w:val="0"/>
    <w:rPr>
      <w:rFonts w:eastAsia="宋体"/>
      <w:kern w:val="2"/>
      <w:sz w:val="21"/>
      <w:szCs w:val="24"/>
      <w:lang w:val="en-US" w:eastAsia="zh-CN" w:bidi="ar-SA"/>
    </w:rPr>
  </w:style>
  <w:style w:type="character" w:customStyle="1" w:styleId="454">
    <w:name w:val="Heading 2 Hidden Char"/>
    <w:qFormat/>
    <w:uiPriority w:val="0"/>
    <w:rPr>
      <w:rFonts w:ascii="仿宋_GB2312" w:eastAsia="仿宋_GB2312"/>
      <w:b/>
      <w:bCs/>
      <w:kern w:val="2"/>
      <w:sz w:val="24"/>
      <w:szCs w:val="24"/>
      <w:lang w:val="zh-CN" w:eastAsia="zh-CN" w:bidi="ar-SA"/>
    </w:rPr>
  </w:style>
  <w:style w:type="character" w:customStyle="1" w:styleId="455">
    <w:name w:val="首行缩进 Char"/>
    <w:qFormat/>
    <w:uiPriority w:val="0"/>
    <w:rPr>
      <w:rFonts w:ascii="宋体" w:eastAsia="宋体"/>
      <w:kern w:val="2"/>
      <w:sz w:val="24"/>
      <w:lang w:val="en-US" w:eastAsia="zh-CN" w:bidi="ar-SA"/>
    </w:rPr>
  </w:style>
  <w:style w:type="character" w:customStyle="1" w:styleId="45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7">
    <w:name w:val="普通文字 Char Char1"/>
    <w:qFormat/>
    <w:uiPriority w:val="0"/>
    <w:rPr>
      <w:rFonts w:ascii="宋体" w:hAnsi="Courier New"/>
      <w:kern w:val="2"/>
      <w:sz w:val="21"/>
    </w:rPr>
  </w:style>
  <w:style w:type="character" w:customStyle="1" w:styleId="458">
    <w:name w:val="Footer-Even Char"/>
    <w:qFormat/>
    <w:uiPriority w:val="0"/>
    <w:rPr>
      <w:rFonts w:eastAsia="宋体"/>
      <w:kern w:val="2"/>
      <w:sz w:val="18"/>
      <w:lang w:val="en-US" w:eastAsia="zh-CN" w:bidi="ar-SA"/>
    </w:rPr>
  </w:style>
  <w:style w:type="character" w:customStyle="1" w:styleId="459">
    <w:name w:val="dandyren_title1"/>
    <w:qFormat/>
    <w:uiPriority w:val="0"/>
    <w:rPr>
      <w:b/>
      <w:bCs/>
      <w:color w:val="FF6633"/>
      <w:sz w:val="18"/>
      <w:szCs w:val="18"/>
    </w:rPr>
  </w:style>
  <w:style w:type="character" w:customStyle="1" w:styleId="460">
    <w:name w:val="标题 3 Char2"/>
    <w:qFormat/>
    <w:uiPriority w:val="0"/>
    <w:rPr>
      <w:rFonts w:eastAsia="宋体"/>
      <w:b/>
      <w:bCs/>
      <w:kern w:val="2"/>
      <w:sz w:val="32"/>
      <w:szCs w:val="32"/>
      <w:lang w:val="en-US" w:eastAsia="zh-CN" w:bidi="ar-SA"/>
    </w:rPr>
  </w:style>
  <w:style w:type="character" w:customStyle="1" w:styleId="461">
    <w:name w:val="gray6"/>
    <w:basedOn w:val="63"/>
    <w:qFormat/>
    <w:uiPriority w:val="0"/>
  </w:style>
  <w:style w:type="character" w:customStyle="1" w:styleId="462">
    <w:name w:val="标准正文格式 Char"/>
    <w:qFormat/>
    <w:uiPriority w:val="0"/>
    <w:rPr>
      <w:rFonts w:ascii="宋体" w:eastAsia="仿宋_GB2312" w:cs="宋体"/>
      <w:color w:val="000000"/>
      <w:sz w:val="24"/>
      <w:lang w:val="en-US" w:eastAsia="zh-CN" w:bidi="ar-SA"/>
    </w:rPr>
  </w:style>
  <w:style w:type="character" w:customStyle="1" w:styleId="463">
    <w:name w:val="Char Char3"/>
    <w:qFormat/>
    <w:uiPriority w:val="0"/>
    <w:rPr>
      <w:rFonts w:eastAsia="宋体"/>
      <w:kern w:val="2"/>
      <w:sz w:val="21"/>
      <w:szCs w:val="24"/>
      <w:lang w:val="en-US" w:eastAsia="zh-CN" w:bidi="ar-SA"/>
    </w:rPr>
  </w:style>
  <w:style w:type="character" w:customStyle="1" w:styleId="464">
    <w:name w:val="px14"/>
    <w:qFormat/>
    <w:uiPriority w:val="0"/>
    <w:rPr>
      <w:rFonts w:ascii="仿宋_GB2312" w:eastAsia="微软雅黑" w:cs="Times New Roman"/>
      <w:b/>
      <w:kern w:val="2"/>
      <w:sz w:val="32"/>
      <w:szCs w:val="32"/>
      <w:lang w:val="en-US" w:eastAsia="zh-CN" w:bidi="ar-SA"/>
    </w:rPr>
  </w:style>
  <w:style w:type="character" w:customStyle="1" w:styleId="465">
    <w:name w:val="txt"/>
    <w:qFormat/>
    <w:uiPriority w:val="0"/>
    <w:rPr>
      <w:rFonts w:ascii="仿宋_GB2312" w:eastAsia="微软雅黑"/>
      <w:b/>
      <w:kern w:val="2"/>
      <w:sz w:val="32"/>
      <w:szCs w:val="32"/>
      <w:lang w:val="en-US" w:eastAsia="zh-CN" w:bidi="ar-SA"/>
    </w:rPr>
  </w:style>
  <w:style w:type="character" w:customStyle="1" w:styleId="466">
    <w:name w:val="仿宋正文 Char"/>
    <w:link w:val="343"/>
    <w:qFormat/>
    <w:uiPriority w:val="0"/>
    <w:rPr>
      <w:rFonts w:ascii="仿宋_GB2312" w:eastAsia="仿宋_GB2312"/>
      <w:kern w:val="2"/>
      <w:sz w:val="24"/>
      <w:lang w:val="en-US" w:eastAsia="zh-CN" w:bidi="ar-SA"/>
    </w:rPr>
  </w:style>
  <w:style w:type="character" w:customStyle="1" w:styleId="467">
    <w:name w:val="Comment Text Char"/>
    <w:semiHidden/>
    <w:qFormat/>
    <w:locked/>
    <w:uiPriority w:val="0"/>
    <w:rPr>
      <w:rFonts w:ascii="宋体" w:hAnsi="宋体" w:eastAsia="宋体"/>
      <w:kern w:val="2"/>
      <w:sz w:val="24"/>
      <w:lang w:val="en-US" w:eastAsia="zh-CN" w:bidi="ar-SA"/>
    </w:rPr>
  </w:style>
  <w:style w:type="character" w:customStyle="1" w:styleId="468">
    <w:name w:val="tw4winExternal"/>
    <w:qFormat/>
    <w:uiPriority w:val="0"/>
    <w:rPr>
      <w:rFonts w:ascii="Courier New" w:hAnsi="Courier New" w:cs="Courier New"/>
      <w:color w:val="808080"/>
    </w:rPr>
  </w:style>
  <w:style w:type="character" w:customStyle="1" w:styleId="469">
    <w:name w:val="Char Char10"/>
    <w:semiHidden/>
    <w:qFormat/>
    <w:uiPriority w:val="0"/>
    <w:rPr>
      <w:rFonts w:ascii="宋体" w:hAnsi="宋体"/>
      <w:kern w:val="2"/>
      <w:sz w:val="21"/>
      <w:szCs w:val="24"/>
    </w:rPr>
  </w:style>
  <w:style w:type="character" w:customStyle="1" w:styleId="470">
    <w:name w:val="Bold"/>
    <w:qFormat/>
    <w:uiPriority w:val="0"/>
    <w:rPr>
      <w:rFonts w:ascii="Arial" w:hAnsi="Arial" w:eastAsia="黑体" w:cs="Times New Roman"/>
      <w:b/>
      <w:kern w:val="2"/>
      <w:sz w:val="32"/>
      <w:szCs w:val="32"/>
      <w:lang w:val="en-US" w:eastAsia="zh-CN" w:bidi="ar-SA"/>
    </w:rPr>
  </w:style>
  <w:style w:type="character" w:customStyle="1" w:styleId="471">
    <w:name w:val="Font Style82"/>
    <w:qFormat/>
    <w:uiPriority w:val="99"/>
    <w:rPr>
      <w:rFonts w:ascii="宋体" w:eastAsia="宋体" w:cs="宋体"/>
      <w:color w:val="000000"/>
      <w:sz w:val="14"/>
      <w:szCs w:val="14"/>
    </w:rPr>
  </w:style>
  <w:style w:type="character" w:customStyle="1" w:styleId="472">
    <w:name w:val="标题 2 Char"/>
    <w:qFormat/>
    <w:uiPriority w:val="0"/>
    <w:rPr>
      <w:rFonts w:ascii="Arial" w:hAnsi="Arial" w:eastAsia="黑体"/>
      <w:b/>
      <w:kern w:val="2"/>
      <w:sz w:val="32"/>
      <w:lang w:val="en-US" w:eastAsia="zh-CN"/>
    </w:rPr>
  </w:style>
  <w:style w:type="character" w:customStyle="1" w:styleId="473">
    <w:name w:val="h3 Char"/>
    <w:qFormat/>
    <w:uiPriority w:val="0"/>
    <w:rPr>
      <w:rFonts w:eastAsia="宋体"/>
      <w:b/>
      <w:kern w:val="2"/>
      <w:sz w:val="32"/>
      <w:lang w:val="en-US" w:eastAsia="zh-CN" w:bidi="ar-SA"/>
    </w:rPr>
  </w:style>
  <w:style w:type="character" w:customStyle="1" w:styleId="474">
    <w:name w:val="页眉 Char1"/>
    <w:qFormat/>
    <w:uiPriority w:val="0"/>
    <w:rPr>
      <w:rFonts w:eastAsia="宋体"/>
      <w:kern w:val="2"/>
      <w:sz w:val="18"/>
      <w:szCs w:val="18"/>
      <w:lang w:val="en-US" w:eastAsia="zh-CN" w:bidi="ar-SA"/>
    </w:rPr>
  </w:style>
  <w:style w:type="character" w:customStyle="1" w:styleId="475">
    <w:name w:val="标题 8 字符"/>
    <w:link w:val="11"/>
    <w:qFormat/>
    <w:uiPriority w:val="0"/>
    <w:rPr>
      <w:rFonts w:ascii="Arial" w:hAnsi="Arial" w:eastAsia="黑体"/>
      <w:kern w:val="2"/>
      <w:sz w:val="24"/>
      <w:szCs w:val="24"/>
    </w:rPr>
  </w:style>
  <w:style w:type="character" w:customStyle="1" w:styleId="476">
    <w:name w:val="冯广丽 Char"/>
    <w:link w:val="239"/>
    <w:qFormat/>
    <w:uiPriority w:val="0"/>
    <w:rPr>
      <w:rFonts w:ascii="宋体" w:hAnsi="宋体"/>
      <w:kern w:val="2"/>
      <w:sz w:val="24"/>
      <w:szCs w:val="22"/>
    </w:rPr>
  </w:style>
  <w:style w:type="character" w:customStyle="1" w:styleId="477">
    <w:name w:val="脚注文本 字符"/>
    <w:link w:val="49"/>
    <w:qFormat/>
    <w:uiPriority w:val="0"/>
    <w:rPr>
      <w:color w:val="0000FF"/>
      <w:sz w:val="21"/>
    </w:rPr>
  </w:style>
  <w:style w:type="character" w:customStyle="1" w:styleId="478">
    <w:name w:val="font12gray1"/>
    <w:qFormat/>
    <w:uiPriority w:val="0"/>
    <w:rPr>
      <w:rFonts w:ascii="仿宋_GB2312" w:eastAsia="微软雅黑"/>
      <w:b/>
      <w:spacing w:val="300"/>
      <w:kern w:val="2"/>
      <w:sz w:val="18"/>
      <w:szCs w:val="18"/>
      <w:lang w:val="en-US" w:eastAsia="zh-CN" w:bidi="ar-SA"/>
    </w:rPr>
  </w:style>
  <w:style w:type="character" w:customStyle="1" w:styleId="479">
    <w:name w:val="正文文本缩进 字符"/>
    <w:link w:val="24"/>
    <w:qFormat/>
    <w:uiPriority w:val="0"/>
    <w:rPr>
      <w:rFonts w:ascii="宋体" w:hAnsi="宋体"/>
      <w:kern w:val="2"/>
      <w:sz w:val="24"/>
      <w:szCs w:val="24"/>
    </w:rPr>
  </w:style>
  <w:style w:type="character" w:customStyle="1" w:styleId="480">
    <w:name w:val="方案正文 Char"/>
    <w:qFormat/>
    <w:uiPriority w:val="0"/>
    <w:rPr>
      <w:rFonts w:ascii="仿宋_GB2312" w:eastAsia="仿宋_GB2312"/>
      <w:b/>
      <w:color w:val="000000"/>
      <w:kern w:val="2"/>
      <w:sz w:val="24"/>
      <w:lang w:val="en-US" w:eastAsia="zh-CN" w:bidi="ar-SA"/>
    </w:rPr>
  </w:style>
  <w:style w:type="character" w:customStyle="1" w:styleId="481">
    <w:name w:val="Item List Char"/>
    <w:link w:val="266"/>
    <w:qFormat/>
    <w:uiPriority w:val="0"/>
    <w:rPr>
      <w:rFonts w:ascii="Arial"/>
      <w:bCs/>
      <w:sz w:val="21"/>
      <w:szCs w:val="21"/>
      <w:lang w:val="en-US" w:eastAsia="zh-CN" w:bidi="ar-SA"/>
    </w:rPr>
  </w:style>
  <w:style w:type="character" w:customStyle="1" w:styleId="482">
    <w:name w:val="Normal Indent Char Char"/>
    <w:qFormat/>
    <w:uiPriority w:val="0"/>
    <w:rPr>
      <w:rFonts w:eastAsia="宋体"/>
      <w:kern w:val="2"/>
      <w:sz w:val="21"/>
      <w:lang w:val="en-US" w:eastAsia="zh-CN" w:bidi="ar-SA"/>
    </w:rPr>
  </w:style>
  <w:style w:type="character" w:customStyle="1" w:styleId="483">
    <w:name w:val="t21"/>
    <w:qFormat/>
    <w:uiPriority w:val="0"/>
    <w:rPr>
      <w:rFonts w:ascii="仿宋_GB2312" w:eastAsia="微软雅黑"/>
      <w:b/>
      <w:kern w:val="2"/>
      <w:sz w:val="23"/>
      <w:szCs w:val="23"/>
      <w:lang w:val="en-US" w:eastAsia="zh-CN" w:bidi="ar-SA"/>
    </w:rPr>
  </w:style>
  <w:style w:type="character" w:customStyle="1" w:styleId="484">
    <w:name w:val="Char Char121"/>
    <w:qFormat/>
    <w:uiPriority w:val="0"/>
    <w:rPr>
      <w:rFonts w:ascii="仿宋_GB2312" w:eastAsia="仿宋_GB2312"/>
      <w:b/>
      <w:bCs/>
      <w:kern w:val="2"/>
      <w:sz w:val="24"/>
      <w:szCs w:val="24"/>
      <w:lang w:val="zh-CN" w:eastAsia="zh-CN" w:bidi="ar-SA"/>
    </w:rPr>
  </w:style>
  <w:style w:type="character" w:customStyle="1" w:styleId="485">
    <w:name w:val="标题 7 字符"/>
    <w:link w:val="10"/>
    <w:qFormat/>
    <w:uiPriority w:val="0"/>
    <w:rPr>
      <w:b/>
      <w:bCs/>
      <w:kern w:val="2"/>
      <w:sz w:val="24"/>
      <w:szCs w:val="24"/>
    </w:rPr>
  </w:style>
  <w:style w:type="character" w:customStyle="1" w:styleId="486">
    <w:name w:val="称呼 字符"/>
    <w:link w:val="22"/>
    <w:qFormat/>
    <w:uiPriority w:val="0"/>
    <w:rPr>
      <w:rFonts w:ascii="仿宋_GB2312" w:eastAsia="仿宋_GB2312"/>
      <w:kern w:val="2"/>
      <w:sz w:val="28"/>
    </w:rPr>
  </w:style>
  <w:style w:type="character" w:customStyle="1" w:styleId="487">
    <w:name w:val="正文 项目 Char"/>
    <w:qFormat/>
    <w:uiPriority w:val="0"/>
    <w:rPr>
      <w:rFonts w:ascii="仿宋_GB2312" w:hAnsi="仿宋_GB2312" w:eastAsia="仿宋_GB2312"/>
      <w:kern w:val="2"/>
      <w:sz w:val="24"/>
      <w:lang w:bidi="ar-SA"/>
    </w:rPr>
  </w:style>
  <w:style w:type="character" w:customStyle="1" w:styleId="488">
    <w:name w:val="普通文字 Char1"/>
    <w:qFormat/>
    <w:uiPriority w:val="0"/>
    <w:rPr>
      <w:rFonts w:ascii="宋体" w:hAnsi="Courier New" w:eastAsia="宋体"/>
      <w:kern w:val="2"/>
      <w:sz w:val="21"/>
      <w:lang w:val="en-US" w:eastAsia="zh-CN"/>
    </w:rPr>
  </w:style>
  <w:style w:type="character" w:customStyle="1" w:styleId="489">
    <w:name w:val="正文1 Char1"/>
    <w:qFormat/>
    <w:uiPriority w:val="0"/>
    <w:rPr>
      <w:rFonts w:ascii="仿宋_GB2312" w:hAnsi="Courier New" w:eastAsia="仿宋_GB2312"/>
      <w:kern w:val="28"/>
      <w:sz w:val="24"/>
      <w:szCs w:val="24"/>
    </w:rPr>
  </w:style>
  <w:style w:type="character" w:customStyle="1" w:styleId="490">
    <w:name w:val="hei16b1"/>
    <w:qFormat/>
    <w:uiPriority w:val="0"/>
    <w:rPr>
      <w:rFonts w:hint="default" w:ascii="Arial" w:hAnsi="Arial" w:cs="Arial"/>
      <w:b/>
      <w:bCs/>
      <w:color w:val="000000"/>
      <w:sz w:val="24"/>
      <w:szCs w:val="24"/>
    </w:rPr>
  </w:style>
  <w:style w:type="character" w:customStyle="1" w:styleId="491">
    <w:name w:val="c7 style3"/>
    <w:qFormat/>
    <w:uiPriority w:val="0"/>
  </w:style>
  <w:style w:type="character" w:customStyle="1" w:styleId="492">
    <w:name w:val="副标题 字符"/>
    <w:link w:val="46"/>
    <w:qFormat/>
    <w:uiPriority w:val="0"/>
    <w:rPr>
      <w:rFonts w:ascii="Arial" w:hAnsi="Arial" w:eastAsia="隶书"/>
      <w:b/>
      <w:bCs/>
      <w:kern w:val="28"/>
      <w:sz w:val="44"/>
      <w:szCs w:val="32"/>
      <w:lang w:val="en-US" w:eastAsia="zh-CN" w:bidi="ar-SA"/>
    </w:rPr>
  </w:style>
  <w:style w:type="character" w:customStyle="1" w:styleId="493">
    <w:name w:val="纯文本 字符"/>
    <w:link w:val="32"/>
    <w:qFormat/>
    <w:uiPriority w:val="0"/>
    <w:rPr>
      <w:rFonts w:ascii="宋体" w:hAnsi="Courier New" w:eastAsia="宋体" w:cs="Arial"/>
      <w:snapToGrid w:val="0"/>
      <w:kern w:val="2"/>
      <w:sz w:val="21"/>
      <w:szCs w:val="21"/>
      <w:lang w:val="en-US" w:eastAsia="zh-CN" w:bidi="ar-SA"/>
    </w:rPr>
  </w:style>
  <w:style w:type="character" w:customStyle="1" w:styleId="494">
    <w:name w:val="表正文 Char1"/>
    <w:qFormat/>
    <w:uiPriority w:val="0"/>
    <w:rPr>
      <w:rFonts w:ascii="宋体" w:eastAsia="宋体"/>
      <w:snapToGrid w:val="0"/>
      <w:color w:val="000000"/>
      <w:kern w:val="28"/>
      <w:sz w:val="28"/>
    </w:rPr>
  </w:style>
  <w:style w:type="character" w:customStyle="1" w:styleId="495">
    <w:name w:val="Char Char5"/>
    <w:qFormat/>
    <w:uiPriority w:val="0"/>
    <w:rPr>
      <w:rFonts w:ascii="宋体" w:hAnsi="Courier New" w:eastAsia="宋体"/>
      <w:kern w:val="2"/>
      <w:sz w:val="21"/>
      <w:lang w:val="en-US" w:eastAsia="zh-CN"/>
    </w:rPr>
  </w:style>
  <w:style w:type="character" w:customStyle="1" w:styleId="496">
    <w:name w:val="标题 1 Char Char"/>
    <w:qFormat/>
    <w:uiPriority w:val="0"/>
    <w:rPr>
      <w:rFonts w:hint="eastAsia" w:ascii="宋体" w:hAnsi="宋体" w:eastAsia="宋体"/>
      <w:b/>
      <w:spacing w:val="-2"/>
      <w:sz w:val="24"/>
      <w:lang w:val="en-US" w:eastAsia="zh-CN" w:bidi="ar-SA"/>
    </w:rPr>
  </w:style>
  <w:style w:type="character" w:customStyle="1" w:styleId="497">
    <w:name w:val="Char Char4"/>
    <w:qFormat/>
    <w:uiPriority w:val="0"/>
    <w:rPr>
      <w:rFonts w:eastAsia="宋体"/>
      <w:b/>
      <w:sz w:val="24"/>
      <w:lang w:val="en-GB" w:eastAsia="zh-CN" w:bidi="ar-SA"/>
    </w:rPr>
  </w:style>
  <w:style w:type="character" w:customStyle="1" w:styleId="498">
    <w:name w:val="zbggmain style9"/>
    <w:qFormat/>
    <w:uiPriority w:val="0"/>
  </w:style>
  <w:style w:type="character" w:customStyle="1" w:styleId="499">
    <w:name w:val="Header Char"/>
    <w:semiHidden/>
    <w:qFormat/>
    <w:locked/>
    <w:uiPriority w:val="0"/>
    <w:rPr>
      <w:rFonts w:eastAsia="宋体"/>
      <w:kern w:val="2"/>
      <w:sz w:val="18"/>
      <w:szCs w:val="18"/>
      <w:lang w:val="en-US" w:eastAsia="zh-CN" w:bidi="ar-SA"/>
    </w:rPr>
  </w:style>
  <w:style w:type="character" w:customStyle="1" w:styleId="500">
    <w:name w:val="样式 宋体"/>
    <w:qFormat/>
    <w:uiPriority w:val="0"/>
    <w:rPr>
      <w:rFonts w:ascii="宋体" w:hAnsi="宋体"/>
      <w:sz w:val="24"/>
    </w:rPr>
  </w:style>
  <w:style w:type="character" w:customStyle="1" w:styleId="501">
    <w:name w:val="哈哈正文 Char"/>
    <w:link w:val="317"/>
    <w:qFormat/>
    <w:uiPriority w:val="0"/>
    <w:rPr>
      <w:rFonts w:ascii="宋体" w:hAnsi="宋体" w:eastAsia="宋体"/>
      <w:kern w:val="2"/>
      <w:sz w:val="24"/>
      <w:lang w:bidi="ar-SA"/>
    </w:rPr>
  </w:style>
  <w:style w:type="character" w:customStyle="1" w:styleId="502">
    <w:name w:val="标题 Char"/>
    <w:qFormat/>
    <w:uiPriority w:val="0"/>
    <w:rPr>
      <w:rFonts w:eastAsia="宋体"/>
      <w:b/>
      <w:sz w:val="24"/>
      <w:lang w:val="en-GB" w:eastAsia="zh-CN" w:bidi="ar-SA"/>
    </w:rPr>
  </w:style>
  <w:style w:type="character" w:customStyle="1" w:styleId="503">
    <w:name w:val="纯文本 Char Char Char"/>
    <w:qFormat/>
    <w:uiPriority w:val="0"/>
    <w:rPr>
      <w:rFonts w:ascii="宋体" w:hAnsi="Courier New" w:eastAsia="宋体"/>
      <w:kern w:val="2"/>
      <w:sz w:val="21"/>
      <w:lang w:val="en-US" w:eastAsia="zh-CN" w:bidi="ar-SA"/>
    </w:rPr>
  </w:style>
  <w:style w:type="character" w:customStyle="1" w:styleId="504">
    <w:name w:val="正文 编号 Char"/>
    <w:qFormat/>
    <w:uiPriority w:val="0"/>
    <w:rPr>
      <w:rFonts w:ascii="仿宋_GB2312" w:hAnsi="仿宋_GB2312" w:eastAsia="仿宋_GB2312"/>
      <w:kern w:val="2"/>
      <w:sz w:val="24"/>
      <w:lang w:bidi="ar-SA"/>
    </w:rPr>
  </w:style>
  <w:style w:type="character" w:customStyle="1" w:styleId="505">
    <w:name w:val="插图说明 Char"/>
    <w:qFormat/>
    <w:uiPriority w:val="0"/>
    <w:rPr>
      <w:rFonts w:eastAsia="黑体"/>
      <w:sz w:val="24"/>
      <w:lang w:val="en-US" w:eastAsia="zh-CN"/>
    </w:rPr>
  </w:style>
  <w:style w:type="character" w:customStyle="1" w:styleId="506">
    <w:name w:val="正文文本首行缩进 2 字符"/>
    <w:link w:val="60"/>
    <w:qFormat/>
    <w:uiPriority w:val="0"/>
    <w:rPr>
      <w:rFonts w:ascii="宋体" w:hAnsi="宋体"/>
      <w:kern w:val="2"/>
      <w:sz w:val="21"/>
      <w:szCs w:val="24"/>
    </w:rPr>
  </w:style>
  <w:style w:type="character" w:customStyle="1" w:styleId="507">
    <w:name w:val="正文文本缩进 2 字符"/>
    <w:link w:val="36"/>
    <w:qFormat/>
    <w:uiPriority w:val="0"/>
    <w:rPr>
      <w:rFonts w:ascii="宋体"/>
      <w:sz w:val="28"/>
    </w:rPr>
  </w:style>
  <w:style w:type="character" w:customStyle="1" w:styleId="508">
    <w:name w:val="公文正文 Char"/>
    <w:qFormat/>
    <w:uiPriority w:val="0"/>
    <w:rPr>
      <w:rFonts w:ascii="仿宋_GB2312" w:eastAsia="仿宋_GB2312"/>
      <w:kern w:val="2"/>
      <w:sz w:val="24"/>
      <w:szCs w:val="24"/>
      <w:lang w:val="en-US" w:eastAsia="zh-CN" w:bidi="ar-SA"/>
    </w:rPr>
  </w:style>
  <w:style w:type="character" w:customStyle="1" w:styleId="509">
    <w:name w:val="Char Char41"/>
    <w:qFormat/>
    <w:uiPriority w:val="0"/>
    <w:rPr>
      <w:rFonts w:eastAsia="宋体"/>
      <w:b/>
      <w:sz w:val="24"/>
      <w:lang w:val="en-GB" w:eastAsia="zh-CN" w:bidi="ar-SA"/>
    </w:rPr>
  </w:style>
  <w:style w:type="character" w:customStyle="1" w:styleId="510">
    <w:name w:val="unnamed31"/>
    <w:qFormat/>
    <w:uiPriority w:val="0"/>
    <w:rPr>
      <w:rFonts w:ascii="Tahoma" w:hAnsi="Tahoma" w:eastAsia="宋体"/>
      <w:b/>
      <w:kern w:val="2"/>
      <w:sz w:val="24"/>
      <w:szCs w:val="32"/>
      <w:u w:val="none"/>
      <w:lang w:val="en-US" w:eastAsia="zh-CN" w:bidi="ar-SA"/>
    </w:rPr>
  </w:style>
  <w:style w:type="character" w:customStyle="1" w:styleId="511">
    <w:name w:val="Char Char91"/>
    <w:qFormat/>
    <w:uiPriority w:val="0"/>
    <w:rPr>
      <w:rFonts w:eastAsia="宋体"/>
      <w:kern w:val="2"/>
      <w:sz w:val="18"/>
      <w:szCs w:val="18"/>
      <w:lang w:val="en-US" w:eastAsia="zh-CN" w:bidi="ar-SA"/>
    </w:rPr>
  </w:style>
  <w:style w:type="character" w:customStyle="1" w:styleId="512">
    <w:name w:val="Footer-Even Char1"/>
    <w:qFormat/>
    <w:uiPriority w:val="0"/>
    <w:rPr>
      <w:rFonts w:eastAsia="宋体"/>
      <w:kern w:val="2"/>
      <w:sz w:val="18"/>
      <w:szCs w:val="18"/>
      <w:lang w:val="en-US" w:eastAsia="zh-CN" w:bidi="ar-SA"/>
    </w:rPr>
  </w:style>
  <w:style w:type="character" w:customStyle="1" w:styleId="513">
    <w:name w:val="gf正文1 Char"/>
    <w:qFormat/>
    <w:uiPriority w:val="0"/>
    <w:rPr>
      <w:rFonts w:ascii="宋体" w:hAnsi="宋体" w:eastAsia="宋体" w:cs="宋体"/>
      <w:kern w:val="2"/>
      <w:sz w:val="24"/>
      <w:szCs w:val="24"/>
      <w:lang w:val="en-US" w:eastAsia="zh-CN" w:bidi="ar-SA"/>
    </w:rPr>
  </w:style>
  <w:style w:type="character" w:customStyle="1" w:styleId="514">
    <w:name w:val="javascript"/>
    <w:qFormat/>
    <w:uiPriority w:val="0"/>
  </w:style>
  <w:style w:type="character" w:customStyle="1" w:styleId="515">
    <w:name w:val="列出段落 Char"/>
    <w:qFormat/>
    <w:uiPriority w:val="34"/>
    <w:rPr>
      <w:rFonts w:eastAsia="楷体_GB2312" w:cs="Lucida Sans"/>
      <w:kern w:val="2"/>
      <w:sz w:val="24"/>
      <w:szCs w:val="24"/>
      <w:lang w:val="en-US" w:eastAsia="zh-CN" w:bidi="ar-SA"/>
    </w:rPr>
  </w:style>
  <w:style w:type="character" w:customStyle="1" w:styleId="516">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517">
    <w:name w:val="标书表格字体格式 Char"/>
    <w:qFormat/>
    <w:uiPriority w:val="0"/>
    <w:rPr>
      <w:kern w:val="2"/>
      <w:sz w:val="21"/>
      <w:szCs w:val="24"/>
      <w:lang w:bidi="ar-SA"/>
    </w:rPr>
  </w:style>
  <w:style w:type="character" w:customStyle="1" w:styleId="518">
    <w:name w:val="普通文字 Char3"/>
    <w:qFormat/>
    <w:uiPriority w:val="0"/>
    <w:rPr>
      <w:rFonts w:ascii="宋体" w:hAnsi="Courier New" w:eastAsia="宋体"/>
      <w:kern w:val="2"/>
      <w:sz w:val="21"/>
      <w:lang w:val="en-US" w:eastAsia="zh-CN" w:bidi="ar-SA"/>
    </w:rPr>
  </w:style>
  <w:style w:type="character" w:customStyle="1" w:styleId="519">
    <w:name w:val="h Char Char1"/>
    <w:qFormat/>
    <w:uiPriority w:val="0"/>
    <w:rPr>
      <w:rFonts w:eastAsia="宋体"/>
      <w:kern w:val="2"/>
      <w:sz w:val="18"/>
      <w:szCs w:val="18"/>
      <w:lang w:val="en-US" w:eastAsia="zh-CN" w:bidi="ar-SA"/>
    </w:rPr>
  </w:style>
  <w:style w:type="character" w:customStyle="1" w:styleId="520">
    <w:name w:val="冯 Char"/>
    <w:link w:val="79"/>
    <w:qFormat/>
    <w:uiPriority w:val="0"/>
    <w:rPr>
      <w:rFonts w:ascii="宋体" w:hAnsi="宋体"/>
      <w:color w:val="000000"/>
      <w:sz w:val="24"/>
      <w:szCs w:val="24"/>
    </w:rPr>
  </w:style>
  <w:style w:type="character" w:customStyle="1" w:styleId="521">
    <w:name w:val="highlight1"/>
    <w:qFormat/>
    <w:uiPriority w:val="0"/>
    <w:rPr>
      <w:rFonts w:ascii="仿宋_GB2312" w:eastAsia="微软雅黑"/>
      <w:b/>
      <w:kern w:val="2"/>
      <w:sz w:val="23"/>
      <w:szCs w:val="23"/>
      <w:lang w:val="en-US" w:eastAsia="zh-CN" w:bidi="ar-SA"/>
    </w:rPr>
  </w:style>
  <w:style w:type="character" w:customStyle="1" w:styleId="522">
    <w:name w:val="样式6 Char"/>
    <w:qFormat/>
    <w:uiPriority w:val="0"/>
    <w:rPr>
      <w:rFonts w:ascii="仿宋_GB2312" w:hAnsi="宋体" w:eastAsia="仿宋_GB2312"/>
      <w:b/>
      <w:bCs/>
      <w:kern w:val="2"/>
      <w:sz w:val="24"/>
      <w:szCs w:val="24"/>
      <w:lang w:val="en-US" w:eastAsia="zh-CN" w:bidi="ar-SA"/>
    </w:rPr>
  </w:style>
  <w:style w:type="character" w:customStyle="1" w:styleId="523">
    <w:name w:val="标题 9 字符"/>
    <w:link w:val="12"/>
    <w:qFormat/>
    <w:uiPriority w:val="0"/>
    <w:rPr>
      <w:rFonts w:ascii="Arial" w:hAnsi="Arial" w:eastAsia="黑体"/>
      <w:kern w:val="2"/>
      <w:sz w:val="21"/>
      <w:szCs w:val="21"/>
    </w:rPr>
  </w:style>
  <w:style w:type="character" w:customStyle="1" w:styleId="524">
    <w:name w:val="md"/>
    <w:basedOn w:val="63"/>
    <w:qFormat/>
    <w:uiPriority w:val="0"/>
  </w:style>
  <w:style w:type="character" w:customStyle="1" w:styleId="525">
    <w:name w:val="myp11"/>
    <w:qFormat/>
    <w:uiPriority w:val="0"/>
    <w:rPr>
      <w:rFonts w:ascii="仿宋_GB2312" w:eastAsia="微软雅黑"/>
      <w:b/>
      <w:kern w:val="2"/>
      <w:sz w:val="32"/>
      <w:szCs w:val="32"/>
      <w:lang w:val="en-US" w:eastAsia="zh-CN" w:bidi="ar-SA"/>
    </w:rPr>
  </w:style>
  <w:style w:type="character" w:customStyle="1" w:styleId="526">
    <w:name w:val="Ò³Ã¼ Char Char1"/>
    <w:qFormat/>
    <w:uiPriority w:val="0"/>
    <w:rPr>
      <w:rFonts w:eastAsia="宋体"/>
      <w:kern w:val="2"/>
      <w:sz w:val="18"/>
      <w:szCs w:val="18"/>
      <w:lang w:val="en-US" w:eastAsia="zh-CN" w:bidi="ar-SA"/>
    </w:rPr>
  </w:style>
  <w:style w:type="character" w:customStyle="1" w:styleId="527">
    <w:name w:val="tw4winTerm"/>
    <w:qFormat/>
    <w:uiPriority w:val="0"/>
    <w:rPr>
      <w:color w:val="0000FF"/>
    </w:rPr>
  </w:style>
  <w:style w:type="character" w:customStyle="1" w:styleId="528">
    <w:name w:val="表格 Char Char"/>
    <w:qFormat/>
    <w:uiPriority w:val="0"/>
    <w:rPr>
      <w:rFonts w:ascii="宋体" w:hAnsi="宋体" w:eastAsia="宋体"/>
      <w:lang w:bidi="ar-SA"/>
    </w:rPr>
  </w:style>
  <w:style w:type="character" w:customStyle="1" w:styleId="529">
    <w:name w:val="样式8 Char"/>
    <w:qFormat/>
    <w:uiPriority w:val="0"/>
    <w:rPr>
      <w:rFonts w:ascii="仿宋_GB2312" w:hAnsi="宋体" w:eastAsia="仿宋_GB2312"/>
      <w:b/>
      <w:bCs/>
      <w:kern w:val="2"/>
      <w:sz w:val="24"/>
      <w:szCs w:val="24"/>
    </w:rPr>
  </w:style>
  <w:style w:type="character" w:customStyle="1" w:styleId="530">
    <w:name w:val="样式5 Char"/>
    <w:qFormat/>
    <w:uiPriority w:val="0"/>
    <w:rPr>
      <w:rFonts w:ascii="仿宋_GB2312" w:hAnsi="仿宋" w:eastAsia="仿宋_GB2312"/>
      <w:kern w:val="2"/>
      <w:sz w:val="24"/>
      <w:szCs w:val="24"/>
    </w:rPr>
  </w:style>
  <w:style w:type="character" w:customStyle="1" w:styleId="531">
    <w:name w:val="页脚 Char1"/>
    <w:qFormat/>
    <w:uiPriority w:val="0"/>
    <w:rPr>
      <w:rFonts w:eastAsia="宋体"/>
      <w:kern w:val="2"/>
      <w:sz w:val="18"/>
      <w:szCs w:val="18"/>
      <w:lang w:val="en-US" w:eastAsia="zh-CN" w:bidi="ar-SA"/>
    </w:rPr>
  </w:style>
  <w:style w:type="character" w:customStyle="1" w:styleId="532">
    <w:name w:val="tw4winJump"/>
    <w:qFormat/>
    <w:uiPriority w:val="0"/>
    <w:rPr>
      <w:rFonts w:ascii="Courier New" w:hAnsi="Courier New" w:cs="Courier New"/>
      <w:color w:val="008080"/>
    </w:rPr>
  </w:style>
  <w:style w:type="character" w:customStyle="1" w:styleId="533">
    <w:name w:val="批注文字 Char"/>
    <w:qFormat/>
    <w:uiPriority w:val="99"/>
    <w:rPr>
      <w:kern w:val="2"/>
      <w:sz w:val="21"/>
      <w:szCs w:val="24"/>
    </w:rPr>
  </w:style>
  <w:style w:type="character" w:customStyle="1" w:styleId="534">
    <w:name w:val="Char Char122"/>
    <w:qFormat/>
    <w:uiPriority w:val="0"/>
    <w:rPr>
      <w:rFonts w:ascii="仿宋_GB2312" w:eastAsia="仿宋_GB2312"/>
      <w:b/>
      <w:bCs/>
      <w:kern w:val="2"/>
      <w:sz w:val="24"/>
      <w:szCs w:val="24"/>
      <w:lang w:val="zh-CN" w:eastAsia="zh-CN" w:bidi="ar-SA"/>
    </w:rPr>
  </w:style>
  <w:style w:type="character" w:customStyle="1" w:styleId="535">
    <w:name w:val="No Spacing Char"/>
    <w:link w:val="173"/>
    <w:qFormat/>
    <w:uiPriority w:val="1"/>
    <w:rPr>
      <w:rFonts w:ascii="Calibri" w:hAnsi="Calibri"/>
      <w:sz w:val="22"/>
      <w:szCs w:val="22"/>
      <w:lang w:val="en-US" w:eastAsia="zh-CN" w:bidi="ar-SA"/>
    </w:rPr>
  </w:style>
  <w:style w:type="character" w:customStyle="1" w:styleId="536">
    <w:name w:val="Char Char21"/>
    <w:qFormat/>
    <w:uiPriority w:val="0"/>
    <w:rPr>
      <w:rFonts w:ascii="宋体" w:hAnsi="Courier New" w:eastAsia="宋体"/>
      <w:kern w:val="2"/>
      <w:sz w:val="21"/>
      <w:lang w:val="en-US" w:eastAsia="zh-CN" w:bidi="ar-SA"/>
    </w:rPr>
  </w:style>
  <w:style w:type="character" w:customStyle="1" w:styleId="537">
    <w:name w:val="Char Char8"/>
    <w:qFormat/>
    <w:uiPriority w:val="0"/>
    <w:rPr>
      <w:rFonts w:eastAsia="宋体"/>
      <w:b/>
      <w:sz w:val="24"/>
      <w:lang w:val="en-GB" w:eastAsia="zh-CN"/>
    </w:rPr>
  </w:style>
  <w:style w:type="character" w:customStyle="1" w:styleId="538">
    <w:name w:val="font21"/>
    <w:qFormat/>
    <w:uiPriority w:val="0"/>
    <w:rPr>
      <w:rFonts w:hint="eastAsia" w:ascii="宋体" w:hAnsi="宋体" w:eastAsia="宋体"/>
      <w:kern w:val="2"/>
      <w:sz w:val="28"/>
      <w:szCs w:val="28"/>
      <w:lang w:val="en-US" w:eastAsia="zh-CN" w:bidi="ar-SA"/>
    </w:rPr>
  </w:style>
  <w:style w:type="character" w:customStyle="1" w:styleId="539">
    <w:name w:val="正文2 Char"/>
    <w:qFormat/>
    <w:uiPriority w:val="0"/>
    <w:rPr>
      <w:rFonts w:eastAsia="宋体"/>
      <w:kern w:val="2"/>
      <w:sz w:val="24"/>
      <w:lang w:val="en-US" w:eastAsia="zh-CN" w:bidi="ar-SA"/>
    </w:rPr>
  </w:style>
  <w:style w:type="character" w:customStyle="1" w:styleId="540">
    <w:name w:val="big1"/>
    <w:qFormat/>
    <w:uiPriority w:val="0"/>
    <w:rPr>
      <w:rFonts w:hint="eastAsia" w:ascii="宋体" w:hAnsi="宋体" w:eastAsia="宋体"/>
      <w:color w:val="333333"/>
      <w:sz w:val="22"/>
      <w:szCs w:val="22"/>
    </w:rPr>
  </w:style>
  <w:style w:type="character" w:customStyle="1" w:styleId="541">
    <w:name w:val="Body Text(ch) Char Char"/>
    <w:qFormat/>
    <w:uiPriority w:val="0"/>
    <w:rPr>
      <w:rFonts w:ascii="宋体"/>
      <w:kern w:val="2"/>
      <w:sz w:val="24"/>
      <w:szCs w:val="21"/>
      <w:lang w:val="zh-CN"/>
    </w:rPr>
  </w:style>
  <w:style w:type="character" w:customStyle="1" w:styleId="542">
    <w:name w:val="blue1"/>
    <w:basedOn w:val="63"/>
    <w:qFormat/>
    <w:uiPriority w:val="0"/>
  </w:style>
  <w:style w:type="character" w:customStyle="1" w:styleId="543">
    <w:name w:val="正文 项目2 Char"/>
    <w:basedOn w:val="487"/>
    <w:qFormat/>
    <w:uiPriority w:val="0"/>
    <w:rPr>
      <w:rFonts w:ascii="仿宋_GB2312" w:hAnsi="仿宋_GB2312" w:eastAsia="仿宋_GB2312"/>
      <w:kern w:val="2"/>
      <w:sz w:val="24"/>
      <w:lang w:bidi="ar-SA"/>
    </w:rPr>
  </w:style>
  <w:style w:type="character" w:customStyle="1" w:styleId="544">
    <w:name w:val="solutionfonts"/>
    <w:qFormat/>
    <w:uiPriority w:val="0"/>
  </w:style>
  <w:style w:type="character" w:customStyle="1" w:styleId="545">
    <w:name w:val="Char Char81"/>
    <w:qFormat/>
    <w:uiPriority w:val="0"/>
    <w:rPr>
      <w:rFonts w:eastAsia="宋体"/>
      <w:b/>
      <w:sz w:val="24"/>
      <w:lang w:val="en-GB" w:eastAsia="zh-CN"/>
    </w:rPr>
  </w:style>
  <w:style w:type="character" w:customStyle="1" w:styleId="546">
    <w:name w:val="Char Char2"/>
    <w:qFormat/>
    <w:uiPriority w:val="0"/>
    <w:rPr>
      <w:rFonts w:eastAsia="宋体"/>
      <w:b/>
      <w:bCs/>
      <w:kern w:val="2"/>
      <w:sz w:val="21"/>
      <w:szCs w:val="24"/>
      <w:lang w:val="en-US" w:eastAsia="zh-CN" w:bidi="ar-SA"/>
    </w:rPr>
  </w:style>
  <w:style w:type="character" w:customStyle="1" w:styleId="547">
    <w:name w:val="HTML 预设格式 字符"/>
    <w:link w:val="56"/>
    <w:qFormat/>
    <w:uiPriority w:val="0"/>
    <w:rPr>
      <w:rFonts w:ascii="黑体" w:hAnsi="Courier New" w:eastAsia="黑体"/>
    </w:rPr>
  </w:style>
  <w:style w:type="character" w:customStyle="1" w:styleId="548">
    <w:name w:val="Heading 7 Char"/>
    <w:qFormat/>
    <w:locked/>
    <w:uiPriority w:val="0"/>
    <w:rPr>
      <w:rFonts w:ascii="宋体" w:hAnsi="宋体" w:eastAsia="宋体"/>
      <w:b/>
      <w:bCs/>
      <w:kern w:val="2"/>
      <w:sz w:val="24"/>
      <w:szCs w:val="24"/>
      <w:lang w:val="en-US" w:eastAsia="zh-CN" w:bidi="ar-SA"/>
    </w:rPr>
  </w:style>
  <w:style w:type="character" w:customStyle="1" w:styleId="549">
    <w:name w:val="正文文本首行缩进 字符"/>
    <w:link w:val="2"/>
    <w:qFormat/>
    <w:uiPriority w:val="0"/>
    <w:rPr>
      <w:rFonts w:ascii="宋体"/>
      <w:kern w:val="2"/>
      <w:sz w:val="24"/>
      <w:lang w:val="zh-CN"/>
    </w:rPr>
  </w:style>
  <w:style w:type="character" w:customStyle="1" w:styleId="550">
    <w:name w:val="标题 2 Char Char"/>
    <w:qFormat/>
    <w:uiPriority w:val="0"/>
    <w:rPr>
      <w:rFonts w:ascii="楷体_GB2312" w:hAnsi="Arial" w:eastAsia="楷体_GB2312"/>
      <w:b/>
      <w:bCs/>
      <w:kern w:val="2"/>
      <w:sz w:val="24"/>
      <w:szCs w:val="32"/>
      <w:lang w:val="en-US" w:eastAsia="zh-CN" w:bidi="ar-SA"/>
    </w:rPr>
  </w:style>
  <w:style w:type="character" w:customStyle="1" w:styleId="551">
    <w:name w:val="pt141"/>
    <w:qFormat/>
    <w:uiPriority w:val="0"/>
    <w:rPr>
      <w:color w:val="330066"/>
      <w:sz w:val="22"/>
      <w:szCs w:val="22"/>
    </w:rPr>
  </w:style>
  <w:style w:type="character" w:customStyle="1" w:styleId="552">
    <w:name w:val="h Char Char"/>
    <w:qFormat/>
    <w:uiPriority w:val="0"/>
    <w:rPr>
      <w:rFonts w:eastAsia="宋体"/>
      <w:kern w:val="2"/>
      <w:sz w:val="18"/>
      <w:lang w:val="en-US" w:eastAsia="zh-CN" w:bidi="ar-SA"/>
    </w:rPr>
  </w:style>
  <w:style w:type="character" w:customStyle="1" w:styleId="553">
    <w:name w:val="标题 1 字符"/>
    <w:link w:val="4"/>
    <w:qFormat/>
    <w:uiPriority w:val="0"/>
    <w:rPr>
      <w:b/>
      <w:bCs/>
      <w:kern w:val="44"/>
      <w:sz w:val="44"/>
      <w:szCs w:val="44"/>
    </w:rPr>
  </w:style>
  <w:style w:type="character" w:customStyle="1" w:styleId="554">
    <w:name w:val="页眉 Char"/>
    <w:qFormat/>
    <w:uiPriority w:val="0"/>
    <w:rPr>
      <w:rFonts w:eastAsia="仿宋_GB2312"/>
      <w:kern w:val="2"/>
      <w:sz w:val="18"/>
      <w:lang w:val="en-US" w:eastAsia="zh-CN"/>
    </w:rPr>
  </w:style>
  <w:style w:type="character" w:customStyle="1" w:styleId="555">
    <w:name w:val="b11_01b Char"/>
    <w:link w:val="413"/>
    <w:qFormat/>
    <w:uiPriority w:val="0"/>
    <w:rPr>
      <w:rFonts w:ascii="Verdana" w:hAnsi="Verdana"/>
      <w:b/>
      <w:bCs/>
      <w:color w:val="4A82CA"/>
      <w:sz w:val="17"/>
      <w:szCs w:val="17"/>
    </w:rPr>
  </w:style>
  <w:style w:type="character" w:customStyle="1" w:styleId="556">
    <w:name w:val="标题4-dyf Char"/>
    <w:link w:val="351"/>
    <w:qFormat/>
    <w:uiPriority w:val="0"/>
    <w:rPr>
      <w:rFonts w:ascii="Cambria" w:hAnsi="Cambria"/>
      <w:b/>
      <w:bCs/>
      <w:color w:val="000000"/>
      <w:kern w:val="2"/>
      <w:sz w:val="21"/>
      <w:szCs w:val="21"/>
    </w:rPr>
  </w:style>
  <w:style w:type="character" w:customStyle="1" w:styleId="557">
    <w:name w:val="批注主题 Char"/>
    <w:qFormat/>
    <w:uiPriority w:val="0"/>
    <w:rPr>
      <w:rFonts w:eastAsia="宋体"/>
      <w:b/>
      <w:bCs/>
      <w:kern w:val="2"/>
      <w:sz w:val="21"/>
      <w:szCs w:val="24"/>
      <w:lang w:val="en-US" w:eastAsia="zh-CN" w:bidi="ar-SA"/>
    </w:rPr>
  </w:style>
  <w:style w:type="character" w:customStyle="1" w:styleId="55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9">
    <w:name w:val="正文首行缩进两字 Char"/>
    <w:qFormat/>
    <w:uiPriority w:val="0"/>
    <w:rPr>
      <w:sz w:val="24"/>
      <w:szCs w:val="24"/>
      <w:lang w:val="en-US" w:eastAsia="zh-CN" w:bidi="ar-SA"/>
    </w:rPr>
  </w:style>
  <w:style w:type="character" w:customStyle="1" w:styleId="560">
    <w:name w:val="Char Char51"/>
    <w:qFormat/>
    <w:uiPriority w:val="0"/>
    <w:rPr>
      <w:rFonts w:ascii="宋体" w:hAnsi="Courier New" w:eastAsia="宋体"/>
      <w:kern w:val="2"/>
      <w:sz w:val="21"/>
      <w:lang w:val="en-US" w:eastAsia="zh-CN"/>
    </w:rPr>
  </w:style>
  <w:style w:type="character" w:customStyle="1" w:styleId="561">
    <w:name w:val="带编号样式 Char"/>
    <w:qFormat/>
    <w:uiPriority w:val="0"/>
    <w:rPr>
      <w:rFonts w:ascii="仿宋_GB2312" w:eastAsia="仿宋_GB2312"/>
      <w:color w:val="000000"/>
      <w:sz w:val="24"/>
      <w:lang w:bidi="ar-SA"/>
    </w:rPr>
  </w:style>
  <w:style w:type="character" w:customStyle="1" w:styleId="562">
    <w:name w:val="样式4 Char"/>
    <w:qFormat/>
    <w:uiPriority w:val="0"/>
    <w:rPr>
      <w:rFonts w:ascii="仿宋_GB2312" w:hAnsi="仿宋" w:eastAsia="仿宋_GB2312"/>
      <w:b/>
      <w:kern w:val="2"/>
      <w:sz w:val="32"/>
      <w:szCs w:val="32"/>
      <w:lang w:bidi="ar-SA"/>
    </w:rPr>
  </w:style>
  <w:style w:type="character" w:customStyle="1" w:styleId="563">
    <w:name w:val="样式 标题 4h4H4Fab-4T5Ref Heading 1rh1Heading sqlsect 1.2.3.... Char"/>
    <w:link w:val="175"/>
    <w:qFormat/>
    <w:uiPriority w:val="0"/>
    <w:rPr>
      <w:rFonts w:ascii="微软雅黑" w:hAnsi="微软雅黑" w:eastAsia="微软雅黑"/>
      <w:b/>
      <w:bCs/>
      <w:kern w:val="2"/>
      <w:sz w:val="24"/>
      <w:szCs w:val="28"/>
    </w:rPr>
  </w:style>
  <w:style w:type="character" w:customStyle="1" w:styleId="564">
    <w:name w:val="PI Char"/>
    <w:qFormat/>
    <w:uiPriority w:val="0"/>
    <w:rPr>
      <w:rFonts w:ascii="宋体" w:hAnsi="宋体" w:eastAsia="宋体"/>
      <w:kern w:val="2"/>
      <w:sz w:val="24"/>
      <w:szCs w:val="24"/>
      <w:lang w:val="en-US" w:eastAsia="zh-CN" w:bidi="ar-SA"/>
    </w:rPr>
  </w:style>
  <w:style w:type="character" w:customStyle="1" w:styleId="565">
    <w:name w:val="Char Char111"/>
    <w:qFormat/>
    <w:locked/>
    <w:uiPriority w:val="0"/>
    <w:rPr>
      <w:rFonts w:ascii="宋体" w:hAnsi="宋体" w:eastAsia="宋体"/>
      <w:b/>
      <w:kern w:val="2"/>
      <w:sz w:val="24"/>
      <w:szCs w:val="24"/>
      <w:lang w:val="en-US" w:eastAsia="zh-CN" w:bidi="ar-SA"/>
    </w:rPr>
  </w:style>
  <w:style w:type="character" w:customStyle="1" w:styleId="566">
    <w:name w:val="Document Map Char"/>
    <w:semiHidden/>
    <w:qFormat/>
    <w:locked/>
    <w:uiPriority w:val="0"/>
    <w:rPr>
      <w:rFonts w:eastAsia="宋体"/>
      <w:kern w:val="2"/>
      <w:sz w:val="21"/>
      <w:szCs w:val="24"/>
      <w:lang w:val="en-US" w:eastAsia="zh-CN" w:bidi="ar-SA"/>
    </w:rPr>
  </w:style>
  <w:style w:type="character" w:customStyle="1" w:styleId="567">
    <w:name w:val="正文文本缩进 Char"/>
    <w:qFormat/>
    <w:uiPriority w:val="0"/>
    <w:rPr>
      <w:rFonts w:ascii="宋体" w:hAnsi="宋体"/>
      <w:kern w:val="2"/>
      <w:sz w:val="24"/>
      <w:szCs w:val="24"/>
    </w:rPr>
  </w:style>
  <w:style w:type="character" w:customStyle="1" w:styleId="568">
    <w:name w:val="文本正文 Char Char"/>
    <w:qFormat/>
    <w:locked/>
    <w:uiPriority w:val="0"/>
    <w:rPr>
      <w:sz w:val="24"/>
      <w:lang w:bidi="ar-SA"/>
    </w:rPr>
  </w:style>
  <w:style w:type="character" w:customStyle="1" w:styleId="569">
    <w:name w:val="样式7 Char"/>
    <w:qFormat/>
    <w:uiPriority w:val="0"/>
    <w:rPr>
      <w:rFonts w:ascii="仿宋_GB2312" w:hAnsi="仿宋" w:eastAsia="仿宋_GB2312"/>
      <w:b/>
      <w:kern w:val="2"/>
      <w:sz w:val="24"/>
      <w:szCs w:val="24"/>
    </w:rPr>
  </w:style>
  <w:style w:type="character" w:customStyle="1" w:styleId="570">
    <w:name w:val="样式3 Char"/>
    <w:basedOn w:val="571"/>
    <w:qFormat/>
    <w:uiPriority w:val="0"/>
    <w:rPr>
      <w:rFonts w:ascii="仿宋_GB2312" w:hAnsi="仿宋" w:eastAsia="仿宋_GB2312" w:cs="仿宋_GB2312"/>
      <w:sz w:val="32"/>
      <w:szCs w:val="30"/>
      <w:lang w:val="zh-CN"/>
    </w:rPr>
  </w:style>
  <w:style w:type="character" w:customStyle="1" w:styleId="571">
    <w:name w:val="样式2 Char"/>
    <w:qFormat/>
    <w:uiPriority w:val="0"/>
    <w:rPr>
      <w:rFonts w:ascii="仿宋_GB2312" w:hAnsi="仿宋" w:eastAsia="仿宋_GB2312" w:cs="仿宋_GB2312"/>
      <w:b/>
      <w:bCs/>
      <w:sz w:val="32"/>
      <w:szCs w:val="30"/>
      <w:lang w:val="zh-CN"/>
    </w:rPr>
  </w:style>
  <w:style w:type="character" w:customStyle="1" w:styleId="572">
    <w:name w:val="二级标题 Char Char"/>
    <w:qFormat/>
    <w:uiPriority w:val="0"/>
    <w:rPr>
      <w:rFonts w:ascii="宋体" w:hAnsi="宋体" w:eastAsia="宋体"/>
      <w:b/>
      <w:snapToGrid w:val="0"/>
      <w:kern w:val="2"/>
      <w:sz w:val="24"/>
      <w:szCs w:val="24"/>
      <w:lang w:val="en-US" w:eastAsia="zh-CN" w:bidi="ar-SA"/>
    </w:rPr>
  </w:style>
  <w:style w:type="character" w:customStyle="1" w:styleId="573">
    <w:name w:val="Table Text Char1"/>
    <w:qFormat/>
    <w:uiPriority w:val="0"/>
    <w:rPr>
      <w:rFonts w:eastAsia="宋体"/>
      <w:sz w:val="24"/>
      <w:szCs w:val="24"/>
      <w:lang w:val="en-US" w:eastAsia="zh-CN" w:bidi="ar-SA"/>
    </w:rPr>
  </w:style>
  <w:style w:type="character" w:customStyle="1" w:styleId="574">
    <w:name w:val="shadow11"/>
    <w:qFormat/>
    <w:uiPriority w:val="0"/>
    <w:rPr>
      <w:color w:val="000000"/>
      <w:sz w:val="21"/>
    </w:rPr>
  </w:style>
  <w:style w:type="character" w:customStyle="1" w:styleId="575">
    <w:name w:val="HTML 地址 字符"/>
    <w:link w:val="29"/>
    <w:qFormat/>
    <w:uiPriority w:val="0"/>
    <w:rPr>
      <w:rFonts w:ascii="宋体" w:hAnsi="宋体"/>
      <w:i/>
      <w:iCs/>
      <w:sz w:val="24"/>
      <w:szCs w:val="24"/>
    </w:rPr>
  </w:style>
  <w:style w:type="character" w:customStyle="1" w:styleId="576">
    <w:name w:val="Char Char22"/>
    <w:qFormat/>
    <w:uiPriority w:val="0"/>
    <w:rPr>
      <w:rFonts w:eastAsia="宋体"/>
      <w:b/>
      <w:bCs/>
      <w:kern w:val="2"/>
      <w:sz w:val="21"/>
      <w:szCs w:val="24"/>
      <w:lang w:val="en-US" w:eastAsia="zh-CN" w:bidi="ar-SA"/>
    </w:rPr>
  </w:style>
  <w:style w:type="character" w:customStyle="1" w:styleId="577">
    <w:name w:val="标题 5 字符"/>
    <w:link w:val="8"/>
    <w:qFormat/>
    <w:uiPriority w:val="0"/>
    <w:rPr>
      <w:b/>
      <w:bCs/>
      <w:kern w:val="2"/>
      <w:sz w:val="28"/>
      <w:szCs w:val="28"/>
    </w:rPr>
  </w:style>
  <w:style w:type="character" w:customStyle="1" w:styleId="578">
    <w:name w:val="h3 Char1"/>
    <w:qFormat/>
    <w:uiPriority w:val="0"/>
    <w:rPr>
      <w:rFonts w:eastAsia="宋体"/>
      <w:b/>
      <w:bCs/>
      <w:kern w:val="2"/>
      <w:sz w:val="32"/>
      <w:szCs w:val="32"/>
      <w:lang w:bidi="ar-SA"/>
    </w:rPr>
  </w:style>
  <w:style w:type="character" w:customStyle="1" w:styleId="579">
    <w:name w:val="FA正文 Char Char"/>
    <w:qFormat/>
    <w:uiPriority w:val="0"/>
    <w:rPr>
      <w:rFonts w:hAnsi="宋体"/>
      <w:kern w:val="2"/>
      <w:sz w:val="24"/>
      <w:lang w:bidi="ar-SA"/>
    </w:rPr>
  </w:style>
  <w:style w:type="character" w:customStyle="1" w:styleId="580">
    <w:name w:val="Char Char7"/>
    <w:semiHidden/>
    <w:qFormat/>
    <w:uiPriority w:val="0"/>
    <w:rPr>
      <w:rFonts w:eastAsia="宋体"/>
      <w:kern w:val="2"/>
      <w:sz w:val="21"/>
      <w:szCs w:val="24"/>
      <w:lang w:val="en-US" w:eastAsia="zh-CN" w:bidi="ar-SA"/>
    </w:rPr>
  </w:style>
  <w:style w:type="character" w:customStyle="1" w:styleId="581">
    <w:name w:val="hui"/>
    <w:basedOn w:val="63"/>
    <w:qFormat/>
    <w:uiPriority w:val="0"/>
  </w:style>
  <w:style w:type="character" w:customStyle="1" w:styleId="582">
    <w:name w:val="正文缩进 Char"/>
    <w:qFormat/>
    <w:uiPriority w:val="0"/>
    <w:rPr>
      <w:rFonts w:eastAsia="宋体"/>
      <w:kern w:val="2"/>
      <w:sz w:val="21"/>
      <w:lang w:val="en-US" w:eastAsia="zh-CN"/>
    </w:rPr>
  </w:style>
  <w:style w:type="character" w:customStyle="1" w:styleId="583">
    <w:name w:val="正文1 Char"/>
    <w:qFormat/>
    <w:uiPriority w:val="0"/>
    <w:rPr>
      <w:rFonts w:ascii="宋体" w:eastAsia="宋体"/>
      <w:snapToGrid w:val="0"/>
      <w:color w:val="000000"/>
      <w:kern w:val="28"/>
      <w:sz w:val="28"/>
      <w:lang w:val="en-US" w:eastAsia="zh-CN" w:bidi="ar-SA"/>
    </w:rPr>
  </w:style>
  <w:style w:type="character" w:customStyle="1" w:styleId="584">
    <w:name w:val="Char Char61"/>
    <w:qFormat/>
    <w:uiPriority w:val="0"/>
    <w:rPr>
      <w:rFonts w:eastAsia="宋体"/>
      <w:kern w:val="2"/>
      <w:sz w:val="21"/>
      <w:szCs w:val="24"/>
      <w:lang w:val="en-US" w:eastAsia="zh-CN" w:bidi="ar-SA"/>
    </w:rPr>
  </w:style>
  <w:style w:type="character" w:customStyle="1" w:styleId="585">
    <w:name w:val="正文文本 3 字符"/>
    <w:link w:val="23"/>
    <w:qFormat/>
    <w:uiPriority w:val="0"/>
    <w:rPr>
      <w:kern w:val="2"/>
      <w:sz w:val="21"/>
    </w:rPr>
  </w:style>
  <w:style w:type="character" w:customStyle="1" w:styleId="586">
    <w:name w:val="message1"/>
    <w:qFormat/>
    <w:uiPriority w:val="0"/>
    <w:rPr>
      <w:rFonts w:hint="default" w:ascii="Tahoma" w:hAnsi="Tahoma" w:cs="Tahoma"/>
      <w:sz w:val="18"/>
      <w:szCs w:val="18"/>
    </w:rPr>
  </w:style>
  <w:style w:type="character" w:customStyle="1" w:styleId="587">
    <w:name w:val="DO_NOT_TRANSLATE"/>
    <w:qFormat/>
    <w:uiPriority w:val="0"/>
    <w:rPr>
      <w:rFonts w:ascii="Courier New" w:hAnsi="Courier New" w:cs="Courier New"/>
      <w:color w:val="800000"/>
    </w:rPr>
  </w:style>
  <w:style w:type="character" w:customStyle="1" w:styleId="588">
    <w:name w:val="unnamed11"/>
    <w:qFormat/>
    <w:uiPriority w:val="0"/>
    <w:rPr>
      <w:sz w:val="20"/>
      <w:szCs w:val="20"/>
    </w:rPr>
  </w:style>
  <w:style w:type="character" w:customStyle="1" w:styleId="589">
    <w:name w:val="tw4winInternal"/>
    <w:qFormat/>
    <w:uiPriority w:val="0"/>
    <w:rPr>
      <w:rFonts w:ascii="Courier New" w:hAnsi="Courier New" w:cs="Courier New"/>
      <w:color w:val="FF0000"/>
    </w:rPr>
  </w:style>
  <w:style w:type="character" w:customStyle="1" w:styleId="590">
    <w:name w:val="正文（缩进2汉字） Char"/>
    <w:link w:val="330"/>
    <w:qFormat/>
    <w:uiPriority w:val="0"/>
    <w:rPr>
      <w:rFonts w:ascii="宋体"/>
    </w:rPr>
  </w:style>
  <w:style w:type="character" w:customStyle="1" w:styleId="591">
    <w:name w:val="页脚 Char"/>
    <w:qFormat/>
    <w:uiPriority w:val="0"/>
    <w:rPr>
      <w:rFonts w:eastAsia="仿宋_GB2312"/>
      <w:kern w:val="2"/>
      <w:sz w:val="18"/>
      <w:lang w:val="en-US" w:eastAsia="zh-CN"/>
    </w:rPr>
  </w:style>
  <w:style w:type="character" w:customStyle="1" w:styleId="592">
    <w:name w:val="正文文本缩进 3 字符"/>
    <w:link w:val="52"/>
    <w:qFormat/>
    <w:uiPriority w:val="0"/>
    <w:rPr>
      <w:kern w:val="2"/>
      <w:sz w:val="24"/>
    </w:rPr>
  </w:style>
  <w:style w:type="character" w:customStyle="1" w:styleId="593">
    <w:name w:val="正文缩进 Char1"/>
    <w:qFormat/>
    <w:uiPriority w:val="0"/>
    <w:rPr>
      <w:rFonts w:ascii="宋体" w:eastAsia="宋体"/>
      <w:snapToGrid w:val="0"/>
      <w:color w:val="000000"/>
      <w:kern w:val="28"/>
      <w:sz w:val="28"/>
      <w:lang w:val="en-US" w:eastAsia="zh-CN" w:bidi="ar-SA"/>
    </w:rPr>
  </w:style>
  <w:style w:type="character" w:customStyle="1" w:styleId="594">
    <w:name w:val="style36"/>
    <w:basedOn w:val="63"/>
    <w:qFormat/>
    <w:uiPriority w:val="0"/>
  </w:style>
  <w:style w:type="character" w:customStyle="1" w:styleId="595">
    <w:name w:val="hui3"/>
    <w:qFormat/>
    <w:uiPriority w:val="0"/>
    <w:rPr>
      <w:color w:val="333333"/>
    </w:rPr>
  </w:style>
  <w:style w:type="character" w:customStyle="1" w:styleId="596">
    <w:name w:val="apple-converted-space"/>
    <w:qFormat/>
    <w:uiPriority w:val="0"/>
  </w:style>
  <w:style w:type="character" w:customStyle="1" w:styleId="597">
    <w:name w:val="文档结构图 Char"/>
    <w:qFormat/>
    <w:uiPriority w:val="0"/>
    <w:rPr>
      <w:rFonts w:eastAsia="宋体"/>
      <w:kern w:val="2"/>
      <w:sz w:val="21"/>
      <w:szCs w:val="24"/>
      <w:lang w:val="en-US" w:eastAsia="zh-CN" w:bidi="ar-SA"/>
    </w:rPr>
  </w:style>
  <w:style w:type="character" w:customStyle="1" w:styleId="598">
    <w:name w:val="正文非缩进 Char3"/>
    <w:qFormat/>
    <w:uiPriority w:val="0"/>
    <w:rPr>
      <w:rFonts w:ascii="宋体" w:eastAsia="宋体"/>
      <w:snapToGrid w:val="0"/>
      <w:color w:val="000000"/>
      <w:kern w:val="28"/>
      <w:sz w:val="28"/>
      <w:lang w:val="en-US" w:eastAsia="zh-CN" w:bidi="ar-SA"/>
    </w:rPr>
  </w:style>
  <w:style w:type="character" w:customStyle="1" w:styleId="599">
    <w:name w:val="dectext1"/>
    <w:qFormat/>
    <w:uiPriority w:val="0"/>
    <w:rPr>
      <w:rFonts w:ascii="宋体" w:hAnsi="宋体" w:eastAsia="宋体"/>
      <w:color w:val="333333"/>
      <w:sz w:val="21"/>
      <w:szCs w:val="21"/>
      <w:u w:val="none"/>
    </w:rPr>
  </w:style>
  <w:style w:type="character" w:customStyle="1" w:styleId="600">
    <w:name w:val="副标题 Char1"/>
    <w:qFormat/>
    <w:uiPriority w:val="0"/>
    <w:rPr>
      <w:rFonts w:ascii="Cambria" w:hAnsi="Cambria" w:eastAsia="宋体" w:cs="Times New Roman"/>
      <w:b/>
      <w:bCs/>
      <w:snapToGrid w:val="0"/>
      <w:kern w:val="28"/>
      <w:sz w:val="32"/>
      <w:szCs w:val="32"/>
    </w:rPr>
  </w:style>
  <w:style w:type="character" w:customStyle="1" w:styleId="601">
    <w:name w:val="f141"/>
    <w:qFormat/>
    <w:uiPriority w:val="0"/>
    <w:rPr>
      <w:rFonts w:ascii="Tahoma" w:hAnsi="Tahoma" w:eastAsia="宋体"/>
      <w:b/>
      <w:kern w:val="2"/>
      <w:sz w:val="21"/>
      <w:szCs w:val="21"/>
      <w:lang w:val="en-US" w:eastAsia="zh-CN" w:bidi="ar-SA"/>
    </w:rPr>
  </w:style>
  <w:style w:type="character" w:customStyle="1" w:styleId="602">
    <w:name w:val="日期 字符"/>
    <w:link w:val="35"/>
    <w:qFormat/>
    <w:uiPriority w:val="0"/>
    <w:rPr>
      <w:rFonts w:ascii="宋体"/>
      <w:kern w:val="2"/>
      <w:sz w:val="24"/>
      <w:szCs w:val="21"/>
      <w:lang w:val="zh-CN"/>
    </w:rPr>
  </w:style>
  <w:style w:type="character" w:customStyle="1" w:styleId="603">
    <w:name w:val="标题 4 字符"/>
    <w:link w:val="7"/>
    <w:qFormat/>
    <w:uiPriority w:val="0"/>
    <w:rPr>
      <w:rFonts w:ascii="Arial" w:hAnsi="Arial" w:eastAsia="黑体"/>
      <w:b/>
      <w:bCs/>
      <w:kern w:val="2"/>
      <w:sz w:val="28"/>
      <w:szCs w:val="28"/>
      <w:lang w:val="zh-CN"/>
    </w:rPr>
  </w:style>
  <w:style w:type="character" w:customStyle="1" w:styleId="604">
    <w:name w:val="链接"/>
    <w:qFormat/>
    <w:uiPriority w:val="0"/>
    <w:rPr>
      <w:color w:val="0000FF"/>
      <w:sz w:val="21"/>
      <w:szCs w:val="21"/>
      <w:u w:val="single"/>
    </w:rPr>
  </w:style>
  <w:style w:type="character" w:customStyle="1" w:styleId="605">
    <w:name w:val="正文首行缩进 Char Char Char Char Char Char"/>
    <w:qFormat/>
    <w:uiPriority w:val="0"/>
    <w:rPr>
      <w:rFonts w:ascii="宋体" w:eastAsia="宋体"/>
      <w:kern w:val="2"/>
      <w:sz w:val="24"/>
      <w:lang w:val="zh-CN" w:bidi="ar-SA"/>
    </w:rPr>
  </w:style>
  <w:style w:type="character" w:customStyle="1" w:styleId="606">
    <w:name w:val="tw4winError"/>
    <w:qFormat/>
    <w:uiPriority w:val="0"/>
    <w:rPr>
      <w:rFonts w:ascii="Courier New" w:hAnsi="Courier New" w:cs="Courier New"/>
      <w:color w:val="00FF00"/>
      <w:sz w:val="40"/>
      <w:szCs w:val="40"/>
    </w:rPr>
  </w:style>
  <w:style w:type="character" w:customStyle="1" w:styleId="607">
    <w:name w:val="Used by Word for text of Help footnotes Char Char"/>
    <w:semiHidden/>
    <w:qFormat/>
    <w:uiPriority w:val="0"/>
    <w:rPr>
      <w:rFonts w:ascii="Times New Roman" w:hAnsi="Times New Roman" w:eastAsia="宋体" w:cs="Times New Roman"/>
      <w:sz w:val="20"/>
      <w:szCs w:val="20"/>
    </w:rPr>
  </w:style>
  <w:style w:type="character" w:customStyle="1" w:styleId="608">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9">
    <w:name w:val="表正文 Char"/>
    <w:qFormat/>
    <w:uiPriority w:val="0"/>
    <w:rPr>
      <w:rFonts w:ascii="宋体" w:eastAsia="宋体"/>
      <w:snapToGrid w:val="0"/>
      <w:color w:val="000000"/>
      <w:kern w:val="28"/>
      <w:sz w:val="28"/>
      <w:lang w:val="en-US" w:eastAsia="zh-CN" w:bidi="ar-SA"/>
    </w:rPr>
  </w:style>
  <w:style w:type="character" w:customStyle="1" w:styleId="610">
    <w:name w:val="普通文字 Char1 Char"/>
    <w:qFormat/>
    <w:uiPriority w:val="0"/>
    <w:rPr>
      <w:rFonts w:ascii="宋体" w:hAnsi="Courier New" w:eastAsia="宋体"/>
      <w:kern w:val="2"/>
      <w:sz w:val="21"/>
      <w:szCs w:val="24"/>
      <w:lang w:val="en-US" w:eastAsia="zh-CN" w:bidi="ar-SA"/>
    </w:rPr>
  </w:style>
  <w:style w:type="character" w:customStyle="1" w:styleId="611">
    <w:name w:val="pt9"/>
    <w:qFormat/>
    <w:uiPriority w:val="0"/>
    <w:rPr>
      <w:rFonts w:ascii="仿宋_GB2312" w:eastAsia="微软雅黑"/>
      <w:b/>
      <w:kern w:val="2"/>
      <w:sz w:val="32"/>
      <w:szCs w:val="32"/>
      <w:lang w:val="en-US" w:eastAsia="zh-CN" w:bidi="ar-SA"/>
    </w:rPr>
  </w:style>
  <w:style w:type="character" w:customStyle="1" w:styleId="612">
    <w:name w:val="large1"/>
    <w:qFormat/>
    <w:uiPriority w:val="0"/>
    <w:rPr>
      <w:rFonts w:hint="eastAsia" w:ascii="宋体" w:hAnsi="宋体" w:eastAsia="宋体"/>
      <w:sz w:val="21"/>
      <w:szCs w:val="21"/>
    </w:rPr>
  </w:style>
  <w:style w:type="character" w:customStyle="1" w:styleId="613">
    <w:name w:val="样式 样式 标题 4h4H4Fab-4T5Ref Heading 1rh1Heading sqlsect 1.2.3.... +... Char"/>
    <w:link w:val="174"/>
    <w:qFormat/>
    <w:uiPriority w:val="0"/>
    <w:rPr>
      <w:rFonts w:ascii="微软雅黑" w:hAnsi="微软雅黑" w:eastAsia="微软雅黑"/>
      <w:b/>
      <w:bCs/>
      <w:kern w:val="2"/>
      <w:sz w:val="24"/>
      <w:szCs w:val="28"/>
    </w:rPr>
  </w:style>
  <w:style w:type="character" w:customStyle="1" w:styleId="614">
    <w:name w:val="标题 4 Char1"/>
    <w:semiHidden/>
    <w:qFormat/>
    <w:uiPriority w:val="9"/>
    <w:rPr>
      <w:rFonts w:ascii="Cambria" w:hAnsi="Cambria" w:eastAsia="宋体" w:cs="Times New Roman"/>
      <w:b/>
      <w:bCs/>
      <w:kern w:val="2"/>
      <w:sz w:val="28"/>
      <w:szCs w:val="28"/>
    </w:rPr>
  </w:style>
  <w:style w:type="character" w:customStyle="1" w:styleId="615">
    <w:name w:val="tw4winPopup"/>
    <w:qFormat/>
    <w:uiPriority w:val="0"/>
    <w:rPr>
      <w:rFonts w:ascii="Courier New" w:hAnsi="Courier New" w:cs="Courier New"/>
      <w:color w:val="008000"/>
    </w:rPr>
  </w:style>
  <w:style w:type="character" w:customStyle="1" w:styleId="616">
    <w:name w:val="标题 6 字符"/>
    <w:link w:val="9"/>
    <w:qFormat/>
    <w:uiPriority w:val="0"/>
    <w:rPr>
      <w:rFonts w:ascii="Arial" w:hAnsi="Arial" w:eastAsia="黑体"/>
      <w:b/>
      <w:bCs/>
      <w:kern w:val="2"/>
      <w:sz w:val="24"/>
      <w:szCs w:val="24"/>
    </w:rPr>
  </w:style>
  <w:style w:type="character" w:customStyle="1" w:styleId="617">
    <w:name w:val="正文缩进 字符"/>
    <w:link w:val="17"/>
    <w:qFormat/>
    <w:uiPriority w:val="0"/>
    <w:rPr>
      <w:rFonts w:ascii="宋体" w:eastAsia="宋体"/>
      <w:snapToGrid w:val="0"/>
      <w:color w:val="000000"/>
      <w:kern w:val="28"/>
      <w:sz w:val="28"/>
      <w:lang w:val="en-US" w:eastAsia="zh-CN" w:bidi="ar-SA"/>
    </w:rPr>
  </w:style>
  <w:style w:type="character" w:customStyle="1" w:styleId="618">
    <w:name w:val="批注文字 字符"/>
    <w:link w:val="21"/>
    <w:qFormat/>
    <w:uiPriority w:val="99"/>
    <w:rPr>
      <w:kern w:val="2"/>
      <w:sz w:val="21"/>
      <w:szCs w:val="24"/>
    </w:rPr>
  </w:style>
  <w:style w:type="character" w:customStyle="1" w:styleId="619">
    <w:name w:val="批注框文本 字符"/>
    <w:link w:val="37"/>
    <w:semiHidden/>
    <w:qFormat/>
    <w:uiPriority w:val="0"/>
    <w:rPr>
      <w:kern w:val="2"/>
      <w:sz w:val="18"/>
      <w:szCs w:val="18"/>
    </w:rPr>
  </w:style>
  <w:style w:type="character" w:customStyle="1" w:styleId="620">
    <w:name w:val="Footer Char"/>
    <w:qFormat/>
    <w:locked/>
    <w:uiPriority w:val="0"/>
    <w:rPr>
      <w:rFonts w:eastAsia="宋体"/>
      <w:kern w:val="2"/>
      <w:sz w:val="18"/>
      <w:lang w:val="en-US" w:eastAsia="zh-CN" w:bidi="ar-SA"/>
    </w:rPr>
  </w:style>
  <w:style w:type="paragraph" w:customStyle="1" w:styleId="62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2">
    <w:name w:val="索引 11"/>
    <w:basedOn w:val="1"/>
    <w:next w:val="1"/>
    <w:qFormat/>
    <w:uiPriority w:val="0"/>
    <w:pPr>
      <w:adjustRightInd/>
      <w:spacing w:line="360" w:lineRule="auto"/>
    </w:pPr>
    <w:rPr>
      <w:rFonts w:ascii="仿宋_GB2312" w:eastAsia="仿宋_GB2312"/>
      <w:sz w:val="24"/>
      <w:szCs w:val="20"/>
    </w:rPr>
  </w:style>
  <w:style w:type="paragraph" w:customStyle="1" w:styleId="623">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4">
    <w:name w:val="纯文本_0_0"/>
    <w:basedOn w:val="1"/>
    <w:link w:val="625"/>
    <w:qFormat/>
    <w:uiPriority w:val="0"/>
    <w:pPr>
      <w:adjustRightInd/>
    </w:pPr>
    <w:rPr>
      <w:rFonts w:ascii="宋体" w:hAnsi="Courier New"/>
      <w:szCs w:val="21"/>
    </w:rPr>
  </w:style>
  <w:style w:type="character" w:customStyle="1" w:styleId="625">
    <w:name w:val="纯文本 Char_0"/>
    <w:link w:val="624"/>
    <w:qFormat/>
    <w:uiPriority w:val="0"/>
    <w:rPr>
      <w:rFonts w:ascii="宋体" w:hAnsi="Courier New"/>
      <w:kern w:val="2"/>
      <w:sz w:val="21"/>
      <w:szCs w:val="21"/>
      <w:lang w:val="en-US" w:eastAsia="zh-CN"/>
    </w:rPr>
  </w:style>
  <w:style w:type="character" w:customStyle="1" w:styleId="626">
    <w:name w:val="纯文本 Char1"/>
    <w:link w:val="627"/>
    <w:qFormat/>
    <w:uiPriority w:val="0"/>
    <w:rPr>
      <w:rFonts w:ascii="宋体" w:hAnsi="Courier New"/>
    </w:rPr>
  </w:style>
  <w:style w:type="paragraph" w:customStyle="1" w:styleId="627">
    <w:name w:val="纯文本1"/>
    <w:basedOn w:val="1"/>
    <w:link w:val="626"/>
    <w:qFormat/>
    <w:uiPriority w:val="0"/>
    <w:pPr>
      <w:adjustRightInd/>
    </w:pPr>
    <w:rPr>
      <w:rFonts w:ascii="宋体" w:hAnsi="Courier New"/>
      <w:kern w:val="0"/>
      <w:sz w:val="20"/>
      <w:szCs w:val="20"/>
    </w:rPr>
  </w:style>
  <w:style w:type="paragraph" w:customStyle="1" w:styleId="628">
    <w:name w:val="Char Char Char Char Char Char Char2"/>
    <w:basedOn w:val="1"/>
    <w:qFormat/>
    <w:uiPriority w:val="0"/>
    <w:rPr>
      <w:rFonts w:ascii="仿宋_GB2312" w:eastAsia="仿宋_GB2312"/>
      <w:b/>
      <w:sz w:val="32"/>
      <w:szCs w:val="32"/>
    </w:rPr>
  </w:style>
  <w:style w:type="paragraph" w:customStyle="1" w:styleId="629">
    <w:name w:val="Char Char1 Char Char Char Char Char Char2"/>
    <w:basedOn w:val="1"/>
    <w:qFormat/>
    <w:uiPriority w:val="0"/>
    <w:rPr>
      <w:rFonts w:ascii="仿宋_GB2312" w:eastAsia="仿宋_GB2312"/>
      <w:b/>
      <w:sz w:val="32"/>
      <w:szCs w:val="20"/>
    </w:rPr>
  </w:style>
  <w:style w:type="paragraph" w:customStyle="1" w:styleId="630">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31">
    <w:name w:val="Default Char"/>
    <w:link w:val="104"/>
    <w:qFormat/>
    <w:uiPriority w:val="0"/>
    <w:rPr>
      <w:rFonts w:ascii="仿宋_GB2312" w:eastAsia="仿宋_GB2312" w:cs="仿宋_GB2312"/>
      <w:color w:val="000000"/>
      <w:sz w:val="24"/>
      <w:szCs w:val="24"/>
    </w:rPr>
  </w:style>
  <w:style w:type="paragraph" w:customStyle="1" w:styleId="63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3">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4">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6">
    <w:name w:val="Plain Text1"/>
    <w:basedOn w:val="1"/>
    <w:qFormat/>
    <w:uiPriority w:val="0"/>
    <w:rPr>
      <w:rFonts w:hAnsi="Courier New" w:eastAsia="楷体_GB2312"/>
      <w:sz w:val="28"/>
      <w:szCs w:val="20"/>
    </w:rPr>
  </w:style>
  <w:style w:type="paragraph" w:customStyle="1" w:styleId="637">
    <w:name w:val="Revision"/>
    <w:hidden/>
    <w:unhideWhenUsed/>
    <w:qFormat/>
    <w:uiPriority w:val="99"/>
    <w:rPr>
      <w:rFonts w:ascii="Times New Roman" w:hAnsi="Times New Roman" w:eastAsia="宋体" w:cs="Times New Roman"/>
      <w:kern w:val="2"/>
      <w:sz w:val="21"/>
      <w:szCs w:val="24"/>
      <w:lang w:val="en-US" w:eastAsia="zh-CN" w:bidi="ar-SA"/>
    </w:rPr>
  </w:style>
  <w:style w:type="table" w:customStyle="1" w:styleId="638">
    <w:name w:val="Table Normal"/>
    <w:semiHidden/>
    <w:unhideWhenUsed/>
    <w:qFormat/>
    <w:uiPriority w:val="0"/>
    <w:tblPr>
      <w:tblCellMar>
        <w:top w:w="0" w:type="dxa"/>
        <w:left w:w="0" w:type="dxa"/>
        <w:bottom w:w="0" w:type="dxa"/>
        <w:right w:w="0" w:type="dxa"/>
      </w:tblCellMar>
    </w:tblPr>
  </w:style>
  <w:style w:type="paragraph" w:customStyle="1" w:styleId="639">
    <w:name w:val="图表"/>
    <w:next w:val="1"/>
    <w:qFormat/>
    <w:uiPriority w:val="1"/>
    <w:pPr>
      <w:jc w:val="center"/>
    </w:pPr>
    <w:rPr>
      <w:rFonts w:ascii="仿宋_GB2312" w:hAnsi="Times New Roman" w:eastAsia="黑体" w:cs="Times New Roman"/>
      <w:kern w:val="2"/>
      <w:sz w:val="21"/>
      <w:szCs w:val="52"/>
      <w:lang w:val="en-US" w:eastAsia="zh-CN" w:bidi="ar-SA"/>
    </w:rPr>
  </w:style>
  <w:style w:type="paragraph" w:customStyle="1" w:styleId="640">
    <w:name w:val="2级标题"/>
    <w:basedOn w:val="110"/>
    <w:qFormat/>
    <w:uiPriority w:val="0"/>
    <w:pPr>
      <w:keepLines/>
      <w:numPr>
        <w:ilvl w:val="1"/>
        <w:numId w:val="7"/>
      </w:numPr>
      <w:spacing w:before="240" w:after="120"/>
      <w:ind w:firstLineChars="0"/>
      <w:contextualSpacing/>
      <w:jc w:val="left"/>
      <w:outlineLvl w:val="1"/>
    </w:pPr>
    <w:rPr>
      <w:rFonts w:ascii="黑体" w:hAnsi="黑体" w:eastAsia="黑体"/>
      <w:sz w:val="32"/>
      <w:szCs w:val="36"/>
      <w:lang w:eastAsia="en-US" w:bidi="en-US"/>
    </w:rPr>
  </w:style>
  <w:style w:type="paragraph" w:customStyle="1" w:styleId="641">
    <w:name w:val="3级标题"/>
    <w:basedOn w:val="110"/>
    <w:qFormat/>
    <w:uiPriority w:val="0"/>
    <w:pPr>
      <w:keepLines/>
      <w:numPr>
        <w:ilvl w:val="2"/>
        <w:numId w:val="7"/>
      </w:numPr>
      <w:spacing w:before="120" w:after="120"/>
      <w:ind w:firstLineChars="0"/>
      <w:contextualSpacing/>
      <w:jc w:val="left"/>
      <w:outlineLvl w:val="2"/>
    </w:pPr>
    <w:rPr>
      <w:rFonts w:ascii="黑体" w:hAnsi="黑体" w:eastAsia="黑体"/>
      <w:sz w:val="28"/>
      <w:szCs w:val="36"/>
      <w:lang w:eastAsia="en-US" w:bidi="en-US"/>
    </w:rPr>
  </w:style>
  <w:style w:type="paragraph" w:customStyle="1" w:styleId="642">
    <w:name w:val="样式 首行缩进:  0 字符"/>
    <w:basedOn w:val="1"/>
    <w:qFormat/>
    <w:uiPriority w:val="0"/>
    <w:rPr>
      <w:rFonts w:ascii="Verdana" w:hAnsi="Verdan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82</Pages>
  <Words>41509</Words>
  <Characters>43774</Characters>
  <Lines>471</Lines>
  <Paragraphs>132</Paragraphs>
  <TotalTime>47</TotalTime>
  <ScaleCrop>false</ScaleCrop>
  <LinksUpToDate>false</LinksUpToDate>
  <CharactersWithSpaces>45981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2023-10-25T12:41:00Z</dcterms:created>
  <dc:creator>玥</dc:creator>
  <cp:lastModifiedBy>S&amp;W</cp:lastModifiedBy>
  <cp:lastPrinted>2024-02-19T06:28:00Z</cp:lastPrinted>
  <dcterms:modified xsi:type="dcterms:W3CDTF">2024-09-30T08:13:46Z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F82FB7B098DE4404A831B59A6FD9BD1D_13</vt:lpwstr>
  </property>
</Properties>
</file>